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26C47">
      <w:pPr>
        <w:adjustRightInd/>
        <w:spacing w:line="360" w:lineRule="auto"/>
        <w:jc w:val="center"/>
        <w:rPr>
          <w:rFonts w:hint="eastAsia" w:cs="宋体" w:asciiTheme="minorEastAsia" w:hAnsiTheme="minorEastAsia" w:eastAsiaTheme="minorEastAsia"/>
          <w:sz w:val="44"/>
          <w:szCs w:val="44"/>
          <w:lang w:eastAsia="zh-CN"/>
        </w:rPr>
      </w:pPr>
      <w:r>
        <w:rPr>
          <w:rFonts w:hint="eastAsia" w:cs="宋体" w:asciiTheme="minorEastAsia" w:hAnsiTheme="minorEastAsia" w:eastAsiaTheme="minorEastAsia"/>
          <w:sz w:val="44"/>
          <w:szCs w:val="44"/>
          <w:lang w:eastAsia="zh-CN"/>
        </w:rPr>
        <w:t>莪山畲族乡2024-2026年污水处理站及集镇污水管网运维服务项目</w:t>
      </w:r>
    </w:p>
    <w:p w14:paraId="10D698FD">
      <w:pPr>
        <w:spacing w:line="360" w:lineRule="auto"/>
      </w:pPr>
    </w:p>
    <w:p w14:paraId="37D895DE">
      <w:pPr>
        <w:adjustRightInd/>
        <w:spacing w:line="360" w:lineRule="auto"/>
        <w:jc w:val="center"/>
        <w:rPr>
          <w:rFonts w:cs="宋体" w:asciiTheme="minorEastAsia" w:hAnsiTheme="minorEastAsia" w:eastAsiaTheme="minorEastAsia"/>
          <w:sz w:val="48"/>
          <w:szCs w:val="48"/>
        </w:rPr>
      </w:pPr>
      <w:r>
        <w:rPr>
          <w:rFonts w:hint="eastAsia" w:cs="宋体" w:asciiTheme="minorEastAsia" w:hAnsiTheme="minorEastAsia" w:eastAsiaTheme="minorEastAsia"/>
          <w:sz w:val="48"/>
          <w:szCs w:val="48"/>
        </w:rPr>
        <w:t>招标文件</w:t>
      </w:r>
    </w:p>
    <w:p w14:paraId="3E2E6244"/>
    <w:p w14:paraId="1A2F017D">
      <w:pPr>
        <w:adjustRightInd/>
        <w:spacing w:line="360" w:lineRule="auto"/>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 xml:space="preserve"> （电子招投标）</w:t>
      </w:r>
    </w:p>
    <w:p w14:paraId="70F4BC2E">
      <w:pPr>
        <w:snapToGrid w:val="0"/>
        <w:spacing w:line="360" w:lineRule="auto"/>
        <w:jc w:val="center"/>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采购编号:</w:t>
      </w:r>
      <w:r>
        <w:rPr>
          <w:rFonts w:hint="eastAsia" w:cs="宋体" w:asciiTheme="minorEastAsia" w:hAnsiTheme="minorEastAsia" w:eastAsiaTheme="minorEastAsia"/>
          <w:color w:val="auto"/>
          <w:sz w:val="30"/>
          <w:szCs w:val="30"/>
        </w:rPr>
        <w:t>（</w:t>
      </w:r>
      <w:r>
        <w:rPr>
          <w:rFonts w:hint="eastAsia" w:cs="宋体" w:asciiTheme="minorEastAsia" w:hAnsiTheme="minorEastAsia" w:eastAsiaTheme="minorEastAsia"/>
          <w:color w:val="auto"/>
          <w:sz w:val="30"/>
          <w:szCs w:val="30"/>
          <w:lang w:eastAsia="zh-CN"/>
        </w:rPr>
        <w:t>YHJS-TLZFCG-2024-0</w:t>
      </w:r>
      <w:r>
        <w:rPr>
          <w:rFonts w:hint="eastAsia" w:cs="宋体" w:asciiTheme="minorEastAsia" w:hAnsiTheme="minorEastAsia" w:eastAsiaTheme="minorEastAsia"/>
          <w:color w:val="auto"/>
          <w:sz w:val="30"/>
          <w:szCs w:val="30"/>
          <w:lang w:val="en-US" w:eastAsia="zh-CN"/>
        </w:rPr>
        <w:t>20</w:t>
      </w:r>
      <w:r>
        <w:rPr>
          <w:rFonts w:hint="eastAsia" w:cs="宋体" w:asciiTheme="minorEastAsia" w:hAnsiTheme="minorEastAsia" w:eastAsiaTheme="minorEastAsia"/>
          <w:color w:val="auto"/>
          <w:sz w:val="30"/>
          <w:szCs w:val="30"/>
        </w:rPr>
        <w:t>）</w:t>
      </w:r>
    </w:p>
    <w:p w14:paraId="176B04C8">
      <w:pPr>
        <w:adjustRightInd/>
        <w:spacing w:line="360" w:lineRule="auto"/>
        <w:rPr>
          <w:rFonts w:cs="宋体" w:asciiTheme="minorEastAsia" w:hAnsiTheme="minorEastAsia" w:eastAsiaTheme="minorEastAsia"/>
          <w:sz w:val="28"/>
          <w:szCs w:val="20"/>
        </w:rPr>
      </w:pPr>
    </w:p>
    <w:p w14:paraId="6DF429E3">
      <w:pPr>
        <w:spacing w:line="360" w:lineRule="auto"/>
        <w:jc w:val="center"/>
        <w:rPr>
          <w:rFonts w:cs="宋体" w:asciiTheme="minorEastAsia" w:hAnsiTheme="minorEastAsia" w:eastAsiaTheme="minorEastAsia"/>
          <w:b/>
          <w:sz w:val="44"/>
          <w:szCs w:val="44"/>
        </w:rPr>
      </w:pPr>
    </w:p>
    <w:p w14:paraId="725AA687">
      <w:pPr>
        <w:spacing w:line="360" w:lineRule="auto"/>
        <w:jc w:val="center"/>
        <w:rPr>
          <w:rFonts w:cs="宋体" w:asciiTheme="minorEastAsia" w:hAnsiTheme="minorEastAsia" w:eastAsiaTheme="minorEastAsia"/>
          <w:b/>
          <w:sz w:val="44"/>
          <w:szCs w:val="44"/>
        </w:rPr>
      </w:pPr>
    </w:p>
    <w:p w14:paraId="02A703CE">
      <w:pPr>
        <w:spacing w:line="360" w:lineRule="auto"/>
        <w:jc w:val="center"/>
        <w:rPr>
          <w:rFonts w:cs="宋体" w:asciiTheme="minorEastAsia" w:hAnsiTheme="minorEastAsia" w:eastAsiaTheme="minorEastAsia"/>
          <w:sz w:val="24"/>
        </w:rPr>
      </w:pPr>
    </w:p>
    <w:p w14:paraId="2556A086">
      <w:pPr>
        <w:spacing w:line="360" w:lineRule="auto"/>
        <w:jc w:val="center"/>
        <w:rPr>
          <w:rFonts w:cs="宋体" w:asciiTheme="minorEastAsia" w:hAnsiTheme="minorEastAsia" w:eastAsiaTheme="minorEastAsia"/>
          <w:sz w:val="24"/>
        </w:rPr>
      </w:pPr>
    </w:p>
    <w:p w14:paraId="31F88581">
      <w:pPr>
        <w:spacing w:line="360" w:lineRule="auto"/>
        <w:rPr>
          <w:rFonts w:cs="宋体" w:asciiTheme="minorEastAsia" w:hAnsiTheme="minorEastAsia" w:eastAsiaTheme="minorEastAsia"/>
          <w:sz w:val="32"/>
          <w:szCs w:val="32"/>
        </w:rPr>
      </w:pPr>
    </w:p>
    <w:p w14:paraId="629B4B31">
      <w:pPr>
        <w:spacing w:line="360" w:lineRule="auto"/>
        <w:jc w:val="center"/>
        <w:rPr>
          <w:rFonts w:hint="eastAsia" w:cs="宋体" w:asciiTheme="minorEastAsia" w:hAnsiTheme="minorEastAsia" w:eastAsiaTheme="minorEastAsia"/>
          <w:sz w:val="32"/>
          <w:szCs w:val="32"/>
          <w:lang w:eastAsia="zh-CN"/>
        </w:rPr>
      </w:pPr>
      <w:r>
        <w:rPr>
          <w:rFonts w:hint="eastAsia" w:cs="宋体" w:asciiTheme="minorEastAsia" w:hAnsiTheme="minorEastAsia" w:eastAsiaTheme="minorEastAsia"/>
          <w:sz w:val="32"/>
          <w:szCs w:val="32"/>
        </w:rPr>
        <w:t>采购人：</w:t>
      </w:r>
      <w:r>
        <w:rPr>
          <w:rFonts w:hint="eastAsia" w:cs="宋体" w:asciiTheme="minorEastAsia" w:hAnsiTheme="minorEastAsia" w:eastAsiaTheme="minorEastAsia"/>
          <w:sz w:val="32"/>
          <w:szCs w:val="32"/>
          <w:lang w:eastAsia="zh-CN"/>
        </w:rPr>
        <w:t>桐庐县莪山畲族乡人民政府</w:t>
      </w:r>
    </w:p>
    <w:p w14:paraId="076226C7">
      <w:pPr>
        <w:spacing w:line="360" w:lineRule="auto"/>
        <w:jc w:val="center"/>
        <w:rPr>
          <w:rFonts w:cs="宋体" w:asciiTheme="minorEastAsia" w:hAnsiTheme="minorEastAsia" w:eastAsiaTheme="minorEastAsia"/>
          <w:bCs/>
          <w:sz w:val="32"/>
          <w:szCs w:val="32"/>
        </w:rPr>
      </w:pPr>
      <w:r>
        <w:rPr>
          <w:rFonts w:hint="eastAsia" w:cs="宋体" w:asciiTheme="minorEastAsia" w:hAnsiTheme="minorEastAsia" w:eastAsiaTheme="minorEastAsia"/>
          <w:bCs/>
          <w:sz w:val="32"/>
          <w:szCs w:val="32"/>
        </w:rPr>
        <w:t>采购代理机构：耀华建设管理有限公司</w:t>
      </w:r>
    </w:p>
    <w:p w14:paraId="22EE3CD6">
      <w:pPr>
        <w:snapToGrid w:val="0"/>
        <w:spacing w:line="360" w:lineRule="auto"/>
        <w:jc w:val="center"/>
        <w:rPr>
          <w:rFonts w:cs="宋体" w:asciiTheme="minorEastAsia" w:hAnsiTheme="minorEastAsia" w:eastAsiaTheme="minorEastAsia"/>
          <w:bCs/>
          <w:sz w:val="32"/>
          <w:szCs w:val="32"/>
        </w:rPr>
      </w:pPr>
      <w:r>
        <w:rPr>
          <w:rFonts w:hint="eastAsia" w:cs="宋体" w:asciiTheme="minorEastAsia" w:hAnsiTheme="minorEastAsia" w:eastAsiaTheme="minorEastAsia"/>
          <w:bCs/>
          <w:sz w:val="32"/>
          <w:szCs w:val="32"/>
        </w:rPr>
        <w:t>202</w:t>
      </w:r>
      <w:r>
        <w:rPr>
          <w:rFonts w:hint="eastAsia" w:cs="宋体" w:asciiTheme="minorEastAsia" w:hAnsiTheme="minorEastAsia" w:eastAsiaTheme="minorEastAsia"/>
          <w:bCs/>
          <w:sz w:val="32"/>
          <w:szCs w:val="32"/>
          <w:lang w:val="en-US" w:eastAsia="zh-CN"/>
        </w:rPr>
        <w:t>4</w:t>
      </w:r>
      <w:r>
        <w:rPr>
          <w:rFonts w:hint="eastAsia" w:cs="宋体" w:asciiTheme="minorEastAsia" w:hAnsiTheme="minorEastAsia" w:eastAsiaTheme="minorEastAsia"/>
          <w:bCs/>
          <w:sz w:val="32"/>
          <w:szCs w:val="32"/>
        </w:rPr>
        <w:t>年</w:t>
      </w:r>
      <w:r>
        <w:rPr>
          <w:rFonts w:hint="eastAsia" w:cs="宋体" w:asciiTheme="minorEastAsia" w:hAnsiTheme="minorEastAsia" w:eastAsiaTheme="minorEastAsia"/>
          <w:bCs/>
          <w:sz w:val="32"/>
          <w:szCs w:val="32"/>
          <w:lang w:val="en-US" w:eastAsia="zh-CN"/>
        </w:rPr>
        <w:t>06</w:t>
      </w:r>
      <w:r>
        <w:rPr>
          <w:rFonts w:hint="eastAsia" w:cs="宋体" w:asciiTheme="minorEastAsia" w:hAnsiTheme="minorEastAsia" w:eastAsiaTheme="minorEastAsia"/>
          <w:bCs/>
          <w:sz w:val="32"/>
          <w:szCs w:val="32"/>
        </w:rPr>
        <w:t>月</w:t>
      </w:r>
    </w:p>
    <w:p w14:paraId="2711F86B">
      <w:pPr>
        <w:spacing w:line="360" w:lineRule="auto"/>
        <w:jc w:val="center"/>
        <w:rPr>
          <w:rFonts w:cs="宋体" w:asciiTheme="minorEastAsia" w:hAnsiTheme="minorEastAsia" w:eastAsiaTheme="minorEastAsia"/>
          <w:b/>
          <w:sz w:val="48"/>
          <w:szCs w:val="48"/>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pgNumType w:start="1"/>
          <w:cols w:space="0" w:num="1"/>
          <w:titlePg/>
          <w:docGrid w:linePitch="312" w:charSpace="0"/>
        </w:sectPr>
      </w:pPr>
    </w:p>
    <w:p w14:paraId="26B0F34F">
      <w:pPr>
        <w:spacing w:line="360" w:lineRule="auto"/>
        <w:jc w:val="center"/>
        <w:rPr>
          <w:rFonts w:cs="宋体" w:asciiTheme="minorEastAsia" w:hAnsiTheme="minorEastAsia" w:eastAsiaTheme="minorEastAsia"/>
          <w:b/>
          <w:sz w:val="48"/>
          <w:szCs w:val="48"/>
        </w:rPr>
      </w:pPr>
      <w:r>
        <w:rPr>
          <w:rFonts w:hint="eastAsia" w:cs="宋体" w:asciiTheme="minorEastAsia" w:hAnsiTheme="minorEastAsia" w:eastAsiaTheme="minorEastAsia"/>
          <w:b/>
          <w:sz w:val="48"/>
          <w:szCs w:val="48"/>
        </w:rPr>
        <w:t>目  录</w:t>
      </w:r>
    </w:p>
    <w:p w14:paraId="5C822A0E">
      <w:pPr>
        <w:spacing w:line="360" w:lineRule="auto"/>
        <w:rPr>
          <w:rFonts w:cs="宋体" w:asciiTheme="minorEastAsia" w:hAnsiTheme="minorEastAsia" w:eastAsiaTheme="minorEastAsia"/>
          <w:sz w:val="32"/>
          <w:szCs w:val="32"/>
        </w:rPr>
      </w:pPr>
    </w:p>
    <w:p w14:paraId="320816FB">
      <w:pPr>
        <w:spacing w:line="360" w:lineRule="auto"/>
        <w:rPr>
          <w:rFonts w:cs="宋体" w:asciiTheme="minorEastAsia" w:hAnsiTheme="minorEastAsia" w:eastAsiaTheme="minorEastAsia"/>
          <w:sz w:val="32"/>
          <w:szCs w:val="32"/>
        </w:rPr>
      </w:pPr>
    </w:p>
    <w:p w14:paraId="7690076B">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第一部分      招标公告</w:t>
      </w:r>
    </w:p>
    <w:p w14:paraId="296819B6">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第二部分      投标人须知</w:t>
      </w:r>
    </w:p>
    <w:p w14:paraId="1B2A8DB8">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第三部分      采购需求</w:t>
      </w:r>
    </w:p>
    <w:p w14:paraId="3D991DCC">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第四部分      评标办法</w:t>
      </w:r>
    </w:p>
    <w:p w14:paraId="4E9E4A14">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第五部分      拟签订的合同文本</w:t>
      </w:r>
    </w:p>
    <w:p w14:paraId="76846C32">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第六部分      应提交的有关格式范例</w:t>
      </w:r>
    </w:p>
    <w:p w14:paraId="4DE0B679">
      <w:pPr>
        <w:adjustRightInd/>
        <w:spacing w:line="360" w:lineRule="auto"/>
        <w:jc w:val="center"/>
        <w:outlineLvl w:val="0"/>
        <w:rPr>
          <w:rFonts w:cs="宋体" w:asciiTheme="minorEastAsia" w:hAnsiTheme="minorEastAsia" w:eastAsiaTheme="minorEastAsia"/>
          <w:b/>
          <w:sz w:val="36"/>
          <w:szCs w:val="20"/>
        </w:rPr>
        <w:sectPr>
          <w:pgSz w:w="11906" w:h="16838"/>
          <w:pgMar w:top="1440" w:right="1418" w:bottom="1440" w:left="1418" w:header="851" w:footer="992" w:gutter="0"/>
          <w:cols w:space="0" w:num="1"/>
          <w:titlePg/>
          <w:docGrid w:linePitch="312" w:charSpace="0"/>
        </w:sectPr>
      </w:pPr>
      <w:bookmarkStart w:id="0" w:name="_Hlt91233176"/>
      <w:bookmarkEnd w:id="0"/>
      <w:bookmarkStart w:id="1" w:name="第二部分"/>
      <w:bookmarkStart w:id="2" w:name="_Toc91899870"/>
      <w:bookmarkStart w:id="3" w:name="_Toc91899871"/>
    </w:p>
    <w:p w14:paraId="44DAB995">
      <w:pPr>
        <w:adjustRightInd/>
        <w:spacing w:line="360" w:lineRule="auto"/>
        <w:jc w:val="center"/>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t>第一部分 招标公告</w:t>
      </w:r>
    </w:p>
    <w:p w14:paraId="010F6FD2">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项目概况</w:t>
      </w:r>
    </w:p>
    <w:p w14:paraId="0EF0E59D">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lang w:eastAsia="zh-CN"/>
        </w:rPr>
        <w:t>莪山畲族乡2024-2026年污水处理站及集镇污水管网运维服务项目</w:t>
      </w:r>
      <w:r>
        <w:rPr>
          <w:rFonts w:hint="eastAsia" w:cs="宋体" w:asciiTheme="minorEastAsia" w:hAnsiTheme="minorEastAsia" w:eastAsiaTheme="minorEastAsia"/>
          <w:sz w:val="24"/>
        </w:rPr>
        <w:t>的潜在投标人应在政采云平台（</w:t>
      </w:r>
      <w:r>
        <w:fldChar w:fldCharType="begin"/>
      </w:r>
      <w:r>
        <w:instrText xml:space="preserve"> HYPERLINK "https://www.zcygov.cn/）获取（下载）招标文件，并于2021年" </w:instrText>
      </w:r>
      <w:r>
        <w:fldChar w:fldCharType="separate"/>
      </w:r>
      <w:r>
        <w:rPr>
          <w:rStyle w:val="83"/>
          <w:rFonts w:hint="eastAsia" w:cs="宋体" w:asciiTheme="minorEastAsia" w:hAnsiTheme="minorEastAsia" w:eastAsiaTheme="minorEastAsia"/>
          <w:snapToGrid/>
          <w:color w:val="auto"/>
          <w:kern w:val="2"/>
          <w:sz w:val="24"/>
          <w:szCs w:val="24"/>
        </w:rPr>
        <w:t>https://www.zcygov.cn/）获取（下载）招标文件，并于</w:t>
      </w:r>
      <w:r>
        <w:rPr>
          <w:rFonts w:hint="eastAsia" w:cs="宋体" w:asciiTheme="minorEastAsia" w:hAnsiTheme="minorEastAsia" w:eastAsiaTheme="minorEastAsia"/>
          <w:sz w:val="24"/>
          <w:highlight w:val="yellow"/>
          <w:u w:val="single"/>
          <w:lang w:eastAsia="zh-CN"/>
        </w:rPr>
        <w:t>2024年07月18日10点30分</w:t>
      </w:r>
      <w:r>
        <w:rPr>
          <w:rFonts w:hint="eastAsia" w:cs="宋体" w:asciiTheme="minorEastAsia" w:hAnsiTheme="minorEastAsia" w:eastAsiaTheme="minorEastAsia"/>
          <w:sz w:val="24"/>
          <w:highlight w:val="yellow"/>
          <w:u w:val="single"/>
        </w:rPr>
        <w:fldChar w:fldCharType="end"/>
      </w:r>
      <w:r>
        <w:rPr>
          <w:rFonts w:hint="eastAsia" w:cs="宋体" w:asciiTheme="minorEastAsia" w:hAnsiTheme="minorEastAsia" w:eastAsiaTheme="minorEastAsia"/>
          <w:bCs/>
          <w:sz w:val="24"/>
        </w:rPr>
        <w:t>（北京时间）前</w:t>
      </w:r>
      <w:r>
        <w:rPr>
          <w:rFonts w:hint="eastAsia" w:cs="宋体" w:asciiTheme="minorEastAsia" w:hAnsiTheme="minorEastAsia" w:eastAsiaTheme="minorEastAsia"/>
          <w:sz w:val="24"/>
        </w:rPr>
        <w:t>递交（上传）投标文件。</w:t>
      </w:r>
    </w:p>
    <w:p w14:paraId="0740736B">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一、项目基本情况                                            </w:t>
      </w:r>
    </w:p>
    <w:p w14:paraId="0BDF8F88">
      <w:pPr>
        <w:spacing w:line="360" w:lineRule="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b/>
          <w:sz w:val="24"/>
        </w:rPr>
        <w:t>项目编号：</w:t>
      </w:r>
      <w:r>
        <w:rPr>
          <w:rFonts w:hint="eastAsia" w:cs="宋体" w:asciiTheme="minorEastAsia" w:hAnsiTheme="minorEastAsia" w:eastAsiaTheme="minorEastAsia"/>
          <w:sz w:val="24"/>
          <w:lang w:eastAsia="zh-CN"/>
        </w:rPr>
        <w:t>YHJS-TLZFCG-2024-020</w:t>
      </w:r>
    </w:p>
    <w:p w14:paraId="2376F94A">
      <w:pPr>
        <w:spacing w:line="360" w:lineRule="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b/>
          <w:sz w:val="24"/>
        </w:rPr>
        <w:t>项目名称：</w:t>
      </w:r>
      <w:r>
        <w:rPr>
          <w:rFonts w:hint="eastAsia" w:cs="宋体" w:asciiTheme="minorEastAsia" w:hAnsiTheme="minorEastAsia" w:eastAsiaTheme="minorEastAsia"/>
          <w:sz w:val="24"/>
          <w:lang w:eastAsia="zh-CN"/>
        </w:rPr>
        <w:t>莪山畲族乡2024-2026年污水处理站及集镇污水管网运维服务项目</w:t>
      </w:r>
    </w:p>
    <w:p w14:paraId="32D70D7B">
      <w:pPr>
        <w:spacing w:line="360" w:lineRule="auto"/>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b/>
          <w:sz w:val="24"/>
          <w:lang w:val="en-US" w:eastAsia="zh-CN"/>
        </w:rPr>
        <w:t>最高限价</w:t>
      </w:r>
      <w:r>
        <w:rPr>
          <w:rFonts w:hint="eastAsia" w:cs="宋体" w:asciiTheme="minorEastAsia" w:hAnsiTheme="minorEastAsia" w:eastAsiaTheme="minorEastAsia"/>
          <w:b/>
          <w:sz w:val="24"/>
        </w:rPr>
        <w:t>（元）：</w:t>
      </w:r>
      <w:r>
        <w:rPr>
          <w:rFonts w:hint="eastAsia" w:cs="宋体" w:asciiTheme="minorEastAsia" w:hAnsiTheme="minorEastAsia" w:eastAsiaTheme="minorEastAsia"/>
          <w:bCs/>
          <w:sz w:val="24"/>
          <w:lang w:val="en-US" w:eastAsia="zh-CN"/>
        </w:rPr>
        <w:t>1900000</w:t>
      </w:r>
    </w:p>
    <w:p w14:paraId="7B885798">
      <w:pPr>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
          <w:sz w:val="24"/>
        </w:rPr>
        <w:t>采购需求：</w:t>
      </w:r>
      <w:r>
        <w:rPr>
          <w:rFonts w:hint="eastAsia" w:cs="宋体" w:asciiTheme="minorEastAsia" w:hAnsiTheme="minorEastAsia" w:eastAsiaTheme="minorEastAsia"/>
          <w:bCs/>
          <w:sz w:val="24"/>
        </w:rPr>
        <w:t>详见招标文件第三部分采购需求。</w:t>
      </w:r>
    </w:p>
    <w:p w14:paraId="7ACC57AE">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合同履约期限</w:t>
      </w:r>
      <w:r>
        <w:rPr>
          <w:rFonts w:hint="eastAsia" w:cs="宋体" w:asciiTheme="minorEastAsia" w:hAnsiTheme="minorEastAsia" w:eastAsiaTheme="minorEastAsia"/>
          <w:bCs/>
          <w:sz w:val="24"/>
        </w:rPr>
        <w:t>：详见招标文件第三部分采购需求。</w:t>
      </w:r>
    </w:p>
    <w:p w14:paraId="54F9220E">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本项目接受联合体投标：</w:t>
      </w:r>
      <w:sdt>
        <w:sdtPr>
          <w:rPr>
            <w:rFonts w:hint="eastAsia" w:cs="宋体" w:asciiTheme="minorEastAsia" w:hAnsiTheme="minorEastAsia" w:eastAsiaTheme="minorEastAsia"/>
            <w:kern w:val="0"/>
            <w:sz w:val="24"/>
          </w:rPr>
          <w:id w:val="2035453831"/>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786974422"/>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snapToGrid w:val="0"/>
                  <w:kern w:val="0"/>
                  <w:sz w:val="24"/>
                  <w:szCs w:val="20"/>
                </w:rPr>
                <w:t>☐</w:t>
              </w:r>
            </w:sdtContent>
          </w:sdt>
        </w:sdtContent>
      </w:sdt>
      <w:r>
        <w:rPr>
          <w:rFonts w:hint="eastAsia" w:cs="宋体" w:asciiTheme="minorEastAsia" w:hAnsiTheme="minorEastAsia" w:eastAsiaTheme="minorEastAsia"/>
          <w:b/>
          <w:sz w:val="24"/>
        </w:rPr>
        <w:t>是，</w:t>
      </w:r>
      <w:sdt>
        <w:sdtPr>
          <w:rPr>
            <w:rFonts w:hint="eastAsia" w:cs="宋体" w:asciiTheme="minorEastAsia" w:hAnsiTheme="minorEastAsia" w:eastAsiaTheme="minorEastAsia"/>
            <w:kern w:val="0"/>
            <w:sz w:val="24"/>
          </w:rPr>
          <w:id w:val="-1765526721"/>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8868422"/>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523964096"/>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00FE"/>
                  </w:r>
                </w:sdtContent>
              </w:sdt>
            </w:sdtContent>
          </w:sdt>
        </w:sdtContent>
      </w:sdt>
      <w:r>
        <w:rPr>
          <w:rFonts w:hint="eastAsia" w:cs="宋体" w:asciiTheme="minorEastAsia" w:hAnsiTheme="minorEastAsia" w:eastAsiaTheme="minorEastAsia"/>
          <w:b/>
          <w:sz w:val="24"/>
        </w:rPr>
        <w:t>否</w:t>
      </w:r>
      <w:r>
        <w:rPr>
          <w:rFonts w:hint="eastAsia" w:cs="宋体" w:asciiTheme="minorEastAsia" w:hAnsiTheme="minorEastAsia" w:eastAsiaTheme="minorEastAsia"/>
          <w:kern w:val="0"/>
          <w:sz w:val="24"/>
        </w:rPr>
        <w:t>。</w:t>
      </w:r>
    </w:p>
    <w:p w14:paraId="07924BEA">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二、申请人的资格要求：</w:t>
      </w:r>
    </w:p>
    <w:p w14:paraId="74745044">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65F54F3">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2.落实政府采购政策需满足的资格要求：</w:t>
      </w:r>
    </w:p>
    <w:p w14:paraId="4C9F99E5">
      <w:pPr>
        <w:spacing w:line="360" w:lineRule="auto"/>
        <w:ind w:firstLine="960" w:firstLineChars="4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82928714"/>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00FE"/>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14:paraId="235E64EE">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82928715"/>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sz w:val="24"/>
        </w:rPr>
        <w:t>服务全部由符合政策要求的中小企业承接，提供中小企业声明函；</w:t>
      </w:r>
    </w:p>
    <w:p w14:paraId="42C5D4B5">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4102535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9968547"/>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sdtContent>
      </w:sdt>
      <w:r>
        <w:rPr>
          <w:rFonts w:hint="eastAsia" w:cs="宋体" w:asciiTheme="minorEastAsia" w:hAnsiTheme="minorEastAsia" w:eastAsiaTheme="minorEastAsia"/>
          <w:sz w:val="24"/>
        </w:rPr>
        <w:t>服务全部由符合政策要求的小微企业承接，提供中小企业声明函；</w:t>
      </w:r>
    </w:p>
    <w:p w14:paraId="41035AFB">
      <w:pPr>
        <w:spacing w:line="360" w:lineRule="auto"/>
        <w:ind w:firstLine="960" w:firstLineChars="4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85607795"/>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963410824"/>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sdtContent>
      </w:sdt>
      <w:r>
        <w:rPr>
          <w:rFonts w:hint="eastAsia" w:cs="宋体" w:asciiTheme="minorEastAsia" w:hAnsiTheme="minorEastAsia" w:eastAsiaTheme="minorEastAsia"/>
          <w:sz w:val="24"/>
        </w:rPr>
        <w:t>要求以联合体形式参加，提供联合协议和中小企业声明函，联合协议中中小企业合同金额应当达到%，小微企业合同金额应当达到%;</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34B41612">
      <w:pPr>
        <w:spacing w:line="360" w:lineRule="auto"/>
        <w:ind w:firstLine="480" w:firstLineChars="200"/>
        <w:rPr>
          <w:rFonts w:asciiTheme="minorEastAsia" w:hAnsiTheme="minorEastAsia" w:eastAsiaTheme="minorEastAsia"/>
          <w:sz w:val="24"/>
        </w:rPr>
      </w:pPr>
      <w:sdt>
        <w:sdtPr>
          <w:rPr>
            <w:rFonts w:hint="eastAsia" w:cs="宋体" w:asciiTheme="minorEastAsia" w:hAnsiTheme="minorEastAsia" w:eastAsiaTheme="minorEastAsia"/>
            <w:kern w:val="0"/>
            <w:sz w:val="24"/>
          </w:rPr>
          <w:id w:val="34630645"/>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要求合同分包，提供分包意向协议和中小企业声明函，分包意向协议中中小企业合同金额应当达到达到% ，小微企业合同金额应当达到% ;</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如果供应商本身提供所有标的均由中小企业制造、承建或承接，视同符合了资格条件，无需再向中小企业分包，无需提供分包意向协议</w:t>
      </w:r>
      <w:r>
        <w:rPr>
          <w:rFonts w:hint="eastAsia" w:cs="宋体" w:asciiTheme="minorEastAsia" w:hAnsiTheme="minorEastAsia" w:eastAsiaTheme="minorEastAsia"/>
          <w:sz w:val="24"/>
        </w:rPr>
        <w:t>；</w:t>
      </w:r>
    </w:p>
    <w:p w14:paraId="2A07F4D7">
      <w:pPr>
        <w:spacing w:line="360" w:lineRule="auto"/>
        <w:ind w:firstLine="480"/>
        <w:rPr>
          <w:rFonts w:cs="宋体" w:asciiTheme="minorEastAsia" w:hAnsiTheme="minorEastAsia" w:eastAsiaTheme="minorEastAsia"/>
          <w:spacing w:val="8"/>
          <w:kern w:val="0"/>
          <w:sz w:val="24"/>
        </w:rPr>
      </w:pPr>
      <w:r>
        <w:rPr>
          <w:rFonts w:hint="eastAsia" w:cs="宋体" w:asciiTheme="minorEastAsia" w:hAnsiTheme="minorEastAsia" w:eastAsiaTheme="minorEastAsia"/>
          <w:sz w:val="24"/>
        </w:rPr>
        <w:t>3.本项目的特定资格要</w:t>
      </w:r>
      <w:r>
        <w:rPr>
          <w:rFonts w:hint="eastAsia" w:cs="宋体" w:asciiTheme="minorEastAsia" w:hAnsiTheme="minorEastAsia" w:eastAsiaTheme="minorEastAsia"/>
          <w:spacing w:val="8"/>
          <w:kern w:val="0"/>
          <w:sz w:val="24"/>
        </w:rPr>
        <w:t>求：无</w:t>
      </w:r>
    </w:p>
    <w:p w14:paraId="5F6F3C4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4AADBA6">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三、获取招标文件 </w:t>
      </w:r>
    </w:p>
    <w:p w14:paraId="627B9C55">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cs="宋体" w:asciiTheme="minorEastAsia" w:hAnsiTheme="minorEastAsia" w:eastAsiaTheme="minorEastAsia"/>
          <w:sz w:val="24"/>
          <w:highlight w:val="yellow"/>
        </w:rPr>
        <w:t>至</w:t>
      </w:r>
      <w:r>
        <w:rPr>
          <w:rFonts w:hint="eastAsia" w:cs="宋体" w:asciiTheme="minorEastAsia" w:hAnsiTheme="minorEastAsia" w:eastAsiaTheme="minorEastAsia"/>
          <w:sz w:val="24"/>
          <w:highlight w:val="yellow"/>
          <w:u w:val="single"/>
          <w:lang w:eastAsia="zh-CN"/>
        </w:rPr>
        <w:t>2024年</w:t>
      </w:r>
      <w:r>
        <w:rPr>
          <w:rFonts w:hint="eastAsia" w:cs="宋体" w:asciiTheme="minorEastAsia" w:hAnsiTheme="minorEastAsia" w:eastAsiaTheme="minorEastAsia"/>
          <w:sz w:val="24"/>
          <w:highlight w:val="yellow"/>
          <w:u w:val="single"/>
          <w:lang w:val="en-US" w:eastAsia="zh-CN"/>
        </w:rPr>
        <w:t>07月18</w:t>
      </w:r>
      <w:r>
        <w:rPr>
          <w:rFonts w:hint="eastAsia" w:cs="宋体" w:asciiTheme="minorEastAsia" w:hAnsiTheme="minorEastAsia" w:eastAsiaTheme="minorEastAsia"/>
          <w:sz w:val="24"/>
          <w:highlight w:val="yellow"/>
          <w:u w:val="single"/>
          <w:lang w:eastAsia="zh-CN"/>
        </w:rPr>
        <w:t>日</w:t>
      </w:r>
      <w:r>
        <w:rPr>
          <w:rFonts w:hint="eastAsia" w:cs="宋体" w:asciiTheme="minorEastAsia" w:hAnsiTheme="minorEastAsia" w:eastAsiaTheme="minorEastAsia"/>
          <w:sz w:val="24"/>
        </w:rPr>
        <w:t>，每天上午00:00至12:00 ，下午12:00至23:59（北京时间，线上获取法定节假日均可，线下获取文件法定节假日除外）</w:t>
      </w:r>
    </w:p>
    <w:p w14:paraId="6703F210">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地点（网址）：</w:t>
      </w:r>
      <w:r>
        <w:rPr>
          <w:rFonts w:hint="eastAsia" w:cs="宋体" w:asciiTheme="minorEastAsia" w:hAnsiTheme="minorEastAsia" w:eastAsiaTheme="minorEastAsia"/>
          <w:sz w:val="24"/>
        </w:rPr>
        <w:t xml:space="preserve">政采云平台（https://www.zcygov.cn/） </w:t>
      </w:r>
    </w:p>
    <w:p w14:paraId="32E1DF61">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 xml:space="preserve">供应商登录政采云平台https://www.zcygov.cn/在线申请获取采购文件（进入“项目采购”应用，在获取采购文件菜单中选择项目，申请获取采购文件）。 </w:t>
      </w:r>
    </w:p>
    <w:p w14:paraId="0B562759">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售价（元）：</w:t>
      </w:r>
      <w:r>
        <w:rPr>
          <w:rFonts w:hint="eastAsia" w:cs="宋体" w:asciiTheme="minorEastAsia" w:hAnsiTheme="minorEastAsia" w:eastAsiaTheme="minorEastAsia"/>
          <w:sz w:val="24"/>
        </w:rPr>
        <w:t xml:space="preserve">0 </w:t>
      </w:r>
      <w:r>
        <w:rPr>
          <w:rFonts w:hint="eastAsia" w:cs="宋体" w:asciiTheme="minorEastAsia" w:hAnsiTheme="minorEastAsia" w:eastAsiaTheme="minorEastAsia"/>
          <w:sz w:val="24"/>
        </w:rPr>
        <w:tab/>
      </w:r>
    </w:p>
    <w:p w14:paraId="272332D0">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四、提交投标文件截止时间、开标时间和地点</w:t>
      </w:r>
    </w:p>
    <w:p w14:paraId="727D79E9">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提交投标文件截止时间：</w:t>
      </w:r>
      <w:r>
        <w:rPr>
          <w:rFonts w:hint="eastAsia" w:cs="宋体" w:asciiTheme="minorEastAsia" w:hAnsiTheme="minorEastAsia" w:eastAsiaTheme="minorEastAsia"/>
          <w:sz w:val="24"/>
          <w:highlight w:val="yellow"/>
          <w:u w:val="single"/>
          <w:lang w:eastAsia="zh-CN"/>
        </w:rPr>
        <w:t>2024年07月18日10点30分</w:t>
      </w:r>
      <w:r>
        <w:rPr>
          <w:rFonts w:hint="eastAsia" w:cs="宋体" w:asciiTheme="minorEastAsia" w:hAnsiTheme="minorEastAsia" w:eastAsiaTheme="minorEastAsia"/>
          <w:sz w:val="24"/>
        </w:rPr>
        <w:t>（北京时间）</w:t>
      </w:r>
    </w:p>
    <w:p w14:paraId="5767353B">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投标地点（网址）：</w:t>
      </w:r>
      <w:r>
        <w:rPr>
          <w:rFonts w:hint="eastAsia" w:cs="宋体" w:asciiTheme="minorEastAsia" w:hAnsiTheme="minorEastAsia" w:eastAsiaTheme="minorEastAsia"/>
          <w:sz w:val="24"/>
        </w:rPr>
        <w:t xml:space="preserve">政采云平台（https://www.zcygov.cn/） </w:t>
      </w:r>
    </w:p>
    <w:p w14:paraId="11287DDC">
      <w:pPr>
        <w:spacing w:line="360" w:lineRule="auto"/>
        <w:ind w:firstLine="482" w:firstLineChars="200"/>
        <w:rPr>
          <w:rFonts w:hint="eastAsia" w:cs="宋体" w:asciiTheme="minorEastAsia" w:hAnsiTheme="minorEastAsia" w:eastAsiaTheme="minorEastAsia"/>
          <w:bCs/>
          <w:sz w:val="24"/>
          <w:u w:val="single"/>
          <w:lang w:eastAsia="zh-CN"/>
        </w:rPr>
      </w:pPr>
      <w:r>
        <w:rPr>
          <w:rFonts w:hint="eastAsia" w:cs="宋体" w:asciiTheme="minorEastAsia" w:hAnsiTheme="minorEastAsia" w:eastAsiaTheme="minorEastAsia"/>
          <w:b/>
          <w:sz w:val="24"/>
        </w:rPr>
        <w:t>开标时间：</w:t>
      </w:r>
      <w:r>
        <w:rPr>
          <w:rFonts w:hint="eastAsia" w:cs="宋体" w:asciiTheme="minorEastAsia" w:hAnsiTheme="minorEastAsia" w:eastAsiaTheme="minorEastAsia"/>
          <w:sz w:val="24"/>
          <w:highlight w:val="yellow"/>
          <w:u w:val="single"/>
          <w:lang w:eastAsia="zh-CN"/>
        </w:rPr>
        <w:t>2024年07月18日10点30分</w:t>
      </w:r>
    </w:p>
    <w:p w14:paraId="7F8D5FEB">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开标地点（网址）：</w:t>
      </w:r>
      <w:r>
        <w:rPr>
          <w:rFonts w:hint="eastAsia" w:cs="宋体" w:asciiTheme="minorEastAsia" w:hAnsiTheme="minorEastAsia" w:eastAsiaTheme="minorEastAsia"/>
          <w:sz w:val="24"/>
        </w:rPr>
        <w:t>政采云平台（https://www.zcygov.cn/）</w:t>
      </w:r>
    </w:p>
    <w:p w14:paraId="7CBDFCEE">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 xml:space="preserve">五、公告期限 </w:t>
      </w:r>
    </w:p>
    <w:p w14:paraId="40B5D17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自本公告发布之日起5个工作日。</w:t>
      </w:r>
    </w:p>
    <w:p w14:paraId="6C163800">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六、其他补充事宜</w:t>
      </w:r>
    </w:p>
    <w:p w14:paraId="3ED38A2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8F7FB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1A917498">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七、对本次采购提出询问、质疑、投诉，请按以下方式联系</w:t>
      </w:r>
    </w:p>
    <w:p w14:paraId="007CE3EC">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1.采购人信息</w:t>
      </w:r>
    </w:p>
    <w:p w14:paraId="6331699E">
      <w:pPr>
        <w:spacing w:line="360" w:lineRule="auto"/>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FF0000"/>
          <w:sz w:val="24"/>
        </w:rPr>
        <w:t xml:space="preserve"> </w:t>
      </w:r>
      <w:r>
        <w:rPr>
          <w:rFonts w:hint="eastAsia" w:cs="宋体" w:asciiTheme="minorEastAsia" w:hAnsiTheme="minorEastAsia" w:eastAsiaTheme="minorEastAsia"/>
          <w:color w:val="auto"/>
          <w:sz w:val="24"/>
        </w:rPr>
        <w:t xml:space="preserve">   名    称：</w:t>
      </w:r>
      <w:r>
        <w:rPr>
          <w:rFonts w:hint="eastAsia" w:cs="宋体" w:asciiTheme="minorEastAsia" w:hAnsiTheme="minorEastAsia" w:eastAsiaTheme="minorEastAsia"/>
          <w:color w:val="auto"/>
          <w:sz w:val="24"/>
          <w:lang w:eastAsia="zh-CN"/>
        </w:rPr>
        <w:t>桐庐县莪山畲族乡人民政府</w:t>
      </w:r>
    </w:p>
    <w:p w14:paraId="6880BC70">
      <w:pPr>
        <w:spacing w:line="360" w:lineRule="auto"/>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地    址：浙江省杭州市桐庐县</w:t>
      </w:r>
    </w:p>
    <w:p w14:paraId="5AF95AFC">
      <w:pPr>
        <w:spacing w:line="360" w:lineRule="auto"/>
        <w:ind w:firstLine="480" w:firstLineChars="200"/>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项目联系人（询问）：</w:t>
      </w:r>
      <w:r>
        <w:rPr>
          <w:rFonts w:hint="eastAsia" w:cs="宋体" w:asciiTheme="minorEastAsia" w:hAnsiTheme="minorEastAsia" w:eastAsiaTheme="minorEastAsia"/>
          <w:color w:val="auto"/>
          <w:sz w:val="24"/>
          <w:lang w:val="en-US" w:eastAsia="zh-CN"/>
        </w:rPr>
        <w:tab/>
      </w:r>
      <w:r>
        <w:rPr>
          <w:rFonts w:hint="eastAsia" w:cs="宋体" w:asciiTheme="minorEastAsia" w:hAnsiTheme="minorEastAsia" w:eastAsiaTheme="minorEastAsia"/>
          <w:color w:val="auto"/>
          <w:sz w:val="24"/>
          <w:lang w:val="en-US" w:eastAsia="zh-CN"/>
        </w:rPr>
        <w:t>陈晓良</w:t>
      </w:r>
    </w:p>
    <w:p w14:paraId="0EB14C87">
      <w:pPr>
        <w:spacing w:line="360" w:lineRule="auto"/>
        <w:ind w:firstLine="480" w:firstLineChars="200"/>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项目联系方式（询问）：</w:t>
      </w:r>
      <w:r>
        <w:rPr>
          <w:rFonts w:hint="eastAsia" w:cs="宋体" w:asciiTheme="minorEastAsia" w:hAnsiTheme="minorEastAsia" w:eastAsiaTheme="minorEastAsia"/>
          <w:color w:val="auto"/>
          <w:sz w:val="24"/>
          <w:lang w:val="en-US" w:eastAsia="zh-CN"/>
        </w:rPr>
        <w:t>18867139939</w:t>
      </w:r>
    </w:p>
    <w:p w14:paraId="1129B852">
      <w:pPr>
        <w:spacing w:line="360" w:lineRule="auto"/>
        <w:ind w:firstLine="480" w:firstLineChars="200"/>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质疑联系人：戴晓慧</w:t>
      </w:r>
    </w:p>
    <w:p w14:paraId="13E98ECD">
      <w:pPr>
        <w:spacing w:line="360" w:lineRule="auto"/>
        <w:ind w:firstLine="480" w:firstLineChars="200"/>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质疑联系方式：15868885332</w:t>
      </w:r>
    </w:p>
    <w:p w14:paraId="300AC3D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2.采购代理机构信息 </w:t>
      </w:r>
    </w:p>
    <w:p w14:paraId="46EBB861">
      <w:pPr>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名    称：耀华建设管理有限公司</w:t>
      </w:r>
    </w:p>
    <w:p w14:paraId="07C4AE48">
      <w:pPr>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 xml:space="preserve">地    址：桐庐县迎春南路88号桦桐大厦20楼 </w:t>
      </w:r>
    </w:p>
    <w:p w14:paraId="55BA488F">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项目联系人（询问）：许洪</w:t>
      </w:r>
    </w:p>
    <w:p w14:paraId="7AA1D574">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项目联系方式（询问）：0571-69902867</w:t>
      </w:r>
    </w:p>
    <w:p w14:paraId="0C1017FC">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质疑联系人：许洪波</w:t>
      </w:r>
    </w:p>
    <w:p w14:paraId="4A95DE9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质疑联系方式：0571-69902867</w:t>
      </w:r>
    </w:p>
    <w:p w14:paraId="3D257F8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3.同级政府采购监督管理部门 </w:t>
      </w:r>
    </w:p>
    <w:p w14:paraId="0012C97C">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名    称：</w:t>
      </w:r>
      <w:r>
        <w:rPr>
          <w:rFonts w:hint="eastAsia" w:ascii="宋体" w:hAnsi="宋体" w:eastAsia="宋体" w:cs="宋体"/>
          <w:sz w:val="24"/>
        </w:rPr>
        <w:t>桐庐县财政局、浙江省政府采购行政裁决服务中心（杭州）</w:t>
      </w:r>
    </w:p>
    <w:p w14:paraId="6DDF9843">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地    址：</w:t>
      </w:r>
      <w:r>
        <w:rPr>
          <w:rFonts w:hint="eastAsia" w:ascii="宋体" w:hAnsi="宋体" w:eastAsia="宋体" w:cs="宋体"/>
          <w:sz w:val="24"/>
        </w:rPr>
        <w:t>杭州市上城区四季青街道新业路市民之家G03办公室（快递仅限ems或顺丰）</w:t>
      </w:r>
    </w:p>
    <w:p w14:paraId="10CFCBE5">
      <w:pPr>
        <w:spacing w:line="360" w:lineRule="auto"/>
        <w:ind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联系人 ：</w:t>
      </w:r>
      <w:r>
        <w:rPr>
          <w:rFonts w:hint="eastAsia" w:ascii="宋体" w:hAnsi="宋体" w:eastAsia="宋体" w:cs="宋体"/>
          <w:sz w:val="24"/>
          <w:lang w:val="en-US" w:eastAsia="zh-CN"/>
        </w:rPr>
        <w:t>朱女士、王女士</w:t>
      </w:r>
    </w:p>
    <w:p w14:paraId="60CC2686">
      <w:pPr>
        <w:spacing w:line="360" w:lineRule="auto"/>
        <w:ind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监督投诉电话：</w:t>
      </w:r>
      <w:r>
        <w:rPr>
          <w:rFonts w:hint="eastAsia" w:ascii="宋体" w:hAnsi="宋体" w:eastAsia="宋体" w:cs="宋体"/>
          <w:sz w:val="24"/>
        </w:rPr>
        <w:t>0571-85252453</w:t>
      </w:r>
    </w:p>
    <w:p w14:paraId="75DD4FA8">
      <w:pPr>
        <w:spacing w:line="360" w:lineRule="auto"/>
        <w:ind w:firstLine="480" w:firstLineChars="200"/>
        <w:rPr>
          <w:rFonts w:cs="宋体" w:asciiTheme="minorEastAsia" w:hAnsiTheme="minorEastAsia" w:eastAsiaTheme="minorEastAsia"/>
          <w:sz w:val="24"/>
        </w:rPr>
      </w:pPr>
    </w:p>
    <w:p w14:paraId="581F3CF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若对项目采购电子交易系统操作有疑问，可登录政采云（https://www.zcygov.cn/），点击右侧咨询小采，获取采小蜜智能服务管家帮助，或拨打政采云服务热线400-881-7190获取热线服务帮助。</w:t>
      </w:r>
    </w:p>
    <w:p w14:paraId="68FC6CE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CA问题联系电话（人工）：汇信CA 400-888-4636；天谷CA 400-087-8198。</w:t>
      </w:r>
    </w:p>
    <w:p w14:paraId="728B887C">
      <w:pPr>
        <w:pStyle w:val="25"/>
        <w:spacing w:line="360" w:lineRule="auto"/>
        <w:ind w:firstLine="480" w:firstLineChars="200"/>
        <w:rPr>
          <w:rFonts w:cs="宋体" w:asciiTheme="minorEastAsia" w:hAnsiTheme="minorEastAsia" w:eastAsiaTheme="minorEastAsia"/>
          <w:sz w:val="24"/>
          <w:szCs w:val="24"/>
        </w:rPr>
      </w:pPr>
    </w:p>
    <w:p w14:paraId="36AFD333">
      <w:pPr>
        <w:adjustRightInd/>
        <w:spacing w:line="360" w:lineRule="auto"/>
        <w:jc w:val="center"/>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br w:type="page"/>
      </w:r>
      <w:r>
        <w:rPr>
          <w:rFonts w:hint="eastAsia" w:cs="宋体" w:asciiTheme="minorEastAsia" w:hAnsiTheme="minorEastAsia" w:eastAsiaTheme="minorEastAsia"/>
          <w:b/>
          <w:sz w:val="36"/>
          <w:szCs w:val="20"/>
        </w:rPr>
        <w:t>第二部分</w:t>
      </w:r>
      <w:bookmarkEnd w:id="1"/>
      <w:r>
        <w:rPr>
          <w:rFonts w:hint="eastAsia" w:cs="宋体" w:asciiTheme="minorEastAsia" w:hAnsiTheme="minorEastAsia" w:eastAsiaTheme="minorEastAsia"/>
          <w:b/>
          <w:sz w:val="36"/>
          <w:szCs w:val="20"/>
        </w:rPr>
        <w:t xml:space="preserve"> 投标人须知</w:t>
      </w:r>
      <w:bookmarkEnd w:id="2"/>
    </w:p>
    <w:p w14:paraId="37E748F7">
      <w:pPr>
        <w:snapToGrid w:val="0"/>
        <w:spacing w:line="360" w:lineRule="auto"/>
        <w:jc w:val="center"/>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前附表</w:t>
      </w:r>
    </w:p>
    <w:tbl>
      <w:tblPr>
        <w:tblStyle w:val="6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06"/>
      </w:tblGrid>
      <w:tr w14:paraId="25BCC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14:paraId="4FBD186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5CD444B">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506" w:type="dxa"/>
            <w:tcBorders>
              <w:top w:val="single" w:color="000000" w:sz="8" w:space="0"/>
              <w:left w:val="single" w:color="000000" w:sz="2" w:space="0"/>
              <w:bottom w:val="single" w:color="000000" w:sz="8" w:space="0"/>
              <w:right w:val="single" w:color="000000" w:sz="8" w:space="0"/>
            </w:tcBorders>
            <w:vAlign w:val="center"/>
          </w:tcPr>
          <w:p w14:paraId="68D01A4D">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7F79B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5F9305AA">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748DE6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报价要求</w:t>
            </w:r>
          </w:p>
        </w:tc>
        <w:tc>
          <w:tcPr>
            <w:tcW w:w="6506" w:type="dxa"/>
            <w:tcBorders>
              <w:top w:val="single" w:color="000000" w:sz="8" w:space="0"/>
              <w:left w:val="single" w:color="000000" w:sz="2" w:space="0"/>
              <w:bottom w:val="single" w:color="000000" w:sz="8" w:space="0"/>
              <w:right w:val="single" w:color="000000" w:sz="8" w:space="0"/>
            </w:tcBorders>
            <w:vAlign w:val="center"/>
          </w:tcPr>
          <w:p w14:paraId="047E3B78">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有关本项目实施所需的所有费用（含税费）均计入报价。</w:t>
            </w:r>
            <w:r>
              <w:rPr>
                <w:rFonts w:hint="eastAsia" w:cs="宋体" w:asciiTheme="minorEastAsia" w:hAnsiTheme="minorEastAsia" w:eastAsiaTheme="minorEastAsia"/>
                <w:sz w:val="24"/>
              </w:rPr>
              <w:t>开标一览表（报价表）是报价的唯一载体</w:t>
            </w:r>
            <w:r>
              <w:rPr>
                <w:rFonts w:hint="eastAsia" w:cs="宋体" w:asciiTheme="minorEastAsia" w:hAnsiTheme="minorEastAsia" w:eastAsiaTheme="minorEastAsia"/>
                <w:kern w:val="0"/>
                <w:sz w:val="24"/>
                <w:lang w:val="zh-CN"/>
              </w:rPr>
              <w:t>。投标文件中价格全部采用人民币报价。招标文件未列明，而投标人认为必需的费用也需列入报价。</w:t>
            </w:r>
          </w:p>
          <w:p w14:paraId="4739C95B">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投标报价出现下列情形的，投标无效：</w:t>
            </w:r>
          </w:p>
          <w:p w14:paraId="2D672A4F">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投标文件出现不是唯一的、有选择性投标报价的；</w:t>
            </w:r>
          </w:p>
          <w:p w14:paraId="28B911E6">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投标报价超过招标文件中规定的预算金额或者最高限价的;</w:t>
            </w:r>
          </w:p>
          <w:p w14:paraId="664F5FE8">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14:paraId="31375227">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投标人对根据修正原则修正后的报价不确认的</w:t>
            </w:r>
            <w:r>
              <w:rPr>
                <w:rFonts w:hint="eastAsia" w:cs="宋体" w:asciiTheme="minorEastAsia" w:hAnsiTheme="minorEastAsia" w:eastAsiaTheme="minorEastAsia"/>
                <w:b/>
                <w:sz w:val="24"/>
              </w:rPr>
              <w:t>。</w:t>
            </w:r>
          </w:p>
        </w:tc>
      </w:tr>
      <w:tr w14:paraId="341AB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229BD97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F9781C3">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506" w:type="dxa"/>
            <w:tcBorders>
              <w:top w:val="single" w:color="000000" w:sz="8" w:space="0"/>
              <w:left w:val="single" w:color="000000" w:sz="2" w:space="0"/>
              <w:bottom w:val="single" w:color="000000" w:sz="8" w:space="0"/>
              <w:right w:val="single" w:color="000000" w:sz="8" w:space="0"/>
            </w:tcBorders>
            <w:vAlign w:val="center"/>
          </w:tcPr>
          <w:p w14:paraId="3A1A9405">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同意将非主体、非关键性的工作分包。</w:t>
            </w:r>
          </w:p>
          <w:p w14:paraId="0F9BFF99">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276331357"/>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8868423"/>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tc>
      </w:tr>
      <w:tr w14:paraId="7546B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vAlign w:val="center"/>
          </w:tcPr>
          <w:p w14:paraId="235DD87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vMerge w:val="restart"/>
            <w:tcBorders>
              <w:top w:val="single" w:color="000000" w:sz="8" w:space="0"/>
              <w:left w:val="single" w:color="auto" w:sz="4" w:space="0"/>
              <w:right w:val="single" w:color="000000" w:sz="8" w:space="0"/>
            </w:tcBorders>
            <w:vAlign w:val="center"/>
          </w:tcPr>
          <w:p w14:paraId="1693FEB0">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投标人应当提供的资格、资信证明文件</w:t>
            </w:r>
          </w:p>
        </w:tc>
        <w:tc>
          <w:tcPr>
            <w:tcW w:w="6506" w:type="dxa"/>
            <w:tcBorders>
              <w:top w:val="single" w:color="000000" w:sz="8" w:space="0"/>
              <w:left w:val="single" w:color="000000" w:sz="2" w:space="0"/>
              <w:bottom w:val="single" w:color="auto" w:sz="4" w:space="0"/>
              <w:right w:val="single" w:color="000000" w:sz="8" w:space="0"/>
            </w:tcBorders>
            <w:vAlign w:val="center"/>
          </w:tcPr>
          <w:p w14:paraId="74600471">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14:paraId="33399AB0">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投标人未提供有效的资格证明文件的，视为投标人不具备招标文件中规定的资格要求，投标无效。</w:t>
            </w:r>
          </w:p>
        </w:tc>
      </w:tr>
      <w:tr w14:paraId="0D46F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vAlign w:val="center"/>
          </w:tcPr>
          <w:p w14:paraId="703839CD">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445C5656">
            <w:pPr>
              <w:snapToGrid w:val="0"/>
              <w:spacing w:line="360" w:lineRule="auto"/>
              <w:jc w:val="center"/>
              <w:rPr>
                <w:rFonts w:cs="宋体" w:asciiTheme="minorEastAsia" w:hAnsiTheme="minorEastAsia" w:eastAsiaTheme="minorEastAsia"/>
                <w:b/>
                <w:sz w:val="24"/>
              </w:rPr>
            </w:pPr>
          </w:p>
        </w:tc>
        <w:tc>
          <w:tcPr>
            <w:tcW w:w="6506" w:type="dxa"/>
            <w:tcBorders>
              <w:top w:val="single" w:color="auto" w:sz="4" w:space="0"/>
              <w:left w:val="single" w:color="000000" w:sz="2" w:space="0"/>
              <w:bottom w:val="single" w:color="000000" w:sz="8" w:space="0"/>
              <w:right w:val="single" w:color="000000" w:sz="8" w:space="0"/>
            </w:tcBorders>
            <w:vAlign w:val="center"/>
          </w:tcPr>
          <w:p w14:paraId="23D12EA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（2）资信证明文件：根据招标文件第四部分评标标准提供。</w:t>
            </w:r>
          </w:p>
        </w:tc>
      </w:tr>
      <w:tr w14:paraId="7BD8F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558F696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048F3DB">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506" w:type="dxa"/>
            <w:tcBorders>
              <w:top w:val="single" w:color="000000" w:sz="8" w:space="0"/>
              <w:left w:val="single" w:color="000000" w:sz="2" w:space="0"/>
              <w:bottom w:val="single" w:color="000000" w:sz="8" w:space="0"/>
              <w:right w:val="single" w:color="000000" w:sz="8" w:space="0"/>
            </w:tcBorders>
            <w:vAlign w:val="center"/>
          </w:tcPr>
          <w:p w14:paraId="38AE6DFB">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212966419"/>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tc>
      </w:tr>
      <w:tr w14:paraId="110AC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495CDD2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4BE6F18">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506" w:type="dxa"/>
            <w:tcBorders>
              <w:top w:val="single" w:color="000000" w:sz="8" w:space="0"/>
              <w:left w:val="single" w:color="000000" w:sz="2" w:space="0"/>
              <w:bottom w:val="single" w:color="000000" w:sz="8" w:space="0"/>
              <w:right w:val="single" w:color="000000" w:sz="8" w:space="0"/>
            </w:tcBorders>
            <w:vAlign w:val="center"/>
          </w:tcPr>
          <w:p w14:paraId="32E4BEC2">
            <w:pPr>
              <w:spacing w:line="360" w:lineRule="auto"/>
              <w:rPr>
                <w:rFonts w:cs="宋体" w:asciiTheme="minorEastAsia" w:hAnsiTheme="minorEastAsia" w:eastAsiaTheme="minorEastAsia"/>
                <w:b/>
                <w:sz w:val="24"/>
              </w:rPr>
            </w:pPr>
            <w:sdt>
              <w:sdtPr>
                <w:rPr>
                  <w:rFonts w:hint="eastAsia" w:cs="宋体" w:asciiTheme="minorEastAsia" w:hAnsiTheme="minorEastAsia" w:eastAsiaTheme="minorEastAsia"/>
                  <w:kern w:val="0"/>
                  <w:sz w:val="24"/>
                </w:rPr>
                <w:id w:val="-1639946486"/>
              </w:sdtPr>
              <w:sdtEndPr>
                <w:rPr>
                  <w:rFonts w:hint="eastAsia" w:cs="宋体" w:asciiTheme="minorEastAsia" w:hAnsiTheme="minorEastAsia" w:eastAsiaTheme="minorEastAsia"/>
                  <w:kern w:val="0"/>
                  <w:sz w:val="24"/>
                </w:rPr>
              </w:sdtEndPr>
              <w:sdtContent>
                <w:r>
                  <w:rPr>
                    <w:rFonts w:cs="宋体" w:asciiTheme="minorEastAsia" w:hAnsiTheme="minorEastAsia" w:eastAsiaTheme="minorEastAsia"/>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tc>
      </w:tr>
      <w:tr w14:paraId="16CB4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446860EA">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02CF6F7A">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506" w:type="dxa"/>
            <w:tcBorders>
              <w:top w:val="single" w:color="000000" w:sz="8" w:space="0"/>
              <w:left w:val="single" w:color="000000" w:sz="2" w:space="0"/>
              <w:bottom w:val="single" w:color="000000" w:sz="8" w:space="0"/>
              <w:right w:val="single" w:color="000000" w:sz="8" w:space="0"/>
            </w:tcBorders>
            <w:vAlign w:val="center"/>
          </w:tcPr>
          <w:p w14:paraId="39ACAD34">
            <w:pPr>
              <w:spacing w:line="360" w:lineRule="auto"/>
              <w:rPr>
                <w:rFonts w:cs="宋体" w:asciiTheme="minorEastAsia" w:hAnsiTheme="minorEastAsia" w:eastAsiaTheme="minorEastAsia"/>
                <w:b/>
                <w:kern w:val="0"/>
                <w:sz w:val="24"/>
                <w:lang w:val="zh-CN"/>
              </w:rPr>
            </w:pPr>
            <w:sdt>
              <w:sdtPr>
                <w:rPr>
                  <w:rFonts w:hint="eastAsia" w:cs="宋体" w:asciiTheme="minorEastAsia" w:hAnsiTheme="minorEastAsia" w:eastAsiaTheme="minorEastAsia"/>
                  <w:kern w:val="0"/>
                  <w:sz w:val="24"/>
                </w:rPr>
                <w:id w:val="-1859348549"/>
              </w:sdtPr>
              <w:sdtEndPr>
                <w:rPr>
                  <w:rFonts w:hint="eastAsia" w:cs="宋体" w:asciiTheme="minorEastAsia" w:hAnsiTheme="minorEastAsia" w:eastAsiaTheme="minorEastAsia"/>
                  <w:kern w:val="0"/>
                  <w:sz w:val="24"/>
                </w:rPr>
              </w:sdtEndPr>
              <w:sdtContent>
                <w:r>
                  <w:rPr>
                    <w:rFonts w:cs="宋体" w:asciiTheme="minorEastAsia" w:hAnsiTheme="minorEastAsia" w:eastAsiaTheme="minorEastAsia"/>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tc>
      </w:tr>
      <w:tr w14:paraId="6820B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2272960E">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2DE647E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506" w:type="dxa"/>
            <w:tcBorders>
              <w:top w:val="single" w:color="000000" w:sz="8" w:space="0"/>
              <w:left w:val="single" w:color="000000" w:sz="2" w:space="0"/>
              <w:bottom w:val="single" w:color="000000" w:sz="8" w:space="0"/>
              <w:right w:val="single" w:color="000000" w:sz="8" w:space="0"/>
            </w:tcBorders>
            <w:vAlign w:val="center"/>
          </w:tcPr>
          <w:p w14:paraId="6E6D2C04">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1828425707"/>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本项目不允许采购进口产品。</w:t>
            </w:r>
          </w:p>
        </w:tc>
      </w:tr>
      <w:tr w14:paraId="1A33E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029797F4">
            <w:pPr>
              <w:snapToGrid w:val="0"/>
              <w:spacing w:line="360" w:lineRule="auto"/>
              <w:jc w:val="center"/>
              <w:rPr>
                <w:rFonts w:cs="宋体" w:asciiTheme="minorEastAsia" w:hAnsiTheme="minorEastAsia" w:eastAsiaTheme="minorEastAsia"/>
                <w:sz w:val="24"/>
              </w:rPr>
            </w:pPr>
          </w:p>
          <w:p w14:paraId="5A76DD24">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4E166470">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项目属性与核心产品</w:t>
            </w:r>
          </w:p>
        </w:tc>
        <w:tc>
          <w:tcPr>
            <w:tcW w:w="6506" w:type="dxa"/>
            <w:tcBorders>
              <w:top w:val="single" w:color="000000" w:sz="8" w:space="0"/>
              <w:left w:val="single" w:color="000000" w:sz="2" w:space="0"/>
              <w:bottom w:val="single" w:color="000000" w:sz="8" w:space="0"/>
              <w:right w:val="single" w:color="000000" w:sz="8" w:space="0"/>
            </w:tcBorders>
            <w:vAlign w:val="center"/>
          </w:tcPr>
          <w:p w14:paraId="2C8443D2">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1872786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96233861"/>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货物类，单一产品或</w:t>
            </w:r>
            <w:r>
              <w:rPr>
                <w:rFonts w:hint="eastAsia" w:cs="宋体" w:asciiTheme="minorEastAsia" w:hAnsiTheme="minorEastAsia" w:eastAsiaTheme="minorEastAsia"/>
                <w:kern w:val="0"/>
                <w:sz w:val="24"/>
              </w:rPr>
              <w:t>核心产品为：</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sz w:val="24"/>
              </w:rPr>
              <w:t>。</w:t>
            </w:r>
          </w:p>
          <w:p w14:paraId="2B43F24D">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474885559"/>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996854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98505959"/>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sdtContent>
                </w:sdt>
              </w:sdtContent>
            </w:sdt>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服务类。</w:t>
            </w:r>
          </w:p>
        </w:tc>
      </w:tr>
      <w:tr w14:paraId="5511F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7F58542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F0ABF48">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采购标的对应的中小企业划分标准所属行业</w:t>
            </w:r>
          </w:p>
        </w:tc>
        <w:tc>
          <w:tcPr>
            <w:tcW w:w="6506" w:type="dxa"/>
            <w:tcBorders>
              <w:top w:val="single" w:color="000000" w:sz="8" w:space="0"/>
              <w:left w:val="single" w:color="000000" w:sz="2" w:space="0"/>
              <w:bottom w:val="single" w:color="000000" w:sz="8" w:space="0"/>
              <w:right w:val="single" w:color="000000" w:sz="8" w:space="0"/>
            </w:tcBorders>
            <w:vAlign w:val="center"/>
          </w:tcPr>
          <w:p w14:paraId="46FD6B03">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（1）标的：</w:t>
            </w:r>
            <w:r>
              <w:rPr>
                <w:rFonts w:hint="eastAsia" w:cs="宋体" w:asciiTheme="minorEastAsia" w:hAnsiTheme="minorEastAsia" w:eastAsiaTheme="minorEastAsia"/>
                <w:sz w:val="24"/>
                <w:u w:val="single"/>
                <w:lang w:eastAsia="zh-CN"/>
              </w:rPr>
              <w:t>莪山畲族乡2024-2026年污水处理站及集镇污水管网运维服务项目</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其他未列明行业</w:t>
            </w:r>
            <w:r>
              <w:rPr>
                <w:rFonts w:hint="eastAsia" w:cs="宋体" w:asciiTheme="minorEastAsia" w:hAnsiTheme="minorEastAsia" w:eastAsiaTheme="minorEastAsia"/>
                <w:kern w:val="0"/>
                <w:sz w:val="24"/>
              </w:rPr>
              <w:t>；</w:t>
            </w:r>
          </w:p>
          <w:p w14:paraId="62D7C571">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sz w:val="24"/>
              </w:rPr>
              <w:t>中小企业划型标准详见：工信部联企业〔2011〕300号</w:t>
            </w:r>
          </w:p>
        </w:tc>
      </w:tr>
      <w:tr w14:paraId="7BBA7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5D46527A">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276C7DD">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506" w:type="dxa"/>
            <w:tcBorders>
              <w:top w:val="single" w:color="000000" w:sz="8" w:space="0"/>
              <w:left w:val="single" w:color="000000" w:sz="2" w:space="0"/>
              <w:bottom w:val="single" w:color="000000" w:sz="8" w:space="0"/>
              <w:right w:val="single" w:color="000000" w:sz="8" w:space="0"/>
            </w:tcBorders>
            <w:vAlign w:val="center"/>
          </w:tcPr>
          <w:p w14:paraId="44F81595">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7D39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000000" w:sz="8" w:space="0"/>
              <w:right w:val="single" w:color="000000" w:sz="2" w:space="0"/>
            </w:tcBorders>
            <w:vAlign w:val="center"/>
          </w:tcPr>
          <w:p w14:paraId="47A00DD6">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vMerge w:val="restart"/>
            <w:tcBorders>
              <w:top w:val="single" w:color="000000" w:sz="8" w:space="0"/>
              <w:left w:val="single" w:color="000000" w:sz="2" w:space="0"/>
              <w:right w:val="single" w:color="000000" w:sz="8" w:space="0"/>
            </w:tcBorders>
            <w:vAlign w:val="center"/>
          </w:tcPr>
          <w:p w14:paraId="091C5E7A">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506" w:type="dxa"/>
            <w:tcBorders>
              <w:top w:val="single" w:color="000000" w:sz="8" w:space="0"/>
              <w:left w:val="single" w:color="000000" w:sz="2" w:space="0"/>
              <w:bottom w:val="single" w:color="000000" w:sz="8" w:space="0"/>
              <w:right w:val="single" w:color="000000" w:sz="8" w:space="0"/>
            </w:tcBorders>
            <w:vAlign w:val="center"/>
          </w:tcPr>
          <w:p w14:paraId="16E8EB62">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51514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000000" w:sz="8" w:space="0"/>
              <w:right w:val="single" w:color="000000" w:sz="2" w:space="0"/>
            </w:tcBorders>
            <w:vAlign w:val="center"/>
          </w:tcPr>
          <w:p w14:paraId="271B2C5F">
            <w:pPr>
              <w:spacing w:line="360" w:lineRule="auto"/>
              <w:ind w:firstLine="420" w:firstLineChars="200"/>
              <w:jc w:val="center"/>
              <w:rPr>
                <w:rFonts w:cs="宋体" w:asciiTheme="minorEastAsia" w:hAnsiTheme="minorEastAsia" w:eastAsiaTheme="minorEastAsia"/>
              </w:rPr>
            </w:pPr>
          </w:p>
        </w:tc>
        <w:tc>
          <w:tcPr>
            <w:tcW w:w="1843" w:type="dxa"/>
            <w:vMerge w:val="continue"/>
            <w:tcBorders>
              <w:left w:val="single" w:color="000000" w:sz="2" w:space="0"/>
              <w:right w:val="single" w:color="000000" w:sz="8" w:space="0"/>
            </w:tcBorders>
            <w:vAlign w:val="center"/>
          </w:tcPr>
          <w:p w14:paraId="638033CC">
            <w:pPr>
              <w:spacing w:line="360" w:lineRule="auto"/>
              <w:ind w:firstLine="420" w:firstLineChars="200"/>
              <w:jc w:val="center"/>
              <w:rPr>
                <w:rFonts w:cs="宋体" w:asciiTheme="minorEastAsia" w:hAnsiTheme="minorEastAsia" w:eastAsiaTheme="minorEastAsia"/>
              </w:rPr>
            </w:pPr>
          </w:p>
        </w:tc>
        <w:tc>
          <w:tcPr>
            <w:tcW w:w="6506" w:type="dxa"/>
            <w:tcBorders>
              <w:top w:val="single" w:color="000000" w:sz="8" w:space="0"/>
              <w:left w:val="single" w:color="000000" w:sz="2" w:space="0"/>
              <w:bottom w:val="single" w:color="000000" w:sz="8" w:space="0"/>
              <w:right w:val="single" w:color="000000" w:sz="8" w:space="0"/>
            </w:tcBorders>
            <w:vAlign w:val="center"/>
          </w:tcPr>
          <w:p w14:paraId="57F2CFE6">
            <w:pPr>
              <w:spacing w:line="360" w:lineRule="auto"/>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85F0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7A2C658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CD06E00">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备份投标文件送达地点和签收人员</w:t>
            </w:r>
          </w:p>
        </w:tc>
        <w:tc>
          <w:tcPr>
            <w:tcW w:w="6506" w:type="dxa"/>
            <w:tcBorders>
              <w:top w:val="single" w:color="000000" w:sz="8" w:space="0"/>
              <w:left w:val="single" w:color="000000" w:sz="2" w:space="0"/>
              <w:bottom w:val="single" w:color="000000" w:sz="8" w:space="0"/>
              <w:right w:val="single" w:color="000000" w:sz="8" w:space="0"/>
            </w:tcBorders>
            <w:vAlign w:val="center"/>
          </w:tcPr>
          <w:p w14:paraId="1AE445B8">
            <w:pPr>
              <w:pStyle w:val="25"/>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备份投标文件送达地点：</w:t>
            </w:r>
            <w:r>
              <w:rPr>
                <w:rFonts w:hint="eastAsia" w:cs="宋体" w:asciiTheme="minorEastAsia" w:hAnsiTheme="minorEastAsia" w:eastAsiaTheme="minorEastAsia"/>
                <w:sz w:val="24"/>
                <w:u w:val="single"/>
              </w:rPr>
              <w:t>桐庐县迎春南路88号桦桐大厦20楼</w:t>
            </w:r>
            <w:r>
              <w:rPr>
                <w:rFonts w:hint="eastAsia" w:cs="宋体" w:asciiTheme="minorEastAsia" w:hAnsiTheme="minorEastAsia" w:eastAsiaTheme="minorEastAsia"/>
                <w:kern w:val="28"/>
                <w:sz w:val="24"/>
                <w:szCs w:val="24"/>
              </w:rPr>
              <w:t>；备份投标文件签收人员：</w:t>
            </w:r>
            <w:r>
              <w:rPr>
                <w:rFonts w:hint="eastAsia" w:cs="宋体" w:asciiTheme="minorEastAsia" w:hAnsiTheme="minorEastAsia" w:eastAsiaTheme="minorEastAsia"/>
                <w:kern w:val="28"/>
                <w:sz w:val="24"/>
                <w:szCs w:val="24"/>
                <w:u w:val="single"/>
              </w:rPr>
              <w:t>许洪</w:t>
            </w:r>
            <w:r>
              <w:rPr>
                <w:rFonts w:hint="eastAsia" w:cs="宋体" w:asciiTheme="minorEastAsia" w:hAnsiTheme="minorEastAsia" w:eastAsiaTheme="minorEastAsia"/>
                <w:kern w:val="28"/>
                <w:sz w:val="24"/>
                <w:szCs w:val="24"/>
              </w:rPr>
              <w:t>，联系电话：</w:t>
            </w:r>
            <w:r>
              <w:rPr>
                <w:rFonts w:hint="eastAsia" w:cs="宋体" w:asciiTheme="minorEastAsia" w:hAnsiTheme="minorEastAsia" w:eastAsiaTheme="minorEastAsia"/>
                <w:sz w:val="24"/>
                <w:u w:val="single"/>
              </w:rPr>
              <w:t>0571-69902867</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采购人、采购机构不强制或变相强制投标人提交备份投标文件。</w:t>
            </w:r>
          </w:p>
        </w:tc>
      </w:tr>
      <w:tr w14:paraId="56B40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4CC84B8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457EA4D">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bCs/>
                <w:sz w:val="24"/>
              </w:rPr>
              <w:t>代理服务费</w:t>
            </w:r>
          </w:p>
        </w:tc>
        <w:tc>
          <w:tcPr>
            <w:tcW w:w="6506" w:type="dxa"/>
            <w:tcBorders>
              <w:top w:val="single" w:color="000000" w:sz="8" w:space="0"/>
              <w:left w:val="single" w:color="000000" w:sz="2" w:space="0"/>
              <w:bottom w:val="single" w:color="000000" w:sz="8" w:space="0"/>
              <w:right w:val="single" w:color="000000" w:sz="8" w:space="0"/>
            </w:tcBorders>
            <w:vAlign w:val="center"/>
          </w:tcPr>
          <w:p w14:paraId="5BD5A3D7">
            <w:pPr>
              <w:snapToGrid w:val="0"/>
              <w:spacing w:line="360" w:lineRule="auto"/>
              <w:rPr>
                <w:rFonts w:hint="eastAsia" w:ascii="宋体" w:hAnsi="宋体"/>
                <w:color w:val="auto"/>
                <w:sz w:val="24"/>
                <w:highlight w:val="none"/>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本项目招标</w:t>
            </w:r>
            <w:r>
              <w:rPr>
                <w:rFonts w:hint="eastAsia" w:ascii="宋体" w:hAnsi="宋体"/>
                <w:color w:val="auto"/>
                <w:sz w:val="24"/>
                <w:highlight w:val="none"/>
              </w:rPr>
              <w:t>代理费：收费标准按浙价服〔2003〕77号文件（服务类）收费标准计取；低于4000元的按4000元收取；</w:t>
            </w:r>
          </w:p>
          <w:p w14:paraId="3DF6C22A">
            <w:pPr>
              <w:pStyle w:val="2"/>
              <w:spacing w:line="360" w:lineRule="auto"/>
              <w:rPr>
                <w:rFonts w:hint="eastAsia"/>
              </w:rPr>
            </w:pPr>
            <w:r>
              <w:rPr>
                <w:rFonts w:hint="eastAsia" w:ascii="宋体" w:hAnsi="宋体"/>
                <w:sz w:val="24"/>
                <w:lang w:val="en-US" w:eastAsia="zh-CN"/>
              </w:rPr>
              <w:t>2、</w:t>
            </w:r>
            <w:r>
              <w:rPr>
                <w:rFonts w:hint="eastAsia" w:ascii="宋体" w:hAnsi="宋体"/>
                <w:sz w:val="24"/>
              </w:rPr>
              <w:t>开标过程中产生的其他费用按实际支出收取</w:t>
            </w:r>
          </w:p>
          <w:p w14:paraId="2D93DAFD">
            <w:pPr>
              <w:snapToGrid w:val="0"/>
              <w:spacing w:line="360" w:lineRule="auto"/>
              <w:rPr>
                <w:rFonts w:cs="宋体" w:asciiTheme="minorEastAsia" w:hAnsiTheme="minorEastAsia" w:eastAsiaTheme="minorEastAsia"/>
                <w:b/>
                <w:bCs/>
                <w:sz w:val="24"/>
              </w:rPr>
            </w:pPr>
            <w:r>
              <w:rPr>
                <w:rFonts w:hint="eastAsia" w:asciiTheme="minorEastAsia" w:hAnsiTheme="minorEastAsia" w:eastAsiaTheme="minorEastAsia" w:cstheme="minorEastAsia"/>
                <w:color w:val="auto"/>
                <w:sz w:val="24"/>
                <w:highlight w:val="none"/>
              </w:rPr>
              <w:t>以上费用由中标单位在领取中标通知书时，一次性支付给代理公司，上述费用应含在投标报价中（不得单独列项），投标人在投标报价让利中考虑上述费用。</w:t>
            </w:r>
          </w:p>
        </w:tc>
      </w:tr>
      <w:tr w14:paraId="39091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1192F78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4DD54D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506" w:type="dxa"/>
            <w:tcBorders>
              <w:top w:val="single" w:color="000000" w:sz="8" w:space="0"/>
              <w:left w:val="single" w:color="000000" w:sz="2" w:space="0"/>
              <w:bottom w:val="single" w:color="000000" w:sz="8" w:space="0"/>
              <w:right w:val="single" w:color="000000" w:sz="8" w:space="0"/>
            </w:tcBorders>
            <w:vAlign w:val="center"/>
          </w:tcPr>
          <w:p w14:paraId="3B762827">
            <w:pPr>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无</w:t>
            </w:r>
          </w:p>
        </w:tc>
      </w:tr>
      <w:bookmarkEnd w:id="3"/>
    </w:tbl>
    <w:p w14:paraId="707963F4">
      <w:pPr>
        <w:adjustRightInd/>
        <w:spacing w:line="360" w:lineRule="auto"/>
        <w:ind w:firstLine="3845" w:firstLineChars="1197"/>
        <w:outlineLvl w:val="0"/>
        <w:rPr>
          <w:rFonts w:cs="宋体" w:asciiTheme="minorEastAsia" w:hAnsiTheme="minorEastAsia" w:eastAsiaTheme="minorEastAsia"/>
          <w:b/>
          <w:sz w:val="32"/>
          <w:szCs w:val="20"/>
        </w:rPr>
        <w:sectPr>
          <w:pgSz w:w="11906" w:h="16838"/>
          <w:pgMar w:top="1440" w:right="1418" w:bottom="1440" w:left="1418" w:header="851" w:footer="992" w:gutter="0"/>
          <w:cols w:space="0" w:num="1"/>
          <w:titlePg/>
          <w:docGrid w:linePitch="312" w:charSpace="0"/>
        </w:sectPr>
      </w:pPr>
      <w:bookmarkStart w:id="4" w:name="_Toc164416483"/>
      <w:bookmarkStart w:id="5" w:name="第三部分"/>
    </w:p>
    <w:p w14:paraId="7338C736">
      <w:pPr>
        <w:adjustRightInd/>
        <w:spacing w:line="360" w:lineRule="auto"/>
        <w:ind w:firstLine="3845" w:firstLineChars="1197"/>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一、总则</w:t>
      </w:r>
    </w:p>
    <w:p w14:paraId="1B864D49">
      <w:pPr>
        <w:snapToGrid w:val="0"/>
        <w:spacing w:line="360" w:lineRule="auto"/>
        <w:ind w:firstLine="361" w:firstLineChars="150"/>
        <w:jc w:val="left"/>
        <w:outlineLvl w:val="1"/>
        <w:rPr>
          <w:rFonts w:cs="宋体" w:asciiTheme="minorEastAsia" w:hAnsiTheme="minorEastAsia" w:eastAsiaTheme="minorEastAsia"/>
          <w:b/>
          <w:sz w:val="24"/>
        </w:rPr>
      </w:pPr>
      <w:r>
        <w:rPr>
          <w:rFonts w:hint="eastAsia" w:cs="宋体" w:asciiTheme="minorEastAsia" w:hAnsiTheme="minorEastAsia" w:eastAsiaTheme="minorEastAsia"/>
          <w:b/>
          <w:sz w:val="24"/>
        </w:rPr>
        <w:t>1. 适用范围</w:t>
      </w:r>
    </w:p>
    <w:p w14:paraId="32B26593">
      <w:pPr>
        <w:snapToGrid w:val="0"/>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本招标文件适用于该项目的招标、投标、开标、资格审查及信用信息查询、评标、定标、合同、验收等行为（法律、法规另有规定的，从其规定）。</w:t>
      </w:r>
    </w:p>
    <w:p w14:paraId="2796B0B5">
      <w:pPr>
        <w:adjustRightInd/>
        <w:spacing w:line="360" w:lineRule="auto"/>
        <w:outlineLvl w:val="0"/>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2.定义</w:t>
      </w:r>
    </w:p>
    <w:p w14:paraId="6CB31AD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 “采购人”系指招标公告中载明的本项目的采购人。</w:t>
      </w:r>
    </w:p>
    <w:p w14:paraId="2891A90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 “采购机构”系指招标公告中载明的本项目的采购机构。</w:t>
      </w:r>
    </w:p>
    <w:p w14:paraId="4025723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 “投标人”系指是指响应招标、参加投标竞争的法人、其他组织或者自然人。</w:t>
      </w:r>
    </w:p>
    <w:p w14:paraId="08105B4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2.4 “负责人”系指法人企业的法定负责人，或其他组织为法律、行政法规规定代表单位行使职权的主要负责人，或自然人本人。</w:t>
      </w:r>
    </w:p>
    <w:p w14:paraId="7F4F501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9C86D2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2.6“电子交易平台”是指本项目政府采购活动所依托的政府采购云平台（https://www.zcygov.cn/）。</w:t>
      </w:r>
    </w:p>
    <w:p w14:paraId="278E589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2.7 “▲” 系指实质性要求条款，“★”系产品采购项目中单一产品或核心产品</w:t>
      </w:r>
      <w:r>
        <w:rPr>
          <w:rFonts w:hint="eastAsia" w:cs="宋体" w:asciiTheme="minorEastAsia" w:hAnsiTheme="minorEastAsia" w:eastAsiaTheme="minorEastAsia"/>
          <w:sz w:val="24"/>
          <w:lang w:val="en-US" w:eastAsia="zh-CN"/>
        </w:rPr>
        <w:t>的重要指标</w:t>
      </w:r>
      <w:r>
        <w:rPr>
          <w:rFonts w:hint="eastAsia" w:cs="宋体" w:asciiTheme="minorEastAsia" w:hAnsiTheme="minorEastAsia" w:eastAsiaTheme="minorEastAsia"/>
          <w:sz w:val="24"/>
        </w:rPr>
        <w:t>，</w:t>
      </w:r>
      <w:r>
        <w:rPr>
          <w:rFonts w:hint="eastAsia" w:asciiTheme="minorEastAsia" w:hAnsiTheme="minorEastAsia" w:eastAsiaTheme="minorEastAsia" w:cstheme="minorEastAsia"/>
          <w:sz w:val="24"/>
        </w:rPr>
        <w:t>“</w:t>
      </w:r>
      <w:sdt>
        <w:sdtPr>
          <w:rPr>
            <w:rFonts w:hint="eastAsia" w:asciiTheme="minorEastAsia" w:hAnsiTheme="minorEastAsia" w:eastAsiaTheme="minorEastAsia" w:cstheme="minorEastAsia"/>
            <w:kern w:val="0"/>
            <w:sz w:val="24"/>
          </w:rPr>
          <w:id w:val="512970236"/>
        </w:sdtPr>
        <w:sdtEndPr>
          <w:rPr>
            <w:rFonts w:hint="eastAsia" w:asciiTheme="minorEastAsia" w:hAnsiTheme="minorEastAsia" w:eastAsiaTheme="minorEastAsia" w:cstheme="minorEastAsia"/>
            <w:kern w:val="0"/>
            <w:sz w:val="24"/>
          </w:rPr>
        </w:sdtEndPr>
        <w:sdtContent>
          <w:sdt>
            <w:sdtPr>
              <w:rPr>
                <w:rFonts w:hint="eastAsia" w:ascii="宋体" w:hAnsi="宋体" w:cs="宋体"/>
                <w:kern w:val="0"/>
                <w:sz w:val="24"/>
              </w:rPr>
              <w:id w:val="526049235"/>
            </w:sdtPr>
            <w:sdtEndPr>
              <w:rPr>
                <w:rFonts w:hint="eastAsia" w:ascii="宋体" w:hAnsi="宋体" w:cs="宋体"/>
                <w:kern w:val="0"/>
                <w:sz w:val="24"/>
              </w:rPr>
            </w:sdtEndPr>
            <w:sdtContent>
              <w:r>
                <w:rPr>
                  <w:rFonts w:ascii="Wingdings" w:hAnsi="Wingdings" w:cs="宋体"/>
                  <w:kern w:val="0"/>
                  <w:sz w:val="24"/>
                </w:rPr>
                <w:t></w:t>
              </w:r>
            </w:sdtContent>
          </w:sdt>
        </w:sdtContent>
      </w:sdt>
      <w:r>
        <w:rPr>
          <w:rFonts w:hint="eastAsia" w:asciiTheme="minorEastAsia" w:hAnsiTheme="minorEastAsia" w:eastAsiaTheme="minorEastAsia" w:cstheme="minorEastAsia"/>
          <w:sz w:val="24"/>
        </w:rPr>
        <w:t>”</w:t>
      </w:r>
      <w:r>
        <w:rPr>
          <w:rFonts w:hint="eastAsia" w:cs="宋体" w:asciiTheme="minorEastAsia" w:hAnsiTheme="minorEastAsia" w:eastAsiaTheme="minorEastAsia"/>
          <w:sz w:val="24"/>
        </w:rPr>
        <w:t xml:space="preserve"> 系指适用本项目的要求，“</w:t>
      </w:r>
      <w:sdt>
        <w:sdtPr>
          <w:rPr>
            <w:rFonts w:hint="eastAsia" w:cs="宋体" w:asciiTheme="minorEastAsia" w:hAnsiTheme="minorEastAsia" w:eastAsiaTheme="minorEastAsia"/>
            <w:kern w:val="0"/>
            <w:sz w:val="24"/>
          </w:rPr>
          <w:id w:val="404888855"/>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sz w:val="24"/>
        </w:rPr>
        <w:t>” 系指不适用本项目的要求。</w:t>
      </w:r>
    </w:p>
    <w:p w14:paraId="2DCCB336">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sz w:val="24"/>
        </w:rPr>
        <w:t>3.采购项目需要落实的政府采购政策</w:t>
      </w:r>
    </w:p>
    <w:p w14:paraId="1BEF02BA">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598C94B">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3.2 支持绿色发展</w:t>
      </w:r>
    </w:p>
    <w:p w14:paraId="45D4C663">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sz w:val="24"/>
        </w:rPr>
        <w:t>采购人拟采购的产品属于政府强制采购的节能产品品目清单范围的，投标人未按招标文件要求提供国家确定的认证机构出具的、处于有效期之内的节能产品认证证书的，投标无效。</w:t>
      </w:r>
    </w:p>
    <w:p w14:paraId="6B0AB73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3.2.2 修缮、装修类项目采购建材的，采购人应将绿色建筑和绿色建材性能、指标等作为实质性条件纳入招标文件和合同。</w:t>
      </w:r>
    </w:p>
    <w:p w14:paraId="019D4E2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535D2C3">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3.3支持中小企业发展</w:t>
      </w:r>
    </w:p>
    <w:p w14:paraId="5D90EF4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C39881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24B9184B">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bCs/>
          <w:sz w:val="24"/>
        </w:rPr>
        <w:t>3.3.2</w:t>
      </w:r>
      <w:r>
        <w:rPr>
          <w:rFonts w:hint="eastAsia" w:cs="宋体" w:asciiTheme="minorEastAsia" w:hAnsiTheme="minorEastAsia" w:eastAsiaTheme="minorEastAsia"/>
          <w:kern w:val="0"/>
          <w:sz w:val="24"/>
        </w:rPr>
        <w:t>在政府采购活动中，投标人提供的货物、工程或者服务符合下列情形的，享受中小企业扶持政策：</w:t>
      </w:r>
    </w:p>
    <w:p w14:paraId="2078BA1C">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3.3.2.1在货物采购项目中，货物由中小企业制造，即货物由中小企业生产且使用该中小企业商号或者注册商标；</w:t>
      </w:r>
    </w:p>
    <w:p w14:paraId="2075A38C">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3.3.2.2在工程采购项目中，工程由中小企业承建，即工程施工单位为中小企业；</w:t>
      </w:r>
    </w:p>
    <w:p w14:paraId="3BB69434">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3.3.2.3在服务采购项目中，服务由中小企业承接，即提供服务的人员为中小企业依照《中华人民共和国劳动合同法》订立劳动合同的从业人员。</w:t>
      </w:r>
    </w:p>
    <w:p w14:paraId="1612D0D0">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在货物采购项目中，投标人提供的货物既有中小企业制造货物，也有大型企业制造货物的，不享受中小企业扶持政策。</w:t>
      </w:r>
    </w:p>
    <w:p w14:paraId="5F3E800F">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4ED200E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682C53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3.3.4符合《关于促进残疾人就业政府采购政策的通知》（财库〔2017〕141号）规定的条件并提供《残疾人福利性单位声明函》（附件1）的残疾人福利性单位视同小型、微型企业；</w:t>
      </w:r>
    </w:p>
    <w:p w14:paraId="204F7F3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765A26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4C3DC9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3.3.7中小企业享受扶持政策获得政府采购合同的，小微企业不得将合同分包给大中型企业，中型企业不得将合同分包给大型企业。</w:t>
      </w:r>
    </w:p>
    <w:p w14:paraId="25E0C666">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3.4</w:t>
      </w:r>
      <w:r>
        <w:rPr>
          <w:rFonts w:hint="eastAsia" w:cs="宋体" w:asciiTheme="minorEastAsia" w:hAnsiTheme="minorEastAsia" w:eastAsiaTheme="minorEastAsia"/>
          <w:bCs/>
          <w:sz w:val="24"/>
        </w:rPr>
        <w:t>支持创新发展</w:t>
      </w:r>
    </w:p>
    <w:p w14:paraId="263DFF4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3.4.1 采购人优先采购被认定为首台套产品和“制造精品”的自主创新产品。</w:t>
      </w:r>
    </w:p>
    <w:p w14:paraId="5BC9463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40B76A5">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cs="宋体" w:asciiTheme="minorEastAsia" w:hAnsiTheme="minorEastAsia" w:eastAsiaTheme="minorEastAsia"/>
          <w:sz w:val="24"/>
        </w:rPr>
        <w:cr/>
      </w:r>
      <w:r>
        <w:rPr>
          <w:rFonts w:hint="eastAsia" w:cs="宋体" w:asciiTheme="minorEastAsia" w:hAnsiTheme="minorEastAsia" w:eastAsiaTheme="minorEastAsia"/>
          <w:b/>
          <w:sz w:val="24"/>
        </w:rPr>
        <w:t>4. 询问、质疑、投诉</w:t>
      </w:r>
    </w:p>
    <w:p w14:paraId="535E2F8F">
      <w:pPr>
        <w:autoSpaceDE w:val="0"/>
        <w:autoSpaceDN w:val="0"/>
        <w:spacing w:line="360" w:lineRule="auto"/>
        <w:ind w:firstLine="240"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4.1供应商询问</w:t>
      </w:r>
    </w:p>
    <w:p w14:paraId="2BC912CC">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4B916B">
      <w:pPr>
        <w:autoSpaceDE w:val="0"/>
        <w:autoSpaceDN w:val="0"/>
        <w:spacing w:line="360" w:lineRule="auto"/>
        <w:ind w:firstLine="240"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4.2供应商质疑</w:t>
      </w:r>
    </w:p>
    <w:p w14:paraId="31F43BA4">
      <w:pPr>
        <w:pStyle w:val="25"/>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4.2</w:t>
      </w:r>
      <w:r>
        <w:rPr>
          <w:rFonts w:hint="eastAsia" w:cs="宋体" w:asciiTheme="minorEastAsia" w:hAnsiTheme="minorEastAsia" w:eastAsiaTheme="minorEastAsia"/>
          <w:sz w:val="24"/>
        </w:rPr>
        <w:t>.1提出质疑的供应商应当是参与所质疑项目采购活动的供应商。潜在供应商已依法获取其可质疑的招标文件的，可以对该文件提出质疑。</w:t>
      </w:r>
    </w:p>
    <w:p w14:paraId="0F6049BC">
      <w:pPr>
        <w:pStyle w:val="25"/>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4.2</w:t>
      </w:r>
      <w:r>
        <w:rPr>
          <w:rFonts w:hint="eastAsia" w:cs="宋体" w:asciiTheme="minorEastAsia" w:hAnsiTheme="minorEastAsia" w:eastAsiaTheme="minor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14F1A22">
      <w:pPr>
        <w:pStyle w:val="19"/>
        <w:spacing w:line="360" w:lineRule="auto"/>
        <w:ind w:firstLine="480" w:firstLineChars="200"/>
        <w:rPr>
          <w:rFonts w:cs="宋体" w:asciiTheme="minorEastAsia" w:hAnsiTheme="minorEastAsia" w:eastAsiaTheme="minorEastAsia"/>
          <w:snapToGrid/>
          <w:color w:val="auto"/>
          <w:kern w:val="2"/>
          <w:sz w:val="24"/>
        </w:rPr>
      </w:pPr>
      <w:r>
        <w:rPr>
          <w:rFonts w:hint="eastAsia" w:cs="宋体" w:asciiTheme="minorEastAsia" w:hAnsiTheme="minorEastAsia" w:eastAsiaTheme="minorEastAsia"/>
          <w:snapToGrid/>
          <w:color w:val="auto"/>
          <w:kern w:val="2"/>
          <w:sz w:val="24"/>
        </w:rPr>
        <w:t>4.2.2.1对招标文件提出质疑的，质疑期限为供应商获得招标文件之日或者招标文件公告期限届满之日起计算。</w:t>
      </w:r>
    </w:p>
    <w:p w14:paraId="042C1B01">
      <w:pPr>
        <w:pStyle w:val="2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4.2.2.2对采购过程提出质疑的，质疑期限为各采购程序环节结束之日起计算。对同一采购程序环节的质疑，供应商须一次性提出。</w:t>
      </w:r>
    </w:p>
    <w:p w14:paraId="74FFB42A">
      <w:pPr>
        <w:pStyle w:val="2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4.2.2.3对采购结果提出质疑的，质疑期限自采购结果公告期限届满之日起计算。</w:t>
      </w:r>
    </w:p>
    <w:p w14:paraId="5C7B6524">
      <w:pPr>
        <w:pStyle w:val="2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4.2.3供应商提出质疑应当提交质疑函和必要的证明材料。质疑函应当包括下列内容：</w:t>
      </w:r>
    </w:p>
    <w:p w14:paraId="3F04DD4B">
      <w:pPr>
        <w:pStyle w:val="2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4.2.3.1供应商的姓名或者名称、地址、邮编、联系人及联系电话；</w:t>
      </w:r>
    </w:p>
    <w:p w14:paraId="63F94865">
      <w:pPr>
        <w:pStyle w:val="2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4.2.3.2质疑项目的名称、编号；</w:t>
      </w:r>
    </w:p>
    <w:p w14:paraId="64EF3A4C">
      <w:pPr>
        <w:pStyle w:val="2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4.2.3.3具体、明确的质疑事项和与质疑事项相关的请求；</w:t>
      </w:r>
    </w:p>
    <w:p w14:paraId="731FD69F">
      <w:pPr>
        <w:pStyle w:val="2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4.2.3.4事实依据；</w:t>
      </w:r>
    </w:p>
    <w:p w14:paraId="73C19F99">
      <w:pPr>
        <w:pStyle w:val="2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4.2.3.5必要的法律依据；</w:t>
      </w:r>
    </w:p>
    <w:p w14:paraId="68F0A1E9">
      <w:pPr>
        <w:pStyle w:val="2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4.2.3.6提出质疑的日期。</w:t>
      </w:r>
    </w:p>
    <w:p w14:paraId="46D5CA72">
      <w:pPr>
        <w:pStyle w:val="25"/>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1B278134">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质疑函范本及制作说明详见附件2。</w:t>
      </w:r>
    </w:p>
    <w:p w14:paraId="4341C8A7">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lang w:val="zh-CN"/>
        </w:rPr>
        <w:t>4.2</w:t>
      </w:r>
      <w:r>
        <w:rPr>
          <w:rFonts w:hint="eastAsia" w:asciiTheme="minorEastAsia" w:hAnsiTheme="minorEastAsia" w:eastAsiaTheme="minor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64ED33BC">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lang w:val="zh-CN"/>
        </w:rPr>
        <w:t>4.2</w:t>
      </w:r>
      <w:r>
        <w:rPr>
          <w:rFonts w:hint="eastAsia" w:asciiTheme="minorEastAsia" w:hAnsiTheme="minorEastAsia" w:eastAsiaTheme="minorEastAsia"/>
        </w:rPr>
        <w:t>.5询问或者质疑事项可能影响采购结果的，采购人应当暂停签订合同，已经签订合同的，应当中止履行合同。</w:t>
      </w:r>
    </w:p>
    <w:p w14:paraId="71A5B084">
      <w:pPr>
        <w:pStyle w:val="888"/>
        <w:shd w:val="clear" w:color="auto" w:fill="FFFFFF"/>
        <w:snapToGrid w:val="0"/>
        <w:spacing w:after="240" w:afterAutospacing="0" w:line="360" w:lineRule="auto"/>
        <w:ind w:firstLine="480" w:firstLineChars="200"/>
        <w:contextualSpacing/>
        <w:rPr>
          <w:rFonts w:asciiTheme="minorEastAsia" w:hAnsiTheme="minorEastAsia" w:eastAsiaTheme="minorEastAsia"/>
          <w:lang w:val="zh-CN"/>
        </w:rPr>
      </w:pPr>
      <w:r>
        <w:rPr>
          <w:rFonts w:hint="eastAsia" w:asciiTheme="minorEastAsia" w:hAnsiTheme="minorEastAsia" w:eastAsiaTheme="minorEastAsia"/>
          <w:lang w:val="zh-CN"/>
        </w:rPr>
        <w:t>4.3供应商投诉</w:t>
      </w:r>
    </w:p>
    <w:p w14:paraId="6192A8BE">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4.3.1质疑供应商对采购人、采购机构的答复不满意或者采购人、采购机构未在规定的时间内作出答复的，可以在答复期满后十五个工作日内向同级政府采购监督管理部门提出投诉。</w:t>
      </w:r>
    </w:p>
    <w:p w14:paraId="7AF77AC9">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w:t>
      </w:r>
      <w:r>
        <w:rPr>
          <w:rFonts w:hint="eastAsia" w:asciiTheme="minorEastAsia" w:hAnsiTheme="minorEastAsia" w:eastAsiaTheme="minorEastAsia"/>
          <w:lang w:val="zh-CN"/>
        </w:rPr>
        <w:t>2</w:t>
      </w:r>
      <w:r>
        <w:rPr>
          <w:rFonts w:hint="eastAsia" w:asciiTheme="minorEastAsia" w:hAnsiTheme="minorEastAsia" w:eastAsiaTheme="minorEastAsia"/>
        </w:rPr>
        <w:t>供应商投诉的事项不得超出已质疑事项的范围，基于质疑答复内容提出的投诉事项除外。</w:t>
      </w:r>
    </w:p>
    <w:p w14:paraId="5C37D10C">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4.3.3供应商投诉应当有明确的请求和必要的证明材料。</w:t>
      </w:r>
    </w:p>
    <w:p w14:paraId="1FF8208F">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4.3.5 以联合体形式参加政府采购活动的，其投诉应当由组成联合体的所有供应商共同提出。</w:t>
      </w:r>
    </w:p>
    <w:p w14:paraId="2A7E555C">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投诉书范本及制作说明详见附件3</w:t>
      </w:r>
    </w:p>
    <w:p w14:paraId="2027415B">
      <w:pPr>
        <w:adjustRightInd/>
        <w:spacing w:line="360" w:lineRule="auto"/>
        <w:jc w:val="center"/>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 xml:space="preserve">      二、招标文件的构成、澄清、修改</w:t>
      </w:r>
    </w:p>
    <w:p w14:paraId="53F063C8">
      <w:pPr>
        <w:pStyle w:val="2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5．招标文件的构成</w:t>
      </w:r>
    </w:p>
    <w:p w14:paraId="532C8205">
      <w:pPr>
        <w:pStyle w:val="2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 招标文件包括下列文件及附件：</w:t>
      </w:r>
    </w:p>
    <w:p w14:paraId="1DC0864F">
      <w:pPr>
        <w:pStyle w:val="2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5.1.1招标公告；</w:t>
      </w:r>
    </w:p>
    <w:p w14:paraId="4D1D41EF">
      <w:pPr>
        <w:pStyle w:val="2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5.1.2投标人须知；</w:t>
      </w:r>
    </w:p>
    <w:p w14:paraId="4D7B090F">
      <w:pPr>
        <w:pStyle w:val="2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5.1.3采购需求；</w:t>
      </w:r>
    </w:p>
    <w:p w14:paraId="16D1D3FD">
      <w:pPr>
        <w:pStyle w:val="2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5.1.4评标办法；</w:t>
      </w:r>
    </w:p>
    <w:p w14:paraId="69F1FBAE">
      <w:pPr>
        <w:pStyle w:val="2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5.1.5拟签订的合同文本；</w:t>
      </w:r>
    </w:p>
    <w:p w14:paraId="63FA1638">
      <w:pPr>
        <w:pStyle w:val="2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rPr>
        <w:t>5.1.6</w:t>
      </w:r>
      <w:r>
        <w:rPr>
          <w:rFonts w:hint="eastAsia" w:cs="宋体" w:asciiTheme="minorEastAsia" w:hAnsiTheme="minorEastAsia" w:eastAsiaTheme="minorEastAsia"/>
          <w:sz w:val="24"/>
          <w:szCs w:val="24"/>
        </w:rPr>
        <w:t>应提交的有关格式范例。</w:t>
      </w:r>
    </w:p>
    <w:p w14:paraId="6FFCB08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5.2与本项目有关的</w:t>
      </w:r>
      <w:r>
        <w:rPr>
          <w:rFonts w:hint="eastAsia" w:cs="宋体" w:asciiTheme="minorEastAsia" w:hAnsiTheme="minorEastAsia" w:eastAsiaTheme="minorEastAsia"/>
          <w:bCs/>
          <w:sz w:val="24"/>
        </w:rPr>
        <w:t>澄清或者修改的内容为招标文件的组成部分</w:t>
      </w:r>
      <w:r>
        <w:rPr>
          <w:rFonts w:hint="eastAsia" w:cs="宋体" w:asciiTheme="minorEastAsia" w:hAnsiTheme="minorEastAsia" w:eastAsiaTheme="minorEastAsia"/>
          <w:sz w:val="24"/>
        </w:rPr>
        <w:t>。</w:t>
      </w:r>
    </w:p>
    <w:p w14:paraId="45D3CD6B">
      <w:pPr>
        <w:pStyle w:val="2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6. 招标文件的澄清、修改</w:t>
      </w:r>
    </w:p>
    <w:p w14:paraId="3E1F8DE9">
      <w:pPr>
        <w:pStyle w:val="87"/>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6.1已获取招标文件的潜在投标人，若有问题需要澄清，应于投标截止时间前，以书面形式向采购机构提出。</w:t>
      </w:r>
    </w:p>
    <w:p w14:paraId="07B4CDB4">
      <w:pPr>
        <w:pStyle w:val="87"/>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03974D2">
      <w:pPr>
        <w:adjustRightInd/>
        <w:spacing w:line="360" w:lineRule="auto"/>
        <w:jc w:val="center"/>
        <w:outlineLvl w:val="0"/>
        <w:rPr>
          <w:rFonts w:cs="宋体" w:asciiTheme="minorEastAsia" w:hAnsiTheme="minorEastAsia" w:eastAsiaTheme="minorEastAsia"/>
          <w:b/>
          <w:sz w:val="30"/>
          <w:szCs w:val="20"/>
        </w:rPr>
      </w:pPr>
      <w:r>
        <w:rPr>
          <w:rFonts w:hint="eastAsia" w:cs="宋体" w:asciiTheme="minorEastAsia" w:hAnsiTheme="minorEastAsia" w:eastAsiaTheme="minorEastAsia"/>
          <w:b/>
          <w:sz w:val="30"/>
          <w:szCs w:val="20"/>
        </w:rPr>
        <w:t>三、投标</w:t>
      </w:r>
    </w:p>
    <w:p w14:paraId="7AD77C2F">
      <w:pPr>
        <w:pStyle w:val="2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7. 招标文件的获取</w:t>
      </w:r>
    </w:p>
    <w:p w14:paraId="51D947E2">
      <w:pPr>
        <w:spacing w:line="360" w:lineRule="auto"/>
        <w:ind w:firstLine="480" w:firstLineChars="200"/>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详见招标公告中获取招标文件的时间期限、地点、方式及招标文件售价。</w:t>
      </w:r>
    </w:p>
    <w:p w14:paraId="7FA07846">
      <w:pPr>
        <w:pStyle w:val="2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8.开标前答疑会或现场考察</w:t>
      </w:r>
    </w:p>
    <w:p w14:paraId="0FE91534">
      <w:pPr>
        <w:pStyle w:val="2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采购人组织潜在投标人现场考察或者召开开标前答疑会的，潜在投标人按第二部分投标人须知前附表的规定参加现场考察或者开标前答疑会。</w:t>
      </w:r>
    </w:p>
    <w:p w14:paraId="70023486">
      <w:pPr>
        <w:pStyle w:val="25"/>
        <w:spacing w:line="360" w:lineRule="auto"/>
        <w:rPr>
          <w:rFonts w:cs="宋体" w:asciiTheme="minorEastAsia" w:hAnsiTheme="minorEastAsia" w:eastAsiaTheme="minorEastAsia"/>
          <w:b/>
          <w:szCs w:val="24"/>
        </w:rPr>
      </w:pPr>
      <w:r>
        <w:rPr>
          <w:rFonts w:hint="eastAsia" w:cs="宋体" w:asciiTheme="minorEastAsia" w:hAnsiTheme="minorEastAsia" w:eastAsiaTheme="minorEastAsia"/>
          <w:b/>
          <w:kern w:val="28"/>
          <w:sz w:val="24"/>
          <w:szCs w:val="24"/>
        </w:rPr>
        <w:t>9.投标保证金</w:t>
      </w:r>
    </w:p>
    <w:p w14:paraId="41D3CE71">
      <w:pPr>
        <w:pStyle w:val="19"/>
        <w:spacing w:line="360" w:lineRule="auto"/>
        <w:ind w:firstLine="470" w:firstLineChars="196"/>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本项目不需缴纳投标保证金。</w:t>
      </w:r>
    </w:p>
    <w:p w14:paraId="78E505F3">
      <w:pPr>
        <w:pStyle w:val="2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10. 投标文件的语言</w:t>
      </w:r>
    </w:p>
    <w:p w14:paraId="615EFC1C">
      <w:pPr>
        <w:autoSpaceDE w:val="0"/>
        <w:autoSpaceDN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投标文件及投标人与采购有关的来往通知、函件和文件均应使用中文。</w:t>
      </w:r>
    </w:p>
    <w:p w14:paraId="423F9809">
      <w:pPr>
        <w:pStyle w:val="2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11. 投标文件的组成</w:t>
      </w:r>
    </w:p>
    <w:p w14:paraId="2AF50044">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11.1</w:t>
      </w:r>
      <w:r>
        <w:rPr>
          <w:rFonts w:hint="eastAsia" w:cs="宋体" w:asciiTheme="minorEastAsia" w:hAnsiTheme="minorEastAsia" w:eastAsiaTheme="minorEastAsia"/>
          <w:b/>
          <w:sz w:val="24"/>
        </w:rPr>
        <w:t>资格文件</w:t>
      </w:r>
      <w:r>
        <w:rPr>
          <w:rFonts w:hint="eastAsia" w:cs="宋体" w:asciiTheme="minorEastAsia" w:hAnsiTheme="minorEastAsia" w:eastAsiaTheme="minorEastAsia"/>
          <w:sz w:val="24"/>
        </w:rPr>
        <w:t>：</w:t>
      </w:r>
    </w:p>
    <w:p w14:paraId="7889BDB2">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11.1.1符合参加政府采购活动应当具备的一般条件的承诺函；</w:t>
      </w:r>
    </w:p>
    <w:p w14:paraId="1663F53E">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11.1.2</w:t>
      </w:r>
      <w:bookmarkStart w:id="6" w:name="_Hlk101259339"/>
      <w:r>
        <w:rPr>
          <w:rFonts w:hint="eastAsia" w:cs="宋体" w:asciiTheme="minorEastAsia" w:hAnsiTheme="minorEastAsia" w:eastAsiaTheme="minorEastAsia"/>
          <w:snapToGrid w:val="0"/>
          <w:kern w:val="28"/>
          <w:sz w:val="24"/>
          <w:szCs w:val="20"/>
        </w:rPr>
        <w:t>联合协议（如果有)</w:t>
      </w:r>
      <w:bookmarkEnd w:id="6"/>
      <w:r>
        <w:rPr>
          <w:rFonts w:hint="eastAsia" w:cs="宋体" w:asciiTheme="minorEastAsia" w:hAnsiTheme="minorEastAsia" w:eastAsiaTheme="minorEastAsia"/>
          <w:snapToGrid w:val="0"/>
          <w:kern w:val="28"/>
          <w:sz w:val="24"/>
          <w:szCs w:val="20"/>
        </w:rPr>
        <w:t>；</w:t>
      </w:r>
    </w:p>
    <w:p w14:paraId="6A03767C">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11.1.3落实政府采购政策需满足的资格要求</w:t>
      </w:r>
      <w:r>
        <w:rPr>
          <w:rFonts w:hint="eastAsia" w:asciiTheme="minorEastAsia" w:hAnsiTheme="minorEastAsia" w:eastAsiaTheme="minorEastAsia" w:cstheme="minorEastAsia"/>
          <w:snapToGrid w:val="0"/>
          <w:kern w:val="28"/>
          <w:sz w:val="24"/>
          <w:szCs w:val="20"/>
        </w:rPr>
        <w:t>（中小企业声明函)</w:t>
      </w:r>
      <w:r>
        <w:rPr>
          <w:rFonts w:hint="eastAsia" w:asciiTheme="minorEastAsia" w:hAnsiTheme="minorEastAsia" w:eastAsiaTheme="minorEastAsia" w:cstheme="minorEastAsia"/>
          <w:sz w:val="24"/>
        </w:rPr>
        <w:t>；</w:t>
      </w:r>
    </w:p>
    <w:p w14:paraId="32915282">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11.1.4本项目的特定资格要求</w:t>
      </w:r>
      <w:r>
        <w:rPr>
          <w:rFonts w:hint="eastAsia" w:asciiTheme="minorEastAsia" w:hAnsiTheme="minorEastAsia" w:eastAsiaTheme="minorEastAsia" w:cstheme="minorEastAsia"/>
          <w:snapToGrid w:val="0"/>
          <w:kern w:val="28"/>
          <w:sz w:val="24"/>
          <w:szCs w:val="20"/>
        </w:rPr>
        <w:t>（如果有)</w:t>
      </w:r>
      <w:r>
        <w:rPr>
          <w:rFonts w:hint="eastAsia" w:asciiTheme="minorEastAsia" w:hAnsiTheme="minorEastAsia" w:eastAsiaTheme="minorEastAsia" w:cstheme="minorEastAsia"/>
          <w:sz w:val="24"/>
        </w:rPr>
        <w:t>。</w:t>
      </w:r>
    </w:p>
    <w:p w14:paraId="470F10B7">
      <w:pPr>
        <w:snapToGrid w:val="0"/>
        <w:spacing w:line="360" w:lineRule="auto"/>
        <w:ind w:firstLine="482" w:firstLineChars="200"/>
        <w:rPr>
          <w:rFonts w:cs="宋体" w:asciiTheme="minorEastAsia" w:hAnsiTheme="minorEastAsia" w:eastAsiaTheme="minorEastAsia"/>
          <w:b/>
          <w:bCs/>
          <w:sz w:val="24"/>
          <w:lang w:val="zh-CN"/>
        </w:rPr>
      </w:pPr>
      <w:r>
        <w:rPr>
          <w:rFonts w:hint="eastAsia" w:cs="宋体" w:asciiTheme="minorEastAsia" w:hAnsiTheme="minorEastAsia" w:eastAsiaTheme="minorEastAsia"/>
          <w:b/>
          <w:bCs/>
          <w:sz w:val="24"/>
          <w:lang w:val="zh-CN"/>
        </w:rPr>
        <w:t>11.</w:t>
      </w:r>
      <w:r>
        <w:rPr>
          <w:rFonts w:hint="eastAsia" w:cs="宋体" w:asciiTheme="minorEastAsia" w:hAnsiTheme="minorEastAsia" w:eastAsiaTheme="minorEastAsia"/>
          <w:b/>
          <w:bCs/>
          <w:sz w:val="24"/>
        </w:rPr>
        <w:t>2商务技术</w:t>
      </w:r>
      <w:r>
        <w:rPr>
          <w:rFonts w:hint="eastAsia" w:cs="宋体" w:asciiTheme="minorEastAsia" w:hAnsiTheme="minorEastAsia" w:eastAsiaTheme="minorEastAsia"/>
          <w:b/>
          <w:bCs/>
          <w:sz w:val="24"/>
          <w:lang w:val="zh-CN"/>
        </w:rPr>
        <w:t>文件：</w:t>
      </w:r>
    </w:p>
    <w:p w14:paraId="10FE99C5">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11.2.1投标函；</w:t>
      </w:r>
    </w:p>
    <w:p w14:paraId="33D77F2B">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11.2.2授权委托书或法定代表人（单位负责人、自然人本人）身份证明</w:t>
      </w:r>
    </w:p>
    <w:p w14:paraId="0C4EC05C">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11.2.3分包意向协议</w:t>
      </w:r>
      <w:r>
        <w:rPr>
          <w:rFonts w:hint="eastAsia" w:cs="宋体" w:asciiTheme="minorEastAsia" w:hAnsiTheme="minorEastAsia" w:eastAsiaTheme="minorEastAsia"/>
          <w:snapToGrid w:val="0"/>
          <w:kern w:val="28"/>
          <w:sz w:val="24"/>
          <w:szCs w:val="20"/>
        </w:rPr>
        <w:t>（如果有)</w:t>
      </w:r>
      <w:r>
        <w:rPr>
          <w:rFonts w:hint="eastAsia" w:cs="宋体" w:asciiTheme="minorEastAsia" w:hAnsiTheme="minorEastAsia" w:eastAsiaTheme="minorEastAsia"/>
          <w:sz w:val="24"/>
        </w:rPr>
        <w:t>；</w:t>
      </w:r>
    </w:p>
    <w:p w14:paraId="49A352E7">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11.2.3符合性审查资料；</w:t>
      </w:r>
    </w:p>
    <w:p w14:paraId="7625D884">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11.2.4评标标准相应的商务技术资料；</w:t>
      </w:r>
    </w:p>
    <w:p w14:paraId="7B874D09">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11.2.5商务技术偏离表；</w:t>
      </w:r>
    </w:p>
    <w:p w14:paraId="625C576F">
      <w:pPr>
        <w:snapToGrid w:val="0"/>
        <w:spacing w:line="360" w:lineRule="auto"/>
        <w:ind w:firstLine="960" w:firstLineChars="4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6</w:t>
      </w:r>
      <w:r>
        <w:rPr>
          <w:rFonts w:hint="eastAsia" w:cs="宋体" w:asciiTheme="minorEastAsia" w:hAnsiTheme="minorEastAsia" w:eastAsiaTheme="minorEastAsia"/>
          <w:sz w:val="24"/>
          <w:lang w:val="zh-CN"/>
        </w:rPr>
        <w:t>政府采购供应商廉洁自律承诺书；</w:t>
      </w:r>
    </w:p>
    <w:p w14:paraId="0F3E7A20">
      <w:pPr>
        <w:snapToGrid w:val="0"/>
        <w:spacing w:line="360" w:lineRule="auto"/>
        <w:ind w:firstLine="480" w:firstLineChars="200"/>
        <w:rPr>
          <w:rFonts w:cs="宋体"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11.</w:t>
      </w:r>
      <w:r>
        <w:rPr>
          <w:rFonts w:hint="eastAsia" w:cs="宋体" w:asciiTheme="minorEastAsia" w:hAnsiTheme="minorEastAsia" w:eastAsiaTheme="minorEastAsia"/>
          <w:kern w:val="0"/>
          <w:sz w:val="24"/>
        </w:rPr>
        <w:t>3</w:t>
      </w:r>
      <w:r>
        <w:rPr>
          <w:rFonts w:hint="eastAsia" w:cs="宋体" w:asciiTheme="minorEastAsia" w:hAnsiTheme="minorEastAsia" w:eastAsiaTheme="minorEastAsia"/>
          <w:b/>
          <w:sz w:val="24"/>
        </w:rPr>
        <w:t>报价文件：</w:t>
      </w:r>
    </w:p>
    <w:p w14:paraId="4099928C">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11.3.1开标一览表（报价表）；</w:t>
      </w:r>
    </w:p>
    <w:p w14:paraId="325B3C8A">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11.3.2中小企业声明函。</w:t>
      </w:r>
    </w:p>
    <w:p w14:paraId="2256DD64">
      <w:pPr>
        <w:spacing w:line="360" w:lineRule="auto"/>
        <w:ind w:firstLine="723" w:firstLineChars="300"/>
        <w:rPr>
          <w:rFonts w:cs="宋体" w:asciiTheme="minorEastAsia" w:hAnsiTheme="minorEastAsia" w:eastAsiaTheme="minorEastAsia"/>
          <w:b/>
          <w:sz w:val="24"/>
        </w:rPr>
      </w:pPr>
      <w:r>
        <w:rPr>
          <w:rFonts w:hint="eastAsia" w:cs="宋体" w:asciiTheme="minorEastAsia" w:hAnsiTheme="minorEastAsia" w:eastAsiaTheme="minorEastAsia"/>
          <w:b/>
          <w:sz w:val="24"/>
        </w:rPr>
        <w:t>投标文件含有采购人不能接受的附加条件的，投标无效；</w:t>
      </w:r>
    </w:p>
    <w:p w14:paraId="360A7D22">
      <w:pPr>
        <w:spacing w:line="360" w:lineRule="auto"/>
        <w:ind w:firstLine="723" w:firstLineChars="300"/>
        <w:rPr>
          <w:rFonts w:cs="宋体" w:asciiTheme="minorEastAsia" w:hAnsiTheme="minorEastAsia" w:eastAsiaTheme="minorEastAsia"/>
          <w:b/>
          <w:sz w:val="24"/>
          <w:szCs w:val="21"/>
        </w:rPr>
      </w:pPr>
      <w:r>
        <w:rPr>
          <w:rFonts w:hint="eastAsia" w:cs="宋体" w:asciiTheme="minorEastAsia" w:hAnsiTheme="minorEastAsia" w:eastAsiaTheme="minorEastAsia"/>
          <w:b/>
          <w:sz w:val="24"/>
        </w:rPr>
        <w:t>投标人提供虚假材料投标的，投标无效。</w:t>
      </w:r>
    </w:p>
    <w:p w14:paraId="06EBF02D">
      <w:pPr>
        <w:pStyle w:val="87"/>
        <w:snapToGrid w:val="0"/>
        <w:spacing w:before="0"/>
        <w:ind w:firstLine="0" w:firstLineChars="0"/>
        <w:outlineLvl w:val="0"/>
        <w:rPr>
          <w:rFonts w:cs="宋体" w:asciiTheme="minorEastAsia" w:hAnsiTheme="minorEastAsia" w:eastAsiaTheme="minorEastAsia"/>
          <w:b/>
          <w:szCs w:val="24"/>
        </w:rPr>
      </w:pPr>
      <w:r>
        <w:rPr>
          <w:rFonts w:hint="eastAsia" w:cs="宋体" w:asciiTheme="minorEastAsia" w:hAnsiTheme="minorEastAsia" w:eastAsiaTheme="minorEastAsia"/>
          <w:b/>
          <w:szCs w:val="24"/>
        </w:rPr>
        <w:t>12</w:t>
      </w:r>
      <w:r>
        <w:rPr>
          <w:rFonts w:hint="eastAsia" w:cs="宋体" w:asciiTheme="minorEastAsia" w:hAnsiTheme="minorEastAsia" w:eastAsiaTheme="minorEastAsia"/>
          <w:b/>
          <w:kern w:val="0"/>
          <w:szCs w:val="24"/>
          <w:lang w:val="zh-CN"/>
        </w:rPr>
        <w:t xml:space="preserve">. </w:t>
      </w:r>
      <w:r>
        <w:rPr>
          <w:rFonts w:hint="eastAsia" w:cs="宋体" w:asciiTheme="minorEastAsia" w:hAnsiTheme="minorEastAsia" w:eastAsiaTheme="minorEastAsia"/>
          <w:b/>
          <w:szCs w:val="24"/>
        </w:rPr>
        <w:t>投标文件的编制</w:t>
      </w:r>
    </w:p>
    <w:p w14:paraId="12BCDABA">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cs="宋体" w:asciiTheme="minorEastAsia" w:hAnsiTheme="minorEastAsia" w:eastAsiaTheme="minorEastAsia"/>
          <w:b/>
        </w:rPr>
        <w:t>▲</w:t>
      </w:r>
      <w:r>
        <w:rPr>
          <w:rFonts w:hint="eastAsia" w:cs="宋体" w:asciiTheme="minorEastAsia" w:hAnsiTheme="minorEastAsia" w:eastAsiaTheme="minorEastAsia"/>
          <w:b/>
          <w:sz w:val="24"/>
          <w:szCs w:val="20"/>
        </w:rPr>
        <w:t>投标文件未按规定的格式编制的，投标无效；</w:t>
      </w:r>
    </w:p>
    <w:p w14:paraId="636094C5">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F05659F">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12.3使用“政采云电子交易客户端”需要提前申领CA数字证书，申领流程请自行前往“浙江政府采购网-下载专区-电子交易客户端-CA驱动和申领流程”进行查阅。</w:t>
      </w:r>
    </w:p>
    <w:p w14:paraId="00997014">
      <w:pPr>
        <w:snapToGrid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13.投标文件的签署、盖章</w:t>
      </w:r>
    </w:p>
    <w:p w14:paraId="782281C4">
      <w:pPr>
        <w:pStyle w:val="87"/>
        <w:snapToGrid w:val="0"/>
        <w:spacing w:before="0"/>
        <w:ind w:firstLine="480"/>
        <w:rPr>
          <w:rFonts w:cs="宋体" w:asciiTheme="minorEastAsia" w:hAnsiTheme="minorEastAsia" w:eastAsiaTheme="minorEastAsia"/>
          <w:b/>
        </w:rPr>
      </w:pPr>
      <w:r>
        <w:rPr>
          <w:rFonts w:hint="eastAsia" w:cs="宋体" w:asciiTheme="minorEastAsia" w:hAnsiTheme="minorEastAsia" w:eastAsiaTheme="minorEastAsia"/>
          <w:szCs w:val="24"/>
        </w:rPr>
        <w:t>13.1投标文件按照招标文件第六部分格式要</w:t>
      </w:r>
      <w:r>
        <w:rPr>
          <w:rFonts w:hint="eastAsia" w:cs="宋体" w:asciiTheme="minorEastAsia" w:hAnsiTheme="minorEastAsia" w:eastAsiaTheme="minorEastAsia"/>
        </w:rPr>
        <w:t>求进行签署、盖章。</w:t>
      </w:r>
      <w:r>
        <w:rPr>
          <w:rFonts w:hint="eastAsia" w:cs="宋体" w:asciiTheme="minorEastAsia" w:hAnsiTheme="minorEastAsia" w:eastAsiaTheme="minorEastAsia"/>
          <w:b/>
        </w:rPr>
        <w:t>▲投标人的投标文件未按照招标文件要求签署、盖章的，其投标无效</w:t>
      </w:r>
      <w:r>
        <w:rPr>
          <w:rFonts w:hint="eastAsia" w:cs="宋体" w:asciiTheme="minorEastAsia" w:hAnsiTheme="minorEastAsia" w:eastAsiaTheme="minorEastAsia"/>
          <w:szCs w:val="24"/>
        </w:rPr>
        <w:t>。</w:t>
      </w:r>
    </w:p>
    <w:p w14:paraId="11593363">
      <w:pPr>
        <w:pStyle w:val="87"/>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13.2为确保网上操作合法、有效和安全，投标人应当在投标截止时间前完成在“政府采购云平台”的身份认证，确保在电子投标过程中能够对相关数据电文进行加密和使用电子签名。</w:t>
      </w:r>
    </w:p>
    <w:p w14:paraId="25D680A4">
      <w:pPr>
        <w:pStyle w:val="87"/>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13.3招标文件对投标文件签署、盖章的要求适用于电子签名。</w:t>
      </w:r>
    </w:p>
    <w:p w14:paraId="3EADD7D6">
      <w:pPr>
        <w:pStyle w:val="87"/>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highlight w:val="yellow"/>
        </w:rPr>
        <w:t>中标单位在中标公示结束后3天内向采购机构提供纸质投标文件一式</w:t>
      </w:r>
      <w:r>
        <w:rPr>
          <w:rFonts w:hint="eastAsia" w:cs="宋体" w:asciiTheme="minorEastAsia" w:hAnsiTheme="minorEastAsia" w:eastAsiaTheme="minorEastAsia"/>
          <w:highlight w:val="yellow"/>
          <w:lang w:val="en-US" w:eastAsia="zh-CN"/>
        </w:rPr>
        <w:t>三</w:t>
      </w:r>
      <w:r>
        <w:rPr>
          <w:rFonts w:hint="eastAsia" w:cs="宋体" w:asciiTheme="minorEastAsia" w:hAnsiTheme="minorEastAsia" w:eastAsiaTheme="minorEastAsia"/>
          <w:highlight w:val="yellow"/>
        </w:rPr>
        <w:t>份，一正</w:t>
      </w:r>
      <w:r>
        <w:rPr>
          <w:rFonts w:hint="eastAsia" w:cs="宋体" w:asciiTheme="minorEastAsia" w:hAnsiTheme="minorEastAsia" w:eastAsiaTheme="minorEastAsia"/>
          <w:highlight w:val="yellow"/>
          <w:lang w:val="en-US" w:eastAsia="zh-CN"/>
        </w:rPr>
        <w:t>二</w:t>
      </w:r>
      <w:r>
        <w:rPr>
          <w:rFonts w:hint="eastAsia" w:cs="宋体" w:asciiTheme="minorEastAsia" w:hAnsiTheme="minorEastAsia" w:eastAsiaTheme="minorEastAsia"/>
          <w:highlight w:val="yellow"/>
        </w:rPr>
        <w:t>副，正本每页加盖公章，副本可以是正本的复印件，但封面需加盖公章。</w:t>
      </w:r>
    </w:p>
    <w:p w14:paraId="4FF331D8">
      <w:pPr>
        <w:pStyle w:val="87"/>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14. 投标文件的提交、补充、修改、撤回</w:t>
      </w:r>
    </w:p>
    <w:p w14:paraId="4DFD8D68">
      <w:pPr>
        <w:pStyle w:val="87"/>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631260F">
      <w:pPr>
        <w:pStyle w:val="87"/>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14:paraId="452F869F">
      <w:pPr>
        <w:pStyle w:val="87"/>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14.3采购人、采购机构可以视情况延长投标文件提交的截止时间。在上述情况下，采购机构与投标人以前在投标截止期方面的全部权利、责任和义务，将适用于延长至新的投标截止期。</w:t>
      </w:r>
    </w:p>
    <w:p w14:paraId="2F03BE20">
      <w:pPr>
        <w:pStyle w:val="2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15.备份投标文件</w:t>
      </w:r>
    </w:p>
    <w:p w14:paraId="079C2EFB">
      <w:pPr>
        <w:pStyle w:val="25"/>
        <w:spacing w:line="360" w:lineRule="auto"/>
        <w:ind w:firstLine="360" w:firstLineChars="15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sz w:val="24"/>
          <w:szCs w:val="24"/>
        </w:rPr>
        <w:t>但采购人、采购机构不强制或变相强制投标人提交备份投标文件。</w:t>
      </w:r>
    </w:p>
    <w:p w14:paraId="48A688EE">
      <w:pPr>
        <w:pStyle w:val="25"/>
        <w:spacing w:line="360" w:lineRule="auto"/>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15.2备份投标文件须在“政采云投标客户端”制作生成，并储存在</w:t>
      </w:r>
      <w:r>
        <w:rPr>
          <w:rFonts w:hint="eastAsia" w:cs="宋体" w:asciiTheme="minorEastAsia" w:hAnsiTheme="minorEastAsia" w:eastAsiaTheme="minorEastAsia"/>
          <w:sz w:val="24"/>
        </w:rPr>
        <w:t>DVD光盘或U盘</w:t>
      </w:r>
      <w:r>
        <w:rPr>
          <w:rFonts w:hint="eastAsia" w:cs="宋体" w:asciiTheme="minorEastAsia" w:hAnsiTheme="minorEastAsia" w:eastAsia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sz w:val="24"/>
        </w:rPr>
        <w:t>不符合上述制作、</w:t>
      </w:r>
      <w:r>
        <w:rPr>
          <w:rFonts w:hint="eastAsia" w:cs="宋体" w:asciiTheme="minorEastAsia" w:hAnsiTheme="minorEastAsia" w:eastAsiaTheme="minorEastAsia"/>
          <w:b/>
          <w:sz w:val="24"/>
          <w:szCs w:val="24"/>
        </w:rPr>
        <w:t>存储、密封规定的备份投标文件将被视为无效或者被拒绝接收。</w:t>
      </w:r>
    </w:p>
    <w:p w14:paraId="49C42208">
      <w:pPr>
        <w:pStyle w:val="2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15.3直接提交备份投标文件的，投标人应于投标截止时间前在招标公告中载明的开标地点将备份投标文件提交给采购机构，采购机构将拒绝接受逾期送达的备份投标文件。</w:t>
      </w:r>
    </w:p>
    <w:p w14:paraId="0951D52D">
      <w:pPr>
        <w:pStyle w:val="2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cs="宋体" w:asciiTheme="minorEastAsia" w:hAnsiTheme="minorEastAsia" w:eastAsiaTheme="minorEastAsia"/>
          <w:snapToGrid/>
          <w:sz w:val="24"/>
          <w:szCs w:val="24"/>
        </w:rPr>
        <w:t>招标文件第二部分投标人须知前附表规定的备份投标文件送达地点；</w:t>
      </w:r>
      <w:r>
        <w:rPr>
          <w:rFonts w:hint="eastAsia" w:cs="宋体" w:asciiTheme="minorEastAsia" w:hAnsiTheme="minorEastAsia" w:eastAsiaTheme="minorEastAsia"/>
          <w:sz w:val="24"/>
          <w:szCs w:val="24"/>
        </w:rPr>
        <w:t>送达时间以签收人签收时间为准。采购机构将拒绝接受逾期送达的备份投标文件。邮寄过程中，电子备份投标文件发生泄露、遗失、损坏或延期送达等情况的，由投标人自行负责。</w:t>
      </w:r>
    </w:p>
    <w:p w14:paraId="4A5A48CA">
      <w:pPr>
        <w:pStyle w:val="25"/>
        <w:spacing w:line="360" w:lineRule="auto"/>
        <w:ind w:firstLine="479" w:firstLineChars="199"/>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15.5投标人仅提交备份投标文件，没有在电子交易平台传输递交投标文件的，投标无效。</w:t>
      </w:r>
    </w:p>
    <w:p w14:paraId="13592266">
      <w:pPr>
        <w:pStyle w:val="87"/>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16.投标文件的无效处理</w:t>
      </w:r>
    </w:p>
    <w:p w14:paraId="7347ECBC">
      <w:pPr>
        <w:pStyle w:val="38"/>
        <w:spacing w:line="360" w:lineRule="auto"/>
        <w:ind w:firstLine="360"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有招标文件第四部分</w:t>
      </w:r>
      <w:r>
        <w:rPr>
          <w:rFonts w:hint="eastAsia" w:cs="宋体" w:asciiTheme="minorEastAsia" w:hAnsiTheme="minorEastAsia" w:eastAsiaTheme="minorEastAsia"/>
        </w:rPr>
        <w:t>第13项规定</w:t>
      </w:r>
      <w:r>
        <w:rPr>
          <w:rFonts w:hint="eastAsia" w:cs="宋体" w:asciiTheme="minorEastAsia" w:hAnsiTheme="minorEastAsia" w:eastAsiaTheme="minorEastAsia"/>
          <w:szCs w:val="21"/>
        </w:rPr>
        <w:t>的情形之一的，投标无效：</w:t>
      </w:r>
    </w:p>
    <w:p w14:paraId="473DA54C">
      <w:pPr>
        <w:pStyle w:val="87"/>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17.投标有效期</w:t>
      </w:r>
    </w:p>
    <w:p w14:paraId="516973A2">
      <w:pPr>
        <w:spacing w:line="360" w:lineRule="auto"/>
        <w:ind w:firstLine="480" w:firstLineChars="200"/>
        <w:rPr>
          <w:rFonts w:cs="宋体" w:asciiTheme="minorEastAsia" w:hAnsiTheme="minorEastAsia" w:eastAsiaTheme="minorEastAsia"/>
          <w:b/>
          <w:sz w:val="24"/>
          <w:szCs w:val="21"/>
        </w:rPr>
      </w:pPr>
      <w:r>
        <w:rPr>
          <w:rFonts w:hint="eastAsia" w:cs="宋体" w:asciiTheme="minorEastAsia" w:hAnsiTheme="minorEastAsia" w:eastAsiaTheme="minorEastAsia"/>
          <w:sz w:val="24"/>
          <w:szCs w:val="20"/>
        </w:rPr>
        <w:t>17.1投标有效期为从提交投标文件的截止之日起90天。▲</w:t>
      </w:r>
      <w:r>
        <w:rPr>
          <w:rFonts w:hint="eastAsia" w:cs="宋体" w:asciiTheme="minorEastAsia" w:hAnsiTheme="minorEastAsia" w:eastAsiaTheme="minorEastAsia"/>
          <w:b/>
          <w:sz w:val="24"/>
          <w:szCs w:val="20"/>
        </w:rPr>
        <w:t>投标人的投标文件中承</w:t>
      </w:r>
      <w:r>
        <w:rPr>
          <w:rFonts w:hint="eastAsia" w:cs="宋体" w:asciiTheme="minorEastAsia" w:hAnsiTheme="minorEastAsia" w:eastAsiaTheme="minorEastAsia"/>
          <w:b/>
          <w:sz w:val="24"/>
          <w:szCs w:val="21"/>
        </w:rPr>
        <w:t>诺的投标有效期少于招标文件中载明的投标有效期的，投标无效。</w:t>
      </w:r>
    </w:p>
    <w:p w14:paraId="45DA088A">
      <w:pPr>
        <w:pStyle w:val="87"/>
        <w:spacing w:before="0"/>
        <w:ind w:firstLine="480"/>
        <w:rPr>
          <w:rFonts w:cs="宋体" w:asciiTheme="minorEastAsia" w:hAnsiTheme="minorEastAsia" w:eastAsiaTheme="minorEastAsia"/>
        </w:rPr>
      </w:pPr>
      <w:r>
        <w:rPr>
          <w:rFonts w:hint="eastAsia" w:cs="宋体" w:asciiTheme="minorEastAsia" w:hAnsiTheme="minorEastAsia" w:eastAsiaTheme="minorEastAsia"/>
        </w:rPr>
        <w:t>17.2投标文件合格投递后，自投标截止日期起，在投标有效期内有效。</w:t>
      </w:r>
    </w:p>
    <w:p w14:paraId="340C84FE">
      <w:pPr>
        <w:pStyle w:val="87"/>
        <w:spacing w:before="0"/>
        <w:ind w:firstLine="480"/>
        <w:rPr>
          <w:rFonts w:cs="宋体" w:asciiTheme="minorEastAsia" w:hAnsiTheme="minorEastAsia" w:eastAsiaTheme="minorEastAsia"/>
        </w:rPr>
      </w:pPr>
      <w:r>
        <w:rPr>
          <w:rFonts w:hint="eastAsia" w:cs="宋体" w:asciiTheme="minorEastAsia" w:hAnsiTheme="minorEastAsia" w:eastAsiaTheme="minorEastAsia"/>
        </w:rPr>
        <w:t>17.3在原定投标有效期满之前，如果出现特殊情况，采购机构可以以书面形式通知投标人延长投标有效期。投标人同意延长的，不得要求或被允许修改其投标文件，投标人拒绝延长的，其投标无效。</w:t>
      </w:r>
    </w:p>
    <w:p w14:paraId="51FD75ED">
      <w:pPr>
        <w:pStyle w:val="87"/>
        <w:spacing w:before="0"/>
        <w:ind w:firstLine="1928" w:firstLineChars="600"/>
        <w:rPr>
          <w:rFonts w:cs="宋体" w:asciiTheme="minorEastAsia" w:hAnsiTheme="minorEastAsia" w:eastAsiaTheme="minorEastAsia"/>
          <w:b/>
          <w:sz w:val="32"/>
        </w:rPr>
      </w:pPr>
      <w:r>
        <w:rPr>
          <w:rFonts w:hint="eastAsia" w:cs="宋体" w:asciiTheme="minorEastAsia" w:hAnsiTheme="minorEastAsia" w:eastAsiaTheme="minorEastAsia"/>
          <w:b/>
          <w:sz w:val="32"/>
        </w:rPr>
        <w:t>四、开标、资格审查与信用信息查询</w:t>
      </w:r>
    </w:p>
    <w:p w14:paraId="2EC0DA36">
      <w:pPr>
        <w:pStyle w:val="560"/>
        <w:spacing w:before="0" w:line="360" w:lineRule="auto"/>
        <w:ind w:left="0" w:firstLine="241" w:firstLineChars="100"/>
        <w:contextualSpacing/>
        <w:rPr>
          <w:rFonts w:cs="宋体" w:asciiTheme="minorEastAsia" w:hAnsiTheme="minorEastAsia" w:eastAsiaTheme="minorEastAsia"/>
          <w:sz w:val="24"/>
        </w:rPr>
      </w:pPr>
      <w:r>
        <w:rPr>
          <w:rFonts w:hint="eastAsia" w:cs="宋体" w:asciiTheme="minorEastAsia" w:hAnsiTheme="minorEastAsia" w:eastAsiaTheme="minorEastAsia"/>
          <w:b/>
          <w:sz w:val="24"/>
          <w:szCs w:val="24"/>
        </w:rPr>
        <w:t>18.开标</w:t>
      </w:r>
    </w:p>
    <w:p w14:paraId="28810E7A">
      <w:pPr>
        <w:pStyle w:val="560"/>
        <w:spacing w:before="0" w:line="360" w:lineRule="auto"/>
        <w:ind w:left="0"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18.1采购机构按照招标文件规定的时间通过电子交易平台组织开标，所有投标人均应当准时在线参加。投标人不足3家的，不得开标。</w:t>
      </w:r>
    </w:p>
    <w:p w14:paraId="04E2D7AF">
      <w:pPr>
        <w:pStyle w:val="560"/>
        <w:spacing w:before="0" w:line="360" w:lineRule="auto"/>
        <w:ind w:left="0" w:firstLine="240" w:firstLineChars="1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　18.2开标时，电子交易平台按开标时间自动提取所有投标文件。采购机构依托电子交易平台发起开始解密指令，投标人按照平台提示和招标文件的规定在半小时内完成在线解密。</w:t>
      </w:r>
    </w:p>
    <w:p w14:paraId="18C1E45E">
      <w:pPr>
        <w:pStyle w:val="560"/>
        <w:spacing w:before="0" w:line="360" w:lineRule="auto"/>
        <w:ind w:left="0" w:firstLine="240" w:firstLineChars="100"/>
        <w:contextualSpacing/>
        <w:rPr>
          <w:rFonts w:cs="宋体" w:asciiTheme="minorEastAsia" w:hAnsiTheme="minorEastAsia" w:eastAsiaTheme="minorEastAsia"/>
          <w:b/>
          <w:sz w:val="24"/>
        </w:rPr>
      </w:pPr>
      <w:r>
        <w:rPr>
          <w:rFonts w:hint="eastAsia" w:cs="宋体" w:asciiTheme="minorEastAsia" w:hAnsiTheme="minorEastAsia" w:eastAsiaTheme="minorEastAsia"/>
          <w:sz w:val="24"/>
        </w:rPr>
        <w:t>　18.3</w:t>
      </w:r>
      <w:r>
        <w:rPr>
          <w:rFonts w:hint="eastAsia" w:cs="宋体" w:asciiTheme="minorEastAsia" w:hAnsiTheme="minorEastAsia" w:eastAsiaTheme="minorEastAsia"/>
          <w:b/>
          <w:sz w:val="24"/>
        </w:rPr>
        <w:t>投标文件未按时解密，投标人提供了备份投标文件的，以备份投标文件作为依据，否则视为投标文件撤回。投标文件已按时解密的，备份投标文件自动失效。</w:t>
      </w:r>
    </w:p>
    <w:p w14:paraId="3A715293">
      <w:pPr>
        <w:pStyle w:val="560"/>
        <w:spacing w:before="0" w:line="360" w:lineRule="auto"/>
        <w:ind w:left="0" w:firstLine="0"/>
        <w:contextualSpacing/>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19、资格审查</w:t>
      </w:r>
    </w:p>
    <w:p w14:paraId="58754077">
      <w:pPr>
        <w:pStyle w:val="87"/>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19.1开标后，采购人或采购机构将依法对投标人的资格进行审查。</w:t>
      </w:r>
    </w:p>
    <w:p w14:paraId="5E4E4058">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rPr>
        <w:t>19.2</w:t>
      </w:r>
      <w:r>
        <w:rPr>
          <w:rFonts w:hint="eastAsia" w:cs="宋体" w:asciiTheme="minorEastAsia" w:hAnsiTheme="minorEastAsia" w:eastAsiaTheme="minorEastAsia"/>
          <w:sz w:val="24"/>
        </w:rPr>
        <w:t>采购人或采购机构依据法律法规和招标文件的规定，对投标人的基本资格条件、特定资格条件进行审查。</w:t>
      </w:r>
    </w:p>
    <w:p w14:paraId="017CC79F">
      <w:pPr>
        <w:pStyle w:val="87"/>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19.3投标人未按照招标文件要求提供与</w:t>
      </w:r>
      <w:r>
        <w:rPr>
          <w:rFonts w:hint="eastAsia" w:cs="宋体" w:asciiTheme="minorEastAsia" w:hAnsiTheme="minorEastAsia" w:eastAsiaTheme="minorEastAsia"/>
        </w:rPr>
        <w:t>基本资格条件、特定资格条件相应的</w:t>
      </w:r>
      <w:r>
        <w:rPr>
          <w:rFonts w:hint="eastAsia" w:cs="宋体" w:asciiTheme="minorEastAsia" w:hAnsiTheme="minorEastAsia" w:eastAsiaTheme="minorEastAsia"/>
          <w:kern w:val="0"/>
          <w:szCs w:val="24"/>
        </w:rPr>
        <w:t>有效资格证明材料的，视为</w:t>
      </w:r>
      <w:r>
        <w:rPr>
          <w:rFonts w:hint="eastAsia" w:cs="宋体" w:asciiTheme="minorEastAsia" w:hAnsiTheme="minorEastAsia" w:eastAsiaTheme="minorEastAsia"/>
        </w:rPr>
        <w:t>投标人不具备招标文件中规定的资格要求，其投标无效。</w:t>
      </w:r>
    </w:p>
    <w:p w14:paraId="36B40CA4">
      <w:pPr>
        <w:pStyle w:val="87"/>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4对未通过资格审查的投标人，采购人或采购机构告知其未通过的原因。</w:t>
      </w:r>
    </w:p>
    <w:p w14:paraId="3F801A1B">
      <w:pPr>
        <w:pStyle w:val="87"/>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5合格投标人不足3家的，不再评标。</w:t>
      </w:r>
    </w:p>
    <w:p w14:paraId="59AD1865">
      <w:pPr>
        <w:pStyle w:val="87"/>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20、信用信息查询</w:t>
      </w:r>
    </w:p>
    <w:p w14:paraId="38A2D897">
      <w:pPr>
        <w:pStyle w:val="87"/>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20.1信用信息查询渠道及截止时间：采购机构将通过“信用中国”网站(www.creditchina.gov.cn)、中国政府采购网(www.ccgp.gov.cn)渠道查询投标人投标截止时间当天的信用记录。</w:t>
      </w:r>
    </w:p>
    <w:p w14:paraId="5A1F72D5">
      <w:pPr>
        <w:pStyle w:val="87"/>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20.2信用信息查询记录和证据留存的具体方式：现场查询的投标人的信用记录、查询结果经确认后将与采购文件一起存档。</w:t>
      </w:r>
    </w:p>
    <w:p w14:paraId="3BC5A0FE">
      <w:pPr>
        <w:pStyle w:val="87"/>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20.3信用信息的使用规则：经查询列入失信被执行人名单、重大税收违法案件当事人名单、政府采购严重违法失信行为记录名单的投标人将被拒绝参与政府采购活动。</w:t>
      </w:r>
    </w:p>
    <w:p w14:paraId="442DF2B3">
      <w:pPr>
        <w:pStyle w:val="87"/>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rPr>
        <w:t>。</w:t>
      </w:r>
    </w:p>
    <w:p w14:paraId="3233CD36">
      <w:pPr>
        <w:snapToGrid w:val="0"/>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五、评标</w:t>
      </w:r>
    </w:p>
    <w:p w14:paraId="25767958">
      <w:pPr>
        <w:spacing w:line="360" w:lineRule="auto"/>
        <w:rPr>
          <w:rFonts w:cs="宋体" w:asciiTheme="minorEastAsia" w:hAnsiTheme="minorEastAsia" w:eastAsiaTheme="minorEastAsia"/>
          <w:b/>
          <w:sz w:val="24"/>
        </w:rPr>
      </w:pPr>
      <w:bookmarkStart w:id="7" w:name="_Toc91899903"/>
      <w:r>
        <w:rPr>
          <w:rFonts w:hint="eastAsia" w:cs="宋体" w:asciiTheme="minorEastAsia" w:hAnsiTheme="minorEastAsia" w:eastAsiaTheme="minorEastAsia"/>
          <w:b/>
          <w:sz w:val="24"/>
        </w:rPr>
        <w:t>21.</w:t>
      </w:r>
      <w:r>
        <w:rPr>
          <w:rFonts w:hint="eastAsia" w:cs="宋体" w:asciiTheme="minorEastAsia" w:hAnsiTheme="minorEastAsia"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sz w:val="24"/>
        </w:rPr>
        <w:t>详见招标文件第四部分评标办法。</w:t>
      </w:r>
    </w:p>
    <w:p w14:paraId="0FB51DC6">
      <w:pPr>
        <w:snapToGrid w:val="0"/>
        <w:spacing w:line="360" w:lineRule="auto"/>
        <w:jc w:val="center"/>
        <w:outlineLvl w:val="0"/>
        <w:rPr>
          <w:rFonts w:hint="eastAsia" w:cs="宋体" w:asciiTheme="minorEastAsia" w:hAnsiTheme="minorEastAsia" w:eastAsiaTheme="minorEastAsia"/>
          <w:b/>
          <w:sz w:val="36"/>
          <w:szCs w:val="36"/>
        </w:rPr>
        <w:sectPr>
          <w:pgSz w:w="11906" w:h="16838"/>
          <w:pgMar w:top="1440" w:right="1418" w:bottom="1440" w:left="1418" w:header="851" w:footer="992" w:gutter="0"/>
          <w:cols w:space="0" w:num="1"/>
          <w:titlePg/>
          <w:docGrid w:linePitch="312" w:charSpace="0"/>
        </w:sectPr>
      </w:pPr>
    </w:p>
    <w:p w14:paraId="4C169C81">
      <w:pPr>
        <w:snapToGrid w:val="0"/>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六、定 标</w:t>
      </w:r>
    </w:p>
    <w:p w14:paraId="3526AAC3">
      <w:pPr>
        <w:pStyle w:val="38"/>
        <w:spacing w:line="360" w:lineRule="auto"/>
        <w:ind w:left="479" w:hanging="479" w:hangingChars="199"/>
        <w:rPr>
          <w:rFonts w:cs="宋体"/>
          <w:b/>
        </w:rPr>
      </w:pPr>
      <w:r>
        <w:rPr>
          <w:rFonts w:hint="eastAsia" w:cs="宋体"/>
          <w:b/>
        </w:rPr>
        <w:t>22. 确定中标供应商</w:t>
      </w:r>
    </w:p>
    <w:p w14:paraId="19306754">
      <w:pPr>
        <w:pStyle w:val="87"/>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14:paraId="414A7204">
      <w:pPr>
        <w:pStyle w:val="87"/>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291AF82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69DFD1DA">
      <w:pPr>
        <w:widowControl/>
        <w:shd w:val="clear" w:color="auto" w:fill="FFFFFF"/>
        <w:spacing w:line="276"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5670E8CD">
      <w:pPr>
        <w:widowControl/>
        <w:shd w:val="clear" w:color="auto" w:fill="FFFFFF"/>
        <w:spacing w:line="276" w:lineRule="auto"/>
        <w:ind w:firstLine="480"/>
        <w:jc w:val="left"/>
        <w:rPr>
          <w:rFonts w:ascii="宋体" w:hAnsi="宋体" w:cs="宋体"/>
          <w:sz w:val="24"/>
        </w:rPr>
      </w:pPr>
      <w:r>
        <w:rPr>
          <w:rFonts w:hint="eastAsia" w:ascii="宋体" w:hAnsi="宋体" w:cs="宋体"/>
          <w:sz w:val="24"/>
        </w:rPr>
        <w:t>23.3公告期限为1个工作日。</w:t>
      </w:r>
    </w:p>
    <w:p w14:paraId="06CF182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611015C0">
      <w:pPr>
        <w:pStyle w:val="38"/>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56807403">
      <w:pPr>
        <w:pStyle w:val="38"/>
        <w:spacing w:line="360" w:lineRule="auto"/>
        <w:ind w:left="479" w:hanging="479" w:hangingChars="199"/>
        <w:rPr>
          <w:rFonts w:cs="宋体"/>
          <w:b/>
        </w:rPr>
      </w:pPr>
      <w:r>
        <w:rPr>
          <w:rFonts w:hint="eastAsia" w:cs="宋体"/>
          <w:b/>
        </w:rPr>
        <w:t>25. 合同的签订</w:t>
      </w:r>
    </w:p>
    <w:p w14:paraId="4A58A72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1BF46580">
      <w:pPr>
        <w:pStyle w:val="87"/>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CCDA772">
      <w:pPr>
        <w:pStyle w:val="87"/>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C0D6913">
      <w:pPr>
        <w:pStyle w:val="87"/>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7E10A2C">
      <w:pPr>
        <w:pStyle w:val="87"/>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16341CEC">
      <w:pPr>
        <w:pStyle w:val="87"/>
        <w:snapToGrid w:val="0"/>
        <w:spacing w:before="0" w:after="120" w:line="276" w:lineRule="auto"/>
        <w:ind w:firstLine="482"/>
        <w:rPr>
          <w:rFonts w:ascii="宋体" w:hAnsi="宋体" w:cs="宋体"/>
          <w:b/>
        </w:rPr>
      </w:pPr>
      <w:r>
        <w:rPr>
          <w:rFonts w:hint="eastAsia" w:ascii="宋体" w:hAnsi="宋体" w:cs="宋体"/>
          <w:b/>
        </w:rPr>
        <w:t>26. 履约保证金：</w:t>
      </w:r>
    </w:p>
    <w:p w14:paraId="1DE4D028">
      <w:pPr>
        <w:tabs>
          <w:tab w:val="left" w:pos="0"/>
        </w:tabs>
        <w:spacing w:line="276" w:lineRule="auto"/>
        <w:ind w:firstLine="482"/>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theme="minorEastAsia"/>
          <w:color w:val="000000" w:themeColor="text1"/>
          <w:sz w:val="24"/>
          <w14:textFill>
            <w14:solidFill>
              <w14:schemeClr w14:val="tx1"/>
            </w14:solidFill>
          </w14:textFill>
        </w:rPr>
        <w:t>。履约保证金的数额不得超过政府采购合同金额的0.1%。鼓励和支持供应商以银行、保险公司出具的保函形式提供履约保证金。采购人不得拒收履约保函，项目验收结束后应及时退还，延迟退还的，应当按照合同约定和法律规定承担相应的赔偿责任。</w:t>
      </w:r>
    </w:p>
    <w:p w14:paraId="6FCEF4B6">
      <w:pPr>
        <w:snapToGrid w:val="0"/>
        <w:spacing w:line="360" w:lineRule="auto"/>
        <w:ind w:firstLine="3357" w:firstLineChars="1045"/>
        <w:rPr>
          <w:rFonts w:ascii="宋体" w:hAnsi="宋体" w:cs="宋体"/>
          <w:b/>
          <w:sz w:val="32"/>
        </w:rPr>
        <w:sectPr>
          <w:pgSz w:w="11906" w:h="16838"/>
          <w:pgMar w:top="1440" w:right="1418" w:bottom="1440" w:left="1418" w:header="851" w:footer="992" w:gutter="0"/>
          <w:cols w:space="0" w:num="1"/>
          <w:titlePg/>
          <w:docGrid w:linePitch="312" w:charSpace="0"/>
        </w:sectPr>
      </w:pPr>
    </w:p>
    <w:p w14:paraId="1ABEF26E">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521F5C05">
      <w:pPr>
        <w:pStyle w:val="87"/>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79AE2A7B">
      <w:pPr>
        <w:pStyle w:val="87"/>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7C15F168">
      <w:pPr>
        <w:pStyle w:val="87"/>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088B2D08">
      <w:pPr>
        <w:pStyle w:val="87"/>
        <w:snapToGrid w:val="0"/>
        <w:spacing w:before="0"/>
        <w:ind w:firstLine="480"/>
        <w:rPr>
          <w:rFonts w:ascii="宋体" w:hAnsi="宋体" w:cs="宋体"/>
        </w:rPr>
      </w:pPr>
      <w:r>
        <w:rPr>
          <w:rFonts w:hint="eastAsia" w:ascii="宋体" w:hAnsi="宋体" w:cs="宋体"/>
        </w:rPr>
        <w:t>27.3电子交易平台发现严重安全漏洞，有潜在泄密危险的；</w:t>
      </w:r>
    </w:p>
    <w:p w14:paraId="78780A55">
      <w:pPr>
        <w:pStyle w:val="87"/>
        <w:snapToGrid w:val="0"/>
        <w:spacing w:before="0"/>
        <w:ind w:firstLine="480"/>
        <w:rPr>
          <w:rFonts w:ascii="宋体" w:hAnsi="宋体" w:cs="宋体"/>
        </w:rPr>
      </w:pPr>
      <w:r>
        <w:rPr>
          <w:rFonts w:hint="eastAsia" w:ascii="宋体" w:hAnsi="宋体" w:cs="宋体"/>
        </w:rPr>
        <w:t xml:space="preserve">27.4病毒发作导致不能进行正常操作的； </w:t>
      </w:r>
    </w:p>
    <w:p w14:paraId="587CA85A">
      <w:pPr>
        <w:pStyle w:val="87"/>
        <w:snapToGrid w:val="0"/>
        <w:spacing w:before="0"/>
        <w:ind w:firstLine="480"/>
        <w:rPr>
          <w:rFonts w:ascii="宋体" w:hAnsi="宋体" w:cs="宋体"/>
        </w:rPr>
      </w:pPr>
      <w:r>
        <w:rPr>
          <w:rFonts w:hint="eastAsia" w:ascii="宋体" w:hAnsi="宋体" w:cs="宋体"/>
        </w:rPr>
        <w:t>27.5其他无法保证电子交易的公平、公正和安全的情况。</w:t>
      </w:r>
    </w:p>
    <w:p w14:paraId="69179125">
      <w:pPr>
        <w:pStyle w:val="87"/>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CE77787">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7F049B03">
      <w:pPr>
        <w:pStyle w:val="38"/>
        <w:spacing w:line="360" w:lineRule="auto"/>
        <w:ind w:firstLine="0" w:firstLineChars="0"/>
        <w:rPr>
          <w:rFonts w:cs="宋体"/>
          <w:b/>
        </w:rPr>
      </w:pPr>
      <w:r>
        <w:rPr>
          <w:rFonts w:hint="eastAsia" w:cs="宋体"/>
          <w:b/>
        </w:rPr>
        <w:t>29.验收</w:t>
      </w:r>
    </w:p>
    <w:p w14:paraId="28DBA6CC">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A47BBF5">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3229D50C">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7C4171C7">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p w14:paraId="0BEC4B07">
      <w:pPr>
        <w:tabs>
          <w:tab w:val="left" w:pos="0"/>
        </w:tabs>
        <w:spacing w:line="360" w:lineRule="auto"/>
        <w:ind w:firstLine="480"/>
        <w:rPr>
          <w:rFonts w:cs="宋体" w:asciiTheme="minorEastAsia" w:hAnsiTheme="minorEastAsia" w:eastAsiaTheme="minorEastAsia"/>
          <w:kern w:val="0"/>
          <w:sz w:val="24"/>
        </w:rPr>
        <w:sectPr>
          <w:pgSz w:w="11906" w:h="16838"/>
          <w:pgMar w:top="1440" w:right="1418" w:bottom="1440" w:left="1418" w:header="851" w:footer="992" w:gutter="0"/>
          <w:cols w:space="0" w:num="1"/>
          <w:titlePg/>
          <w:docGrid w:linePitch="312" w:charSpace="0"/>
        </w:sectPr>
      </w:pPr>
      <w:bookmarkStart w:id="8" w:name="_Hlt75236290"/>
      <w:bookmarkEnd w:id="8"/>
      <w:bookmarkStart w:id="9" w:name="_Hlt74730295"/>
      <w:bookmarkEnd w:id="9"/>
      <w:bookmarkStart w:id="10" w:name="_Hlt74714665"/>
      <w:bookmarkEnd w:id="10"/>
      <w:bookmarkStart w:id="11" w:name="_Hlt74729768"/>
      <w:bookmarkEnd w:id="11"/>
      <w:bookmarkStart w:id="12" w:name="_Hlt74707468"/>
      <w:bookmarkEnd w:id="12"/>
      <w:bookmarkStart w:id="13" w:name="_Hlt68403820"/>
      <w:bookmarkEnd w:id="13"/>
      <w:bookmarkStart w:id="14" w:name="_Hlt68072990"/>
      <w:bookmarkEnd w:id="14"/>
      <w:bookmarkStart w:id="15" w:name="_Hlt68073093"/>
      <w:bookmarkEnd w:id="15"/>
      <w:bookmarkStart w:id="16" w:name="_Hlt75236101"/>
      <w:bookmarkEnd w:id="16"/>
      <w:bookmarkStart w:id="17" w:name="_Hlt68072998"/>
      <w:bookmarkEnd w:id="17"/>
      <w:bookmarkStart w:id="18" w:name="_Hlt68057669"/>
      <w:bookmarkEnd w:id="18"/>
      <w:bookmarkStart w:id="19" w:name="_Hlt75236011"/>
      <w:bookmarkEnd w:id="19"/>
    </w:p>
    <w:bookmarkEnd w:id="4"/>
    <w:bookmarkEnd w:id="5"/>
    <w:p w14:paraId="29702B76">
      <w:pPr>
        <w:spacing w:line="360" w:lineRule="auto"/>
        <w:jc w:val="center"/>
        <w:outlineLvl w:val="0"/>
        <w:rPr>
          <w:rFonts w:hint="eastAsia" w:ascii="宋体" w:hAnsi="宋体" w:cs="宋体"/>
          <w:b/>
          <w:color w:val="000000" w:themeColor="text1"/>
          <w:sz w:val="36"/>
          <w:szCs w:val="36"/>
          <w14:textFill>
            <w14:solidFill>
              <w14:schemeClr w14:val="tx1"/>
            </w14:solidFill>
          </w14:textFill>
        </w:rPr>
      </w:pPr>
      <w:bookmarkStart w:id="20" w:name="第四部分"/>
      <w:r>
        <w:rPr>
          <w:rFonts w:hint="eastAsia" w:cs="宋体" w:asciiTheme="minorEastAsia" w:hAnsiTheme="minorEastAsia" w:eastAsiaTheme="minorEastAsia"/>
          <w:b/>
          <w:sz w:val="36"/>
          <w:szCs w:val="36"/>
        </w:rPr>
        <w:t>第三部分   采购需求</w:t>
      </w:r>
    </w:p>
    <w:p w14:paraId="0D6D8E0D">
      <w:pPr>
        <w:pStyle w:val="65"/>
        <w:spacing w:before="0" w:beforeAutospacing="0" w:after="0" w:afterAutospacing="0" w:line="360" w:lineRule="auto"/>
        <w:ind w:firstLine="472" w:firstLineChars="196"/>
        <w:rPr>
          <w:b/>
          <w:bCs/>
        </w:rPr>
      </w:pPr>
      <w:bookmarkStart w:id="21" w:name="_Toc463034021"/>
      <w:r>
        <w:rPr>
          <w:rFonts w:hint="eastAsia"/>
          <w:b/>
          <w:bCs/>
        </w:rPr>
        <w:t>一、项目概况</w:t>
      </w:r>
    </w:p>
    <w:p w14:paraId="5B433A36">
      <w:pPr>
        <w:autoSpaceDE w:val="0"/>
        <w:autoSpaceDN w:val="0"/>
        <w:spacing w:line="360" w:lineRule="auto"/>
        <w:ind w:firstLine="480" w:firstLineChars="200"/>
        <w:textAlignment w:val="bottom"/>
        <w:rPr>
          <w:rFonts w:ascii="宋体" w:hAnsi="宋体"/>
          <w:sz w:val="24"/>
        </w:rPr>
      </w:pPr>
      <w:r>
        <w:rPr>
          <w:rFonts w:hint="eastAsia" w:ascii="宋体" w:hAnsi="宋体"/>
          <w:sz w:val="24"/>
        </w:rPr>
        <w:t>莪山畲族乡</w:t>
      </w:r>
      <w:r>
        <w:rPr>
          <w:rFonts w:ascii="宋体" w:hAnsi="宋体"/>
          <w:sz w:val="24"/>
        </w:rPr>
        <w:t>是杭州地区唯一少数民族乡，区域总面积28.73平方公里，呈“九山半水半分田”的地貌特征，辖7个行政村（包含4个少数民族村），总人口9550人，其中畲族人口2711人，占28.4%。</w:t>
      </w:r>
      <w:r>
        <w:rPr>
          <w:rFonts w:hint="eastAsia" w:ascii="宋体" w:hAnsi="宋体"/>
          <w:sz w:val="24"/>
        </w:rPr>
        <w:t>集镇生活污水处理,既是节能减排的重要举措,又是改善集镇生态环境的有效途径。我们部分城市已着眼于城乡统筹发展,构建了城乡一体化的生态环境保护体系。然而,由于重建设轻管理,大量处理设施缺乏维护,并出现管道堵塞、污泥堆积等问题。基于此，我乡决定集镇污水处理工作将公开招标委托第三方设备齐全、管理规范、有资质、有良好的企业信誉的公司来作为我乡本项重点工作的得力助手，切实加强对集镇生活污水处理工程的长效管理，确保所有已建工程达到“污水进，清水出”的处理实效，实现“污水净化、环境美化、村庄绿化”目标。</w:t>
      </w:r>
    </w:p>
    <w:p w14:paraId="1C082CCA">
      <w:pPr>
        <w:pStyle w:val="65"/>
        <w:spacing w:before="0" w:beforeAutospacing="0" w:after="0" w:afterAutospacing="0" w:line="360" w:lineRule="auto"/>
        <w:rPr>
          <w:b/>
          <w:bCs/>
        </w:rPr>
      </w:pPr>
      <w:r>
        <w:rPr>
          <w:rFonts w:hint="eastAsia"/>
          <w:b/>
          <w:bCs/>
        </w:rPr>
        <w:t>二、招标范围及内容</w:t>
      </w:r>
    </w:p>
    <w:p w14:paraId="52271FC1">
      <w:pPr>
        <w:pStyle w:val="65"/>
        <w:spacing w:before="0" w:beforeAutospacing="0" w:after="0" w:afterAutospacing="0" w:line="360" w:lineRule="auto"/>
        <w:rPr>
          <w:b/>
          <w:bCs/>
        </w:rPr>
      </w:pPr>
      <w:r>
        <w:rPr>
          <w:rFonts w:hint="eastAsia"/>
          <w:b/>
          <w:bCs/>
        </w:rPr>
        <w:t>1、招标范围</w:t>
      </w:r>
    </w:p>
    <w:tbl>
      <w:tblPr>
        <w:tblStyle w:val="69"/>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4111"/>
        <w:gridCol w:w="1443"/>
        <w:gridCol w:w="2189"/>
      </w:tblGrid>
      <w:tr w14:paraId="6D08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11" w:type="dxa"/>
            <w:vAlign w:val="center"/>
          </w:tcPr>
          <w:p w14:paraId="24063AFD">
            <w:pPr>
              <w:widowControl/>
              <w:adjustRightInd/>
              <w:spacing w:line="360" w:lineRule="auto"/>
              <w:jc w:val="center"/>
              <w:rPr>
                <w:rFonts w:ascii="宋体" w:hAnsi="宋体" w:cs="宋体"/>
                <w:b/>
                <w:bCs/>
                <w:kern w:val="0"/>
                <w:sz w:val="24"/>
                <w:szCs w:val="24"/>
              </w:rPr>
            </w:pPr>
            <w:r>
              <w:rPr>
                <w:rFonts w:hint="eastAsia" w:ascii="宋体" w:hAnsi="宋体" w:cs="宋体"/>
                <w:b/>
                <w:bCs/>
                <w:kern w:val="0"/>
                <w:sz w:val="24"/>
                <w:szCs w:val="24"/>
              </w:rPr>
              <w:t>项目</w:t>
            </w:r>
          </w:p>
        </w:tc>
        <w:tc>
          <w:tcPr>
            <w:tcW w:w="4111" w:type="dxa"/>
            <w:vAlign w:val="center"/>
          </w:tcPr>
          <w:p w14:paraId="7486A281">
            <w:pPr>
              <w:widowControl/>
              <w:adjustRightInd/>
              <w:spacing w:line="360" w:lineRule="auto"/>
              <w:jc w:val="center"/>
              <w:rPr>
                <w:rFonts w:ascii="宋体" w:hAnsi="宋体" w:cs="宋体"/>
                <w:b/>
                <w:bCs/>
                <w:kern w:val="0"/>
                <w:sz w:val="24"/>
                <w:szCs w:val="24"/>
              </w:rPr>
            </w:pPr>
            <w:r>
              <w:rPr>
                <w:rFonts w:hint="eastAsia" w:ascii="宋体" w:hAnsi="宋体" w:cs="宋体"/>
                <w:b/>
                <w:bCs/>
                <w:kern w:val="0"/>
                <w:sz w:val="24"/>
                <w:szCs w:val="24"/>
              </w:rPr>
              <w:t>内容</w:t>
            </w:r>
          </w:p>
        </w:tc>
        <w:tc>
          <w:tcPr>
            <w:tcW w:w="1443" w:type="dxa"/>
            <w:vAlign w:val="center"/>
          </w:tcPr>
          <w:p w14:paraId="701D55D2">
            <w:pPr>
              <w:widowControl/>
              <w:adjustRightInd/>
              <w:spacing w:line="360" w:lineRule="auto"/>
              <w:jc w:val="center"/>
              <w:rPr>
                <w:rFonts w:ascii="宋体" w:hAnsi="宋体" w:cs="宋体"/>
                <w:b/>
                <w:bCs/>
                <w:kern w:val="0"/>
                <w:sz w:val="24"/>
                <w:szCs w:val="24"/>
              </w:rPr>
            </w:pPr>
            <w:r>
              <w:rPr>
                <w:rFonts w:hint="eastAsia" w:ascii="宋体" w:hAnsi="宋体" w:cs="宋体"/>
                <w:b/>
                <w:bCs/>
                <w:kern w:val="0"/>
                <w:sz w:val="24"/>
                <w:szCs w:val="24"/>
              </w:rPr>
              <w:t>数量</w:t>
            </w:r>
            <w:r>
              <w:rPr>
                <w:rFonts w:ascii="宋体" w:hAnsi="宋体"/>
                <w:b/>
                <w:bCs/>
                <w:kern w:val="0"/>
                <w:sz w:val="24"/>
                <w:szCs w:val="24"/>
              </w:rPr>
              <w:t>/</w:t>
            </w:r>
            <w:r>
              <w:rPr>
                <w:rFonts w:hint="eastAsia" w:ascii="宋体" w:hAnsi="宋体" w:cs="宋体"/>
                <w:b/>
                <w:bCs/>
                <w:kern w:val="0"/>
                <w:sz w:val="24"/>
                <w:szCs w:val="24"/>
              </w:rPr>
              <w:t>单位</w:t>
            </w:r>
          </w:p>
        </w:tc>
        <w:tc>
          <w:tcPr>
            <w:tcW w:w="2189" w:type="dxa"/>
            <w:vAlign w:val="center"/>
          </w:tcPr>
          <w:p w14:paraId="2473225F">
            <w:pPr>
              <w:widowControl/>
              <w:adjustRightInd/>
              <w:spacing w:line="360" w:lineRule="auto"/>
              <w:jc w:val="center"/>
              <w:rPr>
                <w:rFonts w:ascii="宋体" w:hAnsi="宋体" w:cs="宋体"/>
                <w:b/>
                <w:bCs/>
                <w:kern w:val="0"/>
                <w:sz w:val="24"/>
                <w:szCs w:val="24"/>
              </w:rPr>
            </w:pPr>
            <w:r>
              <w:rPr>
                <w:rFonts w:hint="eastAsia" w:ascii="宋体" w:hAnsi="宋体" w:cs="宋体"/>
                <w:b/>
                <w:bCs/>
                <w:kern w:val="0"/>
                <w:sz w:val="24"/>
                <w:szCs w:val="24"/>
              </w:rPr>
              <w:t>备注</w:t>
            </w:r>
          </w:p>
        </w:tc>
      </w:tr>
      <w:tr w14:paraId="24F7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11" w:type="dxa"/>
            <w:vAlign w:val="center"/>
          </w:tcPr>
          <w:p w14:paraId="4C984D0A">
            <w:pPr>
              <w:widowControl/>
              <w:adjustRightInd/>
              <w:spacing w:line="360" w:lineRule="auto"/>
              <w:jc w:val="center"/>
              <w:rPr>
                <w:rFonts w:ascii="宋体" w:hAnsi="宋体" w:cs="宋体"/>
                <w:b/>
                <w:bCs/>
                <w:kern w:val="0"/>
                <w:sz w:val="24"/>
                <w:szCs w:val="24"/>
              </w:rPr>
            </w:pPr>
            <w:r>
              <w:rPr>
                <w:rFonts w:hint="eastAsia" w:ascii="宋体" w:hAnsi="宋体" w:cs="宋体"/>
                <w:b/>
                <w:bCs/>
                <w:kern w:val="0"/>
                <w:sz w:val="24"/>
                <w:szCs w:val="24"/>
              </w:rPr>
              <w:t>1</w:t>
            </w:r>
          </w:p>
        </w:tc>
        <w:tc>
          <w:tcPr>
            <w:tcW w:w="7743" w:type="dxa"/>
            <w:gridSpan w:val="3"/>
            <w:vAlign w:val="center"/>
          </w:tcPr>
          <w:p w14:paraId="0643D2F9">
            <w:pPr>
              <w:widowControl/>
              <w:adjustRightInd/>
              <w:spacing w:line="360" w:lineRule="auto"/>
              <w:jc w:val="center"/>
              <w:rPr>
                <w:rFonts w:ascii="宋体" w:hAnsi="宋体" w:cs="宋体"/>
                <w:b/>
                <w:bCs/>
                <w:kern w:val="0"/>
                <w:sz w:val="24"/>
                <w:szCs w:val="24"/>
              </w:rPr>
            </w:pPr>
            <w:r>
              <w:rPr>
                <w:rFonts w:hint="eastAsia" w:ascii="宋体" w:hAnsi="宋体" w:cs="宋体"/>
                <w:b/>
                <w:bCs/>
                <w:kern w:val="0"/>
                <w:sz w:val="24"/>
                <w:szCs w:val="24"/>
              </w:rPr>
              <w:t>污水处理站</w:t>
            </w:r>
          </w:p>
        </w:tc>
      </w:tr>
      <w:tr w14:paraId="0E89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11" w:type="dxa"/>
            <w:vMerge w:val="restart"/>
            <w:vAlign w:val="center"/>
          </w:tcPr>
          <w:p w14:paraId="04C63798">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人工工资</w:t>
            </w:r>
          </w:p>
        </w:tc>
        <w:tc>
          <w:tcPr>
            <w:tcW w:w="4111" w:type="dxa"/>
            <w:vAlign w:val="center"/>
          </w:tcPr>
          <w:p w14:paraId="33A1FB53">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专职技术负责人</w:t>
            </w:r>
          </w:p>
        </w:tc>
        <w:tc>
          <w:tcPr>
            <w:tcW w:w="1443" w:type="dxa"/>
            <w:vAlign w:val="center"/>
          </w:tcPr>
          <w:p w14:paraId="759EF763">
            <w:pPr>
              <w:widowControl/>
              <w:adjustRightInd/>
              <w:spacing w:line="360" w:lineRule="auto"/>
              <w:jc w:val="center"/>
              <w:rPr>
                <w:rFonts w:ascii="宋体" w:hAnsi="宋体"/>
                <w:kern w:val="0"/>
                <w:sz w:val="24"/>
                <w:szCs w:val="24"/>
              </w:rPr>
            </w:pPr>
            <w:r>
              <w:rPr>
                <w:rFonts w:ascii="宋体" w:hAnsi="宋体"/>
                <w:kern w:val="0"/>
                <w:sz w:val="24"/>
                <w:szCs w:val="24"/>
              </w:rPr>
              <w:t>1</w:t>
            </w:r>
            <w:r>
              <w:rPr>
                <w:rFonts w:hint="eastAsia" w:ascii="宋体" w:hAnsi="宋体"/>
                <w:kern w:val="0"/>
                <w:sz w:val="24"/>
                <w:szCs w:val="24"/>
              </w:rPr>
              <w:t>名</w:t>
            </w:r>
          </w:p>
        </w:tc>
        <w:tc>
          <w:tcPr>
            <w:tcW w:w="2189" w:type="dxa"/>
            <w:vAlign w:val="center"/>
          </w:tcPr>
          <w:p w14:paraId="6D143C8D">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　</w:t>
            </w:r>
          </w:p>
        </w:tc>
      </w:tr>
      <w:tr w14:paraId="6E9A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11" w:type="dxa"/>
            <w:vMerge w:val="continue"/>
            <w:vAlign w:val="center"/>
          </w:tcPr>
          <w:p w14:paraId="5161BA70">
            <w:pPr>
              <w:widowControl/>
              <w:adjustRightInd/>
              <w:spacing w:line="360" w:lineRule="auto"/>
              <w:jc w:val="left"/>
              <w:rPr>
                <w:rFonts w:ascii="宋体" w:hAnsi="宋体" w:cs="宋体"/>
                <w:kern w:val="0"/>
                <w:sz w:val="24"/>
                <w:szCs w:val="24"/>
              </w:rPr>
            </w:pPr>
          </w:p>
        </w:tc>
        <w:tc>
          <w:tcPr>
            <w:tcW w:w="4111" w:type="dxa"/>
            <w:vAlign w:val="center"/>
          </w:tcPr>
          <w:p w14:paraId="30A0273E">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专职污水处理工（轮岗）</w:t>
            </w:r>
          </w:p>
        </w:tc>
        <w:tc>
          <w:tcPr>
            <w:tcW w:w="1443" w:type="dxa"/>
            <w:vAlign w:val="center"/>
          </w:tcPr>
          <w:p w14:paraId="469EA3E7">
            <w:pPr>
              <w:widowControl/>
              <w:adjustRightInd/>
              <w:spacing w:line="360" w:lineRule="auto"/>
              <w:jc w:val="center"/>
              <w:rPr>
                <w:rFonts w:ascii="宋体" w:hAnsi="宋体"/>
                <w:kern w:val="0"/>
                <w:sz w:val="24"/>
                <w:szCs w:val="24"/>
              </w:rPr>
            </w:pPr>
            <w:r>
              <w:rPr>
                <w:rFonts w:ascii="宋体" w:hAnsi="宋体"/>
                <w:kern w:val="0"/>
                <w:sz w:val="24"/>
                <w:szCs w:val="24"/>
              </w:rPr>
              <w:t>2</w:t>
            </w:r>
            <w:r>
              <w:rPr>
                <w:rFonts w:hint="eastAsia" w:ascii="宋体" w:hAnsi="宋体"/>
                <w:kern w:val="0"/>
                <w:sz w:val="24"/>
                <w:szCs w:val="24"/>
              </w:rPr>
              <w:t>名</w:t>
            </w:r>
          </w:p>
        </w:tc>
        <w:tc>
          <w:tcPr>
            <w:tcW w:w="2189" w:type="dxa"/>
            <w:vAlign w:val="center"/>
          </w:tcPr>
          <w:p w14:paraId="5F94044D">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　</w:t>
            </w:r>
          </w:p>
        </w:tc>
      </w:tr>
      <w:tr w14:paraId="6E3B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611" w:type="dxa"/>
            <w:vAlign w:val="center"/>
          </w:tcPr>
          <w:p w14:paraId="6E3BC692">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电费</w:t>
            </w:r>
          </w:p>
        </w:tc>
        <w:tc>
          <w:tcPr>
            <w:tcW w:w="4111" w:type="dxa"/>
            <w:vAlign w:val="center"/>
          </w:tcPr>
          <w:p w14:paraId="7A730B9C">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约电量600度/天</w:t>
            </w:r>
          </w:p>
        </w:tc>
        <w:tc>
          <w:tcPr>
            <w:tcW w:w="1443" w:type="dxa"/>
            <w:vAlign w:val="center"/>
          </w:tcPr>
          <w:p w14:paraId="4CC6A592">
            <w:pPr>
              <w:widowControl/>
              <w:adjustRightInd/>
              <w:spacing w:line="360" w:lineRule="auto"/>
              <w:jc w:val="center"/>
              <w:rPr>
                <w:rFonts w:ascii="宋体" w:hAnsi="宋体"/>
                <w:kern w:val="0"/>
                <w:sz w:val="24"/>
                <w:szCs w:val="24"/>
              </w:rPr>
            </w:pPr>
            <w:r>
              <w:rPr>
                <w:rFonts w:hint="eastAsia" w:ascii="宋体" w:hAnsi="宋体"/>
                <w:kern w:val="0"/>
                <w:sz w:val="24"/>
                <w:szCs w:val="24"/>
              </w:rPr>
              <w:t>219</w:t>
            </w:r>
            <w:r>
              <w:rPr>
                <w:rFonts w:ascii="宋体" w:hAnsi="宋体"/>
                <w:kern w:val="0"/>
                <w:sz w:val="24"/>
                <w:szCs w:val="24"/>
              </w:rPr>
              <w:t>000</w:t>
            </w:r>
            <w:r>
              <w:rPr>
                <w:rFonts w:hint="eastAsia" w:ascii="宋体" w:hAnsi="宋体"/>
                <w:kern w:val="0"/>
                <w:sz w:val="24"/>
                <w:szCs w:val="24"/>
              </w:rPr>
              <w:t>度</w:t>
            </w:r>
          </w:p>
        </w:tc>
        <w:tc>
          <w:tcPr>
            <w:tcW w:w="2189" w:type="dxa"/>
            <w:vAlign w:val="center"/>
          </w:tcPr>
          <w:p w14:paraId="53D02E71">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　</w:t>
            </w:r>
          </w:p>
        </w:tc>
      </w:tr>
      <w:tr w14:paraId="2E06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11" w:type="dxa"/>
            <w:vMerge w:val="restart"/>
            <w:vAlign w:val="center"/>
          </w:tcPr>
          <w:p w14:paraId="64254B08">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药剂费</w:t>
            </w:r>
          </w:p>
        </w:tc>
        <w:tc>
          <w:tcPr>
            <w:tcW w:w="4111" w:type="dxa"/>
            <w:vAlign w:val="center"/>
          </w:tcPr>
          <w:p w14:paraId="120D3094">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增加碳源葡萄糖：按照平均每天100公斤</w:t>
            </w:r>
          </w:p>
        </w:tc>
        <w:tc>
          <w:tcPr>
            <w:tcW w:w="1443" w:type="dxa"/>
            <w:vAlign w:val="center"/>
          </w:tcPr>
          <w:p w14:paraId="4E20F991">
            <w:pPr>
              <w:widowControl/>
              <w:adjustRightInd/>
              <w:spacing w:line="360" w:lineRule="auto"/>
              <w:jc w:val="center"/>
              <w:rPr>
                <w:rFonts w:ascii="宋体" w:hAnsi="宋体"/>
                <w:kern w:val="0"/>
                <w:sz w:val="24"/>
                <w:szCs w:val="24"/>
              </w:rPr>
            </w:pPr>
            <w:r>
              <w:rPr>
                <w:rFonts w:ascii="宋体" w:hAnsi="宋体"/>
                <w:kern w:val="0"/>
                <w:sz w:val="24"/>
                <w:szCs w:val="24"/>
              </w:rPr>
              <w:t>3000kg</w:t>
            </w:r>
          </w:p>
        </w:tc>
        <w:tc>
          <w:tcPr>
            <w:tcW w:w="2189" w:type="dxa"/>
            <w:vAlign w:val="center"/>
          </w:tcPr>
          <w:p w14:paraId="25C9AC4F">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　</w:t>
            </w:r>
          </w:p>
        </w:tc>
      </w:tr>
      <w:tr w14:paraId="7796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11" w:type="dxa"/>
            <w:vMerge w:val="continue"/>
            <w:vAlign w:val="center"/>
          </w:tcPr>
          <w:p w14:paraId="6832934D">
            <w:pPr>
              <w:widowControl/>
              <w:adjustRightInd/>
              <w:spacing w:line="360" w:lineRule="auto"/>
              <w:jc w:val="left"/>
              <w:rPr>
                <w:rFonts w:ascii="宋体" w:hAnsi="宋体" w:cs="宋体"/>
                <w:kern w:val="0"/>
                <w:sz w:val="24"/>
                <w:szCs w:val="24"/>
              </w:rPr>
            </w:pPr>
          </w:p>
        </w:tc>
        <w:tc>
          <w:tcPr>
            <w:tcW w:w="4111" w:type="dxa"/>
            <w:vAlign w:val="center"/>
          </w:tcPr>
          <w:p w14:paraId="46A42988">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除磷用</w:t>
            </w:r>
            <w:r>
              <w:rPr>
                <w:rFonts w:ascii="宋体" w:hAnsi="宋体"/>
                <w:kern w:val="0"/>
                <w:sz w:val="24"/>
                <w:szCs w:val="24"/>
              </w:rPr>
              <w:t>PAC+PAM</w:t>
            </w:r>
          </w:p>
        </w:tc>
        <w:tc>
          <w:tcPr>
            <w:tcW w:w="1443" w:type="dxa"/>
            <w:vAlign w:val="center"/>
          </w:tcPr>
          <w:p w14:paraId="5579A064">
            <w:pPr>
              <w:widowControl/>
              <w:adjustRightInd/>
              <w:spacing w:line="360" w:lineRule="auto"/>
              <w:jc w:val="center"/>
              <w:rPr>
                <w:rFonts w:ascii="宋体" w:hAnsi="宋体"/>
                <w:kern w:val="0"/>
                <w:sz w:val="24"/>
                <w:szCs w:val="24"/>
              </w:rPr>
            </w:pPr>
            <w:r>
              <w:rPr>
                <w:rFonts w:ascii="宋体" w:hAnsi="宋体"/>
                <w:kern w:val="0"/>
                <w:sz w:val="24"/>
                <w:szCs w:val="24"/>
              </w:rPr>
              <w:t>1</w:t>
            </w:r>
            <w:r>
              <w:rPr>
                <w:rFonts w:hint="eastAsia" w:ascii="宋体" w:hAnsi="宋体"/>
                <w:kern w:val="0"/>
                <w:sz w:val="24"/>
                <w:szCs w:val="24"/>
              </w:rPr>
              <w:t>项</w:t>
            </w:r>
          </w:p>
        </w:tc>
        <w:tc>
          <w:tcPr>
            <w:tcW w:w="2189" w:type="dxa"/>
            <w:vAlign w:val="center"/>
          </w:tcPr>
          <w:p w14:paraId="356D0163">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　</w:t>
            </w:r>
          </w:p>
        </w:tc>
      </w:tr>
      <w:tr w14:paraId="53A9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11" w:type="dxa"/>
            <w:vMerge w:val="continue"/>
            <w:vAlign w:val="center"/>
          </w:tcPr>
          <w:p w14:paraId="4CDF6D8C">
            <w:pPr>
              <w:widowControl/>
              <w:adjustRightInd/>
              <w:spacing w:line="360" w:lineRule="auto"/>
              <w:jc w:val="left"/>
              <w:rPr>
                <w:rFonts w:ascii="宋体" w:hAnsi="宋体" w:cs="宋体"/>
                <w:kern w:val="0"/>
                <w:sz w:val="24"/>
                <w:szCs w:val="24"/>
              </w:rPr>
            </w:pPr>
          </w:p>
        </w:tc>
        <w:tc>
          <w:tcPr>
            <w:tcW w:w="4111" w:type="dxa"/>
            <w:vAlign w:val="center"/>
          </w:tcPr>
          <w:p w14:paraId="3FFACC49">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次氯酸钠</w:t>
            </w:r>
          </w:p>
        </w:tc>
        <w:tc>
          <w:tcPr>
            <w:tcW w:w="1443" w:type="dxa"/>
            <w:vAlign w:val="center"/>
          </w:tcPr>
          <w:p w14:paraId="011C924C">
            <w:pPr>
              <w:widowControl/>
              <w:adjustRightInd/>
              <w:spacing w:line="360" w:lineRule="auto"/>
              <w:jc w:val="center"/>
              <w:rPr>
                <w:rFonts w:ascii="宋体" w:hAnsi="宋体"/>
                <w:kern w:val="0"/>
                <w:sz w:val="24"/>
                <w:szCs w:val="24"/>
              </w:rPr>
            </w:pPr>
            <w:r>
              <w:rPr>
                <w:rFonts w:ascii="宋体" w:hAnsi="宋体"/>
                <w:kern w:val="0"/>
                <w:sz w:val="24"/>
                <w:szCs w:val="24"/>
              </w:rPr>
              <w:t>100kg</w:t>
            </w:r>
          </w:p>
        </w:tc>
        <w:tc>
          <w:tcPr>
            <w:tcW w:w="2189" w:type="dxa"/>
            <w:vAlign w:val="center"/>
          </w:tcPr>
          <w:p w14:paraId="1CAECD68">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　</w:t>
            </w:r>
          </w:p>
        </w:tc>
      </w:tr>
      <w:tr w14:paraId="28EB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11" w:type="dxa"/>
            <w:vAlign w:val="center"/>
          </w:tcPr>
          <w:p w14:paraId="7DD583DD">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水质检测费</w:t>
            </w:r>
          </w:p>
        </w:tc>
        <w:tc>
          <w:tcPr>
            <w:tcW w:w="4111" w:type="dxa"/>
            <w:vAlign w:val="center"/>
          </w:tcPr>
          <w:p w14:paraId="460C7DEC">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每周至少一次进水水水质检测</w:t>
            </w:r>
          </w:p>
        </w:tc>
        <w:tc>
          <w:tcPr>
            <w:tcW w:w="1443" w:type="dxa"/>
            <w:vAlign w:val="center"/>
          </w:tcPr>
          <w:p w14:paraId="7971901D">
            <w:pPr>
              <w:widowControl/>
              <w:adjustRightInd/>
              <w:spacing w:line="360" w:lineRule="auto"/>
              <w:jc w:val="center"/>
              <w:rPr>
                <w:rFonts w:ascii="宋体" w:hAnsi="宋体"/>
                <w:kern w:val="0"/>
                <w:sz w:val="24"/>
                <w:szCs w:val="24"/>
              </w:rPr>
            </w:pPr>
            <w:r>
              <w:rPr>
                <w:rFonts w:hint="eastAsia" w:ascii="宋体" w:hAnsi="宋体"/>
                <w:kern w:val="0"/>
                <w:sz w:val="24"/>
                <w:szCs w:val="24"/>
              </w:rPr>
              <w:t>次</w:t>
            </w:r>
            <w:r>
              <w:rPr>
                <w:rFonts w:ascii="宋体" w:hAnsi="宋体"/>
                <w:kern w:val="0"/>
                <w:sz w:val="24"/>
                <w:szCs w:val="24"/>
              </w:rPr>
              <w:t>/</w:t>
            </w:r>
            <w:r>
              <w:rPr>
                <w:rFonts w:hint="eastAsia" w:ascii="宋体" w:hAnsi="宋体"/>
                <w:kern w:val="0"/>
                <w:sz w:val="24"/>
                <w:szCs w:val="24"/>
              </w:rPr>
              <w:t>周</w:t>
            </w:r>
          </w:p>
        </w:tc>
        <w:tc>
          <w:tcPr>
            <w:tcW w:w="2189" w:type="dxa"/>
            <w:vAlign w:val="center"/>
          </w:tcPr>
          <w:p w14:paraId="2C2A1FBC">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　</w:t>
            </w:r>
          </w:p>
        </w:tc>
      </w:tr>
      <w:tr w14:paraId="3256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11" w:type="dxa"/>
            <w:vAlign w:val="center"/>
          </w:tcPr>
          <w:p w14:paraId="3306919C">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维修费</w:t>
            </w:r>
          </w:p>
        </w:tc>
        <w:tc>
          <w:tcPr>
            <w:tcW w:w="4111" w:type="dxa"/>
            <w:vAlign w:val="center"/>
          </w:tcPr>
          <w:p w14:paraId="629EDCFE">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设备零配件的损坏、更换，局部小范围的维修等，不含设备大修、更换</w:t>
            </w:r>
          </w:p>
        </w:tc>
        <w:tc>
          <w:tcPr>
            <w:tcW w:w="1443" w:type="dxa"/>
            <w:vAlign w:val="center"/>
          </w:tcPr>
          <w:p w14:paraId="461C809A">
            <w:pPr>
              <w:widowControl/>
              <w:adjustRightInd/>
              <w:spacing w:line="360" w:lineRule="auto"/>
              <w:jc w:val="center"/>
              <w:rPr>
                <w:rFonts w:ascii="宋体" w:hAnsi="宋体"/>
                <w:kern w:val="0"/>
                <w:sz w:val="24"/>
                <w:szCs w:val="24"/>
              </w:rPr>
            </w:pPr>
            <w:r>
              <w:rPr>
                <w:rFonts w:ascii="宋体" w:hAnsi="宋体"/>
                <w:kern w:val="0"/>
                <w:sz w:val="24"/>
                <w:szCs w:val="24"/>
              </w:rPr>
              <w:t>1</w:t>
            </w:r>
            <w:r>
              <w:rPr>
                <w:rFonts w:hint="eastAsia" w:ascii="宋体" w:hAnsi="宋体"/>
                <w:kern w:val="0"/>
                <w:sz w:val="24"/>
                <w:szCs w:val="24"/>
              </w:rPr>
              <w:t>项</w:t>
            </w:r>
          </w:p>
        </w:tc>
        <w:tc>
          <w:tcPr>
            <w:tcW w:w="2189" w:type="dxa"/>
            <w:vAlign w:val="center"/>
          </w:tcPr>
          <w:p w14:paraId="19CCCA81">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　</w:t>
            </w:r>
          </w:p>
        </w:tc>
      </w:tr>
      <w:tr w14:paraId="7ADA1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11" w:type="dxa"/>
            <w:vAlign w:val="center"/>
          </w:tcPr>
          <w:p w14:paraId="02964E8E">
            <w:pPr>
              <w:widowControl/>
              <w:adjustRightInd/>
              <w:spacing w:line="360" w:lineRule="auto"/>
              <w:jc w:val="center"/>
              <w:rPr>
                <w:rFonts w:ascii="宋体" w:hAnsi="宋体" w:cs="宋体"/>
                <w:b/>
                <w:kern w:val="0"/>
                <w:sz w:val="24"/>
                <w:szCs w:val="24"/>
              </w:rPr>
            </w:pPr>
            <w:r>
              <w:rPr>
                <w:rFonts w:hint="eastAsia" w:ascii="宋体" w:hAnsi="宋体" w:cs="宋体"/>
                <w:b/>
                <w:kern w:val="0"/>
                <w:sz w:val="24"/>
                <w:szCs w:val="24"/>
              </w:rPr>
              <w:t>2</w:t>
            </w:r>
          </w:p>
        </w:tc>
        <w:tc>
          <w:tcPr>
            <w:tcW w:w="7743" w:type="dxa"/>
            <w:gridSpan w:val="3"/>
            <w:vAlign w:val="center"/>
          </w:tcPr>
          <w:p w14:paraId="4D831638">
            <w:pPr>
              <w:widowControl/>
              <w:adjustRightInd/>
              <w:spacing w:line="360" w:lineRule="auto"/>
              <w:jc w:val="center"/>
              <w:rPr>
                <w:rFonts w:ascii="宋体" w:hAnsi="宋体" w:cs="宋体"/>
                <w:kern w:val="0"/>
                <w:sz w:val="24"/>
                <w:szCs w:val="24"/>
              </w:rPr>
            </w:pPr>
            <w:r>
              <w:rPr>
                <w:rFonts w:hint="eastAsia" w:ascii="宋体" w:hAnsi="宋体" w:cs="宋体"/>
                <w:b/>
                <w:bCs/>
                <w:kern w:val="0"/>
                <w:sz w:val="24"/>
                <w:szCs w:val="24"/>
              </w:rPr>
              <w:t>垃圾中转站</w:t>
            </w:r>
            <w:r>
              <w:rPr>
                <w:rFonts w:hint="eastAsia" w:ascii="宋体" w:hAnsi="宋体" w:cs="宋体"/>
                <w:kern w:val="0"/>
                <w:sz w:val="24"/>
                <w:szCs w:val="24"/>
              </w:rPr>
              <w:t>　</w:t>
            </w:r>
          </w:p>
        </w:tc>
      </w:tr>
      <w:tr w14:paraId="583EB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11" w:type="dxa"/>
            <w:vAlign w:val="center"/>
          </w:tcPr>
          <w:p w14:paraId="00447C66">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人工工资</w:t>
            </w:r>
          </w:p>
        </w:tc>
        <w:tc>
          <w:tcPr>
            <w:tcW w:w="4111" w:type="dxa"/>
            <w:vAlign w:val="center"/>
          </w:tcPr>
          <w:p w14:paraId="18A4B7C6">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专职污水处理工</w:t>
            </w:r>
          </w:p>
        </w:tc>
        <w:tc>
          <w:tcPr>
            <w:tcW w:w="1443" w:type="dxa"/>
            <w:vAlign w:val="center"/>
          </w:tcPr>
          <w:p w14:paraId="05661DA6">
            <w:pPr>
              <w:widowControl/>
              <w:adjustRightInd/>
              <w:spacing w:line="360" w:lineRule="auto"/>
              <w:jc w:val="center"/>
              <w:rPr>
                <w:rFonts w:ascii="宋体" w:hAnsi="宋体"/>
                <w:kern w:val="0"/>
                <w:sz w:val="24"/>
                <w:szCs w:val="24"/>
              </w:rPr>
            </w:pPr>
            <w:r>
              <w:rPr>
                <w:rFonts w:ascii="宋体" w:hAnsi="宋体"/>
                <w:kern w:val="0"/>
                <w:sz w:val="24"/>
                <w:szCs w:val="24"/>
              </w:rPr>
              <w:t>1</w:t>
            </w:r>
            <w:r>
              <w:rPr>
                <w:rFonts w:hint="eastAsia" w:ascii="宋体" w:hAnsi="宋体"/>
                <w:kern w:val="0"/>
                <w:sz w:val="24"/>
                <w:szCs w:val="24"/>
              </w:rPr>
              <w:t>名</w:t>
            </w:r>
          </w:p>
        </w:tc>
        <w:tc>
          <w:tcPr>
            <w:tcW w:w="2189" w:type="dxa"/>
            <w:vAlign w:val="center"/>
          </w:tcPr>
          <w:p w14:paraId="0360600B">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　</w:t>
            </w:r>
          </w:p>
        </w:tc>
      </w:tr>
      <w:tr w14:paraId="5976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11" w:type="dxa"/>
            <w:vMerge w:val="restart"/>
            <w:vAlign w:val="center"/>
          </w:tcPr>
          <w:p w14:paraId="7D4AF514">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药剂费</w:t>
            </w:r>
          </w:p>
        </w:tc>
        <w:tc>
          <w:tcPr>
            <w:tcW w:w="4111" w:type="dxa"/>
            <w:vAlign w:val="center"/>
          </w:tcPr>
          <w:p w14:paraId="0BA12554">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PAC</w:t>
            </w:r>
          </w:p>
        </w:tc>
        <w:tc>
          <w:tcPr>
            <w:tcW w:w="1443" w:type="dxa"/>
            <w:vAlign w:val="center"/>
          </w:tcPr>
          <w:p w14:paraId="18FC6DB1">
            <w:pPr>
              <w:widowControl/>
              <w:adjustRightInd/>
              <w:spacing w:line="360" w:lineRule="auto"/>
              <w:jc w:val="center"/>
              <w:rPr>
                <w:rFonts w:ascii="宋体" w:hAnsi="宋体"/>
                <w:kern w:val="0"/>
                <w:sz w:val="24"/>
                <w:szCs w:val="24"/>
              </w:rPr>
            </w:pPr>
            <w:r>
              <w:rPr>
                <w:rFonts w:ascii="宋体" w:hAnsi="宋体"/>
                <w:kern w:val="0"/>
                <w:sz w:val="24"/>
                <w:szCs w:val="24"/>
              </w:rPr>
              <w:t>750kg</w:t>
            </w:r>
          </w:p>
        </w:tc>
        <w:tc>
          <w:tcPr>
            <w:tcW w:w="2189" w:type="dxa"/>
            <w:vAlign w:val="center"/>
          </w:tcPr>
          <w:p w14:paraId="0338F73A">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　</w:t>
            </w:r>
          </w:p>
        </w:tc>
      </w:tr>
      <w:tr w14:paraId="4C02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11" w:type="dxa"/>
            <w:vMerge w:val="continue"/>
            <w:vAlign w:val="center"/>
          </w:tcPr>
          <w:p w14:paraId="5C5F1D10">
            <w:pPr>
              <w:widowControl/>
              <w:adjustRightInd/>
              <w:spacing w:line="360" w:lineRule="auto"/>
              <w:jc w:val="left"/>
              <w:rPr>
                <w:rFonts w:ascii="宋体" w:hAnsi="宋体" w:cs="宋体"/>
                <w:kern w:val="0"/>
                <w:sz w:val="24"/>
                <w:szCs w:val="24"/>
              </w:rPr>
            </w:pPr>
          </w:p>
        </w:tc>
        <w:tc>
          <w:tcPr>
            <w:tcW w:w="4111" w:type="dxa"/>
            <w:vAlign w:val="center"/>
          </w:tcPr>
          <w:p w14:paraId="68924264">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PAM（阳离子+阴离子）</w:t>
            </w:r>
          </w:p>
        </w:tc>
        <w:tc>
          <w:tcPr>
            <w:tcW w:w="1443" w:type="dxa"/>
            <w:vAlign w:val="center"/>
          </w:tcPr>
          <w:p w14:paraId="4932E155">
            <w:pPr>
              <w:widowControl/>
              <w:adjustRightInd/>
              <w:spacing w:line="360" w:lineRule="auto"/>
              <w:jc w:val="center"/>
              <w:rPr>
                <w:rFonts w:ascii="宋体" w:hAnsi="宋体"/>
                <w:kern w:val="0"/>
                <w:sz w:val="24"/>
                <w:szCs w:val="24"/>
              </w:rPr>
            </w:pPr>
            <w:r>
              <w:rPr>
                <w:rFonts w:ascii="宋体" w:hAnsi="宋体"/>
                <w:kern w:val="0"/>
                <w:sz w:val="24"/>
                <w:szCs w:val="24"/>
              </w:rPr>
              <w:t>30kg</w:t>
            </w:r>
          </w:p>
        </w:tc>
        <w:tc>
          <w:tcPr>
            <w:tcW w:w="2189" w:type="dxa"/>
            <w:vAlign w:val="center"/>
          </w:tcPr>
          <w:p w14:paraId="70550868">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　</w:t>
            </w:r>
          </w:p>
        </w:tc>
      </w:tr>
      <w:tr w14:paraId="6CF2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11" w:type="dxa"/>
            <w:vMerge w:val="continue"/>
            <w:vAlign w:val="center"/>
          </w:tcPr>
          <w:p w14:paraId="0C0E41E0">
            <w:pPr>
              <w:widowControl/>
              <w:adjustRightInd/>
              <w:spacing w:line="360" w:lineRule="auto"/>
              <w:jc w:val="left"/>
              <w:rPr>
                <w:rFonts w:ascii="宋体" w:hAnsi="宋体" w:cs="宋体"/>
                <w:kern w:val="0"/>
                <w:sz w:val="24"/>
                <w:szCs w:val="24"/>
              </w:rPr>
            </w:pPr>
          </w:p>
        </w:tc>
        <w:tc>
          <w:tcPr>
            <w:tcW w:w="4111" w:type="dxa"/>
            <w:vAlign w:val="center"/>
          </w:tcPr>
          <w:p w14:paraId="247151BE">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片碱</w:t>
            </w:r>
          </w:p>
        </w:tc>
        <w:tc>
          <w:tcPr>
            <w:tcW w:w="1443" w:type="dxa"/>
            <w:vAlign w:val="center"/>
          </w:tcPr>
          <w:p w14:paraId="26346915">
            <w:pPr>
              <w:widowControl/>
              <w:adjustRightInd/>
              <w:spacing w:line="360" w:lineRule="auto"/>
              <w:jc w:val="center"/>
              <w:rPr>
                <w:rFonts w:ascii="宋体" w:hAnsi="宋体"/>
                <w:kern w:val="0"/>
                <w:sz w:val="24"/>
                <w:szCs w:val="24"/>
              </w:rPr>
            </w:pPr>
            <w:r>
              <w:rPr>
                <w:rFonts w:ascii="宋体" w:hAnsi="宋体"/>
                <w:kern w:val="0"/>
                <w:sz w:val="24"/>
                <w:szCs w:val="24"/>
              </w:rPr>
              <w:t>150kg</w:t>
            </w:r>
          </w:p>
        </w:tc>
        <w:tc>
          <w:tcPr>
            <w:tcW w:w="2189" w:type="dxa"/>
            <w:vAlign w:val="center"/>
          </w:tcPr>
          <w:p w14:paraId="7571AECE">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　</w:t>
            </w:r>
          </w:p>
        </w:tc>
      </w:tr>
      <w:tr w14:paraId="3800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11" w:type="dxa"/>
            <w:vAlign w:val="center"/>
          </w:tcPr>
          <w:p w14:paraId="51C9BDF4">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维修费</w:t>
            </w:r>
          </w:p>
        </w:tc>
        <w:tc>
          <w:tcPr>
            <w:tcW w:w="4111" w:type="dxa"/>
            <w:vAlign w:val="center"/>
          </w:tcPr>
          <w:p w14:paraId="45B605D1">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设备零配件的损坏、更换，局部小范围的维修等，不含设备大修、更换。</w:t>
            </w:r>
          </w:p>
        </w:tc>
        <w:tc>
          <w:tcPr>
            <w:tcW w:w="1443" w:type="dxa"/>
            <w:vAlign w:val="center"/>
          </w:tcPr>
          <w:p w14:paraId="71E1DED7">
            <w:pPr>
              <w:widowControl/>
              <w:adjustRightInd/>
              <w:spacing w:line="360" w:lineRule="auto"/>
              <w:jc w:val="center"/>
              <w:rPr>
                <w:rFonts w:ascii="宋体" w:hAnsi="宋体"/>
                <w:kern w:val="0"/>
                <w:sz w:val="24"/>
                <w:szCs w:val="24"/>
              </w:rPr>
            </w:pPr>
            <w:r>
              <w:rPr>
                <w:rFonts w:ascii="宋体" w:hAnsi="宋体"/>
                <w:kern w:val="0"/>
                <w:sz w:val="24"/>
                <w:szCs w:val="24"/>
              </w:rPr>
              <w:t>1</w:t>
            </w:r>
            <w:r>
              <w:rPr>
                <w:rFonts w:hint="eastAsia" w:ascii="宋体" w:hAnsi="宋体"/>
                <w:kern w:val="0"/>
                <w:sz w:val="24"/>
                <w:szCs w:val="24"/>
              </w:rPr>
              <w:t>项</w:t>
            </w:r>
          </w:p>
        </w:tc>
        <w:tc>
          <w:tcPr>
            <w:tcW w:w="2189" w:type="dxa"/>
            <w:vAlign w:val="center"/>
          </w:tcPr>
          <w:p w14:paraId="41B11D99">
            <w:pPr>
              <w:widowControl/>
              <w:adjustRightInd/>
              <w:spacing w:line="360" w:lineRule="auto"/>
              <w:jc w:val="center"/>
              <w:rPr>
                <w:rFonts w:ascii="宋体" w:hAnsi="宋体" w:cs="宋体"/>
                <w:kern w:val="0"/>
                <w:sz w:val="24"/>
                <w:szCs w:val="24"/>
              </w:rPr>
            </w:pPr>
            <w:r>
              <w:rPr>
                <w:rFonts w:hint="eastAsia" w:ascii="宋体" w:hAnsi="宋体"/>
                <w:sz w:val="24"/>
                <w:szCs w:val="24"/>
              </w:rPr>
              <w:t>维修项目和费用先报采购人确认后进行维修，费用按实结算</w:t>
            </w:r>
            <w:r>
              <w:rPr>
                <w:rFonts w:hint="eastAsia" w:ascii="宋体" w:hAnsi="宋体" w:cs="宋体"/>
                <w:kern w:val="0"/>
                <w:sz w:val="24"/>
                <w:szCs w:val="24"/>
              </w:rPr>
              <w:t>　</w:t>
            </w:r>
          </w:p>
        </w:tc>
      </w:tr>
      <w:tr w14:paraId="65BC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11" w:type="dxa"/>
            <w:vAlign w:val="center"/>
          </w:tcPr>
          <w:p w14:paraId="2D548CA0">
            <w:pPr>
              <w:widowControl/>
              <w:adjustRightInd/>
              <w:spacing w:line="360" w:lineRule="auto"/>
              <w:jc w:val="center"/>
              <w:rPr>
                <w:rFonts w:hint="eastAsia" w:ascii="宋体" w:hAnsi="宋体" w:cs="宋体"/>
                <w:b/>
                <w:kern w:val="0"/>
                <w:sz w:val="24"/>
                <w:szCs w:val="24"/>
              </w:rPr>
            </w:pPr>
            <w:r>
              <w:rPr>
                <w:rFonts w:hint="eastAsia" w:ascii="宋体" w:hAnsi="宋体" w:cs="宋体"/>
                <w:b/>
                <w:kern w:val="0"/>
                <w:sz w:val="24"/>
                <w:szCs w:val="24"/>
              </w:rPr>
              <w:t>3</w:t>
            </w:r>
          </w:p>
        </w:tc>
        <w:tc>
          <w:tcPr>
            <w:tcW w:w="7743" w:type="dxa"/>
            <w:gridSpan w:val="3"/>
            <w:vAlign w:val="center"/>
          </w:tcPr>
          <w:p w14:paraId="7967F196">
            <w:pPr>
              <w:widowControl/>
              <w:adjustRightInd/>
              <w:spacing w:line="360" w:lineRule="auto"/>
              <w:jc w:val="center"/>
              <w:rPr>
                <w:rFonts w:hint="eastAsia" w:ascii="宋体" w:hAnsi="宋体"/>
                <w:sz w:val="24"/>
                <w:szCs w:val="24"/>
              </w:rPr>
            </w:pPr>
            <w:r>
              <w:rPr>
                <w:rFonts w:hint="eastAsia" w:ascii="宋体" w:hAnsi="宋体" w:cs="宋体"/>
                <w:b/>
                <w:kern w:val="0"/>
                <w:sz w:val="24"/>
                <w:szCs w:val="24"/>
              </w:rPr>
              <w:t>污水处理站出水在线监测运维（COD、氨氮、总氮、总磷、PH、流量计）</w:t>
            </w:r>
          </w:p>
        </w:tc>
      </w:tr>
      <w:tr w14:paraId="4F03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11" w:type="dxa"/>
            <w:vAlign w:val="center"/>
          </w:tcPr>
          <w:p w14:paraId="600BF940">
            <w:pPr>
              <w:widowControl/>
              <w:adjustRightInd/>
              <w:spacing w:line="360" w:lineRule="auto"/>
              <w:jc w:val="center"/>
              <w:rPr>
                <w:rFonts w:hint="eastAsia" w:ascii="宋体" w:hAnsi="宋体" w:cs="宋体"/>
                <w:kern w:val="0"/>
                <w:sz w:val="24"/>
                <w:szCs w:val="24"/>
              </w:rPr>
            </w:pPr>
            <w:r>
              <w:rPr>
                <w:rFonts w:hint="eastAsia" w:ascii="宋体" w:hAnsi="宋体" w:cs="宋体"/>
                <w:kern w:val="0"/>
                <w:sz w:val="24"/>
                <w:szCs w:val="24"/>
              </w:rPr>
              <w:t>人工工资</w:t>
            </w:r>
          </w:p>
        </w:tc>
        <w:tc>
          <w:tcPr>
            <w:tcW w:w="4111" w:type="dxa"/>
            <w:vAlign w:val="center"/>
          </w:tcPr>
          <w:p w14:paraId="5A00BA83">
            <w:pPr>
              <w:widowControl/>
              <w:adjustRightInd/>
              <w:spacing w:line="360" w:lineRule="auto"/>
              <w:jc w:val="center"/>
              <w:rPr>
                <w:rFonts w:hint="eastAsia" w:ascii="宋体" w:hAnsi="宋体" w:cs="宋体"/>
                <w:kern w:val="0"/>
                <w:sz w:val="24"/>
                <w:szCs w:val="24"/>
              </w:rPr>
            </w:pPr>
            <w:r>
              <w:rPr>
                <w:rFonts w:hint="eastAsia" w:ascii="宋体" w:hAnsi="宋体" w:cs="宋体"/>
                <w:kern w:val="0"/>
                <w:sz w:val="24"/>
                <w:szCs w:val="24"/>
              </w:rPr>
              <w:t>专职在线监测设备运维人员</w:t>
            </w:r>
          </w:p>
        </w:tc>
        <w:tc>
          <w:tcPr>
            <w:tcW w:w="1443" w:type="dxa"/>
            <w:vAlign w:val="center"/>
          </w:tcPr>
          <w:p w14:paraId="50B8E86E">
            <w:pPr>
              <w:widowControl/>
              <w:adjustRightInd/>
              <w:spacing w:line="360" w:lineRule="auto"/>
              <w:jc w:val="center"/>
              <w:rPr>
                <w:rFonts w:ascii="宋体" w:hAnsi="宋体"/>
                <w:kern w:val="0"/>
                <w:sz w:val="24"/>
                <w:szCs w:val="24"/>
              </w:rPr>
            </w:pPr>
            <w:r>
              <w:rPr>
                <w:rFonts w:hint="eastAsia" w:ascii="宋体" w:hAnsi="宋体"/>
                <w:kern w:val="0"/>
                <w:sz w:val="24"/>
                <w:szCs w:val="24"/>
              </w:rPr>
              <w:t>1名</w:t>
            </w:r>
          </w:p>
        </w:tc>
        <w:tc>
          <w:tcPr>
            <w:tcW w:w="2189" w:type="dxa"/>
            <w:vAlign w:val="center"/>
          </w:tcPr>
          <w:p w14:paraId="178F4D2A">
            <w:pPr>
              <w:widowControl/>
              <w:adjustRightInd/>
              <w:spacing w:line="360" w:lineRule="auto"/>
              <w:jc w:val="center"/>
              <w:rPr>
                <w:rFonts w:hint="eastAsia" w:ascii="宋体" w:hAnsi="宋体"/>
                <w:sz w:val="24"/>
                <w:szCs w:val="24"/>
              </w:rPr>
            </w:pPr>
            <w:r>
              <w:rPr>
                <w:rFonts w:hint="eastAsia" w:ascii="宋体" w:hAnsi="宋体"/>
                <w:sz w:val="24"/>
                <w:szCs w:val="24"/>
              </w:rPr>
              <w:t>按年计算</w:t>
            </w:r>
          </w:p>
        </w:tc>
      </w:tr>
      <w:tr w14:paraId="038B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11" w:type="dxa"/>
            <w:vAlign w:val="center"/>
          </w:tcPr>
          <w:p w14:paraId="6E7AA4B2">
            <w:pPr>
              <w:widowControl/>
              <w:adjustRightInd/>
              <w:spacing w:line="360" w:lineRule="auto"/>
              <w:rPr>
                <w:rFonts w:hint="eastAsia" w:ascii="宋体" w:hAnsi="宋体" w:cs="宋体"/>
                <w:kern w:val="0"/>
                <w:sz w:val="24"/>
                <w:szCs w:val="24"/>
              </w:rPr>
            </w:pPr>
            <w:r>
              <w:rPr>
                <w:rFonts w:hint="eastAsia" w:ascii="宋体" w:hAnsi="宋体" w:cs="宋体"/>
                <w:kern w:val="0"/>
                <w:sz w:val="24"/>
                <w:szCs w:val="24"/>
              </w:rPr>
              <w:t>零部件维护费</w:t>
            </w:r>
          </w:p>
        </w:tc>
        <w:tc>
          <w:tcPr>
            <w:tcW w:w="4111" w:type="dxa"/>
            <w:vAlign w:val="center"/>
          </w:tcPr>
          <w:p w14:paraId="03AFB3D9">
            <w:pPr>
              <w:widowControl/>
              <w:adjustRightInd/>
              <w:spacing w:line="360" w:lineRule="auto"/>
              <w:jc w:val="center"/>
              <w:rPr>
                <w:rFonts w:hint="eastAsia" w:ascii="宋体" w:hAnsi="宋体" w:cs="宋体"/>
                <w:kern w:val="0"/>
                <w:sz w:val="24"/>
                <w:szCs w:val="24"/>
              </w:rPr>
            </w:pPr>
            <w:r>
              <w:rPr>
                <w:rFonts w:hint="eastAsia" w:ascii="宋体" w:hAnsi="宋体" w:cs="宋体"/>
                <w:kern w:val="0"/>
                <w:sz w:val="24"/>
                <w:szCs w:val="24"/>
              </w:rPr>
              <w:t>在线监测设备相关零部件维修、更换费用</w:t>
            </w:r>
          </w:p>
        </w:tc>
        <w:tc>
          <w:tcPr>
            <w:tcW w:w="1443" w:type="dxa"/>
            <w:vAlign w:val="center"/>
          </w:tcPr>
          <w:p w14:paraId="051BE468">
            <w:pPr>
              <w:widowControl/>
              <w:adjustRightInd/>
              <w:spacing w:line="360" w:lineRule="auto"/>
              <w:jc w:val="center"/>
              <w:rPr>
                <w:rFonts w:ascii="宋体" w:hAnsi="宋体"/>
                <w:kern w:val="0"/>
                <w:sz w:val="24"/>
                <w:szCs w:val="24"/>
              </w:rPr>
            </w:pPr>
            <w:r>
              <w:rPr>
                <w:rFonts w:hint="eastAsia" w:ascii="宋体" w:hAnsi="宋体"/>
                <w:kern w:val="0"/>
                <w:sz w:val="24"/>
                <w:szCs w:val="24"/>
              </w:rPr>
              <w:t>1项</w:t>
            </w:r>
          </w:p>
        </w:tc>
        <w:tc>
          <w:tcPr>
            <w:tcW w:w="2189" w:type="dxa"/>
            <w:vAlign w:val="center"/>
          </w:tcPr>
          <w:p w14:paraId="53785D52">
            <w:pPr>
              <w:widowControl/>
              <w:adjustRightInd/>
              <w:spacing w:line="360" w:lineRule="auto"/>
              <w:jc w:val="center"/>
              <w:rPr>
                <w:rFonts w:hint="eastAsia" w:ascii="宋体" w:hAnsi="宋体"/>
                <w:sz w:val="24"/>
                <w:szCs w:val="24"/>
              </w:rPr>
            </w:pPr>
            <w:r>
              <w:rPr>
                <w:rFonts w:hint="eastAsia" w:ascii="宋体" w:hAnsi="宋体"/>
                <w:sz w:val="24"/>
                <w:szCs w:val="24"/>
              </w:rPr>
              <w:t>按年计算</w:t>
            </w:r>
          </w:p>
        </w:tc>
      </w:tr>
      <w:tr w14:paraId="5092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11" w:type="dxa"/>
            <w:vAlign w:val="center"/>
          </w:tcPr>
          <w:p w14:paraId="2511ACD1">
            <w:pPr>
              <w:widowControl/>
              <w:adjustRightInd/>
              <w:spacing w:line="360" w:lineRule="auto"/>
              <w:jc w:val="center"/>
              <w:rPr>
                <w:rFonts w:hint="eastAsia" w:ascii="宋体" w:hAnsi="宋体" w:cs="宋体"/>
                <w:kern w:val="0"/>
                <w:sz w:val="24"/>
                <w:szCs w:val="24"/>
              </w:rPr>
            </w:pPr>
            <w:r>
              <w:rPr>
                <w:rFonts w:hint="eastAsia" w:ascii="宋体" w:hAnsi="宋体" w:cs="宋体"/>
                <w:kern w:val="0"/>
                <w:sz w:val="24"/>
                <w:szCs w:val="24"/>
              </w:rPr>
              <w:t>标定用药剂费</w:t>
            </w:r>
          </w:p>
        </w:tc>
        <w:tc>
          <w:tcPr>
            <w:tcW w:w="4111" w:type="dxa"/>
            <w:vAlign w:val="center"/>
          </w:tcPr>
          <w:p w14:paraId="6EFEC597">
            <w:pPr>
              <w:widowControl/>
              <w:adjustRightInd/>
              <w:spacing w:line="360" w:lineRule="auto"/>
              <w:jc w:val="center"/>
              <w:rPr>
                <w:rFonts w:hint="eastAsia" w:ascii="宋体" w:hAnsi="宋体" w:cs="宋体"/>
                <w:kern w:val="0"/>
                <w:sz w:val="24"/>
                <w:szCs w:val="24"/>
              </w:rPr>
            </w:pPr>
            <w:r>
              <w:rPr>
                <w:rFonts w:hint="eastAsia" w:ascii="宋体" w:hAnsi="宋体" w:cs="宋体"/>
                <w:kern w:val="0"/>
                <w:sz w:val="24"/>
                <w:szCs w:val="24"/>
              </w:rPr>
              <w:t>按照规定对在线监测设备进行定期标定</w:t>
            </w:r>
          </w:p>
        </w:tc>
        <w:tc>
          <w:tcPr>
            <w:tcW w:w="1443" w:type="dxa"/>
            <w:vAlign w:val="center"/>
          </w:tcPr>
          <w:p w14:paraId="2A829340">
            <w:pPr>
              <w:widowControl/>
              <w:adjustRightInd/>
              <w:spacing w:line="360" w:lineRule="auto"/>
              <w:jc w:val="center"/>
              <w:rPr>
                <w:rFonts w:ascii="宋体" w:hAnsi="宋体"/>
                <w:kern w:val="0"/>
                <w:sz w:val="24"/>
                <w:szCs w:val="24"/>
              </w:rPr>
            </w:pPr>
            <w:r>
              <w:rPr>
                <w:rFonts w:hint="eastAsia" w:ascii="宋体" w:hAnsi="宋体"/>
                <w:kern w:val="0"/>
                <w:sz w:val="24"/>
                <w:szCs w:val="24"/>
              </w:rPr>
              <w:t>1项</w:t>
            </w:r>
          </w:p>
        </w:tc>
        <w:tc>
          <w:tcPr>
            <w:tcW w:w="2189" w:type="dxa"/>
            <w:vAlign w:val="center"/>
          </w:tcPr>
          <w:p w14:paraId="4765F0CB">
            <w:pPr>
              <w:widowControl/>
              <w:adjustRightInd/>
              <w:spacing w:line="360" w:lineRule="auto"/>
              <w:jc w:val="center"/>
              <w:rPr>
                <w:rFonts w:hint="eastAsia" w:ascii="宋体" w:hAnsi="宋体"/>
                <w:sz w:val="24"/>
                <w:szCs w:val="24"/>
              </w:rPr>
            </w:pPr>
            <w:r>
              <w:rPr>
                <w:rFonts w:hint="eastAsia" w:ascii="宋体" w:hAnsi="宋体"/>
                <w:sz w:val="24"/>
                <w:szCs w:val="24"/>
              </w:rPr>
              <w:t>按年计算</w:t>
            </w:r>
          </w:p>
        </w:tc>
      </w:tr>
      <w:tr w14:paraId="5051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11" w:type="dxa"/>
            <w:vAlign w:val="center"/>
          </w:tcPr>
          <w:p w14:paraId="535E1D79">
            <w:pPr>
              <w:widowControl/>
              <w:adjustRightInd/>
              <w:spacing w:line="360" w:lineRule="auto"/>
              <w:jc w:val="center"/>
              <w:rPr>
                <w:rFonts w:ascii="宋体" w:hAnsi="宋体" w:cs="宋体"/>
                <w:b/>
                <w:kern w:val="0"/>
                <w:sz w:val="24"/>
                <w:szCs w:val="24"/>
              </w:rPr>
            </w:pPr>
            <w:r>
              <w:rPr>
                <w:rFonts w:hint="eastAsia" w:ascii="宋体" w:hAnsi="宋体" w:cs="宋体"/>
                <w:b/>
                <w:kern w:val="0"/>
                <w:sz w:val="24"/>
                <w:szCs w:val="24"/>
              </w:rPr>
              <w:t>4</w:t>
            </w:r>
          </w:p>
        </w:tc>
        <w:tc>
          <w:tcPr>
            <w:tcW w:w="7743" w:type="dxa"/>
            <w:gridSpan w:val="3"/>
            <w:vAlign w:val="center"/>
          </w:tcPr>
          <w:p w14:paraId="580B231C">
            <w:pPr>
              <w:widowControl/>
              <w:adjustRightInd/>
              <w:spacing w:line="360" w:lineRule="auto"/>
              <w:jc w:val="center"/>
              <w:rPr>
                <w:rFonts w:ascii="宋体" w:hAnsi="宋体" w:cs="宋体"/>
                <w:b/>
                <w:kern w:val="0"/>
                <w:sz w:val="24"/>
                <w:szCs w:val="24"/>
              </w:rPr>
            </w:pPr>
            <w:r>
              <w:rPr>
                <w:rFonts w:hint="eastAsia" w:ascii="宋体" w:hAnsi="宋体" w:cs="宋体"/>
                <w:b/>
                <w:kern w:val="0"/>
                <w:sz w:val="24"/>
                <w:szCs w:val="24"/>
              </w:rPr>
              <w:t>集镇管网</w:t>
            </w:r>
            <w:r>
              <w:rPr>
                <w:rFonts w:ascii="宋体" w:hAnsi="宋体"/>
                <w:b/>
                <w:kern w:val="0"/>
                <w:sz w:val="24"/>
                <w:szCs w:val="24"/>
              </w:rPr>
              <w:t>　</w:t>
            </w:r>
            <w:r>
              <w:rPr>
                <w:rFonts w:hint="eastAsia" w:ascii="宋体" w:hAnsi="宋体" w:cs="宋体"/>
                <w:b/>
                <w:kern w:val="0"/>
                <w:sz w:val="24"/>
                <w:szCs w:val="24"/>
              </w:rPr>
              <w:t>　</w:t>
            </w:r>
          </w:p>
        </w:tc>
      </w:tr>
      <w:tr w14:paraId="2EA5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11" w:type="dxa"/>
            <w:vAlign w:val="center"/>
          </w:tcPr>
          <w:p w14:paraId="7B4D6288">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集镇市政雨污主管网</w:t>
            </w:r>
          </w:p>
        </w:tc>
        <w:tc>
          <w:tcPr>
            <w:tcW w:w="4111" w:type="dxa"/>
            <w:vAlign w:val="center"/>
          </w:tcPr>
          <w:p w14:paraId="275DAC6E">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w:t>
            </w:r>
          </w:p>
        </w:tc>
        <w:tc>
          <w:tcPr>
            <w:tcW w:w="1443" w:type="dxa"/>
            <w:vAlign w:val="center"/>
          </w:tcPr>
          <w:p w14:paraId="0CBAA167">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约</w:t>
            </w:r>
            <w:r>
              <w:rPr>
                <w:rFonts w:ascii="宋体" w:hAnsi="宋体"/>
                <w:kern w:val="0"/>
                <w:sz w:val="24"/>
                <w:szCs w:val="24"/>
              </w:rPr>
              <w:t>11000</w:t>
            </w:r>
            <w:r>
              <w:rPr>
                <w:rFonts w:hint="eastAsia" w:ascii="宋体" w:hAnsi="宋体" w:cs="宋体"/>
                <w:kern w:val="0"/>
                <w:sz w:val="24"/>
                <w:szCs w:val="24"/>
              </w:rPr>
              <w:t>米</w:t>
            </w:r>
          </w:p>
        </w:tc>
        <w:tc>
          <w:tcPr>
            <w:tcW w:w="2189" w:type="dxa"/>
            <w:vAlign w:val="center"/>
          </w:tcPr>
          <w:p w14:paraId="541B4AF3">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元</w:t>
            </w:r>
            <w:r>
              <w:rPr>
                <w:rFonts w:ascii="宋体" w:hAnsi="宋体"/>
                <w:kern w:val="0"/>
                <w:sz w:val="24"/>
                <w:szCs w:val="24"/>
              </w:rPr>
              <w:t>/</w:t>
            </w:r>
            <w:r>
              <w:rPr>
                <w:rFonts w:hint="eastAsia" w:ascii="宋体" w:hAnsi="宋体" w:cs="宋体"/>
                <w:kern w:val="0"/>
                <w:sz w:val="24"/>
                <w:szCs w:val="24"/>
              </w:rPr>
              <w:t>米</w:t>
            </w:r>
            <w:r>
              <w:rPr>
                <w:rFonts w:ascii="宋体" w:hAnsi="宋体"/>
                <w:kern w:val="0"/>
                <w:sz w:val="24"/>
                <w:szCs w:val="24"/>
              </w:rPr>
              <w:t>/</w:t>
            </w:r>
            <w:r>
              <w:rPr>
                <w:rFonts w:hint="eastAsia" w:ascii="宋体" w:hAnsi="宋体" w:cs="宋体"/>
                <w:kern w:val="0"/>
                <w:sz w:val="24"/>
                <w:szCs w:val="24"/>
              </w:rPr>
              <w:t>年计</w:t>
            </w:r>
          </w:p>
        </w:tc>
      </w:tr>
      <w:tr w14:paraId="0157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11" w:type="dxa"/>
            <w:vAlign w:val="center"/>
          </w:tcPr>
          <w:p w14:paraId="6662A806">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市政支管</w:t>
            </w:r>
          </w:p>
        </w:tc>
        <w:tc>
          <w:tcPr>
            <w:tcW w:w="4111" w:type="dxa"/>
            <w:vAlign w:val="center"/>
          </w:tcPr>
          <w:p w14:paraId="14E4AA44">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w:t>
            </w:r>
          </w:p>
        </w:tc>
        <w:tc>
          <w:tcPr>
            <w:tcW w:w="1443" w:type="dxa"/>
            <w:vAlign w:val="center"/>
          </w:tcPr>
          <w:p w14:paraId="4A81D191">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约</w:t>
            </w:r>
            <w:r>
              <w:rPr>
                <w:rFonts w:ascii="宋体" w:hAnsi="宋体"/>
                <w:kern w:val="0"/>
                <w:sz w:val="24"/>
                <w:szCs w:val="24"/>
              </w:rPr>
              <w:t>12000</w:t>
            </w:r>
            <w:r>
              <w:rPr>
                <w:rFonts w:hint="eastAsia" w:ascii="宋体" w:hAnsi="宋体" w:cs="宋体"/>
                <w:kern w:val="0"/>
                <w:sz w:val="24"/>
                <w:szCs w:val="24"/>
              </w:rPr>
              <w:t>米</w:t>
            </w:r>
          </w:p>
        </w:tc>
        <w:tc>
          <w:tcPr>
            <w:tcW w:w="2189" w:type="dxa"/>
            <w:vAlign w:val="center"/>
          </w:tcPr>
          <w:p w14:paraId="02307A98">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元</w:t>
            </w:r>
            <w:r>
              <w:rPr>
                <w:rFonts w:ascii="宋体" w:hAnsi="宋体"/>
                <w:kern w:val="0"/>
                <w:sz w:val="24"/>
                <w:szCs w:val="24"/>
              </w:rPr>
              <w:t>/</w:t>
            </w:r>
            <w:r>
              <w:rPr>
                <w:rFonts w:hint="eastAsia" w:ascii="宋体" w:hAnsi="宋体" w:cs="宋体"/>
                <w:kern w:val="0"/>
                <w:sz w:val="24"/>
                <w:szCs w:val="24"/>
              </w:rPr>
              <w:t>米</w:t>
            </w:r>
            <w:r>
              <w:rPr>
                <w:rFonts w:ascii="宋体" w:hAnsi="宋体"/>
                <w:kern w:val="0"/>
                <w:sz w:val="24"/>
                <w:szCs w:val="24"/>
              </w:rPr>
              <w:t>/</w:t>
            </w:r>
            <w:r>
              <w:rPr>
                <w:rFonts w:hint="eastAsia" w:ascii="宋体" w:hAnsi="宋体" w:cs="宋体"/>
                <w:kern w:val="0"/>
                <w:sz w:val="24"/>
                <w:szCs w:val="24"/>
              </w:rPr>
              <w:t>年计</w:t>
            </w:r>
          </w:p>
        </w:tc>
      </w:tr>
      <w:tr w14:paraId="3972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611" w:type="dxa"/>
            <w:vAlign w:val="center"/>
          </w:tcPr>
          <w:p w14:paraId="6AE25524">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检查井盖更换（复合井盖）</w:t>
            </w:r>
          </w:p>
        </w:tc>
        <w:tc>
          <w:tcPr>
            <w:tcW w:w="4111" w:type="dxa"/>
            <w:vAlign w:val="center"/>
          </w:tcPr>
          <w:p w14:paraId="73864098">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w:t>
            </w:r>
          </w:p>
        </w:tc>
        <w:tc>
          <w:tcPr>
            <w:tcW w:w="1443" w:type="dxa"/>
            <w:vAlign w:val="center"/>
          </w:tcPr>
          <w:p w14:paraId="15E18954">
            <w:pPr>
              <w:widowControl/>
              <w:adjustRightInd/>
              <w:spacing w:line="360" w:lineRule="auto"/>
              <w:jc w:val="center"/>
              <w:rPr>
                <w:rFonts w:ascii="宋体" w:hAnsi="宋体"/>
                <w:kern w:val="0"/>
                <w:sz w:val="24"/>
                <w:szCs w:val="24"/>
              </w:rPr>
            </w:pPr>
            <w:r>
              <w:rPr>
                <w:rFonts w:ascii="宋体" w:hAnsi="宋体"/>
                <w:kern w:val="0"/>
                <w:sz w:val="24"/>
                <w:szCs w:val="24"/>
              </w:rPr>
              <w:t>50</w:t>
            </w:r>
            <w:r>
              <w:rPr>
                <w:rFonts w:hint="eastAsia" w:ascii="宋体" w:hAnsi="宋体"/>
                <w:kern w:val="0"/>
                <w:sz w:val="24"/>
                <w:szCs w:val="24"/>
              </w:rPr>
              <w:t>个内</w:t>
            </w:r>
          </w:p>
        </w:tc>
        <w:tc>
          <w:tcPr>
            <w:tcW w:w="2189" w:type="dxa"/>
            <w:vAlign w:val="center"/>
          </w:tcPr>
          <w:p w14:paraId="6BF54E11">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元</w:t>
            </w:r>
            <w:r>
              <w:rPr>
                <w:rFonts w:ascii="宋体" w:hAnsi="宋体"/>
                <w:kern w:val="0"/>
                <w:sz w:val="24"/>
                <w:szCs w:val="24"/>
              </w:rPr>
              <w:t>/</w:t>
            </w:r>
            <w:r>
              <w:rPr>
                <w:rFonts w:hint="eastAsia" w:ascii="宋体" w:hAnsi="宋体" w:cs="宋体"/>
                <w:kern w:val="0"/>
                <w:sz w:val="24"/>
                <w:szCs w:val="24"/>
              </w:rPr>
              <w:t>年计</w:t>
            </w:r>
          </w:p>
        </w:tc>
      </w:tr>
      <w:tr w14:paraId="4AC0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11" w:type="dxa"/>
            <w:vAlign w:val="center"/>
          </w:tcPr>
          <w:p w14:paraId="6002EB4B">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公建单位隔油池</w:t>
            </w:r>
          </w:p>
        </w:tc>
        <w:tc>
          <w:tcPr>
            <w:tcW w:w="4111" w:type="dxa"/>
            <w:vAlign w:val="center"/>
          </w:tcPr>
          <w:p w14:paraId="0945CE75">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　</w:t>
            </w:r>
          </w:p>
        </w:tc>
        <w:tc>
          <w:tcPr>
            <w:tcW w:w="1443" w:type="dxa"/>
            <w:vAlign w:val="center"/>
          </w:tcPr>
          <w:p w14:paraId="71B651D2">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（暂定</w:t>
            </w:r>
            <w:r>
              <w:rPr>
                <w:rFonts w:ascii="宋体" w:hAnsi="宋体"/>
                <w:kern w:val="0"/>
                <w:sz w:val="24"/>
                <w:szCs w:val="24"/>
              </w:rPr>
              <w:t>5</w:t>
            </w:r>
            <w:r>
              <w:rPr>
                <w:rFonts w:hint="eastAsia" w:ascii="宋体" w:hAnsi="宋体" w:cs="宋体"/>
                <w:kern w:val="0"/>
                <w:sz w:val="24"/>
                <w:szCs w:val="24"/>
              </w:rPr>
              <w:t>座）</w:t>
            </w:r>
          </w:p>
        </w:tc>
        <w:tc>
          <w:tcPr>
            <w:tcW w:w="2189" w:type="dxa"/>
            <w:vAlign w:val="center"/>
          </w:tcPr>
          <w:p w14:paraId="65C57C57">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元</w:t>
            </w:r>
            <w:r>
              <w:rPr>
                <w:rFonts w:ascii="宋体" w:hAnsi="宋体"/>
                <w:kern w:val="0"/>
                <w:sz w:val="24"/>
                <w:szCs w:val="24"/>
              </w:rPr>
              <w:t>/</w:t>
            </w:r>
            <w:r>
              <w:rPr>
                <w:rFonts w:hint="eastAsia" w:ascii="宋体" w:hAnsi="宋体" w:cs="宋体"/>
                <w:kern w:val="0"/>
                <w:sz w:val="24"/>
                <w:szCs w:val="24"/>
              </w:rPr>
              <w:t>年</w:t>
            </w:r>
            <w:r>
              <w:rPr>
                <w:rFonts w:ascii="宋体" w:hAnsi="宋体"/>
                <w:kern w:val="0"/>
                <w:sz w:val="24"/>
                <w:szCs w:val="24"/>
              </w:rPr>
              <w:t>/</w:t>
            </w:r>
            <w:r>
              <w:rPr>
                <w:rFonts w:hint="eastAsia" w:ascii="宋体" w:hAnsi="宋体" w:cs="宋体"/>
                <w:kern w:val="0"/>
                <w:sz w:val="24"/>
                <w:szCs w:val="24"/>
              </w:rPr>
              <w:t>座</w:t>
            </w:r>
          </w:p>
        </w:tc>
      </w:tr>
      <w:tr w14:paraId="370B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11" w:type="dxa"/>
            <w:vAlign w:val="center"/>
          </w:tcPr>
          <w:p w14:paraId="6A5DF44B">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化粪池</w:t>
            </w:r>
          </w:p>
        </w:tc>
        <w:tc>
          <w:tcPr>
            <w:tcW w:w="4111" w:type="dxa"/>
            <w:vAlign w:val="center"/>
          </w:tcPr>
          <w:p w14:paraId="012805F5">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w:t>
            </w:r>
          </w:p>
        </w:tc>
        <w:tc>
          <w:tcPr>
            <w:tcW w:w="1443" w:type="dxa"/>
            <w:vAlign w:val="center"/>
          </w:tcPr>
          <w:p w14:paraId="722A14DF">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（暂定</w:t>
            </w:r>
            <w:r>
              <w:rPr>
                <w:rFonts w:ascii="宋体" w:hAnsi="宋体"/>
                <w:kern w:val="0"/>
                <w:sz w:val="24"/>
                <w:szCs w:val="24"/>
              </w:rPr>
              <w:t>5</w:t>
            </w:r>
            <w:r>
              <w:rPr>
                <w:rFonts w:hint="eastAsia" w:ascii="宋体" w:hAnsi="宋体" w:cs="宋体"/>
                <w:kern w:val="0"/>
                <w:sz w:val="24"/>
                <w:szCs w:val="24"/>
              </w:rPr>
              <w:t>座）</w:t>
            </w:r>
          </w:p>
        </w:tc>
        <w:tc>
          <w:tcPr>
            <w:tcW w:w="2189" w:type="dxa"/>
            <w:vAlign w:val="center"/>
          </w:tcPr>
          <w:p w14:paraId="2DC2410B">
            <w:pPr>
              <w:widowControl/>
              <w:adjustRightInd/>
              <w:spacing w:line="360" w:lineRule="auto"/>
              <w:jc w:val="center"/>
              <w:rPr>
                <w:rFonts w:ascii="宋体" w:hAnsi="宋体" w:cs="宋体"/>
                <w:kern w:val="0"/>
                <w:sz w:val="24"/>
                <w:szCs w:val="24"/>
              </w:rPr>
            </w:pPr>
            <w:r>
              <w:rPr>
                <w:rFonts w:hint="eastAsia" w:ascii="宋体" w:hAnsi="宋体" w:cs="宋体"/>
                <w:kern w:val="0"/>
                <w:sz w:val="24"/>
                <w:szCs w:val="24"/>
              </w:rPr>
              <w:t>元</w:t>
            </w:r>
            <w:r>
              <w:rPr>
                <w:rFonts w:ascii="宋体" w:hAnsi="宋体"/>
                <w:kern w:val="0"/>
                <w:sz w:val="24"/>
                <w:szCs w:val="24"/>
              </w:rPr>
              <w:t>/</w:t>
            </w:r>
            <w:r>
              <w:rPr>
                <w:rFonts w:hint="eastAsia" w:ascii="宋体" w:hAnsi="宋体" w:cs="宋体"/>
                <w:kern w:val="0"/>
                <w:sz w:val="24"/>
                <w:szCs w:val="24"/>
              </w:rPr>
              <w:t>年</w:t>
            </w:r>
            <w:r>
              <w:rPr>
                <w:rFonts w:ascii="宋体" w:hAnsi="宋体"/>
                <w:kern w:val="0"/>
                <w:sz w:val="24"/>
                <w:szCs w:val="24"/>
              </w:rPr>
              <w:t>/</w:t>
            </w:r>
            <w:r>
              <w:rPr>
                <w:rFonts w:hint="eastAsia" w:ascii="宋体" w:hAnsi="宋体" w:cs="宋体"/>
                <w:kern w:val="0"/>
                <w:sz w:val="24"/>
                <w:szCs w:val="24"/>
              </w:rPr>
              <w:t>座</w:t>
            </w:r>
          </w:p>
        </w:tc>
      </w:tr>
    </w:tbl>
    <w:p w14:paraId="5FE6D581">
      <w:pPr>
        <w:autoSpaceDE w:val="0"/>
        <w:autoSpaceDN w:val="0"/>
        <w:spacing w:line="360" w:lineRule="auto"/>
        <w:ind w:firstLine="480" w:firstLineChars="200"/>
        <w:textAlignment w:val="bottom"/>
        <w:rPr>
          <w:rFonts w:ascii="宋体" w:hAnsi="宋体"/>
          <w:sz w:val="24"/>
        </w:rPr>
      </w:pPr>
      <w:r>
        <w:rPr>
          <w:rFonts w:hint="eastAsia" w:ascii="宋体" w:hAnsi="宋体"/>
          <w:sz w:val="24"/>
        </w:rPr>
        <w:t>2.项目服务内容</w:t>
      </w:r>
    </w:p>
    <w:tbl>
      <w:tblPr>
        <w:tblStyle w:val="69"/>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843"/>
        <w:gridCol w:w="3969"/>
        <w:gridCol w:w="2835"/>
      </w:tblGrid>
      <w:tr w14:paraId="46B8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vAlign w:val="center"/>
          </w:tcPr>
          <w:p w14:paraId="099AB16B">
            <w:pPr>
              <w:spacing w:line="360" w:lineRule="auto"/>
              <w:jc w:val="center"/>
              <w:rPr>
                <w:rFonts w:ascii="宋体" w:hAnsi="宋体"/>
                <w:b/>
                <w:sz w:val="24"/>
                <w:szCs w:val="24"/>
              </w:rPr>
            </w:pPr>
            <w:r>
              <w:rPr>
                <w:rFonts w:hint="eastAsia" w:ascii="宋体" w:hAnsi="宋体"/>
                <w:b/>
                <w:sz w:val="24"/>
                <w:szCs w:val="24"/>
              </w:rPr>
              <w:t>序号</w:t>
            </w:r>
          </w:p>
        </w:tc>
        <w:tc>
          <w:tcPr>
            <w:tcW w:w="1843" w:type="dxa"/>
            <w:vAlign w:val="center"/>
          </w:tcPr>
          <w:p w14:paraId="38B19C45">
            <w:pPr>
              <w:spacing w:line="360" w:lineRule="auto"/>
              <w:jc w:val="center"/>
              <w:rPr>
                <w:rFonts w:ascii="宋体" w:hAnsi="宋体"/>
                <w:b/>
                <w:sz w:val="24"/>
                <w:szCs w:val="24"/>
              </w:rPr>
            </w:pPr>
            <w:r>
              <w:rPr>
                <w:rFonts w:hint="eastAsia" w:ascii="宋体" w:hAnsi="宋体"/>
                <w:b/>
                <w:sz w:val="24"/>
                <w:szCs w:val="24"/>
              </w:rPr>
              <w:t>内容</w:t>
            </w:r>
          </w:p>
        </w:tc>
        <w:tc>
          <w:tcPr>
            <w:tcW w:w="3969" w:type="dxa"/>
            <w:vAlign w:val="center"/>
          </w:tcPr>
          <w:p w14:paraId="16307D25">
            <w:pPr>
              <w:spacing w:line="360" w:lineRule="auto"/>
              <w:jc w:val="center"/>
              <w:rPr>
                <w:rFonts w:ascii="宋体" w:hAnsi="宋体" w:cs="宋体"/>
                <w:b/>
                <w:sz w:val="24"/>
                <w:szCs w:val="24"/>
              </w:rPr>
            </w:pPr>
            <w:r>
              <w:rPr>
                <w:rFonts w:hint="eastAsia" w:ascii="宋体" w:hAnsi="宋体" w:cs="宋体"/>
                <w:b/>
                <w:sz w:val="24"/>
                <w:szCs w:val="24"/>
              </w:rPr>
              <w:t>运维内容</w:t>
            </w:r>
          </w:p>
        </w:tc>
        <w:tc>
          <w:tcPr>
            <w:tcW w:w="2835" w:type="dxa"/>
            <w:vAlign w:val="center"/>
          </w:tcPr>
          <w:p w14:paraId="0BE6235D">
            <w:pPr>
              <w:spacing w:line="360" w:lineRule="auto"/>
              <w:jc w:val="center"/>
              <w:rPr>
                <w:rFonts w:ascii="宋体" w:hAnsi="宋体"/>
                <w:b/>
                <w:sz w:val="24"/>
                <w:szCs w:val="24"/>
              </w:rPr>
            </w:pPr>
            <w:r>
              <w:rPr>
                <w:rFonts w:hint="eastAsia" w:ascii="宋体" w:hAnsi="宋体" w:cs="宋体"/>
                <w:b/>
                <w:sz w:val="24"/>
                <w:szCs w:val="24"/>
              </w:rPr>
              <w:t>备注</w:t>
            </w:r>
          </w:p>
        </w:tc>
      </w:tr>
      <w:tr w14:paraId="0CD4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787" w:type="dxa"/>
            <w:vAlign w:val="center"/>
          </w:tcPr>
          <w:p w14:paraId="5A9247F2">
            <w:pPr>
              <w:spacing w:line="360" w:lineRule="auto"/>
              <w:jc w:val="center"/>
              <w:rPr>
                <w:rFonts w:ascii="宋体" w:hAnsi="宋体"/>
                <w:sz w:val="24"/>
                <w:szCs w:val="24"/>
              </w:rPr>
            </w:pPr>
            <w:r>
              <w:rPr>
                <w:rFonts w:hint="eastAsia" w:ascii="宋体" w:hAnsi="宋体"/>
                <w:sz w:val="24"/>
                <w:szCs w:val="24"/>
              </w:rPr>
              <w:t>1</w:t>
            </w:r>
          </w:p>
        </w:tc>
        <w:tc>
          <w:tcPr>
            <w:tcW w:w="1843" w:type="dxa"/>
            <w:vAlign w:val="center"/>
          </w:tcPr>
          <w:p w14:paraId="2E8879EA">
            <w:pPr>
              <w:spacing w:line="360" w:lineRule="auto"/>
              <w:jc w:val="center"/>
              <w:rPr>
                <w:rFonts w:ascii="宋体" w:hAnsi="宋体"/>
                <w:strike/>
                <w:sz w:val="24"/>
                <w:szCs w:val="24"/>
              </w:rPr>
            </w:pPr>
            <w:r>
              <w:rPr>
                <w:rFonts w:hint="eastAsia" w:ascii="宋体" w:hAnsi="宋体"/>
                <w:sz w:val="24"/>
                <w:szCs w:val="24"/>
              </w:rPr>
              <w:t>污水处理站（5</w:t>
            </w:r>
            <w:r>
              <w:rPr>
                <w:rFonts w:ascii="宋体" w:hAnsi="宋体"/>
                <w:sz w:val="24"/>
                <w:szCs w:val="24"/>
              </w:rPr>
              <w:t>00</w:t>
            </w:r>
            <w:r>
              <w:rPr>
                <w:rFonts w:hint="eastAsia" w:ascii="宋体" w:hAnsi="宋体"/>
                <w:sz w:val="24"/>
                <w:szCs w:val="24"/>
              </w:rPr>
              <w:t>吨／天）运维</w:t>
            </w:r>
          </w:p>
        </w:tc>
        <w:tc>
          <w:tcPr>
            <w:tcW w:w="3969" w:type="dxa"/>
            <w:vAlign w:val="center"/>
          </w:tcPr>
          <w:p w14:paraId="4FD38C18">
            <w:pPr>
              <w:spacing w:line="360" w:lineRule="auto"/>
              <w:rPr>
                <w:rFonts w:ascii="宋体" w:hAnsi="宋体"/>
                <w:sz w:val="24"/>
                <w:szCs w:val="24"/>
              </w:rPr>
            </w:pPr>
            <w:r>
              <w:rPr>
                <w:rFonts w:hint="eastAsia" w:ascii="宋体" w:hAnsi="宋体"/>
                <w:sz w:val="24"/>
                <w:szCs w:val="24"/>
              </w:rPr>
              <w:t>（一）管网收集系统的巡查和故障的处置</w:t>
            </w:r>
          </w:p>
          <w:p w14:paraId="61E47C30">
            <w:pPr>
              <w:shd w:val="clear" w:color="auto" w:fill="FFFFFF"/>
              <w:spacing w:line="360" w:lineRule="auto"/>
              <w:rPr>
                <w:rFonts w:ascii="宋体" w:hAnsi="宋体"/>
                <w:sz w:val="24"/>
                <w:szCs w:val="24"/>
              </w:rPr>
            </w:pPr>
            <w:bookmarkStart w:id="22" w:name="_Toc390436028"/>
            <w:bookmarkStart w:id="23" w:name="_Toc390029755"/>
            <w:r>
              <w:rPr>
                <w:rFonts w:hint="eastAsia" w:ascii="宋体" w:hAnsi="宋体"/>
                <w:sz w:val="24"/>
                <w:szCs w:val="24"/>
              </w:rPr>
              <w:t>（二）水质管理</w:t>
            </w:r>
            <w:bookmarkEnd w:id="22"/>
            <w:bookmarkEnd w:id="23"/>
          </w:p>
          <w:p w14:paraId="4825DD37">
            <w:pPr>
              <w:shd w:val="clear" w:color="auto" w:fill="FFFFFF"/>
              <w:spacing w:line="360" w:lineRule="auto"/>
              <w:rPr>
                <w:rFonts w:ascii="宋体" w:hAnsi="宋体"/>
                <w:sz w:val="24"/>
                <w:szCs w:val="24"/>
              </w:rPr>
            </w:pPr>
            <w:bookmarkStart w:id="24" w:name="_Toc390436029"/>
            <w:bookmarkStart w:id="25" w:name="_Toc390029756"/>
            <w:r>
              <w:rPr>
                <w:rFonts w:hint="eastAsia" w:ascii="宋体" w:hAnsi="宋体"/>
                <w:sz w:val="24"/>
                <w:szCs w:val="24"/>
              </w:rPr>
              <w:t>（三）格栅、清扫口、检查井和提升泵</w:t>
            </w:r>
            <w:bookmarkEnd w:id="24"/>
            <w:bookmarkEnd w:id="25"/>
          </w:p>
          <w:p w14:paraId="6CC0604C">
            <w:pPr>
              <w:shd w:val="clear" w:color="auto" w:fill="FFFFFF"/>
              <w:spacing w:line="360" w:lineRule="auto"/>
              <w:rPr>
                <w:rFonts w:ascii="宋体" w:hAnsi="宋体"/>
                <w:sz w:val="24"/>
                <w:szCs w:val="24"/>
              </w:rPr>
            </w:pPr>
            <w:bookmarkStart w:id="26" w:name="_Toc390436030"/>
            <w:bookmarkStart w:id="27" w:name="_Toc390029757"/>
            <w:r>
              <w:rPr>
                <w:rFonts w:hint="eastAsia" w:ascii="宋体" w:hAnsi="宋体"/>
                <w:sz w:val="24"/>
                <w:szCs w:val="24"/>
              </w:rPr>
              <w:t>（四）厌氧池和化粪池</w:t>
            </w:r>
            <w:bookmarkEnd w:id="26"/>
            <w:bookmarkEnd w:id="27"/>
          </w:p>
          <w:p w14:paraId="5AD79DD8">
            <w:pPr>
              <w:spacing w:line="360" w:lineRule="auto"/>
              <w:rPr>
                <w:rFonts w:ascii="宋体" w:hAnsi="宋体"/>
                <w:sz w:val="24"/>
                <w:szCs w:val="24"/>
              </w:rPr>
            </w:pPr>
            <w:r>
              <w:rPr>
                <w:rFonts w:hint="eastAsia" w:ascii="宋体" w:hAnsi="宋体"/>
                <w:sz w:val="24"/>
                <w:szCs w:val="24"/>
              </w:rPr>
              <w:t>（五）</w:t>
            </w:r>
            <w:r>
              <w:rPr>
                <w:rFonts w:ascii="宋体" w:hAnsi="宋体"/>
                <w:sz w:val="24"/>
                <w:szCs w:val="24"/>
              </w:rPr>
              <w:t>污泥处理</w:t>
            </w:r>
          </w:p>
          <w:p w14:paraId="51EBE30B">
            <w:pPr>
              <w:spacing w:line="360" w:lineRule="auto"/>
              <w:rPr>
                <w:rFonts w:ascii="宋体" w:hAnsi="宋体"/>
                <w:sz w:val="24"/>
                <w:szCs w:val="24"/>
              </w:rPr>
            </w:pPr>
            <w:r>
              <w:rPr>
                <w:rFonts w:hint="eastAsia" w:ascii="宋体" w:hAnsi="宋体"/>
                <w:sz w:val="24"/>
                <w:szCs w:val="24"/>
              </w:rPr>
              <w:t>（六）</w:t>
            </w:r>
            <w:r>
              <w:rPr>
                <w:rFonts w:ascii="宋体" w:hAnsi="宋体"/>
                <w:sz w:val="24"/>
                <w:szCs w:val="24"/>
              </w:rPr>
              <w:t>电气设备</w:t>
            </w:r>
          </w:p>
          <w:p w14:paraId="5548186B">
            <w:pPr>
              <w:spacing w:line="360" w:lineRule="auto"/>
              <w:rPr>
                <w:rFonts w:ascii="宋体" w:hAnsi="宋体"/>
                <w:sz w:val="24"/>
                <w:szCs w:val="24"/>
              </w:rPr>
            </w:pPr>
            <w:r>
              <w:rPr>
                <w:rFonts w:hint="eastAsia" w:ascii="宋体" w:hAnsi="宋体"/>
                <w:sz w:val="24"/>
                <w:szCs w:val="24"/>
              </w:rPr>
              <w:t>（七）运维台账、进出水水质报告（电子版、纸质版各一套）</w:t>
            </w:r>
          </w:p>
        </w:tc>
        <w:tc>
          <w:tcPr>
            <w:tcW w:w="2835" w:type="dxa"/>
            <w:vAlign w:val="center"/>
          </w:tcPr>
          <w:p w14:paraId="14FA744F">
            <w:pPr>
              <w:spacing w:line="360" w:lineRule="auto"/>
              <w:jc w:val="left"/>
              <w:rPr>
                <w:rFonts w:ascii="宋体" w:hAnsi="宋体"/>
                <w:strike/>
                <w:sz w:val="24"/>
                <w:szCs w:val="24"/>
              </w:rPr>
            </w:pPr>
            <w:r>
              <w:rPr>
                <w:rFonts w:hint="eastAsia" w:ascii="宋体" w:hAnsi="宋体"/>
                <w:sz w:val="24"/>
                <w:szCs w:val="24"/>
              </w:rPr>
              <w:t>确保污水处理站所有设备、设施运行正常，保证污水处理系统正常运行，污水出水达到一级A排放标准，做好设备、设施定时保养、维护及防腐工作。</w:t>
            </w:r>
          </w:p>
        </w:tc>
      </w:tr>
      <w:tr w14:paraId="3D82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787" w:type="dxa"/>
            <w:vAlign w:val="center"/>
          </w:tcPr>
          <w:p w14:paraId="0104074C">
            <w:pPr>
              <w:spacing w:line="360" w:lineRule="auto"/>
              <w:jc w:val="center"/>
              <w:rPr>
                <w:rFonts w:hint="eastAsia" w:ascii="宋体" w:hAnsi="宋体"/>
                <w:sz w:val="24"/>
                <w:szCs w:val="24"/>
              </w:rPr>
            </w:pPr>
            <w:r>
              <w:rPr>
                <w:rFonts w:hint="eastAsia" w:ascii="宋体" w:hAnsi="宋体"/>
                <w:sz w:val="24"/>
                <w:szCs w:val="24"/>
              </w:rPr>
              <w:t>2</w:t>
            </w:r>
          </w:p>
        </w:tc>
        <w:tc>
          <w:tcPr>
            <w:tcW w:w="1843" w:type="dxa"/>
            <w:vAlign w:val="center"/>
          </w:tcPr>
          <w:p w14:paraId="558E22C6">
            <w:pPr>
              <w:spacing w:line="360" w:lineRule="auto"/>
              <w:jc w:val="center"/>
              <w:rPr>
                <w:rFonts w:hint="eastAsia" w:ascii="宋体" w:hAnsi="宋体"/>
                <w:sz w:val="24"/>
                <w:szCs w:val="24"/>
              </w:rPr>
            </w:pPr>
            <w:r>
              <w:rPr>
                <w:rFonts w:hint="eastAsia" w:ascii="宋体" w:hAnsi="宋体"/>
                <w:sz w:val="24"/>
                <w:szCs w:val="24"/>
              </w:rPr>
              <w:t>垃圾中转站渗滤液处理设备运维</w:t>
            </w:r>
          </w:p>
        </w:tc>
        <w:tc>
          <w:tcPr>
            <w:tcW w:w="3969" w:type="dxa"/>
            <w:vAlign w:val="center"/>
          </w:tcPr>
          <w:p w14:paraId="312FC48D">
            <w:pPr>
              <w:spacing w:line="360" w:lineRule="auto"/>
              <w:rPr>
                <w:rFonts w:hint="eastAsia" w:ascii="宋体" w:hAnsi="宋体"/>
                <w:sz w:val="24"/>
                <w:szCs w:val="24"/>
              </w:rPr>
            </w:pPr>
            <w:r>
              <w:rPr>
                <w:rFonts w:hint="eastAsia" w:ascii="宋体" w:hAnsi="宋体"/>
                <w:sz w:val="24"/>
                <w:szCs w:val="24"/>
              </w:rPr>
              <w:t>确保设备正常稳定运行，出水达到GB/T 31962-2015《污水排入城镇下水道水质标准》</w:t>
            </w:r>
          </w:p>
        </w:tc>
        <w:tc>
          <w:tcPr>
            <w:tcW w:w="2835" w:type="dxa"/>
            <w:vAlign w:val="center"/>
          </w:tcPr>
          <w:p w14:paraId="4125B3D9">
            <w:pPr>
              <w:spacing w:line="360" w:lineRule="auto"/>
              <w:jc w:val="left"/>
              <w:rPr>
                <w:rFonts w:hint="eastAsia" w:ascii="宋体" w:hAnsi="宋体"/>
                <w:sz w:val="24"/>
                <w:szCs w:val="24"/>
              </w:rPr>
            </w:pPr>
          </w:p>
        </w:tc>
      </w:tr>
      <w:tr w14:paraId="05E0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787" w:type="dxa"/>
            <w:vAlign w:val="center"/>
          </w:tcPr>
          <w:p w14:paraId="31D621E1">
            <w:pPr>
              <w:spacing w:line="360" w:lineRule="auto"/>
              <w:jc w:val="center"/>
              <w:rPr>
                <w:rFonts w:hint="eastAsia" w:ascii="宋体" w:hAnsi="宋体"/>
                <w:sz w:val="24"/>
                <w:szCs w:val="24"/>
              </w:rPr>
            </w:pPr>
            <w:r>
              <w:rPr>
                <w:rFonts w:hint="eastAsia" w:ascii="宋体" w:hAnsi="宋体"/>
                <w:sz w:val="24"/>
                <w:szCs w:val="24"/>
              </w:rPr>
              <w:t>3</w:t>
            </w:r>
          </w:p>
        </w:tc>
        <w:tc>
          <w:tcPr>
            <w:tcW w:w="1843" w:type="dxa"/>
            <w:vAlign w:val="center"/>
          </w:tcPr>
          <w:p w14:paraId="6E6497F3">
            <w:pPr>
              <w:spacing w:line="360" w:lineRule="auto"/>
              <w:jc w:val="center"/>
              <w:rPr>
                <w:rFonts w:hint="eastAsia" w:ascii="宋体" w:hAnsi="宋体"/>
                <w:sz w:val="24"/>
                <w:szCs w:val="24"/>
              </w:rPr>
            </w:pPr>
            <w:r>
              <w:rPr>
                <w:rFonts w:hint="eastAsia" w:ascii="宋体" w:hAnsi="宋体"/>
                <w:sz w:val="24"/>
                <w:szCs w:val="24"/>
              </w:rPr>
              <w:t>污水处理站出水在线监测设备运维</w:t>
            </w:r>
          </w:p>
        </w:tc>
        <w:tc>
          <w:tcPr>
            <w:tcW w:w="3969" w:type="dxa"/>
            <w:vAlign w:val="center"/>
          </w:tcPr>
          <w:p w14:paraId="589E62FA">
            <w:pPr>
              <w:spacing w:line="360" w:lineRule="auto"/>
              <w:rPr>
                <w:rFonts w:hint="eastAsia" w:ascii="宋体" w:hAnsi="宋体"/>
                <w:sz w:val="24"/>
                <w:szCs w:val="24"/>
              </w:rPr>
            </w:pPr>
            <w:r>
              <w:rPr>
                <w:rFonts w:hint="eastAsia" w:ascii="宋体" w:hAnsi="宋体"/>
                <w:sz w:val="24"/>
                <w:szCs w:val="24"/>
              </w:rPr>
              <w:t>COD、氨氮、总氮、总磷、PH、流量计按照相关规范进行运维</w:t>
            </w:r>
          </w:p>
        </w:tc>
        <w:tc>
          <w:tcPr>
            <w:tcW w:w="2835" w:type="dxa"/>
            <w:vAlign w:val="center"/>
          </w:tcPr>
          <w:p w14:paraId="55FFC09A">
            <w:pPr>
              <w:spacing w:line="360" w:lineRule="auto"/>
              <w:jc w:val="left"/>
              <w:rPr>
                <w:rFonts w:hint="eastAsia" w:ascii="宋体" w:hAnsi="宋体"/>
                <w:sz w:val="24"/>
                <w:szCs w:val="24"/>
              </w:rPr>
            </w:pPr>
          </w:p>
        </w:tc>
      </w:tr>
      <w:tr w14:paraId="2664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14:paraId="24AC0840">
            <w:pPr>
              <w:spacing w:line="360" w:lineRule="auto"/>
              <w:jc w:val="center"/>
              <w:rPr>
                <w:rFonts w:ascii="宋体" w:hAnsi="宋体"/>
                <w:sz w:val="24"/>
                <w:szCs w:val="24"/>
              </w:rPr>
            </w:pPr>
            <w:r>
              <w:rPr>
                <w:rFonts w:hint="eastAsia" w:ascii="宋体" w:hAnsi="宋体"/>
                <w:sz w:val="24"/>
                <w:szCs w:val="24"/>
              </w:rPr>
              <w:t>4</w:t>
            </w:r>
          </w:p>
        </w:tc>
        <w:tc>
          <w:tcPr>
            <w:tcW w:w="1843" w:type="dxa"/>
            <w:vAlign w:val="center"/>
          </w:tcPr>
          <w:p w14:paraId="386EF822">
            <w:pPr>
              <w:spacing w:line="360" w:lineRule="auto"/>
              <w:jc w:val="center"/>
              <w:rPr>
                <w:rFonts w:ascii="宋体" w:hAnsi="宋体"/>
                <w:sz w:val="24"/>
                <w:szCs w:val="24"/>
              </w:rPr>
            </w:pPr>
            <w:r>
              <w:rPr>
                <w:rFonts w:hint="eastAsia" w:ascii="宋体" w:hAnsi="宋体"/>
                <w:sz w:val="24"/>
                <w:szCs w:val="24"/>
              </w:rPr>
              <w:t>集镇市政主管网运维（含易腐垃圾二次处理污水）</w:t>
            </w:r>
          </w:p>
        </w:tc>
        <w:tc>
          <w:tcPr>
            <w:tcW w:w="3969" w:type="dxa"/>
          </w:tcPr>
          <w:p w14:paraId="49890DC7">
            <w:pPr>
              <w:spacing w:line="360" w:lineRule="auto"/>
              <w:rPr>
                <w:rFonts w:ascii="宋体" w:hAnsi="宋体"/>
                <w:sz w:val="24"/>
                <w:szCs w:val="24"/>
              </w:rPr>
            </w:pPr>
            <w:r>
              <w:rPr>
                <w:rFonts w:hint="eastAsia" w:ascii="宋体" w:hAnsi="宋体"/>
                <w:sz w:val="24"/>
                <w:szCs w:val="24"/>
              </w:rPr>
              <w:t>每年至少两次全面的清淤疏通，做好运维台账、日常巡查、更换维修破损设施，费用按实结算，出现淤堵满溢等情况，应急处理解决。</w:t>
            </w:r>
          </w:p>
        </w:tc>
        <w:tc>
          <w:tcPr>
            <w:tcW w:w="2835" w:type="dxa"/>
            <w:vAlign w:val="center"/>
          </w:tcPr>
          <w:p w14:paraId="19C3D2BC">
            <w:pPr>
              <w:spacing w:line="360" w:lineRule="auto"/>
              <w:jc w:val="left"/>
              <w:rPr>
                <w:rFonts w:ascii="宋体" w:hAnsi="宋体"/>
                <w:sz w:val="24"/>
                <w:szCs w:val="24"/>
              </w:rPr>
            </w:pPr>
            <w:r>
              <w:rPr>
                <w:rFonts w:hint="eastAsia" w:ascii="宋体" w:hAnsi="宋体" w:cs="宋体"/>
                <w:sz w:val="24"/>
                <w:szCs w:val="24"/>
              </w:rPr>
              <w:t>确保管网畅通，运行良好。</w:t>
            </w:r>
          </w:p>
        </w:tc>
      </w:tr>
    </w:tbl>
    <w:p w14:paraId="787C93B2">
      <w:pPr>
        <w:autoSpaceDE w:val="0"/>
        <w:autoSpaceDN w:val="0"/>
        <w:spacing w:line="360" w:lineRule="auto"/>
        <w:ind w:firstLine="420" w:firstLineChars="200"/>
        <w:textAlignment w:val="bottom"/>
        <w:rPr>
          <w:rFonts w:ascii="宋体" w:hAnsi="宋体" w:cs="宋体"/>
          <w:sz w:val="24"/>
        </w:rPr>
      </w:pPr>
      <w:r>
        <w:rPr>
          <w:rFonts w:hint="eastAsia" w:ascii="宋体" w:hAnsi="宋体"/>
          <w:bCs/>
        </w:rPr>
        <w:t>4.</w:t>
      </w:r>
      <w:r>
        <w:rPr>
          <w:rFonts w:hint="eastAsia" w:ascii="宋体" w:hAnsi="宋体" w:cs="宋体"/>
          <w:sz w:val="24"/>
        </w:rPr>
        <w:t xml:space="preserve"> 本项目</w:t>
      </w:r>
      <w:r>
        <w:rPr>
          <w:rFonts w:hint="eastAsia" w:ascii="宋体" w:hAnsi="宋体" w:cs="宋体"/>
          <w:b/>
          <w:sz w:val="24"/>
        </w:rPr>
        <w:t>最终成交价</w:t>
      </w:r>
      <w:r>
        <w:rPr>
          <w:rFonts w:hint="eastAsia" w:ascii="宋体" w:hAnsi="宋体" w:cs="宋体"/>
          <w:sz w:val="24"/>
        </w:rPr>
        <w:t>费用为污水处理站及集镇市政管网运维费用（包括且不限于污水处理站人员工资、电费、药剂费、集镇市政管网清淤、进出水质检测报告、池体疏通渗漏修补，清掏固废浮油、卫生保洁等）。</w:t>
      </w:r>
    </w:p>
    <w:p w14:paraId="7742AD3B">
      <w:pPr>
        <w:spacing w:line="360" w:lineRule="auto"/>
        <w:ind w:firstLine="480" w:firstLineChars="200"/>
        <w:outlineLvl w:val="0"/>
        <w:rPr>
          <w:rFonts w:ascii="宋体" w:hAnsi="宋体"/>
          <w:sz w:val="24"/>
        </w:rPr>
      </w:pPr>
      <w:r>
        <w:rPr>
          <w:rFonts w:hint="eastAsia" w:ascii="宋体" w:hAnsi="宋体"/>
          <w:sz w:val="24"/>
        </w:rPr>
        <w:t>5.服务期</w:t>
      </w:r>
    </w:p>
    <w:p w14:paraId="0290AB90">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本项目服务期为：</w:t>
      </w:r>
      <w:r>
        <w:rPr>
          <w:rFonts w:hint="eastAsia" w:ascii="宋体" w:hAnsi="宋体" w:cs="宋体"/>
          <w:sz w:val="24"/>
          <w:u w:val="single"/>
        </w:rPr>
        <w:t xml:space="preserve"> 2年 </w:t>
      </w:r>
      <w:r>
        <w:rPr>
          <w:rFonts w:hint="eastAsia" w:ascii="宋体" w:hAnsi="宋体" w:cs="宋体"/>
          <w:sz w:val="24"/>
        </w:rPr>
        <w:t>（具体起始日期以甲乙双方合同约定为准）。</w:t>
      </w:r>
    </w:p>
    <w:p w14:paraId="1ABB7BF6">
      <w:pPr>
        <w:pStyle w:val="65"/>
        <w:spacing w:before="0" w:beforeAutospacing="0" w:after="0" w:afterAutospacing="0" w:line="360" w:lineRule="auto"/>
        <w:ind w:firstLine="472" w:firstLineChars="196"/>
        <w:rPr>
          <w:b/>
          <w:bCs/>
        </w:rPr>
      </w:pPr>
      <w:r>
        <w:rPr>
          <w:rFonts w:hint="eastAsia"/>
          <w:b/>
          <w:bCs/>
        </w:rPr>
        <w:t>三、招标要求</w:t>
      </w:r>
    </w:p>
    <w:p w14:paraId="00032F71">
      <w:pPr>
        <w:spacing w:line="360" w:lineRule="auto"/>
        <w:ind w:firstLine="480" w:firstLineChars="200"/>
        <w:outlineLvl w:val="0"/>
        <w:rPr>
          <w:rFonts w:ascii="宋体" w:hAnsi="宋体"/>
          <w:bCs/>
          <w:sz w:val="24"/>
        </w:rPr>
      </w:pPr>
      <w:r>
        <w:rPr>
          <w:rFonts w:hint="eastAsia" w:ascii="宋体" w:hAnsi="宋体"/>
          <w:sz w:val="24"/>
        </w:rPr>
        <w:t>（一）管网收集系统的巡查和故障的处置</w:t>
      </w:r>
    </w:p>
    <w:p w14:paraId="79B26175">
      <w:pPr>
        <w:shd w:val="clear" w:color="auto" w:fill="FFFFFF"/>
        <w:spacing w:line="360" w:lineRule="auto"/>
        <w:ind w:firstLine="480" w:firstLineChars="200"/>
        <w:rPr>
          <w:rFonts w:ascii="宋体" w:hAnsi="宋体" w:cs="宋体"/>
          <w:sz w:val="24"/>
        </w:rPr>
      </w:pPr>
      <w:r>
        <w:rPr>
          <w:rFonts w:hint="eastAsia" w:ascii="宋体" w:hAnsi="宋体" w:cs="宋体"/>
          <w:sz w:val="24"/>
        </w:rPr>
        <w:t>每十日对污水收集管网系统及其相关构筑物进行一次全面的巡视检查；对管网中出现的一般的漏、坏、堵、溢等异常现象，尽快处理和修复；对出现的较严重的影响排水系统正常运行的问题，在上报采购人和县主管部门的同时尽快修复设施。如因非维护单位原因</w:t>
      </w:r>
      <w:r>
        <w:rPr>
          <w:rFonts w:hint="eastAsia" w:ascii="宋体" w:hAnsi="宋体"/>
          <w:sz w:val="24"/>
        </w:rPr>
        <w:t>例如</w:t>
      </w:r>
      <w:r>
        <w:rPr>
          <w:rFonts w:hint="eastAsia" w:ascii="宋体" w:hAnsi="宋体" w:cs="宋体"/>
          <w:sz w:val="24"/>
        </w:rPr>
        <w:t>人为破坏、汽车碾压、土方开挖、人为偷窃等导致污水管网、检查窨井破损或丢失的情况，及时向采购人汇报，并提供维修整改方案。</w:t>
      </w:r>
    </w:p>
    <w:p w14:paraId="59010B41">
      <w:pPr>
        <w:shd w:val="clear" w:color="auto" w:fill="FFFFFF"/>
        <w:spacing w:line="360" w:lineRule="auto"/>
        <w:ind w:firstLine="480" w:firstLineChars="200"/>
        <w:outlineLvl w:val="0"/>
        <w:rPr>
          <w:rFonts w:ascii="宋体" w:hAnsi="宋体" w:cs="宋体"/>
          <w:sz w:val="24"/>
        </w:rPr>
      </w:pPr>
      <w:r>
        <w:rPr>
          <w:rFonts w:hint="eastAsia" w:ascii="宋体" w:hAnsi="宋体"/>
          <w:sz w:val="24"/>
        </w:rPr>
        <w:t>（二）水质管理</w:t>
      </w:r>
    </w:p>
    <w:p w14:paraId="31B75A3C">
      <w:pPr>
        <w:shd w:val="clear" w:color="auto" w:fill="FFFFFF"/>
        <w:spacing w:line="360" w:lineRule="auto"/>
        <w:ind w:firstLine="480" w:firstLineChars="200"/>
        <w:rPr>
          <w:rFonts w:ascii="宋体" w:hAnsi="宋体" w:cs="宋体"/>
          <w:sz w:val="24"/>
        </w:rPr>
      </w:pPr>
      <w:r>
        <w:rPr>
          <w:rFonts w:hint="eastAsia" w:ascii="宋体" w:hAnsi="宋体" w:cs="宋体"/>
          <w:sz w:val="24"/>
        </w:rPr>
        <w:t>污水处理站一周检测2次。进出水水质由供应商自行检测，设施终端在线设备由采购人委托的第三方检测单位、运维单位进行检测及运维。在进水水质符合要求的情况下，供应商应确保出水水质达标排放。如存在进水水质、水量异常或设施不正常运行需提升整改等原因导致出水水质不达标的情况，供应商应及时向采购人汇报并提供整改方案。</w:t>
      </w:r>
    </w:p>
    <w:p w14:paraId="265D8DB3">
      <w:pPr>
        <w:shd w:val="clear" w:color="auto" w:fill="FFFFFF"/>
        <w:spacing w:line="360" w:lineRule="auto"/>
        <w:ind w:firstLine="480" w:firstLineChars="200"/>
        <w:rPr>
          <w:rFonts w:ascii="宋体" w:hAnsi="宋体" w:cs="宋体"/>
          <w:sz w:val="24"/>
        </w:rPr>
      </w:pPr>
      <w:r>
        <w:rPr>
          <w:rFonts w:hint="eastAsia" w:ascii="宋体" w:hAnsi="宋体" w:cs="宋体"/>
          <w:sz w:val="24"/>
        </w:rPr>
        <w:t>污水处理站如因供应商运维管理不善导致的出水水质超标，则超标处罚及相应责任由供应商承担。</w:t>
      </w:r>
    </w:p>
    <w:p w14:paraId="2AB3A8B9">
      <w:pPr>
        <w:shd w:val="clear" w:color="auto" w:fill="FFFFFF"/>
        <w:spacing w:line="360" w:lineRule="auto"/>
        <w:ind w:firstLine="480" w:firstLineChars="200"/>
        <w:outlineLvl w:val="0"/>
        <w:rPr>
          <w:rFonts w:ascii="宋体" w:hAnsi="宋体" w:cs="宋体"/>
          <w:sz w:val="24"/>
        </w:rPr>
      </w:pPr>
      <w:r>
        <w:rPr>
          <w:rFonts w:hint="eastAsia" w:ascii="宋体" w:hAnsi="宋体"/>
          <w:sz w:val="24"/>
        </w:rPr>
        <w:t>（三）格栅、清扫口、检查井和提升泵</w:t>
      </w:r>
    </w:p>
    <w:p w14:paraId="424A444D">
      <w:pPr>
        <w:shd w:val="clear" w:color="auto" w:fill="FFFFFF"/>
        <w:spacing w:line="360" w:lineRule="auto"/>
        <w:ind w:firstLine="360" w:firstLineChars="150"/>
        <w:rPr>
          <w:rFonts w:ascii="宋体" w:hAnsi="宋体" w:cs="宋体"/>
          <w:sz w:val="24"/>
        </w:rPr>
      </w:pPr>
      <w:r>
        <w:rPr>
          <w:rFonts w:ascii="宋体" w:hAnsi="宋体" w:cs="宋体"/>
          <w:sz w:val="24"/>
        </w:rPr>
        <w:t>1.</w:t>
      </w:r>
      <w:r>
        <w:rPr>
          <w:rFonts w:hint="eastAsia" w:ascii="宋体" w:hAnsi="宋体" w:cs="宋体"/>
          <w:sz w:val="24"/>
        </w:rPr>
        <w:t>每半个月对格栅、清扫口、检查井等进行一次清理，以免堵塞管井；夏秋季节每月应对清扫口、检查井进行一次杀虫消毒。</w:t>
      </w:r>
    </w:p>
    <w:p w14:paraId="42DC061E">
      <w:pPr>
        <w:shd w:val="clear" w:color="auto" w:fill="FFFFFF"/>
        <w:spacing w:line="360" w:lineRule="auto"/>
        <w:ind w:firstLine="360" w:firstLineChars="150"/>
        <w:rPr>
          <w:rFonts w:ascii="宋体" w:hAnsi="宋体" w:cs="宋体"/>
          <w:sz w:val="24"/>
        </w:rPr>
      </w:pPr>
      <w:r>
        <w:rPr>
          <w:rFonts w:ascii="宋体" w:hAnsi="宋体" w:cs="宋体"/>
          <w:sz w:val="24"/>
        </w:rPr>
        <w:t>2.</w:t>
      </w:r>
      <w:r>
        <w:rPr>
          <w:rFonts w:hint="eastAsia" w:ascii="宋体" w:hAnsi="宋体" w:cs="宋体"/>
          <w:sz w:val="24"/>
        </w:rPr>
        <w:t>每十日检查回流泵、提升泵、潜水泵、风机运行是否正常运行，按照设备使用说明的要求进行日常维护，并记录水泵、风机的运行情况；每年检测电机线圈的绝缘电阻。</w:t>
      </w:r>
    </w:p>
    <w:p w14:paraId="30D9B9B7">
      <w:pPr>
        <w:shd w:val="clear" w:color="auto" w:fill="FFFFFF"/>
        <w:spacing w:line="360" w:lineRule="auto"/>
        <w:ind w:firstLine="360" w:firstLineChars="150"/>
        <w:rPr>
          <w:rFonts w:ascii="宋体" w:hAnsi="宋体" w:cs="宋体"/>
          <w:sz w:val="24"/>
        </w:rPr>
      </w:pPr>
      <w:r>
        <w:rPr>
          <w:rFonts w:ascii="宋体" w:hAnsi="宋体" w:cs="宋体"/>
          <w:sz w:val="24"/>
        </w:rPr>
        <w:t>3.</w:t>
      </w:r>
      <w:r>
        <w:rPr>
          <w:rFonts w:hint="eastAsia" w:ascii="宋体" w:hAnsi="宋体" w:cs="宋体"/>
          <w:sz w:val="24"/>
        </w:rPr>
        <w:t>每半年对集水井清淤一次，每年应至少一次吊起潜水泵，检查潜水电机引入电缆；长期不用的水泵吊出集水池存放。</w:t>
      </w:r>
    </w:p>
    <w:p w14:paraId="65DD1A45">
      <w:pPr>
        <w:shd w:val="clear" w:color="auto" w:fill="FFFFFF"/>
        <w:spacing w:line="360" w:lineRule="auto"/>
        <w:ind w:firstLine="360" w:firstLineChars="150"/>
        <w:rPr>
          <w:rFonts w:ascii="宋体" w:hAnsi="宋体" w:cs="宋体"/>
          <w:sz w:val="24"/>
        </w:rPr>
      </w:pPr>
      <w:r>
        <w:rPr>
          <w:rFonts w:ascii="宋体" w:hAnsi="宋体" w:cs="宋体"/>
          <w:sz w:val="24"/>
        </w:rPr>
        <w:t>4.</w:t>
      </w:r>
      <w:r>
        <w:rPr>
          <w:rFonts w:hint="eastAsia" w:ascii="宋体" w:hAnsi="宋体" w:cs="宋体"/>
          <w:sz w:val="24"/>
        </w:rPr>
        <w:t>设备出现故障时，及时进行维修或更换。</w:t>
      </w:r>
    </w:p>
    <w:p w14:paraId="665A4B23">
      <w:pPr>
        <w:shd w:val="clear" w:color="auto" w:fill="FFFFFF"/>
        <w:spacing w:line="360" w:lineRule="auto"/>
        <w:ind w:firstLine="360" w:firstLineChars="150"/>
        <w:outlineLvl w:val="0"/>
        <w:rPr>
          <w:rFonts w:ascii="宋体" w:hAnsi="宋体" w:cs="宋体"/>
          <w:sz w:val="24"/>
        </w:rPr>
      </w:pPr>
      <w:r>
        <w:rPr>
          <w:rFonts w:hint="eastAsia" w:ascii="宋体" w:hAnsi="宋体"/>
          <w:sz w:val="24"/>
        </w:rPr>
        <w:t>（四）厌氧池</w:t>
      </w:r>
    </w:p>
    <w:p w14:paraId="1FFCA8CE">
      <w:pPr>
        <w:shd w:val="clear" w:color="auto" w:fill="FFFFFF"/>
        <w:spacing w:line="360" w:lineRule="auto"/>
        <w:ind w:firstLine="360" w:firstLineChars="150"/>
        <w:rPr>
          <w:rFonts w:ascii="宋体" w:hAnsi="宋体" w:cs="宋体"/>
          <w:sz w:val="24"/>
        </w:rPr>
      </w:pPr>
      <w:r>
        <w:rPr>
          <w:rFonts w:ascii="宋体" w:hAnsi="宋体" w:cs="宋体"/>
          <w:sz w:val="24"/>
        </w:rPr>
        <w:t>1.</w:t>
      </w:r>
      <w:r>
        <w:rPr>
          <w:rFonts w:hint="eastAsia" w:ascii="宋体" w:hAnsi="宋体" w:cs="宋体"/>
          <w:sz w:val="24"/>
        </w:rPr>
        <w:t>每十日应检查厌氧池盖板的完整性、安全性，发现盖板上有垃圾、污物、杂物等及时清理。</w:t>
      </w:r>
    </w:p>
    <w:p w14:paraId="6FC0F754">
      <w:pPr>
        <w:shd w:val="clear" w:color="auto" w:fill="FFFFFF"/>
        <w:spacing w:line="360" w:lineRule="auto"/>
        <w:ind w:firstLine="360" w:firstLineChars="150"/>
        <w:rPr>
          <w:rFonts w:ascii="宋体" w:hAnsi="宋体" w:cs="宋体"/>
          <w:sz w:val="24"/>
        </w:rPr>
      </w:pPr>
      <w:r>
        <w:rPr>
          <w:rFonts w:ascii="宋体" w:hAnsi="宋体" w:cs="宋体"/>
          <w:sz w:val="24"/>
        </w:rPr>
        <w:t>2.</w:t>
      </w:r>
      <w:r>
        <w:rPr>
          <w:rFonts w:hint="eastAsia" w:ascii="宋体" w:hAnsi="宋体" w:cs="宋体"/>
          <w:sz w:val="24"/>
        </w:rPr>
        <w:t>每年对厌氧池进行人工清渣，打捞出的废渣进行无害化处理排放，并运至指定地点处置，禁止随意堆放。</w:t>
      </w:r>
    </w:p>
    <w:p w14:paraId="012689D8">
      <w:pPr>
        <w:shd w:val="clear" w:color="auto" w:fill="FFFFFF"/>
        <w:spacing w:line="360" w:lineRule="auto"/>
        <w:ind w:firstLine="360" w:firstLineChars="150"/>
        <w:rPr>
          <w:rFonts w:ascii="宋体" w:hAnsi="宋体" w:cs="宋体"/>
          <w:sz w:val="24"/>
        </w:rPr>
      </w:pPr>
      <w:r>
        <w:rPr>
          <w:rFonts w:ascii="宋体" w:hAnsi="宋体" w:cs="宋体"/>
          <w:sz w:val="24"/>
        </w:rPr>
        <w:t>3.</w:t>
      </w:r>
      <w:r>
        <w:rPr>
          <w:rFonts w:hint="eastAsia" w:ascii="宋体" w:hAnsi="宋体" w:cs="宋体"/>
          <w:sz w:val="24"/>
        </w:rPr>
        <w:t>日常维护人员要注意跌入厌氧池。厌氧池下人清理时，须在白天进行，并应有人在池外配合。清理前须用清水冲洗干净池子，确保池内无危害气体后方可进入。</w:t>
      </w:r>
      <w:bookmarkStart w:id="28" w:name="_Toc390436031"/>
      <w:bookmarkStart w:id="29" w:name="_Toc390029758"/>
    </w:p>
    <w:bookmarkEnd w:id="28"/>
    <w:bookmarkEnd w:id="29"/>
    <w:p w14:paraId="1908CE5B">
      <w:pPr>
        <w:spacing w:line="360" w:lineRule="auto"/>
        <w:ind w:firstLine="480" w:firstLineChars="200"/>
        <w:outlineLvl w:val="0"/>
        <w:rPr>
          <w:rFonts w:ascii="宋体" w:hAnsi="宋体"/>
          <w:sz w:val="24"/>
        </w:rPr>
      </w:pPr>
      <w:r>
        <w:rPr>
          <w:rFonts w:hint="eastAsia" w:ascii="宋体" w:hAnsi="宋体"/>
          <w:sz w:val="24"/>
        </w:rPr>
        <w:t>（五）</w:t>
      </w:r>
      <w:r>
        <w:rPr>
          <w:rFonts w:ascii="宋体" w:hAnsi="宋体"/>
          <w:sz w:val="24"/>
        </w:rPr>
        <w:t>污泥处理</w:t>
      </w:r>
    </w:p>
    <w:p w14:paraId="4FFF2D3E">
      <w:pPr>
        <w:spacing w:line="360" w:lineRule="auto"/>
        <w:ind w:firstLine="480" w:firstLineChars="200"/>
        <w:rPr>
          <w:rFonts w:ascii="宋体" w:hAnsi="宋体"/>
          <w:sz w:val="24"/>
        </w:rPr>
      </w:pPr>
      <w:r>
        <w:rPr>
          <w:rFonts w:hint="eastAsia" w:ascii="宋体" w:hAnsi="宋体"/>
          <w:sz w:val="24"/>
        </w:rPr>
        <w:t>1.污泥处理由采购人负责指定处理地点，供应商负责运输至该地点，运输距离在5km以内运输费用由供应商承担，超过5km部分运输费用由采购人承担，处理费用由采购人承担。</w:t>
      </w:r>
    </w:p>
    <w:p w14:paraId="17854760">
      <w:pPr>
        <w:spacing w:line="360" w:lineRule="auto"/>
        <w:ind w:firstLine="480" w:firstLineChars="200"/>
        <w:rPr>
          <w:rFonts w:ascii="宋体" w:hAnsi="宋体"/>
          <w:sz w:val="24"/>
        </w:rPr>
      </w:pPr>
      <w:r>
        <w:rPr>
          <w:rFonts w:hint="eastAsia" w:ascii="宋体" w:hAnsi="宋体"/>
          <w:sz w:val="24"/>
        </w:rPr>
        <w:t>2.供应商</w:t>
      </w:r>
      <w:r>
        <w:rPr>
          <w:rFonts w:ascii="宋体" w:hAnsi="宋体"/>
          <w:sz w:val="24"/>
        </w:rPr>
        <w:t>严禁把清掏出来污泥等固废弃入河、沟、塘、池，也不可以随意填埋。</w:t>
      </w:r>
    </w:p>
    <w:p w14:paraId="7FFC7D62">
      <w:pPr>
        <w:spacing w:line="360" w:lineRule="auto"/>
        <w:ind w:firstLine="480" w:firstLineChars="200"/>
        <w:outlineLvl w:val="0"/>
        <w:rPr>
          <w:rFonts w:ascii="宋体" w:hAnsi="宋体"/>
          <w:sz w:val="24"/>
        </w:rPr>
      </w:pPr>
      <w:r>
        <w:rPr>
          <w:rFonts w:hint="eastAsia" w:ascii="宋体" w:hAnsi="宋体"/>
          <w:sz w:val="24"/>
        </w:rPr>
        <w:t>（六）</w:t>
      </w:r>
      <w:r>
        <w:rPr>
          <w:rFonts w:ascii="宋体" w:hAnsi="宋体"/>
          <w:sz w:val="24"/>
        </w:rPr>
        <w:t>电气设备</w:t>
      </w:r>
    </w:p>
    <w:p w14:paraId="0E99B416">
      <w:pPr>
        <w:spacing w:line="360" w:lineRule="auto"/>
        <w:ind w:firstLine="480" w:firstLineChars="200"/>
        <w:rPr>
          <w:rFonts w:ascii="宋体" w:hAnsi="宋体"/>
          <w:sz w:val="24"/>
        </w:rPr>
      </w:pPr>
      <w:r>
        <w:rPr>
          <w:rFonts w:hint="eastAsia" w:ascii="宋体" w:hAnsi="宋体"/>
          <w:sz w:val="24"/>
        </w:rPr>
        <w:t>1.</w:t>
      </w:r>
      <w:r>
        <w:rPr>
          <w:rFonts w:ascii="宋体" w:hAnsi="宋体"/>
          <w:sz w:val="24"/>
        </w:rPr>
        <w:t>电气设备日常检查。运行中的电气设备应每月巡视，并填写巡视记录，特殊情况应增加巡视次数。电气设备运行中若发生跳闸，在未查明原因前不得重新合闸运行。</w:t>
      </w:r>
      <w:r>
        <w:rPr>
          <w:rFonts w:hint="eastAsia" w:ascii="宋体" w:hAnsi="宋体"/>
          <w:sz w:val="24"/>
        </w:rPr>
        <w:t>对水泵、风机等设备每月进行维护保养一次，添加润滑油，并做好记录。</w:t>
      </w:r>
    </w:p>
    <w:p w14:paraId="642AA3D8">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电力电缆定期检查与维护。电缆的绝缘必须满足运行要求，电缆终端连接点应保持清洁，相色清晰，无渗漏油，无发热，接地应完好，埋地电缆保护范围内应无打桩、挖掘、种植树木或可能伤及电缆的其他情况。</w:t>
      </w:r>
    </w:p>
    <w:p w14:paraId="01FF37AE">
      <w:pPr>
        <w:spacing w:line="360" w:lineRule="auto"/>
        <w:ind w:firstLine="482" w:firstLineChars="200"/>
        <w:rPr>
          <w:rFonts w:ascii="宋体" w:hAnsi="宋体"/>
          <w:b/>
          <w:bCs/>
          <w:sz w:val="24"/>
        </w:rPr>
      </w:pPr>
      <w:r>
        <w:rPr>
          <w:rFonts w:hint="eastAsia" w:ascii="宋体" w:hAnsi="宋体"/>
          <w:b/>
          <w:bCs/>
          <w:sz w:val="24"/>
        </w:rPr>
        <w:t>四、污水站</w:t>
      </w:r>
      <w:r>
        <w:rPr>
          <w:rFonts w:hint="eastAsia" w:ascii="宋体" w:hAnsi="宋体" w:cs="Times New Roman"/>
          <w:b/>
          <w:bCs/>
          <w:sz w:val="24"/>
        </w:rPr>
        <w:t>出水水质标准：</w:t>
      </w:r>
    </w:p>
    <w:p w14:paraId="2A95032B">
      <w:pPr>
        <w:spacing w:line="360" w:lineRule="auto"/>
        <w:ind w:firstLine="480" w:firstLineChars="200"/>
        <w:rPr>
          <w:rFonts w:ascii="宋体" w:hAnsi="宋体" w:cs="宋体"/>
          <w:sz w:val="24"/>
        </w:rPr>
      </w:pPr>
      <w:r>
        <w:rPr>
          <w:rFonts w:hint="eastAsia" w:ascii="宋体" w:hAnsi="宋体" w:cs="宋体"/>
          <w:sz w:val="24"/>
        </w:rPr>
        <w:t>达到</w:t>
      </w:r>
      <w:r>
        <w:rPr>
          <w:rFonts w:ascii="宋体" w:hAnsi="宋体" w:cs="宋体"/>
          <w:sz w:val="24"/>
        </w:rPr>
        <w:t>《</w:t>
      </w:r>
      <w:r>
        <w:rPr>
          <w:rFonts w:hint="eastAsia" w:ascii="宋体" w:hAnsi="宋体" w:cs="宋体"/>
          <w:sz w:val="24"/>
        </w:rPr>
        <w:t>城镇</w:t>
      </w:r>
      <w:r>
        <w:rPr>
          <w:rFonts w:ascii="宋体" w:hAnsi="宋体" w:cs="宋体"/>
          <w:sz w:val="24"/>
        </w:rPr>
        <w:t>污水处理</w:t>
      </w:r>
      <w:r>
        <w:rPr>
          <w:rFonts w:hint="eastAsia" w:ascii="宋体" w:hAnsi="宋体" w:cs="宋体"/>
          <w:sz w:val="24"/>
        </w:rPr>
        <w:t>厂</w:t>
      </w:r>
      <w:r>
        <w:rPr>
          <w:rFonts w:ascii="宋体" w:hAnsi="宋体" w:cs="宋体"/>
          <w:sz w:val="24"/>
        </w:rPr>
        <w:t>污染</w:t>
      </w:r>
      <w:r>
        <w:rPr>
          <w:rFonts w:hint="eastAsia" w:ascii="宋体" w:hAnsi="宋体" w:cs="宋体"/>
          <w:sz w:val="24"/>
        </w:rPr>
        <w:t>物</w:t>
      </w:r>
      <w:r>
        <w:rPr>
          <w:rFonts w:ascii="宋体" w:hAnsi="宋体" w:cs="宋体"/>
          <w:sz w:val="24"/>
        </w:rPr>
        <w:t>排放标准》</w:t>
      </w:r>
      <w:r>
        <w:rPr>
          <w:rFonts w:hint="eastAsia" w:ascii="宋体" w:hAnsi="宋体" w:cs="宋体"/>
          <w:sz w:val="24"/>
        </w:rPr>
        <w:t>（GB18918-2002）一</w:t>
      </w:r>
      <w:r>
        <w:rPr>
          <w:rFonts w:ascii="宋体" w:hAnsi="宋体" w:cs="宋体"/>
          <w:sz w:val="24"/>
        </w:rPr>
        <w:t>级</w:t>
      </w:r>
      <w:r>
        <w:rPr>
          <w:rFonts w:hint="eastAsia" w:ascii="宋体" w:hAnsi="宋体" w:cs="宋体"/>
          <w:sz w:val="24"/>
        </w:rPr>
        <w:t>A类排放</w:t>
      </w:r>
      <w:r>
        <w:rPr>
          <w:rFonts w:ascii="宋体" w:hAnsi="宋体" w:cs="宋体"/>
          <w:sz w:val="24"/>
        </w:rPr>
        <w:t>标准</w:t>
      </w:r>
      <w:r>
        <w:rPr>
          <w:rFonts w:hint="eastAsia" w:ascii="宋体" w:hAnsi="宋体" w:cs="宋体"/>
          <w:sz w:val="24"/>
        </w:rPr>
        <w:t>；相关技术标准包括：</w:t>
      </w:r>
    </w:p>
    <w:p w14:paraId="221A9E2F">
      <w:pPr>
        <w:spacing w:line="360" w:lineRule="auto"/>
        <w:ind w:firstLine="480" w:firstLineChars="200"/>
        <w:jc w:val="left"/>
        <w:rPr>
          <w:rFonts w:ascii="宋体" w:hAnsi="宋体" w:cs="宋体"/>
          <w:sz w:val="24"/>
        </w:rPr>
      </w:pPr>
      <w:r>
        <w:rPr>
          <w:rFonts w:ascii="宋体" w:hAnsi="宋体" w:cs="宋体"/>
          <w:sz w:val="24"/>
        </w:rPr>
        <w:t>《城镇污水处理厂污染物排放标准》（GB18918-2002）</w:t>
      </w:r>
    </w:p>
    <w:p w14:paraId="5E745342">
      <w:pPr>
        <w:spacing w:line="360" w:lineRule="auto"/>
        <w:ind w:firstLine="480" w:firstLineChars="200"/>
        <w:jc w:val="left"/>
        <w:rPr>
          <w:rFonts w:ascii="宋体" w:hAnsi="宋体" w:cs="宋体"/>
          <w:sz w:val="24"/>
        </w:rPr>
      </w:pPr>
      <w:r>
        <w:rPr>
          <w:rFonts w:ascii="宋体" w:hAnsi="宋体" w:cs="宋体"/>
          <w:sz w:val="24"/>
        </w:rPr>
        <w:t>《污水排入城市下水道水质标准》（CJ3082-2010）</w:t>
      </w:r>
    </w:p>
    <w:p w14:paraId="03360637">
      <w:pPr>
        <w:spacing w:line="360" w:lineRule="auto"/>
        <w:ind w:firstLine="480" w:firstLineChars="200"/>
        <w:jc w:val="left"/>
        <w:rPr>
          <w:rFonts w:ascii="宋体" w:hAnsi="宋体" w:cs="宋体"/>
          <w:sz w:val="24"/>
        </w:rPr>
      </w:pPr>
      <w:r>
        <w:rPr>
          <w:rFonts w:ascii="宋体" w:hAnsi="宋体" w:cs="宋体"/>
          <w:sz w:val="24"/>
        </w:rPr>
        <w:t>《污水综合排放标准》（GB8978-1996）</w:t>
      </w:r>
    </w:p>
    <w:p w14:paraId="64838A86">
      <w:pPr>
        <w:spacing w:line="360" w:lineRule="auto"/>
        <w:ind w:firstLine="480" w:firstLineChars="200"/>
        <w:jc w:val="left"/>
        <w:rPr>
          <w:rFonts w:ascii="宋体" w:hAnsi="宋体" w:cs="宋体"/>
          <w:sz w:val="24"/>
        </w:rPr>
      </w:pPr>
      <w:r>
        <w:rPr>
          <w:rFonts w:ascii="宋体" w:hAnsi="宋体" w:cs="宋体"/>
          <w:sz w:val="24"/>
        </w:rPr>
        <w:t>《室外排水设计规范》（GB50014-2006）</w:t>
      </w:r>
    </w:p>
    <w:p w14:paraId="15A3380D">
      <w:pPr>
        <w:spacing w:line="360" w:lineRule="auto"/>
        <w:ind w:firstLine="480" w:firstLineChars="200"/>
        <w:jc w:val="left"/>
        <w:rPr>
          <w:rFonts w:ascii="宋体" w:hAnsi="宋体" w:cs="宋体"/>
          <w:sz w:val="24"/>
        </w:rPr>
      </w:pPr>
      <w:r>
        <w:rPr>
          <w:rFonts w:ascii="宋体" w:hAnsi="宋体" w:cs="宋体"/>
          <w:sz w:val="24"/>
        </w:rPr>
        <w:t>《城市给水工程规划规范》（GB50282-98）</w:t>
      </w:r>
    </w:p>
    <w:p w14:paraId="2E326401">
      <w:pPr>
        <w:spacing w:line="360" w:lineRule="auto"/>
        <w:ind w:firstLine="480" w:firstLineChars="200"/>
        <w:jc w:val="left"/>
        <w:rPr>
          <w:rFonts w:ascii="宋体" w:hAnsi="宋体" w:cs="宋体"/>
          <w:sz w:val="24"/>
        </w:rPr>
      </w:pPr>
      <w:r>
        <w:rPr>
          <w:rFonts w:ascii="宋体" w:hAnsi="宋体" w:cs="宋体"/>
          <w:sz w:val="24"/>
        </w:rPr>
        <w:t>《城市排水工程规划规范》（GB50318-2000）</w:t>
      </w:r>
    </w:p>
    <w:p w14:paraId="3699B509">
      <w:pPr>
        <w:spacing w:line="360" w:lineRule="auto"/>
        <w:ind w:firstLine="480" w:firstLineChars="200"/>
        <w:jc w:val="left"/>
        <w:rPr>
          <w:rFonts w:ascii="宋体" w:hAnsi="宋体" w:cs="宋体"/>
          <w:sz w:val="24"/>
        </w:rPr>
      </w:pPr>
      <w:r>
        <w:rPr>
          <w:rFonts w:ascii="宋体" w:hAnsi="宋体" w:cs="宋体"/>
          <w:sz w:val="24"/>
        </w:rPr>
        <w:t>《地表水环境质量标准》（GB3838-2002）</w:t>
      </w:r>
    </w:p>
    <w:p w14:paraId="119845F0">
      <w:pPr>
        <w:spacing w:line="360" w:lineRule="auto"/>
        <w:ind w:firstLine="480" w:firstLineChars="200"/>
        <w:jc w:val="left"/>
        <w:rPr>
          <w:rFonts w:ascii="宋体" w:hAnsi="宋体" w:cs="宋体"/>
          <w:sz w:val="24"/>
        </w:rPr>
      </w:pPr>
      <w:r>
        <w:rPr>
          <w:rFonts w:ascii="宋体" w:hAnsi="宋体" w:cs="宋体"/>
          <w:sz w:val="24"/>
        </w:rPr>
        <w:t>《城市生活垃圾处理和给水与污水处理工程项目建设用地指标》（2005）</w:t>
      </w:r>
    </w:p>
    <w:p w14:paraId="452A28CE">
      <w:pPr>
        <w:spacing w:line="360" w:lineRule="auto"/>
        <w:ind w:firstLine="480" w:firstLineChars="200"/>
        <w:jc w:val="left"/>
        <w:rPr>
          <w:rFonts w:ascii="宋体" w:hAnsi="宋体" w:cs="宋体"/>
          <w:sz w:val="24"/>
        </w:rPr>
      </w:pPr>
      <w:r>
        <w:rPr>
          <w:rFonts w:ascii="宋体" w:hAnsi="宋体" w:cs="宋体"/>
          <w:sz w:val="24"/>
        </w:rPr>
        <w:t>《城镇污水处理厂污泥处理技术规程》（CJJ131-2009）</w:t>
      </w:r>
    </w:p>
    <w:p w14:paraId="1F06BC2D">
      <w:pPr>
        <w:spacing w:line="360" w:lineRule="auto"/>
        <w:ind w:firstLine="480" w:firstLineChars="200"/>
        <w:jc w:val="left"/>
        <w:rPr>
          <w:rFonts w:ascii="宋体" w:hAnsi="宋体" w:cs="宋体"/>
          <w:sz w:val="24"/>
        </w:rPr>
      </w:pPr>
      <w:r>
        <w:rPr>
          <w:rFonts w:ascii="宋体" w:hAnsi="宋体" w:cs="宋体"/>
          <w:sz w:val="24"/>
        </w:rPr>
        <w:t xml:space="preserve">《城镇污水处理厂污泥处理处置及污染防治技术政策（试行）》（建城[2009]23号） </w:t>
      </w:r>
    </w:p>
    <w:p w14:paraId="34B71790">
      <w:pPr>
        <w:spacing w:line="360" w:lineRule="auto"/>
        <w:ind w:firstLine="480" w:firstLineChars="200"/>
        <w:jc w:val="left"/>
        <w:rPr>
          <w:rFonts w:ascii="宋体" w:hAnsi="宋体" w:cs="宋体"/>
          <w:sz w:val="24"/>
        </w:rPr>
      </w:pPr>
      <w:r>
        <w:rPr>
          <w:rFonts w:ascii="宋体" w:hAnsi="宋体" w:cs="宋体"/>
          <w:sz w:val="24"/>
        </w:rPr>
        <w:t xml:space="preserve">《城镇污水处理厂污泥处理处置技术指南（试行）》（中华人民共和国住房和城乡建设部、中华人民共和国国家发展和改革委员会，2011年3月） </w:t>
      </w:r>
    </w:p>
    <w:p w14:paraId="03E4D380">
      <w:pPr>
        <w:spacing w:line="360" w:lineRule="auto"/>
        <w:ind w:firstLine="480" w:firstLineChars="200"/>
        <w:jc w:val="left"/>
        <w:rPr>
          <w:rFonts w:ascii="宋体" w:hAnsi="宋体" w:cs="宋体"/>
          <w:sz w:val="24"/>
        </w:rPr>
      </w:pPr>
      <w:r>
        <w:rPr>
          <w:rFonts w:ascii="宋体" w:hAnsi="宋体" w:cs="宋体"/>
          <w:sz w:val="24"/>
        </w:rPr>
        <w:t>《浙江省污泥处理处置及污染防治技术导则（试行）》（2011年2月）</w:t>
      </w:r>
    </w:p>
    <w:p w14:paraId="5CB1BFD3">
      <w:pPr>
        <w:spacing w:line="360" w:lineRule="auto"/>
        <w:ind w:firstLine="480" w:firstLineChars="200"/>
        <w:jc w:val="left"/>
        <w:rPr>
          <w:rFonts w:ascii="宋体" w:hAnsi="宋体" w:cs="宋体"/>
          <w:sz w:val="24"/>
        </w:rPr>
      </w:pPr>
      <w:r>
        <w:rPr>
          <w:rFonts w:ascii="宋体" w:hAnsi="宋体" w:cs="宋体"/>
          <w:sz w:val="24"/>
        </w:rPr>
        <w:t>《浙江省污水处理设施污泥处置工作实施意见》（浙环发2008 第67 号）</w:t>
      </w:r>
    </w:p>
    <w:p w14:paraId="77450B19">
      <w:pPr>
        <w:spacing w:line="360" w:lineRule="auto"/>
        <w:ind w:firstLine="480" w:firstLineChars="200"/>
        <w:jc w:val="left"/>
        <w:rPr>
          <w:rFonts w:ascii="宋体" w:hAnsi="宋体" w:cs="宋体"/>
          <w:sz w:val="24"/>
        </w:rPr>
      </w:pPr>
      <w:r>
        <w:rPr>
          <w:rFonts w:ascii="宋体" w:hAnsi="宋体" w:cs="宋体"/>
          <w:sz w:val="24"/>
        </w:rPr>
        <w:t>《防洪标准》（GB50201-94）</w:t>
      </w:r>
    </w:p>
    <w:p w14:paraId="1980750D">
      <w:pPr>
        <w:spacing w:line="360" w:lineRule="auto"/>
        <w:ind w:firstLine="480" w:firstLineChars="200"/>
        <w:jc w:val="left"/>
        <w:rPr>
          <w:rFonts w:ascii="宋体" w:hAnsi="宋体" w:cs="宋体"/>
          <w:sz w:val="24"/>
        </w:rPr>
      </w:pPr>
      <w:r>
        <w:rPr>
          <w:rFonts w:ascii="宋体" w:hAnsi="宋体" w:cs="宋体"/>
          <w:sz w:val="24"/>
        </w:rPr>
        <w:t>《泵站设计规范》（GB 50265-2010）</w:t>
      </w:r>
    </w:p>
    <w:p w14:paraId="472B0633">
      <w:pPr>
        <w:spacing w:line="360" w:lineRule="auto"/>
        <w:ind w:firstLine="480" w:firstLineChars="200"/>
        <w:jc w:val="left"/>
        <w:rPr>
          <w:rFonts w:ascii="宋体" w:hAnsi="宋体" w:cs="宋体"/>
          <w:sz w:val="24"/>
        </w:rPr>
      </w:pPr>
      <w:r>
        <w:rPr>
          <w:rFonts w:ascii="宋体" w:hAnsi="宋体" w:cs="宋体"/>
          <w:sz w:val="24"/>
        </w:rPr>
        <w:t>《建筑结构荷载规范》（GB50009-2001）</w:t>
      </w:r>
    </w:p>
    <w:p w14:paraId="452B7DF1">
      <w:pPr>
        <w:spacing w:line="360" w:lineRule="auto"/>
        <w:ind w:firstLine="480" w:firstLineChars="200"/>
        <w:jc w:val="left"/>
        <w:rPr>
          <w:rFonts w:ascii="宋体" w:hAnsi="宋体" w:cs="宋体"/>
          <w:sz w:val="24"/>
        </w:rPr>
      </w:pPr>
      <w:r>
        <w:rPr>
          <w:rFonts w:ascii="宋体" w:hAnsi="宋体" w:cs="宋体"/>
          <w:sz w:val="24"/>
        </w:rPr>
        <w:t>《混凝土结构设计规范》（GB50010-2010）</w:t>
      </w:r>
    </w:p>
    <w:p w14:paraId="01A7B2DA">
      <w:pPr>
        <w:spacing w:line="360" w:lineRule="auto"/>
        <w:ind w:firstLine="480" w:firstLineChars="200"/>
        <w:jc w:val="left"/>
        <w:rPr>
          <w:rFonts w:ascii="宋体" w:hAnsi="宋体" w:cs="宋体"/>
          <w:sz w:val="24"/>
        </w:rPr>
      </w:pPr>
      <w:r>
        <w:rPr>
          <w:rFonts w:ascii="宋体" w:hAnsi="宋体" w:cs="宋体"/>
          <w:sz w:val="24"/>
        </w:rPr>
        <w:t>《建筑地基基础设计规范》（GB50007-2002）</w:t>
      </w:r>
    </w:p>
    <w:p w14:paraId="4BEA4029">
      <w:pPr>
        <w:spacing w:line="360" w:lineRule="auto"/>
        <w:ind w:firstLine="480" w:firstLineChars="200"/>
        <w:jc w:val="left"/>
        <w:rPr>
          <w:rFonts w:ascii="宋体" w:hAnsi="宋体" w:cs="宋体"/>
          <w:sz w:val="24"/>
        </w:rPr>
      </w:pPr>
      <w:r>
        <w:rPr>
          <w:rFonts w:ascii="宋体" w:hAnsi="宋体" w:cs="宋体"/>
          <w:sz w:val="24"/>
        </w:rPr>
        <w:t>《建筑设计防火规范》（GB50016-2006）</w:t>
      </w:r>
    </w:p>
    <w:p w14:paraId="01D3CA66">
      <w:pPr>
        <w:spacing w:line="360" w:lineRule="auto"/>
        <w:ind w:firstLine="480" w:firstLineChars="200"/>
        <w:jc w:val="left"/>
        <w:rPr>
          <w:rFonts w:ascii="宋体" w:hAnsi="宋体" w:cs="宋体"/>
          <w:sz w:val="24"/>
        </w:rPr>
      </w:pPr>
      <w:r>
        <w:rPr>
          <w:rFonts w:ascii="宋体" w:hAnsi="宋体" w:cs="宋体"/>
          <w:sz w:val="24"/>
        </w:rPr>
        <w:t>《10kV 及以下变电所设计规范》（GB50053-94）</w:t>
      </w:r>
    </w:p>
    <w:p w14:paraId="27212CB7">
      <w:pPr>
        <w:spacing w:line="360" w:lineRule="auto"/>
        <w:ind w:firstLine="480" w:firstLineChars="200"/>
        <w:jc w:val="left"/>
        <w:rPr>
          <w:rFonts w:ascii="宋体" w:hAnsi="宋体" w:cs="宋体"/>
          <w:sz w:val="24"/>
        </w:rPr>
      </w:pPr>
      <w:r>
        <w:rPr>
          <w:rFonts w:ascii="宋体" w:hAnsi="宋体" w:cs="宋体"/>
          <w:sz w:val="24"/>
        </w:rPr>
        <w:t>《供配电系统设计规范》（GB50052-2009）</w:t>
      </w:r>
    </w:p>
    <w:p w14:paraId="1A4E0707">
      <w:pPr>
        <w:spacing w:line="360" w:lineRule="auto"/>
        <w:ind w:firstLine="480" w:firstLineChars="200"/>
        <w:jc w:val="left"/>
        <w:rPr>
          <w:rFonts w:ascii="宋体" w:hAnsi="宋体" w:cs="宋体"/>
          <w:sz w:val="24"/>
        </w:rPr>
      </w:pPr>
      <w:r>
        <w:rPr>
          <w:rFonts w:ascii="宋体" w:hAnsi="宋体" w:cs="宋体"/>
          <w:sz w:val="24"/>
        </w:rPr>
        <w:t>《工业与民用电力装置的接地设计规范》（GBJ65-83）</w:t>
      </w:r>
    </w:p>
    <w:p w14:paraId="02D27167">
      <w:pPr>
        <w:spacing w:line="360" w:lineRule="auto"/>
        <w:ind w:firstLine="480" w:firstLineChars="200"/>
        <w:jc w:val="left"/>
        <w:rPr>
          <w:rFonts w:ascii="宋体" w:hAnsi="宋体" w:cs="宋体"/>
          <w:sz w:val="24"/>
        </w:rPr>
      </w:pPr>
      <w:r>
        <w:rPr>
          <w:rFonts w:ascii="宋体" w:hAnsi="宋体" w:cs="宋体"/>
          <w:sz w:val="24"/>
        </w:rPr>
        <w:t>《继电保护和安全自动装置技术规程》（GB14285-2006）</w:t>
      </w:r>
    </w:p>
    <w:p w14:paraId="0E167132">
      <w:pPr>
        <w:spacing w:line="360" w:lineRule="auto"/>
        <w:ind w:firstLine="480" w:firstLineChars="200"/>
        <w:jc w:val="left"/>
        <w:rPr>
          <w:rFonts w:ascii="宋体" w:hAnsi="宋体" w:cs="宋体"/>
          <w:sz w:val="24"/>
        </w:rPr>
      </w:pPr>
      <w:r>
        <w:rPr>
          <w:rFonts w:ascii="宋体" w:hAnsi="宋体" w:cs="宋体"/>
          <w:sz w:val="24"/>
        </w:rPr>
        <w:t>《电测量及电能计量装置设计技术规程》（DL/T 5137-2001）</w:t>
      </w:r>
    </w:p>
    <w:p w14:paraId="09FF4EC6">
      <w:pPr>
        <w:spacing w:line="360" w:lineRule="auto"/>
        <w:ind w:firstLine="480" w:firstLineChars="200"/>
        <w:jc w:val="left"/>
        <w:rPr>
          <w:rFonts w:ascii="宋体" w:hAnsi="宋体" w:cs="宋体"/>
          <w:sz w:val="24"/>
        </w:rPr>
      </w:pPr>
      <w:r>
        <w:rPr>
          <w:rFonts w:ascii="宋体" w:hAnsi="宋体" w:cs="宋体"/>
          <w:sz w:val="24"/>
        </w:rPr>
        <w:t>《民用闭路监视电视系统工程技术规范》（GB50198-94）</w:t>
      </w:r>
    </w:p>
    <w:p w14:paraId="2BFCA314">
      <w:pPr>
        <w:spacing w:line="360" w:lineRule="auto"/>
        <w:ind w:firstLine="480" w:firstLineChars="200"/>
        <w:jc w:val="left"/>
        <w:rPr>
          <w:rFonts w:ascii="宋体" w:hAnsi="宋体" w:cs="宋体"/>
          <w:sz w:val="24"/>
        </w:rPr>
      </w:pPr>
      <w:r>
        <w:rPr>
          <w:rFonts w:ascii="宋体" w:hAnsi="宋体" w:cs="宋体"/>
          <w:sz w:val="24"/>
        </w:rPr>
        <w:t>《公共建筑节能设计标准》（GB50189-2005）</w:t>
      </w:r>
    </w:p>
    <w:p w14:paraId="40496006">
      <w:pPr>
        <w:spacing w:line="360" w:lineRule="auto"/>
        <w:ind w:firstLine="480" w:firstLineChars="200"/>
        <w:jc w:val="left"/>
        <w:rPr>
          <w:rFonts w:ascii="宋体" w:hAnsi="宋体" w:cs="宋体"/>
          <w:sz w:val="24"/>
        </w:rPr>
      </w:pPr>
      <w:r>
        <w:rPr>
          <w:rFonts w:ascii="宋体" w:hAnsi="宋体" w:cs="宋体"/>
          <w:sz w:val="24"/>
        </w:rPr>
        <w:t>《电气照明节能设计》（06DX008-1）</w:t>
      </w:r>
    </w:p>
    <w:p w14:paraId="65D842CF">
      <w:pPr>
        <w:spacing w:line="360" w:lineRule="auto"/>
        <w:ind w:firstLine="480" w:firstLineChars="200"/>
        <w:jc w:val="left"/>
        <w:rPr>
          <w:rFonts w:ascii="宋体" w:hAnsi="宋体" w:cs="宋体"/>
          <w:sz w:val="24"/>
        </w:rPr>
      </w:pPr>
      <w:r>
        <w:rPr>
          <w:rFonts w:ascii="宋体" w:hAnsi="宋体" w:cs="宋体"/>
          <w:sz w:val="24"/>
        </w:rPr>
        <w:t>《电气设备节能设计》（06DX008-2）</w:t>
      </w:r>
    </w:p>
    <w:p w14:paraId="4BC0078C">
      <w:pPr>
        <w:spacing w:line="360" w:lineRule="auto"/>
        <w:ind w:firstLine="480" w:firstLineChars="200"/>
        <w:rPr>
          <w:rFonts w:ascii="宋体" w:hAnsi="宋体" w:cs="宋体"/>
          <w:sz w:val="24"/>
        </w:rPr>
      </w:pPr>
      <w:r>
        <w:rPr>
          <w:rFonts w:hint="eastAsia" w:ascii="宋体" w:hAnsi="宋体" w:cs="宋体"/>
          <w:sz w:val="24"/>
        </w:rPr>
        <w:t>3.污水排放严格按</w:t>
      </w:r>
      <w:r>
        <w:rPr>
          <w:rFonts w:ascii="宋体" w:hAnsi="宋体" w:cs="宋体"/>
          <w:sz w:val="24"/>
        </w:rPr>
        <w:t>浙江省《</w:t>
      </w:r>
      <w:r>
        <w:rPr>
          <w:rFonts w:hint="eastAsia" w:ascii="宋体" w:hAnsi="宋体" w:cs="宋体"/>
          <w:sz w:val="24"/>
        </w:rPr>
        <w:t>城镇</w:t>
      </w:r>
      <w:r>
        <w:rPr>
          <w:rFonts w:ascii="宋体" w:hAnsi="宋体" w:cs="宋体"/>
          <w:sz w:val="24"/>
        </w:rPr>
        <w:t>污水处理</w:t>
      </w:r>
      <w:r>
        <w:rPr>
          <w:rFonts w:hint="eastAsia" w:ascii="宋体" w:hAnsi="宋体" w:cs="宋体"/>
          <w:sz w:val="24"/>
        </w:rPr>
        <w:t>厂</w:t>
      </w:r>
      <w:r>
        <w:rPr>
          <w:rFonts w:ascii="宋体" w:hAnsi="宋体" w:cs="宋体"/>
          <w:sz w:val="24"/>
        </w:rPr>
        <w:t>污染</w:t>
      </w:r>
      <w:r>
        <w:rPr>
          <w:rFonts w:hint="eastAsia" w:ascii="宋体" w:hAnsi="宋体" w:cs="宋体"/>
          <w:sz w:val="24"/>
        </w:rPr>
        <w:t>物</w:t>
      </w:r>
      <w:r>
        <w:rPr>
          <w:rFonts w:ascii="宋体" w:hAnsi="宋体" w:cs="宋体"/>
          <w:sz w:val="24"/>
        </w:rPr>
        <w:t>排放标准》</w:t>
      </w:r>
      <w:r>
        <w:rPr>
          <w:rFonts w:hint="eastAsia" w:ascii="宋体" w:hAnsi="宋体" w:cs="宋体"/>
          <w:sz w:val="24"/>
        </w:rPr>
        <w:t>（GB18918-2002）一</w:t>
      </w:r>
      <w:r>
        <w:rPr>
          <w:rFonts w:ascii="宋体" w:hAnsi="宋体" w:cs="宋体"/>
          <w:sz w:val="24"/>
        </w:rPr>
        <w:t>级</w:t>
      </w:r>
      <w:r>
        <w:rPr>
          <w:rFonts w:hint="eastAsia" w:ascii="宋体" w:hAnsi="宋体" w:cs="宋体"/>
          <w:sz w:val="24"/>
        </w:rPr>
        <w:t>A类排放</w:t>
      </w:r>
      <w:r>
        <w:rPr>
          <w:rFonts w:ascii="宋体" w:hAnsi="宋体" w:cs="宋体"/>
          <w:sz w:val="24"/>
        </w:rPr>
        <w:t>标准</w:t>
      </w:r>
      <w:r>
        <w:rPr>
          <w:rFonts w:hint="eastAsia" w:ascii="宋体" w:hAnsi="宋体" w:cs="宋体"/>
          <w:sz w:val="24"/>
        </w:rPr>
        <w:t>，具体排放指标详见下表：</w:t>
      </w:r>
    </w:p>
    <w:p w14:paraId="6ACC6582">
      <w:pPr>
        <w:autoSpaceDE w:val="0"/>
        <w:autoSpaceDN w:val="0"/>
        <w:spacing w:line="360" w:lineRule="auto"/>
        <w:ind w:firstLine="480" w:firstLineChars="200"/>
        <w:textAlignment w:val="bottom"/>
        <w:rPr>
          <w:rFonts w:ascii="宋体" w:hAnsi="宋体"/>
          <w:sz w:val="24"/>
        </w:rPr>
      </w:pPr>
      <w:r>
        <w:rPr>
          <w:rFonts w:hint="eastAsia" w:ascii="宋体" w:hAnsi="宋体" w:cs="宋体"/>
          <w:sz w:val="24"/>
        </w:rPr>
        <w:t xml:space="preserve">  </w:t>
      </w:r>
      <w:r>
        <w:rPr>
          <w:rFonts w:hint="eastAsia" w:ascii="宋体" w:hAnsi="宋体"/>
          <w:sz w:val="24"/>
        </w:rPr>
        <w:t xml:space="preserve">                                               单位：mg/L</w:t>
      </w:r>
    </w:p>
    <w:tbl>
      <w:tblPr>
        <w:tblStyle w:val="69"/>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80"/>
        <w:gridCol w:w="3780"/>
      </w:tblGrid>
      <w:tr w14:paraId="203A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20" w:type="dxa"/>
            <w:vAlign w:val="center"/>
          </w:tcPr>
          <w:p w14:paraId="383B19B7">
            <w:pPr>
              <w:autoSpaceDE w:val="0"/>
              <w:autoSpaceDN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序号</w:t>
            </w:r>
          </w:p>
        </w:tc>
        <w:tc>
          <w:tcPr>
            <w:tcW w:w="2880" w:type="dxa"/>
            <w:vAlign w:val="center"/>
          </w:tcPr>
          <w:p w14:paraId="12E31578">
            <w:pPr>
              <w:autoSpaceDE w:val="0"/>
              <w:autoSpaceDN w:val="0"/>
              <w:spacing w:line="360" w:lineRule="auto"/>
              <w:ind w:firstLine="480" w:firstLineChars="200"/>
              <w:jc w:val="center"/>
              <w:textAlignment w:val="bottom"/>
              <w:rPr>
                <w:rFonts w:hint="eastAsia" w:ascii="宋体" w:hAnsi="宋体" w:eastAsia="宋体" w:cs="宋体"/>
                <w:sz w:val="24"/>
                <w:szCs w:val="24"/>
              </w:rPr>
            </w:pPr>
            <w:r>
              <w:rPr>
                <w:rFonts w:hint="eastAsia" w:ascii="宋体" w:hAnsi="宋体" w:eastAsia="宋体" w:cs="宋体"/>
                <w:sz w:val="24"/>
                <w:szCs w:val="24"/>
              </w:rPr>
              <w:t>控制项目名称</w:t>
            </w:r>
          </w:p>
        </w:tc>
        <w:tc>
          <w:tcPr>
            <w:tcW w:w="3780" w:type="dxa"/>
            <w:vAlign w:val="center"/>
          </w:tcPr>
          <w:p w14:paraId="58DCEE81">
            <w:pPr>
              <w:autoSpaceDE w:val="0"/>
              <w:autoSpaceDN w:val="0"/>
              <w:spacing w:line="360" w:lineRule="auto"/>
              <w:ind w:firstLine="1440" w:firstLineChars="600"/>
              <w:textAlignment w:val="bottom"/>
              <w:rPr>
                <w:rFonts w:hint="eastAsia" w:ascii="宋体" w:hAnsi="宋体" w:eastAsia="宋体" w:cs="宋体"/>
                <w:sz w:val="24"/>
                <w:szCs w:val="24"/>
              </w:rPr>
            </w:pPr>
            <w:r>
              <w:rPr>
                <w:rFonts w:hint="eastAsia" w:ascii="宋体" w:hAnsi="宋体" w:eastAsia="宋体" w:cs="宋体"/>
                <w:sz w:val="24"/>
                <w:szCs w:val="24"/>
              </w:rPr>
              <w:t>一级标准</w:t>
            </w:r>
          </w:p>
        </w:tc>
      </w:tr>
      <w:tr w14:paraId="2678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20" w:type="dxa"/>
            <w:vAlign w:val="center"/>
          </w:tcPr>
          <w:p w14:paraId="1BA6033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880" w:type="dxa"/>
            <w:vAlign w:val="center"/>
          </w:tcPr>
          <w:p w14:paraId="134D0EC0">
            <w:pPr>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pH2</w:t>
            </w:r>
          </w:p>
        </w:tc>
        <w:tc>
          <w:tcPr>
            <w:tcW w:w="3780" w:type="dxa"/>
            <w:vAlign w:val="center"/>
          </w:tcPr>
          <w:p w14:paraId="01044D5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6-9</w:t>
            </w:r>
          </w:p>
        </w:tc>
      </w:tr>
      <w:tr w14:paraId="7D21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20" w:type="dxa"/>
            <w:vAlign w:val="center"/>
          </w:tcPr>
          <w:p w14:paraId="1BDDDB1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2880" w:type="dxa"/>
            <w:vAlign w:val="center"/>
          </w:tcPr>
          <w:p w14:paraId="7B30E83B">
            <w:pPr>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生化需氧量(BOD5)</w:t>
            </w:r>
          </w:p>
        </w:tc>
        <w:tc>
          <w:tcPr>
            <w:tcW w:w="3780" w:type="dxa"/>
            <w:vAlign w:val="center"/>
          </w:tcPr>
          <w:p w14:paraId="6AD2087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r>
      <w:tr w14:paraId="05829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20" w:type="dxa"/>
            <w:vAlign w:val="center"/>
          </w:tcPr>
          <w:p w14:paraId="2EBF4EB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2880" w:type="dxa"/>
            <w:vAlign w:val="center"/>
          </w:tcPr>
          <w:p w14:paraId="2AB807BF">
            <w:pPr>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化学需氧量（CODcr）</w:t>
            </w:r>
          </w:p>
        </w:tc>
        <w:tc>
          <w:tcPr>
            <w:tcW w:w="3780" w:type="dxa"/>
            <w:vAlign w:val="center"/>
          </w:tcPr>
          <w:p w14:paraId="52CBC0F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50</w:t>
            </w:r>
          </w:p>
        </w:tc>
      </w:tr>
      <w:tr w14:paraId="7A33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20" w:type="dxa"/>
            <w:vAlign w:val="center"/>
          </w:tcPr>
          <w:p w14:paraId="4AD8278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2880" w:type="dxa"/>
            <w:vAlign w:val="center"/>
          </w:tcPr>
          <w:p w14:paraId="76D47B52">
            <w:pPr>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氨氮（NH3-N）</w:t>
            </w:r>
          </w:p>
        </w:tc>
        <w:tc>
          <w:tcPr>
            <w:tcW w:w="3780" w:type="dxa"/>
            <w:vAlign w:val="center"/>
          </w:tcPr>
          <w:p w14:paraId="45E280C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r>
      <w:tr w14:paraId="2285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20" w:type="dxa"/>
            <w:vAlign w:val="center"/>
          </w:tcPr>
          <w:p w14:paraId="5E5A3DC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2880" w:type="dxa"/>
            <w:vAlign w:val="center"/>
          </w:tcPr>
          <w:p w14:paraId="75B2A522">
            <w:pPr>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总磷（TP）</w:t>
            </w:r>
          </w:p>
        </w:tc>
        <w:tc>
          <w:tcPr>
            <w:tcW w:w="3780" w:type="dxa"/>
            <w:vAlign w:val="center"/>
          </w:tcPr>
          <w:p w14:paraId="769B0D8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0.5</w:t>
            </w:r>
          </w:p>
        </w:tc>
      </w:tr>
      <w:tr w14:paraId="29EA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20" w:type="dxa"/>
            <w:vAlign w:val="center"/>
          </w:tcPr>
          <w:p w14:paraId="26075C1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2880" w:type="dxa"/>
            <w:vAlign w:val="center"/>
          </w:tcPr>
          <w:p w14:paraId="27FE33F2">
            <w:pPr>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悬浮物（SS）</w:t>
            </w:r>
          </w:p>
        </w:tc>
        <w:tc>
          <w:tcPr>
            <w:tcW w:w="3780" w:type="dxa"/>
            <w:vAlign w:val="center"/>
          </w:tcPr>
          <w:p w14:paraId="3FDDE2C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r>
      <w:tr w14:paraId="0E87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20" w:type="dxa"/>
            <w:vAlign w:val="center"/>
          </w:tcPr>
          <w:p w14:paraId="1866F2A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2880" w:type="dxa"/>
            <w:vAlign w:val="center"/>
          </w:tcPr>
          <w:p w14:paraId="056ADFD4">
            <w:pPr>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粪大肠菌群（个/L）</w:t>
            </w:r>
          </w:p>
        </w:tc>
        <w:tc>
          <w:tcPr>
            <w:tcW w:w="3780" w:type="dxa"/>
            <w:vAlign w:val="center"/>
          </w:tcPr>
          <w:p w14:paraId="41C89D3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104</w:t>
            </w:r>
          </w:p>
        </w:tc>
      </w:tr>
      <w:tr w14:paraId="3E82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380" w:type="dxa"/>
            <w:gridSpan w:val="3"/>
            <w:vAlign w:val="center"/>
          </w:tcPr>
          <w:p w14:paraId="737B9518">
            <w:pPr>
              <w:spacing w:line="360" w:lineRule="auto"/>
              <w:jc w:val="left"/>
              <w:rPr>
                <w:rFonts w:hint="eastAsia" w:ascii="宋体" w:hAnsi="宋体" w:eastAsia="宋体" w:cs="宋体"/>
                <w:sz w:val="24"/>
                <w:szCs w:val="24"/>
              </w:rPr>
            </w:pPr>
            <w:r>
              <w:rPr>
                <w:rFonts w:hint="eastAsia" w:ascii="宋体" w:hAnsi="宋体" w:eastAsia="宋体" w:cs="宋体"/>
                <w:sz w:val="24"/>
                <w:szCs w:val="24"/>
              </w:rPr>
              <w:t>注1：无量纲。</w:t>
            </w:r>
          </w:p>
          <w:p w14:paraId="0EE0C72B">
            <w:pPr>
              <w:spacing w:line="360" w:lineRule="auto"/>
              <w:jc w:val="left"/>
              <w:rPr>
                <w:rFonts w:hint="eastAsia" w:ascii="宋体" w:hAnsi="宋体" w:eastAsia="宋体" w:cs="宋体"/>
                <w:sz w:val="24"/>
                <w:szCs w:val="24"/>
              </w:rPr>
            </w:pPr>
            <w:r>
              <w:rPr>
                <w:rFonts w:hint="eastAsia" w:ascii="宋体" w:hAnsi="宋体" w:eastAsia="宋体" w:cs="宋体"/>
                <w:sz w:val="24"/>
                <w:szCs w:val="24"/>
              </w:rPr>
              <w:t>注2：仅针对含农家乐废水的处理设施执行。</w:t>
            </w:r>
          </w:p>
        </w:tc>
      </w:tr>
    </w:tbl>
    <w:p w14:paraId="0C4A9962">
      <w:pPr>
        <w:pStyle w:val="65"/>
        <w:spacing w:before="0" w:beforeAutospacing="0" w:after="0" w:afterAutospacing="0" w:line="360" w:lineRule="auto"/>
        <w:rPr>
          <w:b/>
          <w:bCs/>
        </w:rPr>
      </w:pPr>
    </w:p>
    <w:p w14:paraId="5010F9F2">
      <w:pPr>
        <w:pStyle w:val="65"/>
        <w:spacing w:before="0" w:beforeAutospacing="0" w:after="0" w:afterAutospacing="0" w:line="360" w:lineRule="auto"/>
        <w:rPr>
          <w:b/>
          <w:bCs/>
        </w:rPr>
      </w:pPr>
      <w:r>
        <w:rPr>
          <w:rFonts w:hint="eastAsia"/>
          <w:b/>
          <w:bCs/>
        </w:rPr>
        <w:t>五、其他说明</w:t>
      </w:r>
    </w:p>
    <w:p w14:paraId="7E0344C8">
      <w:pPr>
        <w:widowControl/>
        <w:numPr>
          <w:ilvl w:val="0"/>
          <w:numId w:val="1"/>
        </w:numPr>
        <w:adjustRightInd/>
        <w:snapToGrid w:val="0"/>
        <w:spacing w:beforeLines="50" w:line="360" w:lineRule="auto"/>
        <w:rPr>
          <w:rFonts w:ascii="宋体" w:hAnsi="宋体" w:cs="宋体"/>
          <w:bCs/>
          <w:sz w:val="24"/>
        </w:rPr>
      </w:pPr>
      <w:r>
        <w:rPr>
          <w:rFonts w:hint="eastAsia" w:ascii="宋体" w:hAnsi="宋体" w:cs="宋体"/>
          <w:bCs/>
          <w:sz w:val="24"/>
        </w:rPr>
        <w:t>中标人须在莪山畲族乡设立运维站点，配备必要的项目负责人、安全员、电工、车辆驾驶员、机械操作人员等班组人员。</w:t>
      </w:r>
    </w:p>
    <w:p w14:paraId="24D05916">
      <w:pPr>
        <w:widowControl/>
        <w:numPr>
          <w:ilvl w:val="0"/>
          <w:numId w:val="1"/>
        </w:numPr>
        <w:adjustRightInd/>
        <w:snapToGrid w:val="0"/>
        <w:spacing w:beforeLines="50" w:line="360" w:lineRule="auto"/>
        <w:rPr>
          <w:rFonts w:ascii="宋体" w:hAnsi="宋体" w:cs="宋体"/>
          <w:bCs/>
          <w:sz w:val="24"/>
        </w:rPr>
      </w:pPr>
      <w:r>
        <w:rPr>
          <w:rFonts w:hint="eastAsia" w:ascii="宋体" w:hAnsi="宋体" w:cs="宋体"/>
          <w:bCs/>
          <w:sz w:val="24"/>
        </w:rPr>
        <w:t>在运维期间若出现违法行为（水质超标、设备正常运行、固废处理）等情况，执法处罚全部由第三方运维单位承担。</w:t>
      </w:r>
    </w:p>
    <w:p w14:paraId="2D416CC8">
      <w:pPr>
        <w:widowControl/>
        <w:numPr>
          <w:ilvl w:val="0"/>
          <w:numId w:val="1"/>
        </w:numPr>
        <w:adjustRightInd/>
        <w:snapToGrid w:val="0"/>
        <w:spacing w:beforeLines="50" w:line="360" w:lineRule="auto"/>
        <w:rPr>
          <w:rFonts w:ascii="宋体" w:hAnsi="宋体" w:cs="宋体"/>
          <w:bCs/>
          <w:sz w:val="24"/>
        </w:rPr>
      </w:pPr>
      <w:r>
        <w:rPr>
          <w:rFonts w:hint="eastAsia" w:ascii="宋体" w:hAnsi="宋体" w:cs="宋体"/>
          <w:bCs/>
          <w:sz w:val="24"/>
        </w:rPr>
        <w:t>中标人须严格按照标准化的操作程序、完善的培训体系和质量控制体系完成本项目服务，以保证整个服务系统安全、高效、有序和有计划地运转。</w:t>
      </w:r>
    </w:p>
    <w:p w14:paraId="0EAF55E1">
      <w:pPr>
        <w:widowControl/>
        <w:numPr>
          <w:ilvl w:val="0"/>
          <w:numId w:val="1"/>
        </w:numPr>
        <w:adjustRightInd/>
        <w:snapToGrid w:val="0"/>
        <w:spacing w:beforeLines="50" w:line="360" w:lineRule="auto"/>
        <w:rPr>
          <w:rFonts w:ascii="宋体" w:hAnsi="宋体" w:cs="宋体"/>
          <w:kern w:val="0"/>
          <w:sz w:val="24"/>
        </w:rPr>
      </w:pPr>
      <w:r>
        <w:rPr>
          <w:rFonts w:hint="eastAsia" w:ascii="宋体" w:hAnsi="宋体" w:cs="宋体"/>
          <w:kern w:val="0"/>
          <w:sz w:val="24"/>
        </w:rPr>
        <w:t>中标人有责任配合业主接受上级领导部门的监督、检查，提供必须的资料。</w:t>
      </w:r>
    </w:p>
    <w:p w14:paraId="69BDAF97">
      <w:pPr>
        <w:widowControl/>
        <w:numPr>
          <w:ilvl w:val="0"/>
          <w:numId w:val="1"/>
        </w:numPr>
        <w:adjustRightInd/>
        <w:snapToGrid w:val="0"/>
        <w:spacing w:beforeLines="50" w:line="360" w:lineRule="auto"/>
        <w:rPr>
          <w:rFonts w:ascii="宋体" w:hAnsi="宋体" w:cs="宋体"/>
          <w:bCs/>
          <w:kern w:val="0"/>
          <w:sz w:val="24"/>
        </w:rPr>
      </w:pPr>
      <w:r>
        <w:rPr>
          <w:rFonts w:hint="eastAsia" w:ascii="宋体" w:hAnsi="宋体" w:cs="宋体"/>
          <w:bCs/>
          <w:sz w:val="24"/>
        </w:rPr>
        <w:t>中标人须严格按照国家和杭州市政府及桐庐县政府规定给全部服务人员缴纳社会保障资金（包括养老、医疗、 工伤、生育险、失业保险等）。（所需费用要求已含在总报价中）。</w:t>
      </w:r>
    </w:p>
    <w:p w14:paraId="31326927">
      <w:pPr>
        <w:widowControl/>
        <w:numPr>
          <w:ilvl w:val="0"/>
          <w:numId w:val="1"/>
        </w:numPr>
        <w:adjustRightInd/>
        <w:snapToGrid w:val="0"/>
        <w:spacing w:beforeLines="50" w:line="360" w:lineRule="auto"/>
        <w:rPr>
          <w:rFonts w:ascii="宋体" w:hAnsi="宋体" w:cs="宋体"/>
          <w:bCs/>
          <w:kern w:val="0"/>
          <w:sz w:val="24"/>
        </w:rPr>
      </w:pPr>
      <w:r>
        <w:rPr>
          <w:rFonts w:hint="eastAsia" w:ascii="宋体" w:hAnsi="宋体" w:cs="宋体"/>
          <w:kern w:val="0"/>
          <w:sz w:val="24"/>
        </w:rPr>
        <w:t>中标人自行负责其招聘员工的一切工资、福利；如发生工伤、疾病乃至死亡的一切责任及费用由中标人全部负责；中标人应严格遵守国家有关的法律、法规及行业标准。如因中标人原因造成第三方损失的或在服务过程中中标人与从业人员发生任何劳动纠纷的，一切责任及费用由中标人全部负责。</w:t>
      </w:r>
    </w:p>
    <w:p w14:paraId="62D49AA1">
      <w:pPr>
        <w:widowControl/>
        <w:numPr>
          <w:ilvl w:val="0"/>
          <w:numId w:val="1"/>
        </w:numPr>
        <w:adjustRightInd/>
        <w:snapToGrid w:val="0"/>
        <w:spacing w:beforeLines="50" w:line="360" w:lineRule="auto"/>
        <w:rPr>
          <w:rFonts w:ascii="宋体" w:hAnsi="宋体" w:cs="宋体"/>
          <w:bCs/>
          <w:kern w:val="0"/>
          <w:sz w:val="24"/>
        </w:rPr>
      </w:pPr>
      <w:r>
        <w:rPr>
          <w:rFonts w:hint="eastAsia" w:ascii="宋体" w:hAnsi="宋体" w:cs="宋体"/>
          <w:kern w:val="0"/>
          <w:sz w:val="24"/>
        </w:rPr>
        <w:t>业主方不接受投标人任何因遗漏报价而发生的费用追加，因中标人违反《劳动法》等法律法规而造成院方的连带责任和损失全部由中标人承担。</w:t>
      </w:r>
    </w:p>
    <w:p w14:paraId="4CE6E87D">
      <w:pPr>
        <w:widowControl/>
        <w:numPr>
          <w:ilvl w:val="0"/>
          <w:numId w:val="1"/>
        </w:numPr>
        <w:adjustRightInd/>
        <w:snapToGrid w:val="0"/>
        <w:spacing w:beforeLines="50" w:line="360" w:lineRule="auto"/>
        <w:rPr>
          <w:rFonts w:ascii="宋体" w:hAnsi="宋体" w:cs="宋体"/>
          <w:bCs/>
          <w:kern w:val="0"/>
          <w:sz w:val="24"/>
        </w:rPr>
      </w:pPr>
      <w:r>
        <w:rPr>
          <w:rFonts w:hint="eastAsia" w:ascii="宋体" w:hAnsi="宋体" w:cs="宋体"/>
          <w:kern w:val="0"/>
          <w:sz w:val="24"/>
        </w:rPr>
        <w:t>中标人须认真履行职责，严格按服务协议中的质量保证体系做好承包服务工作。确保在岗在位，各尽其职，保证符合各项服务基本要求和各项质量标准。</w:t>
      </w:r>
    </w:p>
    <w:p w14:paraId="7D3712DD">
      <w:pPr>
        <w:spacing w:line="360" w:lineRule="auto"/>
        <w:rPr>
          <w:rFonts w:ascii="宋体" w:hAnsi="宋体" w:cs="宋体"/>
          <w:b/>
          <w:sz w:val="24"/>
        </w:rPr>
      </w:pPr>
      <w:r>
        <w:rPr>
          <w:rFonts w:hint="eastAsia" w:ascii="宋体" w:hAnsi="宋体" w:cs="宋体"/>
          <w:b/>
          <w:sz w:val="24"/>
          <w:lang w:val="en-US" w:eastAsia="zh-CN"/>
        </w:rPr>
        <w:t>六</w:t>
      </w:r>
      <w:r>
        <w:rPr>
          <w:rFonts w:hint="eastAsia" w:ascii="宋体" w:hAnsi="宋体" w:cs="宋体"/>
          <w:b/>
          <w:sz w:val="24"/>
        </w:rPr>
        <w:t>、</w:t>
      </w:r>
      <w:bookmarkEnd w:id="21"/>
      <w:bookmarkStart w:id="30" w:name="_Toc463034022"/>
      <w:r>
        <w:rPr>
          <w:rFonts w:hint="eastAsia" w:ascii="宋体" w:hAnsi="宋体" w:cs="宋体"/>
          <w:b/>
          <w:sz w:val="24"/>
        </w:rPr>
        <w:t>服务期：</w:t>
      </w:r>
      <w:r>
        <w:rPr>
          <w:rFonts w:hint="eastAsia" w:ascii="宋体" w:hAnsi="宋体" w:cs="宋体"/>
          <w:b/>
          <w:sz w:val="24"/>
          <w:u w:val="single"/>
        </w:rPr>
        <w:t xml:space="preserve"> 2年</w:t>
      </w:r>
      <w:r>
        <w:rPr>
          <w:rFonts w:hint="eastAsia" w:ascii="宋体" w:hAnsi="宋体" w:cs="宋体"/>
          <w:b/>
          <w:sz w:val="24"/>
          <w:u w:val="single"/>
          <w:lang w:val="en-US" w:eastAsia="zh-CN"/>
        </w:rPr>
        <w:t xml:space="preserve"> </w:t>
      </w:r>
      <w:r>
        <w:rPr>
          <w:rFonts w:hint="eastAsia" w:cs="宋体" w:asciiTheme="minorEastAsia" w:hAnsiTheme="minorEastAsia" w:eastAsiaTheme="minorEastAsia"/>
          <w:sz w:val="24"/>
        </w:rPr>
        <w:t>（具体起始日期以甲乙双方合同约定为准）。</w:t>
      </w:r>
    </w:p>
    <w:bookmarkEnd w:id="30"/>
    <w:p w14:paraId="5ABF08F9">
      <w:pPr>
        <w:autoSpaceDE w:val="0"/>
        <w:autoSpaceDN w:val="0"/>
        <w:spacing w:line="360" w:lineRule="auto"/>
        <w:rPr>
          <w:rFonts w:ascii="宋体" w:hAnsi="宋体"/>
          <w:b/>
          <w:bCs/>
          <w:sz w:val="24"/>
        </w:rPr>
      </w:pPr>
      <w:r>
        <w:rPr>
          <w:rFonts w:hint="eastAsia" w:ascii="宋体" w:hAnsi="宋体"/>
          <w:b/>
          <w:bCs/>
          <w:sz w:val="24"/>
          <w:lang w:val="en-US" w:eastAsia="zh-CN"/>
        </w:rPr>
        <w:t>七</w:t>
      </w:r>
      <w:r>
        <w:rPr>
          <w:rFonts w:hint="eastAsia" w:ascii="宋体" w:hAnsi="宋体"/>
          <w:b/>
          <w:bCs/>
          <w:sz w:val="24"/>
        </w:rPr>
        <w:t>、付款方式：</w:t>
      </w:r>
    </w:p>
    <w:p w14:paraId="5A170F5C">
      <w:pPr>
        <w:spacing w:line="360" w:lineRule="auto"/>
        <w:ind w:firstLine="480"/>
        <w:rPr>
          <w:rFonts w:hint="eastAsia" w:ascii="宋体" w:hAnsi="宋体" w:cs="宋体"/>
          <w:color w:val="auto"/>
          <w:kern w:val="0"/>
          <w:sz w:val="24"/>
        </w:rPr>
      </w:pPr>
      <w:r>
        <w:rPr>
          <w:rFonts w:hint="eastAsia" w:ascii="宋体" w:hAnsi="宋体" w:cs="宋体"/>
          <w:color w:val="auto"/>
          <w:kern w:val="0"/>
          <w:sz w:val="24"/>
        </w:rPr>
        <w:t>合同签订后7日内支付合同价款的</w:t>
      </w:r>
      <w:r>
        <w:rPr>
          <w:rFonts w:hint="eastAsia" w:ascii="宋体" w:hAnsi="宋体" w:cs="宋体"/>
          <w:color w:val="auto"/>
          <w:kern w:val="0"/>
          <w:sz w:val="24"/>
          <w:lang w:val="en-US" w:eastAsia="zh-CN"/>
        </w:rPr>
        <w:t>6</w:t>
      </w:r>
      <w:r>
        <w:rPr>
          <w:rFonts w:hint="eastAsia" w:ascii="宋体" w:hAnsi="宋体" w:cs="宋体"/>
          <w:color w:val="auto"/>
          <w:kern w:val="0"/>
          <w:sz w:val="24"/>
        </w:rPr>
        <w:t>0%的预付款，</w:t>
      </w:r>
      <w:r>
        <w:rPr>
          <w:rFonts w:hint="eastAsia" w:ascii="宋体" w:hAnsi="宋体" w:cs="宋体"/>
          <w:color w:val="auto"/>
          <w:kern w:val="0"/>
          <w:sz w:val="24"/>
          <w:lang w:val="en-US" w:eastAsia="zh-CN"/>
        </w:rPr>
        <w:t>在第一年服务期满后支付至合同总价的80%，</w:t>
      </w:r>
      <w:r>
        <w:rPr>
          <w:rFonts w:hint="eastAsia" w:ascii="宋体" w:hAnsi="宋体" w:cs="宋体"/>
          <w:color w:val="auto"/>
          <w:kern w:val="0"/>
          <w:sz w:val="24"/>
        </w:rPr>
        <w:t>余款在</w:t>
      </w:r>
      <w:r>
        <w:rPr>
          <w:rFonts w:hint="eastAsia" w:ascii="宋体" w:hAnsi="宋体" w:cs="宋体"/>
          <w:color w:val="auto"/>
          <w:kern w:val="0"/>
          <w:sz w:val="24"/>
          <w:lang w:val="en-US" w:eastAsia="zh-CN"/>
        </w:rPr>
        <w:t>总</w:t>
      </w:r>
      <w:r>
        <w:rPr>
          <w:rFonts w:hint="eastAsia" w:ascii="宋体" w:hAnsi="宋体" w:cs="宋体"/>
          <w:color w:val="auto"/>
          <w:kern w:val="0"/>
          <w:sz w:val="24"/>
        </w:rPr>
        <w:t>服务期满后一次性付清。</w:t>
      </w:r>
    </w:p>
    <w:p w14:paraId="298D0CB4">
      <w:pPr>
        <w:spacing w:line="360" w:lineRule="auto"/>
        <w:rPr>
          <w:rFonts w:hint="eastAsia" w:ascii="宋体" w:hAnsi="宋体" w:eastAsia="宋体" w:cs="宋体"/>
          <w:b/>
          <w:bCs/>
          <w:sz w:val="24"/>
          <w:lang w:val="en-US" w:eastAsia="zh-CN"/>
        </w:rPr>
      </w:pPr>
      <w:r>
        <w:rPr>
          <w:rFonts w:hint="eastAsia" w:ascii="宋体" w:hAnsi="宋体" w:cs="宋体"/>
          <w:b/>
          <w:bCs/>
          <w:sz w:val="24"/>
          <w:lang w:val="en-US" w:eastAsia="zh-CN"/>
        </w:rPr>
        <w:t>八</w:t>
      </w:r>
      <w:r>
        <w:rPr>
          <w:rFonts w:hint="eastAsia" w:ascii="宋体" w:hAnsi="宋体" w:cs="宋体"/>
          <w:b/>
          <w:bCs/>
          <w:sz w:val="24"/>
        </w:rPr>
        <w:t>、履约</w:t>
      </w:r>
      <w:r>
        <w:rPr>
          <w:rFonts w:hint="eastAsia" w:ascii="宋体" w:hAnsi="宋体" w:cs="宋体"/>
          <w:b/>
          <w:bCs/>
          <w:sz w:val="24"/>
          <w:lang w:val="en-US" w:eastAsia="zh-CN"/>
        </w:rPr>
        <w:t>保证金</w:t>
      </w:r>
    </w:p>
    <w:p w14:paraId="0DFAB102">
      <w:pPr>
        <w:spacing w:line="360" w:lineRule="auto"/>
        <w:ind w:firstLine="360" w:firstLineChars="150"/>
        <w:rPr>
          <w:rFonts w:ascii="宋体" w:hAnsi="宋体" w:cs="宋体"/>
          <w:sz w:val="24"/>
        </w:rPr>
      </w:pPr>
      <w:r>
        <w:rPr>
          <w:rFonts w:hint="eastAsia" w:ascii="宋体" w:hAnsi="宋体" w:cs="宋体"/>
          <w:sz w:val="24"/>
        </w:rPr>
        <w:t>签订合同前，中标人须交纳合同价</w:t>
      </w:r>
      <w:r>
        <w:rPr>
          <w:rFonts w:hint="eastAsia" w:ascii="宋体" w:hAnsi="宋体" w:cs="宋体"/>
          <w:sz w:val="24"/>
          <w:lang w:val="en-US" w:eastAsia="zh-CN"/>
        </w:rPr>
        <w:t>0.1</w:t>
      </w:r>
      <w:r>
        <w:rPr>
          <w:rFonts w:hint="eastAsia" w:ascii="宋体" w:hAnsi="宋体" w:cs="宋体"/>
          <w:sz w:val="24"/>
        </w:rPr>
        <w:t>%的</w:t>
      </w:r>
      <w:r>
        <w:rPr>
          <w:rFonts w:hint="eastAsia" w:ascii="宋体" w:hAnsi="宋体" w:cs="宋体"/>
          <w:sz w:val="24"/>
          <w:lang w:eastAsia="zh-CN"/>
        </w:rPr>
        <w:t>履约保证金</w:t>
      </w:r>
      <w:r>
        <w:rPr>
          <w:rFonts w:hint="eastAsia" w:ascii="宋体" w:hAnsi="宋体" w:cs="宋体"/>
          <w:sz w:val="24"/>
        </w:rPr>
        <w:t>（可以现金、银行保函或保险公司保函等）。</w:t>
      </w:r>
    </w:p>
    <w:p w14:paraId="17F1AB9F">
      <w:pPr>
        <w:pStyle w:val="8"/>
        <w:rPr>
          <w:rFonts w:hint="default"/>
          <w:lang w:val="en-US" w:eastAsia="zh-CN"/>
        </w:rPr>
        <w:sectPr>
          <w:pgSz w:w="11907" w:h="16840"/>
          <w:pgMar w:top="1440" w:right="1417" w:bottom="1440" w:left="1417" w:header="851" w:footer="850" w:gutter="0"/>
          <w:cols w:space="0" w:num="1"/>
        </w:sectPr>
      </w:pPr>
    </w:p>
    <w:p w14:paraId="401E246B">
      <w:pPr>
        <w:snapToGrid w:val="0"/>
        <w:spacing w:line="36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第四部分   </w:t>
      </w:r>
      <w:bookmarkStart w:id="31" w:name="_Toc184314445"/>
      <w:bookmarkEnd w:id="31"/>
      <w:bookmarkStart w:id="32" w:name="_Toc184313286"/>
      <w:bookmarkEnd w:id="32"/>
      <w:bookmarkStart w:id="33" w:name="_Toc184314427"/>
      <w:bookmarkEnd w:id="33"/>
      <w:bookmarkStart w:id="34" w:name="_Toc184313249"/>
      <w:bookmarkEnd w:id="34"/>
      <w:bookmarkStart w:id="35" w:name="_Toc184308101"/>
      <w:bookmarkEnd w:id="35"/>
      <w:bookmarkStart w:id="36" w:name="_Toc184310272"/>
      <w:bookmarkEnd w:id="36"/>
      <w:bookmarkStart w:id="37" w:name="_Toc184314447"/>
      <w:bookmarkEnd w:id="37"/>
      <w:bookmarkStart w:id="38" w:name="_Toc184314453"/>
      <w:bookmarkEnd w:id="38"/>
      <w:bookmarkStart w:id="39" w:name="_Toc184308090"/>
      <w:bookmarkEnd w:id="39"/>
      <w:bookmarkStart w:id="40" w:name="_Toc184314440"/>
      <w:bookmarkEnd w:id="40"/>
      <w:bookmarkStart w:id="41" w:name="_Toc184314481"/>
      <w:bookmarkEnd w:id="41"/>
      <w:bookmarkStart w:id="42" w:name="_Toc184312075"/>
      <w:bookmarkEnd w:id="42"/>
      <w:bookmarkStart w:id="43" w:name="_Toc184314456"/>
      <w:bookmarkEnd w:id="43"/>
      <w:bookmarkStart w:id="44" w:name="_Toc184308076"/>
      <w:bookmarkEnd w:id="44"/>
      <w:bookmarkStart w:id="45" w:name="_Toc184312069"/>
      <w:bookmarkEnd w:id="45"/>
      <w:bookmarkStart w:id="46" w:name="_Toc184310320"/>
      <w:bookmarkEnd w:id="46"/>
      <w:bookmarkStart w:id="47" w:name="_Toc184313271"/>
      <w:bookmarkEnd w:id="47"/>
      <w:bookmarkStart w:id="48" w:name="_Toc184313290"/>
      <w:bookmarkEnd w:id="48"/>
      <w:bookmarkStart w:id="49" w:name="_Toc184308078"/>
      <w:bookmarkEnd w:id="49"/>
      <w:bookmarkStart w:id="50" w:name="_Toc184312074"/>
      <w:bookmarkEnd w:id="50"/>
      <w:bookmarkStart w:id="51" w:name="_Toc184312076"/>
      <w:bookmarkEnd w:id="51"/>
      <w:bookmarkStart w:id="52" w:name="_Toc184313308"/>
      <w:bookmarkEnd w:id="52"/>
      <w:bookmarkStart w:id="53" w:name="_Toc184308075"/>
      <w:bookmarkEnd w:id="53"/>
      <w:bookmarkStart w:id="54" w:name="_Toc184308102"/>
      <w:bookmarkEnd w:id="54"/>
      <w:bookmarkStart w:id="55" w:name="_Toc184314426"/>
      <w:bookmarkEnd w:id="55"/>
      <w:bookmarkStart w:id="56" w:name="_Toc184313261"/>
      <w:bookmarkEnd w:id="56"/>
      <w:bookmarkStart w:id="57" w:name="_Toc184314414"/>
      <w:bookmarkEnd w:id="57"/>
      <w:bookmarkStart w:id="58" w:name="_Toc184310317"/>
      <w:bookmarkEnd w:id="58"/>
      <w:bookmarkStart w:id="59" w:name="_Toc184308043"/>
      <w:bookmarkEnd w:id="59"/>
      <w:bookmarkStart w:id="60" w:name="_Toc184310328"/>
      <w:bookmarkEnd w:id="60"/>
      <w:bookmarkStart w:id="61" w:name="_Toc184314410"/>
      <w:bookmarkEnd w:id="61"/>
      <w:bookmarkStart w:id="62" w:name="_Toc184308081"/>
      <w:bookmarkEnd w:id="62"/>
      <w:bookmarkStart w:id="63" w:name="_Toc184312112"/>
      <w:bookmarkEnd w:id="63"/>
      <w:bookmarkStart w:id="64" w:name="_Toc184310314"/>
      <w:bookmarkEnd w:id="64"/>
      <w:bookmarkStart w:id="65" w:name="_Toc184310337"/>
      <w:bookmarkEnd w:id="65"/>
      <w:bookmarkStart w:id="66" w:name="_Toc184313296"/>
      <w:bookmarkEnd w:id="66"/>
      <w:bookmarkStart w:id="67" w:name="_Toc184308048"/>
      <w:bookmarkEnd w:id="67"/>
      <w:bookmarkStart w:id="68" w:name="_Toc184312100"/>
      <w:bookmarkEnd w:id="68"/>
      <w:bookmarkStart w:id="69" w:name="_Toc184312087"/>
      <w:bookmarkEnd w:id="69"/>
      <w:bookmarkStart w:id="70" w:name="_Toc184314444"/>
      <w:bookmarkEnd w:id="70"/>
      <w:bookmarkStart w:id="71" w:name="_Toc184314450"/>
      <w:bookmarkEnd w:id="71"/>
      <w:bookmarkStart w:id="72" w:name="_Toc184308094"/>
      <w:bookmarkEnd w:id="72"/>
      <w:bookmarkStart w:id="73" w:name="_Toc184312127"/>
      <w:bookmarkEnd w:id="73"/>
      <w:bookmarkStart w:id="74" w:name="_Toc184312086"/>
      <w:bookmarkEnd w:id="74"/>
      <w:bookmarkStart w:id="75" w:name="_Toc184313274"/>
      <w:bookmarkEnd w:id="75"/>
      <w:bookmarkStart w:id="76" w:name="_Toc184308106"/>
      <w:bookmarkEnd w:id="76"/>
      <w:bookmarkStart w:id="77" w:name="_Toc184312085"/>
      <w:bookmarkEnd w:id="77"/>
      <w:bookmarkStart w:id="78" w:name="_Toc184313292"/>
      <w:bookmarkEnd w:id="78"/>
      <w:bookmarkStart w:id="79" w:name="_Toc184313253"/>
      <w:bookmarkEnd w:id="79"/>
      <w:bookmarkStart w:id="80" w:name="_Toc184313260"/>
      <w:bookmarkEnd w:id="80"/>
      <w:bookmarkStart w:id="81" w:name="_Toc184310321"/>
      <w:bookmarkEnd w:id="81"/>
      <w:bookmarkStart w:id="82" w:name="_Toc184313258"/>
      <w:bookmarkEnd w:id="82"/>
      <w:bookmarkStart w:id="83" w:name="_Toc184312109"/>
      <w:bookmarkEnd w:id="83"/>
      <w:bookmarkStart w:id="84" w:name="_Toc184314469"/>
      <w:bookmarkEnd w:id="84"/>
      <w:bookmarkStart w:id="85" w:name="_Toc184310297"/>
      <w:bookmarkEnd w:id="85"/>
      <w:bookmarkStart w:id="86" w:name="_Toc184310310"/>
      <w:bookmarkEnd w:id="86"/>
      <w:bookmarkStart w:id="87" w:name="_Toc184310282"/>
      <w:bookmarkEnd w:id="87"/>
      <w:bookmarkStart w:id="88" w:name="_Toc184308037"/>
      <w:bookmarkEnd w:id="88"/>
      <w:bookmarkStart w:id="89" w:name="_Toc184314457"/>
      <w:bookmarkEnd w:id="89"/>
      <w:bookmarkStart w:id="90" w:name="_Toc184314471"/>
      <w:bookmarkEnd w:id="90"/>
      <w:bookmarkStart w:id="91" w:name="_Toc184314413"/>
      <w:bookmarkEnd w:id="91"/>
      <w:bookmarkStart w:id="92" w:name="_Toc184313269"/>
      <w:bookmarkEnd w:id="92"/>
      <w:bookmarkStart w:id="93" w:name="_Toc184308069"/>
      <w:bookmarkEnd w:id="93"/>
      <w:bookmarkStart w:id="94" w:name="_Toc184308042"/>
      <w:bookmarkEnd w:id="94"/>
      <w:bookmarkStart w:id="95" w:name="_Toc184313294"/>
      <w:bookmarkEnd w:id="95"/>
      <w:bookmarkStart w:id="96" w:name="_Toc184310342"/>
      <w:bookmarkEnd w:id="96"/>
      <w:bookmarkStart w:id="97" w:name="_Toc184314475"/>
      <w:bookmarkEnd w:id="97"/>
      <w:bookmarkStart w:id="98" w:name="_Toc184314441"/>
      <w:bookmarkEnd w:id="98"/>
      <w:bookmarkStart w:id="99" w:name="_Toc184312071"/>
      <w:bookmarkEnd w:id="99"/>
      <w:bookmarkStart w:id="100" w:name="_Toc184313256"/>
      <w:bookmarkEnd w:id="100"/>
      <w:bookmarkStart w:id="101" w:name="_Toc184312139"/>
      <w:bookmarkEnd w:id="101"/>
      <w:bookmarkStart w:id="102" w:name="_Toc184314472"/>
      <w:bookmarkEnd w:id="102"/>
      <w:bookmarkStart w:id="103" w:name="_Toc184312094"/>
      <w:bookmarkEnd w:id="103"/>
      <w:bookmarkStart w:id="104" w:name="_Toc184314468"/>
      <w:bookmarkEnd w:id="104"/>
      <w:bookmarkStart w:id="105" w:name="_Toc184310294"/>
      <w:bookmarkEnd w:id="105"/>
      <w:bookmarkStart w:id="106" w:name="_Toc184312131"/>
      <w:bookmarkEnd w:id="106"/>
      <w:bookmarkStart w:id="107" w:name="_Toc184313241"/>
      <w:bookmarkEnd w:id="107"/>
      <w:bookmarkStart w:id="108" w:name="_Toc184312084"/>
      <w:bookmarkEnd w:id="108"/>
      <w:bookmarkStart w:id="109" w:name="_Toc184313285"/>
      <w:bookmarkEnd w:id="109"/>
      <w:bookmarkStart w:id="110" w:name="_Toc184310341"/>
      <w:bookmarkEnd w:id="110"/>
      <w:bookmarkStart w:id="111" w:name="_Toc184308039"/>
      <w:bookmarkEnd w:id="111"/>
      <w:bookmarkStart w:id="112" w:name="_Toc184312083"/>
      <w:bookmarkEnd w:id="112"/>
      <w:bookmarkStart w:id="113" w:name="_Toc184314428"/>
      <w:bookmarkEnd w:id="113"/>
      <w:bookmarkStart w:id="114" w:name="_Toc184308050"/>
      <w:bookmarkEnd w:id="114"/>
      <w:bookmarkStart w:id="115" w:name="_Toc184310334"/>
      <w:bookmarkEnd w:id="115"/>
      <w:bookmarkStart w:id="116" w:name="_Toc184314467"/>
      <w:bookmarkEnd w:id="116"/>
      <w:bookmarkStart w:id="117" w:name="_Toc184314479"/>
      <w:bookmarkEnd w:id="117"/>
      <w:bookmarkStart w:id="118" w:name="_Toc184314473"/>
      <w:bookmarkEnd w:id="118"/>
      <w:bookmarkStart w:id="119" w:name="_Toc184310289"/>
      <w:bookmarkEnd w:id="119"/>
      <w:bookmarkStart w:id="120" w:name="_Toc184314429"/>
      <w:bookmarkEnd w:id="120"/>
      <w:bookmarkStart w:id="121" w:name="_Toc184310283"/>
      <w:bookmarkEnd w:id="121"/>
      <w:bookmarkStart w:id="122" w:name="_Toc184308089"/>
      <w:bookmarkEnd w:id="122"/>
      <w:bookmarkStart w:id="123" w:name="_Toc184308107"/>
      <w:bookmarkEnd w:id="123"/>
      <w:bookmarkStart w:id="124" w:name="_Toc184308055"/>
      <w:bookmarkEnd w:id="124"/>
      <w:bookmarkStart w:id="125" w:name="_Toc184312088"/>
      <w:bookmarkEnd w:id="125"/>
      <w:bookmarkStart w:id="126" w:name="_Toc184313282"/>
      <w:bookmarkEnd w:id="126"/>
      <w:bookmarkStart w:id="127" w:name="_Toc184314460"/>
      <w:bookmarkEnd w:id="127"/>
      <w:bookmarkStart w:id="128" w:name="_Toc184314437"/>
      <w:bookmarkEnd w:id="128"/>
      <w:bookmarkStart w:id="129" w:name="_Toc184312126"/>
      <w:bookmarkEnd w:id="129"/>
      <w:bookmarkStart w:id="130" w:name="_Toc184310274"/>
      <w:bookmarkEnd w:id="130"/>
      <w:bookmarkStart w:id="131" w:name="_Toc184313303"/>
      <w:bookmarkEnd w:id="131"/>
      <w:bookmarkStart w:id="132" w:name="_Toc184314421"/>
      <w:bookmarkEnd w:id="132"/>
      <w:bookmarkStart w:id="133" w:name="_Toc184314466"/>
      <w:bookmarkEnd w:id="133"/>
      <w:bookmarkStart w:id="134" w:name="_Toc184310333"/>
      <w:bookmarkEnd w:id="134"/>
      <w:bookmarkStart w:id="135" w:name="_Toc184310284"/>
      <w:bookmarkEnd w:id="135"/>
      <w:bookmarkStart w:id="136" w:name="_Toc184308080"/>
      <w:bookmarkEnd w:id="136"/>
      <w:bookmarkStart w:id="137" w:name="_Toc184313257"/>
      <w:bookmarkEnd w:id="137"/>
      <w:bookmarkStart w:id="138" w:name="_Toc184312104"/>
      <w:bookmarkEnd w:id="138"/>
      <w:bookmarkStart w:id="139" w:name="_Toc184313243"/>
      <w:bookmarkEnd w:id="139"/>
      <w:bookmarkStart w:id="140" w:name="_Toc184312135"/>
      <w:bookmarkEnd w:id="140"/>
      <w:bookmarkStart w:id="141" w:name="_Toc184313295"/>
      <w:bookmarkEnd w:id="141"/>
      <w:bookmarkStart w:id="142" w:name="_Toc184308056"/>
      <w:bookmarkEnd w:id="142"/>
      <w:bookmarkStart w:id="143" w:name="_Toc184314478"/>
      <w:bookmarkEnd w:id="143"/>
      <w:bookmarkStart w:id="144" w:name="_Toc184313238"/>
      <w:bookmarkEnd w:id="144"/>
      <w:bookmarkStart w:id="145" w:name="_Toc184314415"/>
      <w:bookmarkEnd w:id="145"/>
      <w:bookmarkStart w:id="146" w:name="_Toc184310315"/>
      <w:bookmarkEnd w:id="146"/>
      <w:bookmarkStart w:id="147" w:name="_Toc184314465"/>
      <w:bookmarkEnd w:id="147"/>
      <w:bookmarkStart w:id="148" w:name="_Toc184314461"/>
      <w:bookmarkEnd w:id="148"/>
      <w:bookmarkStart w:id="149" w:name="_Toc184310290"/>
      <w:bookmarkEnd w:id="149"/>
      <w:bookmarkStart w:id="150" w:name="_Toc184313239"/>
      <w:bookmarkEnd w:id="150"/>
      <w:bookmarkStart w:id="151" w:name="_Toc184310308"/>
      <w:bookmarkEnd w:id="151"/>
      <w:bookmarkStart w:id="152" w:name="_Toc184308047"/>
      <w:bookmarkEnd w:id="152"/>
      <w:bookmarkStart w:id="153" w:name="_Toc184308038"/>
      <w:bookmarkEnd w:id="153"/>
      <w:bookmarkStart w:id="154" w:name="_Toc184312092"/>
      <w:bookmarkEnd w:id="154"/>
      <w:bookmarkStart w:id="155" w:name="_Toc184308087"/>
      <w:bookmarkEnd w:id="155"/>
      <w:bookmarkStart w:id="156" w:name="_Toc184313263"/>
      <w:bookmarkEnd w:id="156"/>
      <w:bookmarkStart w:id="157" w:name="_Toc184314463"/>
      <w:bookmarkEnd w:id="157"/>
      <w:bookmarkStart w:id="158" w:name="_Toc184310295"/>
      <w:bookmarkEnd w:id="158"/>
      <w:bookmarkStart w:id="159" w:name="_Toc184314430"/>
      <w:bookmarkEnd w:id="159"/>
      <w:bookmarkStart w:id="160" w:name="_Toc184312081"/>
      <w:bookmarkEnd w:id="160"/>
      <w:bookmarkStart w:id="161" w:name="_Toc184313287"/>
      <w:bookmarkEnd w:id="161"/>
      <w:bookmarkStart w:id="162" w:name="_Toc184313248"/>
      <w:bookmarkEnd w:id="162"/>
      <w:bookmarkStart w:id="163" w:name="_Toc184310329"/>
      <w:bookmarkEnd w:id="163"/>
      <w:bookmarkStart w:id="164" w:name="_Toc184310300"/>
      <w:bookmarkEnd w:id="164"/>
      <w:bookmarkStart w:id="165" w:name="_Toc184313305"/>
      <w:bookmarkEnd w:id="165"/>
      <w:bookmarkStart w:id="166" w:name="_Toc184312067"/>
      <w:bookmarkEnd w:id="166"/>
      <w:bookmarkStart w:id="167" w:name="_Toc184310331"/>
      <w:bookmarkEnd w:id="167"/>
      <w:bookmarkStart w:id="168" w:name="_Toc184313273"/>
      <w:bookmarkEnd w:id="168"/>
      <w:bookmarkStart w:id="169" w:name="_Toc184313277"/>
      <w:bookmarkEnd w:id="169"/>
      <w:bookmarkStart w:id="170" w:name="_Toc184308083"/>
      <w:bookmarkEnd w:id="170"/>
      <w:bookmarkStart w:id="171" w:name="_Toc184314482"/>
      <w:bookmarkEnd w:id="171"/>
      <w:bookmarkStart w:id="172" w:name="_Toc184310277"/>
      <w:bookmarkEnd w:id="172"/>
      <w:bookmarkStart w:id="173" w:name="_Toc184312102"/>
      <w:bookmarkEnd w:id="173"/>
      <w:bookmarkStart w:id="174" w:name="_Toc184308067"/>
      <w:bookmarkEnd w:id="174"/>
      <w:bookmarkStart w:id="175" w:name="_Toc184312098"/>
      <w:bookmarkEnd w:id="175"/>
      <w:bookmarkStart w:id="176" w:name="_Toc184310340"/>
      <w:bookmarkEnd w:id="176"/>
      <w:bookmarkStart w:id="177" w:name="_Toc184312070"/>
      <w:bookmarkEnd w:id="177"/>
      <w:bookmarkStart w:id="178" w:name="_Toc184312132"/>
      <w:bookmarkEnd w:id="178"/>
      <w:bookmarkStart w:id="179" w:name="_Toc184312090"/>
      <w:bookmarkEnd w:id="179"/>
      <w:bookmarkStart w:id="180" w:name="_Toc184314439"/>
      <w:bookmarkEnd w:id="180"/>
      <w:bookmarkStart w:id="181" w:name="_Toc184313310"/>
      <w:bookmarkEnd w:id="181"/>
      <w:bookmarkStart w:id="182" w:name="_Toc184312103"/>
      <w:bookmarkEnd w:id="182"/>
      <w:bookmarkStart w:id="183" w:name="_Toc184308049"/>
      <w:bookmarkEnd w:id="183"/>
      <w:bookmarkStart w:id="184" w:name="_Toc184313299"/>
      <w:bookmarkEnd w:id="184"/>
      <w:bookmarkStart w:id="185" w:name="_Toc184310344"/>
      <w:bookmarkEnd w:id="185"/>
      <w:bookmarkStart w:id="186" w:name="_Toc184314449"/>
      <w:bookmarkEnd w:id="186"/>
      <w:bookmarkStart w:id="187" w:name="_Toc184313245"/>
      <w:bookmarkEnd w:id="187"/>
      <w:bookmarkStart w:id="188" w:name="_Toc184312079"/>
      <w:bookmarkEnd w:id="188"/>
      <w:bookmarkStart w:id="189" w:name="_Toc184313246"/>
      <w:bookmarkEnd w:id="189"/>
      <w:bookmarkStart w:id="190" w:name="_Toc184314464"/>
      <w:bookmarkEnd w:id="190"/>
      <w:bookmarkStart w:id="191" w:name="_Toc184308098"/>
      <w:bookmarkEnd w:id="191"/>
      <w:bookmarkStart w:id="192" w:name="_Toc184314462"/>
      <w:bookmarkEnd w:id="192"/>
      <w:bookmarkStart w:id="193" w:name="_Toc184312089"/>
      <w:bookmarkEnd w:id="193"/>
      <w:bookmarkStart w:id="194" w:name="_Toc184310332"/>
      <w:bookmarkEnd w:id="194"/>
      <w:bookmarkStart w:id="195" w:name="_Toc184308071"/>
      <w:bookmarkEnd w:id="195"/>
      <w:bookmarkStart w:id="196" w:name="_Toc184308093"/>
      <w:bookmarkEnd w:id="196"/>
      <w:bookmarkStart w:id="197" w:name="_Toc184313288"/>
      <w:bookmarkEnd w:id="197"/>
      <w:bookmarkStart w:id="198" w:name="_Toc184314451"/>
      <w:bookmarkEnd w:id="198"/>
      <w:bookmarkStart w:id="199" w:name="_Toc184312128"/>
      <w:bookmarkEnd w:id="199"/>
      <w:bookmarkStart w:id="200" w:name="_Toc184313262"/>
      <w:bookmarkEnd w:id="200"/>
      <w:bookmarkStart w:id="201" w:name="_Toc184312130"/>
      <w:bookmarkEnd w:id="201"/>
      <w:bookmarkStart w:id="202" w:name="_Toc184310275"/>
      <w:bookmarkEnd w:id="202"/>
      <w:bookmarkStart w:id="203" w:name="_Toc184308074"/>
      <w:bookmarkEnd w:id="203"/>
      <w:bookmarkStart w:id="204" w:name="_Toc184312091"/>
      <w:bookmarkEnd w:id="204"/>
      <w:bookmarkStart w:id="205" w:name="_Toc184308066"/>
      <w:bookmarkEnd w:id="205"/>
      <w:bookmarkStart w:id="206" w:name="_Toc184314446"/>
      <w:bookmarkEnd w:id="206"/>
      <w:bookmarkStart w:id="207" w:name="_Toc184308063"/>
      <w:bookmarkEnd w:id="207"/>
      <w:bookmarkStart w:id="208" w:name="_Toc184312113"/>
      <w:bookmarkEnd w:id="208"/>
      <w:bookmarkStart w:id="209" w:name="_Toc184312097"/>
      <w:bookmarkEnd w:id="209"/>
      <w:bookmarkStart w:id="210" w:name="_Toc184308046"/>
      <w:bookmarkEnd w:id="210"/>
      <w:bookmarkStart w:id="211" w:name="_Toc184314419"/>
      <w:bookmarkEnd w:id="211"/>
      <w:bookmarkStart w:id="212" w:name="_Toc184312121"/>
      <w:bookmarkEnd w:id="212"/>
      <w:bookmarkStart w:id="213" w:name="_Toc184310288"/>
      <w:bookmarkEnd w:id="213"/>
      <w:bookmarkStart w:id="214" w:name="_Toc184312134"/>
      <w:bookmarkEnd w:id="214"/>
      <w:bookmarkStart w:id="215" w:name="_Toc184308073"/>
      <w:bookmarkEnd w:id="215"/>
      <w:bookmarkStart w:id="216" w:name="_Toc184310280"/>
      <w:bookmarkEnd w:id="216"/>
      <w:bookmarkStart w:id="217" w:name="_Toc184308051"/>
      <w:bookmarkEnd w:id="217"/>
      <w:bookmarkStart w:id="218" w:name="_Toc184310291"/>
      <w:bookmarkEnd w:id="218"/>
      <w:bookmarkStart w:id="219" w:name="_Toc184312125"/>
      <w:bookmarkEnd w:id="219"/>
      <w:bookmarkStart w:id="220" w:name="_Toc184310276"/>
      <w:bookmarkEnd w:id="220"/>
      <w:bookmarkStart w:id="221" w:name="_Toc184313298"/>
      <w:bookmarkEnd w:id="221"/>
      <w:bookmarkStart w:id="222" w:name="_Toc184313301"/>
      <w:bookmarkEnd w:id="222"/>
      <w:bookmarkStart w:id="223" w:name="_Toc184312080"/>
      <w:bookmarkEnd w:id="223"/>
      <w:bookmarkStart w:id="224" w:name="_Toc184308091"/>
      <w:bookmarkEnd w:id="224"/>
      <w:bookmarkStart w:id="225" w:name="_Toc184310311"/>
      <w:bookmarkEnd w:id="225"/>
      <w:bookmarkStart w:id="226" w:name="_Toc184310292"/>
      <w:bookmarkEnd w:id="226"/>
      <w:bookmarkStart w:id="227" w:name="_Toc184312114"/>
      <w:bookmarkEnd w:id="227"/>
      <w:bookmarkStart w:id="228" w:name="_Toc184312137"/>
      <w:bookmarkEnd w:id="228"/>
      <w:bookmarkStart w:id="229" w:name="_Toc184312107"/>
      <w:bookmarkEnd w:id="229"/>
      <w:bookmarkStart w:id="230" w:name="_Toc184310303"/>
      <w:bookmarkEnd w:id="230"/>
      <w:bookmarkStart w:id="231" w:name="_Toc184313276"/>
      <w:bookmarkEnd w:id="231"/>
      <w:bookmarkStart w:id="232" w:name="_Toc184308108"/>
      <w:bookmarkEnd w:id="232"/>
      <w:bookmarkStart w:id="233" w:name="_Toc184314431"/>
      <w:bookmarkEnd w:id="233"/>
      <w:bookmarkStart w:id="234" w:name="_Toc184308085"/>
      <w:bookmarkEnd w:id="234"/>
      <w:bookmarkStart w:id="235" w:name="_Toc184314435"/>
      <w:bookmarkEnd w:id="235"/>
      <w:bookmarkStart w:id="236" w:name="_Toc184308082"/>
      <w:bookmarkEnd w:id="236"/>
      <w:bookmarkStart w:id="237" w:name="_Toc184310325"/>
      <w:bookmarkEnd w:id="237"/>
      <w:bookmarkStart w:id="238" w:name="_Toc184313284"/>
      <w:bookmarkEnd w:id="238"/>
      <w:bookmarkStart w:id="239" w:name="_Toc184313254"/>
      <w:bookmarkEnd w:id="239"/>
      <w:bookmarkStart w:id="240" w:name="_Toc184308072"/>
      <w:bookmarkEnd w:id="240"/>
      <w:bookmarkStart w:id="241" w:name="_Toc184310313"/>
      <w:bookmarkEnd w:id="241"/>
      <w:bookmarkStart w:id="242" w:name="_Toc184310306"/>
      <w:bookmarkEnd w:id="242"/>
      <w:bookmarkStart w:id="243" w:name="_Toc184308065"/>
      <w:bookmarkEnd w:id="243"/>
      <w:bookmarkStart w:id="244" w:name="_Toc184308060"/>
      <w:bookmarkEnd w:id="244"/>
      <w:bookmarkStart w:id="245" w:name="_Toc184312138"/>
      <w:bookmarkEnd w:id="245"/>
      <w:bookmarkStart w:id="246" w:name="_Toc184308045"/>
      <w:bookmarkEnd w:id="246"/>
      <w:bookmarkStart w:id="247" w:name="_Toc184313309"/>
      <w:bookmarkEnd w:id="247"/>
      <w:bookmarkStart w:id="248" w:name="_Toc184312101"/>
      <w:bookmarkEnd w:id="248"/>
      <w:bookmarkStart w:id="249" w:name="_Toc184310273"/>
      <w:bookmarkEnd w:id="249"/>
      <w:bookmarkStart w:id="250" w:name="_Toc184313278"/>
      <w:bookmarkEnd w:id="250"/>
      <w:bookmarkStart w:id="251" w:name="_Toc184310286"/>
      <w:bookmarkEnd w:id="251"/>
      <w:bookmarkStart w:id="252" w:name="_Toc184310298"/>
      <w:bookmarkEnd w:id="252"/>
      <w:bookmarkStart w:id="253" w:name="_Toc184314432"/>
      <w:bookmarkEnd w:id="253"/>
      <w:bookmarkStart w:id="254" w:name="_Toc184314434"/>
      <w:bookmarkEnd w:id="254"/>
      <w:bookmarkStart w:id="255" w:name="_Toc184313270"/>
      <w:bookmarkEnd w:id="255"/>
      <w:bookmarkStart w:id="256" w:name="_Toc184312115"/>
      <w:bookmarkEnd w:id="256"/>
      <w:bookmarkStart w:id="257" w:name="_Toc184314454"/>
      <w:bookmarkEnd w:id="257"/>
      <w:bookmarkStart w:id="258" w:name="_Toc184314422"/>
      <w:bookmarkEnd w:id="258"/>
      <w:bookmarkStart w:id="259" w:name="_Toc184313304"/>
      <w:bookmarkEnd w:id="259"/>
      <w:bookmarkStart w:id="260" w:name="_Toc184308104"/>
      <w:bookmarkEnd w:id="260"/>
      <w:bookmarkStart w:id="261" w:name="_Toc184312073"/>
      <w:bookmarkEnd w:id="261"/>
      <w:bookmarkStart w:id="262" w:name="_Toc184314420"/>
      <w:bookmarkEnd w:id="262"/>
      <w:bookmarkStart w:id="263" w:name="_Toc184308097"/>
      <w:bookmarkEnd w:id="263"/>
      <w:bookmarkStart w:id="264" w:name="_Toc184313240"/>
      <w:bookmarkEnd w:id="264"/>
      <w:bookmarkStart w:id="265" w:name="_Toc184314470"/>
      <w:bookmarkEnd w:id="265"/>
      <w:bookmarkStart w:id="266" w:name="_Toc184314477"/>
      <w:bookmarkEnd w:id="266"/>
      <w:bookmarkStart w:id="267" w:name="_Toc184314436"/>
      <w:bookmarkEnd w:id="267"/>
      <w:bookmarkStart w:id="268" w:name="_Toc184313272"/>
      <w:bookmarkEnd w:id="268"/>
      <w:bookmarkStart w:id="269" w:name="_Toc184313279"/>
      <w:bookmarkEnd w:id="269"/>
      <w:bookmarkStart w:id="270" w:name="_Toc184308077"/>
      <w:bookmarkEnd w:id="270"/>
      <w:bookmarkStart w:id="271" w:name="_Toc184310324"/>
      <w:bookmarkEnd w:id="271"/>
      <w:bookmarkStart w:id="272" w:name="_Toc184312077"/>
      <w:bookmarkEnd w:id="272"/>
      <w:bookmarkStart w:id="273" w:name="_Toc184314438"/>
      <w:bookmarkEnd w:id="273"/>
      <w:bookmarkStart w:id="274" w:name="_Toc184312122"/>
      <w:bookmarkEnd w:id="274"/>
      <w:bookmarkStart w:id="275" w:name="_Toc184308095"/>
      <w:bookmarkEnd w:id="275"/>
      <w:bookmarkStart w:id="276" w:name="_Toc184313265"/>
      <w:bookmarkEnd w:id="276"/>
      <w:bookmarkStart w:id="277" w:name="_Toc184314443"/>
      <w:bookmarkEnd w:id="277"/>
      <w:bookmarkStart w:id="278" w:name="_Toc184310326"/>
      <w:bookmarkEnd w:id="278"/>
      <w:bookmarkStart w:id="279" w:name="_Toc184310339"/>
      <w:bookmarkEnd w:id="279"/>
      <w:bookmarkStart w:id="280" w:name="_Toc184314455"/>
      <w:bookmarkEnd w:id="280"/>
      <w:bookmarkStart w:id="281" w:name="_Toc184313302"/>
      <w:bookmarkEnd w:id="281"/>
      <w:bookmarkStart w:id="282" w:name="_Toc184308061"/>
      <w:bookmarkEnd w:id="282"/>
      <w:bookmarkStart w:id="283" w:name="_Toc184308099"/>
      <w:bookmarkEnd w:id="283"/>
      <w:bookmarkStart w:id="284" w:name="_Toc184308096"/>
      <w:bookmarkEnd w:id="284"/>
      <w:bookmarkStart w:id="285" w:name="_Toc184308058"/>
      <w:bookmarkEnd w:id="285"/>
      <w:bookmarkStart w:id="286" w:name="_Toc184308068"/>
      <w:bookmarkEnd w:id="286"/>
      <w:bookmarkStart w:id="287" w:name="_Toc184314417"/>
      <w:bookmarkEnd w:id="287"/>
      <w:bookmarkStart w:id="288" w:name="_Toc184313259"/>
      <w:bookmarkEnd w:id="288"/>
      <w:bookmarkStart w:id="289" w:name="_Toc184313306"/>
      <w:bookmarkEnd w:id="289"/>
      <w:bookmarkStart w:id="290" w:name="_Toc184312108"/>
      <w:bookmarkEnd w:id="290"/>
      <w:bookmarkStart w:id="291" w:name="_Toc184308059"/>
      <w:bookmarkEnd w:id="291"/>
      <w:bookmarkStart w:id="292" w:name="_Toc184313247"/>
      <w:bookmarkEnd w:id="292"/>
      <w:bookmarkStart w:id="293" w:name="_Toc184312106"/>
      <w:bookmarkEnd w:id="293"/>
      <w:bookmarkStart w:id="294" w:name="_Toc184312117"/>
      <w:bookmarkEnd w:id="294"/>
      <w:bookmarkStart w:id="295" w:name="_Toc184314476"/>
      <w:bookmarkEnd w:id="295"/>
      <w:bookmarkStart w:id="296" w:name="_Toc184312093"/>
      <w:bookmarkEnd w:id="296"/>
      <w:bookmarkStart w:id="297" w:name="_Toc184310307"/>
      <w:bookmarkEnd w:id="297"/>
      <w:bookmarkStart w:id="298" w:name="_Toc184312120"/>
      <w:bookmarkEnd w:id="298"/>
      <w:bookmarkStart w:id="299" w:name="_Toc184312119"/>
      <w:bookmarkEnd w:id="299"/>
      <w:bookmarkStart w:id="300" w:name="_Toc184310287"/>
      <w:bookmarkEnd w:id="300"/>
      <w:bookmarkStart w:id="301" w:name="_Toc184313264"/>
      <w:bookmarkEnd w:id="301"/>
      <w:bookmarkStart w:id="302" w:name="_Toc184313297"/>
      <w:bookmarkEnd w:id="302"/>
      <w:bookmarkStart w:id="303" w:name="_Toc184310319"/>
      <w:bookmarkEnd w:id="303"/>
      <w:bookmarkStart w:id="304" w:name="_Toc184313252"/>
      <w:bookmarkEnd w:id="304"/>
      <w:bookmarkStart w:id="305" w:name="_Toc184313281"/>
      <w:bookmarkEnd w:id="305"/>
      <w:bookmarkStart w:id="306" w:name="_Toc184310278"/>
      <w:bookmarkEnd w:id="306"/>
      <w:bookmarkStart w:id="307" w:name="_Toc184308036"/>
      <w:bookmarkEnd w:id="307"/>
      <w:bookmarkStart w:id="308" w:name="_Toc184312136"/>
      <w:bookmarkEnd w:id="308"/>
      <w:bookmarkStart w:id="309" w:name="_Toc184308084"/>
      <w:bookmarkEnd w:id="309"/>
      <w:bookmarkStart w:id="310" w:name="_Toc184314452"/>
      <w:bookmarkEnd w:id="310"/>
      <w:bookmarkStart w:id="311" w:name="_Toc184310338"/>
      <w:bookmarkEnd w:id="311"/>
      <w:bookmarkStart w:id="312" w:name="_Toc184308079"/>
      <w:bookmarkEnd w:id="312"/>
      <w:bookmarkStart w:id="313" w:name="_Toc184310279"/>
      <w:bookmarkEnd w:id="313"/>
      <w:bookmarkStart w:id="314" w:name="_Toc184310336"/>
      <w:bookmarkEnd w:id="314"/>
      <w:bookmarkStart w:id="315" w:name="_Toc184312110"/>
      <w:bookmarkEnd w:id="315"/>
      <w:bookmarkStart w:id="316" w:name="_Toc184313250"/>
      <w:bookmarkEnd w:id="316"/>
      <w:bookmarkStart w:id="317" w:name="_Toc184312123"/>
      <w:bookmarkEnd w:id="317"/>
      <w:bookmarkStart w:id="318" w:name="_Toc184310281"/>
      <w:bookmarkEnd w:id="318"/>
      <w:bookmarkStart w:id="319" w:name="_Toc184312129"/>
      <w:bookmarkEnd w:id="319"/>
      <w:bookmarkStart w:id="320" w:name="_Toc184312082"/>
      <w:bookmarkEnd w:id="320"/>
      <w:bookmarkStart w:id="321" w:name="_Toc184313255"/>
      <w:bookmarkEnd w:id="321"/>
      <w:bookmarkStart w:id="322" w:name="_Toc184313268"/>
      <w:bookmarkEnd w:id="322"/>
      <w:bookmarkStart w:id="323" w:name="_Toc184314425"/>
      <w:bookmarkEnd w:id="323"/>
      <w:bookmarkStart w:id="324" w:name="_Toc184310327"/>
      <w:bookmarkEnd w:id="324"/>
      <w:bookmarkStart w:id="325" w:name="_Toc184308054"/>
      <w:bookmarkEnd w:id="325"/>
      <w:bookmarkStart w:id="326" w:name="_Toc184313251"/>
      <w:bookmarkEnd w:id="326"/>
      <w:bookmarkStart w:id="327" w:name="_Toc184312099"/>
      <w:bookmarkEnd w:id="327"/>
      <w:bookmarkStart w:id="328" w:name="_Toc184310343"/>
      <w:bookmarkEnd w:id="328"/>
      <w:bookmarkStart w:id="329" w:name="_Toc184314458"/>
      <w:bookmarkEnd w:id="329"/>
      <w:bookmarkStart w:id="330" w:name="_Toc184310293"/>
      <w:bookmarkEnd w:id="330"/>
      <w:bookmarkStart w:id="331" w:name="_Toc184312116"/>
      <w:bookmarkEnd w:id="331"/>
      <w:bookmarkStart w:id="332" w:name="_Toc184308103"/>
      <w:bookmarkEnd w:id="332"/>
      <w:bookmarkStart w:id="333" w:name="_Toc184308088"/>
      <w:bookmarkEnd w:id="333"/>
      <w:bookmarkStart w:id="334" w:name="_Toc184310299"/>
      <w:bookmarkEnd w:id="334"/>
      <w:bookmarkStart w:id="335" w:name="_Toc184310296"/>
      <w:bookmarkEnd w:id="335"/>
      <w:bookmarkStart w:id="336" w:name="_Toc184313300"/>
      <w:bookmarkEnd w:id="336"/>
      <w:bookmarkStart w:id="337" w:name="_Toc184308100"/>
      <w:bookmarkEnd w:id="337"/>
      <w:bookmarkStart w:id="338" w:name="_Toc184312105"/>
      <w:bookmarkEnd w:id="338"/>
      <w:bookmarkStart w:id="339" w:name="_Toc184310318"/>
      <w:bookmarkEnd w:id="339"/>
      <w:bookmarkStart w:id="340" w:name="_Toc184310322"/>
      <w:bookmarkEnd w:id="340"/>
      <w:bookmarkStart w:id="341" w:name="_Toc184314480"/>
      <w:bookmarkEnd w:id="341"/>
      <w:bookmarkStart w:id="342" w:name="_Toc184308044"/>
      <w:bookmarkEnd w:id="342"/>
      <w:bookmarkStart w:id="343" w:name="_Toc184308105"/>
      <w:bookmarkEnd w:id="343"/>
      <w:bookmarkStart w:id="344" w:name="_Toc184312118"/>
      <w:bookmarkEnd w:id="344"/>
      <w:bookmarkStart w:id="345" w:name="_Toc184312072"/>
      <w:bookmarkEnd w:id="345"/>
      <w:bookmarkStart w:id="346" w:name="_Toc184308040"/>
      <w:bookmarkEnd w:id="346"/>
      <w:bookmarkStart w:id="347" w:name="_Toc184310309"/>
      <w:bookmarkEnd w:id="347"/>
      <w:bookmarkStart w:id="348" w:name="_Toc184312096"/>
      <w:bookmarkEnd w:id="348"/>
      <w:bookmarkStart w:id="349" w:name="_Toc184314411"/>
      <w:bookmarkEnd w:id="349"/>
      <w:bookmarkStart w:id="350" w:name="_Toc184308062"/>
      <w:bookmarkEnd w:id="350"/>
      <w:bookmarkStart w:id="351" w:name="_Toc184314448"/>
      <w:bookmarkEnd w:id="351"/>
      <w:bookmarkStart w:id="352" w:name="_Toc184310301"/>
      <w:bookmarkEnd w:id="352"/>
      <w:bookmarkStart w:id="353" w:name="_Toc184308057"/>
      <w:bookmarkEnd w:id="353"/>
      <w:bookmarkStart w:id="354" w:name="_Toc184308070"/>
      <w:bookmarkEnd w:id="354"/>
      <w:bookmarkStart w:id="355" w:name="_Toc184313289"/>
      <w:bookmarkEnd w:id="355"/>
      <w:bookmarkStart w:id="356" w:name="_Toc184313275"/>
      <w:bookmarkEnd w:id="356"/>
      <w:bookmarkStart w:id="357" w:name="_Toc184308064"/>
      <w:bookmarkEnd w:id="357"/>
      <w:bookmarkStart w:id="358" w:name="_Toc184314459"/>
      <w:bookmarkEnd w:id="358"/>
      <w:bookmarkStart w:id="359" w:name="_Toc184314424"/>
      <w:bookmarkEnd w:id="359"/>
      <w:bookmarkStart w:id="360" w:name="_Toc184310330"/>
      <w:bookmarkEnd w:id="360"/>
      <w:bookmarkStart w:id="361" w:name="_Toc184312078"/>
      <w:bookmarkEnd w:id="361"/>
      <w:bookmarkStart w:id="362" w:name="_Toc184308086"/>
      <w:bookmarkEnd w:id="362"/>
      <w:bookmarkStart w:id="363" w:name="_Toc184308041"/>
      <w:bookmarkEnd w:id="363"/>
      <w:bookmarkStart w:id="364" w:name="_Toc184310335"/>
      <w:bookmarkEnd w:id="364"/>
      <w:bookmarkStart w:id="365" w:name="_Toc184312111"/>
      <w:bookmarkEnd w:id="365"/>
      <w:bookmarkStart w:id="366" w:name="_Toc184314423"/>
      <w:bookmarkEnd w:id="366"/>
      <w:bookmarkStart w:id="367" w:name="_Toc184308053"/>
      <w:bookmarkEnd w:id="367"/>
      <w:bookmarkStart w:id="368" w:name="_Toc184312124"/>
      <w:bookmarkEnd w:id="368"/>
      <w:bookmarkStart w:id="369" w:name="_Toc184308092"/>
      <w:bookmarkEnd w:id="369"/>
      <w:bookmarkStart w:id="370" w:name="_Toc184310316"/>
      <w:bookmarkEnd w:id="370"/>
      <w:bookmarkStart w:id="371" w:name="_Toc184314412"/>
      <w:bookmarkEnd w:id="371"/>
      <w:bookmarkStart w:id="372" w:name="_Toc184310312"/>
      <w:bookmarkEnd w:id="372"/>
      <w:bookmarkStart w:id="373" w:name="_Toc184314433"/>
      <w:bookmarkEnd w:id="373"/>
      <w:bookmarkStart w:id="374" w:name="_Toc184313280"/>
      <w:bookmarkEnd w:id="374"/>
      <w:bookmarkStart w:id="375" w:name="_Toc184313307"/>
      <w:bookmarkEnd w:id="375"/>
      <w:bookmarkStart w:id="376" w:name="_Toc184313244"/>
      <w:bookmarkEnd w:id="376"/>
      <w:bookmarkStart w:id="377" w:name="_Toc184310302"/>
      <w:bookmarkEnd w:id="377"/>
      <w:bookmarkStart w:id="378" w:name="_Toc184313242"/>
      <w:bookmarkEnd w:id="378"/>
      <w:bookmarkStart w:id="379" w:name="_Toc184314474"/>
      <w:bookmarkEnd w:id="379"/>
      <w:bookmarkStart w:id="380" w:name="_Toc184310305"/>
      <w:bookmarkEnd w:id="380"/>
      <w:bookmarkStart w:id="381" w:name="_Toc184313267"/>
      <w:bookmarkEnd w:id="381"/>
      <w:bookmarkStart w:id="382" w:name="_Toc184308052"/>
      <w:bookmarkEnd w:id="382"/>
      <w:bookmarkStart w:id="383" w:name="_Toc184313293"/>
      <w:bookmarkEnd w:id="383"/>
      <w:bookmarkStart w:id="384" w:name="_Toc184313283"/>
      <w:bookmarkEnd w:id="384"/>
      <w:bookmarkStart w:id="385" w:name="_Toc184313291"/>
      <w:bookmarkEnd w:id="385"/>
      <w:bookmarkStart w:id="386" w:name="_Toc184310285"/>
      <w:bookmarkEnd w:id="386"/>
      <w:bookmarkStart w:id="387" w:name="_Toc184310323"/>
      <w:bookmarkEnd w:id="387"/>
      <w:bookmarkStart w:id="388" w:name="_Toc184312068"/>
      <w:bookmarkEnd w:id="388"/>
      <w:bookmarkStart w:id="389" w:name="_Toc184314416"/>
      <w:bookmarkEnd w:id="389"/>
      <w:bookmarkStart w:id="390" w:name="_Toc184310304"/>
      <w:bookmarkEnd w:id="390"/>
      <w:bookmarkStart w:id="391" w:name="_Toc184312095"/>
      <w:bookmarkEnd w:id="391"/>
      <w:bookmarkStart w:id="392" w:name="_Toc184314442"/>
      <w:bookmarkEnd w:id="392"/>
      <w:bookmarkStart w:id="393" w:name="_Toc184314418"/>
      <w:bookmarkEnd w:id="393"/>
      <w:bookmarkStart w:id="394" w:name="_Toc184313266"/>
      <w:bookmarkEnd w:id="394"/>
      <w:bookmarkStart w:id="395" w:name="_Toc184312133"/>
      <w:bookmarkEnd w:id="395"/>
      <w:r>
        <w:rPr>
          <w:rFonts w:hint="eastAsia" w:ascii="宋体" w:hAnsi="宋体" w:cs="宋体"/>
          <w:b/>
          <w:color w:val="000000" w:themeColor="text1"/>
          <w:sz w:val="36"/>
          <w:szCs w:val="36"/>
          <w14:textFill>
            <w14:solidFill>
              <w14:schemeClr w14:val="tx1"/>
            </w14:solidFill>
          </w14:textFill>
        </w:rPr>
        <w:t>评标办法</w:t>
      </w:r>
    </w:p>
    <w:p w14:paraId="22F20F4E">
      <w:pPr>
        <w:spacing w:afterLines="50" w:line="240" w:lineRule="auto"/>
        <w:rPr>
          <w:rFonts w:ascii="宋体" w:hAnsi="宋体"/>
          <w:b/>
          <w:sz w:val="24"/>
        </w:rPr>
      </w:pPr>
      <w:r>
        <w:rPr>
          <w:rFonts w:hint="eastAsia" w:ascii="宋体" w:hAnsi="宋体"/>
          <w:b/>
          <w:sz w:val="24"/>
        </w:rPr>
        <w:t>一、总则</w:t>
      </w:r>
    </w:p>
    <w:p w14:paraId="6E816573">
      <w:pPr>
        <w:spacing w:afterLines="50" w:line="360" w:lineRule="auto"/>
        <w:ind w:firstLine="480" w:firstLineChars="200"/>
        <w:rPr>
          <w:rFonts w:ascii="宋体" w:hAnsi="宋体"/>
          <w:sz w:val="24"/>
          <w:lang w:val="zh-CN"/>
        </w:rPr>
      </w:pPr>
      <w:r>
        <w:rPr>
          <w:rFonts w:hint="eastAsia" w:ascii="宋体" w:hAnsi="宋体"/>
          <w:sz w:val="24"/>
          <w:lang w:val="zh-CN"/>
        </w:rPr>
        <w:t>本次评标采用综合评分法。合格投标人的评标得分为各项目汇总得分，中标候选资格按评标得分由高到低顺序排列，得分相同的，按投标报价由低到高顺序排列。综合得分排名第一的投标人为中标候选人，评分过程中采用四舍五入法，并保留小数2位。</w:t>
      </w:r>
    </w:p>
    <w:p w14:paraId="76A5965F">
      <w:pPr>
        <w:autoSpaceDE w:val="0"/>
        <w:autoSpaceDN w:val="0"/>
        <w:adjustRightInd w:val="0"/>
        <w:spacing w:line="360" w:lineRule="auto"/>
        <w:rPr>
          <w:rFonts w:ascii="宋体" w:hAnsi="宋体"/>
          <w:b/>
          <w:sz w:val="24"/>
        </w:rPr>
      </w:pPr>
      <w:r>
        <w:rPr>
          <w:rFonts w:hint="eastAsia" w:ascii="宋体" w:hAnsi="宋体"/>
          <w:b/>
          <w:sz w:val="24"/>
        </w:rPr>
        <w:t>二、评标内容及标准</w:t>
      </w:r>
    </w:p>
    <w:p w14:paraId="7CC75FCD">
      <w:pPr>
        <w:widowControl/>
        <w:spacing w:line="276" w:lineRule="auto"/>
        <w:jc w:val="left"/>
        <w:rPr>
          <w:rFonts w:ascii="宋体" w:hAnsi="宋体"/>
          <w:b/>
          <w:bCs/>
          <w:sz w:val="24"/>
        </w:rPr>
      </w:pPr>
      <w:r>
        <w:rPr>
          <w:rFonts w:hint="eastAsia" w:ascii="宋体" w:hAnsi="宋体"/>
          <w:b/>
          <w:bCs/>
          <w:sz w:val="24"/>
        </w:rPr>
        <w:t>（一）价格分（</w:t>
      </w:r>
      <w:r>
        <w:rPr>
          <w:rFonts w:hint="eastAsia" w:ascii="宋体" w:hAnsi="宋体"/>
          <w:b/>
          <w:bCs/>
          <w:sz w:val="24"/>
          <w:lang w:val="en-US" w:eastAsia="zh-CN"/>
        </w:rPr>
        <w:t>1</w:t>
      </w:r>
      <w:r>
        <w:rPr>
          <w:rFonts w:hint="eastAsia" w:ascii="宋体" w:hAnsi="宋体"/>
          <w:b/>
          <w:bCs/>
          <w:sz w:val="24"/>
        </w:rPr>
        <w:t>0分）</w:t>
      </w:r>
    </w:p>
    <w:p w14:paraId="6D0794D9">
      <w:pPr>
        <w:autoSpaceDE w:val="0"/>
        <w:autoSpaceDN w:val="0"/>
        <w:adjustRightInd w:val="0"/>
        <w:spacing w:line="360" w:lineRule="auto"/>
        <w:ind w:firstLine="437"/>
        <w:rPr>
          <w:rFonts w:ascii="宋体" w:hAnsi="宋体"/>
          <w:sz w:val="24"/>
          <w:lang w:val="zh-CN"/>
        </w:rPr>
      </w:pPr>
      <w:r>
        <w:rPr>
          <w:rFonts w:ascii="宋体" w:hAnsi="宋体"/>
          <w:sz w:val="24"/>
          <w:lang w:val="zh-CN"/>
        </w:rPr>
        <w:t>1</w:t>
      </w:r>
      <w:r>
        <w:rPr>
          <w:rFonts w:hint="eastAsia" w:ascii="宋体" w:hAnsi="宋体"/>
          <w:sz w:val="24"/>
          <w:lang w:val="zh-CN"/>
        </w:rPr>
        <w:t>、价格分采用低价优先法计算，即满足招标文件要求且投标价格最低的投标报价为评标基准价，其他投标人的价格分按照下列公式计算：</w:t>
      </w:r>
    </w:p>
    <w:p w14:paraId="07FA9CBB">
      <w:pPr>
        <w:autoSpaceDE w:val="0"/>
        <w:autoSpaceDN w:val="0"/>
        <w:adjustRightInd w:val="0"/>
        <w:spacing w:line="276" w:lineRule="auto"/>
        <w:ind w:firstLine="437"/>
        <w:rPr>
          <w:rFonts w:ascii="宋体" w:hAnsi="宋体"/>
          <w:color w:val="0000FF"/>
          <w:sz w:val="24"/>
        </w:rPr>
      </w:pPr>
      <w:r>
        <w:rPr>
          <w:rFonts w:hint="eastAsia" w:ascii="宋体" w:hAnsi="宋体"/>
          <w:sz w:val="24"/>
          <w:lang w:val="zh-CN"/>
        </w:rPr>
        <w:t>价格分</w:t>
      </w:r>
      <w:r>
        <w:rPr>
          <w:rFonts w:ascii="宋体" w:hAnsi="宋体"/>
          <w:sz w:val="24"/>
          <w:lang w:val="zh-CN"/>
        </w:rPr>
        <w:t>=</w:t>
      </w:r>
      <w:r>
        <w:rPr>
          <w:rFonts w:hint="eastAsia" w:ascii="宋体" w:hAnsi="宋体"/>
          <w:sz w:val="24"/>
          <w:lang w:val="zh-CN"/>
        </w:rPr>
        <w:t>（评标基准价</w:t>
      </w:r>
      <w:r>
        <w:rPr>
          <w:rFonts w:ascii="宋体" w:hAnsi="宋体"/>
          <w:sz w:val="24"/>
          <w:lang w:val="zh-CN"/>
        </w:rPr>
        <w:t>/</w:t>
      </w:r>
      <w:r>
        <w:rPr>
          <w:rFonts w:hint="eastAsia" w:ascii="宋体" w:hAnsi="宋体"/>
          <w:sz w:val="24"/>
          <w:lang w:val="zh-CN"/>
        </w:rPr>
        <w:t>投标报价）×</w:t>
      </w:r>
      <w:r>
        <w:rPr>
          <w:rFonts w:hint="eastAsia" w:ascii="宋体" w:hAnsi="宋体"/>
          <w:sz w:val="24"/>
          <w:lang w:val="en-US" w:eastAsia="zh-CN"/>
        </w:rPr>
        <w:t>1</w:t>
      </w:r>
      <w:r>
        <w:rPr>
          <w:rFonts w:hint="eastAsia" w:ascii="宋体" w:hAnsi="宋体"/>
          <w:sz w:val="24"/>
          <w:lang w:val="zh-CN"/>
        </w:rPr>
        <w:t>0</w:t>
      </w:r>
    </w:p>
    <w:p w14:paraId="1C4AA035">
      <w:pPr>
        <w:autoSpaceDE w:val="0"/>
        <w:autoSpaceDN w:val="0"/>
        <w:adjustRightInd w:val="0"/>
        <w:spacing w:line="276" w:lineRule="auto"/>
        <w:ind w:left="557" w:leftChars="208" w:hanging="120" w:hangingChars="50"/>
        <w:rPr>
          <w:rFonts w:ascii="宋体" w:hAnsi="宋体"/>
          <w:sz w:val="24"/>
          <w:lang w:val="zh-CN"/>
        </w:rPr>
      </w:pPr>
      <w:r>
        <w:rPr>
          <w:rFonts w:hint="eastAsia" w:ascii="宋体" w:hAnsi="宋体" w:cs="宋体"/>
          <w:sz w:val="24"/>
        </w:rPr>
        <w:t>★</w:t>
      </w:r>
      <w:r>
        <w:rPr>
          <w:rFonts w:hint="eastAsia" w:ascii="宋体" w:hAnsi="宋体"/>
          <w:sz w:val="24"/>
          <w:lang w:val="zh-CN"/>
        </w:rPr>
        <w:t>2、投标人的投标报价超过设定的上限价的作为无效标处理。</w:t>
      </w:r>
      <w:r>
        <w:rPr>
          <w:rFonts w:hint="eastAsia" w:ascii="宋体" w:hAnsi="宋体" w:cs="宋体"/>
          <w:b/>
          <w:bCs/>
          <w:sz w:val="24"/>
        </w:rPr>
        <w:t>本项目最高限价为：</w:t>
      </w:r>
      <w:r>
        <w:rPr>
          <w:rFonts w:hint="eastAsia" w:ascii="宋体" w:hAnsi="宋体" w:cs="宋体"/>
          <w:b/>
          <w:bCs/>
          <w:color w:val="FF0000"/>
          <w:sz w:val="24"/>
          <w:u w:val="single"/>
          <w:lang w:eastAsia="zh-CN"/>
        </w:rPr>
        <w:t>190万元</w:t>
      </w:r>
      <w:r>
        <w:rPr>
          <w:rFonts w:hint="eastAsia" w:ascii="宋体" w:hAnsi="宋体" w:cs="宋体"/>
          <w:b/>
          <w:bCs/>
          <w:sz w:val="24"/>
        </w:rPr>
        <w:t>。</w:t>
      </w:r>
    </w:p>
    <w:p w14:paraId="391FFD4E">
      <w:pPr>
        <w:tabs>
          <w:tab w:val="left" w:pos="3870"/>
          <w:tab w:val="left" w:pos="4085"/>
        </w:tabs>
        <w:snapToGrid w:val="0"/>
        <w:spacing w:afterLines="50" w:line="276" w:lineRule="auto"/>
        <w:ind w:firstLine="480" w:firstLineChars="200"/>
        <w:jc w:val="left"/>
        <w:rPr>
          <w:rFonts w:ascii="宋体" w:hAnsi="宋体" w:cs="宋体"/>
          <w:sz w:val="24"/>
        </w:rPr>
      </w:pPr>
      <w:r>
        <w:rPr>
          <w:rFonts w:hint="eastAsia" w:ascii="宋体" w:hAnsi="宋体" w:cs="宋体"/>
          <w:sz w:val="24"/>
        </w:rPr>
        <w:t>3.报价是中标的一个重要因素，但最低报价不是中标的唯一依据。</w:t>
      </w:r>
    </w:p>
    <w:p w14:paraId="48CF751A">
      <w:pPr>
        <w:pStyle w:val="25"/>
        <w:adjustRightInd w:val="0"/>
        <w:snapToGrid w:val="0"/>
        <w:spacing w:line="360" w:lineRule="auto"/>
        <w:ind w:firstLine="482"/>
        <w:rPr>
          <w:rFonts w:hAnsi="宋体"/>
          <w:b/>
          <w:bCs/>
          <w:sz w:val="24"/>
          <w:szCs w:val="24"/>
        </w:rPr>
      </w:pPr>
      <w:r>
        <w:rPr>
          <w:rFonts w:hint="eastAsia" w:hAnsi="宋体"/>
          <w:b/>
          <w:bCs/>
          <w:sz w:val="24"/>
          <w:szCs w:val="24"/>
        </w:rPr>
        <w:t>（二）商务技术部分的评分标准（</w:t>
      </w:r>
      <w:r>
        <w:rPr>
          <w:rFonts w:hint="eastAsia" w:hAnsi="宋体"/>
          <w:b/>
          <w:bCs/>
          <w:sz w:val="24"/>
          <w:szCs w:val="24"/>
          <w:lang w:val="en-US" w:eastAsia="zh-CN"/>
        </w:rPr>
        <w:t>9</w:t>
      </w:r>
      <w:r>
        <w:rPr>
          <w:rFonts w:hint="eastAsia" w:hAnsi="宋体"/>
          <w:b/>
          <w:bCs/>
          <w:sz w:val="24"/>
          <w:szCs w:val="24"/>
        </w:rPr>
        <w:t>0分）</w:t>
      </w:r>
    </w:p>
    <w:tbl>
      <w:tblPr>
        <w:tblStyle w:val="69"/>
        <w:tblpPr w:leftFromText="180" w:rightFromText="180" w:vertAnchor="text" w:horzAnchor="page" w:tblpX="1098" w:tblpY="456"/>
        <w:tblOverlap w:val="never"/>
        <w:tblW w:w="9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328"/>
        <w:gridCol w:w="6723"/>
        <w:gridCol w:w="1054"/>
      </w:tblGrid>
      <w:tr w14:paraId="515C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74" w:type="dxa"/>
            <w:noWrap w:val="0"/>
            <w:vAlign w:val="center"/>
          </w:tcPr>
          <w:p w14:paraId="7087B942">
            <w:pPr>
              <w:pStyle w:val="25"/>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328" w:type="dxa"/>
            <w:noWrap w:val="0"/>
            <w:vAlign w:val="center"/>
          </w:tcPr>
          <w:p w14:paraId="452D4A8B">
            <w:pPr>
              <w:pStyle w:val="25"/>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内容</w:t>
            </w:r>
          </w:p>
        </w:tc>
        <w:tc>
          <w:tcPr>
            <w:tcW w:w="6723" w:type="dxa"/>
            <w:noWrap w:val="0"/>
            <w:vAlign w:val="center"/>
          </w:tcPr>
          <w:p w14:paraId="6895652C">
            <w:pPr>
              <w:pStyle w:val="25"/>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评 分 标 准</w:t>
            </w:r>
          </w:p>
        </w:tc>
        <w:tc>
          <w:tcPr>
            <w:tcW w:w="1054" w:type="dxa"/>
            <w:noWrap w:val="0"/>
            <w:vAlign w:val="center"/>
          </w:tcPr>
          <w:p w14:paraId="3A4B57DA">
            <w:pPr>
              <w:pStyle w:val="25"/>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分值</w:t>
            </w:r>
          </w:p>
        </w:tc>
      </w:tr>
      <w:tr w14:paraId="465E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774" w:type="dxa"/>
            <w:noWrap w:val="0"/>
            <w:vAlign w:val="center"/>
          </w:tcPr>
          <w:p w14:paraId="05C569E4">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328" w:type="dxa"/>
            <w:noWrap w:val="0"/>
            <w:vAlign w:val="center"/>
          </w:tcPr>
          <w:p w14:paraId="53099814">
            <w:pPr>
              <w:tabs>
                <w:tab w:val="left" w:pos="63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投标供应商体系认证情况</w:t>
            </w:r>
          </w:p>
        </w:tc>
        <w:tc>
          <w:tcPr>
            <w:tcW w:w="6723" w:type="dxa"/>
            <w:noWrap w:val="0"/>
            <w:vAlign w:val="center"/>
          </w:tcPr>
          <w:p w14:paraId="518B1FAB">
            <w:pPr>
              <w:widowControl/>
              <w:numPr>
                <w:ilvl w:val="0"/>
                <w:numId w:val="0"/>
              </w:numPr>
              <w:spacing w:line="360" w:lineRule="auto"/>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投标供应商具有有效的质量管理体系认证、环境管理体系认证、职业健康安全管理体系认证证书齐全的得3分，少一项扣1分。</w:t>
            </w:r>
          </w:p>
          <w:p w14:paraId="5112E35B">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认证证书范围均需包含污水处理运营管理服务相符的内容，否则不得分。</w:t>
            </w:r>
          </w:p>
          <w:p w14:paraId="48F60424">
            <w:pPr>
              <w:spacing w:line="360" w:lineRule="auto"/>
              <w:rPr>
                <w:rFonts w:hint="eastAsia" w:ascii="宋体" w:hAnsi="宋体" w:eastAsia="宋体" w:cs="宋体"/>
                <w:sz w:val="24"/>
                <w:szCs w:val="24"/>
                <w:lang w:val="en-GB"/>
              </w:rPr>
            </w:pPr>
            <w:r>
              <w:rPr>
                <w:rFonts w:hint="eastAsia" w:ascii="宋体" w:hAnsi="宋体" w:eastAsia="宋体" w:cs="宋体"/>
                <w:b/>
                <w:bCs/>
                <w:spacing w:val="4"/>
                <w:sz w:val="24"/>
                <w:szCs w:val="24"/>
              </w:rPr>
              <w:t>注：须提供相关证书复印件及国家认证认可监督管理委员会官网截图并加盖投标供应商公章</w:t>
            </w:r>
          </w:p>
        </w:tc>
        <w:tc>
          <w:tcPr>
            <w:tcW w:w="1054" w:type="dxa"/>
            <w:noWrap w:val="0"/>
            <w:vAlign w:val="center"/>
          </w:tcPr>
          <w:p w14:paraId="1522F4A2">
            <w:pPr>
              <w:pStyle w:val="519"/>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0-3分</w:t>
            </w:r>
          </w:p>
        </w:tc>
      </w:tr>
      <w:tr w14:paraId="3576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74" w:type="dxa"/>
            <w:noWrap w:val="0"/>
            <w:vAlign w:val="center"/>
          </w:tcPr>
          <w:p w14:paraId="1CD8E3D6">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328" w:type="dxa"/>
            <w:noWrap w:val="0"/>
            <w:vAlign w:val="center"/>
          </w:tcPr>
          <w:p w14:paraId="167668FF">
            <w:pPr>
              <w:tabs>
                <w:tab w:val="left" w:pos="63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投标供应商综合实力</w:t>
            </w:r>
          </w:p>
        </w:tc>
        <w:tc>
          <w:tcPr>
            <w:tcW w:w="6723" w:type="dxa"/>
            <w:noWrap w:val="0"/>
            <w:vAlign w:val="center"/>
          </w:tcPr>
          <w:p w14:paraId="7B3E52D0">
            <w:pPr>
              <w:widowControl/>
              <w:spacing w:line="360" w:lineRule="auto"/>
              <w:jc w:val="left"/>
              <w:rPr>
                <w:rFonts w:hint="eastAsia" w:ascii="宋体" w:hAnsi="宋体" w:eastAsia="宋体" w:cs="宋体"/>
                <w:kern w:val="0"/>
                <w:sz w:val="24"/>
                <w:szCs w:val="24"/>
                <w:lang w:bidi="ar"/>
              </w:rPr>
            </w:pPr>
            <w:r>
              <w:rPr>
                <w:rFonts w:hint="eastAsia" w:ascii="宋体" w:hAnsi="宋体" w:eastAsia="宋体" w:cs="宋体"/>
                <w:kern w:val="0"/>
                <w:sz w:val="24"/>
                <w:szCs w:val="24"/>
                <w:lang w:val="en-GB" w:bidi="ar"/>
              </w:rPr>
              <w:t>供应商</w:t>
            </w:r>
            <w:r>
              <w:rPr>
                <w:rFonts w:hint="eastAsia" w:ascii="宋体" w:hAnsi="宋体" w:eastAsia="宋体" w:cs="宋体"/>
                <w:kern w:val="0"/>
                <w:sz w:val="24"/>
                <w:szCs w:val="24"/>
                <w:lang w:bidi="ar"/>
              </w:rPr>
              <w:t>污水设施运行维护类项目获得过县级及以上行政主管部门表彰的，得3分（需提供加盖行政主管部门公章的表彰证明，不提供不得分）。</w:t>
            </w:r>
          </w:p>
          <w:p w14:paraId="009946CA">
            <w:pPr>
              <w:widowControl/>
              <w:spacing w:line="360" w:lineRule="auto"/>
              <w:jc w:val="left"/>
              <w:rPr>
                <w:rFonts w:hint="eastAsia" w:ascii="宋体" w:hAnsi="宋体" w:eastAsia="宋体" w:cs="宋体"/>
                <w:spacing w:val="4"/>
                <w:sz w:val="24"/>
                <w:szCs w:val="24"/>
              </w:rPr>
            </w:pPr>
            <w:r>
              <w:rPr>
                <w:rFonts w:hint="eastAsia" w:ascii="宋体" w:hAnsi="宋体" w:eastAsia="宋体" w:cs="宋体"/>
                <w:b/>
                <w:bCs/>
                <w:spacing w:val="4"/>
                <w:sz w:val="24"/>
                <w:szCs w:val="24"/>
              </w:rPr>
              <w:t>注：须提供相关证明材料复印件并加盖投标供应商公章</w:t>
            </w:r>
          </w:p>
        </w:tc>
        <w:tc>
          <w:tcPr>
            <w:tcW w:w="1054" w:type="dxa"/>
            <w:noWrap w:val="0"/>
            <w:vAlign w:val="center"/>
          </w:tcPr>
          <w:p w14:paraId="4C51FD95">
            <w:pPr>
              <w:pStyle w:val="519"/>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0-3分</w:t>
            </w:r>
          </w:p>
        </w:tc>
      </w:tr>
      <w:tr w14:paraId="0A5C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774" w:type="dxa"/>
            <w:noWrap w:val="0"/>
            <w:vAlign w:val="center"/>
          </w:tcPr>
          <w:p w14:paraId="000DFD98">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328" w:type="dxa"/>
            <w:noWrap w:val="0"/>
            <w:vAlign w:val="center"/>
          </w:tcPr>
          <w:p w14:paraId="2343EB2C">
            <w:pPr>
              <w:tabs>
                <w:tab w:val="left" w:pos="630"/>
              </w:tabs>
              <w:spacing w:line="360" w:lineRule="auto"/>
              <w:jc w:val="center"/>
              <w:rPr>
                <w:rFonts w:hint="eastAsia" w:ascii="宋体" w:hAnsi="宋体" w:eastAsia="宋体" w:cs="宋体"/>
                <w:sz w:val="24"/>
                <w:szCs w:val="24"/>
              </w:rPr>
            </w:pPr>
            <w:r>
              <w:rPr>
                <w:rFonts w:hint="eastAsia" w:ascii="宋体" w:hAnsi="宋体" w:eastAsia="宋体" w:cs="宋体"/>
                <w:sz w:val="24"/>
                <w:szCs w:val="24"/>
                <w:lang w:val="en-GB"/>
              </w:rPr>
              <w:t>类似</w:t>
            </w:r>
            <w:r>
              <w:rPr>
                <w:rFonts w:hint="eastAsia" w:ascii="宋体" w:hAnsi="宋体" w:eastAsia="宋体" w:cs="宋体"/>
                <w:sz w:val="24"/>
                <w:szCs w:val="24"/>
              </w:rPr>
              <w:t>业绩</w:t>
            </w:r>
          </w:p>
        </w:tc>
        <w:tc>
          <w:tcPr>
            <w:tcW w:w="6723" w:type="dxa"/>
            <w:noWrap w:val="0"/>
            <w:vAlign w:val="center"/>
          </w:tcPr>
          <w:p w14:paraId="0EB93B5A">
            <w:pPr>
              <w:widowControl/>
              <w:spacing w:line="360" w:lineRule="auto"/>
              <w:jc w:val="left"/>
              <w:rPr>
                <w:rFonts w:hint="eastAsia" w:ascii="宋体" w:hAnsi="宋体" w:eastAsia="宋体" w:cs="宋体"/>
                <w:sz w:val="24"/>
                <w:szCs w:val="24"/>
                <w:lang w:val="en-GB"/>
              </w:rPr>
            </w:pPr>
            <w:r>
              <w:rPr>
                <w:rFonts w:hint="eastAsia" w:ascii="宋体" w:hAnsi="宋体" w:eastAsia="宋体" w:cs="宋体"/>
                <w:kern w:val="0"/>
                <w:sz w:val="24"/>
                <w:szCs w:val="24"/>
                <w:lang w:val="en-GB"/>
              </w:rPr>
              <w:t>根据投标人提供20</w:t>
            </w:r>
            <w:r>
              <w:rPr>
                <w:rFonts w:hint="eastAsia" w:ascii="宋体" w:hAnsi="宋体" w:eastAsia="宋体" w:cs="宋体"/>
                <w:kern w:val="0"/>
                <w:sz w:val="24"/>
                <w:szCs w:val="24"/>
              </w:rPr>
              <w:t>21</w:t>
            </w:r>
            <w:r>
              <w:rPr>
                <w:rFonts w:hint="eastAsia" w:ascii="宋体" w:hAnsi="宋体" w:eastAsia="宋体" w:cs="宋体"/>
                <w:kern w:val="0"/>
                <w:sz w:val="24"/>
                <w:szCs w:val="24"/>
                <w:lang w:val="en-GB"/>
              </w:rPr>
              <w:t>年1月1日起承接过类似业绩情况进行打分，业绩需包含污水处理站运维</w:t>
            </w:r>
            <w:r>
              <w:rPr>
                <w:rFonts w:hint="eastAsia" w:ascii="宋体" w:hAnsi="宋体" w:eastAsia="宋体" w:cs="宋体"/>
                <w:kern w:val="0"/>
                <w:sz w:val="24"/>
                <w:szCs w:val="24"/>
              </w:rPr>
              <w:t>、</w:t>
            </w:r>
            <w:r>
              <w:rPr>
                <w:rFonts w:hint="eastAsia" w:ascii="宋体" w:hAnsi="宋体" w:eastAsia="宋体" w:cs="宋体"/>
                <w:kern w:val="0"/>
                <w:sz w:val="24"/>
                <w:szCs w:val="24"/>
                <w:lang w:val="en-GB"/>
              </w:rPr>
              <w:t>集镇市政管网运维、垃圾渗滤液设施运维及污水处理厂（站）在线监测运维相关内容，业绩齐全（否则不得分）并提供证明材料的得</w:t>
            </w:r>
            <w:r>
              <w:rPr>
                <w:rFonts w:hint="eastAsia" w:ascii="宋体" w:hAnsi="宋体" w:eastAsia="宋体" w:cs="宋体"/>
                <w:kern w:val="0"/>
                <w:sz w:val="24"/>
                <w:szCs w:val="24"/>
              </w:rPr>
              <w:t>1</w:t>
            </w:r>
            <w:r>
              <w:rPr>
                <w:rFonts w:hint="eastAsia" w:ascii="宋体" w:hAnsi="宋体" w:eastAsia="宋体" w:cs="宋体"/>
                <w:kern w:val="0"/>
                <w:sz w:val="24"/>
                <w:szCs w:val="24"/>
                <w:lang w:val="en-GB"/>
              </w:rPr>
              <w:t>分，满分</w:t>
            </w:r>
            <w:r>
              <w:rPr>
                <w:rFonts w:hint="eastAsia" w:ascii="宋体" w:hAnsi="宋体" w:eastAsia="宋体" w:cs="宋体"/>
                <w:kern w:val="0"/>
                <w:sz w:val="24"/>
                <w:szCs w:val="24"/>
              </w:rPr>
              <w:t>1</w:t>
            </w:r>
            <w:r>
              <w:rPr>
                <w:rFonts w:hint="eastAsia" w:ascii="宋体" w:hAnsi="宋体" w:eastAsia="宋体" w:cs="宋体"/>
                <w:kern w:val="0"/>
                <w:sz w:val="24"/>
                <w:szCs w:val="24"/>
                <w:lang w:val="en-GB"/>
              </w:rPr>
              <w:t>分。</w:t>
            </w:r>
          </w:p>
          <w:p w14:paraId="35BC89D7">
            <w:pPr>
              <w:tabs>
                <w:tab w:val="left" w:pos="630"/>
              </w:tabs>
              <w:spacing w:line="360" w:lineRule="auto"/>
              <w:rPr>
                <w:rFonts w:hint="eastAsia" w:ascii="宋体" w:hAnsi="宋体" w:eastAsia="宋体" w:cs="宋体"/>
                <w:sz w:val="24"/>
                <w:szCs w:val="24"/>
              </w:rPr>
            </w:pPr>
            <w:r>
              <w:rPr>
                <w:rFonts w:hint="eastAsia" w:ascii="宋体" w:hAnsi="宋体" w:eastAsia="宋体" w:cs="宋体"/>
                <w:b/>
                <w:bCs/>
                <w:kern w:val="0"/>
                <w:sz w:val="24"/>
                <w:szCs w:val="24"/>
                <w:lang w:val="en-GB"/>
              </w:rPr>
              <w:t>注：须提供合同及中标通知书复印件加盖公章，未提供的不得分。</w:t>
            </w:r>
          </w:p>
        </w:tc>
        <w:tc>
          <w:tcPr>
            <w:tcW w:w="1054" w:type="dxa"/>
            <w:noWrap w:val="0"/>
            <w:vAlign w:val="center"/>
          </w:tcPr>
          <w:p w14:paraId="0CAE41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0-1分</w:t>
            </w:r>
          </w:p>
        </w:tc>
      </w:tr>
      <w:tr w14:paraId="1630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74" w:type="dxa"/>
            <w:noWrap w:val="0"/>
            <w:vAlign w:val="center"/>
          </w:tcPr>
          <w:p w14:paraId="55AF09B2">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328" w:type="dxa"/>
            <w:noWrap w:val="0"/>
            <w:vAlign w:val="center"/>
          </w:tcPr>
          <w:p w14:paraId="25CE11D7">
            <w:pPr>
              <w:pStyle w:val="263"/>
              <w:tabs>
                <w:tab w:val="left" w:pos="630"/>
              </w:tabs>
              <w:spacing w:line="360" w:lineRule="auto"/>
              <w:ind w:firstLine="0" w:firstLineChars="0"/>
              <w:jc w:val="center"/>
              <w:rPr>
                <w:rFonts w:hint="eastAsia" w:ascii="宋体" w:hAnsi="宋体" w:eastAsia="宋体" w:cs="宋体"/>
                <w:kern w:val="0"/>
                <w:sz w:val="24"/>
                <w:szCs w:val="24"/>
                <w:lang w:val="en-GB"/>
              </w:rPr>
            </w:pPr>
            <w:r>
              <w:rPr>
                <w:rFonts w:hint="eastAsia" w:ascii="宋体" w:hAnsi="宋体" w:eastAsia="宋体" w:cs="宋体"/>
                <w:sz w:val="24"/>
                <w:szCs w:val="24"/>
                <w:lang w:val="en-GB"/>
              </w:rPr>
              <w:t>拟投入本项目的负责人情况</w:t>
            </w:r>
          </w:p>
        </w:tc>
        <w:tc>
          <w:tcPr>
            <w:tcW w:w="6723" w:type="dxa"/>
            <w:noWrap w:val="0"/>
            <w:vAlign w:val="center"/>
          </w:tcPr>
          <w:p w14:paraId="234C0BCC">
            <w:pPr>
              <w:pStyle w:val="525"/>
              <w:spacing w:line="360" w:lineRule="auto"/>
              <w:ind w:left="0" w:leftChars="0" w:firstLine="0" w:firstLineChars="0"/>
              <w:rPr>
                <w:rFonts w:hint="eastAsia" w:ascii="宋体" w:hAnsi="宋体" w:eastAsia="宋体" w:cs="宋体"/>
                <w:sz w:val="24"/>
                <w:szCs w:val="24"/>
                <w:lang w:bidi="ar"/>
              </w:rPr>
            </w:pPr>
            <w:r>
              <w:rPr>
                <w:rFonts w:hint="eastAsia" w:ascii="宋体" w:hAnsi="宋体" w:eastAsia="宋体" w:cs="宋体"/>
                <w:sz w:val="24"/>
                <w:szCs w:val="24"/>
                <w:lang w:bidi="ar"/>
              </w:rPr>
              <w:t>1、项目负责人具有市政公用工程一级注册建造师资格和有效的安全生产考核合格证书B证的，得3分；具有市政公用工程二级注册建造师资格和有效的安全生产考核合格证书B证的，得1分；本项最高得3分。（须提供相关证书并加盖投标供应商公章，否则不得分）</w:t>
            </w:r>
          </w:p>
          <w:p w14:paraId="3CD5F29A">
            <w:pPr>
              <w:pStyle w:val="525"/>
              <w:spacing w:line="360" w:lineRule="auto"/>
              <w:ind w:left="0" w:leftChars="0" w:firstLine="0" w:firstLineChars="0"/>
              <w:rPr>
                <w:rFonts w:hint="eastAsia" w:ascii="宋体" w:hAnsi="宋体" w:eastAsia="宋体" w:cs="宋体"/>
                <w:sz w:val="24"/>
                <w:szCs w:val="24"/>
                <w:lang w:bidi="ar"/>
              </w:rPr>
            </w:pPr>
            <w:r>
              <w:rPr>
                <w:rFonts w:hint="eastAsia" w:ascii="宋体" w:hAnsi="宋体" w:eastAsia="宋体" w:cs="宋体"/>
                <w:sz w:val="24"/>
                <w:szCs w:val="24"/>
                <w:lang w:bidi="ar"/>
              </w:rPr>
              <w:t>2、项目负责人具有高级工程师及以上职称的，得2分；项目负责人具有中级工程师职称的，得1分；本项最高得2分。（须提供相关证书并加盖投标供应商公章，否则不得分）</w:t>
            </w:r>
          </w:p>
          <w:p w14:paraId="1490748B">
            <w:pPr>
              <w:pStyle w:val="263"/>
              <w:tabs>
                <w:tab w:val="left" w:pos="630"/>
              </w:tabs>
              <w:spacing w:line="360" w:lineRule="auto"/>
              <w:ind w:firstLine="0" w:firstLineChars="0"/>
              <w:rPr>
                <w:rFonts w:hint="eastAsia" w:ascii="宋体" w:hAnsi="宋体" w:eastAsia="宋体" w:cs="宋体"/>
                <w:kern w:val="0"/>
                <w:sz w:val="24"/>
                <w:szCs w:val="24"/>
                <w:lang w:val="en-GB"/>
              </w:rPr>
            </w:pPr>
            <w:r>
              <w:rPr>
                <w:rFonts w:hint="eastAsia" w:ascii="宋体" w:hAnsi="宋体" w:eastAsia="宋体" w:cs="宋体"/>
                <w:b/>
                <w:bCs/>
                <w:kern w:val="0"/>
                <w:sz w:val="24"/>
                <w:szCs w:val="24"/>
                <w:lang w:val="en-GB"/>
              </w:rPr>
              <w:t>注：</w:t>
            </w:r>
            <w:r>
              <w:rPr>
                <w:rFonts w:hint="eastAsia" w:ascii="宋体" w:hAnsi="宋体" w:eastAsia="宋体" w:cs="宋体"/>
                <w:b/>
                <w:bCs/>
                <w:kern w:val="0"/>
                <w:sz w:val="24"/>
                <w:szCs w:val="24"/>
              </w:rPr>
              <w:t>项目负责人</w:t>
            </w:r>
            <w:r>
              <w:rPr>
                <w:rFonts w:hint="eastAsia" w:ascii="宋体" w:hAnsi="宋体" w:eastAsia="宋体" w:cs="宋体"/>
                <w:b/>
                <w:bCs/>
                <w:kern w:val="0"/>
                <w:sz w:val="24"/>
                <w:szCs w:val="24"/>
                <w:lang w:val="en-GB"/>
              </w:rPr>
              <w:t>须提供连续缴</w:t>
            </w:r>
            <w:r>
              <w:rPr>
                <w:rFonts w:hint="eastAsia" w:ascii="宋体" w:hAnsi="宋体" w:eastAsia="宋体" w:cs="宋体"/>
                <w:b/>
                <w:bCs/>
                <w:kern w:val="0"/>
                <w:sz w:val="24"/>
                <w:szCs w:val="24"/>
              </w:rPr>
              <w:t>近3个月</w:t>
            </w:r>
            <w:r>
              <w:rPr>
                <w:rFonts w:hint="eastAsia" w:ascii="宋体" w:hAnsi="宋体" w:eastAsia="宋体" w:cs="宋体"/>
                <w:b/>
                <w:bCs/>
                <w:kern w:val="0"/>
                <w:sz w:val="24"/>
                <w:szCs w:val="24"/>
                <w:lang w:val="en-GB"/>
              </w:rPr>
              <w:t>社保证明扫描件并加盖投标供应商</w:t>
            </w:r>
            <w:r>
              <w:rPr>
                <w:rFonts w:hint="eastAsia" w:ascii="宋体" w:hAnsi="宋体" w:eastAsia="宋体" w:cs="宋体"/>
                <w:b/>
                <w:bCs/>
                <w:kern w:val="0"/>
                <w:sz w:val="24"/>
                <w:szCs w:val="24"/>
              </w:rPr>
              <w:t>公章</w:t>
            </w:r>
            <w:r>
              <w:rPr>
                <w:rFonts w:hint="eastAsia" w:ascii="宋体" w:hAnsi="宋体" w:eastAsia="宋体" w:cs="宋体"/>
                <w:b/>
                <w:bCs/>
                <w:kern w:val="0"/>
                <w:sz w:val="24"/>
                <w:szCs w:val="24"/>
                <w:lang w:val="en-GB"/>
              </w:rPr>
              <w:t>，否则不得分。</w:t>
            </w:r>
          </w:p>
        </w:tc>
        <w:tc>
          <w:tcPr>
            <w:tcW w:w="1054" w:type="dxa"/>
            <w:noWrap w:val="0"/>
            <w:vAlign w:val="center"/>
          </w:tcPr>
          <w:p w14:paraId="5197C5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0-5分</w:t>
            </w:r>
          </w:p>
        </w:tc>
      </w:tr>
      <w:tr w14:paraId="234D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4" w:type="dxa"/>
            <w:noWrap w:val="0"/>
            <w:vAlign w:val="center"/>
          </w:tcPr>
          <w:p w14:paraId="317E7820">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328" w:type="dxa"/>
            <w:noWrap w:val="0"/>
            <w:vAlign w:val="center"/>
          </w:tcPr>
          <w:p w14:paraId="410B04EA">
            <w:pPr>
              <w:tabs>
                <w:tab w:val="left" w:pos="630"/>
              </w:tabs>
              <w:spacing w:line="360" w:lineRule="auto"/>
              <w:jc w:val="center"/>
              <w:rPr>
                <w:rFonts w:hint="eastAsia" w:ascii="宋体" w:hAnsi="宋体" w:eastAsia="宋体" w:cs="宋体"/>
                <w:sz w:val="24"/>
                <w:szCs w:val="24"/>
                <w:lang w:val="en-GB"/>
              </w:rPr>
            </w:pPr>
            <w:r>
              <w:rPr>
                <w:rFonts w:hint="eastAsia" w:ascii="宋体" w:hAnsi="宋体" w:eastAsia="宋体" w:cs="宋体"/>
                <w:sz w:val="24"/>
                <w:szCs w:val="24"/>
              </w:rPr>
              <w:t>拟投入本项目组人员情况</w:t>
            </w:r>
          </w:p>
        </w:tc>
        <w:tc>
          <w:tcPr>
            <w:tcW w:w="6723" w:type="dxa"/>
            <w:noWrap w:val="0"/>
            <w:vAlign w:val="center"/>
          </w:tcPr>
          <w:p w14:paraId="25109123">
            <w:pPr>
              <w:widowControl/>
              <w:spacing w:line="360" w:lineRule="auto"/>
              <w:jc w:val="left"/>
              <w:rPr>
                <w:rFonts w:hint="eastAsia" w:ascii="宋体" w:hAnsi="宋体" w:eastAsia="宋体" w:cs="宋体"/>
                <w:kern w:val="0"/>
                <w:sz w:val="24"/>
                <w:szCs w:val="24"/>
                <w:lang w:val="en-GB"/>
              </w:rPr>
            </w:pPr>
            <w:r>
              <w:rPr>
                <w:rFonts w:hint="eastAsia" w:ascii="宋体" w:hAnsi="宋体" w:eastAsia="宋体" w:cs="宋体"/>
                <w:kern w:val="0"/>
                <w:sz w:val="24"/>
                <w:szCs w:val="24"/>
                <w:lang w:val="en-GB"/>
              </w:rPr>
              <w:t>根据拟派班组成员情况</w:t>
            </w:r>
            <w:r>
              <w:rPr>
                <w:rFonts w:hint="eastAsia" w:ascii="宋体" w:hAnsi="宋体" w:eastAsia="宋体" w:cs="宋体"/>
                <w:kern w:val="0"/>
                <w:sz w:val="24"/>
                <w:szCs w:val="24"/>
              </w:rPr>
              <w:t>进行</w:t>
            </w:r>
            <w:r>
              <w:rPr>
                <w:rFonts w:hint="eastAsia" w:ascii="宋体" w:hAnsi="宋体" w:eastAsia="宋体" w:cs="宋体"/>
                <w:kern w:val="0"/>
                <w:sz w:val="24"/>
                <w:szCs w:val="24"/>
                <w:lang w:val="en-GB"/>
              </w:rPr>
              <w:t>打分。</w:t>
            </w:r>
          </w:p>
          <w:p w14:paraId="46245BFA">
            <w:pPr>
              <w:widowControl/>
              <w:numPr>
                <w:ilvl w:val="0"/>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lang w:val="en-GB"/>
              </w:rPr>
              <w:t>技术负责人具有注册环保工程师的，得</w:t>
            </w:r>
            <w:r>
              <w:rPr>
                <w:rFonts w:hint="eastAsia" w:ascii="宋体" w:hAnsi="宋体" w:eastAsia="宋体" w:cs="宋体"/>
                <w:sz w:val="24"/>
                <w:szCs w:val="24"/>
              </w:rPr>
              <w:t>2</w:t>
            </w:r>
            <w:r>
              <w:rPr>
                <w:rFonts w:hint="eastAsia" w:ascii="宋体" w:hAnsi="宋体" w:eastAsia="宋体" w:cs="宋体"/>
                <w:sz w:val="24"/>
                <w:szCs w:val="24"/>
                <w:lang w:val="en-GB"/>
              </w:rPr>
              <w:t>分，具有环保或给排水专业高级工程师及以上职称的</w:t>
            </w:r>
            <w:r>
              <w:rPr>
                <w:rFonts w:hint="eastAsia" w:ascii="宋体" w:hAnsi="宋体" w:eastAsia="宋体" w:cs="宋体"/>
                <w:sz w:val="24"/>
                <w:szCs w:val="24"/>
              </w:rPr>
              <w:t>，得2分，</w:t>
            </w:r>
            <w:r>
              <w:rPr>
                <w:rFonts w:hint="eastAsia" w:ascii="宋体" w:hAnsi="宋体" w:eastAsia="宋体" w:cs="宋体"/>
                <w:sz w:val="24"/>
                <w:szCs w:val="24"/>
                <w:lang w:val="en-GB"/>
              </w:rPr>
              <w:t>具有环保或给排水专业中级级工程师职称的，得1分，</w:t>
            </w:r>
            <w:r>
              <w:rPr>
                <w:rFonts w:hint="eastAsia" w:ascii="宋体" w:hAnsi="宋体" w:eastAsia="宋体" w:cs="宋体"/>
                <w:sz w:val="24"/>
                <w:szCs w:val="24"/>
              </w:rPr>
              <w:t>本项最高得4分；</w:t>
            </w:r>
          </w:p>
          <w:p w14:paraId="7E94DC4D">
            <w:pPr>
              <w:widowControl/>
              <w:numPr>
                <w:ilvl w:val="0"/>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除项目负责人、技术负责人外其他人员具有市政公用工程、机电工程、环保工程专业中级工程师及以上职称证书配备齐全的得2分，少一项扣1分；</w:t>
            </w:r>
          </w:p>
          <w:p w14:paraId="65AA29D6">
            <w:pPr>
              <w:widowControl/>
              <w:numPr>
                <w:ilvl w:val="0"/>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lang w:val="en-GB"/>
              </w:rPr>
              <w:t>具有专职安全生产管理人员C</w:t>
            </w:r>
            <w:r>
              <w:rPr>
                <w:rFonts w:hint="eastAsia" w:ascii="宋体" w:hAnsi="宋体" w:eastAsia="宋体" w:cs="宋体"/>
                <w:sz w:val="24"/>
                <w:szCs w:val="24"/>
              </w:rPr>
              <w:t>3</w:t>
            </w:r>
            <w:r>
              <w:rPr>
                <w:rFonts w:hint="eastAsia" w:ascii="宋体" w:hAnsi="宋体" w:eastAsia="宋体" w:cs="宋体"/>
                <w:sz w:val="24"/>
                <w:szCs w:val="24"/>
                <w:lang w:val="en-GB"/>
              </w:rPr>
              <w:t>类证书的</w:t>
            </w:r>
            <w:r>
              <w:rPr>
                <w:rFonts w:hint="eastAsia" w:ascii="宋体" w:hAnsi="宋体" w:eastAsia="宋体" w:cs="宋体"/>
                <w:sz w:val="24"/>
                <w:szCs w:val="24"/>
              </w:rPr>
              <w:t>1名得1分；</w:t>
            </w:r>
          </w:p>
          <w:p w14:paraId="34B5E968">
            <w:pPr>
              <w:widowControl/>
              <w:numPr>
                <w:ilvl w:val="0"/>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具有省应急管理部门颁发的</w:t>
            </w:r>
            <w:r>
              <w:rPr>
                <w:rFonts w:hint="eastAsia" w:ascii="宋体" w:hAnsi="宋体" w:eastAsia="宋体" w:cs="宋体"/>
                <w:sz w:val="24"/>
                <w:szCs w:val="24"/>
                <w:lang w:val="en-GB"/>
              </w:rPr>
              <w:t>电工特种作业操作证的</w:t>
            </w:r>
            <w:r>
              <w:rPr>
                <w:rFonts w:hint="eastAsia" w:ascii="宋体" w:hAnsi="宋体" w:eastAsia="宋体" w:cs="宋体"/>
                <w:sz w:val="24"/>
                <w:szCs w:val="24"/>
              </w:rPr>
              <w:t>每人得1分，最高2分</w:t>
            </w:r>
            <w:r>
              <w:rPr>
                <w:rFonts w:hint="eastAsia" w:ascii="宋体" w:hAnsi="宋体" w:eastAsia="宋体" w:cs="宋体"/>
                <w:sz w:val="24"/>
                <w:szCs w:val="24"/>
                <w:lang w:val="en-GB"/>
              </w:rPr>
              <w:t>。</w:t>
            </w:r>
          </w:p>
          <w:p w14:paraId="29E2E481">
            <w:pPr>
              <w:widowControl/>
              <w:numPr>
                <w:ilvl w:val="0"/>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具有省应急管理部门颁发的焊接与热切割特种作业操作证的得1分。</w:t>
            </w:r>
          </w:p>
          <w:p w14:paraId="6FBBC367">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6、具有市政排水管道有限空间作业安全培训证书的每人得1分，最高2分；</w:t>
            </w:r>
          </w:p>
          <w:p w14:paraId="3CEB2AD5">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7、具有排水管道养护工的每人得1分，最高3分；</w:t>
            </w:r>
          </w:p>
          <w:p w14:paraId="2031D13C">
            <w:pPr>
              <w:spacing w:line="360" w:lineRule="auto"/>
              <w:rPr>
                <w:rFonts w:hint="eastAsia" w:ascii="宋体" w:hAnsi="宋体" w:eastAsia="宋体" w:cs="宋体"/>
                <w:sz w:val="24"/>
                <w:szCs w:val="24"/>
                <w:lang w:val="en-GB" w:bidi="ar"/>
              </w:rPr>
            </w:pPr>
            <w:r>
              <w:rPr>
                <w:rFonts w:hint="eastAsia" w:ascii="宋体" w:hAnsi="宋体" w:eastAsia="宋体" w:cs="宋体"/>
                <w:b/>
                <w:bCs/>
                <w:kern w:val="0"/>
                <w:sz w:val="24"/>
                <w:szCs w:val="24"/>
                <w:lang w:val="en-GB"/>
              </w:rPr>
              <w:t>注：以上岗位一人一岗，一人多证的，仅计分一次；须提供职称证书、上岗（岗位）证书及连续缴</w:t>
            </w:r>
            <w:r>
              <w:rPr>
                <w:rFonts w:hint="eastAsia" w:ascii="宋体" w:hAnsi="宋体" w:eastAsia="宋体" w:cs="宋体"/>
                <w:b/>
                <w:bCs/>
                <w:kern w:val="0"/>
                <w:sz w:val="24"/>
                <w:szCs w:val="24"/>
              </w:rPr>
              <w:t>近3个月</w:t>
            </w:r>
            <w:r>
              <w:rPr>
                <w:rFonts w:hint="eastAsia" w:ascii="宋体" w:hAnsi="宋体" w:eastAsia="宋体" w:cs="宋体"/>
                <w:b/>
                <w:bCs/>
                <w:kern w:val="0"/>
                <w:sz w:val="24"/>
                <w:szCs w:val="24"/>
                <w:lang w:val="en-GB"/>
              </w:rPr>
              <w:t>社保证明</w:t>
            </w:r>
            <w:r>
              <w:rPr>
                <w:rFonts w:hint="eastAsia" w:ascii="宋体" w:hAnsi="宋体" w:eastAsia="宋体" w:cs="宋体"/>
                <w:b/>
                <w:bCs/>
                <w:kern w:val="0"/>
                <w:sz w:val="24"/>
                <w:szCs w:val="24"/>
              </w:rPr>
              <w:t>材料</w:t>
            </w:r>
            <w:r>
              <w:rPr>
                <w:rFonts w:hint="eastAsia" w:ascii="宋体" w:hAnsi="宋体" w:eastAsia="宋体" w:cs="宋体"/>
                <w:b/>
                <w:bCs/>
                <w:kern w:val="0"/>
                <w:sz w:val="24"/>
                <w:szCs w:val="24"/>
                <w:lang w:val="en-GB"/>
              </w:rPr>
              <w:t>复印件加盖公章，未提供或少提供的不得分。</w:t>
            </w:r>
          </w:p>
        </w:tc>
        <w:tc>
          <w:tcPr>
            <w:tcW w:w="1054" w:type="dxa"/>
            <w:noWrap w:val="0"/>
            <w:vAlign w:val="center"/>
          </w:tcPr>
          <w:p w14:paraId="3CADB7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0-15分</w:t>
            </w:r>
          </w:p>
        </w:tc>
      </w:tr>
      <w:tr w14:paraId="64BD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774" w:type="dxa"/>
            <w:noWrap w:val="0"/>
            <w:vAlign w:val="center"/>
          </w:tcPr>
          <w:p w14:paraId="1CEF93CD">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328" w:type="dxa"/>
            <w:noWrap w:val="0"/>
            <w:vAlign w:val="center"/>
          </w:tcPr>
          <w:p w14:paraId="6A35F7F8">
            <w:pPr>
              <w:tabs>
                <w:tab w:val="left" w:pos="630"/>
              </w:tabs>
              <w:spacing w:line="360" w:lineRule="auto"/>
              <w:jc w:val="center"/>
              <w:rPr>
                <w:rFonts w:hint="eastAsia" w:ascii="宋体" w:hAnsi="宋体" w:eastAsia="宋体" w:cs="宋体"/>
                <w:sz w:val="24"/>
                <w:szCs w:val="24"/>
                <w:lang w:val="en-GB"/>
              </w:rPr>
            </w:pPr>
            <w:r>
              <w:rPr>
                <w:rFonts w:hint="eastAsia" w:ascii="宋体" w:hAnsi="宋体" w:eastAsia="宋体" w:cs="宋体"/>
                <w:sz w:val="24"/>
                <w:szCs w:val="24"/>
              </w:rPr>
              <w:t>拟投入本项目机械设备情况</w:t>
            </w:r>
          </w:p>
        </w:tc>
        <w:tc>
          <w:tcPr>
            <w:tcW w:w="6723" w:type="dxa"/>
            <w:noWrap w:val="0"/>
            <w:vAlign w:val="center"/>
          </w:tcPr>
          <w:p w14:paraId="2C8EB4B3">
            <w:pPr>
              <w:widowControl/>
              <w:spacing w:line="360" w:lineRule="auto"/>
              <w:jc w:val="left"/>
              <w:rPr>
                <w:rFonts w:hint="eastAsia" w:ascii="宋体" w:hAnsi="宋体" w:eastAsia="宋体" w:cs="宋体"/>
                <w:kern w:val="0"/>
                <w:sz w:val="24"/>
                <w:szCs w:val="24"/>
                <w:lang w:val="en-GB"/>
              </w:rPr>
            </w:pPr>
            <w:r>
              <w:rPr>
                <w:rFonts w:hint="eastAsia" w:ascii="宋体" w:hAnsi="宋体" w:eastAsia="宋体" w:cs="宋体"/>
                <w:kern w:val="0"/>
                <w:sz w:val="24"/>
                <w:szCs w:val="24"/>
                <w:lang w:val="en-GB"/>
              </w:rPr>
              <w:t>根据投标人拟投入本项目的机械设备情况:</w:t>
            </w:r>
          </w:p>
          <w:p w14:paraId="2AD46A74">
            <w:pPr>
              <w:spacing w:line="360" w:lineRule="auto"/>
              <w:rPr>
                <w:rFonts w:hint="eastAsia" w:ascii="宋体" w:hAnsi="宋体" w:eastAsia="宋体" w:cs="宋体"/>
                <w:kern w:val="0"/>
                <w:sz w:val="24"/>
                <w:szCs w:val="24"/>
                <w:lang w:bidi="ar"/>
              </w:rPr>
            </w:pPr>
            <w:r>
              <w:rPr>
                <w:rFonts w:hint="eastAsia" w:ascii="宋体" w:hAnsi="宋体" w:eastAsia="宋体" w:cs="宋体"/>
                <w:sz w:val="24"/>
                <w:szCs w:val="24"/>
              </w:rPr>
              <w:t>1、</w:t>
            </w:r>
            <w:r>
              <w:rPr>
                <w:rFonts w:hint="eastAsia" w:ascii="宋体" w:hAnsi="宋体" w:eastAsia="宋体" w:cs="宋体"/>
                <w:kern w:val="0"/>
                <w:sz w:val="24"/>
                <w:szCs w:val="24"/>
                <w:lang w:val="en-GB" w:bidi="ar"/>
              </w:rPr>
              <w:t>配备管道清洗</w:t>
            </w:r>
            <w:r>
              <w:rPr>
                <w:rFonts w:hint="eastAsia" w:ascii="宋体" w:hAnsi="宋体" w:eastAsia="宋体" w:cs="宋体"/>
                <w:kern w:val="0"/>
                <w:sz w:val="24"/>
                <w:szCs w:val="24"/>
                <w:lang w:bidi="ar"/>
              </w:rPr>
              <w:t>车</w:t>
            </w:r>
            <w:r>
              <w:rPr>
                <w:rFonts w:hint="eastAsia" w:ascii="宋体" w:hAnsi="宋体" w:eastAsia="宋体" w:cs="宋体"/>
                <w:kern w:val="0"/>
                <w:sz w:val="24"/>
                <w:szCs w:val="24"/>
                <w:lang w:val="en-GB" w:bidi="ar"/>
              </w:rPr>
              <w:t>或</w:t>
            </w:r>
            <w:r>
              <w:rPr>
                <w:rFonts w:hint="eastAsia" w:ascii="宋体" w:hAnsi="宋体" w:eastAsia="宋体" w:cs="宋体"/>
                <w:kern w:val="0"/>
                <w:sz w:val="24"/>
                <w:szCs w:val="24"/>
                <w:lang w:bidi="ar"/>
              </w:rPr>
              <w:t>吸污车或清洗吸污两用车的</w:t>
            </w:r>
            <w:r>
              <w:rPr>
                <w:rFonts w:hint="eastAsia" w:ascii="宋体" w:hAnsi="宋体" w:eastAsia="宋体" w:cs="宋体"/>
                <w:kern w:val="0"/>
                <w:sz w:val="24"/>
                <w:szCs w:val="24"/>
                <w:lang w:val="en-GB" w:bidi="ar"/>
              </w:rPr>
              <w:t>每辆得</w:t>
            </w:r>
            <w:r>
              <w:rPr>
                <w:rFonts w:hint="eastAsia" w:ascii="宋体" w:hAnsi="宋体" w:eastAsia="宋体" w:cs="宋体"/>
                <w:kern w:val="0"/>
                <w:sz w:val="24"/>
                <w:szCs w:val="24"/>
                <w:lang w:bidi="ar"/>
              </w:rPr>
              <w:t>1</w:t>
            </w:r>
            <w:r>
              <w:rPr>
                <w:rFonts w:hint="eastAsia" w:ascii="宋体" w:hAnsi="宋体" w:eastAsia="宋体" w:cs="宋体"/>
                <w:kern w:val="0"/>
                <w:sz w:val="24"/>
                <w:szCs w:val="24"/>
                <w:lang w:val="en-GB" w:bidi="ar"/>
              </w:rPr>
              <w:t>分，最高</w:t>
            </w:r>
            <w:r>
              <w:rPr>
                <w:rFonts w:hint="eastAsia" w:ascii="宋体" w:hAnsi="宋体" w:eastAsia="宋体" w:cs="宋体"/>
                <w:kern w:val="0"/>
                <w:sz w:val="24"/>
                <w:szCs w:val="24"/>
                <w:lang w:bidi="ar"/>
              </w:rPr>
              <w:t>3</w:t>
            </w:r>
            <w:r>
              <w:rPr>
                <w:rFonts w:hint="eastAsia" w:ascii="宋体" w:hAnsi="宋体" w:eastAsia="宋体" w:cs="宋体"/>
                <w:kern w:val="0"/>
                <w:sz w:val="24"/>
                <w:szCs w:val="24"/>
                <w:lang w:val="en-GB" w:bidi="ar"/>
              </w:rPr>
              <w:t>分</w:t>
            </w:r>
            <w:r>
              <w:rPr>
                <w:rFonts w:hint="eastAsia" w:ascii="宋体" w:hAnsi="宋体" w:eastAsia="宋体" w:cs="宋体"/>
                <w:kern w:val="0"/>
                <w:sz w:val="24"/>
                <w:szCs w:val="24"/>
                <w:lang w:bidi="ar"/>
              </w:rPr>
              <w:t>；</w:t>
            </w:r>
          </w:p>
          <w:p w14:paraId="038EA29B">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r>
              <w:rPr>
                <w:rFonts w:hint="eastAsia" w:ascii="宋体" w:hAnsi="宋体" w:eastAsia="宋体" w:cs="宋体"/>
                <w:kern w:val="0"/>
                <w:sz w:val="24"/>
                <w:szCs w:val="24"/>
                <w:lang w:val="en-GB" w:bidi="ar"/>
              </w:rPr>
              <w:t>配备CCTV管道视频机器人</w:t>
            </w:r>
            <w:r>
              <w:rPr>
                <w:rFonts w:hint="eastAsia" w:ascii="宋体" w:hAnsi="宋体" w:eastAsia="宋体" w:cs="宋体"/>
                <w:kern w:val="0"/>
                <w:sz w:val="24"/>
                <w:szCs w:val="24"/>
                <w:lang w:bidi="ar"/>
              </w:rPr>
              <w:t>的每套得0.5</w:t>
            </w:r>
            <w:r>
              <w:rPr>
                <w:rFonts w:hint="eastAsia" w:ascii="宋体" w:hAnsi="宋体" w:eastAsia="宋体" w:cs="宋体"/>
                <w:kern w:val="0"/>
                <w:sz w:val="24"/>
                <w:szCs w:val="24"/>
                <w:lang w:val="en-GB" w:bidi="ar"/>
              </w:rPr>
              <w:t>分，</w:t>
            </w:r>
            <w:r>
              <w:rPr>
                <w:rFonts w:hint="eastAsia" w:ascii="宋体" w:hAnsi="宋体" w:eastAsia="宋体" w:cs="宋体"/>
                <w:kern w:val="0"/>
                <w:sz w:val="24"/>
                <w:szCs w:val="24"/>
                <w:lang w:bidi="ar"/>
              </w:rPr>
              <w:t>最高1.5分；</w:t>
            </w:r>
          </w:p>
          <w:p w14:paraId="7851A8D2">
            <w:pPr>
              <w:spacing w:line="360" w:lineRule="auto"/>
              <w:rPr>
                <w:rFonts w:hint="eastAsia" w:ascii="宋体" w:hAnsi="宋体" w:eastAsia="宋体" w:cs="宋体"/>
                <w:kern w:val="0"/>
                <w:sz w:val="24"/>
                <w:szCs w:val="24"/>
                <w:lang w:val="en-GB" w:bidi="ar"/>
              </w:rPr>
            </w:pPr>
            <w:r>
              <w:rPr>
                <w:rFonts w:hint="eastAsia" w:ascii="宋体" w:hAnsi="宋体" w:eastAsia="宋体" w:cs="宋体"/>
                <w:kern w:val="0"/>
                <w:sz w:val="24"/>
                <w:szCs w:val="24"/>
                <w:lang w:bidi="ar"/>
              </w:rPr>
              <w:t>3、配备</w:t>
            </w:r>
            <w:r>
              <w:rPr>
                <w:rFonts w:hint="eastAsia" w:ascii="宋体" w:hAnsi="宋体" w:eastAsia="宋体" w:cs="宋体"/>
                <w:kern w:val="0"/>
                <w:sz w:val="24"/>
                <w:szCs w:val="24"/>
                <w:lang w:val="en-GB" w:bidi="ar"/>
              </w:rPr>
              <w:t>管道</w:t>
            </w:r>
            <w:r>
              <w:rPr>
                <w:rFonts w:hint="eastAsia" w:ascii="宋体" w:hAnsi="宋体" w:eastAsia="宋体" w:cs="宋体"/>
                <w:kern w:val="0"/>
                <w:sz w:val="24"/>
                <w:szCs w:val="24"/>
                <w:lang w:bidi="ar"/>
              </w:rPr>
              <w:t>潜望镜</w:t>
            </w:r>
            <w:r>
              <w:rPr>
                <w:rFonts w:hint="eastAsia" w:ascii="宋体" w:hAnsi="宋体" w:eastAsia="宋体" w:cs="宋体"/>
                <w:kern w:val="0"/>
                <w:sz w:val="24"/>
                <w:szCs w:val="24"/>
                <w:lang w:val="en-GB" w:bidi="ar"/>
              </w:rPr>
              <w:t>视频检测设备</w:t>
            </w:r>
            <w:r>
              <w:rPr>
                <w:rFonts w:hint="eastAsia" w:ascii="宋体" w:hAnsi="宋体" w:eastAsia="宋体" w:cs="宋体"/>
                <w:kern w:val="0"/>
                <w:sz w:val="24"/>
                <w:szCs w:val="24"/>
                <w:lang w:bidi="ar"/>
              </w:rPr>
              <w:t>的每套得0.5</w:t>
            </w:r>
            <w:r>
              <w:rPr>
                <w:rFonts w:hint="eastAsia" w:ascii="宋体" w:hAnsi="宋体" w:eastAsia="宋体" w:cs="宋体"/>
                <w:kern w:val="0"/>
                <w:sz w:val="24"/>
                <w:szCs w:val="24"/>
                <w:lang w:val="en-GB" w:bidi="ar"/>
              </w:rPr>
              <w:t>分，</w:t>
            </w:r>
            <w:r>
              <w:rPr>
                <w:rFonts w:hint="eastAsia" w:ascii="宋体" w:hAnsi="宋体" w:eastAsia="宋体" w:cs="宋体"/>
                <w:kern w:val="0"/>
                <w:sz w:val="24"/>
                <w:szCs w:val="24"/>
                <w:lang w:bidi="ar"/>
              </w:rPr>
              <w:t>最高1.5分</w:t>
            </w:r>
            <w:r>
              <w:rPr>
                <w:rFonts w:hint="eastAsia" w:ascii="宋体" w:hAnsi="宋体" w:eastAsia="宋体" w:cs="宋体"/>
                <w:kern w:val="0"/>
                <w:sz w:val="24"/>
                <w:szCs w:val="24"/>
                <w:lang w:val="en-GB" w:bidi="ar"/>
              </w:rPr>
              <w:t>；</w:t>
            </w:r>
          </w:p>
          <w:p w14:paraId="26C0D32A">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w:t>
            </w:r>
            <w:r>
              <w:rPr>
                <w:rFonts w:hint="eastAsia" w:ascii="宋体" w:hAnsi="宋体" w:eastAsia="宋体" w:cs="宋体"/>
                <w:kern w:val="0"/>
                <w:sz w:val="24"/>
                <w:szCs w:val="24"/>
                <w:lang w:val="en-GB" w:bidi="ar"/>
              </w:rPr>
              <w:t>配备</w:t>
            </w:r>
            <w:r>
              <w:rPr>
                <w:rFonts w:hint="eastAsia" w:ascii="宋体" w:hAnsi="宋体" w:eastAsia="宋体" w:cs="宋体"/>
                <w:kern w:val="0"/>
                <w:sz w:val="24"/>
                <w:szCs w:val="24"/>
                <w:lang w:bidi="ar"/>
              </w:rPr>
              <w:t>专用工具车每辆得0.5分，最高得1分；</w:t>
            </w:r>
          </w:p>
          <w:p w14:paraId="402C65CE">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w:t>
            </w:r>
            <w:r>
              <w:rPr>
                <w:rFonts w:hint="eastAsia" w:ascii="宋体" w:hAnsi="宋体" w:eastAsia="宋体" w:cs="宋体"/>
                <w:kern w:val="0"/>
                <w:sz w:val="24"/>
                <w:szCs w:val="24"/>
                <w:lang w:val="en-GB" w:bidi="ar"/>
              </w:rPr>
              <w:t>配备水质分析化验设备（能检测污水主要污染物指标COD、氨氮、TP、TN、PH）的得</w:t>
            </w:r>
            <w:r>
              <w:rPr>
                <w:rFonts w:hint="eastAsia" w:ascii="宋体" w:hAnsi="宋体" w:eastAsia="宋体" w:cs="宋体"/>
                <w:kern w:val="0"/>
                <w:sz w:val="24"/>
                <w:szCs w:val="24"/>
                <w:lang w:bidi="ar"/>
              </w:rPr>
              <w:t>1</w:t>
            </w:r>
            <w:r>
              <w:rPr>
                <w:rFonts w:hint="eastAsia" w:ascii="宋体" w:hAnsi="宋体" w:eastAsia="宋体" w:cs="宋体"/>
                <w:kern w:val="0"/>
                <w:sz w:val="24"/>
                <w:szCs w:val="24"/>
                <w:lang w:val="en-GB" w:bidi="ar"/>
              </w:rPr>
              <w:t>分；</w:t>
            </w:r>
          </w:p>
          <w:p w14:paraId="5EC85071">
            <w:pPr>
              <w:spacing w:line="360" w:lineRule="auto"/>
              <w:rPr>
                <w:rFonts w:hint="eastAsia" w:ascii="宋体" w:hAnsi="宋体" w:eastAsia="宋体" w:cs="宋体"/>
                <w:sz w:val="24"/>
                <w:szCs w:val="24"/>
                <w:lang w:val="en-GB"/>
              </w:rPr>
            </w:pPr>
            <w:r>
              <w:rPr>
                <w:rFonts w:hint="eastAsia" w:ascii="宋体" w:hAnsi="宋体" w:eastAsia="宋体" w:cs="宋体"/>
                <w:sz w:val="24"/>
                <w:szCs w:val="24"/>
                <w:lang w:bidi="ar"/>
              </w:rPr>
              <w:t>注：</w:t>
            </w:r>
            <w:r>
              <w:rPr>
                <w:rFonts w:hint="eastAsia" w:ascii="宋体" w:hAnsi="宋体" w:eastAsia="宋体" w:cs="宋体"/>
                <w:sz w:val="24"/>
                <w:szCs w:val="24"/>
                <w:lang w:val="en-GB" w:bidi="ar"/>
              </w:rPr>
              <w:t>以上不重复计分，</w:t>
            </w:r>
            <w:r>
              <w:rPr>
                <w:rFonts w:hint="eastAsia" w:ascii="宋体" w:hAnsi="宋体" w:cs="宋体"/>
                <w:sz w:val="24"/>
                <w:szCs w:val="24"/>
                <w:lang w:val="en-US" w:eastAsia="zh-CN" w:bidi="ar"/>
              </w:rPr>
              <w:t>自有的</w:t>
            </w:r>
            <w:r>
              <w:rPr>
                <w:rFonts w:hint="eastAsia" w:ascii="宋体" w:hAnsi="宋体" w:eastAsia="宋体" w:cs="宋体"/>
                <w:sz w:val="24"/>
                <w:szCs w:val="24"/>
                <w:lang w:val="en-GB" w:bidi="ar"/>
              </w:rPr>
              <w:t>须提供相关设备</w:t>
            </w:r>
            <w:r>
              <w:rPr>
                <w:rFonts w:hint="eastAsia" w:ascii="宋体" w:hAnsi="宋体" w:eastAsia="宋体" w:cs="宋体"/>
                <w:sz w:val="24"/>
                <w:szCs w:val="24"/>
                <w:lang w:bidi="ar"/>
              </w:rPr>
              <w:t>购置发票</w:t>
            </w:r>
            <w:r>
              <w:rPr>
                <w:rFonts w:hint="eastAsia" w:ascii="宋体" w:hAnsi="宋体" w:eastAsia="宋体" w:cs="宋体"/>
                <w:sz w:val="24"/>
                <w:szCs w:val="24"/>
                <w:lang w:val="en-GB" w:bidi="ar"/>
              </w:rPr>
              <w:t>及</w:t>
            </w:r>
            <w:r>
              <w:rPr>
                <w:rFonts w:hint="eastAsia" w:ascii="宋体" w:hAnsi="宋体" w:eastAsia="宋体" w:cs="宋体"/>
                <w:sz w:val="24"/>
                <w:szCs w:val="24"/>
                <w:lang w:bidi="ar"/>
              </w:rPr>
              <w:t>有效期内</w:t>
            </w:r>
            <w:r>
              <w:rPr>
                <w:rFonts w:hint="eastAsia" w:ascii="宋体" w:hAnsi="宋体" w:eastAsia="宋体" w:cs="宋体"/>
                <w:sz w:val="24"/>
                <w:szCs w:val="24"/>
                <w:lang w:val="en-GB" w:bidi="ar"/>
              </w:rPr>
              <w:t>车辆行驶证（投标人名下），</w:t>
            </w:r>
            <w:r>
              <w:rPr>
                <w:rFonts w:hint="eastAsia" w:ascii="宋体" w:hAnsi="宋体" w:cs="宋体"/>
                <w:sz w:val="24"/>
                <w:szCs w:val="24"/>
                <w:lang w:val="en-US" w:eastAsia="zh-CN" w:bidi="ar"/>
              </w:rPr>
              <w:t>租赁的</w:t>
            </w:r>
            <w:r>
              <w:rPr>
                <w:rFonts w:hint="eastAsia" w:ascii="宋体" w:hAnsi="宋体" w:eastAsia="宋体" w:cs="宋体"/>
                <w:sz w:val="24"/>
                <w:szCs w:val="24"/>
                <w:lang w:val="en-GB" w:bidi="ar"/>
              </w:rPr>
              <w:t>须提供</w:t>
            </w:r>
            <w:r>
              <w:rPr>
                <w:rFonts w:hint="eastAsia" w:ascii="宋体" w:hAnsi="宋体" w:cs="宋体"/>
                <w:sz w:val="24"/>
                <w:szCs w:val="24"/>
                <w:lang w:val="en-US" w:eastAsia="zh-CN" w:bidi="ar"/>
              </w:rPr>
              <w:t>租赁协议、</w:t>
            </w:r>
            <w:r>
              <w:rPr>
                <w:rFonts w:hint="eastAsia" w:ascii="宋体" w:hAnsi="宋体" w:eastAsia="宋体" w:cs="宋体"/>
                <w:sz w:val="24"/>
                <w:szCs w:val="24"/>
                <w:lang w:val="en-GB" w:bidi="ar"/>
              </w:rPr>
              <w:t>相关设备</w:t>
            </w:r>
            <w:r>
              <w:rPr>
                <w:rFonts w:hint="eastAsia" w:ascii="宋体" w:hAnsi="宋体" w:eastAsia="宋体" w:cs="宋体"/>
                <w:sz w:val="24"/>
                <w:szCs w:val="24"/>
                <w:lang w:bidi="ar"/>
              </w:rPr>
              <w:t>购置发票</w:t>
            </w:r>
            <w:r>
              <w:rPr>
                <w:rFonts w:hint="eastAsia" w:ascii="宋体" w:hAnsi="宋体" w:eastAsia="宋体" w:cs="宋体"/>
                <w:sz w:val="24"/>
                <w:szCs w:val="24"/>
                <w:lang w:val="en-GB" w:bidi="ar"/>
              </w:rPr>
              <w:t>及</w:t>
            </w:r>
            <w:r>
              <w:rPr>
                <w:rFonts w:hint="eastAsia" w:ascii="宋体" w:hAnsi="宋体" w:eastAsia="宋体" w:cs="宋体"/>
                <w:sz w:val="24"/>
                <w:szCs w:val="24"/>
                <w:lang w:bidi="ar"/>
              </w:rPr>
              <w:t>有效期内</w:t>
            </w:r>
            <w:r>
              <w:rPr>
                <w:rFonts w:hint="eastAsia" w:ascii="宋体" w:hAnsi="宋体" w:eastAsia="宋体" w:cs="宋体"/>
                <w:sz w:val="24"/>
                <w:szCs w:val="24"/>
                <w:lang w:val="en-GB" w:bidi="ar"/>
              </w:rPr>
              <w:t>车辆行驶证</w:t>
            </w:r>
            <w:r>
              <w:rPr>
                <w:rFonts w:hint="eastAsia" w:ascii="宋体" w:hAnsi="宋体" w:cs="宋体"/>
                <w:sz w:val="24"/>
                <w:szCs w:val="24"/>
                <w:lang w:val="en-GB" w:eastAsia="zh-CN" w:bidi="ar"/>
              </w:rPr>
              <w:t>，</w:t>
            </w:r>
            <w:bookmarkStart w:id="404" w:name="_GoBack"/>
            <w:bookmarkEnd w:id="404"/>
            <w:r>
              <w:rPr>
                <w:rFonts w:hint="eastAsia" w:ascii="宋体" w:hAnsi="宋体" w:eastAsia="宋体" w:cs="宋体"/>
                <w:sz w:val="24"/>
                <w:szCs w:val="24"/>
                <w:lang w:bidi="ar"/>
              </w:rPr>
              <w:t>未提供或少提供的不得分。</w:t>
            </w:r>
          </w:p>
        </w:tc>
        <w:tc>
          <w:tcPr>
            <w:tcW w:w="1054" w:type="dxa"/>
            <w:noWrap w:val="0"/>
            <w:vAlign w:val="center"/>
          </w:tcPr>
          <w:p w14:paraId="3BF667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0-8 分</w:t>
            </w:r>
          </w:p>
        </w:tc>
      </w:tr>
      <w:tr w14:paraId="796B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74" w:type="dxa"/>
            <w:noWrap w:val="0"/>
            <w:vAlign w:val="center"/>
          </w:tcPr>
          <w:p w14:paraId="3994BB7B">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328" w:type="dxa"/>
            <w:noWrap w:val="0"/>
            <w:vAlign w:val="center"/>
          </w:tcPr>
          <w:p w14:paraId="23882562">
            <w:pPr>
              <w:snapToGri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lang w:bidi="ar"/>
              </w:rPr>
              <w:t>运维方案</w:t>
            </w:r>
          </w:p>
        </w:tc>
        <w:tc>
          <w:tcPr>
            <w:tcW w:w="6723" w:type="dxa"/>
            <w:noWrap w:val="0"/>
            <w:vAlign w:val="center"/>
          </w:tcPr>
          <w:p w14:paraId="0070CBDC">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投标人针对项目具体实施拟定的运维实施方案详实、有针对性、内容完整等（包括项目概况介绍，服务的范围，内容，目标、思路、运维设备、人员配置及岗位职责，运维工作内容细分等），方案全面合理且具有针对性的最高得12分，有欠缺或缺漏或不合理的每项扣1分，扣完为止； </w:t>
            </w:r>
          </w:p>
        </w:tc>
        <w:tc>
          <w:tcPr>
            <w:tcW w:w="1054" w:type="dxa"/>
            <w:noWrap w:val="0"/>
            <w:vAlign w:val="center"/>
          </w:tcPr>
          <w:p w14:paraId="7FE638A9">
            <w:pPr>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lang w:bidi="ar"/>
              </w:rPr>
              <w:t>0-12分</w:t>
            </w:r>
          </w:p>
        </w:tc>
      </w:tr>
      <w:tr w14:paraId="76DC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74" w:type="dxa"/>
            <w:vMerge w:val="restart"/>
            <w:noWrap w:val="0"/>
            <w:vAlign w:val="center"/>
          </w:tcPr>
          <w:p w14:paraId="63E0C948">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328" w:type="dxa"/>
            <w:vMerge w:val="restart"/>
            <w:noWrap w:val="0"/>
            <w:vAlign w:val="center"/>
          </w:tcPr>
          <w:p w14:paraId="55762ACF">
            <w:pPr>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lang w:bidi="ar"/>
              </w:rPr>
              <w:t>本项目的保证措施</w:t>
            </w:r>
          </w:p>
        </w:tc>
        <w:tc>
          <w:tcPr>
            <w:tcW w:w="6723" w:type="dxa"/>
            <w:noWrap w:val="0"/>
            <w:vAlign w:val="center"/>
          </w:tcPr>
          <w:p w14:paraId="41A0AB7A">
            <w:pPr>
              <w:widowControl/>
              <w:spacing w:line="360" w:lineRule="auto"/>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运行维护技术质量保证措施：根据投标人对设施运行维护服务过程中对技术质量监管的措施、可靠性及技术保障的科学合理性是否合理；（0-7分）</w:t>
            </w:r>
          </w:p>
        </w:tc>
        <w:tc>
          <w:tcPr>
            <w:tcW w:w="1054" w:type="dxa"/>
            <w:noWrap w:val="0"/>
            <w:vAlign w:val="center"/>
          </w:tcPr>
          <w:p w14:paraId="5C5E1ADA">
            <w:pPr>
              <w:spacing w:line="360" w:lineRule="auto"/>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0-7分</w:t>
            </w:r>
          </w:p>
        </w:tc>
      </w:tr>
      <w:tr w14:paraId="3FAE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74" w:type="dxa"/>
            <w:vMerge w:val="continue"/>
            <w:noWrap w:val="0"/>
            <w:vAlign w:val="center"/>
          </w:tcPr>
          <w:p w14:paraId="4B3DF7A0">
            <w:pPr>
              <w:spacing w:line="360" w:lineRule="auto"/>
              <w:jc w:val="center"/>
              <w:rPr>
                <w:rFonts w:hint="eastAsia" w:ascii="宋体" w:hAnsi="宋体" w:eastAsia="宋体" w:cs="宋体"/>
                <w:kern w:val="0"/>
                <w:sz w:val="24"/>
                <w:szCs w:val="24"/>
              </w:rPr>
            </w:pPr>
          </w:p>
        </w:tc>
        <w:tc>
          <w:tcPr>
            <w:tcW w:w="1328" w:type="dxa"/>
            <w:vMerge w:val="continue"/>
            <w:noWrap w:val="0"/>
            <w:vAlign w:val="center"/>
          </w:tcPr>
          <w:p w14:paraId="0E54E35D">
            <w:pPr>
              <w:snapToGrid w:val="0"/>
              <w:spacing w:line="360" w:lineRule="auto"/>
              <w:jc w:val="center"/>
              <w:rPr>
                <w:rFonts w:hint="eastAsia" w:ascii="宋体" w:hAnsi="宋体" w:eastAsia="宋体" w:cs="宋体"/>
                <w:kern w:val="0"/>
                <w:sz w:val="24"/>
                <w:szCs w:val="24"/>
                <w:lang w:bidi="ar"/>
              </w:rPr>
            </w:pPr>
          </w:p>
        </w:tc>
        <w:tc>
          <w:tcPr>
            <w:tcW w:w="6723" w:type="dxa"/>
            <w:noWrap w:val="0"/>
            <w:vAlign w:val="center"/>
          </w:tcPr>
          <w:p w14:paraId="263F64EB">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运行维护管理安全保证措施：根据投标人对设施运行维护服务过程中对安全监管的措施、可靠性及管理安全的科学合理性是否合理等；（0-7分）</w:t>
            </w:r>
          </w:p>
        </w:tc>
        <w:tc>
          <w:tcPr>
            <w:tcW w:w="1054" w:type="dxa"/>
            <w:noWrap w:val="0"/>
            <w:vAlign w:val="center"/>
          </w:tcPr>
          <w:p w14:paraId="262121D8">
            <w:pPr>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lang w:bidi="ar"/>
              </w:rPr>
              <w:t>0-7分</w:t>
            </w:r>
          </w:p>
        </w:tc>
      </w:tr>
      <w:tr w14:paraId="1EB5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74" w:type="dxa"/>
            <w:vMerge w:val="continue"/>
            <w:noWrap w:val="0"/>
            <w:vAlign w:val="center"/>
          </w:tcPr>
          <w:p w14:paraId="26E2012B">
            <w:pPr>
              <w:spacing w:line="360" w:lineRule="auto"/>
              <w:jc w:val="center"/>
              <w:rPr>
                <w:rFonts w:hint="eastAsia" w:ascii="宋体" w:hAnsi="宋体" w:eastAsia="宋体" w:cs="宋体"/>
                <w:kern w:val="0"/>
                <w:sz w:val="24"/>
                <w:szCs w:val="24"/>
              </w:rPr>
            </w:pPr>
          </w:p>
        </w:tc>
        <w:tc>
          <w:tcPr>
            <w:tcW w:w="1328" w:type="dxa"/>
            <w:vMerge w:val="continue"/>
            <w:noWrap w:val="0"/>
            <w:vAlign w:val="center"/>
          </w:tcPr>
          <w:p w14:paraId="5614C022">
            <w:pPr>
              <w:snapToGrid w:val="0"/>
              <w:spacing w:line="360" w:lineRule="auto"/>
              <w:jc w:val="center"/>
              <w:rPr>
                <w:rFonts w:hint="eastAsia" w:ascii="宋体" w:hAnsi="宋体" w:eastAsia="宋体" w:cs="宋体"/>
                <w:kern w:val="0"/>
                <w:sz w:val="24"/>
                <w:szCs w:val="24"/>
                <w:lang w:bidi="ar"/>
              </w:rPr>
            </w:pPr>
          </w:p>
        </w:tc>
        <w:tc>
          <w:tcPr>
            <w:tcW w:w="6723" w:type="dxa"/>
            <w:noWrap w:val="0"/>
            <w:vAlign w:val="center"/>
          </w:tcPr>
          <w:p w14:paraId="62BC4F79">
            <w:pPr>
              <w:widowControl/>
              <w:spacing w:line="360" w:lineRule="auto"/>
              <w:jc w:val="left"/>
              <w:rPr>
                <w:rFonts w:hint="eastAsia" w:ascii="宋体" w:hAnsi="宋体" w:eastAsia="宋体" w:cs="宋体"/>
                <w:kern w:val="0"/>
                <w:sz w:val="24"/>
                <w:szCs w:val="24"/>
                <w:lang w:bidi="ar"/>
              </w:rPr>
            </w:pPr>
            <w:r>
              <w:rPr>
                <w:rFonts w:hint="eastAsia" w:ascii="宋体" w:hAnsi="宋体" w:cs="宋体"/>
                <w:kern w:val="0"/>
                <w:sz w:val="24"/>
                <w:szCs w:val="24"/>
                <w:lang w:val="en-US" w:eastAsia="zh-CN" w:bidi="ar"/>
              </w:rPr>
              <w:t>1、</w:t>
            </w:r>
            <w:r>
              <w:rPr>
                <w:rFonts w:hint="eastAsia" w:ascii="宋体" w:hAnsi="宋体" w:eastAsia="宋体" w:cs="宋体"/>
                <w:kern w:val="0"/>
                <w:sz w:val="24"/>
                <w:szCs w:val="24"/>
                <w:lang w:bidi="ar"/>
              </w:rPr>
              <w:t>运行维护响应及售后服务：根据投标人所做的故障响应，修复时限，售后服务点的力量配备、售后服务承诺和技术服务情况有利于招标人的程度评级打分；（0-5分）</w:t>
            </w:r>
          </w:p>
          <w:p w14:paraId="4F066A5D">
            <w:pPr>
              <w:pStyle w:val="68"/>
              <w:spacing w:line="360" w:lineRule="auto"/>
              <w:ind w:left="0" w:leftChars="0" w:firstLine="0" w:firstLineChars="0"/>
              <w:rPr>
                <w:rFonts w:hint="eastAsia" w:ascii="宋体" w:hAnsi="宋体" w:eastAsia="宋体" w:cs="宋体"/>
                <w:sz w:val="24"/>
                <w:szCs w:val="24"/>
              </w:rPr>
            </w:pPr>
            <w:r>
              <w:rPr>
                <w:rFonts w:hint="eastAsia" w:cs="宋体"/>
                <w:kern w:val="0"/>
                <w:sz w:val="24"/>
                <w:szCs w:val="24"/>
                <w:lang w:val="en-US" w:eastAsia="zh-CN" w:bidi="ar"/>
              </w:rPr>
              <w:t>2、</w:t>
            </w:r>
            <w:r>
              <w:rPr>
                <w:rFonts w:hint="eastAsia" w:ascii="宋体" w:hAnsi="宋体" w:eastAsia="宋体" w:cs="宋体"/>
                <w:kern w:val="0"/>
                <w:sz w:val="24"/>
                <w:szCs w:val="24"/>
                <w:lang w:bidi="ar"/>
              </w:rPr>
              <w:t>投标人具有</w:t>
            </w:r>
            <w:r>
              <w:rPr>
                <w:rFonts w:hint="eastAsia" w:ascii="宋体" w:hAnsi="宋体" w:eastAsia="宋体" w:cs="宋体"/>
                <w:sz w:val="24"/>
                <w:szCs w:val="24"/>
              </w:rPr>
              <w:t>认证范围包含污水处理运营管理服务相符内容的</w:t>
            </w:r>
            <w:r>
              <w:rPr>
                <w:rFonts w:hint="eastAsia" w:ascii="宋体" w:hAnsi="宋体" w:eastAsia="宋体" w:cs="宋体"/>
                <w:kern w:val="0"/>
                <w:sz w:val="24"/>
                <w:szCs w:val="24"/>
                <w:lang w:bidi="ar"/>
              </w:rPr>
              <w:t>售后服务五星评价认证证书的得2分；（0-2分）</w:t>
            </w:r>
          </w:p>
        </w:tc>
        <w:tc>
          <w:tcPr>
            <w:tcW w:w="1054" w:type="dxa"/>
            <w:noWrap w:val="0"/>
            <w:vAlign w:val="center"/>
          </w:tcPr>
          <w:p w14:paraId="20CEDE4F">
            <w:pPr>
              <w:spacing w:line="360" w:lineRule="auto"/>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0-7分</w:t>
            </w:r>
          </w:p>
        </w:tc>
      </w:tr>
      <w:tr w14:paraId="6DBC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74" w:type="dxa"/>
            <w:noWrap w:val="0"/>
            <w:vAlign w:val="center"/>
          </w:tcPr>
          <w:p w14:paraId="7B888BE8">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328" w:type="dxa"/>
            <w:noWrap w:val="0"/>
            <w:vAlign w:val="center"/>
          </w:tcPr>
          <w:p w14:paraId="4314F3D4">
            <w:pPr>
              <w:snapToGri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lang w:bidi="ar"/>
              </w:rPr>
              <w:t>应急预案</w:t>
            </w:r>
          </w:p>
        </w:tc>
        <w:tc>
          <w:tcPr>
            <w:tcW w:w="6723" w:type="dxa"/>
            <w:noWrap w:val="0"/>
            <w:vAlign w:val="center"/>
          </w:tcPr>
          <w:p w14:paraId="2F56A8FB">
            <w:pPr>
              <w:widowControl/>
              <w:spacing w:line="360" w:lineRule="auto"/>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1、投标人针对本项目的突发应急事件（突然停水、停电情况处理、设备故障应急处理、水质超标紧急处理等）的处理预案是否合理、及时有效；（0-4分）</w:t>
            </w:r>
          </w:p>
          <w:p w14:paraId="72A89D6A">
            <w:pPr>
              <w:widowControl/>
              <w:spacing w:line="360" w:lineRule="auto"/>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2、投标单位应急抢险团队在参与突发环境污染事项应急演练中获得过市级及以上行政主管部门表彰的得3分，获得过县级行政主管部门表彰的得1分（0-3分）</w:t>
            </w:r>
          </w:p>
        </w:tc>
        <w:tc>
          <w:tcPr>
            <w:tcW w:w="1054" w:type="dxa"/>
            <w:noWrap w:val="0"/>
            <w:vAlign w:val="center"/>
          </w:tcPr>
          <w:p w14:paraId="663CBE5E">
            <w:pPr>
              <w:spacing w:line="360" w:lineRule="auto"/>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0-7分</w:t>
            </w:r>
          </w:p>
        </w:tc>
      </w:tr>
      <w:tr w14:paraId="0EC22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74" w:type="dxa"/>
            <w:noWrap w:val="0"/>
            <w:vAlign w:val="center"/>
          </w:tcPr>
          <w:p w14:paraId="2F257F1F">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328" w:type="dxa"/>
            <w:noWrap w:val="0"/>
            <w:vAlign w:val="center"/>
          </w:tcPr>
          <w:p w14:paraId="42EA782D">
            <w:pPr>
              <w:pStyle w:val="65"/>
              <w:snapToGrid w:val="0"/>
              <w:spacing w:before="100" w:beforeAutospacing="1" w:line="360" w:lineRule="auto"/>
              <w:jc w:val="center"/>
              <w:rPr>
                <w:rFonts w:hint="eastAsia" w:ascii="宋体" w:hAnsi="宋体" w:eastAsia="宋体" w:cs="宋体"/>
                <w:sz w:val="24"/>
                <w:szCs w:val="24"/>
              </w:rPr>
            </w:pPr>
            <w:r>
              <w:rPr>
                <w:rFonts w:hint="eastAsia" w:ascii="宋体" w:hAnsi="宋体" w:eastAsia="宋体" w:cs="宋体"/>
                <w:kern w:val="0"/>
                <w:sz w:val="24"/>
                <w:szCs w:val="24"/>
                <w:lang w:bidi="ar"/>
              </w:rPr>
              <w:t>维修能力</w:t>
            </w:r>
          </w:p>
        </w:tc>
        <w:tc>
          <w:tcPr>
            <w:tcW w:w="6723" w:type="dxa"/>
            <w:noWrap w:val="0"/>
            <w:vAlign w:val="center"/>
          </w:tcPr>
          <w:p w14:paraId="65371437">
            <w:pPr>
              <w:widowControl/>
              <w:spacing w:line="360" w:lineRule="auto"/>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投标供应商具有的设备维修能力和保障措施，备品备件的配备情况等进行打分；（0-3分）</w:t>
            </w:r>
          </w:p>
        </w:tc>
        <w:tc>
          <w:tcPr>
            <w:tcW w:w="1054" w:type="dxa"/>
            <w:noWrap w:val="0"/>
            <w:vAlign w:val="center"/>
          </w:tcPr>
          <w:p w14:paraId="49544E0E">
            <w:pPr>
              <w:spacing w:line="360" w:lineRule="auto"/>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0-3分</w:t>
            </w:r>
          </w:p>
        </w:tc>
      </w:tr>
      <w:tr w14:paraId="1455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74" w:type="dxa"/>
            <w:noWrap w:val="0"/>
            <w:vAlign w:val="center"/>
          </w:tcPr>
          <w:p w14:paraId="74BE8240">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1328" w:type="dxa"/>
            <w:noWrap w:val="0"/>
            <w:vAlign w:val="center"/>
          </w:tcPr>
          <w:p w14:paraId="04932D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档案管理登记工作方案</w:t>
            </w:r>
          </w:p>
        </w:tc>
        <w:tc>
          <w:tcPr>
            <w:tcW w:w="6723" w:type="dxa"/>
            <w:noWrap w:val="0"/>
            <w:vAlign w:val="center"/>
          </w:tcPr>
          <w:p w14:paraId="56851B50">
            <w:pPr>
              <w:spacing w:line="360" w:lineRule="auto"/>
              <w:rPr>
                <w:rFonts w:hint="eastAsia" w:ascii="宋体" w:hAnsi="宋体" w:eastAsia="宋体" w:cs="宋体"/>
                <w:sz w:val="24"/>
                <w:szCs w:val="24"/>
              </w:rPr>
            </w:pPr>
            <w:r>
              <w:rPr>
                <w:rFonts w:hint="eastAsia" w:ascii="宋体" w:hAnsi="宋体" w:eastAsia="宋体" w:cs="宋体"/>
                <w:sz w:val="24"/>
                <w:szCs w:val="24"/>
              </w:rPr>
              <w:t>根据供应商针对本项目的巡查记录及维修、运行、养护登记记录方案等情况进行综合比较。（0-3</w:t>
            </w:r>
            <w:r>
              <w:rPr>
                <w:rFonts w:hint="eastAsia" w:ascii="宋体" w:hAnsi="宋体" w:eastAsia="宋体" w:cs="宋体"/>
                <w:kern w:val="0"/>
                <w:sz w:val="24"/>
                <w:szCs w:val="24"/>
                <w:lang w:bidi="ar"/>
              </w:rPr>
              <w:t>分</w:t>
            </w:r>
            <w:r>
              <w:rPr>
                <w:rFonts w:hint="eastAsia" w:ascii="宋体" w:hAnsi="宋体" w:eastAsia="宋体" w:cs="宋体"/>
                <w:sz w:val="24"/>
                <w:szCs w:val="24"/>
              </w:rPr>
              <w:t>）</w:t>
            </w:r>
          </w:p>
        </w:tc>
        <w:tc>
          <w:tcPr>
            <w:tcW w:w="1054" w:type="dxa"/>
            <w:noWrap w:val="0"/>
            <w:vAlign w:val="center"/>
          </w:tcPr>
          <w:p w14:paraId="724913CB">
            <w:pPr>
              <w:spacing w:line="360" w:lineRule="auto"/>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0-3分</w:t>
            </w:r>
          </w:p>
        </w:tc>
      </w:tr>
      <w:tr w14:paraId="5B31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74" w:type="dxa"/>
            <w:noWrap w:val="0"/>
            <w:vAlign w:val="center"/>
          </w:tcPr>
          <w:p w14:paraId="62C3C04A">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328" w:type="dxa"/>
            <w:noWrap w:val="0"/>
            <w:vAlign w:val="center"/>
          </w:tcPr>
          <w:p w14:paraId="138B1A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污泥处理方案</w:t>
            </w:r>
          </w:p>
        </w:tc>
        <w:tc>
          <w:tcPr>
            <w:tcW w:w="6723" w:type="dxa"/>
            <w:noWrap w:val="0"/>
            <w:vAlign w:val="center"/>
          </w:tcPr>
          <w:p w14:paraId="47918412">
            <w:pPr>
              <w:widowControl/>
              <w:adjustRightInd/>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根据投标人针对本项目污水运维方案制定的污泥处理场所、设备等措施的合理性、科学性，综合打分。</w:t>
            </w:r>
            <w:r>
              <w:rPr>
                <w:rFonts w:hint="eastAsia" w:ascii="宋体" w:hAnsi="宋体" w:eastAsia="宋体" w:cs="宋体"/>
                <w:sz w:val="24"/>
                <w:szCs w:val="24"/>
              </w:rPr>
              <w:t>（0-5</w:t>
            </w:r>
            <w:r>
              <w:rPr>
                <w:rFonts w:hint="eastAsia" w:ascii="宋体" w:hAnsi="宋体" w:eastAsia="宋体" w:cs="宋体"/>
                <w:kern w:val="0"/>
                <w:sz w:val="24"/>
                <w:szCs w:val="24"/>
                <w:lang w:bidi="ar"/>
              </w:rPr>
              <w:t>分</w:t>
            </w:r>
            <w:r>
              <w:rPr>
                <w:rFonts w:hint="eastAsia" w:ascii="宋体" w:hAnsi="宋体" w:eastAsia="宋体" w:cs="宋体"/>
                <w:sz w:val="24"/>
                <w:szCs w:val="24"/>
              </w:rPr>
              <w:t>）</w:t>
            </w:r>
          </w:p>
        </w:tc>
        <w:tc>
          <w:tcPr>
            <w:tcW w:w="1054" w:type="dxa"/>
            <w:noWrap w:val="0"/>
            <w:vAlign w:val="center"/>
          </w:tcPr>
          <w:p w14:paraId="42D76C44">
            <w:pPr>
              <w:spacing w:line="360" w:lineRule="auto"/>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0-5分</w:t>
            </w:r>
          </w:p>
        </w:tc>
      </w:tr>
      <w:tr w14:paraId="6F27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74" w:type="dxa"/>
            <w:noWrap w:val="0"/>
            <w:vAlign w:val="center"/>
          </w:tcPr>
          <w:p w14:paraId="2A104C52">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1328" w:type="dxa"/>
            <w:noWrap w:val="0"/>
            <w:vAlign w:val="center"/>
          </w:tcPr>
          <w:p w14:paraId="77588581">
            <w:pPr>
              <w:snapToGri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lang w:bidi="ar"/>
              </w:rPr>
              <w:t>合理化建议</w:t>
            </w:r>
          </w:p>
        </w:tc>
        <w:tc>
          <w:tcPr>
            <w:tcW w:w="6723" w:type="dxa"/>
            <w:noWrap w:val="0"/>
            <w:vAlign w:val="center"/>
          </w:tcPr>
          <w:p w14:paraId="31D7B35E">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根据本项目的现状及实际情况，结合污水处理相应规范，针对可能存在的问题与不足，提出合理化建议。</w:t>
            </w:r>
            <w:r>
              <w:rPr>
                <w:rFonts w:hint="eastAsia" w:ascii="宋体" w:hAnsi="宋体" w:eastAsia="宋体" w:cs="宋体"/>
                <w:sz w:val="24"/>
                <w:szCs w:val="24"/>
              </w:rPr>
              <w:t>（0-4</w:t>
            </w:r>
            <w:r>
              <w:rPr>
                <w:rFonts w:hint="eastAsia" w:ascii="宋体" w:hAnsi="宋体" w:eastAsia="宋体" w:cs="宋体"/>
                <w:kern w:val="0"/>
                <w:sz w:val="24"/>
                <w:szCs w:val="24"/>
                <w:lang w:bidi="ar"/>
              </w:rPr>
              <w:t>分</w:t>
            </w:r>
            <w:r>
              <w:rPr>
                <w:rFonts w:hint="eastAsia" w:ascii="宋体" w:hAnsi="宋体" w:eastAsia="宋体" w:cs="宋体"/>
                <w:sz w:val="24"/>
                <w:szCs w:val="24"/>
              </w:rPr>
              <w:t>）</w:t>
            </w:r>
          </w:p>
        </w:tc>
        <w:tc>
          <w:tcPr>
            <w:tcW w:w="1054" w:type="dxa"/>
            <w:noWrap w:val="0"/>
            <w:vAlign w:val="center"/>
          </w:tcPr>
          <w:p w14:paraId="7C1A81FC">
            <w:pPr>
              <w:spacing w:line="360" w:lineRule="auto"/>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0-4分</w:t>
            </w:r>
          </w:p>
        </w:tc>
      </w:tr>
    </w:tbl>
    <w:p w14:paraId="2FF1D694">
      <w:pPr>
        <w:spacing w:line="360" w:lineRule="auto"/>
        <w:ind w:firstLine="482" w:firstLineChars="200"/>
        <w:jc w:val="center"/>
        <w:rPr>
          <w:rFonts w:asciiTheme="minorEastAsia" w:hAnsiTheme="minorEastAsia" w:eastAsiaTheme="minorEastAsia"/>
          <w:b/>
          <w:color w:val="000000" w:themeColor="text1"/>
          <w:sz w:val="24"/>
          <w:lang w:val="zh-CN"/>
          <w14:textFill>
            <w14:solidFill>
              <w14:schemeClr w14:val="tx1"/>
            </w14:solidFill>
          </w14:textFill>
        </w:rPr>
      </w:pPr>
      <w:r>
        <w:rPr>
          <w:rFonts w:hint="eastAsia" w:asciiTheme="minorEastAsia" w:hAnsiTheme="minorEastAsia" w:eastAsiaTheme="minorEastAsia"/>
          <w:b/>
          <w:color w:val="000000" w:themeColor="text1"/>
          <w:sz w:val="24"/>
          <w:lang w:val="zh-CN"/>
          <w14:textFill>
            <w14:solidFill>
              <w14:schemeClr w14:val="tx1"/>
            </w14:solidFill>
          </w14:textFill>
        </w:rPr>
        <w:t>评标办法前附表</w:t>
      </w:r>
    </w:p>
    <w:p w14:paraId="08D10E2C">
      <w:pPr>
        <w:spacing w:line="360" w:lineRule="auto"/>
        <w:ind w:firstLine="482" w:firstLineChars="200"/>
        <w:jc w:val="center"/>
        <w:rPr>
          <w:rFonts w:asciiTheme="minorEastAsia" w:hAnsiTheme="minorEastAsia" w:eastAsiaTheme="minorEastAsia"/>
          <w:b/>
          <w:color w:val="000000" w:themeColor="text1"/>
          <w:sz w:val="24"/>
          <w:lang w:val="zh-CN"/>
          <w14:textFill>
            <w14:solidFill>
              <w14:schemeClr w14:val="tx1"/>
            </w14:solidFill>
          </w14:textFill>
        </w:rPr>
      </w:pPr>
    </w:p>
    <w:p w14:paraId="2A9DF1E4">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备注：</w:t>
      </w:r>
      <w:r>
        <w:rPr>
          <w:rFonts w:hint="eastAsia" w:ascii="宋体" w:hAnsi="宋体" w:cs="宋体"/>
          <w:color w:val="000000" w:themeColor="text1"/>
          <w:sz w:val="24"/>
          <w14:textFill>
            <w14:solidFill>
              <w14:schemeClr w14:val="tx1"/>
            </w14:solidFill>
          </w14:textFill>
        </w:rPr>
        <w:t>投标人编制投标文件（商务技术文件部分）时，建议按此目录（序号和内容）提供评标标准相应的商务技术资料。</w:t>
      </w:r>
    </w:p>
    <w:p w14:paraId="5028D270">
      <w:pPr>
        <w:snapToGrid w:val="0"/>
        <w:spacing w:line="360" w:lineRule="auto"/>
        <w:rPr>
          <w:rFonts w:cs="宋体" w:asciiTheme="minorEastAsia" w:hAnsiTheme="minorEastAsia" w:eastAsiaTheme="minorEastAsia"/>
          <w:b/>
          <w:sz w:val="28"/>
          <w:szCs w:val="28"/>
        </w:rPr>
      </w:pPr>
      <w:r>
        <w:rPr>
          <w:rFonts w:hint="eastAsia" w:cs="宋体" w:asciiTheme="minorEastAsia" w:hAnsiTheme="minorEastAsia" w:eastAsiaTheme="minorEastAsia"/>
          <w:b/>
          <w:sz w:val="32"/>
        </w:rPr>
        <w:t>一、评标方法</w:t>
      </w:r>
    </w:p>
    <w:p w14:paraId="7266B5FF">
      <w:pPr>
        <w:adjustRightInd/>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1.本项目采用综合评分法。</w:t>
      </w:r>
      <w:r>
        <w:rPr>
          <w:rFonts w:hint="eastAsia" w:cs="宋体" w:asciiTheme="minorEastAsia" w:hAnsiTheme="minorEastAsia" w:eastAsiaTheme="minorEastAsia"/>
          <w:kern w:val="0"/>
          <w:sz w:val="24"/>
        </w:rPr>
        <w:t>综合评分法，是指投标文件满足招标文件全部实质性要求，且按照评审因素的量化指标评审得分最高的投标人为中标候选人的评标方法。</w:t>
      </w:r>
    </w:p>
    <w:p w14:paraId="6640E2E0">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b/>
          <w:sz w:val="32"/>
        </w:rPr>
        <w:t>二、评标标准</w:t>
      </w:r>
    </w:p>
    <w:p w14:paraId="0103BFBD">
      <w:pPr>
        <w:spacing w:line="360"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2.评标标准：</w:t>
      </w:r>
      <w:r>
        <w:rPr>
          <w:rFonts w:hint="eastAsia" w:cs="宋体" w:asciiTheme="minorEastAsia" w:hAnsiTheme="minorEastAsia" w:eastAsiaTheme="minorEastAsia"/>
          <w:kern w:val="0"/>
          <w:sz w:val="24"/>
        </w:rPr>
        <w:t>评标办法前附表。</w:t>
      </w:r>
    </w:p>
    <w:p w14:paraId="11FA4BB1">
      <w:pPr>
        <w:snapToGrid w:val="0"/>
        <w:spacing w:line="360" w:lineRule="auto"/>
        <w:rPr>
          <w:rFonts w:cs="宋体" w:asciiTheme="minorEastAsia" w:hAnsiTheme="minorEastAsia" w:eastAsiaTheme="minorEastAsia"/>
          <w:b/>
          <w:sz w:val="32"/>
        </w:rPr>
      </w:pPr>
      <w:r>
        <w:rPr>
          <w:rFonts w:hint="eastAsia" w:cs="宋体" w:asciiTheme="minorEastAsia" w:hAnsiTheme="minorEastAsia" w:eastAsiaTheme="minorEastAsia"/>
          <w:b/>
          <w:sz w:val="32"/>
        </w:rPr>
        <w:t>三、评标程序</w:t>
      </w:r>
    </w:p>
    <w:p w14:paraId="29810B37">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3.1符合性审查。</w:t>
      </w:r>
      <w:r>
        <w:rPr>
          <w:rFonts w:hint="eastAsia" w:cs="宋体" w:asciiTheme="minorEastAsia" w:hAnsiTheme="minorEastAsia" w:eastAsiaTheme="minorEastAsia"/>
          <w:kern w:val="0"/>
          <w:sz w:val="24"/>
        </w:rPr>
        <w:t>评标委员会应当对符合资格的投标人的投标文件进行符合性审查，以确定其是否满足招标文件的实质性要求。不满足招标文件的实质性要求的，投标无效。</w:t>
      </w:r>
    </w:p>
    <w:p w14:paraId="70A0266C">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3.2 比较与评价。</w:t>
      </w:r>
      <w:r>
        <w:rPr>
          <w:rFonts w:hint="eastAsia" w:cs="宋体" w:asciiTheme="minorEastAsia" w:hAnsiTheme="minorEastAsia" w:eastAsiaTheme="minorEastAsia"/>
          <w:kern w:val="0"/>
          <w:sz w:val="24"/>
        </w:rPr>
        <w:t>评标委员会应当按照招标文件中规定的评标方法和标准，对符合性审查合格的投标文件进行商务和技术评估，综合比较与评价。</w:t>
      </w:r>
    </w:p>
    <w:p w14:paraId="2FC7230C">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3.3汇总商务技术得分。</w:t>
      </w:r>
      <w:r>
        <w:rPr>
          <w:rFonts w:hint="eastAsia" w:cs="宋体" w:asciiTheme="minorEastAsia" w:hAnsiTheme="minorEastAsia" w:eastAsiaTheme="minorEastAsia"/>
          <w:kern w:val="0"/>
          <w:sz w:val="24"/>
        </w:rPr>
        <w:t>评标委员会各成员应当独立对每个投标人的商务技术文件进行评价，并汇总商务技术得分情况。</w:t>
      </w:r>
    </w:p>
    <w:p w14:paraId="7920D1DF">
      <w:pPr>
        <w:spacing w:line="360" w:lineRule="auto"/>
        <w:ind w:firstLine="472" w:firstLineChars="196"/>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3.4报价评审。</w:t>
      </w:r>
    </w:p>
    <w:p w14:paraId="3016CF7D">
      <w:pPr>
        <w:pStyle w:val="87"/>
        <w:spacing w:before="0"/>
        <w:ind w:firstLine="508" w:firstLineChars="212"/>
        <w:rPr>
          <w:rFonts w:cs="宋体" w:asciiTheme="minorEastAsia" w:hAnsiTheme="minorEastAsia" w:eastAsiaTheme="minorEastAsia"/>
          <w:kern w:val="0"/>
        </w:rPr>
      </w:pPr>
      <w:r>
        <w:rPr>
          <w:rFonts w:hint="eastAsia" w:cs="宋体" w:asciiTheme="minorEastAsia" w:hAnsiTheme="minorEastAsia" w:eastAsiaTheme="minorEastAsia"/>
          <w:kern w:val="0"/>
        </w:rPr>
        <w:t>3.4.1投标文件报价出现前后不一致的，按照下列规定修正：</w:t>
      </w:r>
    </w:p>
    <w:p w14:paraId="052A00A8">
      <w:pPr>
        <w:pStyle w:val="87"/>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3.4.1.1投标文件中开标一览表(报价表)内容与投标文件中相应内容不一致的，以开标一览表(报价表)为准;</w:t>
      </w:r>
    </w:p>
    <w:p w14:paraId="1C6DE572">
      <w:pPr>
        <w:pStyle w:val="87"/>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3.4.1.2大写金额和小写金额不一致的，以大写金额为准;</w:t>
      </w:r>
    </w:p>
    <w:p w14:paraId="69A3D1EB">
      <w:pPr>
        <w:pStyle w:val="87"/>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3.4.1.3单价金额小数点或者百分比有明显错位的，以开标一览表的总价为准，并修改单价;</w:t>
      </w:r>
    </w:p>
    <w:p w14:paraId="638DFD55">
      <w:pPr>
        <w:pStyle w:val="87"/>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3.4.1.4总价金额与按单价汇总金额不一致的，以单价金额计算结果为准。</w:t>
      </w:r>
    </w:p>
    <w:p w14:paraId="51708465">
      <w:pPr>
        <w:pStyle w:val="87"/>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366822E">
      <w:pPr>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3.4.2投标文件出现不是唯一的、有选择性投标报价的，投标无效。</w:t>
      </w:r>
    </w:p>
    <w:p w14:paraId="2A60DB46">
      <w:pPr>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3.4.3投标报价超过招标文件中规定的预算金额或者最高限价的，投标无效。</w:t>
      </w:r>
    </w:p>
    <w:p w14:paraId="6E577A5E">
      <w:pPr>
        <w:pStyle w:val="87"/>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FF09BC5">
      <w:pPr>
        <w:pStyle w:val="87"/>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B468106">
      <w:pPr>
        <w:spacing w:line="360"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3.5排序与推荐。</w:t>
      </w:r>
      <w:r>
        <w:rPr>
          <w:rFonts w:hint="eastAsia" w:cs="宋体" w:asciiTheme="minorEastAsia" w:hAnsiTheme="minorEastAsia"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F0FAF98">
      <w:pPr>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D85B73E">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3.6编写评标报告。</w:t>
      </w:r>
      <w:r>
        <w:rPr>
          <w:rFonts w:hint="eastAsia" w:cs="宋体" w:asciiTheme="minorEastAsia" w:hAnsiTheme="minorEastAsia" w:eastAsia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4E8B146">
      <w:pPr>
        <w:snapToGrid w:val="0"/>
        <w:spacing w:line="360" w:lineRule="auto"/>
        <w:rPr>
          <w:rFonts w:cs="宋体" w:asciiTheme="minorEastAsia" w:hAnsiTheme="minorEastAsia" w:eastAsiaTheme="minorEastAsia"/>
          <w:b/>
          <w:sz w:val="32"/>
        </w:rPr>
      </w:pPr>
      <w:r>
        <w:rPr>
          <w:rFonts w:hint="eastAsia" w:cs="宋体" w:asciiTheme="minorEastAsia" w:hAnsiTheme="minorEastAsia" w:eastAsiaTheme="minorEastAsia"/>
          <w:b/>
          <w:sz w:val="32"/>
        </w:rPr>
        <w:t>四、评标中的其他事项</w:t>
      </w:r>
    </w:p>
    <w:p w14:paraId="138C8B3F">
      <w:pPr>
        <w:pStyle w:val="87"/>
        <w:spacing w:before="0"/>
        <w:ind w:firstLine="472" w:firstLineChars="196"/>
        <w:rPr>
          <w:rFonts w:cs="宋体" w:asciiTheme="minorEastAsia" w:hAnsiTheme="minorEastAsia" w:eastAsiaTheme="minorEastAsia"/>
          <w:kern w:val="0"/>
          <w:szCs w:val="24"/>
        </w:rPr>
      </w:pPr>
      <w:r>
        <w:rPr>
          <w:rFonts w:hint="eastAsia" w:cs="宋体" w:asciiTheme="minorEastAsia" w:hAnsiTheme="minorEastAsia" w:eastAsiaTheme="minorEastAsia"/>
          <w:b/>
          <w:kern w:val="0"/>
          <w:szCs w:val="24"/>
        </w:rPr>
        <w:t>4.1投标人澄清、说明或者补正。</w:t>
      </w:r>
      <w:r>
        <w:rPr>
          <w:rFonts w:hint="eastAsia" w:cs="宋体" w:asciiTheme="minorEastAsia" w:hAnsiTheme="minorEastAsia"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B5FD82E">
      <w:pPr>
        <w:pStyle w:val="38"/>
        <w:spacing w:line="360" w:lineRule="auto"/>
        <w:ind w:left="954" w:leftChars="226" w:hanging="479" w:firstLineChars="0"/>
        <w:rPr>
          <w:rFonts w:cs="宋体" w:asciiTheme="minorEastAsia" w:hAnsiTheme="minorEastAsia" w:eastAsiaTheme="minorEastAsia"/>
          <w:szCs w:val="21"/>
        </w:rPr>
      </w:pPr>
      <w:r>
        <w:rPr>
          <w:rFonts w:hint="eastAsia" w:cs="宋体" w:asciiTheme="minorEastAsia" w:hAnsiTheme="minorEastAsia" w:eastAsiaTheme="minorEastAsia"/>
          <w:b/>
          <w:kern w:val="0"/>
        </w:rPr>
        <w:t>4.2投标无效。</w:t>
      </w:r>
      <w:r>
        <w:rPr>
          <w:rFonts w:hint="eastAsia" w:cs="宋体" w:asciiTheme="minorEastAsia" w:hAnsiTheme="minorEastAsia" w:eastAsiaTheme="minorEastAsia"/>
          <w:szCs w:val="21"/>
        </w:rPr>
        <w:t>有下列情况之一的，投标无效：</w:t>
      </w:r>
    </w:p>
    <w:p w14:paraId="67EAE2FA">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4.2.1投标人不具备招标文件中规定的资格要求的（投标人未提供有效的资格文件的，视为投标人不具备招标文件中规定的资格要求）；</w:t>
      </w:r>
    </w:p>
    <w:p w14:paraId="0F63358D">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4.2.2投标文件未按照招标文件要求签署、盖章的；</w:t>
      </w:r>
    </w:p>
    <w:p w14:paraId="4B9336DA">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4.2.3采购人拟采购的产品属于政府强制采购的节能产品品目清单范围的，投标人未按招标文件要求提供国家确定的认证机构出具的、处于有效期之内的节能产品认证证书的；</w:t>
      </w:r>
    </w:p>
    <w:p w14:paraId="74CECB78">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4.2.4投标文件含有采购人不能接受的附加条件的；</w:t>
      </w:r>
    </w:p>
    <w:p w14:paraId="179BE914">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4.2.5投标文件中承诺的投标有效期少于招标文件中载明的投标有效期的；</w:t>
      </w:r>
    </w:p>
    <w:p w14:paraId="0429A574">
      <w:pPr>
        <w:snapToGrid w:val="0"/>
        <w:spacing w:line="360" w:lineRule="auto"/>
        <w:ind w:firstLine="120" w:firstLineChars="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4.2.6投标文件出现不是唯一的、有选择性投标报价的;</w:t>
      </w:r>
    </w:p>
    <w:p w14:paraId="7B643744">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4.2.7投标报价超过招标文件中规定的预算金额或者最高限价的;</w:t>
      </w:r>
    </w:p>
    <w:p w14:paraId="177A1841">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14:paraId="59D739F1">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4.2.9投标人对根据修正原则修正后的报价不确认的；</w:t>
      </w:r>
    </w:p>
    <w:p w14:paraId="6D75095D">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4.2.10投标人提供虚假材料投标的；</w:t>
      </w:r>
    </w:p>
    <w:p w14:paraId="3EC152CE">
      <w:pPr>
        <w:spacing w:line="360" w:lineRule="auto"/>
        <w:ind w:firstLine="240" w:firstLineChars="1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4.2.11投标人有恶意串通、妨碍其他投标人的竞争行为、损害采购人或者其他投标人的合法权益情形的；</w:t>
      </w:r>
    </w:p>
    <w:p w14:paraId="26E50D9E">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4.2.12投标人仅提交备份投标文件，没有在电子交易平台传输递交投标文件的，投标无效；</w:t>
      </w:r>
    </w:p>
    <w:p w14:paraId="3F42B73B">
      <w:pPr>
        <w:pStyle w:val="4"/>
        <w:ind w:left="862" w:leftChars="205"/>
        <w:rPr>
          <w:rFonts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b w:val="0"/>
          <w:bCs w:val="0"/>
          <w:kern w:val="0"/>
          <w:sz w:val="24"/>
          <w:szCs w:val="24"/>
          <w:lang w:val="en-US"/>
        </w:rPr>
        <w:t>4.2.13 投标文件不满足招标文件的其它实质性要求的；</w:t>
      </w:r>
    </w:p>
    <w:p w14:paraId="27B1A57D">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4.2.14法律、法规、规章（适用本市的）及省级以上规范性文件（适用本市的）规定的其他无效情形。</w:t>
      </w:r>
    </w:p>
    <w:p w14:paraId="38E4EFC6">
      <w:pPr>
        <w:pStyle w:val="38"/>
        <w:snapToGrid w:val="0"/>
        <w:spacing w:line="360" w:lineRule="auto"/>
        <w:ind w:firstLine="472" w:firstLineChars="196"/>
        <w:rPr>
          <w:rFonts w:cs="宋体" w:asciiTheme="minorEastAsia" w:hAnsiTheme="minorEastAsia" w:eastAsiaTheme="minorEastAsia"/>
        </w:rPr>
      </w:pPr>
      <w:r>
        <w:rPr>
          <w:rFonts w:hint="eastAsia" w:cs="宋体" w:asciiTheme="minorEastAsia" w:hAnsiTheme="minorEastAsia" w:eastAsiaTheme="minorEastAsia"/>
          <w:b/>
        </w:rPr>
        <w:t>5.废标。</w:t>
      </w:r>
      <w:r>
        <w:rPr>
          <w:rFonts w:hint="eastAsia" w:cs="宋体" w:asciiTheme="minorEastAsia" w:hAnsiTheme="minorEastAsia" w:eastAsiaTheme="minorEastAsia"/>
        </w:rPr>
        <w:t>根据《中华人民共和国政府采购法》第三十六条之规定，在采购中，出现下列情形之一的，应予废标：</w:t>
      </w:r>
    </w:p>
    <w:p w14:paraId="17A26E07">
      <w:pPr>
        <w:pStyle w:val="38"/>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5.1符合专业条件的供应商或者对招标文件作实质响应的供应商不足3家的；</w:t>
      </w:r>
    </w:p>
    <w:p w14:paraId="17BBC19A">
      <w:pPr>
        <w:pStyle w:val="38"/>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5.2出现影响采购公正的违法、违规行为的；</w:t>
      </w:r>
    </w:p>
    <w:p w14:paraId="6532E23E">
      <w:pPr>
        <w:pStyle w:val="38"/>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5.3投标人的报价均超过了采购预算，采购人不能支付的；</w:t>
      </w:r>
    </w:p>
    <w:p w14:paraId="1963F55B">
      <w:pPr>
        <w:pStyle w:val="38"/>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5.4因重大变故，采购任务取消的。</w:t>
      </w:r>
    </w:p>
    <w:p w14:paraId="16261216">
      <w:pPr>
        <w:pStyle w:val="38"/>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废标后，采购机构应当将废标理由通知所有投标人。</w:t>
      </w:r>
    </w:p>
    <w:p w14:paraId="3ADCDBCC">
      <w:pPr>
        <w:pStyle w:val="38"/>
        <w:snapToGrid w:val="0"/>
        <w:spacing w:line="360" w:lineRule="auto"/>
        <w:ind w:firstLine="590" w:firstLineChars="245"/>
        <w:rPr>
          <w:rFonts w:cs="宋体" w:asciiTheme="minorEastAsia" w:hAnsiTheme="minorEastAsia" w:eastAsiaTheme="minorEastAsia"/>
        </w:rPr>
      </w:pPr>
      <w:r>
        <w:rPr>
          <w:rFonts w:hint="eastAsia" w:cs="宋体" w:asciiTheme="minorEastAsia" w:hAnsiTheme="minorEastAsia" w:eastAsiaTheme="minorEastAsia"/>
          <w:b/>
        </w:rPr>
        <w:t>6.修改招标文件，重新组织采购活动。</w:t>
      </w:r>
      <w:r>
        <w:rPr>
          <w:rFonts w:hint="eastAsia" w:cs="宋体" w:asciiTheme="minorEastAsia" w:hAnsiTheme="minorEastAsia" w:eastAsiaTheme="minor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94E87DE">
      <w:pPr>
        <w:pStyle w:val="38"/>
        <w:snapToGrid w:val="0"/>
        <w:spacing w:line="360" w:lineRule="auto"/>
        <w:ind w:firstLine="590" w:firstLineChars="245"/>
        <w:rPr>
          <w:rFonts w:cs="宋体" w:asciiTheme="minorEastAsia" w:hAnsiTheme="minorEastAsia" w:eastAsiaTheme="minorEastAsia"/>
        </w:rPr>
      </w:pPr>
      <w:r>
        <w:rPr>
          <w:rFonts w:hint="eastAsia" w:cs="宋体" w:asciiTheme="minorEastAsia" w:hAnsiTheme="minorEastAsia" w:eastAsiaTheme="minorEastAsia"/>
          <w:b/>
          <w:kern w:val="0"/>
        </w:rPr>
        <w:t>7.重新开展采购。</w:t>
      </w:r>
      <w:r>
        <w:rPr>
          <w:rFonts w:hint="eastAsia" w:cs="宋体" w:asciiTheme="minorEastAsia" w:hAnsiTheme="minorEastAsia" w:eastAsiaTheme="minorEastAsia"/>
        </w:rPr>
        <w:t>有政府采购法第七十一条、第七十二条规定的违法行为之一，影响或者可能影响中标、成交结果的，依照下列规定处理：</w:t>
      </w:r>
    </w:p>
    <w:p w14:paraId="24100FF6">
      <w:pPr>
        <w:pStyle w:val="38"/>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7.1未确定中标或者中标人的，终止本次政府采购活动，重新开展政府采购活动。</w:t>
      </w:r>
    </w:p>
    <w:p w14:paraId="7E8A83C9">
      <w:pPr>
        <w:pStyle w:val="38"/>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7.2已确定中标或者中标人但尚未签订政府采购合同的，中标或者成交结果无效，从合格的中标或者成交候选人中另行确定中标或者中标人；没有合格的中标或者成交候选人的，重新开展政府采购活动。</w:t>
      </w:r>
    </w:p>
    <w:p w14:paraId="04D19298">
      <w:pPr>
        <w:pStyle w:val="38"/>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7.3政府采购合同已签订但尚未履行的，撤销合同，从合格的中标或者成交候选人中另行确定中标或者中标人；没有合格的中标或者成交候选人的，重新开展政府采购活动。</w:t>
      </w:r>
    </w:p>
    <w:p w14:paraId="22525A5C">
      <w:pPr>
        <w:pStyle w:val="38"/>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7.4政府采购合同已经履行，给采购人、供应商造成损失的，由责任人承担赔偿责任。</w:t>
      </w:r>
    </w:p>
    <w:p w14:paraId="21A547D4">
      <w:pPr>
        <w:pStyle w:val="38"/>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7.5政府采购当事人有其他违反政府采购法</w:t>
      </w:r>
      <w:r>
        <w:rPr>
          <w:rFonts w:hint="eastAsia" w:cs="宋体" w:asciiTheme="minorEastAsia" w:hAnsiTheme="minorEastAsia" w:eastAsiaTheme="minorEastAsia"/>
          <w:kern w:val="0"/>
        </w:rPr>
        <w:t>或者政府采购法实施条例等法律法规规定</w:t>
      </w:r>
      <w:r>
        <w:rPr>
          <w:rFonts w:hint="eastAsia" w:cs="宋体" w:asciiTheme="minorEastAsia" w:hAnsiTheme="minorEastAsia" w:eastAsiaTheme="minorEastAsia"/>
        </w:rPr>
        <w:t>的行为，经改正后仍然影响或者可能影响中标、成交结果或者依法被认定为中标、成交无效的，依照7.1-7.4规定处理。</w:t>
      </w:r>
      <w:bookmarkEnd w:id="20"/>
    </w:p>
    <w:p w14:paraId="52D42E74">
      <w:pPr>
        <w:spacing w:line="360" w:lineRule="auto"/>
        <w:jc w:val="center"/>
        <w:outlineLvl w:val="0"/>
        <w:rPr>
          <w:rFonts w:cs="宋体" w:asciiTheme="minorEastAsia" w:hAnsiTheme="minorEastAsia" w:eastAsiaTheme="minorEastAsia"/>
          <w:b/>
          <w:sz w:val="36"/>
          <w:szCs w:val="36"/>
        </w:rPr>
        <w:sectPr>
          <w:pgSz w:w="11907" w:h="16840"/>
          <w:pgMar w:top="1440" w:right="1417" w:bottom="1440" w:left="1417" w:header="851" w:footer="850" w:gutter="0"/>
          <w:cols w:space="0" w:num="1"/>
        </w:sectPr>
      </w:pPr>
      <w:bookmarkStart w:id="396" w:name="第五部分"/>
      <w:bookmarkStart w:id="397" w:name="_Toc86217003"/>
    </w:p>
    <w:p w14:paraId="6CF7CD6D">
      <w:pPr>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第五部分 拟签订的合同文本</w:t>
      </w:r>
    </w:p>
    <w:p w14:paraId="4D88C3F5">
      <w:pPr>
        <w:spacing w:line="360" w:lineRule="auto"/>
        <w:jc w:val="center"/>
        <w:outlineLvl w:val="0"/>
        <w:rPr>
          <w:rFonts w:cs="FangSong_GB2312" w:asciiTheme="minorEastAsia" w:hAnsiTheme="minorEastAsia" w:eastAsiaTheme="minorEastAsia"/>
          <w:b/>
          <w:sz w:val="36"/>
          <w:szCs w:val="36"/>
        </w:rPr>
      </w:pPr>
      <w:r>
        <w:rPr>
          <w:rFonts w:hint="eastAsia" w:cs="FangSong_GB2312" w:asciiTheme="minorEastAsia" w:hAnsiTheme="minorEastAsia" w:eastAsiaTheme="minorEastAsia"/>
          <w:b/>
          <w:sz w:val="36"/>
          <w:szCs w:val="36"/>
        </w:rPr>
        <w:t>（仅供参考，具体以合同签订为准）</w:t>
      </w:r>
    </w:p>
    <w:p w14:paraId="3733C12F">
      <w:pPr>
        <w:spacing w:line="480" w:lineRule="auto"/>
        <w:rPr>
          <w:rFonts w:cs="宋体" w:asciiTheme="minorEastAsia" w:hAnsiTheme="minorEastAsia" w:eastAsiaTheme="minorEastAsia"/>
          <w:b/>
          <w:sz w:val="24"/>
        </w:rPr>
      </w:pPr>
    </w:p>
    <w:p w14:paraId="57397EA6">
      <w:pPr>
        <w:spacing w:line="480" w:lineRule="auto"/>
        <w:jc w:val="center"/>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政府采购合同参考范本</w:t>
      </w:r>
    </w:p>
    <w:p w14:paraId="54E777C1">
      <w:pPr>
        <w:spacing w:line="480" w:lineRule="auto"/>
        <w:jc w:val="center"/>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（服务类）</w:t>
      </w:r>
    </w:p>
    <w:p w14:paraId="48CE8F98">
      <w:pPr>
        <w:pStyle w:val="703"/>
        <w:rPr>
          <w:rFonts w:cs="宋体" w:asciiTheme="minorEastAsia" w:hAnsiTheme="minorEastAsia" w:eastAsiaTheme="minorEastAsia"/>
          <w:szCs w:val="24"/>
        </w:rPr>
      </w:pPr>
    </w:p>
    <w:p w14:paraId="02D1F0B8">
      <w:pPr>
        <w:pStyle w:val="703"/>
        <w:ind w:left="0" w:leftChars="0" w:firstLine="0" w:firstLineChars="0"/>
        <w:rPr>
          <w:rFonts w:cs="宋体" w:asciiTheme="minorEastAsia" w:hAnsiTheme="minorEastAsia" w:eastAsiaTheme="minorEastAsia"/>
          <w:szCs w:val="24"/>
        </w:rPr>
      </w:pPr>
    </w:p>
    <w:p w14:paraId="167800D9">
      <w:pPr>
        <w:pStyle w:val="703"/>
        <w:ind w:firstLine="2843" w:firstLineChars="1180"/>
        <w:rPr>
          <w:rFonts w:cs="宋体" w:asciiTheme="minorEastAsia" w:hAnsiTheme="minorEastAsia" w:eastAsiaTheme="minorEastAsia"/>
          <w:b/>
          <w:szCs w:val="24"/>
        </w:rPr>
      </w:pPr>
      <w:r>
        <w:rPr>
          <w:rFonts w:hint="eastAsia" w:cs="宋体" w:asciiTheme="minorEastAsia" w:hAnsiTheme="minorEastAsia" w:eastAsiaTheme="minorEastAsia"/>
          <w:b/>
          <w:szCs w:val="24"/>
        </w:rPr>
        <w:t>第一部分 合同书</w:t>
      </w:r>
    </w:p>
    <w:p w14:paraId="3782132E">
      <w:pPr>
        <w:pStyle w:val="703"/>
        <w:rPr>
          <w:rFonts w:cs="宋体" w:asciiTheme="minorEastAsia" w:hAnsiTheme="minorEastAsia" w:eastAsiaTheme="minorEastAsia"/>
          <w:szCs w:val="24"/>
        </w:rPr>
      </w:pPr>
    </w:p>
    <w:p w14:paraId="22CE9B92">
      <w:pPr>
        <w:pStyle w:val="703"/>
        <w:rPr>
          <w:rFonts w:cs="宋体" w:asciiTheme="minorEastAsia" w:hAnsiTheme="minorEastAsia" w:eastAsiaTheme="minorEastAsia"/>
          <w:szCs w:val="24"/>
        </w:rPr>
      </w:pPr>
    </w:p>
    <w:p w14:paraId="1F07848B">
      <w:pPr>
        <w:spacing w:before="120" w:line="22" w:lineRule="atLeast"/>
        <w:rPr>
          <w:rFonts w:cs="宋体" w:asciiTheme="minorEastAsia" w:hAnsiTheme="minorEastAsia" w:eastAsiaTheme="minorEastAsia"/>
          <w:sz w:val="24"/>
        </w:rPr>
      </w:pPr>
    </w:p>
    <w:p w14:paraId="1C220A2B">
      <w:pPr>
        <w:spacing w:before="120" w:line="22" w:lineRule="atLeast"/>
        <w:ind w:left="960"/>
        <w:rPr>
          <w:rFonts w:cs="宋体" w:asciiTheme="minorEastAsia" w:hAnsiTheme="minorEastAsia" w:eastAsiaTheme="minorEastAsia"/>
          <w:sz w:val="24"/>
        </w:rPr>
      </w:pPr>
      <w:r>
        <w:rPr>
          <w:rFonts w:hint="eastAsia" w:cs="宋体" w:asciiTheme="minorEastAsia" w:hAnsiTheme="minorEastAsia" w:eastAsiaTheme="minorEastAsia"/>
          <w:sz w:val="24"/>
        </w:rPr>
        <w:t>项目名称：</w:t>
      </w:r>
    </w:p>
    <w:p w14:paraId="064BFD7A">
      <w:pPr>
        <w:pStyle w:val="600"/>
        <w:spacing w:before="120" w:line="22" w:lineRule="atLeast"/>
        <w:rPr>
          <w:rFonts w:cs="宋体" w:asciiTheme="minorEastAsia" w:hAnsiTheme="minorEastAsia" w:eastAsiaTheme="minorEastAsia"/>
          <w:szCs w:val="24"/>
        </w:rPr>
      </w:pPr>
    </w:p>
    <w:p w14:paraId="60B58884">
      <w:pPr>
        <w:pStyle w:val="600"/>
        <w:spacing w:before="120" w:line="22" w:lineRule="atLeast"/>
        <w:rPr>
          <w:rFonts w:cs="宋体" w:asciiTheme="minorEastAsia" w:hAnsiTheme="minorEastAsia" w:eastAsiaTheme="minorEastAsia"/>
          <w:szCs w:val="24"/>
        </w:rPr>
      </w:pPr>
    </w:p>
    <w:p w14:paraId="003010A6">
      <w:pPr>
        <w:rPr>
          <w:rFonts w:cs="宋体" w:asciiTheme="minorEastAsia" w:hAnsiTheme="minorEastAsia" w:eastAsiaTheme="minorEastAsia"/>
          <w:sz w:val="24"/>
        </w:rPr>
      </w:pPr>
    </w:p>
    <w:p w14:paraId="76471264">
      <w:pPr>
        <w:spacing w:before="120" w:line="22" w:lineRule="atLeast"/>
        <w:ind w:left="960"/>
        <w:rPr>
          <w:rFonts w:cs="宋体" w:asciiTheme="minorEastAsia" w:hAnsiTheme="minorEastAsia" w:eastAsiaTheme="minorEastAsia"/>
          <w:sz w:val="24"/>
          <w:u w:val="single"/>
        </w:rPr>
      </w:pPr>
      <w:r>
        <w:rPr>
          <w:rFonts w:hint="eastAsia" w:cs="宋体" w:asciiTheme="minorEastAsia" w:hAnsiTheme="minorEastAsia" w:eastAsiaTheme="minorEastAsia"/>
          <w:sz w:val="24"/>
        </w:rPr>
        <w:t>甲方：</w:t>
      </w:r>
    </w:p>
    <w:p w14:paraId="6AD10795">
      <w:pPr>
        <w:spacing w:before="120" w:line="22" w:lineRule="atLeast"/>
        <w:rPr>
          <w:rFonts w:cs="宋体" w:asciiTheme="minorEastAsia" w:hAnsiTheme="minorEastAsia" w:eastAsiaTheme="minorEastAsia"/>
          <w:sz w:val="24"/>
        </w:rPr>
      </w:pPr>
    </w:p>
    <w:p w14:paraId="36F78765">
      <w:pPr>
        <w:spacing w:before="120" w:line="22" w:lineRule="atLeast"/>
        <w:ind w:left="960"/>
        <w:rPr>
          <w:rFonts w:cs="宋体" w:asciiTheme="minorEastAsia" w:hAnsiTheme="minorEastAsia" w:eastAsiaTheme="minorEastAsia"/>
          <w:sz w:val="24"/>
          <w:u w:val="single"/>
        </w:rPr>
      </w:pPr>
      <w:r>
        <w:rPr>
          <w:rFonts w:hint="eastAsia" w:cs="宋体" w:asciiTheme="minorEastAsia" w:hAnsiTheme="minorEastAsia" w:eastAsiaTheme="minorEastAsia"/>
          <w:sz w:val="24"/>
        </w:rPr>
        <w:t>乙方：</w:t>
      </w:r>
    </w:p>
    <w:p w14:paraId="24B1587C">
      <w:pPr>
        <w:spacing w:before="120" w:line="22" w:lineRule="atLeast"/>
        <w:rPr>
          <w:rFonts w:cs="宋体" w:asciiTheme="minorEastAsia" w:hAnsiTheme="minorEastAsia" w:eastAsiaTheme="minorEastAsia"/>
          <w:sz w:val="24"/>
        </w:rPr>
      </w:pPr>
    </w:p>
    <w:p w14:paraId="7B36CB77">
      <w:pPr>
        <w:spacing w:before="120" w:line="22" w:lineRule="atLeast"/>
        <w:ind w:firstLine="960" w:firstLineChars="400"/>
        <w:rPr>
          <w:rFonts w:cs="宋体" w:asciiTheme="minorEastAsia" w:hAnsiTheme="minorEastAsia" w:eastAsiaTheme="minorEastAsia"/>
          <w:sz w:val="24"/>
          <w:u w:val="single"/>
        </w:rPr>
      </w:pPr>
      <w:r>
        <w:rPr>
          <w:rFonts w:hint="eastAsia" w:cs="宋体" w:asciiTheme="minorEastAsia" w:hAnsiTheme="minorEastAsia" w:eastAsiaTheme="minorEastAsia"/>
          <w:sz w:val="24"/>
        </w:rPr>
        <w:t>签订地：</w:t>
      </w:r>
    </w:p>
    <w:p w14:paraId="2272AFDB">
      <w:pPr>
        <w:spacing w:before="120" w:line="22" w:lineRule="atLeast"/>
        <w:rPr>
          <w:rFonts w:cs="宋体" w:asciiTheme="minorEastAsia" w:hAnsiTheme="minorEastAsia" w:eastAsiaTheme="minorEastAsia"/>
          <w:sz w:val="24"/>
        </w:rPr>
      </w:pPr>
    </w:p>
    <w:p w14:paraId="0087F682">
      <w:pPr>
        <w:spacing w:before="120" w:line="22" w:lineRule="atLeast"/>
        <w:ind w:firstLine="960" w:firstLineChars="400"/>
        <w:rPr>
          <w:rFonts w:cs="宋体" w:asciiTheme="minorEastAsia" w:hAnsiTheme="minorEastAsia" w:eastAsiaTheme="minorEastAsia"/>
          <w:sz w:val="24"/>
          <w:u w:val="single"/>
        </w:rPr>
      </w:pPr>
      <w:r>
        <w:rPr>
          <w:rFonts w:hint="eastAsia" w:cs="宋体" w:asciiTheme="minorEastAsia" w:hAnsiTheme="minorEastAsia" w:eastAsiaTheme="minorEastAsia"/>
          <w:sz w:val="24"/>
        </w:rPr>
        <w:t>签订日期：年月日</w:t>
      </w:r>
    </w:p>
    <w:p w14:paraId="37747454">
      <w:pPr>
        <w:widowControl/>
        <w:jc w:val="left"/>
        <w:rPr>
          <w:rFonts w:cs="宋体" w:asciiTheme="minorEastAsia" w:hAnsiTheme="minorEastAsia" w:eastAsiaTheme="minorEastAsia"/>
          <w:kern w:val="0"/>
          <w:sz w:val="24"/>
        </w:rPr>
        <w:sectPr>
          <w:pgSz w:w="11907" w:h="16840"/>
          <w:pgMar w:top="1440" w:right="1417" w:bottom="1440" w:left="1417" w:header="851" w:footer="850" w:gutter="0"/>
          <w:cols w:space="0" w:num="1"/>
        </w:sectPr>
      </w:pPr>
    </w:p>
    <w:p w14:paraId="73954995">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zh-CN"/>
        </w:rPr>
        <w:t>年月日</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（采购人）   </w:t>
      </w:r>
      <w:r>
        <w:rPr>
          <w:rFonts w:hint="eastAsia" w:cs="宋体" w:asciiTheme="minorEastAsia" w:hAnsiTheme="minorEastAsia" w:eastAsiaTheme="minorEastAsia"/>
          <w:sz w:val="24"/>
        </w:rPr>
        <w:t>以</w:t>
      </w:r>
      <w:r>
        <w:rPr>
          <w:rFonts w:hint="eastAsia" w:cs="宋体" w:asciiTheme="minorEastAsia" w:hAnsiTheme="minorEastAsia" w:eastAsiaTheme="minorEastAsia"/>
          <w:sz w:val="24"/>
          <w:u w:val="single"/>
        </w:rPr>
        <w:t xml:space="preserve">   （政府采购方式）  </w:t>
      </w:r>
      <w:r>
        <w:rPr>
          <w:rFonts w:hint="eastAsia" w:cs="宋体" w:asciiTheme="minorEastAsia" w:hAnsiTheme="minorEastAsia" w:eastAsiaTheme="minorEastAsia"/>
          <w:sz w:val="24"/>
        </w:rPr>
        <w:t>对</w:t>
      </w:r>
      <w:r>
        <w:rPr>
          <w:rFonts w:hint="eastAsia" w:cs="宋体" w:asciiTheme="minorEastAsia" w:hAnsiTheme="minorEastAsia" w:eastAsiaTheme="minorEastAsia"/>
          <w:sz w:val="24"/>
          <w:u w:val="single"/>
        </w:rPr>
        <w:t xml:space="preserve">   （项目名称）   </w:t>
      </w:r>
      <w:r>
        <w:rPr>
          <w:rFonts w:hint="eastAsia" w:cs="宋体" w:asciiTheme="minorEastAsia" w:hAnsiTheme="minorEastAsia" w:eastAsiaTheme="minorEastAsia"/>
          <w:sz w:val="24"/>
        </w:rPr>
        <w:t>项目进行了采购。经评定，</w:t>
      </w:r>
      <w:r>
        <w:rPr>
          <w:rFonts w:hint="eastAsia" w:cs="宋体" w:asciiTheme="minorEastAsia" w:hAnsiTheme="minorEastAsia" w:eastAsiaTheme="minorEastAsia"/>
          <w:sz w:val="24"/>
          <w:u w:val="single"/>
        </w:rPr>
        <w:t xml:space="preserve">   （中标供应商名称）</w:t>
      </w:r>
      <w:r>
        <w:rPr>
          <w:rFonts w:hint="eastAsia" w:cs="宋体" w:asciiTheme="minorEastAsia" w:hAnsiTheme="minorEastAsia" w:eastAsiaTheme="minorEastAsia"/>
          <w:sz w:val="24"/>
        </w:rPr>
        <w:t>为该项目中标供应商。现于中标通知书发出之日起三十日内，按照采购文件确定的事项签订本合同。</w:t>
      </w:r>
    </w:p>
    <w:p w14:paraId="03FE4CD0">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zh-CN"/>
        </w:rPr>
        <w:t>根据《中华人民共和国民法典》、《中华人民共和国政府采购法》等相关法律法规之规定，按照平等、自愿、公平、诚实信用和绿色的原则，经</w:t>
      </w:r>
      <w:r>
        <w:rPr>
          <w:rFonts w:hint="eastAsia" w:cs="宋体" w:asciiTheme="minorEastAsia" w:hAnsiTheme="minorEastAsia" w:eastAsiaTheme="minorEastAsia"/>
          <w:sz w:val="24"/>
          <w:u w:val="single"/>
        </w:rPr>
        <w:t xml:space="preserve">   （采购人）   </w:t>
      </w:r>
      <w:r>
        <w:rPr>
          <w:rFonts w:hint="eastAsia" w:cs="宋体" w:asciiTheme="minorEastAsia" w:hAnsiTheme="minorEastAsia" w:eastAsiaTheme="minorEastAsia"/>
          <w:sz w:val="24"/>
          <w:lang w:val="zh-CN"/>
        </w:rPr>
        <w:t>(以下简称：甲方)和</w:t>
      </w:r>
      <w:r>
        <w:rPr>
          <w:rFonts w:hint="eastAsia" w:cs="宋体" w:asciiTheme="minorEastAsia" w:hAnsiTheme="minorEastAsia" w:eastAsiaTheme="minorEastAsia"/>
          <w:sz w:val="24"/>
          <w:u w:val="single"/>
        </w:rPr>
        <w:t xml:space="preserve">   （中标供应商名称）   </w:t>
      </w:r>
      <w:r>
        <w:rPr>
          <w:rFonts w:hint="eastAsia" w:cs="宋体" w:asciiTheme="minorEastAsia" w:hAnsiTheme="minorEastAsia" w:eastAsiaTheme="minorEastAsia"/>
          <w:sz w:val="24"/>
          <w:lang w:val="zh-CN"/>
        </w:rPr>
        <w:t>(以下简称：乙方)协商一致，约定以下合同</w:t>
      </w:r>
      <w:r>
        <w:rPr>
          <w:rFonts w:hint="eastAsia" w:cs="宋体" w:asciiTheme="minorEastAsia" w:hAnsiTheme="minorEastAsia" w:eastAsiaTheme="minorEastAsia"/>
          <w:sz w:val="24"/>
        </w:rPr>
        <w:t>条款，以兹共同遵守、全面履行。</w:t>
      </w:r>
    </w:p>
    <w:p w14:paraId="41B2E874">
      <w:pPr>
        <w:spacing w:line="288" w:lineRule="auto"/>
        <w:rPr>
          <w:rFonts w:cs="宋体" w:asciiTheme="minorEastAsia" w:hAnsiTheme="minorEastAsia" w:eastAsiaTheme="minorEastAsia"/>
          <w:b/>
          <w:spacing w:val="-6"/>
          <w:sz w:val="24"/>
        </w:rPr>
      </w:pPr>
      <w:r>
        <w:rPr>
          <w:rFonts w:hint="eastAsia" w:cs="宋体" w:asciiTheme="minorEastAsia" w:hAnsiTheme="minorEastAsia" w:eastAsiaTheme="minorEastAsia"/>
          <w:b/>
          <w:spacing w:val="-6"/>
          <w:sz w:val="24"/>
        </w:rPr>
        <w:t>第一条：服务内容</w:t>
      </w:r>
    </w:p>
    <w:tbl>
      <w:tblPr>
        <w:tblStyle w:val="69"/>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992"/>
        <w:gridCol w:w="1559"/>
        <w:gridCol w:w="3402"/>
      </w:tblGrid>
      <w:tr w14:paraId="1451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337D11F8">
            <w:pPr>
              <w:spacing w:line="288" w:lineRule="auto"/>
              <w:jc w:val="center"/>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序号</w:t>
            </w:r>
          </w:p>
        </w:tc>
        <w:tc>
          <w:tcPr>
            <w:tcW w:w="2694" w:type="dxa"/>
            <w:tcBorders>
              <w:top w:val="single" w:color="auto" w:sz="4" w:space="0"/>
              <w:left w:val="single" w:color="auto" w:sz="4" w:space="0"/>
              <w:bottom w:val="single" w:color="auto" w:sz="4" w:space="0"/>
              <w:right w:val="single" w:color="auto" w:sz="4" w:space="0"/>
            </w:tcBorders>
            <w:noWrap/>
            <w:vAlign w:val="center"/>
          </w:tcPr>
          <w:p w14:paraId="12EEE2B1">
            <w:pPr>
              <w:spacing w:line="288" w:lineRule="auto"/>
              <w:jc w:val="center"/>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具体服务</w:t>
            </w:r>
          </w:p>
        </w:tc>
        <w:tc>
          <w:tcPr>
            <w:tcW w:w="992" w:type="dxa"/>
            <w:tcBorders>
              <w:top w:val="single" w:color="auto" w:sz="4" w:space="0"/>
              <w:left w:val="single" w:color="auto" w:sz="4" w:space="0"/>
              <w:bottom w:val="single" w:color="auto" w:sz="4" w:space="0"/>
              <w:right w:val="single" w:color="auto" w:sz="4" w:space="0"/>
            </w:tcBorders>
            <w:noWrap/>
            <w:vAlign w:val="center"/>
          </w:tcPr>
          <w:p w14:paraId="11F715A4">
            <w:pPr>
              <w:spacing w:line="288" w:lineRule="auto"/>
              <w:jc w:val="center"/>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数量</w:t>
            </w:r>
          </w:p>
        </w:tc>
        <w:tc>
          <w:tcPr>
            <w:tcW w:w="1559" w:type="dxa"/>
            <w:tcBorders>
              <w:top w:val="single" w:color="auto" w:sz="4" w:space="0"/>
              <w:left w:val="single" w:color="auto" w:sz="4" w:space="0"/>
              <w:bottom w:val="single" w:color="auto" w:sz="4" w:space="0"/>
              <w:right w:val="single" w:color="auto" w:sz="4" w:space="0"/>
            </w:tcBorders>
            <w:noWrap/>
            <w:vAlign w:val="center"/>
          </w:tcPr>
          <w:p w14:paraId="0CBDEA4B">
            <w:pPr>
              <w:spacing w:line="288" w:lineRule="auto"/>
              <w:jc w:val="center"/>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金额</w:t>
            </w:r>
          </w:p>
        </w:tc>
        <w:tc>
          <w:tcPr>
            <w:tcW w:w="3402" w:type="dxa"/>
            <w:tcBorders>
              <w:top w:val="single" w:color="auto" w:sz="4" w:space="0"/>
              <w:left w:val="single" w:color="auto" w:sz="4" w:space="0"/>
              <w:bottom w:val="single" w:color="auto" w:sz="4" w:space="0"/>
              <w:right w:val="single" w:color="auto" w:sz="4" w:space="0"/>
            </w:tcBorders>
            <w:noWrap/>
            <w:vAlign w:val="center"/>
          </w:tcPr>
          <w:p w14:paraId="2848A35B">
            <w:pPr>
              <w:spacing w:line="288" w:lineRule="auto"/>
              <w:jc w:val="center"/>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中标单价</w:t>
            </w:r>
          </w:p>
        </w:tc>
      </w:tr>
      <w:tr w14:paraId="598D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2F2F85F7">
            <w:pPr>
              <w:spacing w:line="288" w:lineRule="auto"/>
              <w:jc w:val="center"/>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1</w:t>
            </w:r>
          </w:p>
        </w:tc>
        <w:tc>
          <w:tcPr>
            <w:tcW w:w="2694" w:type="dxa"/>
            <w:tcBorders>
              <w:top w:val="single" w:color="auto" w:sz="4" w:space="0"/>
              <w:left w:val="single" w:color="auto" w:sz="4" w:space="0"/>
              <w:bottom w:val="single" w:color="auto" w:sz="4" w:space="0"/>
              <w:right w:val="single" w:color="auto" w:sz="4" w:space="0"/>
            </w:tcBorders>
            <w:noWrap/>
            <w:vAlign w:val="center"/>
          </w:tcPr>
          <w:p w14:paraId="2A3DDE1B">
            <w:pPr>
              <w:spacing w:line="288" w:lineRule="auto"/>
              <w:ind w:left="178" w:leftChars="85"/>
              <w:jc w:val="center"/>
              <w:rPr>
                <w:rFonts w:cs="宋体" w:asciiTheme="minorEastAsia" w:hAnsiTheme="minorEastAsia" w:eastAsiaTheme="minorEastAsia"/>
                <w:spacing w:val="-6"/>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037297B1">
            <w:pPr>
              <w:spacing w:line="288" w:lineRule="auto"/>
              <w:jc w:val="center"/>
              <w:rPr>
                <w:rFonts w:cs="宋体" w:asciiTheme="minorEastAsia" w:hAnsiTheme="minorEastAsia" w:eastAsiaTheme="minorEastAsia"/>
                <w:spacing w:val="-6"/>
                <w:sz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21E623A">
            <w:pPr>
              <w:spacing w:line="288" w:lineRule="auto"/>
              <w:jc w:val="center"/>
              <w:rPr>
                <w:rFonts w:cs="宋体" w:asciiTheme="minorEastAsia" w:hAnsiTheme="minorEastAsia" w:eastAsiaTheme="minorEastAsia"/>
                <w:spacing w:val="-6"/>
                <w:sz w:val="24"/>
              </w:rPr>
            </w:pPr>
          </w:p>
        </w:tc>
        <w:tc>
          <w:tcPr>
            <w:tcW w:w="3402" w:type="dxa"/>
            <w:tcBorders>
              <w:top w:val="single" w:color="auto" w:sz="4" w:space="0"/>
              <w:left w:val="single" w:color="auto" w:sz="4" w:space="0"/>
              <w:bottom w:val="single" w:color="auto" w:sz="4" w:space="0"/>
              <w:right w:val="single" w:color="auto" w:sz="4" w:space="0"/>
            </w:tcBorders>
            <w:noWrap/>
            <w:vAlign w:val="center"/>
          </w:tcPr>
          <w:p w14:paraId="7D94E116">
            <w:pPr>
              <w:spacing w:line="288" w:lineRule="auto"/>
              <w:jc w:val="center"/>
              <w:rPr>
                <w:rFonts w:cs="宋体" w:asciiTheme="minorEastAsia" w:hAnsiTheme="minorEastAsia" w:eastAsiaTheme="minorEastAsia"/>
                <w:spacing w:val="-6"/>
                <w:sz w:val="24"/>
              </w:rPr>
            </w:pPr>
          </w:p>
        </w:tc>
      </w:tr>
    </w:tbl>
    <w:p w14:paraId="59D5A0EA">
      <w:pPr>
        <w:snapToGrid w:val="0"/>
        <w:spacing w:line="360" w:lineRule="auto"/>
        <w:ind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注：投标报价应包括投标总报价是指综合费用，包括人员工资、交通、住宿、税金、保险、验收、报审过程中以及在履行本合同时的现场踏勘、资料收集、调查等的全部费用。</w:t>
      </w:r>
    </w:p>
    <w:p w14:paraId="2C51F3A5">
      <w:pPr>
        <w:snapToGrid w:val="0"/>
        <w:spacing w:line="360" w:lineRule="auto"/>
        <w:rPr>
          <w:rFonts w:cs="宋体" w:asciiTheme="minorEastAsia" w:hAnsiTheme="minorEastAsia" w:eastAsiaTheme="minorEastAsia"/>
          <w:b/>
          <w:spacing w:val="-6"/>
          <w:sz w:val="24"/>
        </w:rPr>
      </w:pPr>
      <w:r>
        <w:rPr>
          <w:rFonts w:hint="eastAsia" w:cs="宋体" w:asciiTheme="minorEastAsia" w:hAnsiTheme="minorEastAsia" w:eastAsiaTheme="minorEastAsia"/>
          <w:b/>
          <w:spacing w:val="-6"/>
          <w:sz w:val="24"/>
        </w:rPr>
        <w:t>第二条：服务期限：</w:t>
      </w:r>
      <w:r>
        <w:rPr>
          <w:rFonts w:hint="eastAsia" w:cs="宋体" w:asciiTheme="minorEastAsia" w:hAnsiTheme="minorEastAsia" w:eastAsiaTheme="minorEastAsia"/>
          <w:spacing w:val="-6"/>
          <w:sz w:val="24"/>
        </w:rPr>
        <w:t>本合同有效期限为</w:t>
      </w:r>
      <w:r>
        <w:rPr>
          <w:rFonts w:hint="eastAsia" w:cs="宋体" w:asciiTheme="minorEastAsia" w:hAnsiTheme="minorEastAsia" w:eastAsiaTheme="minorEastAsia"/>
          <w:spacing w:val="-6"/>
          <w:sz w:val="24"/>
          <w:u w:val="single"/>
          <w:lang w:val="en-US" w:eastAsia="zh-CN"/>
        </w:rPr>
        <w:t xml:space="preserve">  </w:t>
      </w:r>
      <w:r>
        <w:rPr>
          <w:rFonts w:hint="eastAsia" w:cs="宋体" w:asciiTheme="minorEastAsia" w:hAnsiTheme="minorEastAsia" w:eastAsiaTheme="minorEastAsia"/>
          <w:spacing w:val="-6"/>
          <w:sz w:val="24"/>
        </w:rPr>
        <w:t xml:space="preserve">年，具体时限自 </w:t>
      </w:r>
      <w:r>
        <w:rPr>
          <w:rFonts w:hint="eastAsia" w:cs="宋体" w:asciiTheme="minorEastAsia" w:hAnsiTheme="minorEastAsia" w:eastAsiaTheme="minorEastAsia"/>
          <w:spacing w:val="-6"/>
          <w:sz w:val="24"/>
        </w:rPr>
        <w:tab/>
      </w:r>
      <w:r>
        <w:rPr>
          <w:rFonts w:hint="eastAsia" w:cs="宋体" w:asciiTheme="minorEastAsia" w:hAnsiTheme="minorEastAsia" w:eastAsiaTheme="minorEastAsia"/>
          <w:spacing w:val="-6"/>
          <w:sz w:val="24"/>
        </w:rPr>
        <w:t>年  月  日至  年 月 日。</w:t>
      </w:r>
    </w:p>
    <w:p w14:paraId="3338219C">
      <w:pPr>
        <w:snapToGrid w:val="0"/>
        <w:spacing w:line="360" w:lineRule="auto"/>
        <w:rPr>
          <w:rFonts w:cs="宋体" w:asciiTheme="minorEastAsia" w:hAnsiTheme="minorEastAsia" w:eastAsiaTheme="minorEastAsia"/>
          <w:bCs/>
          <w:spacing w:val="-6"/>
          <w:sz w:val="24"/>
        </w:rPr>
      </w:pPr>
      <w:r>
        <w:rPr>
          <w:rFonts w:hint="eastAsia" w:cs="宋体" w:asciiTheme="minorEastAsia" w:hAnsiTheme="minorEastAsia" w:eastAsiaTheme="minorEastAsia"/>
          <w:b/>
          <w:spacing w:val="-6"/>
          <w:sz w:val="24"/>
        </w:rPr>
        <w:t>第三条：执行技术标准：</w:t>
      </w:r>
      <w:r>
        <w:rPr>
          <w:rFonts w:hint="eastAsia" w:cs="宋体" w:asciiTheme="minorEastAsia" w:hAnsiTheme="minorEastAsia" w:eastAsiaTheme="minorEastAsia"/>
          <w:bCs/>
          <w:spacing w:val="-6"/>
          <w:sz w:val="24"/>
        </w:rPr>
        <w:t>提交成果必须符合国家相关规程和规范要求</w:t>
      </w:r>
    </w:p>
    <w:p w14:paraId="1946ADD4">
      <w:pPr>
        <w:snapToGrid w:val="0"/>
        <w:spacing w:line="360" w:lineRule="auto"/>
        <w:rPr>
          <w:rFonts w:cs="宋体" w:asciiTheme="minorEastAsia" w:hAnsiTheme="minorEastAsia" w:eastAsiaTheme="minorEastAsia"/>
          <w:b/>
          <w:spacing w:val="-6"/>
          <w:sz w:val="24"/>
        </w:rPr>
      </w:pPr>
      <w:r>
        <w:rPr>
          <w:rFonts w:hint="eastAsia" w:cs="宋体" w:asciiTheme="minorEastAsia" w:hAnsiTheme="minorEastAsia" w:eastAsiaTheme="minorEastAsia"/>
          <w:b/>
          <w:spacing w:val="-6"/>
          <w:sz w:val="24"/>
        </w:rPr>
        <w:t>第四条：付款方式：</w:t>
      </w:r>
    </w:p>
    <w:p w14:paraId="370A5939">
      <w:pPr>
        <w:autoSpaceDE w:val="0"/>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乙方开户行名称：_____________________</w:t>
      </w:r>
    </w:p>
    <w:p w14:paraId="128BD561">
      <w:pPr>
        <w:topLinePunct/>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开户行账号：_________________________</w:t>
      </w:r>
    </w:p>
    <w:p w14:paraId="3E67EAD2">
      <w:pPr>
        <w:autoSpaceDE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第五条：履约保证金：</w:t>
      </w:r>
    </w:p>
    <w:p w14:paraId="240A2369">
      <w:pPr>
        <w:autoSpaceDE w:val="0"/>
        <w:spacing w:line="360" w:lineRule="auto"/>
        <w:rPr>
          <w:rFonts w:ascii="宋体" w:hAnsi="宋体" w:cs="宋体"/>
          <w:b/>
          <w:sz w:val="24"/>
        </w:rPr>
      </w:pPr>
      <w:r>
        <w:rPr>
          <w:rFonts w:hint="eastAsia" w:ascii="宋体" w:hAnsi="宋体"/>
          <w:sz w:val="24"/>
        </w:rPr>
        <w:t>在签订合同前，需向采购方支付中标价0.1%的履约保证金。</w:t>
      </w:r>
    </w:p>
    <w:p w14:paraId="06C2932A">
      <w:pPr>
        <w:autoSpaceDE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第六条：知识产权</w:t>
      </w:r>
    </w:p>
    <w:p w14:paraId="0AB8D409">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乙方应保证提供服务过程中不会侵犯任何第三方的知识产权。</w:t>
      </w:r>
    </w:p>
    <w:p w14:paraId="30D5ADBD">
      <w:pPr>
        <w:autoSpaceDE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第七条：转包或分包</w:t>
      </w:r>
    </w:p>
    <w:p w14:paraId="5D98ED7D">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1.本合同范围的服务，应由乙方直接供应，不得转让他人供应；</w:t>
      </w:r>
    </w:p>
    <w:p w14:paraId="7E8EA5A5">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2.除非得到甲方的书面同意，乙方不得将本合同范围的服务全部或部分分包给他人供应；</w:t>
      </w:r>
    </w:p>
    <w:p w14:paraId="0B2B4CC4">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3.如有转让和未经甲方同意的分包行为，甲方有权解除合同，并追究乙方的违约责任。</w:t>
      </w:r>
    </w:p>
    <w:p w14:paraId="71777019">
      <w:pPr>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sz w:val="24"/>
        </w:rPr>
        <w:t>第八条：</w:t>
      </w:r>
      <w:r>
        <w:rPr>
          <w:rFonts w:hint="eastAsia" w:cs="宋体" w:asciiTheme="minorEastAsia" w:hAnsiTheme="minorEastAsia" w:eastAsiaTheme="minorEastAsia"/>
          <w:b/>
          <w:bCs/>
          <w:sz w:val="24"/>
        </w:rPr>
        <w:t>税费</w:t>
      </w:r>
    </w:p>
    <w:p w14:paraId="70A089E5">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本合同执行中相关的一切税费均由乙方负担。</w:t>
      </w:r>
    </w:p>
    <w:p w14:paraId="03875D9C">
      <w:pPr>
        <w:autoSpaceDE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第九条：验收</w:t>
      </w:r>
    </w:p>
    <w:p w14:paraId="6003C44A">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1、验收按国家有关的规定、规范进行。</w:t>
      </w:r>
    </w:p>
    <w:p w14:paraId="4CE29D4A">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2、验收费用由乙方承担。</w:t>
      </w:r>
    </w:p>
    <w:p w14:paraId="2D8801C1">
      <w:pPr>
        <w:autoSpaceDE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第十条：售后服务</w:t>
      </w:r>
    </w:p>
    <w:p w14:paraId="2A409D8E">
      <w:pPr>
        <w:autoSpaceDE w:val="0"/>
        <w:spacing w:line="360" w:lineRule="auto"/>
        <w:ind w:firstLine="480" w:firstLineChars="200"/>
        <w:rPr>
          <w:rFonts w:cs="宋体" w:asciiTheme="minorEastAsia" w:hAnsiTheme="minorEastAsia" w:eastAsiaTheme="minorEastAsia"/>
          <w:b/>
          <w:sz w:val="24"/>
        </w:rPr>
      </w:pPr>
      <w:r>
        <w:rPr>
          <w:rFonts w:hint="eastAsia" w:asciiTheme="minorEastAsia" w:hAnsiTheme="minorEastAsia" w:eastAsiaTheme="minorEastAsia"/>
          <w:sz w:val="24"/>
        </w:rPr>
        <w:t xml:space="preserve">在服务质保期内，乙方应该确保服务范围内的质量标准符合本招标文件要求。当出现问题时，投标人应承诺在小时内响应并提出解决方案，小时之内到现场对存在问题进行处理，并提出相应措施。                                             </w:t>
      </w:r>
    </w:p>
    <w:p w14:paraId="767BEAEA">
      <w:pPr>
        <w:autoSpaceDE w:val="0"/>
        <w:spacing w:line="360" w:lineRule="auto"/>
        <w:jc w:val="left"/>
        <w:rPr>
          <w:rFonts w:cs="宋体" w:asciiTheme="minorEastAsia" w:hAnsiTheme="minorEastAsia" w:eastAsiaTheme="minorEastAsia"/>
          <w:bCs/>
          <w:kern w:val="0"/>
          <w:sz w:val="24"/>
        </w:rPr>
      </w:pPr>
      <w:r>
        <w:rPr>
          <w:rFonts w:hint="eastAsia" w:cs="宋体" w:asciiTheme="minorEastAsia" w:hAnsiTheme="minorEastAsia" w:eastAsiaTheme="minorEastAsia"/>
          <w:b/>
          <w:sz w:val="24"/>
        </w:rPr>
        <w:t>第十一条：</w:t>
      </w:r>
      <w:r>
        <w:rPr>
          <w:rFonts w:hint="eastAsia" w:cs="宋体" w:asciiTheme="minorEastAsia" w:hAnsiTheme="minorEastAsia" w:eastAsiaTheme="minorEastAsia"/>
          <w:bCs/>
          <w:kern w:val="0"/>
          <w:sz w:val="24"/>
        </w:rPr>
        <w:t>乙方承担完成本招标项目的一切费用(包括不可预见费用)和市场风险。</w:t>
      </w:r>
    </w:p>
    <w:p w14:paraId="2063D4BF">
      <w:pPr>
        <w:autoSpaceDE w:val="0"/>
        <w:spacing w:line="360" w:lineRule="auto"/>
        <w:jc w:val="left"/>
        <w:rPr>
          <w:rFonts w:asciiTheme="minorEastAsia" w:hAnsiTheme="minorEastAsia" w:eastAsiaTheme="minorEastAsia"/>
          <w:sz w:val="24"/>
          <w:u w:val="single"/>
        </w:rPr>
      </w:pPr>
      <w:r>
        <w:rPr>
          <w:rFonts w:hint="eastAsia" w:cs="宋体" w:asciiTheme="minorEastAsia" w:hAnsiTheme="minorEastAsia" w:eastAsiaTheme="minorEastAsia"/>
          <w:b/>
          <w:sz w:val="24"/>
        </w:rPr>
        <w:t xml:space="preserve">第十二条：其他约定：              </w:t>
      </w:r>
    </w:p>
    <w:p w14:paraId="1E8F35F1">
      <w:pPr>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sz w:val="24"/>
        </w:rPr>
        <w:t>第十三条：</w:t>
      </w:r>
      <w:r>
        <w:rPr>
          <w:rFonts w:hint="eastAsia" w:cs="宋体" w:asciiTheme="minorEastAsia" w:hAnsiTheme="minorEastAsia" w:eastAsiaTheme="minorEastAsia"/>
          <w:b/>
          <w:bCs/>
          <w:sz w:val="24"/>
          <w:lang w:val="zh-CN"/>
        </w:rPr>
        <w:t>甲方的责任与义务</w:t>
      </w:r>
    </w:p>
    <w:p w14:paraId="78E20C9D">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甲方应当主要负责项目的所有外部关系的联系与协调，为乙方工作提供良好的外部条件。</w:t>
      </w:r>
    </w:p>
    <w:p w14:paraId="47B96EAE">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甲方应当按双方约定的内容和时间，向乙方提供与项目有关的资料。</w:t>
      </w:r>
    </w:p>
    <w:p w14:paraId="41C1F6D8">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甲方应授权一名熟悉本项目情况、能迅速做出决定的项目代表，负责与乙方联系。更换代表，要提前通知乙方。</w:t>
      </w:r>
    </w:p>
    <w:p w14:paraId="5905B57A">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甲方有与乙方订立补充合同的签订权。</w:t>
      </w:r>
    </w:p>
    <w:p w14:paraId="6288791E">
      <w:pPr>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sz w:val="24"/>
        </w:rPr>
        <w:t>第十四条：</w:t>
      </w:r>
      <w:r>
        <w:rPr>
          <w:rFonts w:hint="eastAsia" w:cs="宋体" w:asciiTheme="minorEastAsia" w:hAnsiTheme="minorEastAsia" w:eastAsiaTheme="minorEastAsia"/>
          <w:b/>
          <w:bCs/>
          <w:sz w:val="24"/>
          <w:lang w:val="zh-CN"/>
        </w:rPr>
        <w:t>乙方的责任与义务</w:t>
      </w:r>
    </w:p>
    <w:p w14:paraId="09D71F9F">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根据投标文件的承诺向甲方委派项目组人员。</w:t>
      </w:r>
    </w:p>
    <w:p w14:paraId="1CA29085">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在履行本合同义务的期间，应运用合理的技能，认真、勤奋的工作。</w:t>
      </w:r>
    </w:p>
    <w:p w14:paraId="68118EB6">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在本合同期内或合同终止后，未征得有关方同意，不得泄漏与本项目、本合同有关的技术、资料等，不得以任何形式侵害甲方的知识产权。</w:t>
      </w:r>
    </w:p>
    <w:p w14:paraId="6562CE47">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负责处理好与相关项目实施单位的协调工作。</w:t>
      </w:r>
    </w:p>
    <w:p w14:paraId="5026BE9E">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第十五条  违约责任</w:t>
      </w:r>
    </w:p>
    <w:p w14:paraId="04E7D76F">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由于乙方原因(除不可抗力外)不能按期交付合同标的，对超出交付期的每一天，乙方应按1000元/天承担违约金，在合同款支付时一次性扣除。若超出交付期十天(含十天)以上的，甲方有权终止合同，质量保证金不予退还。</w:t>
      </w:r>
    </w:p>
    <w:p w14:paraId="5CDE8A7F">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乙方按合同要求将成果送达甲方后，经验收合格后，甲方超出付款期支付项目款的，每逾一天，甲方应向乙方支付合同金额的千分之三的滞纳金。甲方无正当理由拒收合同标的、拒付项目款的，应向乙方偿付合同总价千分之五的违约金。</w:t>
      </w:r>
    </w:p>
    <w:p w14:paraId="7034F0D1">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3、由于乙方原因导致甲方有重大损失的，责任由乙方承担，并依法追究其经济责任和法律责任。</w:t>
      </w:r>
    </w:p>
    <w:p w14:paraId="0352E421">
      <w:pPr>
        <w:autoSpaceDE w:val="0"/>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24"/>
        </w:rPr>
        <w:t>第十六条：不可抗力事件处理</w:t>
      </w:r>
    </w:p>
    <w:p w14:paraId="37D2B825">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1．在合同有效期内，任何一方因不可抗力事件导致不能履行合同，则合同履行期可延长，其延长期与不可抗力影响期相同。</w:t>
      </w:r>
    </w:p>
    <w:p w14:paraId="112B7B38">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2．不可抗力事件发生后，应立即通知对方，并寄送有关权威机构出具的证明。</w:t>
      </w:r>
    </w:p>
    <w:p w14:paraId="26658374">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3．不可抗力事件延续120天以上，双方应通过友好协商，确定是否继续履行合同。</w:t>
      </w:r>
    </w:p>
    <w:p w14:paraId="576ED5EE">
      <w:pPr>
        <w:autoSpaceDE w:val="0"/>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24"/>
        </w:rPr>
        <w:t>第十七条：争议的解决</w:t>
      </w:r>
    </w:p>
    <w:p w14:paraId="1BB21893">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1．因质量问题发生争议的，由甲方委托有关技术部门进行质量鉴定，该鉴定的结论甲乙双方应当接受，各方均有权直接向对方索赔，并签订书面处理协议书，报相关部门备案。</w:t>
      </w:r>
    </w:p>
    <w:p w14:paraId="2CCB7A03">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2．双方无法通过协商解决合同争议的，任何一方有权向甲方所在地</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人民法院提起诉讼。</w:t>
      </w:r>
    </w:p>
    <w:p w14:paraId="2E2234BE">
      <w:pPr>
        <w:snapToGrid w:val="0"/>
        <w:spacing w:line="360" w:lineRule="auto"/>
        <w:ind w:right="-514" w:rightChars="-245" w:firstLine="229" w:firstLineChars="100"/>
        <w:rPr>
          <w:rFonts w:cs="宋体" w:asciiTheme="minorEastAsia" w:hAnsiTheme="minorEastAsia" w:eastAsiaTheme="minorEastAsia"/>
          <w:b/>
          <w:spacing w:val="-6"/>
          <w:sz w:val="24"/>
        </w:rPr>
      </w:pPr>
      <w:r>
        <w:rPr>
          <w:rFonts w:hint="eastAsia" w:cs="宋体" w:asciiTheme="minorEastAsia" w:hAnsiTheme="minorEastAsia" w:eastAsiaTheme="minorEastAsia"/>
          <w:b/>
          <w:spacing w:val="-6"/>
          <w:sz w:val="24"/>
        </w:rPr>
        <w:t>第十八条：合同生效</w:t>
      </w:r>
    </w:p>
    <w:p w14:paraId="51E2BA74">
      <w:pPr>
        <w:snapToGrid w:val="0"/>
        <w:spacing w:line="360" w:lineRule="auto"/>
        <w:ind w:right="23" w:rightChars="11"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1.合同经甲方、乙方法定代表人或授权代表签字并加盖单位公章后生效。</w:t>
      </w:r>
    </w:p>
    <w:p w14:paraId="07B0188B">
      <w:pPr>
        <w:snapToGrid w:val="0"/>
        <w:spacing w:line="360" w:lineRule="auto"/>
        <w:ind w:right="23" w:rightChars="11"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2.本合同未尽事宜，遵照《中华人民共和国民法典》</w:t>
      </w:r>
      <w:r>
        <w:rPr>
          <w:rFonts w:hint="eastAsia" w:cs="宋体" w:asciiTheme="minorEastAsia" w:hAnsiTheme="minorEastAsia" w:eastAsiaTheme="minorEastAsia"/>
          <w:spacing w:val="-6"/>
          <w:sz w:val="24"/>
          <w:lang w:val="en-US" w:eastAsia="zh-CN"/>
        </w:rPr>
        <w:t>及招标文件</w:t>
      </w:r>
      <w:r>
        <w:rPr>
          <w:rFonts w:hint="eastAsia" w:cs="宋体" w:asciiTheme="minorEastAsia" w:hAnsiTheme="minorEastAsia" w:eastAsiaTheme="minorEastAsia"/>
          <w:spacing w:val="-6"/>
          <w:sz w:val="24"/>
        </w:rPr>
        <w:t>有关条文执行。</w:t>
      </w:r>
    </w:p>
    <w:p w14:paraId="5D6FD17F">
      <w:pPr>
        <w:snapToGrid w:val="0"/>
        <w:spacing w:line="360" w:lineRule="auto"/>
        <w:ind w:right="23" w:rightChars="11"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3.本合同一式肆份，甲方、乙方各执贰份。</w:t>
      </w:r>
    </w:p>
    <w:p w14:paraId="58EB9884">
      <w:pPr>
        <w:snapToGrid w:val="0"/>
        <w:spacing w:line="360" w:lineRule="auto"/>
        <w:ind w:right="23" w:rightChars="11"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4.相关招投标文件、询标承诺、产品配置清单等与本合同具有同等法律效力。</w:t>
      </w:r>
    </w:p>
    <w:p w14:paraId="08D88030">
      <w:pPr>
        <w:snapToGrid w:val="0"/>
        <w:spacing w:line="360" w:lineRule="auto"/>
        <w:ind w:right="23" w:rightChars="11"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甲方（公章）：                       乙方（公章）：</w:t>
      </w:r>
    </w:p>
    <w:p w14:paraId="26FC15B7">
      <w:pPr>
        <w:snapToGrid w:val="0"/>
        <w:spacing w:line="360" w:lineRule="auto"/>
        <w:ind w:right="23" w:rightChars="11"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法定代表人或受委托人（签字或盖章）   法定代表人或受委托人（签字或盖章）</w:t>
      </w:r>
    </w:p>
    <w:p w14:paraId="049A7287">
      <w:pPr>
        <w:snapToGrid w:val="0"/>
        <w:spacing w:line="360" w:lineRule="auto"/>
        <w:ind w:right="23" w:rightChars="11"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地址：                               地址：</w:t>
      </w:r>
    </w:p>
    <w:p w14:paraId="75F87D31">
      <w:pPr>
        <w:snapToGrid w:val="0"/>
        <w:spacing w:line="360" w:lineRule="auto"/>
        <w:ind w:right="23" w:rightChars="11"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电话：                               电话：</w:t>
      </w:r>
    </w:p>
    <w:p w14:paraId="486B99CA">
      <w:pPr>
        <w:snapToGrid w:val="0"/>
        <w:spacing w:line="360" w:lineRule="auto"/>
        <w:ind w:right="23" w:rightChars="11" w:firstLine="456" w:firstLineChars="200"/>
        <w:jc w:val="right"/>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签约时间：    年  月  日</w:t>
      </w:r>
    </w:p>
    <w:p w14:paraId="775BC5D8">
      <w:pPr>
        <w:spacing w:line="360" w:lineRule="auto"/>
        <w:outlineLvl w:val="0"/>
        <w:rPr>
          <w:rFonts w:cs="宋体" w:asciiTheme="minorEastAsia" w:hAnsiTheme="minorEastAsia" w:eastAsiaTheme="minorEastAsia"/>
          <w:b/>
          <w:sz w:val="36"/>
          <w:szCs w:val="20"/>
        </w:rPr>
        <w:sectPr>
          <w:headerReference r:id="rId10" w:type="first"/>
          <w:footerReference r:id="rId12" w:type="first"/>
          <w:headerReference r:id="rId9" w:type="default"/>
          <w:footerReference r:id="rId11" w:type="default"/>
          <w:pgSz w:w="11906" w:h="16838"/>
          <w:pgMar w:top="1440" w:right="1418" w:bottom="1440" w:left="1418" w:header="851" w:footer="992" w:gutter="0"/>
          <w:cols w:space="0" w:num="1"/>
          <w:titlePg/>
          <w:docGrid w:linePitch="312" w:charSpace="0"/>
        </w:sectPr>
      </w:pPr>
    </w:p>
    <w:p w14:paraId="477E8FDE">
      <w:pPr>
        <w:spacing w:line="360" w:lineRule="auto"/>
        <w:jc w:val="center"/>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t>第六部分</w:t>
      </w:r>
      <w:bookmarkEnd w:id="396"/>
      <w:bookmarkEnd w:id="397"/>
      <w:r>
        <w:rPr>
          <w:rFonts w:hint="eastAsia" w:cs="宋体" w:asciiTheme="minorEastAsia" w:hAnsiTheme="minorEastAsia" w:eastAsiaTheme="minorEastAsia"/>
          <w:b/>
          <w:sz w:val="36"/>
          <w:szCs w:val="20"/>
        </w:rPr>
        <w:t>应提交的有关格式范例</w:t>
      </w:r>
    </w:p>
    <w:p w14:paraId="0C5B953E">
      <w:pPr>
        <w:spacing w:line="360" w:lineRule="auto"/>
        <w:jc w:val="center"/>
        <w:outlineLvl w:val="0"/>
        <w:rPr>
          <w:rFonts w:cs="宋体" w:asciiTheme="minorEastAsia" w:hAnsiTheme="minorEastAsia" w:eastAsiaTheme="minorEastAsia"/>
          <w:b/>
          <w:kern w:val="0"/>
          <w:sz w:val="36"/>
          <w:szCs w:val="36"/>
        </w:rPr>
      </w:pPr>
    </w:p>
    <w:p w14:paraId="7137C4A9">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资格文件部分</w:t>
      </w:r>
    </w:p>
    <w:p w14:paraId="7218582D">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14:paraId="3FCD8BAD">
      <w:pPr>
        <w:spacing w:line="360" w:lineRule="auto"/>
        <w:jc w:val="center"/>
        <w:outlineLvl w:val="0"/>
        <w:rPr>
          <w:rFonts w:cs="宋体" w:asciiTheme="minorEastAsia" w:hAnsiTheme="minorEastAsia" w:eastAsiaTheme="minorEastAsia"/>
          <w:b/>
          <w:kern w:val="0"/>
          <w:sz w:val="36"/>
          <w:szCs w:val="36"/>
        </w:rPr>
      </w:pPr>
    </w:p>
    <w:p w14:paraId="5B4D1EA1">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11.1.1符合参加政府采购活动应当具备的一般条件的承诺函；</w:t>
      </w:r>
    </w:p>
    <w:p w14:paraId="531CF0BA">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11.1.2</w:t>
      </w:r>
      <w:r>
        <w:rPr>
          <w:rFonts w:hint="eastAsia" w:cs="宋体" w:asciiTheme="minorEastAsia" w:hAnsiTheme="minorEastAsia" w:eastAsiaTheme="minorEastAsia"/>
          <w:snapToGrid w:val="0"/>
          <w:kern w:val="28"/>
          <w:sz w:val="24"/>
          <w:szCs w:val="20"/>
        </w:rPr>
        <w:t>联合协议（如果有）</w:t>
      </w:r>
    </w:p>
    <w:p w14:paraId="0D2E9CED">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11.1.2落实政府采购政策需满足的资格要求</w:t>
      </w:r>
      <w:r>
        <w:rPr>
          <w:rFonts w:hint="eastAsia" w:asciiTheme="minorEastAsia" w:hAnsiTheme="minorEastAsia" w:eastAsiaTheme="minorEastAsia" w:cstheme="minorEastAsia"/>
          <w:snapToGrid w:val="0"/>
          <w:kern w:val="28"/>
          <w:sz w:val="24"/>
          <w:szCs w:val="20"/>
        </w:rPr>
        <w:t>（中小企业声明函)</w:t>
      </w:r>
      <w:r>
        <w:rPr>
          <w:rFonts w:hint="eastAsia" w:asciiTheme="minorEastAsia" w:hAnsiTheme="minorEastAsia" w:eastAsiaTheme="minorEastAsia" w:cstheme="minorEastAsia"/>
          <w:sz w:val="24"/>
        </w:rPr>
        <w:t>；</w:t>
      </w:r>
    </w:p>
    <w:p w14:paraId="1FBCEDDD">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11.1.3本项目的特定资格要求</w:t>
      </w:r>
      <w:r>
        <w:rPr>
          <w:rFonts w:hint="eastAsia" w:asciiTheme="minorEastAsia" w:hAnsiTheme="minorEastAsia" w:eastAsiaTheme="minorEastAsia" w:cstheme="minorEastAsia"/>
          <w:snapToGrid w:val="0"/>
          <w:kern w:val="28"/>
          <w:sz w:val="24"/>
          <w:szCs w:val="20"/>
        </w:rPr>
        <w:t>（如果有)</w:t>
      </w:r>
      <w:r>
        <w:rPr>
          <w:rFonts w:hint="eastAsia" w:asciiTheme="minorEastAsia" w:hAnsiTheme="minorEastAsia" w:eastAsiaTheme="minorEastAsia" w:cstheme="minorEastAsia"/>
          <w:sz w:val="24"/>
        </w:rPr>
        <w:t>。</w:t>
      </w:r>
    </w:p>
    <w:p w14:paraId="54D233BB">
      <w:pPr>
        <w:snapToGrid w:val="0"/>
        <w:spacing w:line="360" w:lineRule="auto"/>
        <w:ind w:right="480"/>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18A1BF5F">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 xml:space="preserve">  一、 符合参加政府采购活动应当具备的一般条件的承诺函</w:t>
      </w:r>
    </w:p>
    <w:p w14:paraId="75B6AF42">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（采购人）、（采购代理机构）：</w:t>
      </w:r>
    </w:p>
    <w:p w14:paraId="6DE6730E">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我方参与（项目名称）【招标编号：（采购编号）】政府采购活动，郑重承诺：</w:t>
      </w:r>
    </w:p>
    <w:p w14:paraId="624CAEE6">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65518F63">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38B714B3">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5DE31EB7">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04ED735D">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677EB04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615EF620">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5A4190E8">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2A8E2DA9">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0BCE2ABF">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0D154A96">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05A83C6F">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投标人名称(电子签名)：</w:t>
      </w:r>
    </w:p>
    <w:p w14:paraId="6F23E83A">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月日</w:t>
      </w:r>
    </w:p>
    <w:p w14:paraId="0B1CD7EA">
      <w:pPr>
        <w:snapToGrid w:val="0"/>
        <w:spacing w:line="360" w:lineRule="auto"/>
        <w:ind w:right="480"/>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352FF54E">
      <w:pPr>
        <w:widowControl/>
        <w:spacing w:line="360" w:lineRule="auto"/>
        <w:ind w:firstLine="643" w:firstLineChars="20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二、联合协议（如果有）</w:t>
      </w:r>
    </w:p>
    <w:p w14:paraId="404CBBC2">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[以联合体形式投标的，提供联合协议（附件5）；本项目不接受联合体投标或者投标人不以联合体形式投标的，则不需要提供]</w:t>
      </w:r>
    </w:p>
    <w:p w14:paraId="42BA29C1">
      <w:pPr>
        <w:snapToGrid w:val="0"/>
        <w:spacing w:line="360" w:lineRule="auto"/>
        <w:ind w:right="480"/>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0069E494">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三、落实政府采购政策需满足的资格要求</w:t>
      </w:r>
    </w:p>
    <w:p w14:paraId="28EDEA75">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（根据招标公告落实政府采购政策需满足的资格要求选择提供相应的材料；未要求的，无需提供）</w:t>
      </w:r>
    </w:p>
    <w:p w14:paraId="207C3FC0">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 xml:space="preserve">.专门面向中小企业，货物全部由符合政策要求的中小企业（或小微企业）制造或者服务全部由符合政策要求的中小企业（或小微企业）承接的，提供相应的中小企业声明函（附件5）。 </w:t>
      </w:r>
    </w:p>
    <w:p w14:paraId="64B2293E">
      <w:pPr>
        <w:widowControl/>
        <w:spacing w:line="360" w:lineRule="auto"/>
        <w:ind w:firstLine="480"/>
        <w:jc w:val="left"/>
        <w:rPr>
          <w:rFonts w:cs="宋体" w:asciiTheme="minorEastAsia" w:hAnsiTheme="minorEastAsia" w:eastAsiaTheme="minorEastAsia"/>
          <w:sz w:val="24"/>
        </w:rPr>
      </w:pPr>
    </w:p>
    <w:p w14:paraId="53A17AAB">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B16EC7A">
      <w:pPr>
        <w:snapToGrid w:val="0"/>
        <w:spacing w:before="50" w:after="50" w:line="360" w:lineRule="auto"/>
        <w:jc w:val="center"/>
        <w:rPr>
          <w:rFonts w:cs="宋体" w:asciiTheme="minorEastAsia" w:hAnsiTheme="minorEastAsia" w:eastAsiaTheme="minorEastAsia"/>
          <w:b/>
          <w:sz w:val="24"/>
        </w:rPr>
      </w:pPr>
    </w:p>
    <w:p w14:paraId="00EC0847">
      <w:pPr>
        <w:widowControl/>
        <w:spacing w:line="360" w:lineRule="auto"/>
        <w:ind w:left="150"/>
        <w:jc w:val="center"/>
        <w:rPr>
          <w:rFonts w:cs="宋体" w:asciiTheme="minorEastAsia" w:hAnsiTheme="minorEastAsia" w:eastAsiaTheme="minorEastAsia"/>
          <w:b/>
          <w:kern w:val="0"/>
          <w:sz w:val="32"/>
          <w:szCs w:val="32"/>
        </w:rPr>
      </w:pPr>
    </w:p>
    <w:p w14:paraId="1F270731">
      <w:pPr>
        <w:pStyle w:val="36"/>
        <w:rPr>
          <w:rFonts w:asciiTheme="minorEastAsia" w:hAnsiTheme="minorEastAsia" w:eastAsiaTheme="minorEastAsia"/>
        </w:rPr>
      </w:pPr>
    </w:p>
    <w:p w14:paraId="32F9F390">
      <w:pPr>
        <w:widowControl/>
        <w:spacing w:line="360" w:lineRule="auto"/>
        <w:ind w:left="150"/>
        <w:jc w:val="center"/>
        <w:rPr>
          <w:rFonts w:cs="宋体" w:asciiTheme="minorEastAsia" w:hAnsiTheme="minorEastAsia" w:eastAsiaTheme="minorEastAsia"/>
          <w:b/>
          <w:kern w:val="0"/>
          <w:sz w:val="32"/>
          <w:szCs w:val="32"/>
        </w:rPr>
      </w:pPr>
    </w:p>
    <w:p w14:paraId="07ED1964">
      <w:pPr>
        <w:widowControl/>
        <w:spacing w:line="360" w:lineRule="auto"/>
        <w:ind w:left="15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四、本项目的特定资格要求</w:t>
      </w:r>
    </w:p>
    <w:p w14:paraId="0F075CA9">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（根据招标公告本项目的特定资格要求提供相应的材料；未要求的，无需提供）</w:t>
      </w:r>
    </w:p>
    <w:p w14:paraId="74A1D320">
      <w:pPr>
        <w:spacing w:line="360" w:lineRule="auto"/>
        <w:ind w:right="420"/>
        <w:jc w:val="center"/>
        <w:rPr>
          <w:rFonts w:cs="宋体" w:asciiTheme="minorEastAsia" w:hAnsiTheme="minorEastAsia" w:eastAsiaTheme="minorEastAsia"/>
          <w:b/>
          <w:kern w:val="0"/>
          <w:sz w:val="36"/>
          <w:szCs w:val="36"/>
        </w:rPr>
        <w:sectPr>
          <w:pgSz w:w="11906" w:h="16838"/>
          <w:pgMar w:top="1440" w:right="1418" w:bottom="1440" w:left="1418" w:header="851" w:footer="992" w:gutter="0"/>
          <w:cols w:space="0" w:num="1"/>
          <w:titlePg/>
          <w:docGrid w:linePitch="312" w:charSpace="0"/>
        </w:sectPr>
      </w:pPr>
    </w:p>
    <w:p w14:paraId="4EA82E51">
      <w:pPr>
        <w:spacing w:line="360" w:lineRule="auto"/>
        <w:ind w:right="420"/>
        <w:jc w:val="center"/>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商务技术文件部分</w:t>
      </w:r>
    </w:p>
    <w:p w14:paraId="64F10B35">
      <w:pPr>
        <w:spacing w:line="360" w:lineRule="auto"/>
        <w:jc w:val="center"/>
        <w:outlineLvl w:val="0"/>
        <w:rPr>
          <w:rFonts w:cs="宋体" w:asciiTheme="minorEastAsia" w:hAnsiTheme="minorEastAsia" w:eastAsiaTheme="minorEastAsia"/>
          <w:b/>
          <w:kern w:val="0"/>
          <w:sz w:val="30"/>
          <w:szCs w:val="30"/>
        </w:rPr>
      </w:pPr>
      <w:r>
        <w:rPr>
          <w:rFonts w:cs="宋体" w:asciiTheme="minorEastAsia" w:hAnsiTheme="minorEastAsia" w:eastAsiaTheme="minorEastAsia"/>
          <w:b/>
          <w:kern w:val="0"/>
          <w:sz w:val="30"/>
          <w:szCs w:val="30"/>
        </w:rPr>
        <w:t>目录</w:t>
      </w:r>
    </w:p>
    <w:p w14:paraId="58E133E5">
      <w:pPr>
        <w:snapToGrid w:val="0"/>
        <w:spacing w:line="360" w:lineRule="auto"/>
        <w:ind w:left="479" w:leftChars="228"/>
        <w:rPr>
          <w:rFonts w:cs="宋体" w:asciiTheme="minorEastAsia" w:hAnsiTheme="minorEastAsia" w:eastAsiaTheme="minorEastAsia"/>
          <w:sz w:val="24"/>
        </w:rPr>
      </w:pPr>
      <w:r>
        <w:rPr>
          <w:rFonts w:hint="eastAsia" w:cs="宋体" w:asciiTheme="minorEastAsia" w:hAnsiTheme="minorEastAsia" w:eastAsiaTheme="minorEastAsia"/>
          <w:sz w:val="24"/>
        </w:rPr>
        <w:t>（1）投标函</w:t>
      </w:r>
      <w:r>
        <w:rPr>
          <w:rFonts w:hint="eastAsia" w:cs="宋体" w:asciiTheme="minorEastAsia" w:hAnsiTheme="minorEastAsia" w:eastAsiaTheme="minorEastAsia"/>
        </w:rPr>
        <w:t>…………………………………………………………………………………</w:t>
      </w:r>
      <w:r>
        <w:rPr>
          <w:rFonts w:hint="eastAsia" w:cs="宋体" w:asciiTheme="minorEastAsia" w:hAnsiTheme="minorEastAsia" w:eastAsiaTheme="minorEastAsia"/>
          <w:sz w:val="24"/>
        </w:rPr>
        <w:t>（页码）（2）授权委托书或法定代表人（单位负责人、自然人本人）身份证明……（页码）（3）分包意向协议</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14:paraId="327BC945">
      <w:pPr>
        <w:snapToGrid w:val="0"/>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sz w:val="24"/>
        </w:rPr>
        <w:t>（4）符合性审查资料</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14:paraId="013AF809">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（5）评标标准相应的商务技术资料</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14:paraId="70FBC048">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（6）商务技术偏离表</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14:paraId="3310461E">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7</w:t>
      </w:r>
      <w:r>
        <w:rPr>
          <w:rFonts w:hint="eastAsia" w:cs="宋体" w:asciiTheme="minorEastAsia" w:hAnsiTheme="minorEastAsia" w:eastAsiaTheme="minorEastAsia"/>
          <w:sz w:val="24"/>
          <w:lang w:val="zh-CN"/>
        </w:rPr>
        <w:t>）政府采购供应商廉洁自律承诺书</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14:paraId="211DCEA7">
      <w:pPr>
        <w:snapToGrid w:val="0"/>
        <w:spacing w:line="360" w:lineRule="auto"/>
        <w:jc w:val="center"/>
        <w:outlineLvl w:val="0"/>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3C5CE6F2">
      <w:pPr>
        <w:snapToGrid w:val="0"/>
        <w:spacing w:line="360" w:lineRule="auto"/>
        <w:jc w:val="center"/>
        <w:outlineLvl w:val="0"/>
        <w:rPr>
          <w:rFonts w:cs="宋体" w:asciiTheme="minorEastAsia" w:hAnsiTheme="minorEastAsia" w:eastAsiaTheme="minorEastAsia"/>
          <w:b/>
          <w:sz w:val="32"/>
          <w:szCs w:val="32"/>
        </w:rPr>
      </w:pPr>
      <w:r>
        <w:rPr>
          <w:rFonts w:hint="eastAsia" w:cs="宋体" w:asciiTheme="minorEastAsia" w:hAnsiTheme="minorEastAsia" w:eastAsiaTheme="minorEastAsia"/>
          <w:b/>
          <w:kern w:val="0"/>
          <w:sz w:val="32"/>
          <w:szCs w:val="32"/>
        </w:rPr>
        <w:t>一、投标</w:t>
      </w:r>
      <w:r>
        <w:rPr>
          <w:rFonts w:hint="eastAsia" w:cs="宋体" w:asciiTheme="minorEastAsia" w:hAnsiTheme="minorEastAsia" w:eastAsiaTheme="minorEastAsia"/>
          <w:b/>
          <w:sz w:val="32"/>
          <w:szCs w:val="32"/>
        </w:rPr>
        <w:t>函</w:t>
      </w:r>
    </w:p>
    <w:p w14:paraId="27B59C43">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（采购人）、（采购代理机构）：</w:t>
      </w:r>
    </w:p>
    <w:p w14:paraId="5E91327C">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我方参加你方组织的（项目名称）【招标编号：（采购编号）】招标的有关活动，并对此项目进行投标。为此：</w:t>
      </w:r>
    </w:p>
    <w:p w14:paraId="1ECB1F5C">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1、我方承诺投标有效期从提交投标文件的截止之日起</w:t>
      </w:r>
      <w:r>
        <w:rPr>
          <w:rFonts w:hint="eastAsia" w:cs="宋体" w:asciiTheme="minorEastAsia" w:hAnsiTheme="minorEastAsia" w:eastAsiaTheme="minorEastAsia"/>
          <w:sz w:val="24"/>
          <w:u w:val="single"/>
          <w:lang w:val="en-US" w:eastAsia="zh-CN"/>
        </w:rPr>
        <w:t xml:space="preserve">   </w:t>
      </w:r>
      <w:r>
        <w:rPr>
          <w:rFonts w:hint="eastAsia" w:cs="宋体" w:asciiTheme="minorEastAsia" w:hAnsiTheme="minorEastAsia" w:eastAsiaTheme="minorEastAsia"/>
          <w:sz w:val="24"/>
        </w:rPr>
        <w:t>天（不少于90天）</w:t>
      </w:r>
      <w:r>
        <w:rPr>
          <w:rFonts w:hint="eastAsia" w:cs="宋体" w:asciiTheme="minorEastAsia" w:hAnsiTheme="minorEastAsia" w:eastAsiaTheme="minorEastAsia"/>
        </w:rPr>
        <w:t>，</w:t>
      </w:r>
      <w:r>
        <w:rPr>
          <w:rFonts w:hint="eastAsia" w:cs="宋体" w:asciiTheme="minorEastAsia" w:hAnsiTheme="minorEastAsia" w:eastAsiaTheme="minorEastAsia"/>
          <w:sz w:val="24"/>
        </w:rPr>
        <w:t>本投标文件在投标有效期满之前均具有约束力。</w:t>
      </w:r>
    </w:p>
    <w:p w14:paraId="6716A7E0">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2、我方的投标文件包括以下内容：</w:t>
      </w:r>
    </w:p>
    <w:p w14:paraId="744510CD">
      <w:pPr>
        <w:snapToGrid w:val="0"/>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2.1资格文件：</w:t>
      </w:r>
    </w:p>
    <w:p w14:paraId="5E45937F">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2.1.1承诺函；</w:t>
      </w:r>
    </w:p>
    <w:p w14:paraId="0652F248">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2.1.2</w:t>
      </w:r>
      <w:r>
        <w:rPr>
          <w:rFonts w:hint="eastAsia" w:cs="宋体" w:asciiTheme="minorEastAsia" w:hAnsiTheme="minorEastAsia" w:eastAsiaTheme="minorEastAsia"/>
          <w:snapToGrid w:val="0"/>
          <w:kern w:val="28"/>
          <w:sz w:val="24"/>
          <w:szCs w:val="20"/>
        </w:rPr>
        <w:t>联合协议（如果有)；</w:t>
      </w:r>
    </w:p>
    <w:p w14:paraId="5E4615B9">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.1.3</w:t>
      </w:r>
      <w:r>
        <w:rPr>
          <w:rFonts w:hint="eastAsia" w:cs="宋体" w:asciiTheme="minorEastAsia" w:hAnsiTheme="minorEastAsia" w:eastAsiaTheme="minorEastAsia"/>
          <w:sz w:val="24"/>
        </w:rPr>
        <w:t>落实政府采购政策需满足的资格要求（如果有）；</w:t>
      </w:r>
    </w:p>
    <w:p w14:paraId="68FEA642">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w:t>
      </w: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本项目的特定资格要求（如果有）。</w:t>
      </w:r>
    </w:p>
    <w:p w14:paraId="7A90A72B">
      <w:pPr>
        <w:snapToGrid w:val="0"/>
        <w:ind w:left="210" w:leftChars="1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2商务技术</w:t>
      </w:r>
      <w:r>
        <w:rPr>
          <w:rFonts w:hint="eastAsia" w:cs="宋体" w:asciiTheme="minorEastAsia" w:hAnsiTheme="minorEastAsia" w:eastAsiaTheme="minorEastAsia"/>
          <w:sz w:val="24"/>
          <w:lang w:val="zh-CN"/>
        </w:rPr>
        <w:t>文件：</w:t>
      </w:r>
    </w:p>
    <w:p w14:paraId="6F4640D1">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2.2.1投标函；</w:t>
      </w:r>
    </w:p>
    <w:p w14:paraId="42D054AD">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2.2.2授权委托书或法定代表人（单位负责人）身份证明；</w:t>
      </w:r>
    </w:p>
    <w:p w14:paraId="05B1C025">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3</w:t>
      </w:r>
      <w:r>
        <w:rPr>
          <w:rFonts w:hint="eastAsia" w:cs="宋体" w:asciiTheme="minorEastAsia" w:hAnsiTheme="minorEastAsia" w:eastAsiaTheme="minorEastAsia"/>
          <w:sz w:val="24"/>
        </w:rPr>
        <w:t>分包意向协议（如果有）；</w:t>
      </w:r>
    </w:p>
    <w:p w14:paraId="7AAEA834">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4</w:t>
      </w:r>
      <w:r>
        <w:rPr>
          <w:rFonts w:hint="eastAsia" w:cs="宋体" w:asciiTheme="minorEastAsia" w:hAnsiTheme="minorEastAsia" w:eastAsiaTheme="minorEastAsia"/>
          <w:sz w:val="24"/>
        </w:rPr>
        <w:t>符合性审查资料；</w:t>
      </w:r>
    </w:p>
    <w:p w14:paraId="60CA043E">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5</w:t>
      </w:r>
      <w:r>
        <w:rPr>
          <w:rFonts w:hint="eastAsia" w:cs="宋体" w:asciiTheme="minorEastAsia" w:hAnsiTheme="minorEastAsia" w:eastAsiaTheme="minorEastAsia"/>
          <w:sz w:val="24"/>
        </w:rPr>
        <w:t>评标标准相应的商务技术资料；</w:t>
      </w:r>
    </w:p>
    <w:p w14:paraId="7AC4D50D">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2.2.6商务技术偏离表；</w:t>
      </w:r>
    </w:p>
    <w:p w14:paraId="28CB39B1">
      <w:pPr>
        <w:snapToGrid w:val="0"/>
        <w:spacing w:line="276" w:lineRule="auto"/>
        <w:ind w:left="420" w:leftChars="2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7</w:t>
      </w:r>
      <w:r>
        <w:rPr>
          <w:rFonts w:hint="eastAsia" w:cs="宋体" w:asciiTheme="minorEastAsia" w:hAnsiTheme="minorEastAsia" w:eastAsiaTheme="minorEastAsia"/>
          <w:sz w:val="24"/>
          <w:lang w:val="zh-CN"/>
        </w:rPr>
        <w:t>政府采购供应商廉洁自律承诺书；</w:t>
      </w:r>
    </w:p>
    <w:p w14:paraId="269A7C4E">
      <w:pPr>
        <w:snapToGrid w:val="0"/>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3报价文件</w:t>
      </w:r>
    </w:p>
    <w:p w14:paraId="1109A707">
      <w:pPr>
        <w:snapToGrid w:val="0"/>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2.3.1开标一览表（报价表）；</w:t>
      </w:r>
    </w:p>
    <w:p w14:paraId="196A7957">
      <w:pPr>
        <w:snapToGrid w:val="0"/>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2.3.2中小企业声明函（如果有）。</w:t>
      </w:r>
    </w:p>
    <w:p w14:paraId="728B8D78">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3、我方承诺除商务技术偏离表列出的偏离外，我方响应招标文件的全部要求。</w:t>
      </w:r>
    </w:p>
    <w:p w14:paraId="61F818A8">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4、如我方中标，我方承诺：</w:t>
      </w:r>
    </w:p>
    <w:p w14:paraId="799B65C7">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4.1在收到中标通知书后，在中标通知书规定的期限内与你方签订合同； </w:t>
      </w:r>
    </w:p>
    <w:p w14:paraId="0E4810CA">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14:paraId="0D4A721B">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4.3按照招标文件要求提交履约保证金； </w:t>
      </w:r>
    </w:p>
    <w:p w14:paraId="78112B9D">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14:paraId="27642DB2">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5、其他补充说明:。</w:t>
      </w:r>
    </w:p>
    <w:p w14:paraId="7208855F">
      <w:pPr>
        <w:spacing w:line="360" w:lineRule="auto"/>
        <w:ind w:firstLine="3600" w:firstLineChars="1500"/>
        <w:rPr>
          <w:rFonts w:cs="宋体" w:asciiTheme="minorEastAsia" w:hAnsiTheme="minorEastAsia" w:eastAsiaTheme="minorEastAsia"/>
          <w:sz w:val="24"/>
        </w:rPr>
      </w:pPr>
      <w:r>
        <w:rPr>
          <w:rFonts w:hint="eastAsia" w:cs="宋体" w:asciiTheme="minorEastAsia" w:hAnsiTheme="minorEastAsia" w:eastAsiaTheme="minorEastAsia"/>
          <w:sz w:val="24"/>
        </w:rPr>
        <w:t xml:space="preserve">投标人名称（电子签名）：                          </w:t>
      </w:r>
    </w:p>
    <w:p w14:paraId="27334D32">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14:paraId="0C1CA4B2">
      <w:pPr>
        <w:jc w:val="center"/>
        <w:rPr>
          <w:rFonts w:cs="宋体" w:asciiTheme="minorEastAsia" w:hAnsiTheme="minorEastAsia" w:eastAsiaTheme="minorEastAsia"/>
          <w:b/>
          <w:kern w:val="0"/>
          <w:sz w:val="32"/>
          <w:szCs w:val="32"/>
          <w:lang w:val="zh-CN"/>
        </w:rPr>
        <w:sectPr>
          <w:pgSz w:w="11906" w:h="16838"/>
          <w:pgMar w:top="1440" w:right="1418" w:bottom="1440" w:left="1418" w:header="851" w:footer="992" w:gutter="0"/>
          <w:cols w:space="0" w:num="1"/>
          <w:titlePg/>
          <w:docGrid w:linePitch="312" w:charSpace="0"/>
        </w:sectPr>
      </w:pPr>
    </w:p>
    <w:p w14:paraId="45FBA8BA">
      <w:pPr>
        <w:jc w:val="center"/>
        <w:rPr>
          <w:rFonts w:cs="宋体" w:asciiTheme="minorEastAsia" w:hAnsiTheme="minorEastAsia" w:eastAsiaTheme="minorEastAsia"/>
          <w:b/>
          <w:kern w:val="0"/>
          <w:sz w:val="32"/>
          <w:szCs w:val="32"/>
          <w:lang w:val="zh-CN"/>
        </w:rPr>
      </w:pPr>
      <w:r>
        <w:rPr>
          <w:rFonts w:hint="eastAsia" w:cs="宋体" w:asciiTheme="minorEastAsia" w:hAnsiTheme="minorEastAsia" w:eastAsiaTheme="minorEastAsia"/>
          <w:b/>
          <w:kern w:val="0"/>
          <w:sz w:val="32"/>
          <w:szCs w:val="32"/>
          <w:lang w:val="zh-CN"/>
        </w:rPr>
        <w:t>二、授权委托书或法定代表人（单位负责人、自然人本人）身份证明</w:t>
      </w:r>
    </w:p>
    <w:p w14:paraId="300D148D">
      <w:pPr>
        <w:snapToGrid w:val="0"/>
        <w:spacing w:line="360" w:lineRule="auto"/>
        <w:rPr>
          <w:rFonts w:cs="宋体" w:asciiTheme="minorEastAsia" w:hAnsiTheme="minorEastAsia" w:eastAsiaTheme="minorEastAsia"/>
          <w:sz w:val="24"/>
        </w:rPr>
      </w:pPr>
    </w:p>
    <w:p w14:paraId="7ABB538D">
      <w:pPr>
        <w:snapToGrid w:val="0"/>
        <w:spacing w:line="360" w:lineRule="auto"/>
        <w:jc w:val="center"/>
        <w:rPr>
          <w:rFonts w:cs="宋体" w:asciiTheme="minorEastAsia" w:hAnsiTheme="minorEastAsia" w:eastAsiaTheme="minorEastAsia"/>
        </w:rPr>
      </w:pPr>
      <w:r>
        <w:rPr>
          <w:rFonts w:hint="eastAsia" w:cs="宋体" w:asciiTheme="minorEastAsia" w:hAnsiTheme="minorEastAsia" w:eastAsiaTheme="minorEastAsia"/>
          <w:b/>
          <w:kern w:val="0"/>
          <w:sz w:val="32"/>
          <w:szCs w:val="32"/>
          <w:lang w:val="zh-CN"/>
        </w:rPr>
        <w:t>授权委托书</w:t>
      </w:r>
    </w:p>
    <w:p w14:paraId="280E7E60">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14:paraId="52B7DDA7">
      <w:pPr>
        <w:snapToGrid w:val="0"/>
        <w:spacing w:line="360" w:lineRule="auto"/>
        <w:ind w:firstLine="576"/>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委托（姓名）为我方代理人（身份证号码：，手机：），以我方名义处理</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政府采购投标的一切事项，其法律后果由我方承担。</w:t>
      </w:r>
    </w:p>
    <w:p w14:paraId="477C1515">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自年月日起至年月日止。</w:t>
      </w:r>
    </w:p>
    <w:p w14:paraId="30B4B1DD">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特此告知。</w:t>
      </w:r>
    </w:p>
    <w:p w14:paraId="429F5FDF">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投标人名称(电子签名)：</w:t>
      </w:r>
    </w:p>
    <w:p w14:paraId="23439AFA">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签发日期：  年  月   日</w:t>
      </w:r>
    </w:p>
    <w:p w14:paraId="23D35ACF">
      <w:pPr>
        <w:snapToGrid w:val="0"/>
        <w:spacing w:line="360" w:lineRule="auto"/>
        <w:rPr>
          <w:rFonts w:cs="宋体" w:asciiTheme="minorEastAsia" w:hAnsiTheme="minorEastAsia" w:eastAsiaTheme="minorEastAsia"/>
          <w:kern w:val="0"/>
          <w:sz w:val="24"/>
          <w:lang w:val="zh-CN"/>
        </w:rPr>
      </w:pPr>
    </w:p>
    <w:p w14:paraId="08832824">
      <w:pPr>
        <w:autoSpaceDE w:val="0"/>
        <w:autoSpaceDN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32"/>
          <w:szCs w:val="32"/>
          <w:lang w:val="zh-CN"/>
        </w:rPr>
        <w:t>法定代表人、单位负责人或自然人本人</w:t>
      </w:r>
      <w:r>
        <w:rPr>
          <w:rFonts w:hint="eastAsia" w:cs="宋体" w:asciiTheme="minorEastAsia" w:hAnsiTheme="minorEastAsia" w:eastAsiaTheme="minorEastAsia"/>
          <w:b/>
          <w:sz w:val="30"/>
          <w:szCs w:val="30"/>
        </w:rPr>
        <w:t>的身份证明（适用于法定代表人、单位负责人或者自然人本人代表投标人参加投标）</w:t>
      </w:r>
    </w:p>
    <w:p w14:paraId="05DD1D59">
      <w:pPr>
        <w:pStyle w:val="154"/>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身份证件扫描件：</w:t>
      </w:r>
    </w:p>
    <w:tbl>
      <w:tblPr>
        <w:tblStyle w:val="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A9D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37A951D">
            <w:pPr>
              <w:pStyle w:val="154"/>
              <w:adjustRightIn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正面：                                 反面：</w:t>
            </w:r>
          </w:p>
          <w:p w14:paraId="50FC1799">
            <w:pPr>
              <w:pStyle w:val="154"/>
              <w:adjustRightInd w:val="0"/>
              <w:spacing w:line="360" w:lineRule="auto"/>
              <w:rPr>
                <w:rFonts w:cs="宋体" w:asciiTheme="minorEastAsia" w:hAnsiTheme="minorEastAsia" w:eastAsiaTheme="minorEastAsia"/>
                <w:bCs/>
                <w:sz w:val="24"/>
              </w:rPr>
            </w:pPr>
          </w:p>
        </w:tc>
      </w:tr>
    </w:tbl>
    <w:p w14:paraId="09B7C2C0">
      <w:pPr>
        <w:snapToGrid w:val="0"/>
        <w:spacing w:line="360" w:lineRule="auto"/>
        <w:ind w:firstLine="576"/>
        <w:jc w:val="center"/>
        <w:rPr>
          <w:rFonts w:cs="宋体" w:asciiTheme="minorEastAsia" w:hAnsiTheme="minorEastAsia" w:eastAsiaTheme="minorEastAsia"/>
          <w:kern w:val="0"/>
          <w:sz w:val="24"/>
          <w:lang w:val="zh-CN"/>
        </w:rPr>
      </w:pPr>
    </w:p>
    <w:p w14:paraId="071B611C">
      <w:pPr>
        <w:snapToGrid w:val="0"/>
        <w:spacing w:line="360" w:lineRule="auto"/>
        <w:ind w:firstLine="576"/>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投标人名称(电子签名)：                              </w:t>
      </w:r>
    </w:p>
    <w:p w14:paraId="2D1180F3">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2C7E9EB3">
      <w:pPr>
        <w:snapToGrid w:val="0"/>
        <w:spacing w:line="360" w:lineRule="auto"/>
        <w:ind w:firstLine="3534" w:firstLineChars="1100"/>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三、分包意向协议</w:t>
      </w:r>
    </w:p>
    <w:p w14:paraId="2700F5EE">
      <w:pPr>
        <w:widowControl/>
        <w:spacing w:line="360" w:lineRule="auto"/>
        <w:ind w:firstLine="120" w:firstLineChars="50"/>
        <w:jc w:val="left"/>
        <w:rPr>
          <w:rFonts w:cs="宋体" w:asciiTheme="minorEastAsia" w:hAnsiTheme="minorEastAsia" w:eastAsiaTheme="minorEastAsia"/>
          <w:sz w:val="24"/>
        </w:rPr>
      </w:pPr>
      <w:bookmarkStart w:id="398" w:name="_Hlk101169080"/>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中标后以分包方式履行合同的，提供分包意向协议(附件6</w:t>
      </w:r>
      <w:r>
        <w:rPr>
          <w:rFonts w:cs="宋体" w:asciiTheme="minorEastAsia" w:hAnsiTheme="minorEastAsia" w:eastAsiaTheme="minorEastAsia"/>
          <w:b/>
          <w:sz w:val="24"/>
        </w:rPr>
        <w:t>)</w:t>
      </w:r>
      <w:r>
        <w:rPr>
          <w:rFonts w:hint="eastAsia" w:cs="宋体" w:asciiTheme="minorEastAsia" w:hAnsiTheme="minorEastAsia" w:eastAsiaTheme="minorEastAsia"/>
          <w:b/>
          <w:sz w:val="24"/>
        </w:rPr>
        <w:t>；采购人不同意分包或者投标人中标后不以分包方式履行合同的，则不需要提供。</w:t>
      </w:r>
      <w:r>
        <w:rPr>
          <w:rFonts w:hint="eastAsia" w:cs="宋体" w:asciiTheme="minorEastAsia" w:hAnsiTheme="minorEastAsia" w:eastAsiaTheme="minorEastAsia"/>
          <w:sz w:val="24"/>
        </w:rPr>
        <w:t>]</w:t>
      </w:r>
    </w:p>
    <w:bookmarkEnd w:id="398"/>
    <w:p w14:paraId="61911E9B">
      <w:pPr>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3AD9D96F">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四、符合性审查资料</w:t>
      </w:r>
    </w:p>
    <w:p w14:paraId="1D701F27">
      <w:pPr>
        <w:jc w:val="center"/>
        <w:rPr>
          <w:rFonts w:cs="宋体" w:asciiTheme="minorEastAsia" w:hAnsiTheme="minorEastAsia" w:eastAsiaTheme="minorEastAsia"/>
          <w:b/>
          <w:kern w:val="0"/>
          <w:sz w:val="32"/>
          <w:szCs w:val="32"/>
        </w:rPr>
      </w:pPr>
    </w:p>
    <w:tbl>
      <w:tblPr>
        <w:tblStyle w:val="69"/>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418"/>
      </w:tblGrid>
      <w:tr w14:paraId="47B90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14:paraId="690374EA">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4991" w:type="dxa"/>
            <w:vAlign w:val="center"/>
          </w:tcPr>
          <w:p w14:paraId="5B4B09B7">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实质性要求</w:t>
            </w:r>
          </w:p>
        </w:tc>
        <w:tc>
          <w:tcPr>
            <w:tcW w:w="2551" w:type="dxa"/>
            <w:vAlign w:val="center"/>
          </w:tcPr>
          <w:p w14:paraId="75CD2DD8">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需要提供的符合性审查资料</w:t>
            </w:r>
          </w:p>
        </w:tc>
        <w:tc>
          <w:tcPr>
            <w:tcW w:w="1418" w:type="dxa"/>
            <w:vAlign w:val="center"/>
          </w:tcPr>
          <w:p w14:paraId="4D0AB947">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投标文件中的</w:t>
            </w:r>
          </w:p>
          <w:p w14:paraId="555CC6AB">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页码位置</w:t>
            </w:r>
          </w:p>
        </w:tc>
      </w:tr>
      <w:tr w14:paraId="2DAD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707A203B">
            <w:pPr>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4991" w:type="dxa"/>
            <w:vAlign w:val="center"/>
          </w:tcPr>
          <w:p w14:paraId="5690E9B9">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投标文件按照招标文件要求签署、盖章。</w:t>
            </w:r>
          </w:p>
        </w:tc>
        <w:tc>
          <w:tcPr>
            <w:tcW w:w="2551" w:type="dxa"/>
            <w:vAlign w:val="center"/>
          </w:tcPr>
          <w:p w14:paraId="19D41999">
            <w:pPr>
              <w:jc w:val="center"/>
              <w:rPr>
                <w:rFonts w:cs="宋体" w:asciiTheme="minorEastAsia" w:hAnsiTheme="minorEastAsia" w:eastAsiaTheme="minorEastAsia"/>
                <w:sz w:val="24"/>
              </w:rPr>
            </w:pPr>
            <w:r>
              <w:rPr>
                <w:rFonts w:hint="eastAsia" w:cs="宋体" w:asciiTheme="minorEastAsia" w:hAnsiTheme="minorEastAsia" w:eastAsiaTheme="minorEastAsia"/>
                <w:sz w:val="24"/>
              </w:rPr>
              <w:t>需要使用电子签名或者签字盖章的投标文件的组成部分</w:t>
            </w:r>
          </w:p>
        </w:tc>
        <w:tc>
          <w:tcPr>
            <w:tcW w:w="1418" w:type="dxa"/>
            <w:vAlign w:val="center"/>
          </w:tcPr>
          <w:p w14:paraId="1B1B9B6B">
            <w:pPr>
              <w:rPr>
                <w:rFonts w:cs="宋体" w:asciiTheme="minorEastAsia" w:hAnsiTheme="minorEastAsia" w:eastAsiaTheme="minorEastAsia"/>
                <w:sz w:val="24"/>
              </w:rPr>
            </w:pPr>
            <w:r>
              <w:rPr>
                <w:rFonts w:hint="eastAsia" w:cs="宋体" w:asciiTheme="minorEastAsia" w:hAnsiTheme="minorEastAsia" w:eastAsiaTheme="minorEastAsia"/>
                <w:sz w:val="24"/>
              </w:rPr>
              <w:t>见投标文件</w:t>
            </w:r>
          </w:p>
          <w:p w14:paraId="2980EB63">
            <w:pPr>
              <w:jc w:val="center"/>
              <w:rPr>
                <w:rFonts w:cs="宋体" w:asciiTheme="minorEastAsia" w:hAnsiTheme="minorEastAsia" w:eastAsiaTheme="minorEastAsia"/>
              </w:rPr>
            </w:pPr>
            <w:r>
              <w:rPr>
                <w:rFonts w:hint="eastAsia" w:cs="宋体" w:asciiTheme="minorEastAsia" w:hAnsiTheme="minorEastAsia" w:eastAsiaTheme="minorEastAsia"/>
                <w:sz w:val="24"/>
              </w:rPr>
              <w:t>第页</w:t>
            </w:r>
          </w:p>
        </w:tc>
      </w:tr>
      <w:tr w14:paraId="4F18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766F8DC2">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4991" w:type="dxa"/>
            <w:vAlign w:val="center"/>
          </w:tcPr>
          <w:p w14:paraId="4DAD6A5C">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7E3A9972">
            <w:pPr>
              <w:jc w:val="center"/>
              <w:rPr>
                <w:rFonts w:cs="宋体" w:asciiTheme="minorEastAsia" w:hAnsiTheme="minorEastAsia" w:eastAsiaTheme="minorEastAsia"/>
                <w:sz w:val="24"/>
              </w:rPr>
            </w:pPr>
            <w:r>
              <w:rPr>
                <w:rFonts w:hint="eastAsia" w:cs="宋体" w:asciiTheme="minorEastAsia" w:hAnsiTheme="minorEastAsia" w:eastAsiaTheme="minorEastAsia"/>
                <w:sz w:val="24"/>
              </w:rPr>
              <w:t>节能产品认证证书（本项目拟采购的产品不属于政府强制采购的节能产品品目清单范围的，无需提供）</w:t>
            </w:r>
          </w:p>
        </w:tc>
        <w:tc>
          <w:tcPr>
            <w:tcW w:w="1418" w:type="dxa"/>
            <w:vAlign w:val="center"/>
          </w:tcPr>
          <w:p w14:paraId="632108B1">
            <w:pPr>
              <w:rPr>
                <w:rFonts w:cs="宋体" w:asciiTheme="minorEastAsia" w:hAnsiTheme="minorEastAsia" w:eastAsiaTheme="minorEastAsia"/>
                <w:sz w:val="24"/>
              </w:rPr>
            </w:pPr>
            <w:r>
              <w:rPr>
                <w:rFonts w:hint="eastAsia" w:cs="宋体" w:asciiTheme="minorEastAsia" w:hAnsiTheme="minorEastAsia" w:eastAsiaTheme="minorEastAsia"/>
                <w:sz w:val="24"/>
              </w:rPr>
              <w:t>见投标文件</w:t>
            </w:r>
          </w:p>
          <w:p w14:paraId="3CD28429">
            <w:pPr>
              <w:pStyle w:val="4"/>
              <w:jc w:val="center"/>
              <w:rPr>
                <w:rFonts w:cs="宋体" w:asciiTheme="minorEastAsia" w:hAnsiTheme="minorEastAsia" w:eastAsiaTheme="minorEastAsia"/>
                <w:lang w:val="en-US"/>
              </w:rPr>
            </w:pPr>
            <w:r>
              <w:rPr>
                <w:rFonts w:hint="eastAsia" w:cs="宋体" w:asciiTheme="minorEastAsia" w:hAnsiTheme="minorEastAsia" w:eastAsiaTheme="minorEastAsia"/>
                <w:b w:val="0"/>
                <w:bCs w:val="0"/>
                <w:sz w:val="24"/>
                <w:szCs w:val="24"/>
                <w:lang w:val="en-US"/>
              </w:rPr>
              <w:t>第页</w:t>
            </w:r>
          </w:p>
        </w:tc>
      </w:tr>
      <w:tr w14:paraId="2FBB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3330FAB9">
            <w:pPr>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4991" w:type="dxa"/>
            <w:vAlign w:val="center"/>
          </w:tcPr>
          <w:p w14:paraId="3F74E09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投标文件中承诺的投标有效期不少于招标文件中载明的投标有效期。</w:t>
            </w:r>
          </w:p>
        </w:tc>
        <w:tc>
          <w:tcPr>
            <w:tcW w:w="2551" w:type="dxa"/>
            <w:vAlign w:val="center"/>
          </w:tcPr>
          <w:p w14:paraId="79319497">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投标函</w:t>
            </w:r>
          </w:p>
        </w:tc>
        <w:tc>
          <w:tcPr>
            <w:tcW w:w="1418" w:type="dxa"/>
            <w:vAlign w:val="center"/>
          </w:tcPr>
          <w:p w14:paraId="23350ECF">
            <w:pPr>
              <w:jc w:val="center"/>
              <w:rPr>
                <w:rFonts w:cs="宋体" w:asciiTheme="minorEastAsia" w:hAnsiTheme="minorEastAsia" w:eastAsiaTheme="minorEastAsia"/>
              </w:rPr>
            </w:pPr>
            <w:r>
              <w:rPr>
                <w:rFonts w:hint="eastAsia" w:cs="宋体" w:asciiTheme="minorEastAsia" w:hAnsiTheme="minorEastAsia" w:eastAsiaTheme="minorEastAsia"/>
                <w:sz w:val="24"/>
              </w:rPr>
              <w:t>见投标文件第页</w:t>
            </w:r>
          </w:p>
        </w:tc>
      </w:tr>
      <w:tr w14:paraId="4E8B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5F1278FE">
            <w:pPr>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4991" w:type="dxa"/>
            <w:vAlign w:val="center"/>
          </w:tcPr>
          <w:p w14:paraId="01F0B85E">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投标文件满足招标文件的其它实质性要求。</w:t>
            </w:r>
          </w:p>
        </w:tc>
        <w:tc>
          <w:tcPr>
            <w:tcW w:w="2551" w:type="dxa"/>
            <w:vAlign w:val="center"/>
          </w:tcPr>
          <w:p w14:paraId="30DDF5C8">
            <w:pPr>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招标文件其它实质性要求相应的材料（“▲” 系指实质性要求条款，招标文件无其它实质性要求的，无需提供）</w:t>
            </w:r>
          </w:p>
        </w:tc>
        <w:tc>
          <w:tcPr>
            <w:tcW w:w="1418" w:type="dxa"/>
            <w:vAlign w:val="center"/>
          </w:tcPr>
          <w:p w14:paraId="26EF795C">
            <w:pPr>
              <w:jc w:val="center"/>
              <w:rPr>
                <w:rFonts w:cs="宋体" w:asciiTheme="minorEastAsia" w:hAnsiTheme="minorEastAsia" w:eastAsiaTheme="minorEastAsia"/>
              </w:rPr>
            </w:pPr>
            <w:r>
              <w:rPr>
                <w:rFonts w:hint="eastAsia" w:cs="宋体" w:asciiTheme="minorEastAsia" w:hAnsiTheme="minorEastAsia" w:eastAsiaTheme="minorEastAsia"/>
                <w:sz w:val="24"/>
              </w:rPr>
              <w:t>见投标文件第页</w:t>
            </w:r>
          </w:p>
        </w:tc>
      </w:tr>
    </w:tbl>
    <w:p w14:paraId="1C7D9118">
      <w:pPr>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2D4B65B9">
      <w:pPr>
        <w:jc w:val="center"/>
        <w:rPr>
          <w:rFonts w:cs="宋体" w:asciiTheme="minorEastAsia" w:hAnsiTheme="minorEastAsia" w:eastAsiaTheme="minorEastAsia"/>
        </w:rPr>
      </w:pPr>
      <w:r>
        <w:rPr>
          <w:rFonts w:hint="eastAsia" w:cs="宋体" w:asciiTheme="minorEastAsia" w:hAnsiTheme="minorEastAsia" w:eastAsiaTheme="minorEastAsia"/>
          <w:b/>
          <w:kern w:val="0"/>
          <w:sz w:val="32"/>
          <w:szCs w:val="32"/>
        </w:rPr>
        <w:t>五、评标标准相应的商务技术资料</w:t>
      </w:r>
    </w:p>
    <w:p w14:paraId="7FF4D6F2">
      <w:pPr>
        <w:snapToGrid w:val="0"/>
        <w:spacing w:line="360" w:lineRule="auto"/>
        <w:jc w:val="left"/>
        <w:rPr>
          <w:rFonts w:cs="宋体" w:asciiTheme="minorEastAsia" w:hAnsiTheme="minorEastAsia" w:eastAsiaTheme="minorEastAsia"/>
          <w:b/>
          <w:kern w:val="0"/>
          <w:sz w:val="32"/>
          <w:szCs w:val="32"/>
        </w:rPr>
      </w:pPr>
      <w:r>
        <w:rPr>
          <w:rFonts w:hint="eastAsia" w:cs="宋体" w:asciiTheme="minorEastAsia" w:hAnsiTheme="minorEastAsia" w:eastAsiaTheme="minorEastAsia"/>
          <w:b/>
          <w:sz w:val="24"/>
        </w:rPr>
        <w:t>（按招标文件第四部分评标办法前附表中“投标文件中评标标准相应的商务技术资料目录”提供资料）</w:t>
      </w:r>
    </w:p>
    <w:p w14:paraId="613DD3C2">
      <w:pPr>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73AA3F0D">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六、商务技术偏离表</w:t>
      </w:r>
    </w:p>
    <w:tbl>
      <w:tblPr>
        <w:tblStyle w:val="7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339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2E2922">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序号</w:t>
            </w:r>
          </w:p>
        </w:tc>
        <w:tc>
          <w:tcPr>
            <w:tcW w:w="3683" w:type="dxa"/>
          </w:tcPr>
          <w:p w14:paraId="0707245A">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招标文件章节及具体内容</w:t>
            </w:r>
          </w:p>
        </w:tc>
        <w:tc>
          <w:tcPr>
            <w:tcW w:w="3546" w:type="dxa"/>
          </w:tcPr>
          <w:p w14:paraId="3FA3ADE8">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投标文件章节及具体内容</w:t>
            </w:r>
          </w:p>
        </w:tc>
        <w:tc>
          <w:tcPr>
            <w:tcW w:w="1276" w:type="dxa"/>
          </w:tcPr>
          <w:p w14:paraId="00BB3EEA">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偏离说明</w:t>
            </w:r>
          </w:p>
        </w:tc>
      </w:tr>
      <w:tr w14:paraId="0A9C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710B70">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3683" w:type="dxa"/>
          </w:tcPr>
          <w:p w14:paraId="4B4E82F7">
            <w:pPr>
              <w:jc w:val="center"/>
              <w:rPr>
                <w:rFonts w:cs="宋体" w:asciiTheme="minorEastAsia" w:hAnsiTheme="minorEastAsia" w:eastAsiaTheme="minorEastAsia"/>
                <w:b/>
                <w:kern w:val="0"/>
                <w:sz w:val="32"/>
                <w:szCs w:val="32"/>
              </w:rPr>
            </w:pPr>
          </w:p>
        </w:tc>
        <w:tc>
          <w:tcPr>
            <w:tcW w:w="3546" w:type="dxa"/>
          </w:tcPr>
          <w:p w14:paraId="59871815">
            <w:pPr>
              <w:jc w:val="center"/>
              <w:rPr>
                <w:rFonts w:cs="宋体" w:asciiTheme="minorEastAsia" w:hAnsiTheme="minorEastAsia" w:eastAsiaTheme="minorEastAsia"/>
                <w:b/>
                <w:kern w:val="0"/>
                <w:sz w:val="32"/>
                <w:szCs w:val="32"/>
              </w:rPr>
            </w:pPr>
          </w:p>
        </w:tc>
        <w:tc>
          <w:tcPr>
            <w:tcW w:w="1276" w:type="dxa"/>
          </w:tcPr>
          <w:p w14:paraId="57679510">
            <w:pPr>
              <w:jc w:val="center"/>
              <w:rPr>
                <w:rFonts w:cs="宋体" w:asciiTheme="minorEastAsia" w:hAnsiTheme="minorEastAsia" w:eastAsiaTheme="minorEastAsia"/>
                <w:b/>
                <w:kern w:val="0"/>
                <w:sz w:val="32"/>
                <w:szCs w:val="32"/>
              </w:rPr>
            </w:pPr>
          </w:p>
        </w:tc>
      </w:tr>
      <w:tr w14:paraId="5E18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3263D8">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3683" w:type="dxa"/>
          </w:tcPr>
          <w:p w14:paraId="4251CF46">
            <w:pPr>
              <w:jc w:val="center"/>
              <w:rPr>
                <w:rFonts w:cs="宋体" w:asciiTheme="minorEastAsia" w:hAnsiTheme="minorEastAsia" w:eastAsiaTheme="minorEastAsia"/>
                <w:b/>
                <w:kern w:val="0"/>
                <w:sz w:val="32"/>
                <w:szCs w:val="32"/>
              </w:rPr>
            </w:pPr>
          </w:p>
        </w:tc>
        <w:tc>
          <w:tcPr>
            <w:tcW w:w="3546" w:type="dxa"/>
          </w:tcPr>
          <w:p w14:paraId="41C6C002">
            <w:pPr>
              <w:jc w:val="center"/>
              <w:rPr>
                <w:rFonts w:cs="宋体" w:asciiTheme="minorEastAsia" w:hAnsiTheme="minorEastAsia" w:eastAsiaTheme="minorEastAsia"/>
                <w:b/>
                <w:kern w:val="0"/>
                <w:sz w:val="32"/>
                <w:szCs w:val="32"/>
              </w:rPr>
            </w:pPr>
          </w:p>
        </w:tc>
        <w:tc>
          <w:tcPr>
            <w:tcW w:w="1276" w:type="dxa"/>
          </w:tcPr>
          <w:p w14:paraId="3A37A9BF">
            <w:pPr>
              <w:jc w:val="center"/>
              <w:rPr>
                <w:rFonts w:cs="宋体" w:asciiTheme="minorEastAsia" w:hAnsiTheme="minorEastAsia" w:eastAsiaTheme="minorEastAsia"/>
                <w:b/>
                <w:kern w:val="0"/>
                <w:sz w:val="32"/>
                <w:szCs w:val="32"/>
              </w:rPr>
            </w:pPr>
          </w:p>
        </w:tc>
      </w:tr>
      <w:tr w14:paraId="6E53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F6C972">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3683" w:type="dxa"/>
          </w:tcPr>
          <w:p w14:paraId="61D4A885">
            <w:pPr>
              <w:jc w:val="center"/>
              <w:rPr>
                <w:rFonts w:cs="宋体" w:asciiTheme="minorEastAsia" w:hAnsiTheme="minorEastAsia" w:eastAsiaTheme="minorEastAsia"/>
                <w:b/>
                <w:kern w:val="0"/>
                <w:sz w:val="32"/>
                <w:szCs w:val="32"/>
              </w:rPr>
            </w:pPr>
          </w:p>
        </w:tc>
        <w:tc>
          <w:tcPr>
            <w:tcW w:w="3546" w:type="dxa"/>
          </w:tcPr>
          <w:p w14:paraId="6745A674">
            <w:pPr>
              <w:jc w:val="center"/>
              <w:rPr>
                <w:rFonts w:cs="宋体" w:asciiTheme="minorEastAsia" w:hAnsiTheme="minorEastAsia" w:eastAsiaTheme="minorEastAsia"/>
                <w:b/>
                <w:kern w:val="0"/>
                <w:sz w:val="32"/>
                <w:szCs w:val="32"/>
              </w:rPr>
            </w:pPr>
          </w:p>
        </w:tc>
        <w:tc>
          <w:tcPr>
            <w:tcW w:w="1276" w:type="dxa"/>
          </w:tcPr>
          <w:p w14:paraId="763B55BA">
            <w:pPr>
              <w:jc w:val="center"/>
              <w:rPr>
                <w:rFonts w:cs="宋体" w:asciiTheme="minorEastAsia" w:hAnsiTheme="minorEastAsia" w:eastAsiaTheme="minorEastAsia"/>
                <w:b/>
                <w:kern w:val="0"/>
                <w:sz w:val="32"/>
                <w:szCs w:val="32"/>
              </w:rPr>
            </w:pPr>
          </w:p>
        </w:tc>
      </w:tr>
    </w:tbl>
    <w:p w14:paraId="782DD3AE">
      <w:pPr>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投标人保证：除商务技术偏离表列出的偏离外，投标人响应招标文件的全部要求</w:t>
      </w:r>
    </w:p>
    <w:p w14:paraId="6A800B36">
      <w:pPr>
        <w:ind w:firstLine="1911" w:firstLineChars="595"/>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2A3CEC0E">
      <w:pPr>
        <w:ind w:firstLine="1911" w:firstLineChars="595"/>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七、</w:t>
      </w:r>
      <w:r>
        <w:rPr>
          <w:rFonts w:hint="eastAsia" w:cs="宋体" w:asciiTheme="minorEastAsia" w:hAnsiTheme="minorEastAsia" w:eastAsiaTheme="minorEastAsia"/>
          <w:b/>
          <w:kern w:val="0"/>
          <w:sz w:val="32"/>
          <w:szCs w:val="32"/>
          <w:lang w:val="zh-CN"/>
        </w:rPr>
        <w:t>政府采购供应商廉洁自律承诺书</w:t>
      </w:r>
    </w:p>
    <w:p w14:paraId="561DC763">
      <w:pPr>
        <w:snapToGrid w:val="0"/>
        <w:spacing w:line="360" w:lineRule="auto"/>
        <w:rPr>
          <w:rFonts w:cs="宋体" w:asciiTheme="minorEastAsia" w:hAnsiTheme="minorEastAsia" w:eastAsiaTheme="minorEastAsia"/>
          <w:sz w:val="24"/>
        </w:rPr>
      </w:pPr>
    </w:p>
    <w:p w14:paraId="6D27F616">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14:paraId="58678280">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我单位响应你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项目招标要求参加投标。在这次投标过程中和中标后，我们将严格遵守国家法律法规要求，并郑重承诺：</w:t>
      </w:r>
    </w:p>
    <w:p w14:paraId="53FD2A8E">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40322024">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二、不为项目有关人员及部门报销应由你方单位或个人支付的费用； </w:t>
      </w:r>
    </w:p>
    <w:p w14:paraId="6694EF78">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三、不向项目有关人员及部门提供有可能影响公正的宴请和健身娱乐等活动； </w:t>
      </w:r>
    </w:p>
    <w:p w14:paraId="283801FF">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四、不为项目有关人员及部门出国（境）、旅游等提供方便；</w:t>
      </w:r>
    </w:p>
    <w:p w14:paraId="768390FD">
      <w:pPr>
        <w:autoSpaceDE w:val="0"/>
        <w:autoSpaceDN w:val="0"/>
        <w:spacing w:line="360" w:lineRule="auto"/>
        <w:ind w:left="481" w:leftChars="2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五、不为项目有关人员个人装修住房、婚丧嫁娶、配偶子女工作安排等提供</w:t>
      </w:r>
    </w:p>
    <w:p w14:paraId="7958C943">
      <w:pPr>
        <w:autoSpaceDE w:val="0"/>
        <w:autoSpaceDN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好处；</w:t>
      </w:r>
    </w:p>
    <w:p w14:paraId="7F189C31">
      <w:pPr>
        <w:autoSpaceDE w:val="0"/>
        <w:autoSpaceDN w:val="0"/>
        <w:spacing w:line="360" w:lineRule="auto"/>
        <w:ind w:left="481" w:leftChars="2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六、严格遵守《</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政府采购法》《</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招标投标</w:t>
      </w:r>
    </w:p>
    <w:p w14:paraId="44482C84">
      <w:pPr>
        <w:autoSpaceDE w:val="0"/>
        <w:autoSpaceDN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法》</w:t>
      </w:r>
      <w:r>
        <w:rPr>
          <w:rFonts w:hint="eastAsia" w:cs="宋体" w:asciiTheme="minorEastAsia" w:hAnsiTheme="minorEastAsia" w:eastAsiaTheme="minorEastAsia"/>
          <w:sz w:val="24"/>
          <w:lang w:val="zh-CN"/>
        </w:rPr>
        <w:t>《中华人民共和国民法典》</w:t>
      </w:r>
      <w:r>
        <w:rPr>
          <w:rFonts w:hint="eastAsia" w:cs="宋体" w:asciiTheme="minorEastAsia" w:hAnsiTheme="minorEastAsia" w:eastAsiaTheme="minorEastAsia"/>
          <w:kern w:val="0"/>
          <w:sz w:val="24"/>
          <w:lang w:val="zh-CN"/>
        </w:rPr>
        <w:t xml:space="preserve">等法律法规，诚实守信，合法经营，坚决抵制各种违法违纪行为。 </w:t>
      </w:r>
    </w:p>
    <w:p w14:paraId="6091C7C1">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如违反上述承诺，你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进行项目建设或其他经营活动，并通报市财政局。由此引起的相应损失均由我单位承担。</w:t>
      </w:r>
    </w:p>
    <w:p w14:paraId="16A8F369">
      <w:pPr>
        <w:autoSpaceDE w:val="0"/>
        <w:autoSpaceDN w:val="0"/>
        <w:spacing w:line="360" w:lineRule="auto"/>
        <w:ind w:left="2"/>
        <w:jc w:val="left"/>
        <w:rPr>
          <w:rFonts w:cs="宋体" w:asciiTheme="minorEastAsia" w:hAnsiTheme="minorEastAsia" w:eastAsiaTheme="minorEastAsia"/>
          <w:kern w:val="0"/>
          <w:sz w:val="24"/>
          <w:lang w:val="zh-CN"/>
        </w:rPr>
      </w:pPr>
    </w:p>
    <w:p w14:paraId="1D164F5B">
      <w:pPr>
        <w:autoSpaceDE w:val="0"/>
        <w:autoSpaceDN w:val="0"/>
        <w:spacing w:line="360" w:lineRule="auto"/>
        <w:ind w:left="2"/>
        <w:jc w:val="left"/>
        <w:rPr>
          <w:rFonts w:cs="宋体" w:asciiTheme="minorEastAsia" w:hAnsiTheme="minorEastAsia" w:eastAsiaTheme="minorEastAsia"/>
          <w:kern w:val="0"/>
          <w:sz w:val="24"/>
          <w:lang w:val="zh-CN"/>
        </w:rPr>
      </w:pPr>
    </w:p>
    <w:p w14:paraId="5790989A">
      <w:pPr>
        <w:autoSpaceDE w:val="0"/>
        <w:autoSpaceDN w:val="0"/>
        <w:spacing w:line="360" w:lineRule="auto"/>
        <w:ind w:left="2"/>
        <w:jc w:val="left"/>
        <w:rPr>
          <w:rFonts w:cs="宋体" w:asciiTheme="minorEastAsia" w:hAnsiTheme="minorEastAsia" w:eastAsiaTheme="minorEastAsia"/>
          <w:kern w:val="0"/>
          <w:sz w:val="24"/>
          <w:lang w:val="zh-CN"/>
        </w:rPr>
      </w:pPr>
    </w:p>
    <w:p w14:paraId="6686D0DC">
      <w:pPr>
        <w:autoSpaceDE w:val="0"/>
        <w:autoSpaceDN w:val="0"/>
        <w:spacing w:line="360" w:lineRule="auto"/>
        <w:ind w:left="2" w:leftChars="1" w:right="1120" w:firstLine="4560" w:firstLineChars="19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投标人名称（</w:t>
      </w:r>
      <w:r>
        <w:rPr>
          <w:rFonts w:hint="eastAsia" w:cs="宋体" w:asciiTheme="minorEastAsia" w:hAnsiTheme="minorEastAsia" w:eastAsiaTheme="minorEastAsia"/>
          <w:sz w:val="24"/>
        </w:rPr>
        <w:t>电子签名</w:t>
      </w:r>
      <w:r>
        <w:rPr>
          <w:rFonts w:hint="eastAsia" w:cs="宋体" w:asciiTheme="minorEastAsia" w:hAnsiTheme="minorEastAsia" w:eastAsiaTheme="minorEastAsia"/>
          <w:kern w:val="0"/>
          <w:sz w:val="24"/>
          <w:lang w:val="zh-CN"/>
        </w:rPr>
        <w:t xml:space="preserve">）：                                                                                                                                                                                                               </w:t>
      </w:r>
    </w:p>
    <w:p w14:paraId="0E1BEB88">
      <w:pPr>
        <w:spacing w:line="360" w:lineRule="auto"/>
        <w:ind w:left="4620" w:leftChars="2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 xml:space="preserve">   年   月   日</w:t>
      </w:r>
    </w:p>
    <w:p w14:paraId="32263EF1">
      <w:pPr>
        <w:spacing w:line="360" w:lineRule="auto"/>
        <w:jc w:val="center"/>
        <w:rPr>
          <w:rFonts w:cs="宋体" w:asciiTheme="minorEastAsia" w:hAnsiTheme="minorEastAsia" w:eastAsiaTheme="minorEastAsia"/>
          <w:b/>
          <w:bCs/>
          <w:sz w:val="24"/>
        </w:rPr>
      </w:pPr>
    </w:p>
    <w:p w14:paraId="3F2F7227">
      <w:pPr>
        <w:spacing w:line="360" w:lineRule="auto"/>
        <w:jc w:val="center"/>
        <w:rPr>
          <w:rFonts w:cs="宋体" w:asciiTheme="minorEastAsia" w:hAnsiTheme="minorEastAsia" w:eastAsiaTheme="minorEastAsia"/>
          <w:b/>
          <w:bCs/>
          <w:sz w:val="24"/>
        </w:rPr>
        <w:sectPr>
          <w:pgSz w:w="11906" w:h="16838"/>
          <w:pgMar w:top="1440" w:right="1418" w:bottom="1440" w:left="1418" w:header="851" w:footer="992" w:gutter="0"/>
          <w:cols w:space="0" w:num="1"/>
          <w:titlePg/>
          <w:docGrid w:linePitch="312" w:charSpace="0"/>
        </w:sectPr>
      </w:pPr>
    </w:p>
    <w:p w14:paraId="33466DB3">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报价文件部分</w:t>
      </w:r>
    </w:p>
    <w:p w14:paraId="2A3F60F8">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14:paraId="634909DA">
      <w:pPr>
        <w:spacing w:line="360" w:lineRule="auto"/>
        <w:jc w:val="center"/>
        <w:outlineLvl w:val="0"/>
        <w:rPr>
          <w:rFonts w:cs="宋体" w:asciiTheme="minorEastAsia" w:hAnsiTheme="minorEastAsia" w:eastAsiaTheme="minorEastAsia"/>
          <w:b/>
          <w:kern w:val="0"/>
          <w:sz w:val="36"/>
          <w:szCs w:val="36"/>
        </w:rPr>
      </w:pPr>
    </w:p>
    <w:p w14:paraId="68B44DDE">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（1）开标一览表（报价表）………………………………………………………（页码）</w:t>
      </w:r>
    </w:p>
    <w:p w14:paraId="3F976956">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（2）中小企业声明函………………………………………………………………（页码）</w:t>
      </w:r>
    </w:p>
    <w:p w14:paraId="71034865">
      <w:pPr>
        <w:pStyle w:val="694"/>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3C789D59">
      <w:pPr>
        <w:pStyle w:val="694"/>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一、开标一览表（报价表）</w:t>
      </w:r>
    </w:p>
    <w:p w14:paraId="4E0FDD44">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14:paraId="052E4259">
      <w:pPr>
        <w:snapToGrid w:val="0"/>
        <w:spacing w:line="360" w:lineRule="auto"/>
        <w:ind w:firstLine="482"/>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sz w:val="24"/>
        </w:rPr>
        <w:t>（项目名称）</w:t>
      </w:r>
      <w:r>
        <w:rPr>
          <w:rFonts w:hint="eastAsia" w:cs="宋体" w:asciiTheme="minorEastAsia" w:hAnsiTheme="minorEastAsia" w:eastAsiaTheme="minorEastAsia"/>
          <w:kern w:val="0"/>
          <w:sz w:val="24"/>
          <w:lang w:val="zh-CN"/>
        </w:rPr>
        <w:t>【招标编号：</w:t>
      </w:r>
      <w:r>
        <w:rPr>
          <w:rFonts w:hint="eastAsia" w:cs="宋体" w:asciiTheme="minorEastAsia" w:hAnsiTheme="minorEastAsia" w:eastAsiaTheme="minorEastAsia"/>
          <w:sz w:val="24"/>
        </w:rPr>
        <w:t>（采购编号）】的实施</w:t>
      </w:r>
      <w:r>
        <w:rPr>
          <w:rFonts w:hint="eastAsia" w:cs="宋体" w:asciiTheme="minorEastAsia" w:hAnsiTheme="minorEastAsia" w:eastAsiaTheme="minorEastAsia"/>
          <w:kern w:val="0"/>
          <w:sz w:val="24"/>
          <w:lang w:val="zh-CN"/>
        </w:rPr>
        <w:t>。</w:t>
      </w:r>
    </w:p>
    <w:p w14:paraId="07C49AA4">
      <w:pPr>
        <w:spacing w:line="360" w:lineRule="auto"/>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开标一览表（报价表）(单位均为人民币元)</w:t>
      </w:r>
    </w:p>
    <w:tbl>
      <w:tblPr>
        <w:tblStyle w:val="69"/>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889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D8D70D3">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417" w:type="dxa"/>
            <w:vAlign w:val="center"/>
          </w:tcPr>
          <w:p w14:paraId="5466E935">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1843" w:type="dxa"/>
          </w:tcPr>
          <w:p w14:paraId="3A70B4CD">
            <w:pPr>
              <w:spacing w:line="360" w:lineRule="auto"/>
              <w:jc w:val="center"/>
              <w:rPr>
                <w:rFonts w:cs="宋体" w:asciiTheme="minorEastAsia" w:hAnsiTheme="minorEastAsia" w:eastAsiaTheme="minorEastAsia"/>
                <w:b/>
                <w:sz w:val="24"/>
              </w:rPr>
            </w:pPr>
          </w:p>
          <w:p w14:paraId="1DFC977D">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品牌（如果有）</w:t>
            </w:r>
          </w:p>
        </w:tc>
        <w:tc>
          <w:tcPr>
            <w:tcW w:w="3118" w:type="dxa"/>
            <w:vAlign w:val="center"/>
          </w:tcPr>
          <w:p w14:paraId="70D15DB6">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规格型号（或具体服务）</w:t>
            </w:r>
          </w:p>
        </w:tc>
        <w:tc>
          <w:tcPr>
            <w:tcW w:w="993" w:type="dxa"/>
            <w:vAlign w:val="center"/>
          </w:tcPr>
          <w:p w14:paraId="7CF06DE7">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数量</w:t>
            </w:r>
          </w:p>
        </w:tc>
        <w:tc>
          <w:tcPr>
            <w:tcW w:w="1559" w:type="dxa"/>
            <w:vAlign w:val="center"/>
          </w:tcPr>
          <w:p w14:paraId="7340F416">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单价</w:t>
            </w:r>
          </w:p>
        </w:tc>
        <w:tc>
          <w:tcPr>
            <w:tcW w:w="1984" w:type="dxa"/>
            <w:vAlign w:val="center"/>
          </w:tcPr>
          <w:p w14:paraId="516B7120">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总价</w:t>
            </w:r>
          </w:p>
        </w:tc>
        <w:tc>
          <w:tcPr>
            <w:tcW w:w="3119" w:type="dxa"/>
            <w:vAlign w:val="center"/>
          </w:tcPr>
          <w:p w14:paraId="63688C58">
            <w:pPr>
              <w:spacing w:line="360" w:lineRule="auto"/>
              <w:jc w:val="center"/>
              <w:rPr>
                <w:rFonts w:cs="宋体" w:asciiTheme="minorEastAsia" w:hAnsiTheme="minorEastAsia" w:eastAsiaTheme="minorEastAsia"/>
                <w:b/>
                <w:sz w:val="24"/>
              </w:rPr>
            </w:pPr>
          </w:p>
          <w:p w14:paraId="79066CA5">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服务要求（年限）</w:t>
            </w:r>
          </w:p>
          <w:p w14:paraId="7015AA67">
            <w:pPr>
              <w:spacing w:line="360" w:lineRule="auto"/>
              <w:jc w:val="center"/>
              <w:rPr>
                <w:rFonts w:cs="宋体" w:asciiTheme="minorEastAsia" w:hAnsiTheme="minorEastAsia" w:eastAsiaTheme="minorEastAsia"/>
                <w:b/>
                <w:sz w:val="24"/>
              </w:rPr>
            </w:pPr>
          </w:p>
        </w:tc>
      </w:tr>
      <w:tr w14:paraId="0B74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78703DA">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417" w:type="dxa"/>
            <w:vAlign w:val="center"/>
          </w:tcPr>
          <w:p w14:paraId="4A720AC3">
            <w:pPr>
              <w:snapToGrid w:val="0"/>
              <w:spacing w:line="360" w:lineRule="auto"/>
              <w:jc w:val="center"/>
              <w:rPr>
                <w:rFonts w:cs="宋体" w:asciiTheme="minorEastAsia" w:hAnsiTheme="minorEastAsia" w:eastAsiaTheme="minorEastAsia"/>
                <w:sz w:val="24"/>
              </w:rPr>
            </w:pPr>
          </w:p>
        </w:tc>
        <w:tc>
          <w:tcPr>
            <w:tcW w:w="1843" w:type="dxa"/>
            <w:vAlign w:val="center"/>
          </w:tcPr>
          <w:p w14:paraId="2F6E6B50">
            <w:pPr>
              <w:snapToGrid w:val="0"/>
              <w:spacing w:line="360" w:lineRule="auto"/>
              <w:jc w:val="center"/>
              <w:rPr>
                <w:rFonts w:cs="宋体" w:asciiTheme="minorEastAsia" w:hAnsiTheme="minorEastAsia" w:eastAsiaTheme="minorEastAsia"/>
                <w:sz w:val="24"/>
              </w:rPr>
            </w:pPr>
          </w:p>
        </w:tc>
        <w:tc>
          <w:tcPr>
            <w:tcW w:w="3118" w:type="dxa"/>
            <w:vAlign w:val="center"/>
          </w:tcPr>
          <w:p w14:paraId="472F46E0">
            <w:pPr>
              <w:snapToGrid w:val="0"/>
              <w:spacing w:line="360" w:lineRule="auto"/>
              <w:jc w:val="center"/>
              <w:rPr>
                <w:rFonts w:cs="宋体" w:asciiTheme="minorEastAsia" w:hAnsiTheme="minorEastAsia" w:eastAsiaTheme="minorEastAsia"/>
                <w:sz w:val="24"/>
              </w:rPr>
            </w:pPr>
          </w:p>
        </w:tc>
        <w:tc>
          <w:tcPr>
            <w:tcW w:w="993" w:type="dxa"/>
            <w:vAlign w:val="center"/>
          </w:tcPr>
          <w:p w14:paraId="59EA66E4">
            <w:pPr>
              <w:snapToGrid w:val="0"/>
              <w:spacing w:line="360" w:lineRule="auto"/>
              <w:jc w:val="center"/>
              <w:rPr>
                <w:rFonts w:cs="宋体" w:asciiTheme="minorEastAsia" w:hAnsiTheme="minorEastAsia" w:eastAsiaTheme="minorEastAsia"/>
                <w:sz w:val="24"/>
              </w:rPr>
            </w:pPr>
          </w:p>
        </w:tc>
        <w:tc>
          <w:tcPr>
            <w:tcW w:w="1559" w:type="dxa"/>
            <w:vAlign w:val="center"/>
          </w:tcPr>
          <w:p w14:paraId="71E81174">
            <w:pPr>
              <w:spacing w:line="360" w:lineRule="auto"/>
              <w:jc w:val="center"/>
              <w:rPr>
                <w:rFonts w:cs="宋体" w:asciiTheme="minorEastAsia" w:hAnsiTheme="minorEastAsia" w:eastAsiaTheme="minorEastAsia"/>
                <w:sz w:val="24"/>
              </w:rPr>
            </w:pPr>
          </w:p>
        </w:tc>
        <w:tc>
          <w:tcPr>
            <w:tcW w:w="1984" w:type="dxa"/>
            <w:vAlign w:val="center"/>
          </w:tcPr>
          <w:p w14:paraId="2BEA5860">
            <w:pPr>
              <w:spacing w:line="360" w:lineRule="auto"/>
              <w:jc w:val="center"/>
              <w:rPr>
                <w:rFonts w:cs="宋体" w:asciiTheme="minorEastAsia" w:hAnsiTheme="minorEastAsia" w:eastAsiaTheme="minorEastAsia"/>
                <w:sz w:val="24"/>
              </w:rPr>
            </w:pPr>
          </w:p>
        </w:tc>
        <w:tc>
          <w:tcPr>
            <w:tcW w:w="3119" w:type="dxa"/>
            <w:vAlign w:val="center"/>
          </w:tcPr>
          <w:p w14:paraId="186B02A3">
            <w:pPr>
              <w:spacing w:line="360" w:lineRule="auto"/>
              <w:jc w:val="center"/>
              <w:rPr>
                <w:rFonts w:cs="宋体" w:asciiTheme="minorEastAsia" w:hAnsiTheme="minorEastAsia" w:eastAsiaTheme="minorEastAsia"/>
                <w:sz w:val="24"/>
              </w:rPr>
            </w:pPr>
          </w:p>
        </w:tc>
      </w:tr>
      <w:tr w14:paraId="3310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9B62314">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417" w:type="dxa"/>
            <w:vAlign w:val="center"/>
          </w:tcPr>
          <w:p w14:paraId="1CBCDE47">
            <w:pPr>
              <w:snapToGrid w:val="0"/>
              <w:spacing w:line="360" w:lineRule="auto"/>
              <w:jc w:val="center"/>
              <w:rPr>
                <w:rFonts w:cs="宋体" w:asciiTheme="minorEastAsia" w:hAnsiTheme="minorEastAsia" w:eastAsiaTheme="minorEastAsia"/>
                <w:sz w:val="24"/>
              </w:rPr>
            </w:pPr>
          </w:p>
        </w:tc>
        <w:tc>
          <w:tcPr>
            <w:tcW w:w="1843" w:type="dxa"/>
            <w:vAlign w:val="center"/>
          </w:tcPr>
          <w:p w14:paraId="248A7082">
            <w:pPr>
              <w:snapToGrid w:val="0"/>
              <w:spacing w:line="360" w:lineRule="auto"/>
              <w:jc w:val="center"/>
              <w:rPr>
                <w:rFonts w:cs="宋体" w:asciiTheme="minorEastAsia" w:hAnsiTheme="minorEastAsia" w:eastAsiaTheme="minorEastAsia"/>
                <w:sz w:val="24"/>
              </w:rPr>
            </w:pPr>
          </w:p>
        </w:tc>
        <w:tc>
          <w:tcPr>
            <w:tcW w:w="3118" w:type="dxa"/>
            <w:vAlign w:val="center"/>
          </w:tcPr>
          <w:p w14:paraId="11315C8A">
            <w:pPr>
              <w:snapToGrid w:val="0"/>
              <w:spacing w:line="360" w:lineRule="auto"/>
              <w:jc w:val="center"/>
              <w:rPr>
                <w:rFonts w:cs="宋体" w:asciiTheme="minorEastAsia" w:hAnsiTheme="minorEastAsia" w:eastAsiaTheme="minorEastAsia"/>
                <w:sz w:val="24"/>
              </w:rPr>
            </w:pPr>
          </w:p>
        </w:tc>
        <w:tc>
          <w:tcPr>
            <w:tcW w:w="993" w:type="dxa"/>
            <w:vAlign w:val="center"/>
          </w:tcPr>
          <w:p w14:paraId="67342096">
            <w:pPr>
              <w:snapToGrid w:val="0"/>
              <w:spacing w:line="360" w:lineRule="auto"/>
              <w:jc w:val="center"/>
              <w:rPr>
                <w:rFonts w:cs="宋体" w:asciiTheme="minorEastAsia" w:hAnsiTheme="minorEastAsia" w:eastAsiaTheme="minorEastAsia"/>
                <w:sz w:val="24"/>
              </w:rPr>
            </w:pPr>
          </w:p>
        </w:tc>
        <w:tc>
          <w:tcPr>
            <w:tcW w:w="1559" w:type="dxa"/>
            <w:vAlign w:val="center"/>
          </w:tcPr>
          <w:p w14:paraId="487C6AA3">
            <w:pPr>
              <w:spacing w:line="360" w:lineRule="auto"/>
              <w:jc w:val="center"/>
              <w:rPr>
                <w:rFonts w:cs="宋体" w:asciiTheme="minorEastAsia" w:hAnsiTheme="minorEastAsia" w:eastAsiaTheme="minorEastAsia"/>
                <w:sz w:val="24"/>
              </w:rPr>
            </w:pPr>
          </w:p>
        </w:tc>
        <w:tc>
          <w:tcPr>
            <w:tcW w:w="1984" w:type="dxa"/>
            <w:vAlign w:val="center"/>
          </w:tcPr>
          <w:p w14:paraId="3DFA2442">
            <w:pPr>
              <w:spacing w:line="360" w:lineRule="auto"/>
              <w:jc w:val="center"/>
              <w:rPr>
                <w:rFonts w:cs="宋体" w:asciiTheme="minorEastAsia" w:hAnsiTheme="minorEastAsia" w:eastAsiaTheme="minorEastAsia"/>
                <w:sz w:val="24"/>
              </w:rPr>
            </w:pPr>
          </w:p>
        </w:tc>
        <w:tc>
          <w:tcPr>
            <w:tcW w:w="3119" w:type="dxa"/>
            <w:vAlign w:val="center"/>
          </w:tcPr>
          <w:p w14:paraId="6CC15675">
            <w:pPr>
              <w:spacing w:line="360" w:lineRule="auto"/>
              <w:jc w:val="center"/>
              <w:rPr>
                <w:rFonts w:cs="宋体" w:asciiTheme="minorEastAsia" w:hAnsiTheme="minorEastAsia" w:eastAsiaTheme="minorEastAsia"/>
                <w:sz w:val="24"/>
              </w:rPr>
            </w:pPr>
          </w:p>
        </w:tc>
      </w:tr>
      <w:tr w14:paraId="6F55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3A032C9">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1417" w:type="dxa"/>
            <w:vAlign w:val="center"/>
          </w:tcPr>
          <w:p w14:paraId="19B17C9F">
            <w:pPr>
              <w:snapToGrid w:val="0"/>
              <w:spacing w:line="360" w:lineRule="auto"/>
              <w:jc w:val="center"/>
              <w:rPr>
                <w:rFonts w:cs="宋体" w:asciiTheme="minorEastAsia" w:hAnsiTheme="minorEastAsia" w:eastAsiaTheme="minorEastAsia"/>
                <w:sz w:val="24"/>
              </w:rPr>
            </w:pPr>
          </w:p>
        </w:tc>
        <w:tc>
          <w:tcPr>
            <w:tcW w:w="1843" w:type="dxa"/>
            <w:vAlign w:val="center"/>
          </w:tcPr>
          <w:p w14:paraId="3AC066DD">
            <w:pPr>
              <w:snapToGrid w:val="0"/>
              <w:spacing w:line="360" w:lineRule="auto"/>
              <w:jc w:val="center"/>
              <w:rPr>
                <w:rFonts w:cs="宋体" w:asciiTheme="minorEastAsia" w:hAnsiTheme="minorEastAsia" w:eastAsiaTheme="minorEastAsia"/>
                <w:sz w:val="24"/>
              </w:rPr>
            </w:pPr>
          </w:p>
        </w:tc>
        <w:tc>
          <w:tcPr>
            <w:tcW w:w="3118" w:type="dxa"/>
            <w:vAlign w:val="center"/>
          </w:tcPr>
          <w:p w14:paraId="4A805808">
            <w:pPr>
              <w:snapToGrid w:val="0"/>
              <w:spacing w:line="360" w:lineRule="auto"/>
              <w:jc w:val="center"/>
              <w:rPr>
                <w:rFonts w:cs="宋体" w:asciiTheme="minorEastAsia" w:hAnsiTheme="minorEastAsia" w:eastAsiaTheme="minorEastAsia"/>
                <w:sz w:val="24"/>
              </w:rPr>
            </w:pPr>
          </w:p>
        </w:tc>
        <w:tc>
          <w:tcPr>
            <w:tcW w:w="993" w:type="dxa"/>
            <w:vAlign w:val="center"/>
          </w:tcPr>
          <w:p w14:paraId="30A990A0">
            <w:pPr>
              <w:snapToGrid w:val="0"/>
              <w:spacing w:line="360" w:lineRule="auto"/>
              <w:jc w:val="center"/>
              <w:rPr>
                <w:rFonts w:cs="宋体" w:asciiTheme="minorEastAsia" w:hAnsiTheme="minorEastAsia" w:eastAsiaTheme="minorEastAsia"/>
                <w:sz w:val="24"/>
              </w:rPr>
            </w:pPr>
          </w:p>
        </w:tc>
        <w:tc>
          <w:tcPr>
            <w:tcW w:w="1559" w:type="dxa"/>
            <w:vAlign w:val="center"/>
          </w:tcPr>
          <w:p w14:paraId="69958E67">
            <w:pPr>
              <w:spacing w:line="360" w:lineRule="auto"/>
              <w:jc w:val="center"/>
              <w:rPr>
                <w:rFonts w:cs="宋体" w:asciiTheme="minorEastAsia" w:hAnsiTheme="minorEastAsia" w:eastAsiaTheme="minorEastAsia"/>
                <w:sz w:val="24"/>
              </w:rPr>
            </w:pPr>
          </w:p>
        </w:tc>
        <w:tc>
          <w:tcPr>
            <w:tcW w:w="1984" w:type="dxa"/>
            <w:vAlign w:val="center"/>
          </w:tcPr>
          <w:p w14:paraId="1E42797D">
            <w:pPr>
              <w:spacing w:line="360" w:lineRule="auto"/>
              <w:jc w:val="center"/>
              <w:rPr>
                <w:rFonts w:cs="宋体" w:asciiTheme="minorEastAsia" w:hAnsiTheme="minorEastAsia" w:eastAsiaTheme="minorEastAsia"/>
                <w:sz w:val="24"/>
              </w:rPr>
            </w:pPr>
          </w:p>
        </w:tc>
        <w:tc>
          <w:tcPr>
            <w:tcW w:w="3119" w:type="dxa"/>
            <w:vAlign w:val="center"/>
          </w:tcPr>
          <w:p w14:paraId="15178203">
            <w:pPr>
              <w:spacing w:line="360" w:lineRule="auto"/>
              <w:jc w:val="center"/>
              <w:rPr>
                <w:rFonts w:cs="宋体" w:asciiTheme="minorEastAsia" w:hAnsiTheme="minorEastAsia" w:eastAsiaTheme="minorEastAsia"/>
                <w:sz w:val="24"/>
              </w:rPr>
            </w:pPr>
          </w:p>
        </w:tc>
      </w:tr>
      <w:tr w14:paraId="1C2C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02F2F62">
            <w:pPr>
              <w:spacing w:line="360" w:lineRule="auto"/>
              <w:jc w:val="center"/>
              <w:rPr>
                <w:rFonts w:cs="宋体" w:asciiTheme="minorEastAsia" w:hAnsiTheme="minorEastAsia" w:eastAsiaTheme="minorEastAsia"/>
                <w:sz w:val="24"/>
              </w:rPr>
            </w:pPr>
          </w:p>
        </w:tc>
        <w:tc>
          <w:tcPr>
            <w:tcW w:w="1417" w:type="dxa"/>
            <w:vAlign w:val="center"/>
          </w:tcPr>
          <w:p w14:paraId="3B2D7EE2">
            <w:pPr>
              <w:snapToGrid w:val="0"/>
              <w:spacing w:line="360" w:lineRule="auto"/>
              <w:jc w:val="center"/>
              <w:rPr>
                <w:rFonts w:cs="宋体" w:asciiTheme="minorEastAsia" w:hAnsiTheme="minorEastAsia" w:eastAsiaTheme="minorEastAsia"/>
                <w:sz w:val="24"/>
              </w:rPr>
            </w:pPr>
          </w:p>
        </w:tc>
        <w:tc>
          <w:tcPr>
            <w:tcW w:w="1843" w:type="dxa"/>
            <w:vAlign w:val="center"/>
          </w:tcPr>
          <w:p w14:paraId="5C4B743A">
            <w:pPr>
              <w:snapToGrid w:val="0"/>
              <w:spacing w:line="360" w:lineRule="auto"/>
              <w:jc w:val="center"/>
              <w:rPr>
                <w:rFonts w:cs="宋体" w:asciiTheme="minorEastAsia" w:hAnsiTheme="minorEastAsia" w:eastAsiaTheme="minorEastAsia"/>
                <w:sz w:val="24"/>
              </w:rPr>
            </w:pPr>
          </w:p>
        </w:tc>
        <w:tc>
          <w:tcPr>
            <w:tcW w:w="3118" w:type="dxa"/>
            <w:vAlign w:val="center"/>
          </w:tcPr>
          <w:p w14:paraId="651872B7">
            <w:pPr>
              <w:snapToGrid w:val="0"/>
              <w:spacing w:line="360" w:lineRule="auto"/>
              <w:jc w:val="center"/>
              <w:rPr>
                <w:rFonts w:cs="宋体" w:asciiTheme="minorEastAsia" w:hAnsiTheme="minorEastAsia" w:eastAsiaTheme="minorEastAsia"/>
                <w:sz w:val="24"/>
              </w:rPr>
            </w:pPr>
          </w:p>
        </w:tc>
        <w:tc>
          <w:tcPr>
            <w:tcW w:w="993" w:type="dxa"/>
            <w:vAlign w:val="center"/>
          </w:tcPr>
          <w:p w14:paraId="7D8CBCC5">
            <w:pPr>
              <w:snapToGrid w:val="0"/>
              <w:spacing w:line="360" w:lineRule="auto"/>
              <w:jc w:val="center"/>
              <w:rPr>
                <w:rFonts w:cs="宋体" w:asciiTheme="minorEastAsia" w:hAnsiTheme="minorEastAsia" w:eastAsiaTheme="minorEastAsia"/>
                <w:sz w:val="24"/>
              </w:rPr>
            </w:pPr>
          </w:p>
        </w:tc>
        <w:tc>
          <w:tcPr>
            <w:tcW w:w="1559" w:type="dxa"/>
            <w:vAlign w:val="center"/>
          </w:tcPr>
          <w:p w14:paraId="5EF363B0">
            <w:pPr>
              <w:spacing w:line="360" w:lineRule="auto"/>
              <w:jc w:val="center"/>
              <w:rPr>
                <w:rFonts w:cs="宋体" w:asciiTheme="minorEastAsia" w:hAnsiTheme="minorEastAsia" w:eastAsiaTheme="minorEastAsia"/>
                <w:sz w:val="24"/>
              </w:rPr>
            </w:pPr>
          </w:p>
        </w:tc>
        <w:tc>
          <w:tcPr>
            <w:tcW w:w="1984" w:type="dxa"/>
            <w:vAlign w:val="center"/>
          </w:tcPr>
          <w:p w14:paraId="02224B27">
            <w:pPr>
              <w:spacing w:line="360" w:lineRule="auto"/>
              <w:jc w:val="center"/>
              <w:rPr>
                <w:rFonts w:cs="宋体" w:asciiTheme="minorEastAsia" w:hAnsiTheme="minorEastAsia" w:eastAsiaTheme="minorEastAsia"/>
                <w:sz w:val="24"/>
              </w:rPr>
            </w:pPr>
          </w:p>
        </w:tc>
        <w:tc>
          <w:tcPr>
            <w:tcW w:w="3119" w:type="dxa"/>
            <w:vAlign w:val="center"/>
          </w:tcPr>
          <w:p w14:paraId="7133714D">
            <w:pPr>
              <w:spacing w:line="360" w:lineRule="auto"/>
              <w:jc w:val="center"/>
              <w:rPr>
                <w:rFonts w:cs="宋体" w:asciiTheme="minorEastAsia" w:hAnsiTheme="minorEastAsia" w:eastAsiaTheme="minorEastAsia"/>
                <w:sz w:val="24"/>
              </w:rPr>
            </w:pPr>
          </w:p>
        </w:tc>
      </w:tr>
      <w:tr w14:paraId="1773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4F30C4F">
            <w:pPr>
              <w:spacing w:line="360" w:lineRule="auto"/>
              <w:jc w:val="center"/>
              <w:rPr>
                <w:rFonts w:cs="宋体" w:asciiTheme="minorEastAsia" w:hAnsiTheme="minorEastAsia" w:eastAsiaTheme="minorEastAsia"/>
                <w:sz w:val="24"/>
              </w:rPr>
            </w:pPr>
          </w:p>
        </w:tc>
        <w:tc>
          <w:tcPr>
            <w:tcW w:w="1417" w:type="dxa"/>
            <w:vAlign w:val="center"/>
          </w:tcPr>
          <w:p w14:paraId="3F2DFEFB">
            <w:pPr>
              <w:snapToGrid w:val="0"/>
              <w:spacing w:line="360" w:lineRule="auto"/>
              <w:jc w:val="center"/>
              <w:rPr>
                <w:rFonts w:cs="宋体" w:asciiTheme="minorEastAsia" w:hAnsiTheme="minorEastAsia" w:eastAsiaTheme="minorEastAsia"/>
                <w:sz w:val="24"/>
              </w:rPr>
            </w:pPr>
          </w:p>
        </w:tc>
        <w:tc>
          <w:tcPr>
            <w:tcW w:w="1843" w:type="dxa"/>
            <w:vAlign w:val="center"/>
          </w:tcPr>
          <w:p w14:paraId="13DC88A2">
            <w:pPr>
              <w:snapToGrid w:val="0"/>
              <w:spacing w:line="360" w:lineRule="auto"/>
              <w:jc w:val="center"/>
              <w:rPr>
                <w:rFonts w:cs="宋体" w:asciiTheme="minorEastAsia" w:hAnsiTheme="minorEastAsia" w:eastAsiaTheme="minorEastAsia"/>
                <w:sz w:val="24"/>
              </w:rPr>
            </w:pPr>
          </w:p>
        </w:tc>
        <w:tc>
          <w:tcPr>
            <w:tcW w:w="3118" w:type="dxa"/>
            <w:vAlign w:val="center"/>
          </w:tcPr>
          <w:p w14:paraId="545B58B8">
            <w:pPr>
              <w:snapToGrid w:val="0"/>
              <w:spacing w:line="360" w:lineRule="auto"/>
              <w:jc w:val="center"/>
              <w:rPr>
                <w:rFonts w:cs="宋体" w:asciiTheme="minorEastAsia" w:hAnsiTheme="minorEastAsia" w:eastAsiaTheme="minorEastAsia"/>
                <w:sz w:val="24"/>
              </w:rPr>
            </w:pPr>
          </w:p>
        </w:tc>
        <w:tc>
          <w:tcPr>
            <w:tcW w:w="993" w:type="dxa"/>
            <w:vAlign w:val="center"/>
          </w:tcPr>
          <w:p w14:paraId="39DE6732">
            <w:pPr>
              <w:snapToGrid w:val="0"/>
              <w:spacing w:line="360" w:lineRule="auto"/>
              <w:jc w:val="center"/>
              <w:rPr>
                <w:rFonts w:cs="宋体" w:asciiTheme="minorEastAsia" w:hAnsiTheme="minorEastAsia" w:eastAsiaTheme="minorEastAsia"/>
                <w:sz w:val="24"/>
              </w:rPr>
            </w:pPr>
          </w:p>
        </w:tc>
        <w:tc>
          <w:tcPr>
            <w:tcW w:w="1559" w:type="dxa"/>
            <w:vAlign w:val="center"/>
          </w:tcPr>
          <w:p w14:paraId="402F4CBB">
            <w:pPr>
              <w:spacing w:line="360" w:lineRule="auto"/>
              <w:jc w:val="center"/>
              <w:rPr>
                <w:rFonts w:cs="宋体" w:asciiTheme="minorEastAsia" w:hAnsiTheme="minorEastAsia" w:eastAsiaTheme="minorEastAsia"/>
                <w:sz w:val="24"/>
              </w:rPr>
            </w:pPr>
          </w:p>
        </w:tc>
        <w:tc>
          <w:tcPr>
            <w:tcW w:w="1984" w:type="dxa"/>
            <w:vAlign w:val="center"/>
          </w:tcPr>
          <w:p w14:paraId="681EBFB2">
            <w:pPr>
              <w:spacing w:line="360" w:lineRule="auto"/>
              <w:jc w:val="center"/>
              <w:rPr>
                <w:rFonts w:cs="宋体" w:asciiTheme="minorEastAsia" w:hAnsiTheme="minorEastAsia" w:eastAsiaTheme="minorEastAsia"/>
                <w:sz w:val="24"/>
              </w:rPr>
            </w:pPr>
          </w:p>
        </w:tc>
        <w:tc>
          <w:tcPr>
            <w:tcW w:w="3119" w:type="dxa"/>
            <w:vAlign w:val="center"/>
          </w:tcPr>
          <w:p w14:paraId="1576AA15">
            <w:pPr>
              <w:spacing w:line="360" w:lineRule="auto"/>
              <w:jc w:val="center"/>
              <w:rPr>
                <w:rFonts w:cs="宋体" w:asciiTheme="minorEastAsia" w:hAnsiTheme="minorEastAsia" w:eastAsiaTheme="minorEastAsia"/>
                <w:sz w:val="24"/>
              </w:rPr>
            </w:pPr>
          </w:p>
        </w:tc>
      </w:tr>
      <w:tr w14:paraId="1AAA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5610710">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投标报价（小写）</w:t>
            </w:r>
          </w:p>
        </w:tc>
        <w:tc>
          <w:tcPr>
            <w:tcW w:w="7655" w:type="dxa"/>
            <w:gridSpan w:val="4"/>
            <w:vAlign w:val="center"/>
          </w:tcPr>
          <w:p w14:paraId="4B71FFDD">
            <w:pPr>
              <w:spacing w:line="360" w:lineRule="auto"/>
              <w:jc w:val="center"/>
              <w:rPr>
                <w:rFonts w:cs="宋体" w:asciiTheme="minorEastAsia" w:hAnsiTheme="minorEastAsia" w:eastAsiaTheme="minorEastAsia"/>
                <w:sz w:val="24"/>
              </w:rPr>
            </w:pPr>
          </w:p>
        </w:tc>
      </w:tr>
      <w:tr w14:paraId="3632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EF9870F">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投标报价（大写）</w:t>
            </w:r>
          </w:p>
        </w:tc>
        <w:tc>
          <w:tcPr>
            <w:tcW w:w="7655" w:type="dxa"/>
            <w:gridSpan w:val="4"/>
            <w:vAlign w:val="center"/>
          </w:tcPr>
          <w:p w14:paraId="4BC31BAC">
            <w:pPr>
              <w:spacing w:line="360" w:lineRule="auto"/>
              <w:jc w:val="center"/>
              <w:rPr>
                <w:rFonts w:cs="宋体" w:asciiTheme="minorEastAsia" w:hAnsiTheme="minorEastAsia" w:eastAsiaTheme="minorEastAsia"/>
                <w:sz w:val="24"/>
              </w:rPr>
            </w:pPr>
          </w:p>
        </w:tc>
      </w:tr>
    </w:tbl>
    <w:p w14:paraId="63E04015">
      <w:pPr>
        <w:snapToGrid w:val="0"/>
        <w:spacing w:line="360" w:lineRule="auto"/>
        <w:ind w:left="480"/>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注：</w:t>
      </w:r>
    </w:p>
    <w:p w14:paraId="14CDA560">
      <w:pPr>
        <w:spacing w:line="360" w:lineRule="auto"/>
        <w:ind w:left="-2" w:leftChars="-1"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1、此表应按项目的明细情况列项填报,在填写时，如上表不适合本项目的实际情况，可在确保投标明细内容完整的情况下，根据上表格式自行划表填写。</w:t>
      </w:r>
    </w:p>
    <w:p w14:paraId="13AFA795">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采购人将以合同形式有偿取得货物或服务，不接受投标人给予的赠品、回扣或者与采购无关的其他商品、服务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投标文件含有采购人不能接受的附加条件的，投标无效</w:t>
      </w:r>
      <w:r>
        <w:rPr>
          <w:rFonts w:hint="eastAsia" w:cs="宋体" w:asciiTheme="minorEastAsia" w:hAnsiTheme="minorEastAsia" w:eastAsiaTheme="minorEastAsia"/>
          <w:b/>
          <w:kern w:val="0"/>
          <w:sz w:val="24"/>
          <w:lang w:val="zh-CN"/>
        </w:rPr>
        <w:t>。</w:t>
      </w:r>
    </w:p>
    <w:p w14:paraId="2DDD0491">
      <w:pPr>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3、以上表格要求细分项目及报价，在“规格型号（或具体服务）”一栏中，货物类项目填写规格型号，服务类项目填写具体服务。</w:t>
      </w:r>
    </w:p>
    <w:p w14:paraId="19889E9B">
      <w:pPr>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4、特别提示：采购机构将对项目名称和项目编号，中标供应商名称、地址和中标金额，主要中标标的的名称、规格型号、数量、单价、服务要求等予以公示。</w:t>
      </w:r>
    </w:p>
    <w:p w14:paraId="4715783D">
      <w:pPr>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szCs w:val="22"/>
          <w:lang w:val="zh-CN"/>
        </w:rPr>
        <w:t>5、</w:t>
      </w:r>
      <w:r>
        <w:rPr>
          <w:rFonts w:hint="eastAsia" w:cs="宋体" w:asciiTheme="minorEastAsia" w:hAnsiTheme="minorEastAsia" w:eastAsiaTheme="minor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9D86C7B">
      <w:pPr>
        <w:spacing w:line="360" w:lineRule="auto"/>
        <w:ind w:firstLine="482" w:firstLineChars="200"/>
        <w:rPr>
          <w:rFonts w:cs="宋体" w:asciiTheme="minorEastAsia" w:hAnsiTheme="minorEastAsia" w:eastAsiaTheme="minorEastAsia"/>
          <w:b/>
          <w:kern w:val="0"/>
          <w:sz w:val="24"/>
        </w:rPr>
      </w:pPr>
    </w:p>
    <w:p w14:paraId="7B75917D">
      <w:pPr>
        <w:pStyle w:val="694"/>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pPr>
    </w:p>
    <w:p w14:paraId="304483A9">
      <w:pPr>
        <w:pStyle w:val="694"/>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sectPr>
          <w:pgSz w:w="16838" w:h="11906" w:orient="landscape"/>
          <w:pgMar w:top="1418" w:right="1247" w:bottom="1418" w:left="1276" w:header="851" w:footer="992" w:gutter="0"/>
          <w:cols w:space="720" w:num="1"/>
          <w:titlePg/>
          <w:docGrid w:linePitch="312" w:charSpace="0"/>
        </w:sectPr>
      </w:pPr>
    </w:p>
    <w:p w14:paraId="2F9C0182">
      <w:pPr>
        <w:pStyle w:val="694"/>
        <w:keepNext w:val="0"/>
        <w:pageBreakBefore w:val="0"/>
        <w:tabs>
          <w:tab w:val="clear" w:pos="720"/>
        </w:tabs>
        <w:snapToGrid w:val="0"/>
        <w:spacing w:before="120" w:after="120"/>
        <w:ind w:firstLine="643"/>
        <w:outlineLvl w:val="9"/>
        <w:rPr>
          <w:rFonts w:cs="宋体" w:asciiTheme="minorEastAsia" w:hAnsiTheme="minorEastAsia" w:eastAsiaTheme="minorEastAsia"/>
          <w:sz w:val="32"/>
          <w:szCs w:val="32"/>
        </w:rPr>
      </w:pPr>
      <w:r>
        <w:rPr>
          <w:rFonts w:hint="eastAsia" w:cs="宋体" w:asciiTheme="minorEastAsia" w:hAnsiTheme="minorEastAsia" w:eastAsiaTheme="minorEastAsia"/>
          <w:kern w:val="2"/>
          <w:sz w:val="32"/>
          <w:szCs w:val="32"/>
        </w:rPr>
        <w:t>二、</w:t>
      </w:r>
      <w:r>
        <w:rPr>
          <w:rFonts w:hint="eastAsia" w:cs="宋体" w:asciiTheme="minorEastAsia" w:hAnsiTheme="minorEastAsia" w:eastAsiaTheme="minorEastAsia"/>
          <w:sz w:val="32"/>
          <w:szCs w:val="32"/>
        </w:rPr>
        <w:t>中小企业声明函</w:t>
      </w:r>
    </w:p>
    <w:p w14:paraId="3AF7B769">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03E69C2">
      <w:pPr>
        <w:tabs>
          <w:tab w:val="left" w:pos="8085"/>
        </w:tabs>
        <w:spacing w:line="360" w:lineRule="auto"/>
        <w:ind w:firstLine="1285" w:firstLineChars="400"/>
        <w:jc w:val="left"/>
        <w:rPr>
          <w:rFonts w:cs="宋体" w:asciiTheme="minorEastAsia" w:hAnsiTheme="minorEastAsia" w:eastAsiaTheme="minorEastAsia"/>
          <w:b/>
          <w:sz w:val="32"/>
          <w:szCs w:val="32"/>
        </w:rPr>
        <w:sectPr>
          <w:headerReference r:id="rId18" w:type="first"/>
          <w:footerReference r:id="rId21" w:type="first"/>
          <w:headerReference r:id="rId17" w:type="default"/>
          <w:footerReference r:id="rId19" w:type="default"/>
          <w:footerReference r:id="rId20" w:type="even"/>
          <w:pgSz w:w="11906" w:h="16838"/>
          <w:pgMar w:top="1440" w:right="1418" w:bottom="1440" w:left="1418" w:header="851" w:footer="992" w:gutter="0"/>
          <w:cols w:space="0" w:num="1"/>
          <w:titlePg/>
          <w:docGrid w:linePitch="312" w:charSpace="0"/>
        </w:sectPr>
      </w:pPr>
    </w:p>
    <w:p w14:paraId="727E5199">
      <w:pPr>
        <w:tabs>
          <w:tab w:val="left" w:pos="8085"/>
        </w:tabs>
        <w:spacing w:line="360" w:lineRule="auto"/>
        <w:ind w:firstLine="1285" w:firstLineChars="400"/>
        <w:jc w:val="left"/>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政府采购支持中小企业信用融资相关事项通知</w:t>
      </w:r>
    </w:p>
    <w:p w14:paraId="19B423A5">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为贯彻落实中央、省、市关于支持民营经济健康发展有关精神，发挥政府采购在促进中小企业发展中的政策引导作用，缓解中小企业融资难、融资贵问题，杭州市财政局、</w:t>
      </w:r>
    </w:p>
    <w:p w14:paraId="1B9DBB79">
      <w:pPr>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中国银保监会浙江监管局、杭州市地方金融监督管理局、杭州市经济和信息化局制定《杭州市政府采购支持中小企业信用融资管理办法》。相关事项通知如下：</w:t>
      </w:r>
    </w:p>
    <w:p w14:paraId="4A1D3985">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一、适用对象</w:t>
      </w:r>
    </w:p>
    <w:p w14:paraId="3FE2874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凡已在浙江政府采购网上注册入库，并取得杭州市政府采购合同的中小企业供应商（以下简称“供应商”），均可申请政府采购信用融资。</w:t>
      </w:r>
    </w:p>
    <w:p w14:paraId="17837718">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二、相关信息获取方式</w:t>
      </w:r>
    </w:p>
    <w:p w14:paraId="079873E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65803ABE">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三、　政府采购信用融资操作流程：</w:t>
      </w:r>
    </w:p>
    <w:p w14:paraId="787184DA">
      <w:pPr>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（一）线上融资模式：</w:t>
      </w:r>
    </w:p>
    <w:p w14:paraId="4B69B76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1.供应商根据合作银行提供的方案，自行选择金融产品，并办理开户等手续；</w:t>
      </w:r>
    </w:p>
    <w:p w14:paraId="36862E9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2.供应商中标后，可通过杭州市政府采购网或“浙里办”测算授信额度；</w:t>
      </w:r>
    </w:p>
    <w:p w14:paraId="4F08423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3.采购合同签订后，供应商在杭州市政府采购网或“浙里办”向合作银行发出融资申请；</w:t>
      </w:r>
    </w:p>
    <w:p w14:paraId="769C317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4.审批通过后，在线办理放贷手续。</w:t>
      </w:r>
    </w:p>
    <w:p w14:paraId="16D7366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（二）线下融资模式：</w:t>
      </w:r>
    </w:p>
    <w:p w14:paraId="7FB93B9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1.供应商根据合作银行提供的方案，自行选择金融产品，向合作银行提出信用资格预审，并办理开户等手续；</w:t>
      </w:r>
    </w:p>
    <w:p w14:paraId="43C2D6B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2.采购合同签订后，供应商在杭州市政府采购网或“浙里办”向合作银行发出融资申请；</w:t>
      </w:r>
    </w:p>
    <w:p w14:paraId="2F71A46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3.合作银行在信用融资模块受理申请后，供应商提供审批材料。合作银行应对申请信用融资的供应商及备案的政府采购合同信息进行核对和审查；</w:t>
      </w:r>
    </w:p>
    <w:p w14:paraId="4AA6BE5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4.审批通过后，合作银行应按照合作备忘录中约定的审批放款期限和优惠利率及时予以放款。</w:t>
      </w:r>
    </w:p>
    <w:p w14:paraId="6A7FD5D7">
      <w:pPr>
        <w:pStyle w:val="4"/>
        <w:numPr>
          <w:ilvl w:val="255"/>
          <w:numId w:val="0"/>
        </w:numPr>
        <w:ind w:firstLine="960" w:firstLineChars="400"/>
        <w:rPr>
          <w:rFonts w:cs="宋体" w:asciiTheme="minorEastAsia" w:hAnsiTheme="minorEastAsia" w:eastAsiaTheme="minorEastAsia"/>
          <w:b w:val="0"/>
          <w:bCs w:val="0"/>
          <w:sz w:val="24"/>
          <w:szCs w:val="24"/>
          <w:lang w:val="en-US"/>
        </w:rPr>
      </w:pPr>
      <w:r>
        <w:rPr>
          <w:rFonts w:hint="eastAsia" w:cs="宋体" w:asciiTheme="minorEastAsia" w:hAnsiTheme="minorEastAsia" w:eastAsiaTheme="minorEastAsia"/>
          <w:b w:val="0"/>
          <w:bCs w:val="0"/>
          <w:sz w:val="24"/>
          <w:szCs w:val="24"/>
          <w:lang w:val="en-US"/>
        </w:rPr>
        <w:t>（三）杭州e融平台申请融资</w:t>
      </w:r>
    </w:p>
    <w:p w14:paraId="1D10D14F">
      <w:pPr>
        <w:pStyle w:val="4"/>
        <w:numPr>
          <w:ilvl w:val="255"/>
          <w:numId w:val="0"/>
        </w:numPr>
        <w:ind w:firstLine="960" w:firstLineChars="400"/>
        <w:rPr>
          <w:rFonts w:cs="宋体" w:asciiTheme="minorEastAsia" w:hAnsiTheme="minorEastAsia" w:eastAsiaTheme="minorEastAsia"/>
          <w:b w:val="0"/>
          <w:bCs w:val="0"/>
          <w:sz w:val="24"/>
          <w:szCs w:val="24"/>
          <w:lang w:val="en-US"/>
        </w:rPr>
      </w:pPr>
      <w:r>
        <w:rPr>
          <w:rFonts w:hint="eastAsia" w:cs="宋体" w:asciiTheme="minorEastAsia" w:hAnsiTheme="minorEastAsia" w:eastAsiaTheme="minorEastAsia"/>
          <w:b w:val="0"/>
          <w:bCs w:val="0"/>
          <w:sz w:val="24"/>
          <w:szCs w:val="24"/>
          <w:lang w:val="en-US"/>
        </w:rPr>
        <w:t>供应商通过杭州e融平台政采贷专区，自行选择金融产品，按规定手续办理贷款流程。</w:t>
      </w:r>
    </w:p>
    <w:p w14:paraId="093DDE18">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四、注意事项</w:t>
      </w:r>
    </w:p>
    <w:p w14:paraId="51B878D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1、对拟用于信用融资的政府采购合同，供应商在签订合同时应当在合同中注明融资银行名称及账号，作为在该银行的唯一收款账号。</w:t>
      </w:r>
    </w:p>
    <w:p w14:paraId="2C0F465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2、供应商弄虚作假或以伪造政府采购合同等方式违规获取政府采购信用融资，或不及时还款，或出现其他违反本办法规定情形的，按融资合同约定承担违约责任；涉嫌犯罪的，移送司法机关处理。</w:t>
      </w:r>
    </w:p>
    <w:p w14:paraId="3FC52D48">
      <w:pPr>
        <w:spacing w:line="360" w:lineRule="auto"/>
        <w:ind w:left="5060" w:hanging="5060" w:hangingChars="2100"/>
        <w:rPr>
          <w:rFonts w:cs="宋体" w:asciiTheme="minorEastAsia" w:hAnsiTheme="minorEastAsia" w:eastAsiaTheme="minorEastAsia"/>
          <w:b/>
          <w:bCs/>
          <w:kern w:val="0"/>
          <w:sz w:val="24"/>
        </w:rPr>
      </w:pPr>
    </w:p>
    <w:p w14:paraId="4379BAF1">
      <w:pPr>
        <w:pStyle w:val="3"/>
        <w:keepNext w:val="0"/>
        <w:keepLines w:val="0"/>
        <w:pageBreakBefore/>
        <w:widowControl/>
        <w:spacing w:before="100" w:beforeAutospacing="1" w:after="100" w:afterAutospacing="1" w:line="360" w:lineRule="auto"/>
        <w:ind w:left="1290" w:firstLine="3092" w:firstLineChars="700"/>
        <w:rPr>
          <w:rFonts w:cs="宋体" w:asciiTheme="minorEastAsia" w:hAnsiTheme="minorEastAsia" w:eastAsiaTheme="minorEastAsia"/>
        </w:rPr>
      </w:pPr>
      <w:bookmarkStart w:id="399" w:name="_Toc465665161"/>
      <w:r>
        <w:rPr>
          <w:rFonts w:hint="eastAsia" w:cs="宋体" w:asciiTheme="minorEastAsia" w:hAnsiTheme="minorEastAsia" w:eastAsiaTheme="minorEastAsia"/>
        </w:rPr>
        <w:t>附件</w:t>
      </w:r>
      <w:bookmarkEnd w:id="399"/>
    </w:p>
    <w:p w14:paraId="5FACCF32">
      <w:pPr>
        <w:spacing w:line="360" w:lineRule="auto"/>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附件1：</w:t>
      </w:r>
    </w:p>
    <w:p w14:paraId="76CA75F1">
      <w:pPr>
        <w:spacing w:line="360" w:lineRule="auto"/>
        <w:jc w:val="center"/>
        <w:rPr>
          <w:rFonts w:cs="宋体" w:asciiTheme="minorEastAsia" w:hAnsiTheme="minorEastAsia" w:eastAsiaTheme="minorEastAsia"/>
          <w:b/>
          <w:spacing w:val="6"/>
          <w:sz w:val="32"/>
          <w:szCs w:val="32"/>
        </w:rPr>
      </w:pPr>
      <w:bookmarkStart w:id="400" w:name="OLE_LINK14"/>
      <w:bookmarkStart w:id="401" w:name="OLE_LINK13"/>
      <w:r>
        <w:rPr>
          <w:rFonts w:hint="eastAsia" w:cs="宋体" w:asciiTheme="minorEastAsia" w:hAnsiTheme="minorEastAsia" w:eastAsiaTheme="minorEastAsia"/>
          <w:b/>
          <w:spacing w:val="6"/>
          <w:sz w:val="32"/>
          <w:szCs w:val="32"/>
        </w:rPr>
        <w:t>残疾人福利性单位声明函</w:t>
      </w:r>
    </w:p>
    <w:bookmarkEnd w:id="400"/>
    <w:bookmarkEnd w:id="401"/>
    <w:p w14:paraId="0B41B506">
      <w:pPr>
        <w:spacing w:line="360" w:lineRule="auto"/>
        <w:rPr>
          <w:rFonts w:cs="宋体" w:asciiTheme="minorEastAsia" w:hAnsiTheme="minorEastAsia" w:eastAsiaTheme="minorEastAsia"/>
          <w:b/>
          <w:spacing w:val="6"/>
          <w:sz w:val="30"/>
          <w:szCs w:val="30"/>
        </w:rPr>
      </w:pPr>
    </w:p>
    <w:p w14:paraId="5EAE80A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855F8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本单位对上述声明的真实性负责。如有虚假，将依法承担相应责任。</w:t>
      </w:r>
    </w:p>
    <w:p w14:paraId="7A6B47BA">
      <w:pPr>
        <w:spacing w:line="360" w:lineRule="auto"/>
        <w:ind w:firstLine="480" w:firstLineChars="200"/>
        <w:rPr>
          <w:rFonts w:cs="宋体" w:asciiTheme="minorEastAsia" w:hAnsiTheme="minorEastAsia" w:eastAsiaTheme="minorEastAsia"/>
          <w:sz w:val="24"/>
        </w:rPr>
      </w:pPr>
    </w:p>
    <w:p w14:paraId="3D68E589">
      <w:pPr>
        <w:spacing w:line="360" w:lineRule="auto"/>
        <w:ind w:firstLine="480" w:firstLineChars="200"/>
        <w:rPr>
          <w:rFonts w:cs="宋体" w:asciiTheme="minorEastAsia" w:hAnsiTheme="minorEastAsia" w:eastAsiaTheme="minorEastAsia"/>
          <w:sz w:val="24"/>
        </w:rPr>
      </w:pPr>
    </w:p>
    <w:p w14:paraId="5C910F08">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投标人名称（电子签名）</w:t>
      </w:r>
      <w:r>
        <w:rPr>
          <w:rFonts w:hint="eastAsia" w:cs="宋体" w:asciiTheme="minorEastAsia" w:hAnsiTheme="minorEastAsia" w:eastAsiaTheme="minorEastAsia"/>
          <w:sz w:val="24"/>
        </w:rPr>
        <w:t>：</w:t>
      </w:r>
    </w:p>
    <w:p w14:paraId="00ECE39E">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  期：</w:t>
      </w:r>
    </w:p>
    <w:p w14:paraId="59595B1D">
      <w:pPr>
        <w:spacing w:line="360" w:lineRule="auto"/>
        <w:jc w:val="left"/>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14:paraId="1083FEF0">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附件2：质疑函范本及制作说明</w:t>
      </w:r>
    </w:p>
    <w:p w14:paraId="62BB9BFD">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质疑函范本</w:t>
      </w:r>
    </w:p>
    <w:p w14:paraId="5A8E137A">
      <w:pPr>
        <w:snapToGrid w:val="0"/>
        <w:spacing w:beforeLines="100"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一、质疑供应商基本信息</w:t>
      </w:r>
    </w:p>
    <w:p w14:paraId="19FB2A36">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质疑供应商：</w:t>
      </w:r>
    </w:p>
    <w:p w14:paraId="19C962AE">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地址：邮编：</w:t>
      </w:r>
    </w:p>
    <w:p w14:paraId="4D13E2E9">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联系人：联系电话：</w:t>
      </w:r>
    </w:p>
    <w:p w14:paraId="623FDF4A">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w:t>
      </w:r>
    </w:p>
    <w:p w14:paraId="33B8A86D">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联系电话：</w:t>
      </w:r>
    </w:p>
    <w:p w14:paraId="41266091">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地址： 邮编：</w:t>
      </w:r>
    </w:p>
    <w:p w14:paraId="60F5E559">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二、质疑项目基本情况</w:t>
      </w:r>
    </w:p>
    <w:p w14:paraId="6175960D">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质疑项目的名称：</w:t>
      </w:r>
    </w:p>
    <w:p w14:paraId="0A5B06A8">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质疑项目的编号：包号：</w:t>
      </w:r>
    </w:p>
    <w:p w14:paraId="49C9174F">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采购人名称：</w:t>
      </w:r>
    </w:p>
    <w:p w14:paraId="4829F1D7">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采购文件获取日期：</w:t>
      </w:r>
    </w:p>
    <w:p w14:paraId="24069B9A">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三、质疑事项具体内容</w:t>
      </w:r>
    </w:p>
    <w:p w14:paraId="15B9DBBE">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质疑事项1：</w:t>
      </w:r>
    </w:p>
    <w:p w14:paraId="1B313F46">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事实依据：</w:t>
      </w:r>
    </w:p>
    <w:p w14:paraId="509B25DC">
      <w:pPr>
        <w:snapToGrid w:val="0"/>
        <w:spacing w:line="360" w:lineRule="auto"/>
        <w:rPr>
          <w:rFonts w:cs="宋体" w:asciiTheme="minorEastAsia" w:hAnsiTheme="minorEastAsia" w:eastAsiaTheme="minorEastAsia"/>
          <w:sz w:val="24"/>
        </w:rPr>
      </w:pPr>
    </w:p>
    <w:p w14:paraId="54B4B769">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法律依据：</w:t>
      </w:r>
    </w:p>
    <w:p w14:paraId="27C63DAE">
      <w:pPr>
        <w:snapToGrid w:val="0"/>
        <w:spacing w:line="360" w:lineRule="auto"/>
        <w:rPr>
          <w:rFonts w:cs="宋体" w:asciiTheme="minorEastAsia" w:hAnsiTheme="minorEastAsia" w:eastAsiaTheme="minorEastAsia"/>
          <w:sz w:val="24"/>
          <w:u w:val="dotted"/>
        </w:rPr>
      </w:pPr>
    </w:p>
    <w:p w14:paraId="0026D15D">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质疑事项2</w:t>
      </w:r>
    </w:p>
    <w:p w14:paraId="3C7BCDEE">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2E97171F">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四、与质疑事项相关的质疑请求</w:t>
      </w:r>
    </w:p>
    <w:p w14:paraId="7CEE2EC5">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请求：</w:t>
      </w:r>
    </w:p>
    <w:p w14:paraId="108CF68E">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14:paraId="5C0F1DEC">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14:paraId="30B11158">
      <w:pPr>
        <w:spacing w:line="360" w:lineRule="auto"/>
        <w:jc w:val="center"/>
        <w:rPr>
          <w:rFonts w:cs="宋体" w:asciiTheme="minorEastAsia" w:hAnsiTheme="minorEastAsia" w:eastAsiaTheme="minorEastAsia"/>
          <w:b/>
          <w:bCs/>
          <w:sz w:val="24"/>
        </w:rPr>
      </w:pPr>
    </w:p>
    <w:p w14:paraId="32751AAF">
      <w:pPr>
        <w:spacing w:line="360" w:lineRule="auto"/>
        <w:rPr>
          <w:rFonts w:cs="宋体" w:asciiTheme="minorEastAsia" w:hAnsiTheme="minorEastAsia" w:eastAsiaTheme="minorEastAsia"/>
          <w:b/>
          <w:sz w:val="24"/>
        </w:rPr>
      </w:pPr>
    </w:p>
    <w:p w14:paraId="2F5C1E1F">
      <w:pPr>
        <w:spacing w:line="360" w:lineRule="auto"/>
        <w:rPr>
          <w:rFonts w:cs="宋体" w:asciiTheme="minorEastAsia" w:hAnsiTheme="minorEastAsia" w:eastAsiaTheme="minorEastAsia"/>
          <w:b/>
          <w:sz w:val="24"/>
        </w:rPr>
      </w:pPr>
    </w:p>
    <w:p w14:paraId="37E24F71">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质疑函制作说明：</w:t>
      </w:r>
    </w:p>
    <w:p w14:paraId="73ECF295">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1.供应商提出质疑时，应提交质疑函和必要的证明材料。</w:t>
      </w:r>
    </w:p>
    <w:p w14:paraId="359CB247">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2.质疑供应商若委托代理人进行质疑的，质疑函应按要求列明“授权代表”的有关内容，并在附件中提交由质疑</w:t>
      </w:r>
      <w:r>
        <w:rPr>
          <w:rFonts w:hint="eastAsia" w:cs="宋体" w:asciiTheme="minorEastAsia" w:hAnsiTheme="minorEastAsia" w:eastAsiaTheme="minorEastAsia"/>
          <w:kern w:val="0"/>
          <w:sz w:val="24"/>
        </w:rPr>
        <w:t>供应商签署的授权委托书。授权委托书应载明代理人的姓名或者名称、代理事项、具体权限、期限和相关事项。</w:t>
      </w:r>
    </w:p>
    <w:p w14:paraId="1AB055F3">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3.质疑供应商若对项目的某一分包进行质疑，质疑函中应列明具体分包号。</w:t>
      </w:r>
    </w:p>
    <w:p w14:paraId="5F2F826E">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4.质疑函的质疑事项应具体、明确，并有必要的事实依据和法律依据。</w:t>
      </w:r>
    </w:p>
    <w:p w14:paraId="0AC40F98">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5.质疑函的质疑请求应与质疑事项相关。</w:t>
      </w:r>
    </w:p>
    <w:p w14:paraId="18DE36A6">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7330CA91">
      <w:pPr>
        <w:spacing w:line="360" w:lineRule="auto"/>
        <w:jc w:val="left"/>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14:paraId="52999970">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附件3：投诉书范本及制作说明</w:t>
      </w:r>
    </w:p>
    <w:p w14:paraId="3DFAC12B">
      <w:pPr>
        <w:spacing w:line="360" w:lineRule="auto"/>
        <w:jc w:val="center"/>
        <w:rPr>
          <w:rFonts w:cs="宋体" w:asciiTheme="minorEastAsia" w:hAnsiTheme="minorEastAsia" w:eastAsiaTheme="minorEastAsia"/>
          <w:b/>
          <w:sz w:val="24"/>
        </w:rPr>
      </w:pPr>
    </w:p>
    <w:p w14:paraId="2B9896B6">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投诉书范本</w:t>
      </w:r>
    </w:p>
    <w:p w14:paraId="5D8673A4">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一、投诉相关主体基本情况</w:t>
      </w:r>
    </w:p>
    <w:p w14:paraId="2CC17011">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w:t>
      </w:r>
    </w:p>
    <w:p w14:paraId="4C371D10">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14:paraId="0F78355B">
      <w:pPr>
        <w:tabs>
          <w:tab w:val="left" w:pos="6510"/>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法定代表人/主要负责人：</w:t>
      </w:r>
    </w:p>
    <w:p w14:paraId="54D51C77">
      <w:pPr>
        <w:tabs>
          <w:tab w:val="left" w:pos="6510"/>
        </w:tabs>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联系电话：</w:t>
      </w:r>
    </w:p>
    <w:p w14:paraId="39839CFF">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授权代表：联系电话</w:t>
      </w:r>
      <w:r>
        <w:rPr>
          <w:rFonts w:hint="eastAsia" w:cs="宋体" w:asciiTheme="minorEastAsia" w:hAnsiTheme="minorEastAsia" w:eastAsiaTheme="minorEastAsia"/>
          <w:sz w:val="24"/>
          <w:u w:val="dotted"/>
        </w:rPr>
        <w:t xml:space="preserve">：                  </w:t>
      </w:r>
    </w:p>
    <w:p w14:paraId="13FCA117">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地     址：邮编：</w:t>
      </w:r>
    </w:p>
    <w:p w14:paraId="3E5FE4B2">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被投诉人1：</w:t>
      </w:r>
    </w:p>
    <w:p w14:paraId="5F5D3D88">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14:paraId="41AC2564">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联系人：联系电话：</w:t>
      </w:r>
    </w:p>
    <w:p w14:paraId="40C3374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被投诉人2</w:t>
      </w:r>
    </w:p>
    <w:p w14:paraId="376561F7">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14:paraId="5BA2F883">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相关供应商：</w:t>
      </w:r>
    </w:p>
    <w:p w14:paraId="20193FCE">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14:paraId="626993BD">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联系人：联系电话：</w:t>
      </w:r>
    </w:p>
    <w:p w14:paraId="3239C8ED">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二、投诉项目基本情况</w:t>
      </w:r>
    </w:p>
    <w:p w14:paraId="0DD97D74">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采购项目名称：</w:t>
      </w:r>
    </w:p>
    <w:p w14:paraId="21EFA13B">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采购项目编号：包号：</w:t>
      </w:r>
    </w:p>
    <w:p w14:paraId="73D34FFE">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采购人名称：</w:t>
      </w:r>
    </w:p>
    <w:p w14:paraId="032144A0">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代理机构名称：</w:t>
      </w:r>
    </w:p>
    <w:p w14:paraId="053F98DA">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采购文件公告: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p>
    <w:p w14:paraId="4F22A726">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采购结果公告: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p>
    <w:p w14:paraId="6730A8D4">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三、质疑基本情况</w:t>
      </w:r>
    </w:p>
    <w:p w14:paraId="54098225">
      <w:pPr>
        <w:spacing w:line="360" w:lineRule="auto"/>
        <w:ind w:firstLine="480" w:firstLineChars="200"/>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投诉人于年月日,向提出质疑，质疑事项为：</w:t>
      </w:r>
    </w:p>
    <w:p w14:paraId="678C5250">
      <w:pPr>
        <w:spacing w:line="360" w:lineRule="auto"/>
        <w:rPr>
          <w:rFonts w:cs="宋体" w:asciiTheme="minorEastAsia" w:hAnsiTheme="minorEastAsia" w:eastAsiaTheme="minorEastAsia"/>
          <w:sz w:val="24"/>
          <w:u w:val="dotted"/>
        </w:rPr>
      </w:pPr>
    </w:p>
    <w:p w14:paraId="18B1F334">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u w:val="dotted"/>
        </w:rPr>
        <w:t>采购人/代理机构</w:t>
      </w:r>
      <w:r>
        <w:rPr>
          <w:rFonts w:hint="eastAsia" w:cs="宋体" w:asciiTheme="minorEastAsia" w:hAnsiTheme="minorEastAsia" w:eastAsiaTheme="minorEastAsia"/>
          <w:sz w:val="24"/>
        </w:rPr>
        <w:t>于年月日,就质疑事项作出了答复/没有在法定期限内作出答复。</w:t>
      </w:r>
    </w:p>
    <w:p w14:paraId="0FA67D80">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四、投诉事项具体内容</w:t>
      </w:r>
    </w:p>
    <w:p w14:paraId="5DD4B15F">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投诉事项 1：</w:t>
      </w:r>
    </w:p>
    <w:p w14:paraId="628C066A">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事实依据：</w:t>
      </w:r>
    </w:p>
    <w:p w14:paraId="2F614E16">
      <w:pPr>
        <w:spacing w:line="360" w:lineRule="auto"/>
        <w:rPr>
          <w:rFonts w:cs="宋体" w:asciiTheme="minorEastAsia" w:hAnsiTheme="minorEastAsia" w:eastAsiaTheme="minorEastAsia"/>
          <w:sz w:val="24"/>
          <w:u w:val="dotted"/>
        </w:rPr>
      </w:pPr>
    </w:p>
    <w:p w14:paraId="3F07FD77">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法律依据：</w:t>
      </w:r>
    </w:p>
    <w:p w14:paraId="3986D179">
      <w:pPr>
        <w:spacing w:line="360" w:lineRule="auto"/>
        <w:rPr>
          <w:rFonts w:cs="宋体" w:asciiTheme="minorEastAsia" w:hAnsiTheme="minorEastAsia" w:eastAsiaTheme="minorEastAsia"/>
          <w:sz w:val="24"/>
          <w:u w:val="dotted"/>
        </w:rPr>
      </w:pPr>
    </w:p>
    <w:p w14:paraId="705CC97F">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投诉事项2</w:t>
      </w:r>
    </w:p>
    <w:p w14:paraId="01598FF8">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14:paraId="19889F9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五、与投诉事项相关的投诉请求</w:t>
      </w:r>
    </w:p>
    <w:p w14:paraId="3007E0D6">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请求：</w:t>
      </w:r>
    </w:p>
    <w:p w14:paraId="1C46F9E3">
      <w:pPr>
        <w:spacing w:line="360" w:lineRule="auto"/>
        <w:rPr>
          <w:rFonts w:cs="宋体" w:asciiTheme="minorEastAsia" w:hAnsiTheme="minorEastAsia" w:eastAsiaTheme="minorEastAsia"/>
          <w:sz w:val="24"/>
          <w:u w:val="single"/>
        </w:rPr>
      </w:pPr>
    </w:p>
    <w:p w14:paraId="596D2FDB">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14:paraId="1B3B39FF">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14:paraId="7CE9E49A">
      <w:pPr>
        <w:spacing w:line="360" w:lineRule="auto"/>
        <w:rPr>
          <w:rFonts w:cs="宋体" w:asciiTheme="minorEastAsia" w:hAnsiTheme="minorEastAsia" w:eastAsiaTheme="minorEastAsia"/>
          <w:b/>
          <w:sz w:val="24"/>
        </w:rPr>
      </w:pPr>
    </w:p>
    <w:p w14:paraId="645D9792">
      <w:pPr>
        <w:spacing w:line="360" w:lineRule="auto"/>
        <w:rPr>
          <w:rFonts w:cs="宋体" w:asciiTheme="minorEastAsia" w:hAnsiTheme="minorEastAsia" w:eastAsiaTheme="minorEastAsia"/>
          <w:b/>
          <w:sz w:val="24"/>
        </w:rPr>
      </w:pPr>
    </w:p>
    <w:p w14:paraId="073B6809">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投诉书制作说明：</w:t>
      </w:r>
    </w:p>
    <w:p w14:paraId="166B287D">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sz w:val="24"/>
        </w:rPr>
        <w:t>1.投诉人提起投诉时，应当提交投诉书和必要的证明材料，并按照被投诉人和与投诉事项有关的供应商数量提供投诉书副本。</w:t>
      </w:r>
    </w:p>
    <w:p w14:paraId="7E2028A5">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rPr>
        <w:t>投诉人签署的授权委托书。授权委托书应当载明代理人的姓名或者名称、代理事项、具体权限、期限和相关事项。</w:t>
      </w:r>
    </w:p>
    <w:p w14:paraId="6265DE18">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3.投诉人若对项目的某一分包进行投诉，投诉书应列明具体分包号。</w:t>
      </w:r>
    </w:p>
    <w:p w14:paraId="113F84AD">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4.投诉书应简要列明质疑事项，质疑函、质疑答复等作为附件材料提供。</w:t>
      </w:r>
    </w:p>
    <w:p w14:paraId="6DAE63A7">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5.投诉书的投诉事项应具体、明确，并有必要的事实依据和法律依据。</w:t>
      </w:r>
    </w:p>
    <w:p w14:paraId="436A45DF">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6.投诉书的投诉请求应与投诉事项相关。</w:t>
      </w:r>
    </w:p>
    <w:p w14:paraId="7C0F244B">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0478EF88">
      <w:pPr>
        <w:autoSpaceDE w:val="0"/>
        <w:autoSpaceDN w:val="0"/>
        <w:jc w:val="center"/>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14:paraId="0E5DBEF1">
      <w:pPr>
        <w:autoSpaceDE w:val="0"/>
        <w:autoSpaceDN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附件4：</w:t>
      </w:r>
      <w:r>
        <w:rPr>
          <w:rFonts w:hint="eastAsia" w:cs="宋体" w:asciiTheme="minorEastAsia" w:hAnsiTheme="minorEastAsia" w:eastAsiaTheme="minorEastAsia"/>
          <w:b/>
          <w:bCs/>
          <w:sz w:val="32"/>
          <w:szCs w:val="32"/>
        </w:rPr>
        <w:t>业务专用章使用说明函</w:t>
      </w:r>
    </w:p>
    <w:p w14:paraId="47402782">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u w:val="single"/>
        </w:rPr>
        <w:t>（采购人）、（采购代理机构）</w:t>
      </w:r>
    </w:p>
    <w:p w14:paraId="0FAA6FB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我方</w:t>
      </w:r>
      <w:r>
        <w:rPr>
          <w:rFonts w:hint="eastAsia" w:cs="宋体" w:asciiTheme="minorEastAsia" w:hAnsiTheme="minorEastAsia" w:eastAsiaTheme="minorEastAsia"/>
          <w:sz w:val="24"/>
        </w:rPr>
        <w:t>(投标人全称)是中华人民共和国依法登记注册的合法企业，</w:t>
      </w:r>
      <w:r>
        <w:rPr>
          <w:rFonts w:hint="eastAsia" w:cs="宋体" w:asciiTheme="minorEastAsia" w:hAnsiTheme="minorEastAsia" w:eastAsiaTheme="minorEastAsia"/>
          <w:bCs/>
          <w:sz w:val="24"/>
        </w:rPr>
        <w:t>在参加</w:t>
      </w:r>
      <w:r>
        <w:rPr>
          <w:rFonts w:hint="eastAsia" w:cs="宋体" w:asciiTheme="minorEastAsia" w:hAnsiTheme="minorEastAsia" w:eastAsiaTheme="minorEastAsia"/>
          <w:sz w:val="24"/>
        </w:rPr>
        <w:t>你方组织的（项目名称）项目【招标编号：（采购编号）】</w:t>
      </w:r>
      <w:r>
        <w:rPr>
          <w:rFonts w:hint="eastAsia" w:cs="宋体" w:asciiTheme="minorEastAsia" w:hAnsiTheme="minorEastAsia" w:eastAsiaTheme="minorEastAsia"/>
          <w:bCs/>
          <w:sz w:val="24"/>
        </w:rPr>
        <w:t>投标活动中作如下说明：</w:t>
      </w:r>
      <w:r>
        <w:rPr>
          <w:rFonts w:hint="eastAsia" w:cs="宋体" w:asciiTheme="minorEastAsia" w:hAnsiTheme="minorEastAsia" w:eastAsiaTheme="minorEastAsia"/>
          <w:sz w:val="24"/>
        </w:rPr>
        <w:t xml:space="preserve">我方所使用的“XX专用章”与法定名称章具有同等的法律效力，对使用“XX专用章”的行为予以完全承认，并愿意承担相应责任。   </w:t>
      </w:r>
    </w:p>
    <w:p w14:paraId="4701F10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04A7FEC8">
      <w:pPr>
        <w:spacing w:line="360" w:lineRule="auto"/>
        <w:ind w:firstLine="494"/>
        <w:rPr>
          <w:rFonts w:cs="宋体" w:asciiTheme="minorEastAsia" w:hAnsiTheme="minorEastAsia" w:eastAsiaTheme="minorEastAsia"/>
          <w:sz w:val="24"/>
        </w:rPr>
      </w:pPr>
    </w:p>
    <w:p w14:paraId="681ECB9B">
      <w:pPr>
        <w:spacing w:line="360" w:lineRule="auto"/>
        <w:ind w:firstLine="494"/>
        <w:rPr>
          <w:rFonts w:cs="宋体" w:asciiTheme="minorEastAsia" w:hAnsiTheme="minorEastAsia" w:eastAsiaTheme="minorEastAsia"/>
          <w:sz w:val="24"/>
        </w:rPr>
      </w:pPr>
    </w:p>
    <w:p w14:paraId="007AB2C5">
      <w:pPr>
        <w:spacing w:line="360" w:lineRule="auto"/>
        <w:ind w:firstLine="494"/>
        <w:rPr>
          <w:rFonts w:cs="宋体" w:asciiTheme="minorEastAsia" w:hAnsiTheme="minorEastAsia" w:eastAsiaTheme="minorEastAsia"/>
          <w:sz w:val="24"/>
        </w:rPr>
      </w:pPr>
    </w:p>
    <w:p w14:paraId="7A06E21F">
      <w:pPr>
        <w:spacing w:line="360" w:lineRule="auto"/>
        <w:ind w:firstLine="494"/>
        <w:rPr>
          <w:rFonts w:cs="宋体" w:asciiTheme="minorEastAsia" w:hAnsiTheme="minorEastAsia" w:eastAsiaTheme="minorEastAsia"/>
          <w:sz w:val="24"/>
        </w:rPr>
      </w:pPr>
    </w:p>
    <w:p w14:paraId="09FA28DA">
      <w:pPr>
        <w:spacing w:line="360" w:lineRule="auto"/>
        <w:ind w:right="480"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投标单位（法定名称章）：</w:t>
      </w:r>
    </w:p>
    <w:p w14:paraId="76AAAC5E">
      <w:pPr>
        <w:ind w:right="1440" w:firstLine="494"/>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14:paraId="5365068B">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17D833E7">
      <w:pPr>
        <w:spacing w:line="360" w:lineRule="auto"/>
        <w:rPr>
          <w:rFonts w:cs="宋体" w:asciiTheme="minorEastAsia" w:hAnsiTheme="minorEastAsia" w:eastAsiaTheme="minorEastAsia"/>
          <w:bCs/>
          <w:sz w:val="24"/>
        </w:rPr>
      </w:pPr>
      <w:r>
        <w:rPr>
          <w:rFonts w:cs="宋体" w:asciiTheme="minorEastAsia" w:hAnsiTheme="minorEastAsia" w:eastAsiaTheme="min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cs="宋体" w:asciiTheme="minorEastAsia" w:hAnsiTheme="minorEastAsia"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投标单位法定名称章（印模）                投标单位“XX专用章”（印模）</w:t>
      </w:r>
    </w:p>
    <w:p w14:paraId="1F57D9FF">
      <w:pPr>
        <w:autoSpaceDE w:val="0"/>
        <w:autoSpaceDN w:val="0"/>
        <w:jc w:val="center"/>
        <w:rPr>
          <w:rFonts w:cs="宋体" w:asciiTheme="minorEastAsia" w:hAnsiTheme="minorEastAsia" w:eastAsiaTheme="minorEastAsia"/>
          <w:b/>
          <w:spacing w:val="6"/>
          <w:sz w:val="32"/>
          <w:szCs w:val="32"/>
        </w:rPr>
      </w:pPr>
    </w:p>
    <w:p w14:paraId="201CA5DE">
      <w:pPr>
        <w:autoSpaceDE w:val="0"/>
        <w:autoSpaceDN w:val="0"/>
        <w:jc w:val="center"/>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14:paraId="29B94C64">
      <w:pPr>
        <w:autoSpaceDE w:val="0"/>
        <w:autoSpaceDN w:val="0"/>
        <w:jc w:val="center"/>
        <w:rPr>
          <w:rFonts w:cs="宋体" w:asciiTheme="minorEastAsia" w:hAnsiTheme="minorEastAsia" w:eastAsiaTheme="minorEastAsia"/>
          <w:b/>
          <w:kern w:val="0"/>
          <w:sz w:val="32"/>
          <w:szCs w:val="32"/>
          <w:lang w:val="zh-CN"/>
        </w:rPr>
      </w:pPr>
      <w:r>
        <w:rPr>
          <w:rFonts w:hint="eastAsia" w:cs="宋体" w:asciiTheme="minorEastAsia" w:hAnsiTheme="minorEastAsia" w:eastAsiaTheme="minorEastAsia"/>
          <w:b/>
          <w:spacing w:val="6"/>
          <w:sz w:val="32"/>
          <w:szCs w:val="32"/>
        </w:rPr>
        <w:t>附件</w:t>
      </w:r>
      <w:r>
        <w:rPr>
          <w:rFonts w:cs="宋体" w:asciiTheme="minorEastAsia" w:hAnsiTheme="minorEastAsia" w:eastAsiaTheme="minorEastAsia"/>
          <w:b/>
          <w:spacing w:val="6"/>
          <w:sz w:val="32"/>
          <w:szCs w:val="32"/>
        </w:rPr>
        <w:t>5</w:t>
      </w:r>
      <w:r>
        <w:rPr>
          <w:rFonts w:hint="eastAsia" w:cs="宋体" w:asciiTheme="minorEastAsia" w:hAnsiTheme="minorEastAsia" w:eastAsiaTheme="minorEastAsia"/>
          <w:b/>
          <w:spacing w:val="6"/>
          <w:sz w:val="32"/>
          <w:szCs w:val="32"/>
        </w:rPr>
        <w:t>：</w:t>
      </w:r>
      <w:r>
        <w:rPr>
          <w:rFonts w:hint="eastAsia" w:cs="宋体" w:asciiTheme="minorEastAsia" w:hAnsiTheme="minorEastAsia" w:eastAsiaTheme="minorEastAsia"/>
          <w:b/>
          <w:kern w:val="0"/>
          <w:sz w:val="32"/>
          <w:szCs w:val="32"/>
          <w:lang w:val="zh-CN"/>
        </w:rPr>
        <w:t>联合协议</w:t>
      </w:r>
    </w:p>
    <w:p w14:paraId="4B89154A">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（以联合体形式投标的，提供联合协议；本项目不接受联合体投标或者投标人不以联合体形式投标的，则不需要提供）</w:t>
      </w:r>
    </w:p>
    <w:p w14:paraId="2E391D6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组成一个联合体，以一个投标人的身份</w:t>
      </w:r>
      <w:r>
        <w:rPr>
          <w:rFonts w:hint="eastAsia" w:cs="宋体" w:asciiTheme="minorEastAsia" w:hAnsiTheme="minorEastAsia" w:eastAsiaTheme="minorEastAsia"/>
          <w:kern w:val="0"/>
          <w:sz w:val="24"/>
        </w:rPr>
        <w:t>参加</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 xml:space="preserve">投标。 </w:t>
      </w:r>
    </w:p>
    <w:p w14:paraId="0423172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，代表所有联合体成员负责投标和合同实施阶段的主办、协调工作</w:t>
      </w:r>
      <w:r>
        <w:rPr>
          <w:rFonts w:hint="eastAsia" w:cs="宋体" w:asciiTheme="minorEastAsia" w:hAnsiTheme="minorEastAsia" w:eastAsiaTheme="minorEastAsia"/>
          <w:kern w:val="0"/>
          <w:sz w:val="24"/>
          <w:lang w:val="zh-CN"/>
        </w:rPr>
        <w:t>。</w:t>
      </w:r>
    </w:p>
    <w:p w14:paraId="2A49B4D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授权代表根据招标文件规定及投标内容而对采购人、采购机构所作的任何合法承诺，包括书面澄清及相应等均对联合投标各方产生约束力。</w:t>
      </w:r>
    </w:p>
    <w:p w14:paraId="2A771CA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三、本次联合投标中，分工如下：</w:t>
      </w:r>
    </w:p>
    <w:p w14:paraId="23D8DD51">
      <w:pPr>
        <w:snapToGrid w:val="0"/>
        <w:spacing w:line="360" w:lineRule="auto"/>
        <w:ind w:firstLine="576"/>
        <w:rPr>
          <w:rFonts w:cs="宋体" w:asciiTheme="minorEastAsia" w:hAnsiTheme="minorEastAsia" w:eastAsiaTheme="minorEastAsia"/>
          <w:kern w:val="0"/>
          <w:sz w:val="24"/>
          <w:lang w:val="zh-CN"/>
        </w:rPr>
      </w:pPr>
      <w:bookmarkStart w:id="402" w:name="_Hlk101134295"/>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p>
    <w:p w14:paraId="7AAB6DD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p>
    <w:p w14:paraId="4CB3C5A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bookmarkEnd w:id="402"/>
    <w:p w14:paraId="0FC13E8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w:t>
      </w:r>
    </w:p>
    <w:p w14:paraId="0137D6ED">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X,</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提供的全部货物由小微企业制造，其合同份额占到合同总金额%以上；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cs="宋体" w:asciiTheme="minorEastAsia" w:hAnsiTheme="minorEastAsia" w:eastAsiaTheme="minorEastAsia"/>
          <w:b/>
          <w:kern w:val="0"/>
          <w:sz w:val="24"/>
          <w:lang w:val="zh-CN"/>
        </w:rPr>
        <w:t>6</w:t>
      </w:r>
      <w:r>
        <w:rPr>
          <w:rFonts w:hint="eastAsia" w:cs="宋体" w:asciiTheme="minorEastAsia" w:hAnsiTheme="minorEastAsia" w:eastAsiaTheme="minorEastAsia"/>
          <w:b/>
          <w:kern w:val="0"/>
          <w:sz w:val="24"/>
          <w:lang w:val="zh-CN"/>
        </w:rPr>
        <w:t>%的扣除。供应商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2BFAF8E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2、中小企业合同金额达到%，小微企业合同金额达到%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p>
    <w:p w14:paraId="2FF3B03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五、如果中标，</w:t>
      </w:r>
      <w:r>
        <w:rPr>
          <w:rFonts w:hint="eastAsia" w:cs="宋体" w:asciiTheme="minorEastAsia" w:hAnsiTheme="minorEastAsia" w:eastAsiaTheme="minorEastAsia"/>
          <w:sz w:val="24"/>
        </w:rPr>
        <w:t>联合体各成员方共同与采购人签订合同，并就采购合同约定的事项对采购人承担连带责任。</w:t>
      </w:r>
    </w:p>
    <w:p w14:paraId="58687CD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六、有关本次联合投标的其他事宜：</w:t>
      </w:r>
    </w:p>
    <w:p w14:paraId="7819EC5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5BDBA07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0B8D1CB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3、本协议提交采购人、采购机构后，联合体各方不得以任何形式对上述内容进行修改或撤销。</w:t>
      </w:r>
    </w:p>
    <w:p w14:paraId="299159EF">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1858CA51">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3C0BDAD9">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6FCB2BF4">
      <w:pPr>
        <w:autoSpaceDE w:val="0"/>
        <w:autoSpaceDN w:val="0"/>
        <w:jc w:val="center"/>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14:paraId="0B933F57">
      <w:pPr>
        <w:snapToGrid w:val="0"/>
        <w:spacing w:line="360" w:lineRule="auto"/>
        <w:ind w:firstLine="3666" w:firstLineChars="1100"/>
        <w:rPr>
          <w:rFonts w:cs="宋体" w:asciiTheme="minorEastAsia" w:hAnsiTheme="minorEastAsia" w:eastAsiaTheme="minorEastAsia"/>
          <w:b/>
          <w:kern w:val="0"/>
          <w:sz w:val="32"/>
          <w:szCs w:val="32"/>
        </w:rPr>
      </w:pPr>
      <w:r>
        <w:rPr>
          <w:rFonts w:hint="eastAsia" w:cs="宋体" w:asciiTheme="minorEastAsia" w:hAnsiTheme="minorEastAsia" w:eastAsiaTheme="minorEastAsia"/>
          <w:b/>
          <w:spacing w:val="6"/>
          <w:sz w:val="32"/>
          <w:szCs w:val="32"/>
        </w:rPr>
        <w:t>附件</w:t>
      </w:r>
      <w:r>
        <w:rPr>
          <w:rFonts w:cs="宋体" w:asciiTheme="minorEastAsia" w:hAnsiTheme="minorEastAsia" w:eastAsiaTheme="minorEastAsia"/>
          <w:b/>
          <w:spacing w:val="6"/>
          <w:sz w:val="32"/>
          <w:szCs w:val="32"/>
        </w:rPr>
        <w:t>6</w:t>
      </w:r>
      <w:r>
        <w:rPr>
          <w:rFonts w:hint="eastAsia" w:cs="宋体" w:asciiTheme="minorEastAsia" w:hAnsiTheme="minorEastAsia" w:eastAsiaTheme="minorEastAsia"/>
          <w:b/>
          <w:spacing w:val="6"/>
          <w:sz w:val="32"/>
          <w:szCs w:val="32"/>
        </w:rPr>
        <w:t>：</w:t>
      </w:r>
      <w:r>
        <w:rPr>
          <w:rFonts w:hint="eastAsia" w:cs="宋体" w:asciiTheme="minorEastAsia" w:hAnsiTheme="minorEastAsia" w:eastAsiaTheme="minorEastAsia"/>
          <w:b/>
          <w:kern w:val="0"/>
          <w:sz w:val="32"/>
          <w:szCs w:val="32"/>
        </w:rPr>
        <w:t>分包意向协议</w:t>
      </w:r>
    </w:p>
    <w:p w14:paraId="281840BB">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sz w:val="24"/>
        </w:rPr>
        <w:t>）</w:t>
      </w:r>
    </w:p>
    <w:p w14:paraId="68BA76A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的中标供应商，将依法采取分包方式履行合同。</w:t>
      </w: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1E1BEF8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531B5CF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将</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1349B88E">
      <w:pPr>
        <w:pStyle w:val="4"/>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14:paraId="1A5C749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w:t>
      </w:r>
    </w:p>
    <w:p w14:paraId="27749C9A">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……）提供的货物全部由小微企业制造，</w:t>
      </w:r>
      <w:r>
        <w:rPr>
          <w:rFonts w:hint="eastAsia" w:cs="宋体" w:asciiTheme="minorEastAsia" w:hAnsiTheme="minorEastAsia" w:eastAsiaTheme="minorEastAsia"/>
          <w:kern w:val="0"/>
          <w:sz w:val="24"/>
        </w:rPr>
        <w:t>其合同份额占到合同总金额%以上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cs="宋体" w:asciiTheme="minorEastAsia" w:hAnsiTheme="minorEastAsia" w:eastAsiaTheme="minorEastAsia"/>
          <w:b/>
          <w:kern w:val="0"/>
          <w:sz w:val="24"/>
          <w:lang w:val="zh-CN"/>
        </w:rPr>
        <w:t>6</w:t>
      </w:r>
      <w:r>
        <w:rPr>
          <w:rFonts w:hint="eastAsia" w:cs="宋体" w:asciiTheme="minorEastAsia" w:hAnsiTheme="minorEastAsia" w:eastAsiaTheme="minorEastAsia"/>
          <w:b/>
          <w:kern w:val="0"/>
          <w:sz w:val="24"/>
          <w:lang w:val="zh-CN"/>
        </w:rPr>
        <w:t>%的扣除。供应商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75337EA3">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403" w:name="_Hlk101133173"/>
      <w:r>
        <w:rPr>
          <w:rFonts w:hint="eastAsia" w:cs="宋体" w:asciiTheme="minorEastAsia" w:hAnsiTheme="minorEastAsia" w:eastAsiaTheme="minorEastAsia"/>
          <w:sz w:val="24"/>
        </w:rPr>
        <w:t>中小企业合同金额达到%，小微企业合同金额达到%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要求合同分包形式参加的项目或采购包，供应商按招标文件第一部分招标公告申请人的资格要求中规定的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bookmarkEnd w:id="403"/>
    </w:p>
    <w:p w14:paraId="7CC67B25">
      <w:pPr>
        <w:snapToGrid w:val="0"/>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6C2CB885">
      <w:pPr>
        <w:snapToGrid w:val="0"/>
        <w:ind w:firstLine="576"/>
        <w:rPr>
          <w:rFonts w:cs="宋体" w:asciiTheme="minorEastAsia" w:hAnsiTheme="minorEastAsia" w:eastAsiaTheme="minorEastAsia"/>
          <w:u w:val="single"/>
        </w:rPr>
      </w:pPr>
    </w:p>
    <w:p w14:paraId="3B9E0186">
      <w:pPr>
        <w:snapToGrid w:val="0"/>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74F18612">
      <w:pPr>
        <w:snapToGrid w:val="0"/>
        <w:ind w:firstLine="576"/>
        <w:rPr>
          <w:rFonts w:cs="宋体" w:asciiTheme="minorEastAsia" w:hAnsiTheme="minorEastAsia" w:eastAsiaTheme="minorEastAsia"/>
          <w:kern w:val="0"/>
          <w:sz w:val="24"/>
          <w:lang w:val="zh-CN"/>
        </w:rPr>
      </w:pPr>
    </w:p>
    <w:p w14:paraId="0430A04E">
      <w:pPr>
        <w:snapToGrid w:val="0"/>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6257E2A9">
      <w:pPr>
        <w:snapToGrid w:val="0"/>
        <w:ind w:left="573" w:leftChars="273"/>
        <w:rPr>
          <w:rFonts w:cs="宋体" w:asciiTheme="minorEastAsia" w:hAnsiTheme="minorEastAsia" w:eastAsiaTheme="minorEastAsia"/>
          <w:kern w:val="0"/>
          <w:sz w:val="24"/>
          <w:lang w:val="zh-CN"/>
        </w:rPr>
      </w:pPr>
    </w:p>
    <w:p w14:paraId="6F48212C">
      <w:pPr>
        <w:snapToGrid w:val="0"/>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1D1E0E5A">
      <w:pPr>
        <w:snapToGrid w:val="0"/>
        <w:ind w:firstLine="576"/>
        <w:rPr>
          <w:rFonts w:cs="宋体" w:asciiTheme="minorEastAsia" w:hAnsiTheme="minorEastAsia" w:eastAsiaTheme="minorEastAsia"/>
          <w:kern w:val="0"/>
          <w:sz w:val="24"/>
          <w:lang w:val="zh-CN"/>
        </w:rPr>
      </w:pPr>
    </w:p>
    <w:p w14:paraId="3C4633CF">
      <w:pPr>
        <w:snapToGrid w:val="0"/>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10D66C8F">
      <w:pPr>
        <w:snapToGrid w:val="0"/>
        <w:spacing w:line="360" w:lineRule="auto"/>
        <w:ind w:firstLine="576"/>
        <w:rPr>
          <w:rFonts w:cs="宋体" w:asciiTheme="minorEastAsia" w:hAnsiTheme="minorEastAsia" w:eastAsiaTheme="minorEastAsia"/>
          <w:kern w:val="0"/>
          <w:sz w:val="24"/>
          <w:lang w:val="zh-CN"/>
        </w:rPr>
      </w:pPr>
    </w:p>
    <w:p w14:paraId="47A46376">
      <w:pPr>
        <w:snapToGrid w:val="0"/>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投标人名称(电子签名)：</w:t>
      </w:r>
    </w:p>
    <w:p w14:paraId="2BA68DE0">
      <w:pPr>
        <w:snapToGrid w:val="0"/>
        <w:ind w:firstLine="5640" w:firstLineChars="235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w:t>
      </w:r>
    </w:p>
    <w:p w14:paraId="2622822A">
      <w:pPr>
        <w:snapToGrid w:val="0"/>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73738DB2">
      <w:pPr>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27F89272">
      <w:pPr>
        <w:autoSpaceDE w:val="0"/>
        <w:autoSpaceDN w:val="0"/>
        <w:jc w:val="center"/>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14:paraId="57A303D7">
      <w:pPr>
        <w:autoSpaceDE w:val="0"/>
        <w:autoSpaceDN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附件7：</w:t>
      </w:r>
      <w:r>
        <w:rPr>
          <w:rFonts w:hint="eastAsia" w:cs="宋体" w:asciiTheme="minorEastAsia" w:hAnsiTheme="minorEastAsia" w:eastAsiaTheme="minorEastAsia"/>
          <w:b/>
          <w:sz w:val="32"/>
          <w:szCs w:val="32"/>
        </w:rPr>
        <w:t>中小企业声明函</w:t>
      </w:r>
    </w:p>
    <w:p w14:paraId="3C32BF1D">
      <w:pPr>
        <w:spacing w:line="360" w:lineRule="auto"/>
        <w:jc w:val="center"/>
        <w:rPr>
          <w:rFonts w:cs="宋体" w:asciiTheme="minorEastAsia" w:hAnsiTheme="minorEastAsia" w:eastAsiaTheme="minorEastAsia"/>
          <w:sz w:val="24"/>
          <w:u w:val="single"/>
        </w:rPr>
      </w:pPr>
    </w:p>
    <w:p w14:paraId="4AC47BDE">
      <w:pPr>
        <w:spacing w:line="360" w:lineRule="auto"/>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中小企业声明函（服务）</w:t>
      </w:r>
    </w:p>
    <w:p w14:paraId="7BC45A60">
      <w:pPr>
        <w:spacing w:line="360" w:lineRule="auto"/>
        <w:rPr>
          <w:rFonts w:cs="宋体" w:asciiTheme="minorEastAsia" w:hAnsiTheme="minorEastAsia" w:eastAsiaTheme="minorEastAsia"/>
        </w:rPr>
      </w:pPr>
    </w:p>
    <w:p w14:paraId="10C27882">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08A157EC">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724A130E">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4456F755">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22400B80">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3415E7BF">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51CD02AA">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投标人名称（电子签名）：</w:t>
      </w:r>
    </w:p>
    <w:p w14:paraId="5752440E">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51DD0023">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6B7FAABE">
      <w:pPr>
        <w:spacing w:line="360" w:lineRule="auto"/>
        <w:ind w:right="420"/>
        <w:rPr>
          <w:rFonts w:cs="宋体" w:asciiTheme="minorEastAsia" w:hAnsiTheme="minorEastAsia" w:eastAsiaTheme="minorEastAsia"/>
          <w:sz w:val="24"/>
        </w:rPr>
      </w:pPr>
    </w:p>
    <w:p w14:paraId="159EE16A">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3DB1BF0">
      <w:pPr>
        <w:spacing w:line="360" w:lineRule="auto"/>
        <w:rPr>
          <w:rFonts w:cs="宋体" w:asciiTheme="minorEastAsia" w:hAnsiTheme="minorEastAsia" w:eastAsiaTheme="minorEastAsia"/>
          <w:bCs/>
          <w:sz w:val="24"/>
        </w:rPr>
      </w:pPr>
    </w:p>
    <w:sectPr>
      <w:pgSz w:w="11906" w:h="16838"/>
      <w:pgMar w:top="1440" w:right="1418" w:bottom="1440" w:left="1418"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09999"/>
      <w:docPartObj>
        <w:docPartGallery w:val="autotext"/>
      </w:docPartObj>
    </w:sdtPr>
    <w:sdtContent>
      <w:p w14:paraId="00BBCCAE">
        <w:pPr>
          <w:pStyle w:val="2"/>
          <w:jc w:val="center"/>
        </w:pPr>
        <w:r>
          <w:fldChar w:fldCharType="begin"/>
        </w:r>
        <w:r>
          <w:instrText xml:space="preserve"> PAGE   \* MERGEFORMAT </w:instrText>
        </w:r>
        <w:r>
          <w:fldChar w:fldCharType="separate"/>
        </w:r>
        <w:r>
          <w:rPr>
            <w:lang w:val="zh-CN"/>
          </w:rPr>
          <w:t>21</w:t>
        </w:r>
        <w:r>
          <w:rPr>
            <w:lang w:val="zh-CN"/>
          </w:rPr>
          <w:fldChar w:fldCharType="end"/>
        </w:r>
      </w:p>
    </w:sdtContent>
  </w:sdt>
  <w:p w14:paraId="37969E59">
    <w:pPr>
      <w:pStyle w:val="2"/>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4"/>
      <w:docPartObj>
        <w:docPartGallery w:val="autotext"/>
      </w:docPartObj>
    </w:sdtPr>
    <w:sdtContent>
      <w:p w14:paraId="225E66A9">
        <w:pPr>
          <w:pStyle w:val="2"/>
          <w:jc w:val="center"/>
        </w:pPr>
        <w:r>
          <w:fldChar w:fldCharType="begin"/>
        </w:r>
        <w:r>
          <w:instrText xml:space="preserve"> PAGE   \* MERGEFORMAT </w:instrText>
        </w:r>
        <w:r>
          <w:fldChar w:fldCharType="separate"/>
        </w:r>
        <w:r>
          <w:rPr>
            <w:lang w:val="zh-CN"/>
          </w:rPr>
          <w:t>59</w:t>
        </w:r>
        <w:r>
          <w:rPr>
            <w:lang w:val="zh-CN"/>
          </w:rPr>
          <w:fldChar w:fldCharType="end"/>
        </w:r>
      </w:p>
    </w:sdtContent>
  </w:sdt>
  <w:p w14:paraId="27D6F722">
    <w:pPr>
      <w:pStyle w:val="2"/>
      <w:jc w:val="center"/>
      <w:rPr>
        <w:rFonts w:ascii="FangSong_GB2312" w:eastAsia="FangSong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936EE">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09997"/>
      <w:docPartObj>
        <w:docPartGallery w:val="autotext"/>
      </w:docPartObj>
    </w:sdtPr>
    <w:sdtContent>
      <w:p w14:paraId="1466969B">
        <w:pPr>
          <w:pStyle w:val="2"/>
          <w:jc w:val="center"/>
        </w:pPr>
        <w:r>
          <w:fldChar w:fldCharType="begin"/>
        </w:r>
        <w:r>
          <w:instrText xml:space="preserve"> PAGE   \* MERGEFORMAT </w:instrText>
        </w:r>
        <w:r>
          <w:fldChar w:fldCharType="separate"/>
        </w:r>
        <w:r>
          <w:rPr>
            <w:lang w:val="zh-CN"/>
          </w:rPr>
          <w:t>19</w:t>
        </w:r>
        <w:r>
          <w:rPr>
            <w:lang w:val="zh-CN"/>
          </w:rPr>
          <w:fldChar w:fldCharType="end"/>
        </w:r>
      </w:p>
    </w:sdtContent>
  </w:sdt>
  <w:p w14:paraId="2B803D0A">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1"/>
      <w:docPartObj>
        <w:docPartGallery w:val="autotext"/>
      </w:docPartObj>
    </w:sdtPr>
    <w:sdtContent>
      <w:p w14:paraId="6AF9D2A2">
        <w:pPr>
          <w:pStyle w:val="2"/>
          <w:jc w:val="center"/>
        </w:pPr>
        <w:r>
          <w:fldChar w:fldCharType="begin"/>
        </w:r>
        <w:r>
          <w:instrText xml:space="preserve"> PAGE   \* MERGEFORMAT </w:instrText>
        </w:r>
        <w:r>
          <w:fldChar w:fldCharType="separate"/>
        </w:r>
        <w:r>
          <w:rPr>
            <w:lang w:val="zh-CN"/>
          </w:rPr>
          <w:t>39</w:t>
        </w:r>
        <w:r>
          <w:rPr>
            <w:lang w:val="zh-CN"/>
          </w:rPr>
          <w:fldChar w:fldCharType="end"/>
        </w:r>
      </w:p>
    </w:sdtContent>
  </w:sdt>
  <w:p w14:paraId="43DFCB14">
    <w:pPr>
      <w:jc w:val="center"/>
      <w:rPr>
        <w:rFonts w:ascii="FangSong_GB2312" w:eastAsia="FangSong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0"/>
      <w:docPartObj>
        <w:docPartGallery w:val="autotext"/>
      </w:docPartObj>
    </w:sdtPr>
    <w:sdtContent>
      <w:p w14:paraId="6978E323">
        <w:pPr>
          <w:pStyle w:val="2"/>
          <w:jc w:val="center"/>
        </w:pPr>
        <w:r>
          <w:fldChar w:fldCharType="begin"/>
        </w:r>
        <w:r>
          <w:instrText xml:space="preserve"> PAGE   \* MERGEFORMAT </w:instrText>
        </w:r>
        <w:r>
          <w:fldChar w:fldCharType="separate"/>
        </w:r>
        <w:r>
          <w:rPr>
            <w:lang w:val="zh-CN"/>
          </w:rPr>
          <w:t>42</w:t>
        </w:r>
        <w:r>
          <w:rPr>
            <w:lang w:val="zh-CN"/>
          </w:rPr>
          <w:fldChar w:fldCharType="end"/>
        </w:r>
      </w:p>
    </w:sdtContent>
  </w:sdt>
  <w:p w14:paraId="0AA0BCC8">
    <w:pPr>
      <w:tabs>
        <w:tab w:val="center" w:pos="4535"/>
      </w:tabs>
      <w:rPr>
        <w:rFonts w:ascii="FangSong_GB2312" w:eastAsia="FangSong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3"/>
      <w:docPartObj>
        <w:docPartGallery w:val="autotext"/>
      </w:docPartObj>
    </w:sdtPr>
    <w:sdtContent>
      <w:p w14:paraId="5D30787E">
        <w:pPr>
          <w:pStyle w:val="2"/>
          <w:jc w:val="center"/>
        </w:pPr>
        <w:r>
          <w:fldChar w:fldCharType="begin"/>
        </w:r>
        <w:r>
          <w:instrText xml:space="preserve"> PAGE   \* MERGEFORMAT </w:instrText>
        </w:r>
        <w:r>
          <w:fldChar w:fldCharType="separate"/>
        </w:r>
        <w:r>
          <w:rPr>
            <w:lang w:val="zh-CN"/>
          </w:rPr>
          <w:t>46</w:t>
        </w:r>
        <w:r>
          <w:rPr>
            <w:lang w:val="zh-CN"/>
          </w:rPr>
          <w:fldChar w:fldCharType="end"/>
        </w:r>
      </w:p>
    </w:sdtContent>
  </w:sdt>
  <w:p w14:paraId="400BAD3E">
    <w:pPr>
      <w:jc w:val="center"/>
      <w:rPr>
        <w:rFonts w:ascii="FangSong_GB2312" w:eastAsia="FangSong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2"/>
      <w:docPartObj>
        <w:docPartGallery w:val="autotext"/>
      </w:docPartObj>
    </w:sdtPr>
    <w:sdtContent>
      <w:p w14:paraId="0664A858">
        <w:pPr>
          <w:pStyle w:val="2"/>
          <w:jc w:val="center"/>
        </w:pPr>
        <w:r>
          <w:fldChar w:fldCharType="begin"/>
        </w:r>
        <w:r>
          <w:instrText xml:space="preserve"> PAGE   \* MERGEFORMAT </w:instrText>
        </w:r>
        <w:r>
          <w:fldChar w:fldCharType="separate"/>
        </w:r>
        <w:r>
          <w:rPr>
            <w:lang w:val="zh-CN"/>
          </w:rPr>
          <w:t>45</w:t>
        </w:r>
        <w:r>
          <w:rPr>
            <w:lang w:val="zh-CN"/>
          </w:rPr>
          <w:fldChar w:fldCharType="end"/>
        </w:r>
      </w:p>
    </w:sdtContent>
  </w:sdt>
  <w:p w14:paraId="11427D87">
    <w:pPr>
      <w:jc w:val="center"/>
      <w:rPr>
        <w:rFonts w:ascii="FangSong_GB2312" w:eastAsia="FangSong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5"/>
      <w:docPartObj>
        <w:docPartGallery w:val="autotext"/>
      </w:docPartObj>
    </w:sdtPr>
    <w:sdtContent>
      <w:p w14:paraId="73938514">
        <w:pPr>
          <w:pStyle w:val="2"/>
          <w:jc w:val="center"/>
        </w:pPr>
        <w:r>
          <w:fldChar w:fldCharType="begin"/>
        </w:r>
        <w:r>
          <w:instrText xml:space="preserve"> PAGE   \* MERGEFORMAT </w:instrText>
        </w:r>
        <w:r>
          <w:fldChar w:fldCharType="separate"/>
        </w:r>
        <w:r>
          <w:rPr>
            <w:lang w:val="zh-CN"/>
          </w:rPr>
          <w:t>57</w:t>
        </w:r>
        <w:r>
          <w:rPr>
            <w:lang w:val="zh-CN"/>
          </w:rPr>
          <w:fldChar w:fldCharType="end"/>
        </w:r>
      </w:p>
    </w:sdtContent>
  </w:sdt>
  <w:p w14:paraId="57FE4829">
    <w:pPr>
      <w:pStyle w:val="2"/>
      <w:jc w:val="center"/>
      <w:rPr>
        <w:rFonts w:ascii="FangSong_GB2312" w:eastAsia="FangSong_GB2312"/>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0A348">
    <w:pPr>
      <w:pStyle w:val="2"/>
      <w:framePr w:wrap="around" w:vAnchor="text" w:hAnchor="margin" w:xAlign="right" w:y="1"/>
      <w:rPr>
        <w:rStyle w:val="79"/>
      </w:rPr>
    </w:pPr>
    <w:r>
      <w:fldChar w:fldCharType="begin"/>
    </w:r>
    <w:r>
      <w:rPr>
        <w:rStyle w:val="79"/>
      </w:rPr>
      <w:instrText xml:space="preserve">PAGE  </w:instrText>
    </w:r>
    <w:r>
      <w:fldChar w:fldCharType="end"/>
    </w:r>
  </w:p>
  <w:p w14:paraId="04AE4CFE">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CBE99">
    <w:pPr>
      <w:pStyle w:val="66"/>
      <w:tabs>
        <w:tab w:val="center" w:pos="4535"/>
        <w:tab w:val="right" w:pos="9070"/>
      </w:tabs>
      <w:jc w:val="both"/>
      <w:rPr>
        <w:rFonts w:ascii="FangSong_GB2312" w:eastAsia="FangSong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47684">
    <w:pPr>
      <w:pStyle w:val="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8DC4F">
    <w:pPr>
      <w:pStyle w:val="50"/>
      <w:pBdr>
        <w:bottom w:val="none" w:color="auto" w:sz="0" w:space="0"/>
      </w:pBdr>
      <w:tabs>
        <w:tab w:val="center" w:pos="4535"/>
        <w:tab w:val="right" w:pos="9070"/>
        <w:tab w:val="clear" w:pos="4153"/>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E2878">
    <w:pPr>
      <w:pStyle w:val="50"/>
      <w:pBdr>
        <w:bottom w:val="none" w:color="auto" w:sz="0" w:space="1"/>
      </w:pBdr>
      <w:jc w:val="both"/>
      <w:rPr>
        <w:rFonts w:ascii="FangSong_GB2312" w:eastAsia="FangSong_GB2312"/>
        <w:b/>
        <w:i/>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9C9B4">
    <w:pPr>
      <w:pStyle w:val="50"/>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3ECB5">
    <w:pPr>
      <w:pStyle w:val="50"/>
      <w:jc w:val="right"/>
      <w:rPr>
        <w:rFonts w:ascii="FangSong_GB2312" w:eastAsia="FangSong_GB2312"/>
        <w:b/>
        <w:i/>
        <w:u w:val="single"/>
      </w:rPr>
    </w:pPr>
  </w:p>
  <w:p w14:paraId="4DB56387">
    <w:pPr>
      <w:rPr>
        <w:rFonts w:ascii="FangSong_GB2312" w:eastAsia="FangSong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F8550">
    <w:pPr>
      <w:pStyle w:val="50"/>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D9F51">
    <w:pPr>
      <w:pStyle w:val="50"/>
      <w:pBdr>
        <w:bottom w:val="none" w:color="auto" w:sz="0" w:space="1"/>
      </w:pBdr>
      <w:jc w:val="both"/>
      <w:rPr>
        <w:rFonts w:ascii="FangSong_GB2312" w:eastAsia="FangSong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B400E">
    <w:pPr>
      <w:pStyle w:val="50"/>
      <w:pBdr>
        <w:bottom w:val="none" w:color="auto" w:sz="0" w:space="1"/>
      </w:pBdr>
      <w:jc w:val="both"/>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90A58"/>
    <w:multiLevelType w:val="singleLevel"/>
    <w:tmpl w:val="59A90A58"/>
    <w:lvl w:ilvl="0" w:tentative="0">
      <w:start w:val="1"/>
      <w:numFmt w:val="decimal"/>
      <w:suff w:val="nothing"/>
      <w:lvlText w:val="%1、"/>
      <w:lvlJc w:val="left"/>
      <w:pPr>
        <w:ind w:left="0" w:firstLine="0"/>
      </w:pPr>
    </w:lvl>
  </w:abstractNum>
  <w:abstractNum w:abstractNumId="1">
    <w:nsid w:val="6F6F41EA"/>
    <w:multiLevelType w:val="multilevel"/>
    <w:tmpl w:val="6F6F41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ZjUwNDUyYjBlYzA4NDgzMDZlNDVlY2UzNTU0YmUifQ=="/>
  </w:docVars>
  <w:rsids>
    <w:rsidRoot w:val="00172A27"/>
    <w:rsid w:val="00000451"/>
    <w:rsid w:val="0000108B"/>
    <w:rsid w:val="0000133D"/>
    <w:rsid w:val="00001509"/>
    <w:rsid w:val="000031DB"/>
    <w:rsid w:val="000032B2"/>
    <w:rsid w:val="0000363B"/>
    <w:rsid w:val="0000546D"/>
    <w:rsid w:val="000058BD"/>
    <w:rsid w:val="00006109"/>
    <w:rsid w:val="00006150"/>
    <w:rsid w:val="000063E8"/>
    <w:rsid w:val="00006725"/>
    <w:rsid w:val="0000675E"/>
    <w:rsid w:val="00007CAA"/>
    <w:rsid w:val="00010FE9"/>
    <w:rsid w:val="0001122F"/>
    <w:rsid w:val="00011670"/>
    <w:rsid w:val="00011A4B"/>
    <w:rsid w:val="00012251"/>
    <w:rsid w:val="0001337C"/>
    <w:rsid w:val="000138C4"/>
    <w:rsid w:val="00013C1F"/>
    <w:rsid w:val="00013F31"/>
    <w:rsid w:val="000140D8"/>
    <w:rsid w:val="00014530"/>
    <w:rsid w:val="00014BBC"/>
    <w:rsid w:val="000150EE"/>
    <w:rsid w:val="000163EF"/>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E8C"/>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47C40"/>
    <w:rsid w:val="00050656"/>
    <w:rsid w:val="00050A19"/>
    <w:rsid w:val="000511B6"/>
    <w:rsid w:val="00051A5F"/>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831"/>
    <w:rsid w:val="00064278"/>
    <w:rsid w:val="000646CA"/>
    <w:rsid w:val="00064BF2"/>
    <w:rsid w:val="000665C4"/>
    <w:rsid w:val="00067821"/>
    <w:rsid w:val="0006785E"/>
    <w:rsid w:val="00067F92"/>
    <w:rsid w:val="00067FA7"/>
    <w:rsid w:val="0007000E"/>
    <w:rsid w:val="0007038E"/>
    <w:rsid w:val="0007077C"/>
    <w:rsid w:val="00070825"/>
    <w:rsid w:val="00070BB7"/>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62D"/>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B77E6"/>
    <w:rsid w:val="000C0A43"/>
    <w:rsid w:val="000C0CB1"/>
    <w:rsid w:val="000C1411"/>
    <w:rsid w:val="000C1ADE"/>
    <w:rsid w:val="000C1C38"/>
    <w:rsid w:val="000C21DC"/>
    <w:rsid w:val="000C2264"/>
    <w:rsid w:val="000C256B"/>
    <w:rsid w:val="000C3970"/>
    <w:rsid w:val="000C3B1A"/>
    <w:rsid w:val="000C4727"/>
    <w:rsid w:val="000C47AE"/>
    <w:rsid w:val="000C50BD"/>
    <w:rsid w:val="000C51AD"/>
    <w:rsid w:val="000C5374"/>
    <w:rsid w:val="000C5EC0"/>
    <w:rsid w:val="000C6162"/>
    <w:rsid w:val="000C64CC"/>
    <w:rsid w:val="000C6688"/>
    <w:rsid w:val="000C692E"/>
    <w:rsid w:val="000C6B28"/>
    <w:rsid w:val="000C726D"/>
    <w:rsid w:val="000C7BEB"/>
    <w:rsid w:val="000D0124"/>
    <w:rsid w:val="000D11E5"/>
    <w:rsid w:val="000D19E8"/>
    <w:rsid w:val="000D1FA1"/>
    <w:rsid w:val="000D259A"/>
    <w:rsid w:val="000D2834"/>
    <w:rsid w:val="000D2CAC"/>
    <w:rsid w:val="000D34C8"/>
    <w:rsid w:val="000D34FD"/>
    <w:rsid w:val="000D3BE5"/>
    <w:rsid w:val="000D3C37"/>
    <w:rsid w:val="000D453A"/>
    <w:rsid w:val="000D4AFA"/>
    <w:rsid w:val="000D5155"/>
    <w:rsid w:val="000D5EA6"/>
    <w:rsid w:val="000D5F00"/>
    <w:rsid w:val="000D6C9F"/>
    <w:rsid w:val="000D6E3B"/>
    <w:rsid w:val="000D6F30"/>
    <w:rsid w:val="000D74E4"/>
    <w:rsid w:val="000D7C9D"/>
    <w:rsid w:val="000D7CE0"/>
    <w:rsid w:val="000E20D4"/>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C4A"/>
    <w:rsid w:val="000F1604"/>
    <w:rsid w:val="000F287A"/>
    <w:rsid w:val="000F2940"/>
    <w:rsid w:val="000F2AB3"/>
    <w:rsid w:val="000F3D08"/>
    <w:rsid w:val="000F4495"/>
    <w:rsid w:val="000F4A05"/>
    <w:rsid w:val="000F4AA8"/>
    <w:rsid w:val="000F4AEA"/>
    <w:rsid w:val="000F4E67"/>
    <w:rsid w:val="000F505B"/>
    <w:rsid w:val="000F5677"/>
    <w:rsid w:val="000F59D7"/>
    <w:rsid w:val="000F5DDB"/>
    <w:rsid w:val="000F628E"/>
    <w:rsid w:val="000F68A0"/>
    <w:rsid w:val="000F6A52"/>
    <w:rsid w:val="000F6CC2"/>
    <w:rsid w:val="000F729C"/>
    <w:rsid w:val="000F7BE7"/>
    <w:rsid w:val="000F7D4B"/>
    <w:rsid w:val="0010118C"/>
    <w:rsid w:val="0010125E"/>
    <w:rsid w:val="001015F8"/>
    <w:rsid w:val="00101967"/>
    <w:rsid w:val="00103251"/>
    <w:rsid w:val="00103509"/>
    <w:rsid w:val="0010393D"/>
    <w:rsid w:val="00103EBD"/>
    <w:rsid w:val="00104699"/>
    <w:rsid w:val="0010496A"/>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5BA"/>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4DF9"/>
    <w:rsid w:val="001350F7"/>
    <w:rsid w:val="00135769"/>
    <w:rsid w:val="00135BE9"/>
    <w:rsid w:val="00135E5C"/>
    <w:rsid w:val="00136762"/>
    <w:rsid w:val="00136C0E"/>
    <w:rsid w:val="00136E33"/>
    <w:rsid w:val="0013773D"/>
    <w:rsid w:val="0014042F"/>
    <w:rsid w:val="00140693"/>
    <w:rsid w:val="00140D7A"/>
    <w:rsid w:val="00141D28"/>
    <w:rsid w:val="00141DFE"/>
    <w:rsid w:val="00142185"/>
    <w:rsid w:val="001422E2"/>
    <w:rsid w:val="001433BC"/>
    <w:rsid w:val="00143872"/>
    <w:rsid w:val="00143A85"/>
    <w:rsid w:val="00144649"/>
    <w:rsid w:val="00144CE5"/>
    <w:rsid w:val="00145022"/>
    <w:rsid w:val="00145662"/>
    <w:rsid w:val="00145C6D"/>
    <w:rsid w:val="001460FC"/>
    <w:rsid w:val="00146151"/>
    <w:rsid w:val="00146326"/>
    <w:rsid w:val="00147032"/>
    <w:rsid w:val="0014762D"/>
    <w:rsid w:val="00147EA7"/>
    <w:rsid w:val="001507F3"/>
    <w:rsid w:val="00151820"/>
    <w:rsid w:val="00151B2F"/>
    <w:rsid w:val="001524DC"/>
    <w:rsid w:val="001525E5"/>
    <w:rsid w:val="00152A9D"/>
    <w:rsid w:val="00153859"/>
    <w:rsid w:val="00153915"/>
    <w:rsid w:val="001539F0"/>
    <w:rsid w:val="00154BBA"/>
    <w:rsid w:val="00155B95"/>
    <w:rsid w:val="00156853"/>
    <w:rsid w:val="00157432"/>
    <w:rsid w:val="00161185"/>
    <w:rsid w:val="001620BA"/>
    <w:rsid w:val="001623AC"/>
    <w:rsid w:val="001628EB"/>
    <w:rsid w:val="00162BAA"/>
    <w:rsid w:val="00163C40"/>
    <w:rsid w:val="0016488B"/>
    <w:rsid w:val="00164968"/>
    <w:rsid w:val="00165758"/>
    <w:rsid w:val="00165A65"/>
    <w:rsid w:val="00166317"/>
    <w:rsid w:val="00166DA1"/>
    <w:rsid w:val="00167478"/>
    <w:rsid w:val="00167594"/>
    <w:rsid w:val="001702BE"/>
    <w:rsid w:val="001704B3"/>
    <w:rsid w:val="0017059C"/>
    <w:rsid w:val="0017094E"/>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C7A"/>
    <w:rsid w:val="0017610B"/>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BDC"/>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60D"/>
    <w:rsid w:val="001969F2"/>
    <w:rsid w:val="00196A21"/>
    <w:rsid w:val="00196CD6"/>
    <w:rsid w:val="0019756A"/>
    <w:rsid w:val="001A0480"/>
    <w:rsid w:val="001A0632"/>
    <w:rsid w:val="001A06B5"/>
    <w:rsid w:val="001A07F8"/>
    <w:rsid w:val="001A0A23"/>
    <w:rsid w:val="001A0C98"/>
    <w:rsid w:val="001A128B"/>
    <w:rsid w:val="001A1475"/>
    <w:rsid w:val="001A162B"/>
    <w:rsid w:val="001A1F0E"/>
    <w:rsid w:val="001A3335"/>
    <w:rsid w:val="001A473A"/>
    <w:rsid w:val="001A4ED9"/>
    <w:rsid w:val="001A5785"/>
    <w:rsid w:val="001A5FD7"/>
    <w:rsid w:val="001A64B6"/>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33"/>
    <w:rsid w:val="001C6C5B"/>
    <w:rsid w:val="001C7399"/>
    <w:rsid w:val="001C7CE0"/>
    <w:rsid w:val="001D005B"/>
    <w:rsid w:val="001D00C1"/>
    <w:rsid w:val="001D0947"/>
    <w:rsid w:val="001D16F5"/>
    <w:rsid w:val="001D18FA"/>
    <w:rsid w:val="001D1970"/>
    <w:rsid w:val="001D1D55"/>
    <w:rsid w:val="001D21EF"/>
    <w:rsid w:val="001D29A4"/>
    <w:rsid w:val="001D2B73"/>
    <w:rsid w:val="001D2D03"/>
    <w:rsid w:val="001D3136"/>
    <w:rsid w:val="001D330D"/>
    <w:rsid w:val="001D4AB6"/>
    <w:rsid w:val="001D4AD3"/>
    <w:rsid w:val="001D5281"/>
    <w:rsid w:val="001E09E5"/>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76C"/>
    <w:rsid w:val="001F19D1"/>
    <w:rsid w:val="001F1CB9"/>
    <w:rsid w:val="001F1F18"/>
    <w:rsid w:val="001F2F92"/>
    <w:rsid w:val="001F462E"/>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093"/>
    <w:rsid w:val="00211185"/>
    <w:rsid w:val="00211A94"/>
    <w:rsid w:val="002126F2"/>
    <w:rsid w:val="00213326"/>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C65"/>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84"/>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E2B"/>
    <w:rsid w:val="0024415B"/>
    <w:rsid w:val="00245565"/>
    <w:rsid w:val="002458C1"/>
    <w:rsid w:val="00245E62"/>
    <w:rsid w:val="002460D0"/>
    <w:rsid w:val="00246357"/>
    <w:rsid w:val="00246F23"/>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5C75"/>
    <w:rsid w:val="0025631F"/>
    <w:rsid w:val="00256986"/>
    <w:rsid w:val="00256D61"/>
    <w:rsid w:val="00256E23"/>
    <w:rsid w:val="00257246"/>
    <w:rsid w:val="00257438"/>
    <w:rsid w:val="002576AE"/>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75A"/>
    <w:rsid w:val="00267A92"/>
    <w:rsid w:val="00267E43"/>
    <w:rsid w:val="00270282"/>
    <w:rsid w:val="00270780"/>
    <w:rsid w:val="00270CF6"/>
    <w:rsid w:val="00271097"/>
    <w:rsid w:val="00271C53"/>
    <w:rsid w:val="0027219C"/>
    <w:rsid w:val="0027244F"/>
    <w:rsid w:val="00273052"/>
    <w:rsid w:val="002739CE"/>
    <w:rsid w:val="00273C5F"/>
    <w:rsid w:val="002741D4"/>
    <w:rsid w:val="002743AC"/>
    <w:rsid w:val="0027499D"/>
    <w:rsid w:val="00274C46"/>
    <w:rsid w:val="002751CA"/>
    <w:rsid w:val="00275218"/>
    <w:rsid w:val="0027544D"/>
    <w:rsid w:val="00277196"/>
    <w:rsid w:val="002775ED"/>
    <w:rsid w:val="002778AB"/>
    <w:rsid w:val="002802A5"/>
    <w:rsid w:val="00280CFB"/>
    <w:rsid w:val="00280D24"/>
    <w:rsid w:val="002815C4"/>
    <w:rsid w:val="00281BCB"/>
    <w:rsid w:val="00281C76"/>
    <w:rsid w:val="0028316D"/>
    <w:rsid w:val="00283296"/>
    <w:rsid w:val="00285119"/>
    <w:rsid w:val="0028583E"/>
    <w:rsid w:val="00285853"/>
    <w:rsid w:val="00285AED"/>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B9D"/>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02D"/>
    <w:rsid w:val="002B34E3"/>
    <w:rsid w:val="002B3B27"/>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553"/>
    <w:rsid w:val="002C66B8"/>
    <w:rsid w:val="002C70E7"/>
    <w:rsid w:val="002D0C27"/>
    <w:rsid w:val="002D0E88"/>
    <w:rsid w:val="002D0EA7"/>
    <w:rsid w:val="002D0F31"/>
    <w:rsid w:val="002D12E8"/>
    <w:rsid w:val="002D1593"/>
    <w:rsid w:val="002D1A1E"/>
    <w:rsid w:val="002D22A6"/>
    <w:rsid w:val="002D2695"/>
    <w:rsid w:val="002D2819"/>
    <w:rsid w:val="002D2CD6"/>
    <w:rsid w:val="002D2F81"/>
    <w:rsid w:val="002D38A3"/>
    <w:rsid w:val="002D3BA3"/>
    <w:rsid w:val="002D43EE"/>
    <w:rsid w:val="002D44C3"/>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B09"/>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5B7E"/>
    <w:rsid w:val="002E5F3F"/>
    <w:rsid w:val="002E672A"/>
    <w:rsid w:val="002E6853"/>
    <w:rsid w:val="002E7EC1"/>
    <w:rsid w:val="002E7EE5"/>
    <w:rsid w:val="002F0323"/>
    <w:rsid w:val="002F0DFB"/>
    <w:rsid w:val="002F134F"/>
    <w:rsid w:val="002F1D0B"/>
    <w:rsid w:val="002F1E1D"/>
    <w:rsid w:val="002F1F02"/>
    <w:rsid w:val="002F238E"/>
    <w:rsid w:val="002F27E5"/>
    <w:rsid w:val="002F2D81"/>
    <w:rsid w:val="002F2F66"/>
    <w:rsid w:val="002F3163"/>
    <w:rsid w:val="002F39D4"/>
    <w:rsid w:val="002F4BA9"/>
    <w:rsid w:val="002F50D7"/>
    <w:rsid w:val="002F541B"/>
    <w:rsid w:val="002F5BFE"/>
    <w:rsid w:val="002F5DA5"/>
    <w:rsid w:val="002F5E17"/>
    <w:rsid w:val="002F647C"/>
    <w:rsid w:val="002F6C6B"/>
    <w:rsid w:val="002F6CB0"/>
    <w:rsid w:val="002F6EFF"/>
    <w:rsid w:val="002F7342"/>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720"/>
    <w:rsid w:val="00313C9D"/>
    <w:rsid w:val="0031430C"/>
    <w:rsid w:val="00314919"/>
    <w:rsid w:val="00314C5A"/>
    <w:rsid w:val="00314E84"/>
    <w:rsid w:val="0031531A"/>
    <w:rsid w:val="00315394"/>
    <w:rsid w:val="00315D77"/>
    <w:rsid w:val="00315D8E"/>
    <w:rsid w:val="00316002"/>
    <w:rsid w:val="00316BA8"/>
    <w:rsid w:val="00316CDE"/>
    <w:rsid w:val="0031752D"/>
    <w:rsid w:val="00317709"/>
    <w:rsid w:val="00320688"/>
    <w:rsid w:val="00320A34"/>
    <w:rsid w:val="00320B75"/>
    <w:rsid w:val="00321DB7"/>
    <w:rsid w:val="00321E7A"/>
    <w:rsid w:val="0032226D"/>
    <w:rsid w:val="003222C5"/>
    <w:rsid w:val="003235E6"/>
    <w:rsid w:val="00324038"/>
    <w:rsid w:val="003243AF"/>
    <w:rsid w:val="00324951"/>
    <w:rsid w:val="003249F6"/>
    <w:rsid w:val="00324B2F"/>
    <w:rsid w:val="00325FCC"/>
    <w:rsid w:val="00326106"/>
    <w:rsid w:val="00326440"/>
    <w:rsid w:val="00326805"/>
    <w:rsid w:val="003269B7"/>
    <w:rsid w:val="00326C0E"/>
    <w:rsid w:val="003272A3"/>
    <w:rsid w:val="003272E4"/>
    <w:rsid w:val="00327B71"/>
    <w:rsid w:val="0033127B"/>
    <w:rsid w:val="00331461"/>
    <w:rsid w:val="003316A8"/>
    <w:rsid w:val="00331C80"/>
    <w:rsid w:val="00331CC9"/>
    <w:rsid w:val="003320D7"/>
    <w:rsid w:val="00332265"/>
    <w:rsid w:val="00332862"/>
    <w:rsid w:val="00332D52"/>
    <w:rsid w:val="00332FBC"/>
    <w:rsid w:val="00333337"/>
    <w:rsid w:val="00333A28"/>
    <w:rsid w:val="00333B6C"/>
    <w:rsid w:val="00333BD0"/>
    <w:rsid w:val="00334927"/>
    <w:rsid w:val="003360AD"/>
    <w:rsid w:val="0033631D"/>
    <w:rsid w:val="003369C7"/>
    <w:rsid w:val="003373A6"/>
    <w:rsid w:val="00337409"/>
    <w:rsid w:val="00337E18"/>
    <w:rsid w:val="003405AF"/>
    <w:rsid w:val="003405C7"/>
    <w:rsid w:val="0034088F"/>
    <w:rsid w:val="00340B3E"/>
    <w:rsid w:val="003411F3"/>
    <w:rsid w:val="003413D2"/>
    <w:rsid w:val="00341525"/>
    <w:rsid w:val="0034257E"/>
    <w:rsid w:val="003429A1"/>
    <w:rsid w:val="003429FC"/>
    <w:rsid w:val="00343079"/>
    <w:rsid w:val="00343127"/>
    <w:rsid w:val="00343320"/>
    <w:rsid w:val="00343F75"/>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56C"/>
    <w:rsid w:val="0035455F"/>
    <w:rsid w:val="00354EFB"/>
    <w:rsid w:val="00355D75"/>
    <w:rsid w:val="00355D8F"/>
    <w:rsid w:val="00356A73"/>
    <w:rsid w:val="00356FF0"/>
    <w:rsid w:val="003577EF"/>
    <w:rsid w:val="00357A60"/>
    <w:rsid w:val="00360304"/>
    <w:rsid w:val="00360A78"/>
    <w:rsid w:val="00361750"/>
    <w:rsid w:val="00363894"/>
    <w:rsid w:val="00363B2A"/>
    <w:rsid w:val="00363BF1"/>
    <w:rsid w:val="003655FB"/>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3A9F"/>
    <w:rsid w:val="00374677"/>
    <w:rsid w:val="0037510C"/>
    <w:rsid w:val="00375850"/>
    <w:rsid w:val="0037632F"/>
    <w:rsid w:val="00376FC6"/>
    <w:rsid w:val="00377B26"/>
    <w:rsid w:val="00377BB0"/>
    <w:rsid w:val="00381014"/>
    <w:rsid w:val="00381604"/>
    <w:rsid w:val="00381C68"/>
    <w:rsid w:val="00381CF2"/>
    <w:rsid w:val="00381F60"/>
    <w:rsid w:val="00383204"/>
    <w:rsid w:val="00383AB0"/>
    <w:rsid w:val="003847BB"/>
    <w:rsid w:val="00384814"/>
    <w:rsid w:val="00384C0A"/>
    <w:rsid w:val="00385B16"/>
    <w:rsid w:val="00385B2F"/>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342"/>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59E6"/>
    <w:rsid w:val="003A6008"/>
    <w:rsid w:val="003A703F"/>
    <w:rsid w:val="003A7E2B"/>
    <w:rsid w:val="003A7E40"/>
    <w:rsid w:val="003B0336"/>
    <w:rsid w:val="003B0A3A"/>
    <w:rsid w:val="003B0D79"/>
    <w:rsid w:val="003B1C03"/>
    <w:rsid w:val="003B2930"/>
    <w:rsid w:val="003B31A7"/>
    <w:rsid w:val="003B34C0"/>
    <w:rsid w:val="003B414C"/>
    <w:rsid w:val="003B4587"/>
    <w:rsid w:val="003B4821"/>
    <w:rsid w:val="003B4B51"/>
    <w:rsid w:val="003B4FE1"/>
    <w:rsid w:val="003B514E"/>
    <w:rsid w:val="003B532C"/>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113"/>
    <w:rsid w:val="003D34C3"/>
    <w:rsid w:val="003D3D83"/>
    <w:rsid w:val="003D43A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982"/>
    <w:rsid w:val="003E3E2F"/>
    <w:rsid w:val="003E4048"/>
    <w:rsid w:val="003E4CE5"/>
    <w:rsid w:val="003E604C"/>
    <w:rsid w:val="003E60DA"/>
    <w:rsid w:val="003E632E"/>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8D0"/>
    <w:rsid w:val="003F5F1A"/>
    <w:rsid w:val="003F6327"/>
    <w:rsid w:val="003F7425"/>
    <w:rsid w:val="003F749E"/>
    <w:rsid w:val="003F765B"/>
    <w:rsid w:val="003F7CB8"/>
    <w:rsid w:val="00400BA1"/>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00C"/>
    <w:rsid w:val="0041035A"/>
    <w:rsid w:val="0041060C"/>
    <w:rsid w:val="00410A12"/>
    <w:rsid w:val="00410E76"/>
    <w:rsid w:val="004112D1"/>
    <w:rsid w:val="004113C9"/>
    <w:rsid w:val="00411D1E"/>
    <w:rsid w:val="00411DF2"/>
    <w:rsid w:val="004120DF"/>
    <w:rsid w:val="004126B5"/>
    <w:rsid w:val="00414909"/>
    <w:rsid w:val="00415034"/>
    <w:rsid w:val="0041533B"/>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1B6"/>
    <w:rsid w:val="00424446"/>
    <w:rsid w:val="00424867"/>
    <w:rsid w:val="00425269"/>
    <w:rsid w:val="00425341"/>
    <w:rsid w:val="004255FE"/>
    <w:rsid w:val="00425674"/>
    <w:rsid w:val="00425A82"/>
    <w:rsid w:val="00425C60"/>
    <w:rsid w:val="00426B2C"/>
    <w:rsid w:val="00427FA8"/>
    <w:rsid w:val="0043009D"/>
    <w:rsid w:val="0043026B"/>
    <w:rsid w:val="00430299"/>
    <w:rsid w:val="004306D4"/>
    <w:rsid w:val="00431336"/>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32A"/>
    <w:rsid w:val="00453507"/>
    <w:rsid w:val="00453592"/>
    <w:rsid w:val="004543AB"/>
    <w:rsid w:val="004545EC"/>
    <w:rsid w:val="0045475B"/>
    <w:rsid w:val="00455967"/>
    <w:rsid w:val="00455F71"/>
    <w:rsid w:val="00456272"/>
    <w:rsid w:val="004570EF"/>
    <w:rsid w:val="00457517"/>
    <w:rsid w:val="00457C31"/>
    <w:rsid w:val="00457CF7"/>
    <w:rsid w:val="00457D37"/>
    <w:rsid w:val="0046028A"/>
    <w:rsid w:val="00460E3A"/>
    <w:rsid w:val="00460E68"/>
    <w:rsid w:val="004614BC"/>
    <w:rsid w:val="004619A5"/>
    <w:rsid w:val="00461F80"/>
    <w:rsid w:val="0046240D"/>
    <w:rsid w:val="00462898"/>
    <w:rsid w:val="00462D84"/>
    <w:rsid w:val="00463208"/>
    <w:rsid w:val="00463367"/>
    <w:rsid w:val="00463576"/>
    <w:rsid w:val="004636D6"/>
    <w:rsid w:val="0046399D"/>
    <w:rsid w:val="00463EA4"/>
    <w:rsid w:val="00465A21"/>
    <w:rsid w:val="00465DE5"/>
    <w:rsid w:val="00466978"/>
    <w:rsid w:val="00466ABA"/>
    <w:rsid w:val="00466F91"/>
    <w:rsid w:val="004672E3"/>
    <w:rsid w:val="0046775D"/>
    <w:rsid w:val="00467823"/>
    <w:rsid w:val="004705FA"/>
    <w:rsid w:val="004708AC"/>
    <w:rsid w:val="00471387"/>
    <w:rsid w:val="0047146C"/>
    <w:rsid w:val="0047149F"/>
    <w:rsid w:val="00471963"/>
    <w:rsid w:val="00471E6A"/>
    <w:rsid w:val="004724B8"/>
    <w:rsid w:val="004728FB"/>
    <w:rsid w:val="004729AD"/>
    <w:rsid w:val="00472CA7"/>
    <w:rsid w:val="00472CEC"/>
    <w:rsid w:val="00472FC6"/>
    <w:rsid w:val="00473308"/>
    <w:rsid w:val="0047377C"/>
    <w:rsid w:val="0047471E"/>
    <w:rsid w:val="004749DA"/>
    <w:rsid w:val="00474DEF"/>
    <w:rsid w:val="00475729"/>
    <w:rsid w:val="004758E7"/>
    <w:rsid w:val="00475BAB"/>
    <w:rsid w:val="004764C6"/>
    <w:rsid w:val="00476AC1"/>
    <w:rsid w:val="00476E4D"/>
    <w:rsid w:val="00476F97"/>
    <w:rsid w:val="00477247"/>
    <w:rsid w:val="004776BB"/>
    <w:rsid w:val="004776FB"/>
    <w:rsid w:val="0048007A"/>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529"/>
    <w:rsid w:val="0048664F"/>
    <w:rsid w:val="004868AD"/>
    <w:rsid w:val="00486D00"/>
    <w:rsid w:val="00486F17"/>
    <w:rsid w:val="00487FE1"/>
    <w:rsid w:val="00490707"/>
    <w:rsid w:val="00490815"/>
    <w:rsid w:val="0049117E"/>
    <w:rsid w:val="00492503"/>
    <w:rsid w:val="004925C8"/>
    <w:rsid w:val="00492AF9"/>
    <w:rsid w:val="00492B76"/>
    <w:rsid w:val="0049333E"/>
    <w:rsid w:val="004936F0"/>
    <w:rsid w:val="0049418F"/>
    <w:rsid w:val="0049570D"/>
    <w:rsid w:val="00495C48"/>
    <w:rsid w:val="00495DC6"/>
    <w:rsid w:val="00496CCE"/>
    <w:rsid w:val="004978C1"/>
    <w:rsid w:val="00497AAD"/>
    <w:rsid w:val="00497BD7"/>
    <w:rsid w:val="00497D1A"/>
    <w:rsid w:val="004A00C9"/>
    <w:rsid w:val="004A03D0"/>
    <w:rsid w:val="004A100F"/>
    <w:rsid w:val="004A1049"/>
    <w:rsid w:val="004A1AFA"/>
    <w:rsid w:val="004A1EA7"/>
    <w:rsid w:val="004A26F5"/>
    <w:rsid w:val="004A2EF8"/>
    <w:rsid w:val="004A2F48"/>
    <w:rsid w:val="004A3A21"/>
    <w:rsid w:val="004A407A"/>
    <w:rsid w:val="004A4E3B"/>
    <w:rsid w:val="004A5C84"/>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71E"/>
    <w:rsid w:val="004C0BF0"/>
    <w:rsid w:val="004C0D40"/>
    <w:rsid w:val="004C114F"/>
    <w:rsid w:val="004C11A9"/>
    <w:rsid w:val="004C16A1"/>
    <w:rsid w:val="004C27CF"/>
    <w:rsid w:val="004C2CA7"/>
    <w:rsid w:val="004C3592"/>
    <w:rsid w:val="004C45C8"/>
    <w:rsid w:val="004C4F8F"/>
    <w:rsid w:val="004C5416"/>
    <w:rsid w:val="004C563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270"/>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1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16A"/>
    <w:rsid w:val="004F2CB6"/>
    <w:rsid w:val="004F2E6E"/>
    <w:rsid w:val="004F3015"/>
    <w:rsid w:val="004F313F"/>
    <w:rsid w:val="004F367F"/>
    <w:rsid w:val="004F3EEF"/>
    <w:rsid w:val="004F43A7"/>
    <w:rsid w:val="004F447B"/>
    <w:rsid w:val="004F497C"/>
    <w:rsid w:val="004F4FAC"/>
    <w:rsid w:val="004F4FE8"/>
    <w:rsid w:val="004F531B"/>
    <w:rsid w:val="004F560C"/>
    <w:rsid w:val="004F595B"/>
    <w:rsid w:val="004F5DBB"/>
    <w:rsid w:val="004F60B4"/>
    <w:rsid w:val="004F61A3"/>
    <w:rsid w:val="004F62A5"/>
    <w:rsid w:val="004F6874"/>
    <w:rsid w:val="004F7922"/>
    <w:rsid w:val="004F7A1F"/>
    <w:rsid w:val="004F7B47"/>
    <w:rsid w:val="0050079C"/>
    <w:rsid w:val="0050106A"/>
    <w:rsid w:val="005010BC"/>
    <w:rsid w:val="00501848"/>
    <w:rsid w:val="00502B31"/>
    <w:rsid w:val="0050434C"/>
    <w:rsid w:val="00504F49"/>
    <w:rsid w:val="0050537D"/>
    <w:rsid w:val="0050591C"/>
    <w:rsid w:val="005059BD"/>
    <w:rsid w:val="005060AE"/>
    <w:rsid w:val="005064A1"/>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63D"/>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59D"/>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ECD"/>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563"/>
    <w:rsid w:val="00564DA7"/>
    <w:rsid w:val="00565204"/>
    <w:rsid w:val="00565473"/>
    <w:rsid w:val="00565DAC"/>
    <w:rsid w:val="00565F0D"/>
    <w:rsid w:val="00566025"/>
    <w:rsid w:val="005662DC"/>
    <w:rsid w:val="00566329"/>
    <w:rsid w:val="005668B9"/>
    <w:rsid w:val="00566E39"/>
    <w:rsid w:val="0056704E"/>
    <w:rsid w:val="00567623"/>
    <w:rsid w:val="005701C2"/>
    <w:rsid w:val="00570763"/>
    <w:rsid w:val="0057200B"/>
    <w:rsid w:val="00572297"/>
    <w:rsid w:val="0057345D"/>
    <w:rsid w:val="0057347D"/>
    <w:rsid w:val="00573560"/>
    <w:rsid w:val="00574079"/>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BE9"/>
    <w:rsid w:val="00596CFA"/>
    <w:rsid w:val="00596EC6"/>
    <w:rsid w:val="005975CE"/>
    <w:rsid w:val="005A0088"/>
    <w:rsid w:val="005A04F6"/>
    <w:rsid w:val="005A14F0"/>
    <w:rsid w:val="005A1861"/>
    <w:rsid w:val="005A1A31"/>
    <w:rsid w:val="005A24D7"/>
    <w:rsid w:val="005A31FD"/>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0EA6"/>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A9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22A"/>
    <w:rsid w:val="005E4543"/>
    <w:rsid w:val="005E4894"/>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5F7CCD"/>
    <w:rsid w:val="00600B5A"/>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4BF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442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7F8"/>
    <w:rsid w:val="0063487C"/>
    <w:rsid w:val="00635B73"/>
    <w:rsid w:val="00635BB7"/>
    <w:rsid w:val="006367D0"/>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4783E"/>
    <w:rsid w:val="006503A3"/>
    <w:rsid w:val="00650D19"/>
    <w:rsid w:val="00651C91"/>
    <w:rsid w:val="00652130"/>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6FEC"/>
    <w:rsid w:val="006576BA"/>
    <w:rsid w:val="006600BF"/>
    <w:rsid w:val="006600DF"/>
    <w:rsid w:val="00660AF7"/>
    <w:rsid w:val="00660D3E"/>
    <w:rsid w:val="00661691"/>
    <w:rsid w:val="00662D3D"/>
    <w:rsid w:val="00662E39"/>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0B9"/>
    <w:rsid w:val="00677382"/>
    <w:rsid w:val="0067772D"/>
    <w:rsid w:val="00677991"/>
    <w:rsid w:val="00677A9B"/>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08A"/>
    <w:rsid w:val="00691890"/>
    <w:rsid w:val="0069194E"/>
    <w:rsid w:val="00691AAD"/>
    <w:rsid w:val="00692416"/>
    <w:rsid w:val="006925DF"/>
    <w:rsid w:val="00692989"/>
    <w:rsid w:val="00692AFF"/>
    <w:rsid w:val="00692D2D"/>
    <w:rsid w:val="006939A7"/>
    <w:rsid w:val="00693B73"/>
    <w:rsid w:val="006945A1"/>
    <w:rsid w:val="00694A53"/>
    <w:rsid w:val="006952DE"/>
    <w:rsid w:val="00695985"/>
    <w:rsid w:val="00695C78"/>
    <w:rsid w:val="00695E6C"/>
    <w:rsid w:val="00695EAC"/>
    <w:rsid w:val="00696188"/>
    <w:rsid w:val="00696C79"/>
    <w:rsid w:val="00697068"/>
    <w:rsid w:val="006977DE"/>
    <w:rsid w:val="00697D5F"/>
    <w:rsid w:val="006A035B"/>
    <w:rsid w:val="006A0582"/>
    <w:rsid w:val="006A060C"/>
    <w:rsid w:val="006A06F8"/>
    <w:rsid w:val="006A071C"/>
    <w:rsid w:val="006A0DC7"/>
    <w:rsid w:val="006A150D"/>
    <w:rsid w:val="006A1B00"/>
    <w:rsid w:val="006A2766"/>
    <w:rsid w:val="006A278C"/>
    <w:rsid w:val="006A39D0"/>
    <w:rsid w:val="006A3E91"/>
    <w:rsid w:val="006A4321"/>
    <w:rsid w:val="006A4E20"/>
    <w:rsid w:val="006A4F11"/>
    <w:rsid w:val="006A563C"/>
    <w:rsid w:val="006A5A6F"/>
    <w:rsid w:val="006A5F7E"/>
    <w:rsid w:val="006A6786"/>
    <w:rsid w:val="006A7C29"/>
    <w:rsid w:val="006B0580"/>
    <w:rsid w:val="006B05F8"/>
    <w:rsid w:val="006B0DA2"/>
    <w:rsid w:val="006B0F70"/>
    <w:rsid w:val="006B1486"/>
    <w:rsid w:val="006B169F"/>
    <w:rsid w:val="006B1BEB"/>
    <w:rsid w:val="006B1D06"/>
    <w:rsid w:val="006B2823"/>
    <w:rsid w:val="006B29DC"/>
    <w:rsid w:val="006B2F60"/>
    <w:rsid w:val="006B33DB"/>
    <w:rsid w:val="006B3669"/>
    <w:rsid w:val="006B36E5"/>
    <w:rsid w:val="006B3D00"/>
    <w:rsid w:val="006B42C7"/>
    <w:rsid w:val="006B4CF8"/>
    <w:rsid w:val="006B506B"/>
    <w:rsid w:val="006B54E8"/>
    <w:rsid w:val="006B5FBC"/>
    <w:rsid w:val="006B6A9A"/>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08"/>
    <w:rsid w:val="0070415E"/>
    <w:rsid w:val="00704631"/>
    <w:rsid w:val="00704B79"/>
    <w:rsid w:val="00704E7D"/>
    <w:rsid w:val="00705060"/>
    <w:rsid w:val="00705351"/>
    <w:rsid w:val="00705619"/>
    <w:rsid w:val="00705E93"/>
    <w:rsid w:val="007062AF"/>
    <w:rsid w:val="007063C9"/>
    <w:rsid w:val="007069AE"/>
    <w:rsid w:val="007069D4"/>
    <w:rsid w:val="00706C5C"/>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6CFC"/>
    <w:rsid w:val="007170AB"/>
    <w:rsid w:val="0071779C"/>
    <w:rsid w:val="00717808"/>
    <w:rsid w:val="007208A7"/>
    <w:rsid w:val="00720B6A"/>
    <w:rsid w:val="007210F6"/>
    <w:rsid w:val="0072129A"/>
    <w:rsid w:val="0072139F"/>
    <w:rsid w:val="0072173F"/>
    <w:rsid w:val="0072198A"/>
    <w:rsid w:val="00721AD9"/>
    <w:rsid w:val="00721FC3"/>
    <w:rsid w:val="00722A86"/>
    <w:rsid w:val="00722BC6"/>
    <w:rsid w:val="00722C69"/>
    <w:rsid w:val="0072311F"/>
    <w:rsid w:val="0072388C"/>
    <w:rsid w:val="00723C3F"/>
    <w:rsid w:val="0072454E"/>
    <w:rsid w:val="007249D1"/>
    <w:rsid w:val="00724FE4"/>
    <w:rsid w:val="00725829"/>
    <w:rsid w:val="00725D6A"/>
    <w:rsid w:val="007263A2"/>
    <w:rsid w:val="007266B9"/>
    <w:rsid w:val="00727351"/>
    <w:rsid w:val="00727AC5"/>
    <w:rsid w:val="00727C0D"/>
    <w:rsid w:val="00727C65"/>
    <w:rsid w:val="007300F0"/>
    <w:rsid w:val="00730904"/>
    <w:rsid w:val="00731947"/>
    <w:rsid w:val="00731EDE"/>
    <w:rsid w:val="0073245C"/>
    <w:rsid w:val="00732493"/>
    <w:rsid w:val="00732FE9"/>
    <w:rsid w:val="00733772"/>
    <w:rsid w:val="00733A43"/>
    <w:rsid w:val="00733AE4"/>
    <w:rsid w:val="00733D5F"/>
    <w:rsid w:val="00734932"/>
    <w:rsid w:val="00735D53"/>
    <w:rsid w:val="0073618A"/>
    <w:rsid w:val="007364A3"/>
    <w:rsid w:val="00736740"/>
    <w:rsid w:val="007376D9"/>
    <w:rsid w:val="007378FD"/>
    <w:rsid w:val="007403FE"/>
    <w:rsid w:val="007413EB"/>
    <w:rsid w:val="007413FB"/>
    <w:rsid w:val="00742D32"/>
    <w:rsid w:val="00742E9B"/>
    <w:rsid w:val="00743BCE"/>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08"/>
    <w:rsid w:val="0076497F"/>
    <w:rsid w:val="007660EC"/>
    <w:rsid w:val="007662C7"/>
    <w:rsid w:val="00766862"/>
    <w:rsid w:val="00766AD3"/>
    <w:rsid w:val="007675DD"/>
    <w:rsid w:val="007702BF"/>
    <w:rsid w:val="007705F0"/>
    <w:rsid w:val="00771CAC"/>
    <w:rsid w:val="00772036"/>
    <w:rsid w:val="00772E5E"/>
    <w:rsid w:val="00773098"/>
    <w:rsid w:val="007737DA"/>
    <w:rsid w:val="007739A3"/>
    <w:rsid w:val="00773BD9"/>
    <w:rsid w:val="00773CB0"/>
    <w:rsid w:val="00773D71"/>
    <w:rsid w:val="00775526"/>
    <w:rsid w:val="00775651"/>
    <w:rsid w:val="00775C40"/>
    <w:rsid w:val="00775F3F"/>
    <w:rsid w:val="0077710B"/>
    <w:rsid w:val="0077765A"/>
    <w:rsid w:val="00780032"/>
    <w:rsid w:val="00780636"/>
    <w:rsid w:val="007808F1"/>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81A"/>
    <w:rsid w:val="00794E46"/>
    <w:rsid w:val="007952DE"/>
    <w:rsid w:val="00795479"/>
    <w:rsid w:val="00796292"/>
    <w:rsid w:val="007965D9"/>
    <w:rsid w:val="00796BA2"/>
    <w:rsid w:val="007972D5"/>
    <w:rsid w:val="0079778D"/>
    <w:rsid w:val="00797D73"/>
    <w:rsid w:val="007A006C"/>
    <w:rsid w:val="007A0789"/>
    <w:rsid w:val="007A0F9D"/>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114"/>
    <w:rsid w:val="007B02C7"/>
    <w:rsid w:val="007B0306"/>
    <w:rsid w:val="007B08E4"/>
    <w:rsid w:val="007B0D86"/>
    <w:rsid w:val="007B0D88"/>
    <w:rsid w:val="007B28C3"/>
    <w:rsid w:val="007B3A8E"/>
    <w:rsid w:val="007B3C9B"/>
    <w:rsid w:val="007B4271"/>
    <w:rsid w:val="007B4349"/>
    <w:rsid w:val="007B497D"/>
    <w:rsid w:val="007B4EE9"/>
    <w:rsid w:val="007B5234"/>
    <w:rsid w:val="007B54C7"/>
    <w:rsid w:val="007B5637"/>
    <w:rsid w:val="007B5DC5"/>
    <w:rsid w:val="007B5F32"/>
    <w:rsid w:val="007B63FC"/>
    <w:rsid w:val="007B6708"/>
    <w:rsid w:val="007B6C20"/>
    <w:rsid w:val="007B6E8D"/>
    <w:rsid w:val="007C0074"/>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29"/>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77"/>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24D"/>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AAE"/>
    <w:rsid w:val="007F5D28"/>
    <w:rsid w:val="007F6260"/>
    <w:rsid w:val="007F682B"/>
    <w:rsid w:val="007F78E8"/>
    <w:rsid w:val="007F7F8F"/>
    <w:rsid w:val="0080042E"/>
    <w:rsid w:val="00800509"/>
    <w:rsid w:val="0080078E"/>
    <w:rsid w:val="00800B7F"/>
    <w:rsid w:val="008012B1"/>
    <w:rsid w:val="00801D63"/>
    <w:rsid w:val="00802136"/>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1229"/>
    <w:rsid w:val="008320D2"/>
    <w:rsid w:val="008321CE"/>
    <w:rsid w:val="0083257C"/>
    <w:rsid w:val="0083261B"/>
    <w:rsid w:val="00832B44"/>
    <w:rsid w:val="00832EC9"/>
    <w:rsid w:val="00833307"/>
    <w:rsid w:val="00833583"/>
    <w:rsid w:val="00833B5B"/>
    <w:rsid w:val="00833E8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47F5A"/>
    <w:rsid w:val="00850013"/>
    <w:rsid w:val="008500DD"/>
    <w:rsid w:val="00850A0A"/>
    <w:rsid w:val="00850A94"/>
    <w:rsid w:val="00851E96"/>
    <w:rsid w:val="00851F1C"/>
    <w:rsid w:val="00852BD4"/>
    <w:rsid w:val="00852FA5"/>
    <w:rsid w:val="00853F7D"/>
    <w:rsid w:val="00855037"/>
    <w:rsid w:val="0085517F"/>
    <w:rsid w:val="0085562D"/>
    <w:rsid w:val="00855693"/>
    <w:rsid w:val="00855A78"/>
    <w:rsid w:val="00856154"/>
    <w:rsid w:val="00856286"/>
    <w:rsid w:val="0085657E"/>
    <w:rsid w:val="00856F0E"/>
    <w:rsid w:val="008573AF"/>
    <w:rsid w:val="008576B0"/>
    <w:rsid w:val="00860296"/>
    <w:rsid w:val="008602E3"/>
    <w:rsid w:val="0086092A"/>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599"/>
    <w:rsid w:val="008726D7"/>
    <w:rsid w:val="00873128"/>
    <w:rsid w:val="008735BC"/>
    <w:rsid w:val="00873AAC"/>
    <w:rsid w:val="00873C61"/>
    <w:rsid w:val="00873DFD"/>
    <w:rsid w:val="008749BF"/>
    <w:rsid w:val="00875008"/>
    <w:rsid w:val="0087537D"/>
    <w:rsid w:val="00875542"/>
    <w:rsid w:val="00875E14"/>
    <w:rsid w:val="0087677E"/>
    <w:rsid w:val="00876940"/>
    <w:rsid w:val="0087712C"/>
    <w:rsid w:val="008772B9"/>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B09"/>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4F8"/>
    <w:rsid w:val="008A0BFE"/>
    <w:rsid w:val="008A1932"/>
    <w:rsid w:val="008A21D9"/>
    <w:rsid w:val="008A232D"/>
    <w:rsid w:val="008A2F66"/>
    <w:rsid w:val="008A3182"/>
    <w:rsid w:val="008A3C76"/>
    <w:rsid w:val="008A3D54"/>
    <w:rsid w:val="008A3E10"/>
    <w:rsid w:val="008A411C"/>
    <w:rsid w:val="008A4630"/>
    <w:rsid w:val="008A47CE"/>
    <w:rsid w:val="008A4DFA"/>
    <w:rsid w:val="008A5F2F"/>
    <w:rsid w:val="008A6BAE"/>
    <w:rsid w:val="008A7350"/>
    <w:rsid w:val="008A75FC"/>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3BC"/>
    <w:rsid w:val="008C451B"/>
    <w:rsid w:val="008C5371"/>
    <w:rsid w:val="008C623D"/>
    <w:rsid w:val="008C65F4"/>
    <w:rsid w:val="008C6683"/>
    <w:rsid w:val="008C699C"/>
    <w:rsid w:val="008C6E0C"/>
    <w:rsid w:val="008C7125"/>
    <w:rsid w:val="008C7273"/>
    <w:rsid w:val="008C78F8"/>
    <w:rsid w:val="008D05DF"/>
    <w:rsid w:val="008D0939"/>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2C6"/>
    <w:rsid w:val="008E4E11"/>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6D34"/>
    <w:rsid w:val="008F7292"/>
    <w:rsid w:val="008F76C0"/>
    <w:rsid w:val="009000F2"/>
    <w:rsid w:val="0090079D"/>
    <w:rsid w:val="0090086A"/>
    <w:rsid w:val="00900D2C"/>
    <w:rsid w:val="00901807"/>
    <w:rsid w:val="00901F0E"/>
    <w:rsid w:val="00902A26"/>
    <w:rsid w:val="00902A57"/>
    <w:rsid w:val="00902B29"/>
    <w:rsid w:val="00902D02"/>
    <w:rsid w:val="00903777"/>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54B"/>
    <w:rsid w:val="00912850"/>
    <w:rsid w:val="009128B8"/>
    <w:rsid w:val="0091472C"/>
    <w:rsid w:val="00914DC9"/>
    <w:rsid w:val="00915351"/>
    <w:rsid w:val="00915679"/>
    <w:rsid w:val="009159C2"/>
    <w:rsid w:val="00915C01"/>
    <w:rsid w:val="0091627F"/>
    <w:rsid w:val="00916E45"/>
    <w:rsid w:val="0092077A"/>
    <w:rsid w:val="00920DC0"/>
    <w:rsid w:val="009219F3"/>
    <w:rsid w:val="009221CB"/>
    <w:rsid w:val="00922320"/>
    <w:rsid w:val="00923643"/>
    <w:rsid w:val="009236E4"/>
    <w:rsid w:val="00923E1A"/>
    <w:rsid w:val="009245CC"/>
    <w:rsid w:val="0092490A"/>
    <w:rsid w:val="00925A3E"/>
    <w:rsid w:val="00925E42"/>
    <w:rsid w:val="009261DB"/>
    <w:rsid w:val="00926939"/>
    <w:rsid w:val="00926F4C"/>
    <w:rsid w:val="00927330"/>
    <w:rsid w:val="00927710"/>
    <w:rsid w:val="009307CA"/>
    <w:rsid w:val="009312F9"/>
    <w:rsid w:val="00931445"/>
    <w:rsid w:val="00931AB8"/>
    <w:rsid w:val="00931C19"/>
    <w:rsid w:val="00931C63"/>
    <w:rsid w:val="00931D10"/>
    <w:rsid w:val="0093218A"/>
    <w:rsid w:val="00932376"/>
    <w:rsid w:val="0093386D"/>
    <w:rsid w:val="00934C8E"/>
    <w:rsid w:val="00935194"/>
    <w:rsid w:val="00936EA5"/>
    <w:rsid w:val="00937114"/>
    <w:rsid w:val="0094015D"/>
    <w:rsid w:val="00940916"/>
    <w:rsid w:val="009412B7"/>
    <w:rsid w:val="00941B13"/>
    <w:rsid w:val="00941C9E"/>
    <w:rsid w:val="0094215C"/>
    <w:rsid w:val="00942BB5"/>
    <w:rsid w:val="00942F8E"/>
    <w:rsid w:val="00943543"/>
    <w:rsid w:val="009441DB"/>
    <w:rsid w:val="00944834"/>
    <w:rsid w:val="00945A5B"/>
    <w:rsid w:val="00946128"/>
    <w:rsid w:val="0094633F"/>
    <w:rsid w:val="00946ADA"/>
    <w:rsid w:val="00947BA5"/>
    <w:rsid w:val="00950272"/>
    <w:rsid w:val="00950805"/>
    <w:rsid w:val="00950FB3"/>
    <w:rsid w:val="00951371"/>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BC"/>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3A"/>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5D64"/>
    <w:rsid w:val="00996055"/>
    <w:rsid w:val="00996EF4"/>
    <w:rsid w:val="00997044"/>
    <w:rsid w:val="00997914"/>
    <w:rsid w:val="00997BC9"/>
    <w:rsid w:val="009A113D"/>
    <w:rsid w:val="009A1431"/>
    <w:rsid w:val="009A1ECA"/>
    <w:rsid w:val="009A1F96"/>
    <w:rsid w:val="009A2BE9"/>
    <w:rsid w:val="009A2BF3"/>
    <w:rsid w:val="009A3043"/>
    <w:rsid w:val="009A3688"/>
    <w:rsid w:val="009A3713"/>
    <w:rsid w:val="009A3C3E"/>
    <w:rsid w:val="009A4153"/>
    <w:rsid w:val="009A4C2C"/>
    <w:rsid w:val="009A5112"/>
    <w:rsid w:val="009A59B3"/>
    <w:rsid w:val="009A5FAE"/>
    <w:rsid w:val="009A6A62"/>
    <w:rsid w:val="009A6ADA"/>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EA3"/>
    <w:rsid w:val="009D4207"/>
    <w:rsid w:val="009D4E4A"/>
    <w:rsid w:val="009D5130"/>
    <w:rsid w:val="009D53D1"/>
    <w:rsid w:val="009D53FB"/>
    <w:rsid w:val="009D56A4"/>
    <w:rsid w:val="009D6081"/>
    <w:rsid w:val="009D678C"/>
    <w:rsid w:val="009D6B9A"/>
    <w:rsid w:val="009D6D30"/>
    <w:rsid w:val="009D7523"/>
    <w:rsid w:val="009D76B5"/>
    <w:rsid w:val="009D7AF1"/>
    <w:rsid w:val="009D7B86"/>
    <w:rsid w:val="009D7BC7"/>
    <w:rsid w:val="009D7FAC"/>
    <w:rsid w:val="009E0109"/>
    <w:rsid w:val="009E0342"/>
    <w:rsid w:val="009E098B"/>
    <w:rsid w:val="009E09AB"/>
    <w:rsid w:val="009E0D7D"/>
    <w:rsid w:val="009E0DAF"/>
    <w:rsid w:val="009E19BB"/>
    <w:rsid w:val="009E1C47"/>
    <w:rsid w:val="009E38D1"/>
    <w:rsid w:val="009E3DF1"/>
    <w:rsid w:val="009E4C3F"/>
    <w:rsid w:val="009E514A"/>
    <w:rsid w:val="009E5177"/>
    <w:rsid w:val="009E5701"/>
    <w:rsid w:val="009E5711"/>
    <w:rsid w:val="009E74DF"/>
    <w:rsid w:val="009E758E"/>
    <w:rsid w:val="009E7BFB"/>
    <w:rsid w:val="009E7D6B"/>
    <w:rsid w:val="009E7E81"/>
    <w:rsid w:val="009F020A"/>
    <w:rsid w:val="009F05AD"/>
    <w:rsid w:val="009F0659"/>
    <w:rsid w:val="009F08B2"/>
    <w:rsid w:val="009F1109"/>
    <w:rsid w:val="009F143E"/>
    <w:rsid w:val="009F1D81"/>
    <w:rsid w:val="009F1DE8"/>
    <w:rsid w:val="009F2186"/>
    <w:rsid w:val="009F227C"/>
    <w:rsid w:val="009F28DC"/>
    <w:rsid w:val="009F2EDB"/>
    <w:rsid w:val="009F33DC"/>
    <w:rsid w:val="009F42CC"/>
    <w:rsid w:val="009F4550"/>
    <w:rsid w:val="009F56C0"/>
    <w:rsid w:val="009F5C76"/>
    <w:rsid w:val="009F7B73"/>
    <w:rsid w:val="00A000C5"/>
    <w:rsid w:val="00A007B4"/>
    <w:rsid w:val="00A00930"/>
    <w:rsid w:val="00A00B5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03D"/>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6FE"/>
    <w:rsid w:val="00A40E2F"/>
    <w:rsid w:val="00A41819"/>
    <w:rsid w:val="00A41C9A"/>
    <w:rsid w:val="00A41CC1"/>
    <w:rsid w:val="00A41D73"/>
    <w:rsid w:val="00A42406"/>
    <w:rsid w:val="00A433E8"/>
    <w:rsid w:val="00A43A1D"/>
    <w:rsid w:val="00A43AB0"/>
    <w:rsid w:val="00A44854"/>
    <w:rsid w:val="00A44A45"/>
    <w:rsid w:val="00A46431"/>
    <w:rsid w:val="00A4665D"/>
    <w:rsid w:val="00A46859"/>
    <w:rsid w:val="00A46D39"/>
    <w:rsid w:val="00A47019"/>
    <w:rsid w:val="00A4705D"/>
    <w:rsid w:val="00A472B8"/>
    <w:rsid w:val="00A5004A"/>
    <w:rsid w:val="00A5017C"/>
    <w:rsid w:val="00A5021E"/>
    <w:rsid w:val="00A502D6"/>
    <w:rsid w:val="00A502F5"/>
    <w:rsid w:val="00A504F4"/>
    <w:rsid w:val="00A507C4"/>
    <w:rsid w:val="00A508AA"/>
    <w:rsid w:val="00A50EE7"/>
    <w:rsid w:val="00A526CE"/>
    <w:rsid w:val="00A54107"/>
    <w:rsid w:val="00A54449"/>
    <w:rsid w:val="00A5453B"/>
    <w:rsid w:val="00A54909"/>
    <w:rsid w:val="00A54DC0"/>
    <w:rsid w:val="00A550C9"/>
    <w:rsid w:val="00A55228"/>
    <w:rsid w:val="00A55410"/>
    <w:rsid w:val="00A55A04"/>
    <w:rsid w:val="00A564DE"/>
    <w:rsid w:val="00A571B1"/>
    <w:rsid w:val="00A6054E"/>
    <w:rsid w:val="00A60799"/>
    <w:rsid w:val="00A61101"/>
    <w:rsid w:val="00A6170B"/>
    <w:rsid w:val="00A61991"/>
    <w:rsid w:val="00A61B7F"/>
    <w:rsid w:val="00A61B91"/>
    <w:rsid w:val="00A61C3A"/>
    <w:rsid w:val="00A61FE1"/>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5B89"/>
    <w:rsid w:val="00A762C7"/>
    <w:rsid w:val="00A765B1"/>
    <w:rsid w:val="00A772F2"/>
    <w:rsid w:val="00A77828"/>
    <w:rsid w:val="00A77BAA"/>
    <w:rsid w:val="00A800F9"/>
    <w:rsid w:val="00A803A6"/>
    <w:rsid w:val="00A8073D"/>
    <w:rsid w:val="00A80D02"/>
    <w:rsid w:val="00A815FB"/>
    <w:rsid w:val="00A81AEB"/>
    <w:rsid w:val="00A82D32"/>
    <w:rsid w:val="00A82EAE"/>
    <w:rsid w:val="00A82FC7"/>
    <w:rsid w:val="00A836AB"/>
    <w:rsid w:val="00A847F9"/>
    <w:rsid w:val="00A84F27"/>
    <w:rsid w:val="00A8519C"/>
    <w:rsid w:val="00A855EE"/>
    <w:rsid w:val="00A8597A"/>
    <w:rsid w:val="00A85B87"/>
    <w:rsid w:val="00A85F83"/>
    <w:rsid w:val="00A86019"/>
    <w:rsid w:val="00A8637C"/>
    <w:rsid w:val="00A86EED"/>
    <w:rsid w:val="00A8733A"/>
    <w:rsid w:val="00A9151F"/>
    <w:rsid w:val="00A9196B"/>
    <w:rsid w:val="00A91BB5"/>
    <w:rsid w:val="00A91BEE"/>
    <w:rsid w:val="00A91D4B"/>
    <w:rsid w:val="00A920B2"/>
    <w:rsid w:val="00A921E4"/>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0F63"/>
    <w:rsid w:val="00AA1067"/>
    <w:rsid w:val="00AA1163"/>
    <w:rsid w:val="00AA1DA8"/>
    <w:rsid w:val="00AA222C"/>
    <w:rsid w:val="00AA2264"/>
    <w:rsid w:val="00AA238E"/>
    <w:rsid w:val="00AA2483"/>
    <w:rsid w:val="00AA253B"/>
    <w:rsid w:val="00AA29F8"/>
    <w:rsid w:val="00AA3243"/>
    <w:rsid w:val="00AA35DB"/>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858"/>
    <w:rsid w:val="00AC7F64"/>
    <w:rsid w:val="00AD1065"/>
    <w:rsid w:val="00AD1501"/>
    <w:rsid w:val="00AD159E"/>
    <w:rsid w:val="00AD2AB1"/>
    <w:rsid w:val="00AD3132"/>
    <w:rsid w:val="00AD3DA6"/>
    <w:rsid w:val="00AD3F3C"/>
    <w:rsid w:val="00AD447E"/>
    <w:rsid w:val="00AD4B2F"/>
    <w:rsid w:val="00AD4F10"/>
    <w:rsid w:val="00AD590E"/>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9D3"/>
    <w:rsid w:val="00AE55E3"/>
    <w:rsid w:val="00AE5837"/>
    <w:rsid w:val="00AE6575"/>
    <w:rsid w:val="00AE71EE"/>
    <w:rsid w:val="00AF03CF"/>
    <w:rsid w:val="00AF0A0A"/>
    <w:rsid w:val="00AF1384"/>
    <w:rsid w:val="00AF14FC"/>
    <w:rsid w:val="00AF1ED2"/>
    <w:rsid w:val="00AF1F4E"/>
    <w:rsid w:val="00AF2302"/>
    <w:rsid w:val="00AF262A"/>
    <w:rsid w:val="00AF3557"/>
    <w:rsid w:val="00AF3F86"/>
    <w:rsid w:val="00AF4487"/>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DD"/>
    <w:rsid w:val="00B038F1"/>
    <w:rsid w:val="00B03C1B"/>
    <w:rsid w:val="00B04678"/>
    <w:rsid w:val="00B047C9"/>
    <w:rsid w:val="00B04A04"/>
    <w:rsid w:val="00B04B78"/>
    <w:rsid w:val="00B04C37"/>
    <w:rsid w:val="00B04F00"/>
    <w:rsid w:val="00B05BA6"/>
    <w:rsid w:val="00B066FE"/>
    <w:rsid w:val="00B06912"/>
    <w:rsid w:val="00B06FE5"/>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61E"/>
    <w:rsid w:val="00B1767E"/>
    <w:rsid w:val="00B20760"/>
    <w:rsid w:val="00B2125C"/>
    <w:rsid w:val="00B21676"/>
    <w:rsid w:val="00B219E1"/>
    <w:rsid w:val="00B21ECF"/>
    <w:rsid w:val="00B22150"/>
    <w:rsid w:val="00B226DE"/>
    <w:rsid w:val="00B22FB5"/>
    <w:rsid w:val="00B241D5"/>
    <w:rsid w:val="00B24BE9"/>
    <w:rsid w:val="00B252E4"/>
    <w:rsid w:val="00B2551D"/>
    <w:rsid w:val="00B25F8C"/>
    <w:rsid w:val="00B260BE"/>
    <w:rsid w:val="00B26677"/>
    <w:rsid w:val="00B26A96"/>
    <w:rsid w:val="00B26DC0"/>
    <w:rsid w:val="00B274E3"/>
    <w:rsid w:val="00B2765C"/>
    <w:rsid w:val="00B27C4B"/>
    <w:rsid w:val="00B30563"/>
    <w:rsid w:val="00B3069E"/>
    <w:rsid w:val="00B30A76"/>
    <w:rsid w:val="00B31246"/>
    <w:rsid w:val="00B32295"/>
    <w:rsid w:val="00B33AB5"/>
    <w:rsid w:val="00B3412E"/>
    <w:rsid w:val="00B34271"/>
    <w:rsid w:val="00B343E0"/>
    <w:rsid w:val="00B35B6D"/>
    <w:rsid w:val="00B35D53"/>
    <w:rsid w:val="00B36617"/>
    <w:rsid w:val="00B367C4"/>
    <w:rsid w:val="00B36D3E"/>
    <w:rsid w:val="00B37B8E"/>
    <w:rsid w:val="00B40222"/>
    <w:rsid w:val="00B404C3"/>
    <w:rsid w:val="00B4065C"/>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21"/>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719"/>
    <w:rsid w:val="00B55F64"/>
    <w:rsid w:val="00B56DBF"/>
    <w:rsid w:val="00B56ECA"/>
    <w:rsid w:val="00B57093"/>
    <w:rsid w:val="00B57B5D"/>
    <w:rsid w:val="00B60613"/>
    <w:rsid w:val="00B61AEC"/>
    <w:rsid w:val="00B6244C"/>
    <w:rsid w:val="00B62A2F"/>
    <w:rsid w:val="00B62B7B"/>
    <w:rsid w:val="00B62F0A"/>
    <w:rsid w:val="00B63484"/>
    <w:rsid w:val="00B634B7"/>
    <w:rsid w:val="00B634F1"/>
    <w:rsid w:val="00B637EF"/>
    <w:rsid w:val="00B6385B"/>
    <w:rsid w:val="00B63EF6"/>
    <w:rsid w:val="00B64200"/>
    <w:rsid w:val="00B6440A"/>
    <w:rsid w:val="00B656C1"/>
    <w:rsid w:val="00B65788"/>
    <w:rsid w:val="00B65844"/>
    <w:rsid w:val="00B66054"/>
    <w:rsid w:val="00B6677F"/>
    <w:rsid w:val="00B66C7A"/>
    <w:rsid w:val="00B672EA"/>
    <w:rsid w:val="00B6747B"/>
    <w:rsid w:val="00B70200"/>
    <w:rsid w:val="00B702D7"/>
    <w:rsid w:val="00B70389"/>
    <w:rsid w:val="00B7058F"/>
    <w:rsid w:val="00B70E01"/>
    <w:rsid w:val="00B7289A"/>
    <w:rsid w:val="00B72CF0"/>
    <w:rsid w:val="00B72E83"/>
    <w:rsid w:val="00B7380E"/>
    <w:rsid w:val="00B740F6"/>
    <w:rsid w:val="00B74615"/>
    <w:rsid w:val="00B74789"/>
    <w:rsid w:val="00B754C1"/>
    <w:rsid w:val="00B755B6"/>
    <w:rsid w:val="00B75977"/>
    <w:rsid w:val="00B75A48"/>
    <w:rsid w:val="00B75CC0"/>
    <w:rsid w:val="00B76021"/>
    <w:rsid w:val="00B76FCD"/>
    <w:rsid w:val="00B7764D"/>
    <w:rsid w:val="00B804F8"/>
    <w:rsid w:val="00B8095A"/>
    <w:rsid w:val="00B81274"/>
    <w:rsid w:val="00B815D3"/>
    <w:rsid w:val="00B81742"/>
    <w:rsid w:val="00B817B5"/>
    <w:rsid w:val="00B81A86"/>
    <w:rsid w:val="00B823A6"/>
    <w:rsid w:val="00B83E76"/>
    <w:rsid w:val="00B83FA0"/>
    <w:rsid w:val="00B84156"/>
    <w:rsid w:val="00B846E6"/>
    <w:rsid w:val="00B8537B"/>
    <w:rsid w:val="00B8547E"/>
    <w:rsid w:val="00B85586"/>
    <w:rsid w:val="00B86289"/>
    <w:rsid w:val="00B863B3"/>
    <w:rsid w:val="00B869D3"/>
    <w:rsid w:val="00B86CF8"/>
    <w:rsid w:val="00B86E44"/>
    <w:rsid w:val="00B87359"/>
    <w:rsid w:val="00B87B05"/>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ED2"/>
    <w:rsid w:val="00B96DD9"/>
    <w:rsid w:val="00B96EA6"/>
    <w:rsid w:val="00B970F2"/>
    <w:rsid w:val="00B975A9"/>
    <w:rsid w:val="00B9789D"/>
    <w:rsid w:val="00B97A4C"/>
    <w:rsid w:val="00BA050E"/>
    <w:rsid w:val="00BA1289"/>
    <w:rsid w:val="00BA14B2"/>
    <w:rsid w:val="00BA15DC"/>
    <w:rsid w:val="00BA1E2F"/>
    <w:rsid w:val="00BA1EB8"/>
    <w:rsid w:val="00BA2AEE"/>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957"/>
    <w:rsid w:val="00BB3A66"/>
    <w:rsid w:val="00BB40D1"/>
    <w:rsid w:val="00BB58B3"/>
    <w:rsid w:val="00BB7632"/>
    <w:rsid w:val="00BB777D"/>
    <w:rsid w:val="00BB7EC0"/>
    <w:rsid w:val="00BB7F88"/>
    <w:rsid w:val="00BC0207"/>
    <w:rsid w:val="00BC089F"/>
    <w:rsid w:val="00BC0A0C"/>
    <w:rsid w:val="00BC0A5A"/>
    <w:rsid w:val="00BC0E64"/>
    <w:rsid w:val="00BC22A4"/>
    <w:rsid w:val="00BC25D1"/>
    <w:rsid w:val="00BC2DBD"/>
    <w:rsid w:val="00BC342C"/>
    <w:rsid w:val="00BC3BCB"/>
    <w:rsid w:val="00BC3CF1"/>
    <w:rsid w:val="00BC428A"/>
    <w:rsid w:val="00BC4B11"/>
    <w:rsid w:val="00BC4C40"/>
    <w:rsid w:val="00BC5A29"/>
    <w:rsid w:val="00BC5AE3"/>
    <w:rsid w:val="00BC5BAD"/>
    <w:rsid w:val="00BC692A"/>
    <w:rsid w:val="00BC76C5"/>
    <w:rsid w:val="00BC7BB7"/>
    <w:rsid w:val="00BC7F94"/>
    <w:rsid w:val="00BD1039"/>
    <w:rsid w:val="00BD10B7"/>
    <w:rsid w:val="00BD138A"/>
    <w:rsid w:val="00BD164A"/>
    <w:rsid w:val="00BD1BDD"/>
    <w:rsid w:val="00BD1D7D"/>
    <w:rsid w:val="00BD1E27"/>
    <w:rsid w:val="00BD2585"/>
    <w:rsid w:val="00BD2B4D"/>
    <w:rsid w:val="00BD2F08"/>
    <w:rsid w:val="00BD2FB9"/>
    <w:rsid w:val="00BD31C2"/>
    <w:rsid w:val="00BD3683"/>
    <w:rsid w:val="00BD450A"/>
    <w:rsid w:val="00BD4717"/>
    <w:rsid w:val="00BD48EA"/>
    <w:rsid w:val="00BD4BA8"/>
    <w:rsid w:val="00BD5624"/>
    <w:rsid w:val="00BD62E6"/>
    <w:rsid w:val="00BD64DB"/>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87F"/>
    <w:rsid w:val="00BE7F4D"/>
    <w:rsid w:val="00BF03C0"/>
    <w:rsid w:val="00BF0EBF"/>
    <w:rsid w:val="00BF1534"/>
    <w:rsid w:val="00BF19C3"/>
    <w:rsid w:val="00BF2021"/>
    <w:rsid w:val="00BF21D4"/>
    <w:rsid w:val="00BF2DDC"/>
    <w:rsid w:val="00BF32DE"/>
    <w:rsid w:val="00BF4A15"/>
    <w:rsid w:val="00BF4E0E"/>
    <w:rsid w:val="00BF4E27"/>
    <w:rsid w:val="00BF4F7C"/>
    <w:rsid w:val="00BF537B"/>
    <w:rsid w:val="00BF5901"/>
    <w:rsid w:val="00BF5ACE"/>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8EE"/>
    <w:rsid w:val="00C0702A"/>
    <w:rsid w:val="00C0724C"/>
    <w:rsid w:val="00C07C11"/>
    <w:rsid w:val="00C07E10"/>
    <w:rsid w:val="00C10015"/>
    <w:rsid w:val="00C1110A"/>
    <w:rsid w:val="00C11689"/>
    <w:rsid w:val="00C11BA4"/>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D03"/>
    <w:rsid w:val="00C25EA6"/>
    <w:rsid w:val="00C26164"/>
    <w:rsid w:val="00C261C1"/>
    <w:rsid w:val="00C26574"/>
    <w:rsid w:val="00C26DBF"/>
    <w:rsid w:val="00C27199"/>
    <w:rsid w:val="00C27204"/>
    <w:rsid w:val="00C27627"/>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199"/>
    <w:rsid w:val="00C379EF"/>
    <w:rsid w:val="00C405C8"/>
    <w:rsid w:val="00C406D4"/>
    <w:rsid w:val="00C40C2F"/>
    <w:rsid w:val="00C415AC"/>
    <w:rsid w:val="00C4297A"/>
    <w:rsid w:val="00C4360C"/>
    <w:rsid w:val="00C439B8"/>
    <w:rsid w:val="00C43A0B"/>
    <w:rsid w:val="00C43EDA"/>
    <w:rsid w:val="00C43FEC"/>
    <w:rsid w:val="00C4414C"/>
    <w:rsid w:val="00C45512"/>
    <w:rsid w:val="00C4602B"/>
    <w:rsid w:val="00C46262"/>
    <w:rsid w:val="00C46564"/>
    <w:rsid w:val="00C46BFA"/>
    <w:rsid w:val="00C46DDF"/>
    <w:rsid w:val="00C476E4"/>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3E9C"/>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205"/>
    <w:rsid w:val="00C76C0C"/>
    <w:rsid w:val="00C76EE8"/>
    <w:rsid w:val="00C76FFC"/>
    <w:rsid w:val="00C770B6"/>
    <w:rsid w:val="00C774E0"/>
    <w:rsid w:val="00C776BA"/>
    <w:rsid w:val="00C7791E"/>
    <w:rsid w:val="00C81716"/>
    <w:rsid w:val="00C8243E"/>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AE7"/>
    <w:rsid w:val="00CA0492"/>
    <w:rsid w:val="00CA05B0"/>
    <w:rsid w:val="00CA0632"/>
    <w:rsid w:val="00CA0A04"/>
    <w:rsid w:val="00CA2528"/>
    <w:rsid w:val="00CA3CAB"/>
    <w:rsid w:val="00CA3FC0"/>
    <w:rsid w:val="00CA5146"/>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32"/>
    <w:rsid w:val="00CB6A93"/>
    <w:rsid w:val="00CB6C79"/>
    <w:rsid w:val="00CB7150"/>
    <w:rsid w:val="00CB77C3"/>
    <w:rsid w:val="00CB7E9C"/>
    <w:rsid w:val="00CC0072"/>
    <w:rsid w:val="00CC027A"/>
    <w:rsid w:val="00CC0915"/>
    <w:rsid w:val="00CC1398"/>
    <w:rsid w:val="00CC1AF5"/>
    <w:rsid w:val="00CC1B74"/>
    <w:rsid w:val="00CC28C5"/>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3D62"/>
    <w:rsid w:val="00CD44FF"/>
    <w:rsid w:val="00CD46A7"/>
    <w:rsid w:val="00CD47BC"/>
    <w:rsid w:val="00CD4E50"/>
    <w:rsid w:val="00CD57CB"/>
    <w:rsid w:val="00CD64E1"/>
    <w:rsid w:val="00CD66BA"/>
    <w:rsid w:val="00CD699D"/>
    <w:rsid w:val="00CD6BA3"/>
    <w:rsid w:val="00CD70DB"/>
    <w:rsid w:val="00CD7544"/>
    <w:rsid w:val="00CD78D4"/>
    <w:rsid w:val="00CD7C69"/>
    <w:rsid w:val="00CE0697"/>
    <w:rsid w:val="00CE14CB"/>
    <w:rsid w:val="00CE2E2E"/>
    <w:rsid w:val="00CE3A51"/>
    <w:rsid w:val="00CE41F9"/>
    <w:rsid w:val="00CE59F6"/>
    <w:rsid w:val="00CE66CD"/>
    <w:rsid w:val="00CE6BA9"/>
    <w:rsid w:val="00CE71C3"/>
    <w:rsid w:val="00CE727A"/>
    <w:rsid w:val="00CE7EBE"/>
    <w:rsid w:val="00CF004C"/>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1AF"/>
    <w:rsid w:val="00D0650B"/>
    <w:rsid w:val="00D068AA"/>
    <w:rsid w:val="00D06E71"/>
    <w:rsid w:val="00D06E9C"/>
    <w:rsid w:val="00D0714B"/>
    <w:rsid w:val="00D0764E"/>
    <w:rsid w:val="00D07D82"/>
    <w:rsid w:val="00D10273"/>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473"/>
    <w:rsid w:val="00D22B13"/>
    <w:rsid w:val="00D2371E"/>
    <w:rsid w:val="00D237E0"/>
    <w:rsid w:val="00D23A17"/>
    <w:rsid w:val="00D25676"/>
    <w:rsid w:val="00D2579F"/>
    <w:rsid w:val="00D2580E"/>
    <w:rsid w:val="00D265A7"/>
    <w:rsid w:val="00D266CD"/>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30E"/>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AB8"/>
    <w:rsid w:val="00D43CF3"/>
    <w:rsid w:val="00D43DEF"/>
    <w:rsid w:val="00D44259"/>
    <w:rsid w:val="00D44C6D"/>
    <w:rsid w:val="00D45C61"/>
    <w:rsid w:val="00D45DDC"/>
    <w:rsid w:val="00D47EA4"/>
    <w:rsid w:val="00D5064C"/>
    <w:rsid w:val="00D50C94"/>
    <w:rsid w:val="00D511E7"/>
    <w:rsid w:val="00D517ED"/>
    <w:rsid w:val="00D5251C"/>
    <w:rsid w:val="00D5265E"/>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1ECF"/>
    <w:rsid w:val="00D629A4"/>
    <w:rsid w:val="00D62BDF"/>
    <w:rsid w:val="00D62EEE"/>
    <w:rsid w:val="00D64F1C"/>
    <w:rsid w:val="00D6570C"/>
    <w:rsid w:val="00D659EA"/>
    <w:rsid w:val="00D65A89"/>
    <w:rsid w:val="00D65E85"/>
    <w:rsid w:val="00D6611C"/>
    <w:rsid w:val="00D671C7"/>
    <w:rsid w:val="00D675B0"/>
    <w:rsid w:val="00D675DE"/>
    <w:rsid w:val="00D678BB"/>
    <w:rsid w:val="00D67AB1"/>
    <w:rsid w:val="00D67D81"/>
    <w:rsid w:val="00D70170"/>
    <w:rsid w:val="00D702E8"/>
    <w:rsid w:val="00D70552"/>
    <w:rsid w:val="00D70D42"/>
    <w:rsid w:val="00D71285"/>
    <w:rsid w:val="00D71ABC"/>
    <w:rsid w:val="00D71D92"/>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905"/>
    <w:rsid w:val="00D815E6"/>
    <w:rsid w:val="00D81A28"/>
    <w:rsid w:val="00D81BDE"/>
    <w:rsid w:val="00D8201D"/>
    <w:rsid w:val="00D82B00"/>
    <w:rsid w:val="00D82B04"/>
    <w:rsid w:val="00D82BE4"/>
    <w:rsid w:val="00D82E05"/>
    <w:rsid w:val="00D83C0D"/>
    <w:rsid w:val="00D83C80"/>
    <w:rsid w:val="00D83D24"/>
    <w:rsid w:val="00D83F5B"/>
    <w:rsid w:val="00D85FDE"/>
    <w:rsid w:val="00D8665E"/>
    <w:rsid w:val="00D869C1"/>
    <w:rsid w:val="00D86EC6"/>
    <w:rsid w:val="00D87418"/>
    <w:rsid w:val="00D87A39"/>
    <w:rsid w:val="00D87FE6"/>
    <w:rsid w:val="00D90BC3"/>
    <w:rsid w:val="00D90C93"/>
    <w:rsid w:val="00D90DB9"/>
    <w:rsid w:val="00D91001"/>
    <w:rsid w:val="00D910FF"/>
    <w:rsid w:val="00D91183"/>
    <w:rsid w:val="00D91337"/>
    <w:rsid w:val="00D915C9"/>
    <w:rsid w:val="00D918DA"/>
    <w:rsid w:val="00D9198F"/>
    <w:rsid w:val="00D91B29"/>
    <w:rsid w:val="00D91FCE"/>
    <w:rsid w:val="00D92078"/>
    <w:rsid w:val="00D926F0"/>
    <w:rsid w:val="00D92A87"/>
    <w:rsid w:val="00D9384E"/>
    <w:rsid w:val="00D93AEE"/>
    <w:rsid w:val="00D9413E"/>
    <w:rsid w:val="00D94778"/>
    <w:rsid w:val="00D94C8D"/>
    <w:rsid w:val="00D94CE6"/>
    <w:rsid w:val="00D95F88"/>
    <w:rsid w:val="00D96698"/>
    <w:rsid w:val="00D96876"/>
    <w:rsid w:val="00D96940"/>
    <w:rsid w:val="00D96B12"/>
    <w:rsid w:val="00D96F59"/>
    <w:rsid w:val="00DA0175"/>
    <w:rsid w:val="00DA06BC"/>
    <w:rsid w:val="00DA099C"/>
    <w:rsid w:val="00DA0F18"/>
    <w:rsid w:val="00DA2125"/>
    <w:rsid w:val="00DA21EC"/>
    <w:rsid w:val="00DA24DE"/>
    <w:rsid w:val="00DA270C"/>
    <w:rsid w:val="00DA281F"/>
    <w:rsid w:val="00DA3A03"/>
    <w:rsid w:val="00DA3C5B"/>
    <w:rsid w:val="00DA3D23"/>
    <w:rsid w:val="00DA4A61"/>
    <w:rsid w:val="00DA5AFE"/>
    <w:rsid w:val="00DA61AB"/>
    <w:rsid w:val="00DA61CD"/>
    <w:rsid w:val="00DA6EE2"/>
    <w:rsid w:val="00DA718A"/>
    <w:rsid w:val="00DA78CF"/>
    <w:rsid w:val="00DA78D5"/>
    <w:rsid w:val="00DA7A89"/>
    <w:rsid w:val="00DA7BF4"/>
    <w:rsid w:val="00DA7EBF"/>
    <w:rsid w:val="00DB03B7"/>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52B"/>
    <w:rsid w:val="00DB6F96"/>
    <w:rsid w:val="00DB71B9"/>
    <w:rsid w:val="00DB7662"/>
    <w:rsid w:val="00DB7E46"/>
    <w:rsid w:val="00DC1395"/>
    <w:rsid w:val="00DC32FC"/>
    <w:rsid w:val="00DC3D89"/>
    <w:rsid w:val="00DC4567"/>
    <w:rsid w:val="00DC4CDA"/>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63F"/>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65E"/>
    <w:rsid w:val="00DD6CE2"/>
    <w:rsid w:val="00DD720D"/>
    <w:rsid w:val="00DD768B"/>
    <w:rsid w:val="00DE0229"/>
    <w:rsid w:val="00DE04E0"/>
    <w:rsid w:val="00DE12F1"/>
    <w:rsid w:val="00DE1A9D"/>
    <w:rsid w:val="00DE1CB1"/>
    <w:rsid w:val="00DE2073"/>
    <w:rsid w:val="00DE30AC"/>
    <w:rsid w:val="00DE38D1"/>
    <w:rsid w:val="00DE4106"/>
    <w:rsid w:val="00DE466B"/>
    <w:rsid w:val="00DE48F4"/>
    <w:rsid w:val="00DE5556"/>
    <w:rsid w:val="00DE5563"/>
    <w:rsid w:val="00DE5C19"/>
    <w:rsid w:val="00DE5D48"/>
    <w:rsid w:val="00DE6E4D"/>
    <w:rsid w:val="00DE6FDA"/>
    <w:rsid w:val="00DE7498"/>
    <w:rsid w:val="00DE75EF"/>
    <w:rsid w:val="00DE7611"/>
    <w:rsid w:val="00DE7D19"/>
    <w:rsid w:val="00DF05A0"/>
    <w:rsid w:val="00DF1162"/>
    <w:rsid w:val="00DF1BA8"/>
    <w:rsid w:val="00DF1F63"/>
    <w:rsid w:val="00DF2347"/>
    <w:rsid w:val="00DF28F2"/>
    <w:rsid w:val="00DF2BFF"/>
    <w:rsid w:val="00DF3798"/>
    <w:rsid w:val="00DF4FF1"/>
    <w:rsid w:val="00DF56A3"/>
    <w:rsid w:val="00DF5B33"/>
    <w:rsid w:val="00DF6B1A"/>
    <w:rsid w:val="00DF6FD2"/>
    <w:rsid w:val="00DF72EF"/>
    <w:rsid w:val="00DF743D"/>
    <w:rsid w:val="00DF7724"/>
    <w:rsid w:val="00E000D8"/>
    <w:rsid w:val="00E002F3"/>
    <w:rsid w:val="00E0082F"/>
    <w:rsid w:val="00E00C1E"/>
    <w:rsid w:val="00E00F5F"/>
    <w:rsid w:val="00E010E6"/>
    <w:rsid w:val="00E01377"/>
    <w:rsid w:val="00E014E7"/>
    <w:rsid w:val="00E0232F"/>
    <w:rsid w:val="00E026A9"/>
    <w:rsid w:val="00E0356F"/>
    <w:rsid w:val="00E03B42"/>
    <w:rsid w:val="00E03C10"/>
    <w:rsid w:val="00E03C5A"/>
    <w:rsid w:val="00E0479F"/>
    <w:rsid w:val="00E04816"/>
    <w:rsid w:val="00E04982"/>
    <w:rsid w:val="00E04D6A"/>
    <w:rsid w:val="00E04DC3"/>
    <w:rsid w:val="00E058DB"/>
    <w:rsid w:val="00E05950"/>
    <w:rsid w:val="00E05CD4"/>
    <w:rsid w:val="00E05DE8"/>
    <w:rsid w:val="00E06100"/>
    <w:rsid w:val="00E0614E"/>
    <w:rsid w:val="00E06E97"/>
    <w:rsid w:val="00E07B8F"/>
    <w:rsid w:val="00E10712"/>
    <w:rsid w:val="00E10DD1"/>
    <w:rsid w:val="00E1224C"/>
    <w:rsid w:val="00E1254C"/>
    <w:rsid w:val="00E12589"/>
    <w:rsid w:val="00E12BDF"/>
    <w:rsid w:val="00E13326"/>
    <w:rsid w:val="00E13D07"/>
    <w:rsid w:val="00E14356"/>
    <w:rsid w:val="00E14961"/>
    <w:rsid w:val="00E14D76"/>
    <w:rsid w:val="00E15183"/>
    <w:rsid w:val="00E151D6"/>
    <w:rsid w:val="00E15D6C"/>
    <w:rsid w:val="00E1720B"/>
    <w:rsid w:val="00E203DE"/>
    <w:rsid w:val="00E20CE7"/>
    <w:rsid w:val="00E217B1"/>
    <w:rsid w:val="00E222FA"/>
    <w:rsid w:val="00E229CE"/>
    <w:rsid w:val="00E22B4A"/>
    <w:rsid w:val="00E232CB"/>
    <w:rsid w:val="00E235EA"/>
    <w:rsid w:val="00E2449B"/>
    <w:rsid w:val="00E24A62"/>
    <w:rsid w:val="00E24F52"/>
    <w:rsid w:val="00E255CC"/>
    <w:rsid w:val="00E25636"/>
    <w:rsid w:val="00E25755"/>
    <w:rsid w:val="00E25F90"/>
    <w:rsid w:val="00E266DD"/>
    <w:rsid w:val="00E26D2E"/>
    <w:rsid w:val="00E279B2"/>
    <w:rsid w:val="00E3036E"/>
    <w:rsid w:val="00E303C0"/>
    <w:rsid w:val="00E3055B"/>
    <w:rsid w:val="00E30A9A"/>
    <w:rsid w:val="00E31687"/>
    <w:rsid w:val="00E31699"/>
    <w:rsid w:val="00E31761"/>
    <w:rsid w:val="00E31812"/>
    <w:rsid w:val="00E31889"/>
    <w:rsid w:val="00E31CE7"/>
    <w:rsid w:val="00E32ADD"/>
    <w:rsid w:val="00E330E8"/>
    <w:rsid w:val="00E333D5"/>
    <w:rsid w:val="00E3394F"/>
    <w:rsid w:val="00E33A0B"/>
    <w:rsid w:val="00E34A2F"/>
    <w:rsid w:val="00E35A45"/>
    <w:rsid w:val="00E35F7F"/>
    <w:rsid w:val="00E36392"/>
    <w:rsid w:val="00E36B32"/>
    <w:rsid w:val="00E37A6F"/>
    <w:rsid w:val="00E37A9C"/>
    <w:rsid w:val="00E40222"/>
    <w:rsid w:val="00E40406"/>
    <w:rsid w:val="00E40555"/>
    <w:rsid w:val="00E4082B"/>
    <w:rsid w:val="00E40835"/>
    <w:rsid w:val="00E408EC"/>
    <w:rsid w:val="00E409B5"/>
    <w:rsid w:val="00E40BCB"/>
    <w:rsid w:val="00E40FE3"/>
    <w:rsid w:val="00E4208F"/>
    <w:rsid w:val="00E42E1A"/>
    <w:rsid w:val="00E42E94"/>
    <w:rsid w:val="00E43006"/>
    <w:rsid w:val="00E4312A"/>
    <w:rsid w:val="00E4331B"/>
    <w:rsid w:val="00E43551"/>
    <w:rsid w:val="00E437BE"/>
    <w:rsid w:val="00E437FA"/>
    <w:rsid w:val="00E45A2C"/>
    <w:rsid w:val="00E46A6B"/>
    <w:rsid w:val="00E46A9C"/>
    <w:rsid w:val="00E47DB1"/>
    <w:rsid w:val="00E50BDD"/>
    <w:rsid w:val="00E510CF"/>
    <w:rsid w:val="00E513D7"/>
    <w:rsid w:val="00E519FE"/>
    <w:rsid w:val="00E5206C"/>
    <w:rsid w:val="00E52AAB"/>
    <w:rsid w:val="00E53CBA"/>
    <w:rsid w:val="00E5448E"/>
    <w:rsid w:val="00E54E0D"/>
    <w:rsid w:val="00E55247"/>
    <w:rsid w:val="00E558E5"/>
    <w:rsid w:val="00E55B3C"/>
    <w:rsid w:val="00E56795"/>
    <w:rsid w:val="00E5699C"/>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B30"/>
    <w:rsid w:val="00E70192"/>
    <w:rsid w:val="00E70C55"/>
    <w:rsid w:val="00E70E34"/>
    <w:rsid w:val="00E71809"/>
    <w:rsid w:val="00E71D1E"/>
    <w:rsid w:val="00E726F2"/>
    <w:rsid w:val="00E728E2"/>
    <w:rsid w:val="00E72D02"/>
    <w:rsid w:val="00E738FA"/>
    <w:rsid w:val="00E739B6"/>
    <w:rsid w:val="00E74A2B"/>
    <w:rsid w:val="00E75667"/>
    <w:rsid w:val="00E756D3"/>
    <w:rsid w:val="00E75A5A"/>
    <w:rsid w:val="00E76004"/>
    <w:rsid w:val="00E7608F"/>
    <w:rsid w:val="00E760D7"/>
    <w:rsid w:val="00E769CC"/>
    <w:rsid w:val="00E77124"/>
    <w:rsid w:val="00E77341"/>
    <w:rsid w:val="00E77540"/>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3BD"/>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77B"/>
    <w:rsid w:val="00EC3852"/>
    <w:rsid w:val="00EC4397"/>
    <w:rsid w:val="00EC4528"/>
    <w:rsid w:val="00EC5233"/>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1E"/>
    <w:rsid w:val="00ED613A"/>
    <w:rsid w:val="00ED6514"/>
    <w:rsid w:val="00ED66B2"/>
    <w:rsid w:val="00ED71BA"/>
    <w:rsid w:val="00ED728F"/>
    <w:rsid w:val="00ED73A1"/>
    <w:rsid w:val="00ED7CA2"/>
    <w:rsid w:val="00EE04F9"/>
    <w:rsid w:val="00EE05E0"/>
    <w:rsid w:val="00EE13DA"/>
    <w:rsid w:val="00EE1595"/>
    <w:rsid w:val="00EE1E71"/>
    <w:rsid w:val="00EE1FB0"/>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7C"/>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181"/>
    <w:rsid w:val="00F06340"/>
    <w:rsid w:val="00F0665D"/>
    <w:rsid w:val="00F06D42"/>
    <w:rsid w:val="00F07134"/>
    <w:rsid w:val="00F0724D"/>
    <w:rsid w:val="00F0725C"/>
    <w:rsid w:val="00F07378"/>
    <w:rsid w:val="00F10B81"/>
    <w:rsid w:val="00F10BC9"/>
    <w:rsid w:val="00F113C9"/>
    <w:rsid w:val="00F11C01"/>
    <w:rsid w:val="00F11D80"/>
    <w:rsid w:val="00F13327"/>
    <w:rsid w:val="00F13447"/>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DCE"/>
    <w:rsid w:val="00F27E44"/>
    <w:rsid w:val="00F30313"/>
    <w:rsid w:val="00F303BC"/>
    <w:rsid w:val="00F30472"/>
    <w:rsid w:val="00F31052"/>
    <w:rsid w:val="00F318A1"/>
    <w:rsid w:val="00F31CF5"/>
    <w:rsid w:val="00F3265C"/>
    <w:rsid w:val="00F32C4A"/>
    <w:rsid w:val="00F33262"/>
    <w:rsid w:val="00F343EE"/>
    <w:rsid w:val="00F34F6C"/>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3B2"/>
    <w:rsid w:val="00F5052D"/>
    <w:rsid w:val="00F51A82"/>
    <w:rsid w:val="00F51B78"/>
    <w:rsid w:val="00F51BDD"/>
    <w:rsid w:val="00F52065"/>
    <w:rsid w:val="00F521CE"/>
    <w:rsid w:val="00F5253E"/>
    <w:rsid w:val="00F5254B"/>
    <w:rsid w:val="00F52676"/>
    <w:rsid w:val="00F52CB7"/>
    <w:rsid w:val="00F53A44"/>
    <w:rsid w:val="00F54E5E"/>
    <w:rsid w:val="00F551DB"/>
    <w:rsid w:val="00F55810"/>
    <w:rsid w:val="00F559BE"/>
    <w:rsid w:val="00F56F7E"/>
    <w:rsid w:val="00F56FEF"/>
    <w:rsid w:val="00F57521"/>
    <w:rsid w:val="00F60938"/>
    <w:rsid w:val="00F60C7E"/>
    <w:rsid w:val="00F60E0A"/>
    <w:rsid w:val="00F61606"/>
    <w:rsid w:val="00F6179A"/>
    <w:rsid w:val="00F61918"/>
    <w:rsid w:val="00F62151"/>
    <w:rsid w:val="00F62CA8"/>
    <w:rsid w:val="00F62F92"/>
    <w:rsid w:val="00F630B4"/>
    <w:rsid w:val="00F635EF"/>
    <w:rsid w:val="00F63BF4"/>
    <w:rsid w:val="00F63C55"/>
    <w:rsid w:val="00F63C60"/>
    <w:rsid w:val="00F64161"/>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30D"/>
    <w:rsid w:val="00F85329"/>
    <w:rsid w:val="00F85683"/>
    <w:rsid w:val="00F85743"/>
    <w:rsid w:val="00F85841"/>
    <w:rsid w:val="00F85B4F"/>
    <w:rsid w:val="00F86079"/>
    <w:rsid w:val="00F8610A"/>
    <w:rsid w:val="00F87282"/>
    <w:rsid w:val="00F878CD"/>
    <w:rsid w:val="00F87905"/>
    <w:rsid w:val="00F87A66"/>
    <w:rsid w:val="00F90C1F"/>
    <w:rsid w:val="00F912D9"/>
    <w:rsid w:val="00F91A44"/>
    <w:rsid w:val="00F91BFA"/>
    <w:rsid w:val="00F91F8F"/>
    <w:rsid w:val="00F9217B"/>
    <w:rsid w:val="00F95ED0"/>
    <w:rsid w:val="00F97125"/>
    <w:rsid w:val="00F97A34"/>
    <w:rsid w:val="00F97E4A"/>
    <w:rsid w:val="00F97EA1"/>
    <w:rsid w:val="00FA003A"/>
    <w:rsid w:val="00FA05C8"/>
    <w:rsid w:val="00FA0678"/>
    <w:rsid w:val="00FA0DB6"/>
    <w:rsid w:val="00FA23F7"/>
    <w:rsid w:val="00FA26F2"/>
    <w:rsid w:val="00FA27EB"/>
    <w:rsid w:val="00FA35B6"/>
    <w:rsid w:val="00FA3EBC"/>
    <w:rsid w:val="00FA423C"/>
    <w:rsid w:val="00FA44D0"/>
    <w:rsid w:val="00FA4590"/>
    <w:rsid w:val="00FA55A2"/>
    <w:rsid w:val="00FA58AC"/>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C7CF2"/>
    <w:rsid w:val="00FD10B3"/>
    <w:rsid w:val="00FD11C3"/>
    <w:rsid w:val="00FD154E"/>
    <w:rsid w:val="00FD24D7"/>
    <w:rsid w:val="00FD29CE"/>
    <w:rsid w:val="00FD3AE2"/>
    <w:rsid w:val="00FD3D12"/>
    <w:rsid w:val="00FD3E41"/>
    <w:rsid w:val="00FD3EFA"/>
    <w:rsid w:val="00FD488B"/>
    <w:rsid w:val="00FD54A8"/>
    <w:rsid w:val="00FD5AE4"/>
    <w:rsid w:val="00FD5F25"/>
    <w:rsid w:val="00FD60BE"/>
    <w:rsid w:val="00FD6894"/>
    <w:rsid w:val="00FD6AF0"/>
    <w:rsid w:val="00FD704D"/>
    <w:rsid w:val="00FD74EF"/>
    <w:rsid w:val="00FD79B8"/>
    <w:rsid w:val="00FD79F6"/>
    <w:rsid w:val="00FE033F"/>
    <w:rsid w:val="00FE07A8"/>
    <w:rsid w:val="00FE0AA3"/>
    <w:rsid w:val="00FE0AD1"/>
    <w:rsid w:val="00FE0CC0"/>
    <w:rsid w:val="00FE1631"/>
    <w:rsid w:val="00FE1852"/>
    <w:rsid w:val="00FE1963"/>
    <w:rsid w:val="00FE1981"/>
    <w:rsid w:val="00FE1BF1"/>
    <w:rsid w:val="00FE2E8A"/>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85BA4"/>
    <w:rsid w:val="011F6449"/>
    <w:rsid w:val="01236AFB"/>
    <w:rsid w:val="016959A7"/>
    <w:rsid w:val="019F7441"/>
    <w:rsid w:val="01B37585"/>
    <w:rsid w:val="01D2207D"/>
    <w:rsid w:val="01D55165"/>
    <w:rsid w:val="01DF6BF8"/>
    <w:rsid w:val="01EC2C57"/>
    <w:rsid w:val="024D4E7E"/>
    <w:rsid w:val="025D7143"/>
    <w:rsid w:val="026B2E25"/>
    <w:rsid w:val="02775E4F"/>
    <w:rsid w:val="02824D4D"/>
    <w:rsid w:val="02C329EA"/>
    <w:rsid w:val="02DC4B10"/>
    <w:rsid w:val="02DD76CE"/>
    <w:rsid w:val="02F36323"/>
    <w:rsid w:val="02F5619C"/>
    <w:rsid w:val="030176FB"/>
    <w:rsid w:val="0326446A"/>
    <w:rsid w:val="032D5555"/>
    <w:rsid w:val="034F46D6"/>
    <w:rsid w:val="03661A20"/>
    <w:rsid w:val="036634D2"/>
    <w:rsid w:val="03CF6675"/>
    <w:rsid w:val="03DD35E4"/>
    <w:rsid w:val="03F4527E"/>
    <w:rsid w:val="04076900"/>
    <w:rsid w:val="04096F7B"/>
    <w:rsid w:val="041A5A3B"/>
    <w:rsid w:val="042311BA"/>
    <w:rsid w:val="042403D7"/>
    <w:rsid w:val="042B157A"/>
    <w:rsid w:val="044D3AE9"/>
    <w:rsid w:val="048F763B"/>
    <w:rsid w:val="049F330E"/>
    <w:rsid w:val="04A121F4"/>
    <w:rsid w:val="04AA775C"/>
    <w:rsid w:val="04AF1889"/>
    <w:rsid w:val="04F66F48"/>
    <w:rsid w:val="0521034B"/>
    <w:rsid w:val="05251E14"/>
    <w:rsid w:val="054F4E62"/>
    <w:rsid w:val="05943A92"/>
    <w:rsid w:val="05A16594"/>
    <w:rsid w:val="05A7762D"/>
    <w:rsid w:val="05B178CA"/>
    <w:rsid w:val="060E5941"/>
    <w:rsid w:val="060F45F1"/>
    <w:rsid w:val="06110FAF"/>
    <w:rsid w:val="06147E59"/>
    <w:rsid w:val="06493CA7"/>
    <w:rsid w:val="065A6178"/>
    <w:rsid w:val="066F1CF3"/>
    <w:rsid w:val="068A59BD"/>
    <w:rsid w:val="06930BB8"/>
    <w:rsid w:val="06E96BF0"/>
    <w:rsid w:val="07147821"/>
    <w:rsid w:val="072034F0"/>
    <w:rsid w:val="07245D42"/>
    <w:rsid w:val="07264C62"/>
    <w:rsid w:val="074043CB"/>
    <w:rsid w:val="07506547"/>
    <w:rsid w:val="076E227F"/>
    <w:rsid w:val="07733110"/>
    <w:rsid w:val="0779354C"/>
    <w:rsid w:val="077E558A"/>
    <w:rsid w:val="07944A78"/>
    <w:rsid w:val="07AF269B"/>
    <w:rsid w:val="08061376"/>
    <w:rsid w:val="08161C67"/>
    <w:rsid w:val="0822060B"/>
    <w:rsid w:val="08452D77"/>
    <w:rsid w:val="086401F8"/>
    <w:rsid w:val="086D153D"/>
    <w:rsid w:val="08751CAA"/>
    <w:rsid w:val="087E4C40"/>
    <w:rsid w:val="0895702F"/>
    <w:rsid w:val="08C01BD2"/>
    <w:rsid w:val="08D66AD6"/>
    <w:rsid w:val="08DA33A3"/>
    <w:rsid w:val="08E80F13"/>
    <w:rsid w:val="092D739F"/>
    <w:rsid w:val="09302681"/>
    <w:rsid w:val="09335624"/>
    <w:rsid w:val="0944690F"/>
    <w:rsid w:val="09535675"/>
    <w:rsid w:val="095F057D"/>
    <w:rsid w:val="09642282"/>
    <w:rsid w:val="09733572"/>
    <w:rsid w:val="09772C16"/>
    <w:rsid w:val="098353B5"/>
    <w:rsid w:val="09894700"/>
    <w:rsid w:val="09A92330"/>
    <w:rsid w:val="09B06B87"/>
    <w:rsid w:val="09C13146"/>
    <w:rsid w:val="09DB0962"/>
    <w:rsid w:val="09E04166"/>
    <w:rsid w:val="0A1C0718"/>
    <w:rsid w:val="0A3E7710"/>
    <w:rsid w:val="0A4240F4"/>
    <w:rsid w:val="0A5B7E63"/>
    <w:rsid w:val="0AA374A5"/>
    <w:rsid w:val="0AAB7649"/>
    <w:rsid w:val="0ABC5606"/>
    <w:rsid w:val="0AC2232C"/>
    <w:rsid w:val="0AC4542D"/>
    <w:rsid w:val="0AC7549A"/>
    <w:rsid w:val="0B016BFE"/>
    <w:rsid w:val="0B1526A9"/>
    <w:rsid w:val="0B30404E"/>
    <w:rsid w:val="0B467917"/>
    <w:rsid w:val="0B4C6C14"/>
    <w:rsid w:val="0B631A88"/>
    <w:rsid w:val="0B683D45"/>
    <w:rsid w:val="0B696551"/>
    <w:rsid w:val="0B7F3F11"/>
    <w:rsid w:val="0B884417"/>
    <w:rsid w:val="0BC8771C"/>
    <w:rsid w:val="0BF6188C"/>
    <w:rsid w:val="0BF73C91"/>
    <w:rsid w:val="0C170175"/>
    <w:rsid w:val="0C571A41"/>
    <w:rsid w:val="0C5C1171"/>
    <w:rsid w:val="0C5E1CBC"/>
    <w:rsid w:val="0C615B50"/>
    <w:rsid w:val="0C7927C4"/>
    <w:rsid w:val="0C8445DA"/>
    <w:rsid w:val="0C87121B"/>
    <w:rsid w:val="0C8A677F"/>
    <w:rsid w:val="0CC007F7"/>
    <w:rsid w:val="0CFE707A"/>
    <w:rsid w:val="0D063BDA"/>
    <w:rsid w:val="0D08375F"/>
    <w:rsid w:val="0D184CFB"/>
    <w:rsid w:val="0D2F2DF1"/>
    <w:rsid w:val="0D4A7419"/>
    <w:rsid w:val="0D827401"/>
    <w:rsid w:val="0D84094E"/>
    <w:rsid w:val="0D8A00E9"/>
    <w:rsid w:val="0D8D589E"/>
    <w:rsid w:val="0DA01C73"/>
    <w:rsid w:val="0DD63300"/>
    <w:rsid w:val="0DF50604"/>
    <w:rsid w:val="0DF702FE"/>
    <w:rsid w:val="0E060E51"/>
    <w:rsid w:val="0E465D21"/>
    <w:rsid w:val="0E5604B2"/>
    <w:rsid w:val="0E6D5D79"/>
    <w:rsid w:val="0E8C7847"/>
    <w:rsid w:val="0E9D0089"/>
    <w:rsid w:val="0EB803EE"/>
    <w:rsid w:val="0ED65CAC"/>
    <w:rsid w:val="0EF94D4B"/>
    <w:rsid w:val="0F032819"/>
    <w:rsid w:val="0F462A38"/>
    <w:rsid w:val="0F4958DC"/>
    <w:rsid w:val="0F515DF7"/>
    <w:rsid w:val="0F596BA8"/>
    <w:rsid w:val="0F6248D2"/>
    <w:rsid w:val="0F693536"/>
    <w:rsid w:val="0F7B0511"/>
    <w:rsid w:val="0F7B76D9"/>
    <w:rsid w:val="0F816ACD"/>
    <w:rsid w:val="0F9832DB"/>
    <w:rsid w:val="0FBF3FD2"/>
    <w:rsid w:val="0FBF7FF3"/>
    <w:rsid w:val="0FD348E1"/>
    <w:rsid w:val="0FD4263C"/>
    <w:rsid w:val="0FDD588B"/>
    <w:rsid w:val="0FE6380F"/>
    <w:rsid w:val="10646583"/>
    <w:rsid w:val="106612B1"/>
    <w:rsid w:val="107D4B15"/>
    <w:rsid w:val="108A3C80"/>
    <w:rsid w:val="10C26171"/>
    <w:rsid w:val="10F33360"/>
    <w:rsid w:val="10FC16EA"/>
    <w:rsid w:val="110F1D40"/>
    <w:rsid w:val="11266F33"/>
    <w:rsid w:val="118963A1"/>
    <w:rsid w:val="11BD0491"/>
    <w:rsid w:val="11C6522A"/>
    <w:rsid w:val="11E104CC"/>
    <w:rsid w:val="11E20309"/>
    <w:rsid w:val="121F1F09"/>
    <w:rsid w:val="12255233"/>
    <w:rsid w:val="12530213"/>
    <w:rsid w:val="127723A9"/>
    <w:rsid w:val="1279351E"/>
    <w:rsid w:val="12862074"/>
    <w:rsid w:val="12883966"/>
    <w:rsid w:val="129E45B4"/>
    <w:rsid w:val="12D81596"/>
    <w:rsid w:val="12E56E05"/>
    <w:rsid w:val="13072A44"/>
    <w:rsid w:val="13191C2C"/>
    <w:rsid w:val="135B5DF4"/>
    <w:rsid w:val="135F4BE2"/>
    <w:rsid w:val="136452DF"/>
    <w:rsid w:val="13693592"/>
    <w:rsid w:val="139B1A0A"/>
    <w:rsid w:val="139C2222"/>
    <w:rsid w:val="139D25C7"/>
    <w:rsid w:val="13B62550"/>
    <w:rsid w:val="13BF3CE4"/>
    <w:rsid w:val="14097B94"/>
    <w:rsid w:val="140E11B4"/>
    <w:rsid w:val="141008D8"/>
    <w:rsid w:val="14125FE6"/>
    <w:rsid w:val="141A488D"/>
    <w:rsid w:val="146D271E"/>
    <w:rsid w:val="14982588"/>
    <w:rsid w:val="149A5AD9"/>
    <w:rsid w:val="14A405FA"/>
    <w:rsid w:val="14A7619D"/>
    <w:rsid w:val="14ED3D4F"/>
    <w:rsid w:val="150536C3"/>
    <w:rsid w:val="150C1963"/>
    <w:rsid w:val="151447A0"/>
    <w:rsid w:val="1534372C"/>
    <w:rsid w:val="153A7D3D"/>
    <w:rsid w:val="154A6454"/>
    <w:rsid w:val="15762120"/>
    <w:rsid w:val="15783F61"/>
    <w:rsid w:val="168E50BE"/>
    <w:rsid w:val="16A8729C"/>
    <w:rsid w:val="16B234A2"/>
    <w:rsid w:val="16B33777"/>
    <w:rsid w:val="16BC70A7"/>
    <w:rsid w:val="16C6339E"/>
    <w:rsid w:val="16CB6312"/>
    <w:rsid w:val="17125CEF"/>
    <w:rsid w:val="172F2D79"/>
    <w:rsid w:val="17557BEF"/>
    <w:rsid w:val="17B46DA6"/>
    <w:rsid w:val="17D349C1"/>
    <w:rsid w:val="17F26B38"/>
    <w:rsid w:val="17FA27F7"/>
    <w:rsid w:val="1830729E"/>
    <w:rsid w:val="183E3860"/>
    <w:rsid w:val="1870062C"/>
    <w:rsid w:val="18730A0F"/>
    <w:rsid w:val="18817102"/>
    <w:rsid w:val="18830A15"/>
    <w:rsid w:val="18852B28"/>
    <w:rsid w:val="188B5321"/>
    <w:rsid w:val="18B03A11"/>
    <w:rsid w:val="191E6BCD"/>
    <w:rsid w:val="196B7938"/>
    <w:rsid w:val="19932372"/>
    <w:rsid w:val="19A20DD5"/>
    <w:rsid w:val="19A47FAA"/>
    <w:rsid w:val="19AE03F1"/>
    <w:rsid w:val="1A071A03"/>
    <w:rsid w:val="1A1F16AE"/>
    <w:rsid w:val="1A3B5C77"/>
    <w:rsid w:val="1A984BAD"/>
    <w:rsid w:val="1AB8220E"/>
    <w:rsid w:val="1AC11F06"/>
    <w:rsid w:val="1AE4166C"/>
    <w:rsid w:val="1AF06CFB"/>
    <w:rsid w:val="1AF11B8D"/>
    <w:rsid w:val="1B022F94"/>
    <w:rsid w:val="1B102545"/>
    <w:rsid w:val="1B11359C"/>
    <w:rsid w:val="1B2A271F"/>
    <w:rsid w:val="1B2E0C1E"/>
    <w:rsid w:val="1B345D42"/>
    <w:rsid w:val="1B45447D"/>
    <w:rsid w:val="1B530544"/>
    <w:rsid w:val="1B6145F3"/>
    <w:rsid w:val="1B713184"/>
    <w:rsid w:val="1B732ED7"/>
    <w:rsid w:val="1B9211AC"/>
    <w:rsid w:val="1BA209CF"/>
    <w:rsid w:val="1BAC6712"/>
    <w:rsid w:val="1BB4777D"/>
    <w:rsid w:val="1BD75AB8"/>
    <w:rsid w:val="1BE16C86"/>
    <w:rsid w:val="1BED2887"/>
    <w:rsid w:val="1C0459C2"/>
    <w:rsid w:val="1C1B3B4A"/>
    <w:rsid w:val="1C33473D"/>
    <w:rsid w:val="1C6A3ED7"/>
    <w:rsid w:val="1C7A5C28"/>
    <w:rsid w:val="1C88086E"/>
    <w:rsid w:val="1CBD66FD"/>
    <w:rsid w:val="1D266CE1"/>
    <w:rsid w:val="1D2D73DF"/>
    <w:rsid w:val="1D3963AF"/>
    <w:rsid w:val="1D412E8A"/>
    <w:rsid w:val="1D6A673C"/>
    <w:rsid w:val="1D9247AE"/>
    <w:rsid w:val="1DB567EC"/>
    <w:rsid w:val="1DD925F6"/>
    <w:rsid w:val="1DEB4F9C"/>
    <w:rsid w:val="1DF51A98"/>
    <w:rsid w:val="1E0068A1"/>
    <w:rsid w:val="1E193E07"/>
    <w:rsid w:val="1E3073D1"/>
    <w:rsid w:val="1E3D060F"/>
    <w:rsid w:val="1E3F7D2E"/>
    <w:rsid w:val="1E4134E4"/>
    <w:rsid w:val="1E5062B3"/>
    <w:rsid w:val="1E523514"/>
    <w:rsid w:val="1E714A66"/>
    <w:rsid w:val="1E7E67F1"/>
    <w:rsid w:val="1E802593"/>
    <w:rsid w:val="1EA55954"/>
    <w:rsid w:val="1EA703CC"/>
    <w:rsid w:val="1EB7330C"/>
    <w:rsid w:val="1EC024D4"/>
    <w:rsid w:val="1ED85A70"/>
    <w:rsid w:val="1EFC175F"/>
    <w:rsid w:val="1F0A0FF3"/>
    <w:rsid w:val="1F5771FF"/>
    <w:rsid w:val="1FC3402A"/>
    <w:rsid w:val="1FE868A9"/>
    <w:rsid w:val="20000B35"/>
    <w:rsid w:val="20034907"/>
    <w:rsid w:val="20173E4B"/>
    <w:rsid w:val="204E48BC"/>
    <w:rsid w:val="206F41B2"/>
    <w:rsid w:val="20825C88"/>
    <w:rsid w:val="208921B3"/>
    <w:rsid w:val="20973DEB"/>
    <w:rsid w:val="20B26522"/>
    <w:rsid w:val="20B44310"/>
    <w:rsid w:val="211116EB"/>
    <w:rsid w:val="215755ED"/>
    <w:rsid w:val="216133FC"/>
    <w:rsid w:val="21AD48BF"/>
    <w:rsid w:val="21C53505"/>
    <w:rsid w:val="21D56769"/>
    <w:rsid w:val="21E5189B"/>
    <w:rsid w:val="21E52EF3"/>
    <w:rsid w:val="21FB5D7B"/>
    <w:rsid w:val="220B1C3D"/>
    <w:rsid w:val="22164A42"/>
    <w:rsid w:val="221D1D20"/>
    <w:rsid w:val="2221328A"/>
    <w:rsid w:val="22334A87"/>
    <w:rsid w:val="22903297"/>
    <w:rsid w:val="22BE6801"/>
    <w:rsid w:val="22F73C42"/>
    <w:rsid w:val="22FD7598"/>
    <w:rsid w:val="230E380E"/>
    <w:rsid w:val="231436FB"/>
    <w:rsid w:val="231921B3"/>
    <w:rsid w:val="233500BF"/>
    <w:rsid w:val="23377FF7"/>
    <w:rsid w:val="234C4337"/>
    <w:rsid w:val="234D018A"/>
    <w:rsid w:val="236B425F"/>
    <w:rsid w:val="23827D58"/>
    <w:rsid w:val="23836192"/>
    <w:rsid w:val="23901F29"/>
    <w:rsid w:val="239B0E1A"/>
    <w:rsid w:val="239C0061"/>
    <w:rsid w:val="23B908A4"/>
    <w:rsid w:val="23E95BEF"/>
    <w:rsid w:val="23EB7FF4"/>
    <w:rsid w:val="23FD0064"/>
    <w:rsid w:val="243601AA"/>
    <w:rsid w:val="245375B0"/>
    <w:rsid w:val="24642C0A"/>
    <w:rsid w:val="24B22173"/>
    <w:rsid w:val="24B95AD9"/>
    <w:rsid w:val="24BE24DA"/>
    <w:rsid w:val="24C85C3F"/>
    <w:rsid w:val="24CF5825"/>
    <w:rsid w:val="24D663E6"/>
    <w:rsid w:val="24D77F2B"/>
    <w:rsid w:val="24E72C1F"/>
    <w:rsid w:val="24F84776"/>
    <w:rsid w:val="251E1FFF"/>
    <w:rsid w:val="252512E3"/>
    <w:rsid w:val="25382DC5"/>
    <w:rsid w:val="2564005E"/>
    <w:rsid w:val="258B00E2"/>
    <w:rsid w:val="258C4EBE"/>
    <w:rsid w:val="2590022A"/>
    <w:rsid w:val="25A917A6"/>
    <w:rsid w:val="25BE27CC"/>
    <w:rsid w:val="25E116AE"/>
    <w:rsid w:val="25E4596E"/>
    <w:rsid w:val="25F35521"/>
    <w:rsid w:val="25F74A5C"/>
    <w:rsid w:val="2628662C"/>
    <w:rsid w:val="262D45DE"/>
    <w:rsid w:val="26383433"/>
    <w:rsid w:val="26415CA9"/>
    <w:rsid w:val="264419D6"/>
    <w:rsid w:val="267B61AB"/>
    <w:rsid w:val="26855CD6"/>
    <w:rsid w:val="26A53EF9"/>
    <w:rsid w:val="26A94201"/>
    <w:rsid w:val="26AA5F44"/>
    <w:rsid w:val="26AC274F"/>
    <w:rsid w:val="26CA17A3"/>
    <w:rsid w:val="26EE7EFE"/>
    <w:rsid w:val="27044A29"/>
    <w:rsid w:val="271433BD"/>
    <w:rsid w:val="271D34C8"/>
    <w:rsid w:val="274D5177"/>
    <w:rsid w:val="276142BF"/>
    <w:rsid w:val="276703C3"/>
    <w:rsid w:val="27725098"/>
    <w:rsid w:val="27783712"/>
    <w:rsid w:val="27907362"/>
    <w:rsid w:val="279C3009"/>
    <w:rsid w:val="27E014F2"/>
    <w:rsid w:val="27E6523A"/>
    <w:rsid w:val="27EF7920"/>
    <w:rsid w:val="27FC632B"/>
    <w:rsid w:val="282D51B1"/>
    <w:rsid w:val="28333E1D"/>
    <w:rsid w:val="28454BD6"/>
    <w:rsid w:val="28455253"/>
    <w:rsid w:val="28551971"/>
    <w:rsid w:val="285B1C53"/>
    <w:rsid w:val="287D3B77"/>
    <w:rsid w:val="28926C90"/>
    <w:rsid w:val="289F7086"/>
    <w:rsid w:val="28AF46FE"/>
    <w:rsid w:val="28C32028"/>
    <w:rsid w:val="28C7479F"/>
    <w:rsid w:val="28CC490F"/>
    <w:rsid w:val="28DE40AA"/>
    <w:rsid w:val="29345E77"/>
    <w:rsid w:val="294C65AD"/>
    <w:rsid w:val="29542CFA"/>
    <w:rsid w:val="295F68EE"/>
    <w:rsid w:val="29806583"/>
    <w:rsid w:val="298B3C4C"/>
    <w:rsid w:val="299B2824"/>
    <w:rsid w:val="299F1664"/>
    <w:rsid w:val="29AC3D81"/>
    <w:rsid w:val="29F15C38"/>
    <w:rsid w:val="29F26D24"/>
    <w:rsid w:val="29F82B12"/>
    <w:rsid w:val="2A007C29"/>
    <w:rsid w:val="2A15033F"/>
    <w:rsid w:val="2A1662C1"/>
    <w:rsid w:val="2A187669"/>
    <w:rsid w:val="2A1C7367"/>
    <w:rsid w:val="2A1D6A2D"/>
    <w:rsid w:val="2A2815FA"/>
    <w:rsid w:val="2A2E4796"/>
    <w:rsid w:val="2A6D6092"/>
    <w:rsid w:val="2A7D76B4"/>
    <w:rsid w:val="2A8D1F07"/>
    <w:rsid w:val="2AAD3CB8"/>
    <w:rsid w:val="2AE35581"/>
    <w:rsid w:val="2AEF3F25"/>
    <w:rsid w:val="2B0025D7"/>
    <w:rsid w:val="2B437463"/>
    <w:rsid w:val="2B7807EE"/>
    <w:rsid w:val="2BBE1B4A"/>
    <w:rsid w:val="2BBF00EC"/>
    <w:rsid w:val="2BC37CFD"/>
    <w:rsid w:val="2BD5237F"/>
    <w:rsid w:val="2BE536CE"/>
    <w:rsid w:val="2BE758D9"/>
    <w:rsid w:val="2C09049E"/>
    <w:rsid w:val="2C0A653C"/>
    <w:rsid w:val="2C191F85"/>
    <w:rsid w:val="2C1945BB"/>
    <w:rsid w:val="2C3D7F30"/>
    <w:rsid w:val="2C451DAB"/>
    <w:rsid w:val="2C7426D2"/>
    <w:rsid w:val="2C7A3CC3"/>
    <w:rsid w:val="2C841377"/>
    <w:rsid w:val="2C9F7BCD"/>
    <w:rsid w:val="2CE82D6F"/>
    <w:rsid w:val="2CF208AE"/>
    <w:rsid w:val="2D343236"/>
    <w:rsid w:val="2D6A3D37"/>
    <w:rsid w:val="2DA3549B"/>
    <w:rsid w:val="2DA74F8B"/>
    <w:rsid w:val="2DC03B59"/>
    <w:rsid w:val="2DD15014"/>
    <w:rsid w:val="2DE71976"/>
    <w:rsid w:val="2DF72DE4"/>
    <w:rsid w:val="2E0220AF"/>
    <w:rsid w:val="2E0777D8"/>
    <w:rsid w:val="2E4B082A"/>
    <w:rsid w:val="2E5D4E86"/>
    <w:rsid w:val="2E5D790B"/>
    <w:rsid w:val="2E6B420B"/>
    <w:rsid w:val="2E9021DA"/>
    <w:rsid w:val="2E9A3C18"/>
    <w:rsid w:val="2EBB0FEE"/>
    <w:rsid w:val="2EC63002"/>
    <w:rsid w:val="2F0A6B38"/>
    <w:rsid w:val="2F4D3910"/>
    <w:rsid w:val="2F6D7037"/>
    <w:rsid w:val="2F946CCB"/>
    <w:rsid w:val="2FC75471"/>
    <w:rsid w:val="2FD25781"/>
    <w:rsid w:val="2FDE5E55"/>
    <w:rsid w:val="2FE63DAE"/>
    <w:rsid w:val="2FFD7934"/>
    <w:rsid w:val="304E16EE"/>
    <w:rsid w:val="30546081"/>
    <w:rsid w:val="30733ACD"/>
    <w:rsid w:val="30754DF6"/>
    <w:rsid w:val="307750E9"/>
    <w:rsid w:val="308C3862"/>
    <w:rsid w:val="309379D8"/>
    <w:rsid w:val="30A270F7"/>
    <w:rsid w:val="30CB2D3F"/>
    <w:rsid w:val="30DF1478"/>
    <w:rsid w:val="30EC586F"/>
    <w:rsid w:val="311F308B"/>
    <w:rsid w:val="31327262"/>
    <w:rsid w:val="31401BC3"/>
    <w:rsid w:val="31666F0B"/>
    <w:rsid w:val="319C6071"/>
    <w:rsid w:val="31A72DB0"/>
    <w:rsid w:val="31AC537E"/>
    <w:rsid w:val="31E3679B"/>
    <w:rsid w:val="31E53D94"/>
    <w:rsid w:val="31E732FD"/>
    <w:rsid w:val="322C3CB1"/>
    <w:rsid w:val="32517576"/>
    <w:rsid w:val="32582CF8"/>
    <w:rsid w:val="32BE5C2C"/>
    <w:rsid w:val="32FB6478"/>
    <w:rsid w:val="33263B3F"/>
    <w:rsid w:val="336963EB"/>
    <w:rsid w:val="33784CD4"/>
    <w:rsid w:val="33816EEB"/>
    <w:rsid w:val="339F04B3"/>
    <w:rsid w:val="33C57F19"/>
    <w:rsid w:val="33EB55CD"/>
    <w:rsid w:val="33EC4C02"/>
    <w:rsid w:val="33FD7B69"/>
    <w:rsid w:val="340D2360"/>
    <w:rsid w:val="3410665D"/>
    <w:rsid w:val="34211214"/>
    <w:rsid w:val="342E63AB"/>
    <w:rsid w:val="34694A7D"/>
    <w:rsid w:val="347100A1"/>
    <w:rsid w:val="34950E68"/>
    <w:rsid w:val="34986E94"/>
    <w:rsid w:val="349D271D"/>
    <w:rsid w:val="34A0681D"/>
    <w:rsid w:val="34AF62C9"/>
    <w:rsid w:val="34C55706"/>
    <w:rsid w:val="34CB4388"/>
    <w:rsid w:val="34FA6E12"/>
    <w:rsid w:val="35150A2C"/>
    <w:rsid w:val="351D1FD7"/>
    <w:rsid w:val="3529272A"/>
    <w:rsid w:val="358D5588"/>
    <w:rsid w:val="35D73F34"/>
    <w:rsid w:val="36154A5C"/>
    <w:rsid w:val="363611DD"/>
    <w:rsid w:val="363A3B40"/>
    <w:rsid w:val="36401AD9"/>
    <w:rsid w:val="365302AE"/>
    <w:rsid w:val="36607A0A"/>
    <w:rsid w:val="366E227C"/>
    <w:rsid w:val="366F2E0D"/>
    <w:rsid w:val="367B0D63"/>
    <w:rsid w:val="367B6A5C"/>
    <w:rsid w:val="368D0A96"/>
    <w:rsid w:val="36A74ADA"/>
    <w:rsid w:val="36AD60D5"/>
    <w:rsid w:val="36AE429C"/>
    <w:rsid w:val="36B224F9"/>
    <w:rsid w:val="36E27034"/>
    <w:rsid w:val="36EC0CC9"/>
    <w:rsid w:val="37284B97"/>
    <w:rsid w:val="372E4027"/>
    <w:rsid w:val="373F410B"/>
    <w:rsid w:val="37495387"/>
    <w:rsid w:val="37730DDA"/>
    <w:rsid w:val="37841E99"/>
    <w:rsid w:val="37976071"/>
    <w:rsid w:val="37EE7094"/>
    <w:rsid w:val="38296C89"/>
    <w:rsid w:val="383002EB"/>
    <w:rsid w:val="38586797"/>
    <w:rsid w:val="385C2E16"/>
    <w:rsid w:val="38B37AA7"/>
    <w:rsid w:val="38BC0149"/>
    <w:rsid w:val="38D87D1C"/>
    <w:rsid w:val="39636459"/>
    <w:rsid w:val="396B7F6C"/>
    <w:rsid w:val="399B02E5"/>
    <w:rsid w:val="39A46823"/>
    <w:rsid w:val="39AD0063"/>
    <w:rsid w:val="39B417A9"/>
    <w:rsid w:val="39B60304"/>
    <w:rsid w:val="39C368B9"/>
    <w:rsid w:val="39FC5695"/>
    <w:rsid w:val="3A006D8E"/>
    <w:rsid w:val="3A3556CD"/>
    <w:rsid w:val="3A3651E5"/>
    <w:rsid w:val="3A744481"/>
    <w:rsid w:val="3A8C7BEF"/>
    <w:rsid w:val="3A906246"/>
    <w:rsid w:val="3AAF547F"/>
    <w:rsid w:val="3AF80E99"/>
    <w:rsid w:val="3AF93785"/>
    <w:rsid w:val="3B2349B7"/>
    <w:rsid w:val="3B3D42C0"/>
    <w:rsid w:val="3B616CFF"/>
    <w:rsid w:val="3B6259F6"/>
    <w:rsid w:val="3B976654"/>
    <w:rsid w:val="3BC01EFC"/>
    <w:rsid w:val="3BCA786A"/>
    <w:rsid w:val="3BD31E2F"/>
    <w:rsid w:val="3BDF7FE6"/>
    <w:rsid w:val="3BF15831"/>
    <w:rsid w:val="3C105946"/>
    <w:rsid w:val="3C154B1E"/>
    <w:rsid w:val="3C236125"/>
    <w:rsid w:val="3C471448"/>
    <w:rsid w:val="3C5F759A"/>
    <w:rsid w:val="3C650C6F"/>
    <w:rsid w:val="3C6C525A"/>
    <w:rsid w:val="3CA60B04"/>
    <w:rsid w:val="3CCE23CB"/>
    <w:rsid w:val="3CD17D17"/>
    <w:rsid w:val="3D3C7F39"/>
    <w:rsid w:val="3D440F09"/>
    <w:rsid w:val="3D4504A0"/>
    <w:rsid w:val="3D695DB9"/>
    <w:rsid w:val="3D8734BB"/>
    <w:rsid w:val="3D9A11D4"/>
    <w:rsid w:val="3DA16D89"/>
    <w:rsid w:val="3DA364BE"/>
    <w:rsid w:val="3DD13731"/>
    <w:rsid w:val="3DE041CB"/>
    <w:rsid w:val="3DF5589F"/>
    <w:rsid w:val="3E0D48F6"/>
    <w:rsid w:val="3E1868B4"/>
    <w:rsid w:val="3E374E7B"/>
    <w:rsid w:val="3E377251"/>
    <w:rsid w:val="3E42664B"/>
    <w:rsid w:val="3E5A7334"/>
    <w:rsid w:val="3E792FCD"/>
    <w:rsid w:val="3E7B5D6B"/>
    <w:rsid w:val="3E843E66"/>
    <w:rsid w:val="3E8D1F7B"/>
    <w:rsid w:val="3E8F51FE"/>
    <w:rsid w:val="3E926F87"/>
    <w:rsid w:val="3E9A59DE"/>
    <w:rsid w:val="3EAF4836"/>
    <w:rsid w:val="3EC33DFA"/>
    <w:rsid w:val="3EC82FB3"/>
    <w:rsid w:val="3EDC58B7"/>
    <w:rsid w:val="3EFE69D5"/>
    <w:rsid w:val="3F060E16"/>
    <w:rsid w:val="3F1D1096"/>
    <w:rsid w:val="3F2F0234"/>
    <w:rsid w:val="3F6363FE"/>
    <w:rsid w:val="3F756B8F"/>
    <w:rsid w:val="3F95482B"/>
    <w:rsid w:val="3FB83028"/>
    <w:rsid w:val="3FE73C89"/>
    <w:rsid w:val="3FFC6AA9"/>
    <w:rsid w:val="4019356B"/>
    <w:rsid w:val="40305CDD"/>
    <w:rsid w:val="4047615A"/>
    <w:rsid w:val="40592157"/>
    <w:rsid w:val="406E1CAE"/>
    <w:rsid w:val="40A0133A"/>
    <w:rsid w:val="40B736F6"/>
    <w:rsid w:val="40BF1232"/>
    <w:rsid w:val="40C31A53"/>
    <w:rsid w:val="40C7284E"/>
    <w:rsid w:val="40FF545D"/>
    <w:rsid w:val="410067C8"/>
    <w:rsid w:val="41811C1F"/>
    <w:rsid w:val="418F0D2A"/>
    <w:rsid w:val="41C9151C"/>
    <w:rsid w:val="41D01505"/>
    <w:rsid w:val="41DD6D76"/>
    <w:rsid w:val="422E7FD5"/>
    <w:rsid w:val="42474939"/>
    <w:rsid w:val="424C3C57"/>
    <w:rsid w:val="42613FF3"/>
    <w:rsid w:val="42660D96"/>
    <w:rsid w:val="427A45C5"/>
    <w:rsid w:val="428667D2"/>
    <w:rsid w:val="428D6AB0"/>
    <w:rsid w:val="42901043"/>
    <w:rsid w:val="429A6A15"/>
    <w:rsid w:val="42CD1CE0"/>
    <w:rsid w:val="42E1381E"/>
    <w:rsid w:val="42ED6459"/>
    <w:rsid w:val="42FE58DD"/>
    <w:rsid w:val="43174B3D"/>
    <w:rsid w:val="434B790E"/>
    <w:rsid w:val="4360274F"/>
    <w:rsid w:val="43670FED"/>
    <w:rsid w:val="43977AB6"/>
    <w:rsid w:val="439D67BD"/>
    <w:rsid w:val="43A3342B"/>
    <w:rsid w:val="43C77C27"/>
    <w:rsid w:val="43DE09EE"/>
    <w:rsid w:val="43F4658F"/>
    <w:rsid w:val="44002FAD"/>
    <w:rsid w:val="442944F4"/>
    <w:rsid w:val="44416362"/>
    <w:rsid w:val="446B446C"/>
    <w:rsid w:val="449101DD"/>
    <w:rsid w:val="44A479C5"/>
    <w:rsid w:val="44DE1391"/>
    <w:rsid w:val="451B225C"/>
    <w:rsid w:val="452410C9"/>
    <w:rsid w:val="45317DFB"/>
    <w:rsid w:val="45356766"/>
    <w:rsid w:val="45497F02"/>
    <w:rsid w:val="4554062E"/>
    <w:rsid w:val="456D3CE4"/>
    <w:rsid w:val="4579042C"/>
    <w:rsid w:val="457F0571"/>
    <w:rsid w:val="45851176"/>
    <w:rsid w:val="45C63B94"/>
    <w:rsid w:val="45CC5137"/>
    <w:rsid w:val="460E7DA5"/>
    <w:rsid w:val="4629258A"/>
    <w:rsid w:val="46422483"/>
    <w:rsid w:val="4659254A"/>
    <w:rsid w:val="465B0637"/>
    <w:rsid w:val="465E3F0D"/>
    <w:rsid w:val="466A16E6"/>
    <w:rsid w:val="46893F2B"/>
    <w:rsid w:val="46AB5755"/>
    <w:rsid w:val="46C4686E"/>
    <w:rsid w:val="46CB1893"/>
    <w:rsid w:val="46DB4B23"/>
    <w:rsid w:val="46EB6657"/>
    <w:rsid w:val="47295AED"/>
    <w:rsid w:val="47380B78"/>
    <w:rsid w:val="477B778F"/>
    <w:rsid w:val="478203EC"/>
    <w:rsid w:val="47B025FA"/>
    <w:rsid w:val="4809698F"/>
    <w:rsid w:val="480E77C6"/>
    <w:rsid w:val="4811697D"/>
    <w:rsid w:val="48375B97"/>
    <w:rsid w:val="4853140F"/>
    <w:rsid w:val="485756B9"/>
    <w:rsid w:val="487A3E25"/>
    <w:rsid w:val="488B5503"/>
    <w:rsid w:val="48937E21"/>
    <w:rsid w:val="489A0361"/>
    <w:rsid w:val="48B819A3"/>
    <w:rsid w:val="48B94FF3"/>
    <w:rsid w:val="48CE566A"/>
    <w:rsid w:val="48E37AAB"/>
    <w:rsid w:val="48FD4B4C"/>
    <w:rsid w:val="490A68E0"/>
    <w:rsid w:val="491055FE"/>
    <w:rsid w:val="49441489"/>
    <w:rsid w:val="495F5B3E"/>
    <w:rsid w:val="496164DE"/>
    <w:rsid w:val="496F77D7"/>
    <w:rsid w:val="497654FD"/>
    <w:rsid w:val="49836455"/>
    <w:rsid w:val="49A44E86"/>
    <w:rsid w:val="49AD2FD5"/>
    <w:rsid w:val="49B64211"/>
    <w:rsid w:val="49D85C1F"/>
    <w:rsid w:val="49F25388"/>
    <w:rsid w:val="49F6167F"/>
    <w:rsid w:val="4A064FA0"/>
    <w:rsid w:val="4A16615C"/>
    <w:rsid w:val="4A2B43F6"/>
    <w:rsid w:val="4A4424D7"/>
    <w:rsid w:val="4A6313CC"/>
    <w:rsid w:val="4AB82D0F"/>
    <w:rsid w:val="4AEB7664"/>
    <w:rsid w:val="4AFD7C19"/>
    <w:rsid w:val="4B0567D1"/>
    <w:rsid w:val="4B0E78A9"/>
    <w:rsid w:val="4B1B26BD"/>
    <w:rsid w:val="4B236AAE"/>
    <w:rsid w:val="4B306168"/>
    <w:rsid w:val="4B425E9C"/>
    <w:rsid w:val="4B555BCF"/>
    <w:rsid w:val="4B707271"/>
    <w:rsid w:val="4B7507FF"/>
    <w:rsid w:val="4B9739F7"/>
    <w:rsid w:val="4BE72211"/>
    <w:rsid w:val="4BEE2503"/>
    <w:rsid w:val="4C245A30"/>
    <w:rsid w:val="4C3A4F0D"/>
    <w:rsid w:val="4C6C1422"/>
    <w:rsid w:val="4C7D53DD"/>
    <w:rsid w:val="4CA71F8A"/>
    <w:rsid w:val="4CB45444"/>
    <w:rsid w:val="4CB6685F"/>
    <w:rsid w:val="4CC367FE"/>
    <w:rsid w:val="4D077F3C"/>
    <w:rsid w:val="4D0D7B68"/>
    <w:rsid w:val="4D123355"/>
    <w:rsid w:val="4D2A3B31"/>
    <w:rsid w:val="4D312C52"/>
    <w:rsid w:val="4D905305"/>
    <w:rsid w:val="4D964A72"/>
    <w:rsid w:val="4D9C1254"/>
    <w:rsid w:val="4DB23688"/>
    <w:rsid w:val="4DFA2A5E"/>
    <w:rsid w:val="4E0062C6"/>
    <w:rsid w:val="4E6342B9"/>
    <w:rsid w:val="4E793892"/>
    <w:rsid w:val="4E800872"/>
    <w:rsid w:val="4E8D55B7"/>
    <w:rsid w:val="4EC569ED"/>
    <w:rsid w:val="4ED50EA1"/>
    <w:rsid w:val="4EEA4880"/>
    <w:rsid w:val="4EEC050C"/>
    <w:rsid w:val="4EF63225"/>
    <w:rsid w:val="4F104EC3"/>
    <w:rsid w:val="4F18038A"/>
    <w:rsid w:val="4F2644BE"/>
    <w:rsid w:val="4F3D0F3C"/>
    <w:rsid w:val="4F47354A"/>
    <w:rsid w:val="4F911C54"/>
    <w:rsid w:val="4FE625E0"/>
    <w:rsid w:val="5021480F"/>
    <w:rsid w:val="50615DCE"/>
    <w:rsid w:val="506509A4"/>
    <w:rsid w:val="50962ECB"/>
    <w:rsid w:val="50A42E38"/>
    <w:rsid w:val="50A4577F"/>
    <w:rsid w:val="50B250DE"/>
    <w:rsid w:val="50B73D1F"/>
    <w:rsid w:val="50BD5BC9"/>
    <w:rsid w:val="50C11EEE"/>
    <w:rsid w:val="50E97CFC"/>
    <w:rsid w:val="50FA4028"/>
    <w:rsid w:val="510D65B7"/>
    <w:rsid w:val="511157AB"/>
    <w:rsid w:val="511A0A84"/>
    <w:rsid w:val="511F2F07"/>
    <w:rsid w:val="512B5A23"/>
    <w:rsid w:val="5142540C"/>
    <w:rsid w:val="518832C8"/>
    <w:rsid w:val="51A0432A"/>
    <w:rsid w:val="51A86090"/>
    <w:rsid w:val="51B7396D"/>
    <w:rsid w:val="51C0648C"/>
    <w:rsid w:val="51CC4711"/>
    <w:rsid w:val="51F7178E"/>
    <w:rsid w:val="51FF3797"/>
    <w:rsid w:val="52020133"/>
    <w:rsid w:val="52147599"/>
    <w:rsid w:val="522E4CC3"/>
    <w:rsid w:val="5244713B"/>
    <w:rsid w:val="52615633"/>
    <w:rsid w:val="5296022B"/>
    <w:rsid w:val="52977FD4"/>
    <w:rsid w:val="52A25790"/>
    <w:rsid w:val="52A96B6F"/>
    <w:rsid w:val="52AC2512"/>
    <w:rsid w:val="52B45975"/>
    <w:rsid w:val="52D94AA4"/>
    <w:rsid w:val="52EA3A62"/>
    <w:rsid w:val="52F50BB8"/>
    <w:rsid w:val="53097272"/>
    <w:rsid w:val="532742F5"/>
    <w:rsid w:val="53544462"/>
    <w:rsid w:val="536966BB"/>
    <w:rsid w:val="536B49B0"/>
    <w:rsid w:val="53794425"/>
    <w:rsid w:val="538A68DA"/>
    <w:rsid w:val="5397158E"/>
    <w:rsid w:val="54013861"/>
    <w:rsid w:val="54203CF6"/>
    <w:rsid w:val="54487265"/>
    <w:rsid w:val="544D6070"/>
    <w:rsid w:val="54605E1E"/>
    <w:rsid w:val="54790B80"/>
    <w:rsid w:val="54855F02"/>
    <w:rsid w:val="54B3506A"/>
    <w:rsid w:val="54CA0D16"/>
    <w:rsid w:val="54D9517B"/>
    <w:rsid w:val="54DD4057"/>
    <w:rsid w:val="54E7490F"/>
    <w:rsid w:val="550764A4"/>
    <w:rsid w:val="550B2BF6"/>
    <w:rsid w:val="55101466"/>
    <w:rsid w:val="55214EB5"/>
    <w:rsid w:val="55364EFD"/>
    <w:rsid w:val="555D4828"/>
    <w:rsid w:val="557A4C8B"/>
    <w:rsid w:val="558931E1"/>
    <w:rsid w:val="55923347"/>
    <w:rsid w:val="55925180"/>
    <w:rsid w:val="55983B1B"/>
    <w:rsid w:val="55A8376B"/>
    <w:rsid w:val="55DC29B6"/>
    <w:rsid w:val="55DD4241"/>
    <w:rsid w:val="561B0185"/>
    <w:rsid w:val="564725B8"/>
    <w:rsid w:val="56521E02"/>
    <w:rsid w:val="566B6D1E"/>
    <w:rsid w:val="566F6A65"/>
    <w:rsid w:val="56814847"/>
    <w:rsid w:val="56867584"/>
    <w:rsid w:val="56A417B8"/>
    <w:rsid w:val="56B04601"/>
    <w:rsid w:val="57032A2C"/>
    <w:rsid w:val="570F5219"/>
    <w:rsid w:val="571E59B2"/>
    <w:rsid w:val="57437223"/>
    <w:rsid w:val="575D12B5"/>
    <w:rsid w:val="57610A87"/>
    <w:rsid w:val="577B1140"/>
    <w:rsid w:val="577B7F21"/>
    <w:rsid w:val="577F181B"/>
    <w:rsid w:val="57921984"/>
    <w:rsid w:val="579737F0"/>
    <w:rsid w:val="57A429A4"/>
    <w:rsid w:val="57AB7B30"/>
    <w:rsid w:val="57AF5251"/>
    <w:rsid w:val="57B26373"/>
    <w:rsid w:val="57B63F04"/>
    <w:rsid w:val="57CD20C2"/>
    <w:rsid w:val="57D675AB"/>
    <w:rsid w:val="57D95FDD"/>
    <w:rsid w:val="57F30C49"/>
    <w:rsid w:val="58044C05"/>
    <w:rsid w:val="58210955"/>
    <w:rsid w:val="58917D2F"/>
    <w:rsid w:val="5894085C"/>
    <w:rsid w:val="58AE4F0C"/>
    <w:rsid w:val="58B02697"/>
    <w:rsid w:val="58B06B3A"/>
    <w:rsid w:val="58B33F35"/>
    <w:rsid w:val="58B85899"/>
    <w:rsid w:val="58E363A9"/>
    <w:rsid w:val="59162E41"/>
    <w:rsid w:val="595E1678"/>
    <w:rsid w:val="596D5BD4"/>
    <w:rsid w:val="597E3DD8"/>
    <w:rsid w:val="59896FA9"/>
    <w:rsid w:val="59A26483"/>
    <w:rsid w:val="59A32035"/>
    <w:rsid w:val="59B85CA7"/>
    <w:rsid w:val="59F80043"/>
    <w:rsid w:val="5A09252F"/>
    <w:rsid w:val="5A0B2778"/>
    <w:rsid w:val="5A2A7C7B"/>
    <w:rsid w:val="5A2C0443"/>
    <w:rsid w:val="5A3E2560"/>
    <w:rsid w:val="5A445628"/>
    <w:rsid w:val="5A5D3B6E"/>
    <w:rsid w:val="5A637A76"/>
    <w:rsid w:val="5A6D33BA"/>
    <w:rsid w:val="5A792B1F"/>
    <w:rsid w:val="5A874767"/>
    <w:rsid w:val="5A937721"/>
    <w:rsid w:val="5A987886"/>
    <w:rsid w:val="5AAD6F28"/>
    <w:rsid w:val="5AD63A24"/>
    <w:rsid w:val="5ADE798F"/>
    <w:rsid w:val="5AF002EE"/>
    <w:rsid w:val="5B1909C7"/>
    <w:rsid w:val="5B2E1A1D"/>
    <w:rsid w:val="5B815DA7"/>
    <w:rsid w:val="5B843A1C"/>
    <w:rsid w:val="5B873E3F"/>
    <w:rsid w:val="5BCB3758"/>
    <w:rsid w:val="5C02690E"/>
    <w:rsid w:val="5C196DA7"/>
    <w:rsid w:val="5C2A048C"/>
    <w:rsid w:val="5C2D0C63"/>
    <w:rsid w:val="5C80234E"/>
    <w:rsid w:val="5C8A680C"/>
    <w:rsid w:val="5C904CB9"/>
    <w:rsid w:val="5CA644DC"/>
    <w:rsid w:val="5CBE6B97"/>
    <w:rsid w:val="5CDE3C1A"/>
    <w:rsid w:val="5CFD5EAA"/>
    <w:rsid w:val="5D016F91"/>
    <w:rsid w:val="5D094A6B"/>
    <w:rsid w:val="5D0C4701"/>
    <w:rsid w:val="5D0F0395"/>
    <w:rsid w:val="5D221076"/>
    <w:rsid w:val="5D397964"/>
    <w:rsid w:val="5D5A391C"/>
    <w:rsid w:val="5D5F10C0"/>
    <w:rsid w:val="5D891B7B"/>
    <w:rsid w:val="5D997B9D"/>
    <w:rsid w:val="5DAD38EE"/>
    <w:rsid w:val="5E006862"/>
    <w:rsid w:val="5E0207B9"/>
    <w:rsid w:val="5E0B6773"/>
    <w:rsid w:val="5E1834A1"/>
    <w:rsid w:val="5E261785"/>
    <w:rsid w:val="5E266C2D"/>
    <w:rsid w:val="5E4A7017"/>
    <w:rsid w:val="5E552BBA"/>
    <w:rsid w:val="5E611C10"/>
    <w:rsid w:val="5E8545C5"/>
    <w:rsid w:val="5E9112E5"/>
    <w:rsid w:val="5ED25D4D"/>
    <w:rsid w:val="5EDF0F7C"/>
    <w:rsid w:val="5EFC7377"/>
    <w:rsid w:val="5F005345"/>
    <w:rsid w:val="5F04138D"/>
    <w:rsid w:val="5F06174D"/>
    <w:rsid w:val="5F13397F"/>
    <w:rsid w:val="5F3A3602"/>
    <w:rsid w:val="5F3C4C84"/>
    <w:rsid w:val="5F6277C6"/>
    <w:rsid w:val="5F6D0B1D"/>
    <w:rsid w:val="5F8D0B82"/>
    <w:rsid w:val="5FA42829"/>
    <w:rsid w:val="5FCC5339"/>
    <w:rsid w:val="5FDE7B88"/>
    <w:rsid w:val="5FE34A5B"/>
    <w:rsid w:val="5FFE1E36"/>
    <w:rsid w:val="60232584"/>
    <w:rsid w:val="607330CE"/>
    <w:rsid w:val="607C75A8"/>
    <w:rsid w:val="60825176"/>
    <w:rsid w:val="609F2AC4"/>
    <w:rsid w:val="60AF1486"/>
    <w:rsid w:val="60FA2EE8"/>
    <w:rsid w:val="61054A27"/>
    <w:rsid w:val="610712C2"/>
    <w:rsid w:val="610A52BC"/>
    <w:rsid w:val="611D2366"/>
    <w:rsid w:val="61421856"/>
    <w:rsid w:val="615227C4"/>
    <w:rsid w:val="61641C99"/>
    <w:rsid w:val="61654E3F"/>
    <w:rsid w:val="6182292A"/>
    <w:rsid w:val="619F7F92"/>
    <w:rsid w:val="61A82AA5"/>
    <w:rsid w:val="61E909C7"/>
    <w:rsid w:val="61E93A54"/>
    <w:rsid w:val="61F57638"/>
    <w:rsid w:val="61F94C26"/>
    <w:rsid w:val="61FA4982"/>
    <w:rsid w:val="62000E56"/>
    <w:rsid w:val="624F3E49"/>
    <w:rsid w:val="62507252"/>
    <w:rsid w:val="62632286"/>
    <w:rsid w:val="62885958"/>
    <w:rsid w:val="628D57F7"/>
    <w:rsid w:val="629552F2"/>
    <w:rsid w:val="62DE6052"/>
    <w:rsid w:val="62E47B0C"/>
    <w:rsid w:val="62F40B65"/>
    <w:rsid w:val="62FC2CFE"/>
    <w:rsid w:val="63024505"/>
    <w:rsid w:val="6315263E"/>
    <w:rsid w:val="632223E3"/>
    <w:rsid w:val="633D5518"/>
    <w:rsid w:val="635B1DB5"/>
    <w:rsid w:val="636724EC"/>
    <w:rsid w:val="63711FED"/>
    <w:rsid w:val="63880DDC"/>
    <w:rsid w:val="638D750D"/>
    <w:rsid w:val="639540C8"/>
    <w:rsid w:val="63AC6CC0"/>
    <w:rsid w:val="63B15515"/>
    <w:rsid w:val="63BC0727"/>
    <w:rsid w:val="63BF738F"/>
    <w:rsid w:val="64055776"/>
    <w:rsid w:val="64240056"/>
    <w:rsid w:val="64364A68"/>
    <w:rsid w:val="643E143A"/>
    <w:rsid w:val="6472739A"/>
    <w:rsid w:val="64774C83"/>
    <w:rsid w:val="648B6EEF"/>
    <w:rsid w:val="64C158BF"/>
    <w:rsid w:val="64CE2EAA"/>
    <w:rsid w:val="64E9731B"/>
    <w:rsid w:val="653C3090"/>
    <w:rsid w:val="656211BC"/>
    <w:rsid w:val="65767CBF"/>
    <w:rsid w:val="65854376"/>
    <w:rsid w:val="658767BE"/>
    <w:rsid w:val="65892531"/>
    <w:rsid w:val="65D93276"/>
    <w:rsid w:val="66195831"/>
    <w:rsid w:val="662E75B1"/>
    <w:rsid w:val="66342C2E"/>
    <w:rsid w:val="663E784C"/>
    <w:rsid w:val="668B6A45"/>
    <w:rsid w:val="66B6356E"/>
    <w:rsid w:val="66CA0DC7"/>
    <w:rsid w:val="67157571"/>
    <w:rsid w:val="672F3F24"/>
    <w:rsid w:val="673E055F"/>
    <w:rsid w:val="67551CE3"/>
    <w:rsid w:val="679B231C"/>
    <w:rsid w:val="67A22552"/>
    <w:rsid w:val="67B22DCC"/>
    <w:rsid w:val="67BE71AA"/>
    <w:rsid w:val="67D90273"/>
    <w:rsid w:val="67DE5875"/>
    <w:rsid w:val="67E55852"/>
    <w:rsid w:val="67EB1AB4"/>
    <w:rsid w:val="67F87BB6"/>
    <w:rsid w:val="67FA1285"/>
    <w:rsid w:val="68507F81"/>
    <w:rsid w:val="68551F4F"/>
    <w:rsid w:val="686E384F"/>
    <w:rsid w:val="68774F7F"/>
    <w:rsid w:val="687C10C9"/>
    <w:rsid w:val="68840C16"/>
    <w:rsid w:val="68876EFB"/>
    <w:rsid w:val="68884654"/>
    <w:rsid w:val="689915C3"/>
    <w:rsid w:val="689F444F"/>
    <w:rsid w:val="68B96DBB"/>
    <w:rsid w:val="68CA2805"/>
    <w:rsid w:val="68E937A3"/>
    <w:rsid w:val="693E15D3"/>
    <w:rsid w:val="69627681"/>
    <w:rsid w:val="6977531D"/>
    <w:rsid w:val="69822647"/>
    <w:rsid w:val="69BE2739"/>
    <w:rsid w:val="69C85C24"/>
    <w:rsid w:val="69CC2BFF"/>
    <w:rsid w:val="69FD55B8"/>
    <w:rsid w:val="6A0B1C62"/>
    <w:rsid w:val="6A2406C8"/>
    <w:rsid w:val="6A294057"/>
    <w:rsid w:val="6A4160F7"/>
    <w:rsid w:val="6A9E6E89"/>
    <w:rsid w:val="6ADE0BD1"/>
    <w:rsid w:val="6AE96859"/>
    <w:rsid w:val="6B147746"/>
    <w:rsid w:val="6B24787C"/>
    <w:rsid w:val="6B380593"/>
    <w:rsid w:val="6B4A616F"/>
    <w:rsid w:val="6B573233"/>
    <w:rsid w:val="6B5B6274"/>
    <w:rsid w:val="6B601CFA"/>
    <w:rsid w:val="6B935D53"/>
    <w:rsid w:val="6B9F1A7E"/>
    <w:rsid w:val="6C196F71"/>
    <w:rsid w:val="6C226FCB"/>
    <w:rsid w:val="6C2A0FC0"/>
    <w:rsid w:val="6C31226F"/>
    <w:rsid w:val="6C552F0B"/>
    <w:rsid w:val="6C624D29"/>
    <w:rsid w:val="6C631E53"/>
    <w:rsid w:val="6C8C67B7"/>
    <w:rsid w:val="6C9D744C"/>
    <w:rsid w:val="6CAD4C26"/>
    <w:rsid w:val="6D167928"/>
    <w:rsid w:val="6D1D0745"/>
    <w:rsid w:val="6D26299B"/>
    <w:rsid w:val="6D4772EC"/>
    <w:rsid w:val="6D4C69DA"/>
    <w:rsid w:val="6D6249EE"/>
    <w:rsid w:val="6D637B9F"/>
    <w:rsid w:val="6D714693"/>
    <w:rsid w:val="6D8A5754"/>
    <w:rsid w:val="6D9078AF"/>
    <w:rsid w:val="6DAA3FEF"/>
    <w:rsid w:val="6DBD51C9"/>
    <w:rsid w:val="6DC0172B"/>
    <w:rsid w:val="6DCB690C"/>
    <w:rsid w:val="6DD41A5B"/>
    <w:rsid w:val="6DE468C8"/>
    <w:rsid w:val="6DF43C2E"/>
    <w:rsid w:val="6DF51CA3"/>
    <w:rsid w:val="6E1E719C"/>
    <w:rsid w:val="6E8335BD"/>
    <w:rsid w:val="6E8E12EF"/>
    <w:rsid w:val="6E972936"/>
    <w:rsid w:val="6EA2087C"/>
    <w:rsid w:val="6EB65595"/>
    <w:rsid w:val="6ED446C5"/>
    <w:rsid w:val="6F1A6664"/>
    <w:rsid w:val="6F2A7D94"/>
    <w:rsid w:val="6F8331F1"/>
    <w:rsid w:val="6FAE1A09"/>
    <w:rsid w:val="6FD75BF8"/>
    <w:rsid w:val="707723D0"/>
    <w:rsid w:val="70783BE2"/>
    <w:rsid w:val="708466AB"/>
    <w:rsid w:val="70DF1913"/>
    <w:rsid w:val="70F5661B"/>
    <w:rsid w:val="70FB773A"/>
    <w:rsid w:val="7100460E"/>
    <w:rsid w:val="71360107"/>
    <w:rsid w:val="713B688E"/>
    <w:rsid w:val="71D43752"/>
    <w:rsid w:val="71DB032D"/>
    <w:rsid w:val="71E74F23"/>
    <w:rsid w:val="71F1796A"/>
    <w:rsid w:val="72154626"/>
    <w:rsid w:val="72262B5D"/>
    <w:rsid w:val="72283FF7"/>
    <w:rsid w:val="722E7212"/>
    <w:rsid w:val="723A0474"/>
    <w:rsid w:val="724B4950"/>
    <w:rsid w:val="725923E4"/>
    <w:rsid w:val="726B7B33"/>
    <w:rsid w:val="72864BF7"/>
    <w:rsid w:val="729023FC"/>
    <w:rsid w:val="729130E1"/>
    <w:rsid w:val="72DE511D"/>
    <w:rsid w:val="732469F1"/>
    <w:rsid w:val="739F5A46"/>
    <w:rsid w:val="73C0646E"/>
    <w:rsid w:val="73E613BB"/>
    <w:rsid w:val="73F676A0"/>
    <w:rsid w:val="742222F5"/>
    <w:rsid w:val="74237BDB"/>
    <w:rsid w:val="74476126"/>
    <w:rsid w:val="74706664"/>
    <w:rsid w:val="747F3682"/>
    <w:rsid w:val="748C5DDE"/>
    <w:rsid w:val="74951ED7"/>
    <w:rsid w:val="749C4185"/>
    <w:rsid w:val="74CD2C99"/>
    <w:rsid w:val="75067759"/>
    <w:rsid w:val="752E2E69"/>
    <w:rsid w:val="752E6DCD"/>
    <w:rsid w:val="7551380D"/>
    <w:rsid w:val="75523ECB"/>
    <w:rsid w:val="75600BE5"/>
    <w:rsid w:val="7564475C"/>
    <w:rsid w:val="757C7E77"/>
    <w:rsid w:val="7583797F"/>
    <w:rsid w:val="75970A0E"/>
    <w:rsid w:val="759E3629"/>
    <w:rsid w:val="75D20F1D"/>
    <w:rsid w:val="75DA2C18"/>
    <w:rsid w:val="75F54412"/>
    <w:rsid w:val="75F96FD3"/>
    <w:rsid w:val="761072A4"/>
    <w:rsid w:val="761D08E0"/>
    <w:rsid w:val="7621652A"/>
    <w:rsid w:val="762322A2"/>
    <w:rsid w:val="762D4ECF"/>
    <w:rsid w:val="765D347C"/>
    <w:rsid w:val="76826699"/>
    <w:rsid w:val="76B15B00"/>
    <w:rsid w:val="76C87133"/>
    <w:rsid w:val="76CD08D5"/>
    <w:rsid w:val="76DB4B92"/>
    <w:rsid w:val="77052AA4"/>
    <w:rsid w:val="77136511"/>
    <w:rsid w:val="77340A39"/>
    <w:rsid w:val="77351FD0"/>
    <w:rsid w:val="77472422"/>
    <w:rsid w:val="776E579F"/>
    <w:rsid w:val="777F31F2"/>
    <w:rsid w:val="778C1A27"/>
    <w:rsid w:val="77D1700D"/>
    <w:rsid w:val="77DD1CAC"/>
    <w:rsid w:val="77E87688"/>
    <w:rsid w:val="77EC04CC"/>
    <w:rsid w:val="782D11B6"/>
    <w:rsid w:val="78544995"/>
    <w:rsid w:val="78775729"/>
    <w:rsid w:val="78A42DB0"/>
    <w:rsid w:val="78A656AB"/>
    <w:rsid w:val="78B2245C"/>
    <w:rsid w:val="78E172CC"/>
    <w:rsid w:val="78EA1D1F"/>
    <w:rsid w:val="78FB12B4"/>
    <w:rsid w:val="7904172F"/>
    <w:rsid w:val="790F7E27"/>
    <w:rsid w:val="791B5115"/>
    <w:rsid w:val="791D56CF"/>
    <w:rsid w:val="79294073"/>
    <w:rsid w:val="792A231A"/>
    <w:rsid w:val="79316829"/>
    <w:rsid w:val="7941738D"/>
    <w:rsid w:val="79440FF5"/>
    <w:rsid w:val="797E66A9"/>
    <w:rsid w:val="79823784"/>
    <w:rsid w:val="79861B33"/>
    <w:rsid w:val="79935991"/>
    <w:rsid w:val="79A97383"/>
    <w:rsid w:val="79B73E5C"/>
    <w:rsid w:val="79DF2D87"/>
    <w:rsid w:val="79E27E8B"/>
    <w:rsid w:val="79EB1329"/>
    <w:rsid w:val="79F850CE"/>
    <w:rsid w:val="79FD443C"/>
    <w:rsid w:val="7A1D1975"/>
    <w:rsid w:val="7A28257D"/>
    <w:rsid w:val="7A340B5A"/>
    <w:rsid w:val="7A3E5150"/>
    <w:rsid w:val="7A4670D6"/>
    <w:rsid w:val="7A534B63"/>
    <w:rsid w:val="7A5471AB"/>
    <w:rsid w:val="7A590988"/>
    <w:rsid w:val="7A615382"/>
    <w:rsid w:val="7A67303B"/>
    <w:rsid w:val="7A960648"/>
    <w:rsid w:val="7AAB1D04"/>
    <w:rsid w:val="7AB61937"/>
    <w:rsid w:val="7ABA4368"/>
    <w:rsid w:val="7AD05746"/>
    <w:rsid w:val="7B014439"/>
    <w:rsid w:val="7B257FFD"/>
    <w:rsid w:val="7B343476"/>
    <w:rsid w:val="7B4D16C2"/>
    <w:rsid w:val="7B5A2978"/>
    <w:rsid w:val="7B5A7E4C"/>
    <w:rsid w:val="7B667AF9"/>
    <w:rsid w:val="7B7468F8"/>
    <w:rsid w:val="7BCA5401"/>
    <w:rsid w:val="7BDC361F"/>
    <w:rsid w:val="7BEE0103"/>
    <w:rsid w:val="7C09018C"/>
    <w:rsid w:val="7C0A0FE4"/>
    <w:rsid w:val="7C254906"/>
    <w:rsid w:val="7C374CF9"/>
    <w:rsid w:val="7C590818"/>
    <w:rsid w:val="7C710688"/>
    <w:rsid w:val="7C7C10F6"/>
    <w:rsid w:val="7C853BEA"/>
    <w:rsid w:val="7C881368"/>
    <w:rsid w:val="7C9D7FDE"/>
    <w:rsid w:val="7CA4541E"/>
    <w:rsid w:val="7CE27788"/>
    <w:rsid w:val="7D0C32F1"/>
    <w:rsid w:val="7D0F408D"/>
    <w:rsid w:val="7D491C6C"/>
    <w:rsid w:val="7D5429C0"/>
    <w:rsid w:val="7D592A4D"/>
    <w:rsid w:val="7D6E6D43"/>
    <w:rsid w:val="7DB57A34"/>
    <w:rsid w:val="7DCF4ABD"/>
    <w:rsid w:val="7DE60973"/>
    <w:rsid w:val="7DE84174"/>
    <w:rsid w:val="7DEF0916"/>
    <w:rsid w:val="7E09450F"/>
    <w:rsid w:val="7E0C6649"/>
    <w:rsid w:val="7E1E5218"/>
    <w:rsid w:val="7E551467"/>
    <w:rsid w:val="7E9A4E1F"/>
    <w:rsid w:val="7EA7723A"/>
    <w:rsid w:val="7EC87E8B"/>
    <w:rsid w:val="7ED20D09"/>
    <w:rsid w:val="7ED6381B"/>
    <w:rsid w:val="7EE84089"/>
    <w:rsid w:val="7EF56FBB"/>
    <w:rsid w:val="7F0768EB"/>
    <w:rsid w:val="7F143BEC"/>
    <w:rsid w:val="7F715AF2"/>
    <w:rsid w:val="7F886E69"/>
    <w:rsid w:val="7FF50CD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8"/>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8"/>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3"/>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6">
    <w:name w:val="Default Paragraph Font"/>
    <w:autoRedefine/>
    <w:semiHidden/>
    <w:unhideWhenUsed/>
    <w:qFormat/>
    <w:uiPriority w:val="1"/>
  </w:style>
  <w:style w:type="table" w:default="1" w:styleId="69">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88"/>
    <w:autoRedefine/>
    <w:qFormat/>
    <w:uiPriority w:val="99"/>
    <w:pPr>
      <w:tabs>
        <w:tab w:val="center" w:pos="4153"/>
        <w:tab w:val="right" w:pos="8306"/>
      </w:tabs>
      <w:snapToGrid w:val="0"/>
      <w:jc w:val="left"/>
    </w:pPr>
    <w:rPr>
      <w:sz w:val="18"/>
      <w:szCs w:val="18"/>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table of authorities"/>
    <w:basedOn w:val="1"/>
    <w:next w:val="1"/>
    <w:autoRedefine/>
    <w:qFormat/>
    <w:uiPriority w:val="0"/>
    <w:pPr>
      <w:ind w:left="420" w:leftChars="200"/>
    </w:pPr>
    <w:rPr>
      <w:rFonts w:eastAsia="宋体" w:cs="Times New Roman"/>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next w:val="17"/>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Balloon Text"/>
    <w:basedOn w:val="1"/>
    <w:next w:val="18"/>
    <w:link w:val="193"/>
    <w:autoRedefine/>
    <w:qFormat/>
    <w:uiPriority w:val="0"/>
    <w:rPr>
      <w:sz w:val="18"/>
      <w:szCs w:val="18"/>
    </w:rPr>
  </w:style>
  <w:style w:type="paragraph" w:styleId="18">
    <w:name w:val="toc 8"/>
    <w:basedOn w:val="1"/>
    <w:next w:val="1"/>
    <w:autoRedefine/>
    <w:qFormat/>
    <w:uiPriority w:val="0"/>
    <w:pPr>
      <w:ind w:left="2940" w:leftChars="1400"/>
    </w:pPr>
  </w:style>
  <w:style w:type="paragraph" w:styleId="19">
    <w:name w:val="Normal Indent"/>
    <w:basedOn w:val="1"/>
    <w:next w:val="1"/>
    <w:link w:val="198"/>
    <w:autoRedefine/>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link w:val="234"/>
    <w:autoRedefine/>
    <w:qFormat/>
    <w:uiPriority w:val="0"/>
    <w:rPr>
      <w:b/>
      <w:sz w:val="28"/>
      <w:szCs w:val="20"/>
    </w:rPr>
  </w:style>
  <w:style w:type="paragraph" w:styleId="21">
    <w:name w:val="index 5"/>
    <w:basedOn w:val="1"/>
    <w:next w:val="1"/>
    <w:autoRedefine/>
    <w:qFormat/>
    <w:uiPriority w:val="0"/>
    <w:pPr>
      <w:adjustRightInd/>
      <w:ind w:left="800" w:leftChars="800" w:firstLine="200" w:firstLineChars="200"/>
    </w:pPr>
  </w:style>
  <w:style w:type="paragraph" w:styleId="22">
    <w:name w:val="Document Map"/>
    <w:basedOn w:val="1"/>
    <w:link w:val="207"/>
    <w:autoRedefine/>
    <w:qFormat/>
    <w:uiPriority w:val="0"/>
    <w:pPr>
      <w:shd w:val="clear" w:color="auto" w:fill="000080"/>
    </w:pPr>
  </w:style>
  <w:style w:type="paragraph" w:styleId="23">
    <w:name w:val="annotation text"/>
    <w:basedOn w:val="1"/>
    <w:next w:val="24"/>
    <w:link w:val="349"/>
    <w:autoRedefine/>
    <w:qFormat/>
    <w:uiPriority w:val="99"/>
    <w:pPr>
      <w:jc w:val="left"/>
    </w:pPr>
  </w:style>
  <w:style w:type="paragraph" w:customStyle="1" w:styleId="24">
    <w:name w:val="样式6"/>
    <w:basedOn w:val="25"/>
    <w:next w:val="27"/>
    <w:autoRedefine/>
    <w:qFormat/>
    <w:uiPriority w:val="0"/>
    <w:pPr>
      <w:spacing w:line="460" w:lineRule="exact"/>
      <w:outlineLvl w:val="2"/>
    </w:pPr>
    <w:rPr>
      <w:rFonts w:ascii="FangSong_GB2312" w:hAnsi="宋体" w:eastAsia="FangSong_GB2312"/>
      <w:b/>
      <w:bCs/>
      <w:sz w:val="24"/>
      <w:szCs w:val="24"/>
    </w:rPr>
  </w:style>
  <w:style w:type="paragraph" w:styleId="25">
    <w:name w:val="Plain Text"/>
    <w:basedOn w:val="1"/>
    <w:next w:val="26"/>
    <w:link w:val="131"/>
    <w:autoRedefine/>
    <w:qFormat/>
    <w:uiPriority w:val="0"/>
    <w:rPr>
      <w:rFonts w:ascii="宋体" w:hAnsi="Courier New" w:cs="Arial"/>
      <w:snapToGrid w:val="0"/>
      <w:szCs w:val="21"/>
    </w:rPr>
  </w:style>
  <w:style w:type="paragraph" w:styleId="26">
    <w:name w:val="toc 2"/>
    <w:basedOn w:val="1"/>
    <w:next w:val="1"/>
    <w:autoRedefine/>
    <w:qFormat/>
    <w:uiPriority w:val="0"/>
    <w:pPr>
      <w:ind w:left="420" w:leftChars="200"/>
    </w:pPr>
  </w:style>
  <w:style w:type="paragraph" w:styleId="27">
    <w:name w:val="Body Text 2"/>
    <w:basedOn w:val="1"/>
    <w:next w:val="28"/>
    <w:link w:val="307"/>
    <w:autoRedefine/>
    <w:qFormat/>
    <w:uiPriority w:val="0"/>
    <w:pPr>
      <w:spacing w:after="120" w:line="480" w:lineRule="auto"/>
    </w:pPr>
  </w:style>
  <w:style w:type="paragraph" w:customStyle="1" w:styleId="28">
    <w:name w:val="默认段落字体 Para Char"/>
    <w:basedOn w:val="1"/>
    <w:next w:val="29"/>
    <w:autoRedefine/>
    <w:qFormat/>
    <w:uiPriority w:val="0"/>
    <w:rPr>
      <w:rFonts w:ascii="Tahoma" w:hAnsi="Tahoma"/>
      <w:sz w:val="24"/>
      <w:szCs w:val="20"/>
    </w:rPr>
  </w:style>
  <w:style w:type="paragraph" w:customStyle="1" w:styleId="29">
    <w:name w:val="Char Char Char Char Char Char Char Char Char Char Char Char Char Char Char Char"/>
    <w:basedOn w:val="1"/>
    <w:next w:val="30"/>
    <w:autoRedefine/>
    <w:qFormat/>
    <w:uiPriority w:val="0"/>
  </w:style>
  <w:style w:type="paragraph" w:customStyle="1" w:styleId="30">
    <w:name w:val="列出段落1"/>
    <w:basedOn w:val="1"/>
    <w:next w:val="31"/>
    <w:autoRedefine/>
    <w:qFormat/>
    <w:uiPriority w:val="0"/>
    <w:pPr>
      <w:adjustRightInd/>
      <w:spacing w:line="360" w:lineRule="auto"/>
      <w:ind w:firstLine="420" w:firstLineChars="200"/>
    </w:pPr>
    <w:rPr>
      <w:rFonts w:ascii="Calibri" w:hAnsi="Calibri"/>
      <w:sz w:val="24"/>
      <w:szCs w:val="22"/>
    </w:rPr>
  </w:style>
  <w:style w:type="paragraph" w:customStyle="1" w:styleId="31">
    <w:name w:val="Char"/>
    <w:basedOn w:val="1"/>
    <w:next w:val="32"/>
    <w:autoRedefine/>
    <w:qFormat/>
    <w:uiPriority w:val="0"/>
    <w:rPr>
      <w:rFonts w:ascii="FangSong_GB2312" w:eastAsia="FangSong_GB2312"/>
      <w:b/>
      <w:sz w:val="32"/>
      <w:szCs w:val="32"/>
    </w:rPr>
  </w:style>
  <w:style w:type="paragraph" w:customStyle="1" w:styleId="32">
    <w:name w:val="p0"/>
    <w:basedOn w:val="1"/>
    <w:autoRedefine/>
    <w:qFormat/>
    <w:uiPriority w:val="0"/>
    <w:pPr>
      <w:widowControl/>
      <w:adjustRightInd/>
    </w:pPr>
    <w:rPr>
      <w:kern w:val="0"/>
      <w:szCs w:val="21"/>
    </w:rPr>
  </w:style>
  <w:style w:type="paragraph" w:styleId="33">
    <w:name w:val="Salutation"/>
    <w:basedOn w:val="1"/>
    <w:next w:val="1"/>
    <w:link w:val="303"/>
    <w:autoRedefine/>
    <w:qFormat/>
    <w:uiPriority w:val="0"/>
    <w:rPr>
      <w:rFonts w:ascii="FangSong_GB2312" w:eastAsia="FangSong_GB2312"/>
      <w:sz w:val="28"/>
      <w:szCs w:val="20"/>
    </w:rPr>
  </w:style>
  <w:style w:type="paragraph" w:styleId="34">
    <w:name w:val="Body Text 3"/>
    <w:basedOn w:val="1"/>
    <w:link w:val="335"/>
    <w:autoRedefine/>
    <w:qFormat/>
    <w:uiPriority w:val="0"/>
    <w:pPr>
      <w:jc w:val="center"/>
    </w:pPr>
    <w:rPr>
      <w:szCs w:val="20"/>
    </w:rPr>
  </w:style>
  <w:style w:type="paragraph" w:styleId="35">
    <w:name w:val="List Bullet 3"/>
    <w:basedOn w:val="1"/>
    <w:autoRedefine/>
    <w:unhideWhenUsed/>
    <w:qFormat/>
    <w:uiPriority w:val="0"/>
    <w:pPr>
      <w:snapToGrid w:val="0"/>
      <w:spacing w:line="360" w:lineRule="auto"/>
      <w:ind w:left="360" w:right="238" w:hanging="360"/>
      <w:contextualSpacing/>
    </w:pPr>
    <w:rPr>
      <w:sz w:val="24"/>
    </w:rPr>
  </w:style>
  <w:style w:type="paragraph" w:styleId="36">
    <w:name w:val="Body Text"/>
    <w:basedOn w:val="1"/>
    <w:next w:val="37"/>
    <w:link w:val="435"/>
    <w:autoRedefine/>
    <w:qFormat/>
    <w:uiPriority w:val="0"/>
    <w:pPr>
      <w:autoSpaceDE w:val="0"/>
      <w:autoSpaceDN w:val="0"/>
      <w:spacing w:line="360" w:lineRule="auto"/>
    </w:pPr>
    <w:rPr>
      <w:rFonts w:ascii="宋体" w:hAnsi="Arial" w:cs="Arial"/>
      <w:snapToGrid w:val="0"/>
      <w:sz w:val="24"/>
      <w:szCs w:val="21"/>
      <w:lang w:val="zh-CN"/>
    </w:rPr>
  </w:style>
  <w:style w:type="paragraph" w:styleId="37">
    <w:name w:val="Body Text First Indent"/>
    <w:basedOn w:val="36"/>
    <w:next w:val="1"/>
    <w:link w:val="326"/>
    <w:autoRedefine/>
    <w:qFormat/>
    <w:uiPriority w:val="0"/>
    <w:pPr>
      <w:ind w:firstLine="420"/>
    </w:pPr>
    <w:rPr>
      <w:rFonts w:hAnsi="Calibri" w:cs="Times New Roman"/>
      <w:snapToGrid/>
      <w:szCs w:val="20"/>
    </w:rPr>
  </w:style>
  <w:style w:type="paragraph" w:styleId="38">
    <w:name w:val="Body Text Indent"/>
    <w:basedOn w:val="1"/>
    <w:next w:val="1"/>
    <w:link w:val="270"/>
    <w:autoRedefine/>
    <w:qFormat/>
    <w:uiPriority w:val="0"/>
    <w:pPr>
      <w:spacing w:line="480" w:lineRule="exact"/>
      <w:ind w:firstLine="480" w:firstLineChars="200"/>
    </w:pPr>
    <w:rPr>
      <w:rFonts w:ascii="宋体" w:hAnsi="宋体"/>
      <w:sz w:val="24"/>
    </w:rPr>
  </w:style>
  <w:style w:type="paragraph" w:styleId="39">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40">
    <w:name w:val="List 2"/>
    <w:basedOn w:val="1"/>
    <w:autoRedefine/>
    <w:qFormat/>
    <w:uiPriority w:val="0"/>
    <w:pPr>
      <w:adjustRightInd/>
      <w:spacing w:line="360" w:lineRule="auto"/>
      <w:ind w:left="100" w:leftChars="200" w:hanging="200" w:hangingChars="200"/>
    </w:pPr>
    <w:rPr>
      <w:rFonts w:eastAsia="微软雅黑"/>
    </w:rPr>
  </w:style>
  <w:style w:type="paragraph" w:styleId="41">
    <w:name w:val="Block Text"/>
    <w:basedOn w:val="1"/>
    <w:autoRedefine/>
    <w:qFormat/>
    <w:uiPriority w:val="0"/>
    <w:pPr>
      <w:ind w:left="-359" w:leftChars="-171" w:right="-244" w:rightChars="-244" w:firstLine="501" w:firstLineChars="239"/>
    </w:pPr>
    <w:rPr>
      <w:rFonts w:ascii="FangSong_GB2312" w:eastAsia="FangSong_GB2312"/>
      <w:sz w:val="30"/>
      <w:szCs w:val="20"/>
    </w:rPr>
  </w:style>
  <w:style w:type="paragraph" w:styleId="4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43">
    <w:name w:val="HTML Address"/>
    <w:basedOn w:val="1"/>
    <w:link w:val="224"/>
    <w:autoRedefine/>
    <w:qFormat/>
    <w:uiPriority w:val="0"/>
    <w:pPr>
      <w:widowControl/>
      <w:adjustRightInd/>
      <w:ind w:firstLine="200" w:firstLineChars="200"/>
      <w:jc w:val="left"/>
    </w:pPr>
    <w:rPr>
      <w:rFonts w:ascii="宋体" w:hAnsi="宋体"/>
      <w:i/>
      <w:iCs/>
      <w:kern w:val="0"/>
      <w:sz w:val="24"/>
    </w:rPr>
  </w:style>
  <w:style w:type="paragraph" w:styleId="44">
    <w:name w:val="toc 5"/>
    <w:basedOn w:val="1"/>
    <w:next w:val="1"/>
    <w:autoRedefine/>
    <w:qFormat/>
    <w:uiPriority w:val="0"/>
    <w:pPr>
      <w:ind w:left="1680" w:leftChars="800"/>
    </w:pPr>
  </w:style>
  <w:style w:type="paragraph" w:styleId="4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4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47">
    <w:name w:val="Date"/>
    <w:basedOn w:val="1"/>
    <w:next w:val="1"/>
    <w:link w:val="186"/>
    <w:autoRedefine/>
    <w:qFormat/>
    <w:uiPriority w:val="0"/>
    <w:pPr>
      <w:ind w:left="100" w:leftChars="2500"/>
    </w:pPr>
    <w:rPr>
      <w:rFonts w:ascii="宋体"/>
      <w:sz w:val="24"/>
      <w:szCs w:val="21"/>
      <w:lang w:val="zh-CN"/>
    </w:rPr>
  </w:style>
  <w:style w:type="paragraph" w:styleId="48">
    <w:name w:val="Body Text Indent 2"/>
    <w:basedOn w:val="1"/>
    <w:link w:val="313"/>
    <w:autoRedefine/>
    <w:qFormat/>
    <w:uiPriority w:val="0"/>
    <w:pPr>
      <w:spacing w:line="360" w:lineRule="auto"/>
      <w:ind w:firstLine="601"/>
      <w:textAlignment w:val="baseline"/>
    </w:pPr>
    <w:rPr>
      <w:rFonts w:ascii="宋体"/>
      <w:kern w:val="0"/>
      <w:sz w:val="28"/>
      <w:szCs w:val="20"/>
    </w:rPr>
  </w:style>
  <w:style w:type="paragraph" w:styleId="49">
    <w:name w:val="endnote text"/>
    <w:basedOn w:val="1"/>
    <w:link w:val="931"/>
    <w:autoRedefine/>
    <w:qFormat/>
    <w:uiPriority w:val="0"/>
    <w:rPr>
      <w:lang w:val="zh-CN"/>
    </w:rPr>
  </w:style>
  <w:style w:type="paragraph" w:styleId="50">
    <w:name w:val="header"/>
    <w:basedOn w:val="1"/>
    <w:link w:val="397"/>
    <w:autoRedefine/>
    <w:qFormat/>
    <w:uiPriority w:val="99"/>
    <w:pPr>
      <w:pBdr>
        <w:bottom w:val="single" w:color="auto" w:sz="6" w:space="1"/>
      </w:pBdr>
      <w:tabs>
        <w:tab w:val="center" w:pos="4153"/>
        <w:tab w:val="right" w:pos="8306"/>
      </w:tabs>
      <w:snapToGrid w:val="0"/>
      <w:jc w:val="center"/>
    </w:pPr>
    <w:rPr>
      <w:sz w:val="18"/>
      <w:szCs w:val="18"/>
    </w:rPr>
  </w:style>
  <w:style w:type="paragraph" w:styleId="51">
    <w:name w:val="Signature"/>
    <w:basedOn w:val="1"/>
    <w:link w:val="350"/>
    <w:autoRedefine/>
    <w:qFormat/>
    <w:uiPriority w:val="0"/>
    <w:pPr>
      <w:spacing w:after="600" w:line="312" w:lineRule="atLeast"/>
      <w:jc w:val="center"/>
      <w:textAlignment w:val="baseline"/>
    </w:pPr>
    <w:rPr>
      <w:rFonts w:eastAsia="FangSong_GB2312"/>
      <w:kern w:val="0"/>
      <w:sz w:val="24"/>
      <w:szCs w:val="20"/>
    </w:rPr>
  </w:style>
  <w:style w:type="paragraph" w:styleId="52">
    <w:name w:val="toc 1"/>
    <w:basedOn w:val="1"/>
    <w:next w:val="1"/>
    <w:autoRedefine/>
    <w:qFormat/>
    <w:uiPriority w:val="0"/>
  </w:style>
  <w:style w:type="paragraph" w:styleId="53">
    <w:name w:val="toc 4"/>
    <w:basedOn w:val="1"/>
    <w:next w:val="1"/>
    <w:autoRedefine/>
    <w:qFormat/>
    <w:uiPriority w:val="0"/>
    <w:pPr>
      <w:ind w:left="1260" w:leftChars="600"/>
    </w:pPr>
  </w:style>
  <w:style w:type="paragraph" w:styleId="54">
    <w:name w:val="index heading"/>
    <w:basedOn w:val="1"/>
    <w:next w:val="55"/>
    <w:autoRedefine/>
    <w:qFormat/>
    <w:uiPriority w:val="0"/>
    <w:pPr>
      <w:adjustRightInd/>
      <w:ind w:firstLine="200" w:firstLineChars="200"/>
    </w:pPr>
  </w:style>
  <w:style w:type="paragraph" w:styleId="55">
    <w:name w:val="index 1"/>
    <w:basedOn w:val="1"/>
    <w:next w:val="1"/>
    <w:autoRedefine/>
    <w:qFormat/>
    <w:uiPriority w:val="0"/>
    <w:pPr>
      <w:adjustRightInd/>
      <w:spacing w:line="360" w:lineRule="auto"/>
      <w:ind w:firstLine="200" w:firstLineChars="200"/>
      <w:jc w:val="center"/>
    </w:pPr>
    <w:rPr>
      <w:sz w:val="24"/>
      <w:szCs w:val="20"/>
    </w:rPr>
  </w:style>
  <w:style w:type="paragraph" w:styleId="56">
    <w:name w:val="Subtitle"/>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7">
    <w:name w:val="List Number 5"/>
    <w:basedOn w:val="1"/>
    <w:autoRedefine/>
    <w:qFormat/>
    <w:uiPriority w:val="0"/>
    <w:pPr>
      <w:tabs>
        <w:tab w:val="left" w:pos="902"/>
      </w:tabs>
      <w:adjustRightInd/>
      <w:spacing w:line="400" w:lineRule="exact"/>
      <w:ind w:left="902" w:hanging="420"/>
    </w:pPr>
    <w:rPr>
      <w:sz w:val="24"/>
      <w:szCs w:val="20"/>
    </w:rPr>
  </w:style>
  <w:style w:type="paragraph" w:styleId="58">
    <w:name w:val="List"/>
    <w:basedOn w:val="1"/>
    <w:autoRedefine/>
    <w:qFormat/>
    <w:uiPriority w:val="0"/>
    <w:pPr>
      <w:ind w:left="200" w:hanging="200" w:hangingChars="200"/>
    </w:pPr>
  </w:style>
  <w:style w:type="paragraph" w:styleId="59">
    <w:name w:val="footnote text"/>
    <w:basedOn w:val="19"/>
    <w:link w:val="315"/>
    <w:autoRedefine/>
    <w:qFormat/>
    <w:uiPriority w:val="0"/>
    <w:pPr>
      <w:adjustRightInd/>
      <w:snapToGrid/>
      <w:spacing w:before="60" w:after="60" w:line="300" w:lineRule="exact"/>
      <w:ind w:firstLine="0"/>
    </w:pPr>
    <w:rPr>
      <w:rFonts w:ascii="Calibri"/>
      <w:snapToGrid/>
      <w:color w:val="0000FF"/>
      <w:kern w:val="0"/>
      <w:sz w:val="21"/>
    </w:rPr>
  </w:style>
  <w:style w:type="paragraph" w:styleId="60">
    <w:name w:val="toc 6"/>
    <w:basedOn w:val="1"/>
    <w:next w:val="1"/>
    <w:autoRedefine/>
    <w:qFormat/>
    <w:uiPriority w:val="0"/>
    <w:pPr>
      <w:ind w:left="2100" w:leftChars="1000"/>
    </w:pPr>
  </w:style>
  <w:style w:type="paragraph" w:styleId="61">
    <w:name w:val="List 5"/>
    <w:basedOn w:val="1"/>
    <w:autoRedefine/>
    <w:qFormat/>
    <w:uiPriority w:val="0"/>
    <w:pPr>
      <w:adjustRightInd/>
      <w:ind w:left="100" w:leftChars="800" w:hanging="200" w:hangingChars="200"/>
    </w:pPr>
  </w:style>
  <w:style w:type="paragraph" w:styleId="62">
    <w:name w:val="Body Text Indent 3"/>
    <w:basedOn w:val="1"/>
    <w:link w:val="380"/>
    <w:autoRedefine/>
    <w:qFormat/>
    <w:uiPriority w:val="0"/>
    <w:pPr>
      <w:spacing w:line="360" w:lineRule="auto"/>
      <w:ind w:firstLine="420"/>
    </w:pPr>
    <w:rPr>
      <w:sz w:val="24"/>
      <w:szCs w:val="20"/>
    </w:rPr>
  </w:style>
  <w:style w:type="paragraph" w:styleId="63">
    <w:name w:val="toc 9"/>
    <w:basedOn w:val="1"/>
    <w:next w:val="1"/>
    <w:autoRedefine/>
    <w:qFormat/>
    <w:uiPriority w:val="0"/>
    <w:pPr>
      <w:ind w:left="3360" w:leftChars="1600"/>
    </w:pPr>
  </w:style>
  <w:style w:type="paragraph" w:styleId="64">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6">
    <w:name w:val="Title"/>
    <w:basedOn w:val="1"/>
    <w:link w:val="291"/>
    <w:autoRedefine/>
    <w:qFormat/>
    <w:uiPriority w:val="10"/>
    <w:pPr>
      <w:widowControl/>
      <w:overflowPunct w:val="0"/>
      <w:autoSpaceDE w:val="0"/>
      <w:autoSpaceDN w:val="0"/>
      <w:jc w:val="center"/>
      <w:textAlignment w:val="baseline"/>
    </w:pPr>
    <w:rPr>
      <w:b/>
      <w:kern w:val="0"/>
      <w:sz w:val="24"/>
      <w:szCs w:val="20"/>
      <w:lang w:val="en-GB"/>
    </w:rPr>
  </w:style>
  <w:style w:type="paragraph" w:styleId="67">
    <w:name w:val="annotation subject"/>
    <w:basedOn w:val="23"/>
    <w:next w:val="23"/>
    <w:link w:val="102"/>
    <w:autoRedefine/>
    <w:qFormat/>
    <w:uiPriority w:val="0"/>
    <w:rPr>
      <w:b/>
      <w:bCs/>
    </w:rPr>
  </w:style>
  <w:style w:type="paragraph" w:styleId="68">
    <w:name w:val="Body Text First Indent 2"/>
    <w:basedOn w:val="38"/>
    <w:next w:val="1"/>
    <w:link w:val="127"/>
    <w:autoRedefine/>
    <w:qFormat/>
    <w:uiPriority w:val="0"/>
    <w:pPr>
      <w:adjustRightInd/>
      <w:spacing w:after="120" w:line="240" w:lineRule="auto"/>
      <w:ind w:left="420" w:leftChars="200" w:firstLine="210"/>
    </w:pPr>
    <w:rPr>
      <w:sz w:val="21"/>
    </w:rPr>
  </w:style>
  <w:style w:type="table" w:styleId="70">
    <w:name w:val="Table Grid"/>
    <w:basedOn w:val="6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Theme"/>
    <w:basedOn w:val="6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2">
    <w:name w:val="Table Elegant"/>
    <w:basedOn w:val="69"/>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3">
    <w:name w:val="Table Grid 5"/>
    <w:basedOn w:val="69"/>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4">
    <w:name w:val="Table Grid 8"/>
    <w:basedOn w:val="69"/>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5">
    <w:name w:val="Table Professional"/>
    <w:basedOn w:val="69"/>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7">
    <w:name w:val="Strong"/>
    <w:autoRedefine/>
    <w:qFormat/>
    <w:uiPriority w:val="22"/>
    <w:rPr>
      <w:b/>
      <w:bCs/>
    </w:rPr>
  </w:style>
  <w:style w:type="character" w:styleId="78">
    <w:name w:val="endnote reference"/>
    <w:autoRedefine/>
    <w:qFormat/>
    <w:uiPriority w:val="0"/>
    <w:rPr>
      <w:vertAlign w:val="superscript"/>
    </w:rPr>
  </w:style>
  <w:style w:type="character" w:styleId="79">
    <w:name w:val="page number"/>
    <w:basedOn w:val="76"/>
    <w:autoRedefine/>
    <w:qFormat/>
    <w:uiPriority w:val="0"/>
    <w:rPr>
      <w:rFonts w:ascii="Arial" w:hAnsi="Arial" w:eastAsia="黑体" w:cs="Arial"/>
      <w:snapToGrid w:val="0"/>
      <w:kern w:val="0"/>
      <w:szCs w:val="21"/>
    </w:rPr>
  </w:style>
  <w:style w:type="character" w:styleId="80">
    <w:name w:val="FollowedHyperlink"/>
    <w:autoRedefine/>
    <w:qFormat/>
    <w:uiPriority w:val="99"/>
    <w:rPr>
      <w:rFonts w:ascii="Arial" w:hAnsi="Arial" w:eastAsia="黑体" w:cs="Arial"/>
      <w:snapToGrid w:val="0"/>
      <w:color w:val="000000"/>
      <w:kern w:val="0"/>
      <w:sz w:val="18"/>
      <w:szCs w:val="18"/>
      <w:u w:val="none"/>
    </w:rPr>
  </w:style>
  <w:style w:type="character" w:styleId="81">
    <w:name w:val="Emphasis"/>
    <w:autoRedefine/>
    <w:qFormat/>
    <w:uiPriority w:val="20"/>
    <w:rPr>
      <w:color w:val="CC0033"/>
    </w:rPr>
  </w:style>
  <w:style w:type="character" w:styleId="82">
    <w:name w:val="line number"/>
    <w:basedOn w:val="76"/>
    <w:autoRedefine/>
    <w:qFormat/>
    <w:uiPriority w:val="0"/>
    <w:rPr>
      <w:rFonts w:ascii="Arial" w:hAnsi="Arial" w:eastAsia="黑体" w:cs="Arial"/>
      <w:snapToGrid w:val="0"/>
      <w:kern w:val="0"/>
      <w:szCs w:val="21"/>
    </w:rPr>
  </w:style>
  <w:style w:type="character" w:styleId="83">
    <w:name w:val="Hyperlink"/>
    <w:autoRedefine/>
    <w:qFormat/>
    <w:uiPriority w:val="99"/>
    <w:rPr>
      <w:rFonts w:ascii="Arial" w:hAnsi="Arial" w:eastAsia="黑体" w:cs="Arial"/>
      <w:snapToGrid w:val="0"/>
      <w:color w:val="000000"/>
      <w:kern w:val="0"/>
      <w:sz w:val="18"/>
      <w:szCs w:val="18"/>
      <w:u w:val="none"/>
    </w:rPr>
  </w:style>
  <w:style w:type="character" w:styleId="84">
    <w:name w:val="HTML Code"/>
    <w:autoRedefine/>
    <w:qFormat/>
    <w:uiPriority w:val="0"/>
    <w:rPr>
      <w:rFonts w:ascii="黑体" w:hAnsi="Courier New" w:eastAsia="黑体" w:cs="楷体_GB2312"/>
      <w:sz w:val="20"/>
      <w:szCs w:val="20"/>
    </w:rPr>
  </w:style>
  <w:style w:type="character" w:styleId="85">
    <w:name w:val="annotation reference"/>
    <w:autoRedefine/>
    <w:qFormat/>
    <w:uiPriority w:val="99"/>
    <w:rPr>
      <w:sz w:val="21"/>
      <w:szCs w:val="21"/>
    </w:rPr>
  </w:style>
  <w:style w:type="paragraph" w:customStyle="1" w:styleId="86">
    <w:name w:val="Char Char Char"/>
    <w:basedOn w:val="1"/>
    <w:next w:val="87"/>
    <w:autoRedefine/>
    <w:qFormat/>
    <w:uiPriority w:val="0"/>
    <w:rPr>
      <w:rFonts w:ascii="Tahoma" w:hAnsi="Tahoma"/>
      <w:sz w:val="24"/>
      <w:szCs w:val="20"/>
    </w:rPr>
  </w:style>
  <w:style w:type="paragraph" w:customStyle="1" w:styleId="87">
    <w:name w:val="正文2"/>
    <w:basedOn w:val="1"/>
    <w:next w:val="23"/>
    <w:link w:val="136"/>
    <w:autoRedefine/>
    <w:qFormat/>
    <w:uiPriority w:val="0"/>
    <w:pPr>
      <w:spacing w:before="156" w:line="360" w:lineRule="auto"/>
      <w:ind w:firstLine="510" w:firstLineChars="200"/>
    </w:pPr>
    <w:rPr>
      <w:sz w:val="24"/>
      <w:szCs w:val="20"/>
    </w:rPr>
  </w:style>
  <w:style w:type="character" w:customStyle="1" w:styleId="88">
    <w:name w:val="表格非标题文字 Char"/>
    <w:link w:val="89"/>
    <w:autoRedefine/>
    <w:qFormat/>
    <w:uiPriority w:val="0"/>
    <w:rPr>
      <w:rFonts w:ascii="Futura Bk" w:hAnsi="Futura Bk"/>
      <w:kern w:val="2"/>
      <w:sz w:val="18"/>
      <w:szCs w:val="21"/>
      <w:lang w:val="en-US" w:eastAsia="zh-CN" w:bidi="ar-SA"/>
    </w:rPr>
  </w:style>
  <w:style w:type="paragraph" w:customStyle="1" w:styleId="89">
    <w:name w:val="表格非标题文字"/>
    <w:link w:val="88"/>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autoRedefine/>
    <w:qFormat/>
    <w:locked/>
    <w:uiPriority w:val="0"/>
    <w:rPr>
      <w:rFonts w:ascii="宋体" w:hAnsi="宋体"/>
      <w:sz w:val="24"/>
    </w:rPr>
  </w:style>
  <w:style w:type="paragraph" w:customStyle="1" w:styleId="91">
    <w:name w:val="*正文"/>
    <w:basedOn w:val="1"/>
    <w:link w:val="90"/>
    <w:autoRedefine/>
    <w:qFormat/>
    <w:uiPriority w:val="0"/>
    <w:pPr>
      <w:snapToGrid w:val="0"/>
      <w:spacing w:line="360" w:lineRule="auto"/>
      <w:ind w:firstLine="482"/>
      <w:jc w:val="left"/>
    </w:pPr>
    <w:rPr>
      <w:rFonts w:ascii="宋体" w:hAnsi="宋体"/>
      <w:kern w:val="0"/>
      <w:sz w:val="24"/>
      <w:szCs w:val="20"/>
    </w:rPr>
  </w:style>
  <w:style w:type="character" w:customStyle="1" w:styleId="92">
    <w:name w:val="Char Char71"/>
    <w:autoRedefine/>
    <w:semiHidden/>
    <w:qFormat/>
    <w:uiPriority w:val="0"/>
    <w:rPr>
      <w:rFonts w:eastAsia="宋体"/>
      <w:kern w:val="2"/>
      <w:sz w:val="21"/>
      <w:szCs w:val="24"/>
      <w:lang w:val="en-US" w:eastAsia="zh-CN" w:bidi="ar-SA"/>
    </w:rPr>
  </w:style>
  <w:style w:type="character" w:customStyle="1" w:styleId="93">
    <w:name w:val="Char Char6"/>
    <w:autoRedefine/>
    <w:qFormat/>
    <w:uiPriority w:val="0"/>
    <w:rPr>
      <w:rFonts w:eastAsia="宋体"/>
      <w:kern w:val="2"/>
      <w:sz w:val="21"/>
      <w:szCs w:val="24"/>
      <w:lang w:val="en-US" w:eastAsia="zh-CN" w:bidi="ar-SA"/>
    </w:rPr>
  </w:style>
  <w:style w:type="character" w:customStyle="1" w:styleId="94">
    <w:name w:val="正文缩进 Char"/>
    <w:autoRedefine/>
    <w:qFormat/>
    <w:uiPriority w:val="0"/>
    <w:rPr>
      <w:rFonts w:eastAsia="宋体"/>
      <w:kern w:val="2"/>
      <w:sz w:val="21"/>
      <w:lang w:val="en-US" w:eastAsia="zh-CN"/>
    </w:rPr>
  </w:style>
  <w:style w:type="character" w:customStyle="1" w:styleId="9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6">
    <w:name w:val="Char Char28"/>
    <w:autoRedefine/>
    <w:qFormat/>
    <w:uiPriority w:val="6"/>
    <w:rPr>
      <w:rFonts w:ascii="FangSong_GB2312" w:hAnsi="FangSong_GB2312" w:eastAsia="FangSong_GB2312"/>
      <w:kern w:val="1"/>
      <w:sz w:val="28"/>
    </w:rPr>
  </w:style>
  <w:style w:type="character" w:customStyle="1" w:styleId="9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autoRedefine/>
    <w:qFormat/>
    <w:uiPriority w:val="6"/>
    <w:rPr>
      <w:rFonts w:ascii="Times New Roman" w:hAnsi="Times New Roman" w:eastAsia="黑体" w:cs="Times New Roman"/>
      <w:b/>
      <w:kern w:val="0"/>
      <w:sz w:val="24"/>
      <w:szCs w:val="24"/>
    </w:rPr>
  </w:style>
  <w:style w:type="character" w:customStyle="1" w:styleId="99">
    <w:name w:val="U_正文 Char"/>
    <w:link w:val="100"/>
    <w:autoRedefine/>
    <w:qFormat/>
    <w:uiPriority w:val="0"/>
    <w:rPr>
      <w:sz w:val="24"/>
      <w:szCs w:val="24"/>
    </w:rPr>
  </w:style>
  <w:style w:type="paragraph" w:customStyle="1" w:styleId="100">
    <w:name w:val="U_正文"/>
    <w:basedOn w:val="1"/>
    <w:link w:val="99"/>
    <w:autoRedefine/>
    <w:qFormat/>
    <w:uiPriority w:val="0"/>
    <w:pPr>
      <w:adjustRightInd/>
      <w:spacing w:beforeLines="20" w:afterLines="20" w:line="300" w:lineRule="auto"/>
      <w:ind w:firstLine="200" w:firstLineChars="200"/>
    </w:pPr>
    <w:rPr>
      <w:kern w:val="0"/>
      <w:sz w:val="24"/>
    </w:rPr>
  </w:style>
  <w:style w:type="character" w:customStyle="1" w:styleId="101">
    <w:name w:val="HTML 地址 Char1"/>
    <w:autoRedefine/>
    <w:qFormat/>
    <w:uiPriority w:val="0"/>
    <w:rPr>
      <w:rFonts w:ascii="Times New Roman" w:hAnsi="Times New Roman" w:eastAsia="宋体" w:cs="Times New Roman"/>
      <w:i/>
      <w:iCs/>
      <w:szCs w:val="24"/>
    </w:rPr>
  </w:style>
  <w:style w:type="character" w:customStyle="1" w:styleId="102">
    <w:name w:val="批注主题 Char1"/>
    <w:link w:val="67"/>
    <w:autoRedefine/>
    <w:qFormat/>
    <w:uiPriority w:val="0"/>
    <w:rPr>
      <w:b/>
      <w:bCs/>
      <w:kern w:val="2"/>
      <w:sz w:val="21"/>
      <w:szCs w:val="24"/>
    </w:rPr>
  </w:style>
  <w:style w:type="character" w:customStyle="1" w:styleId="103">
    <w:name w:val="Char Char51"/>
    <w:autoRedefine/>
    <w:qFormat/>
    <w:uiPriority w:val="0"/>
    <w:rPr>
      <w:rFonts w:ascii="宋体" w:hAnsi="Courier New" w:eastAsia="宋体"/>
      <w:kern w:val="2"/>
      <w:sz w:val="21"/>
      <w:lang w:val="en-US" w:eastAsia="zh-CN"/>
    </w:rPr>
  </w:style>
  <w:style w:type="character" w:customStyle="1" w:styleId="104">
    <w:name w:val="表正文 Char"/>
    <w:autoRedefine/>
    <w:qFormat/>
    <w:uiPriority w:val="0"/>
    <w:rPr>
      <w:rFonts w:ascii="宋体" w:eastAsia="宋体"/>
      <w:snapToGrid w:val="0"/>
      <w:color w:val="000000"/>
      <w:kern w:val="28"/>
      <w:sz w:val="28"/>
      <w:lang w:val="en-US" w:eastAsia="zh-CN" w:bidi="ar-SA"/>
    </w:rPr>
  </w:style>
  <w:style w:type="character" w:customStyle="1" w:styleId="105">
    <w:name w:val="Char Char34"/>
    <w:autoRedefine/>
    <w:qFormat/>
    <w:uiPriority w:val="6"/>
    <w:rPr>
      <w:b/>
      <w:kern w:val="1"/>
      <w:sz w:val="28"/>
      <w:szCs w:val="28"/>
    </w:rPr>
  </w:style>
  <w:style w:type="character" w:customStyle="1" w:styleId="106">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autoRedefine/>
    <w:qFormat/>
    <w:uiPriority w:val="0"/>
    <w:rPr>
      <w:rFonts w:ascii="宋体" w:hAnsi="宋体" w:eastAsia="宋体"/>
      <w:kern w:val="2"/>
      <w:sz w:val="24"/>
      <w:lang w:bidi="ar-SA"/>
    </w:rPr>
  </w:style>
  <w:style w:type="paragraph" w:customStyle="1" w:styleId="108">
    <w:name w:val="哈哈正文"/>
    <w:basedOn w:val="1"/>
    <w:link w:val="107"/>
    <w:autoRedefine/>
    <w:qFormat/>
    <w:uiPriority w:val="0"/>
    <w:pPr>
      <w:adjustRightInd/>
      <w:spacing w:line="360" w:lineRule="auto"/>
      <w:ind w:firstLine="200" w:firstLineChars="200"/>
    </w:pPr>
    <w:rPr>
      <w:rFonts w:ascii="宋体" w:hAnsi="宋体"/>
      <w:sz w:val="24"/>
      <w:szCs w:val="20"/>
    </w:rPr>
  </w:style>
  <w:style w:type="character" w:customStyle="1" w:styleId="109">
    <w:name w:val="未处理的提及1"/>
    <w:autoRedefine/>
    <w:qFormat/>
    <w:uiPriority w:val="0"/>
    <w:rPr>
      <w:color w:val="808080"/>
      <w:shd w:val="clear" w:color="auto" w:fill="E6E6E6"/>
    </w:rPr>
  </w:style>
  <w:style w:type="character" w:customStyle="1" w:styleId="110">
    <w:name w:val="txt"/>
    <w:autoRedefine/>
    <w:qFormat/>
    <w:uiPriority w:val="0"/>
    <w:rPr>
      <w:rFonts w:ascii="FangSong_GB2312" w:eastAsia="微软雅黑"/>
      <w:b/>
      <w:kern w:val="2"/>
      <w:sz w:val="32"/>
      <w:szCs w:val="32"/>
      <w:lang w:val="en-US" w:eastAsia="zh-CN" w:bidi="ar-SA"/>
    </w:rPr>
  </w:style>
  <w:style w:type="character" w:customStyle="1" w:styleId="11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2">
    <w:name w:val="Char Char32"/>
    <w:autoRedefine/>
    <w:qFormat/>
    <w:uiPriority w:val="6"/>
    <w:rPr>
      <w:b/>
      <w:kern w:val="1"/>
      <w:sz w:val="24"/>
      <w:szCs w:val="24"/>
    </w:rPr>
  </w:style>
  <w:style w:type="character" w:customStyle="1" w:styleId="113">
    <w:name w:val="PI Char1"/>
    <w:autoRedefine/>
    <w:qFormat/>
    <w:uiPriority w:val="0"/>
    <w:rPr>
      <w:rFonts w:ascii="宋体" w:hAnsi="宋体"/>
      <w:kern w:val="2"/>
      <w:sz w:val="24"/>
      <w:szCs w:val="24"/>
    </w:rPr>
  </w:style>
  <w:style w:type="character" w:customStyle="1" w:styleId="114">
    <w:name w:val="tw4winTerm"/>
    <w:autoRedefine/>
    <w:qFormat/>
    <w:uiPriority w:val="0"/>
    <w:rPr>
      <w:color w:val="0000FF"/>
    </w:rPr>
  </w:style>
  <w:style w:type="character" w:customStyle="1" w:styleId="115">
    <w:name w:val="Footer Char"/>
    <w:autoRedefine/>
    <w:qFormat/>
    <w:locked/>
    <w:uiPriority w:val="0"/>
    <w:rPr>
      <w:rFonts w:eastAsia="宋体"/>
      <w:kern w:val="2"/>
      <w:sz w:val="18"/>
      <w:lang w:val="en-US" w:eastAsia="zh-CN" w:bidi="ar-SA"/>
    </w:rPr>
  </w:style>
  <w:style w:type="character" w:customStyle="1" w:styleId="116">
    <w:name w:val="普通文字 Char Char1"/>
    <w:autoRedefine/>
    <w:qFormat/>
    <w:uiPriority w:val="0"/>
    <w:rPr>
      <w:rFonts w:ascii="宋体" w:hAnsi="Courier New"/>
      <w:kern w:val="2"/>
      <w:sz w:val="21"/>
    </w:rPr>
  </w:style>
  <w:style w:type="character" w:customStyle="1" w:styleId="117">
    <w:name w:val="Char Char101"/>
    <w:autoRedefine/>
    <w:qFormat/>
    <w:uiPriority w:val="6"/>
    <w:rPr>
      <w:rFonts w:ascii="宋体" w:hAnsi="宋体"/>
      <w:kern w:val="2"/>
      <w:sz w:val="21"/>
      <w:szCs w:val="24"/>
      <w:lang w:val="en-US" w:eastAsia="zh-CN"/>
    </w:rPr>
  </w:style>
  <w:style w:type="character" w:customStyle="1" w:styleId="118">
    <w:name w:val="标题 4 Char"/>
    <w:autoRedefine/>
    <w:qFormat/>
    <w:uiPriority w:val="0"/>
    <w:rPr>
      <w:rFonts w:ascii="Arial" w:hAnsi="Arial" w:eastAsia="黑体"/>
      <w:b/>
      <w:kern w:val="2"/>
      <w:sz w:val="28"/>
    </w:rPr>
  </w:style>
  <w:style w:type="character" w:customStyle="1" w:styleId="119">
    <w:name w:val="链接"/>
    <w:autoRedefine/>
    <w:qFormat/>
    <w:uiPriority w:val="0"/>
    <w:rPr>
      <w:color w:val="0000FF"/>
      <w:sz w:val="21"/>
      <w:szCs w:val="21"/>
      <w:u w:val="single"/>
    </w:rPr>
  </w:style>
  <w:style w:type="character" w:customStyle="1" w:styleId="120">
    <w:name w:val="h4 Char"/>
    <w:autoRedefine/>
    <w:qFormat/>
    <w:uiPriority w:val="0"/>
    <w:rPr>
      <w:rFonts w:ascii="Arial" w:hAnsi="Arial" w:eastAsia="黑体"/>
      <w:b/>
      <w:bCs/>
      <w:kern w:val="2"/>
      <w:sz w:val="28"/>
      <w:szCs w:val="28"/>
      <w:lang w:val="zh-CN" w:eastAsia="zh-CN" w:bidi="ar-SA"/>
    </w:rPr>
  </w:style>
  <w:style w:type="character" w:customStyle="1" w:styleId="121">
    <w:name w:val="5正文 Char"/>
    <w:link w:val="122"/>
    <w:autoRedefine/>
    <w:qFormat/>
    <w:uiPriority w:val="0"/>
    <w:rPr>
      <w:rFonts w:ascii="FangSong_GB2312" w:hAnsi="微软雅黑" w:eastAsia="FangSong_GB2312"/>
      <w:sz w:val="28"/>
      <w:szCs w:val="21"/>
    </w:rPr>
  </w:style>
  <w:style w:type="paragraph" w:customStyle="1" w:styleId="122">
    <w:name w:val="5正文"/>
    <w:basedOn w:val="1"/>
    <w:link w:val="121"/>
    <w:autoRedefine/>
    <w:qFormat/>
    <w:uiPriority w:val="0"/>
    <w:pPr>
      <w:adjustRightInd/>
      <w:spacing w:line="360" w:lineRule="auto"/>
      <w:ind w:firstLine="566" w:firstLineChars="202"/>
      <w:jc w:val="left"/>
    </w:pPr>
    <w:rPr>
      <w:rFonts w:ascii="FangSong_GB2312" w:hAnsi="微软雅黑" w:eastAsia="FangSong_GB2312"/>
      <w:kern w:val="0"/>
      <w:sz w:val="28"/>
      <w:szCs w:val="21"/>
    </w:rPr>
  </w:style>
  <w:style w:type="character" w:customStyle="1" w:styleId="123">
    <w:name w:val="标题 3 字符"/>
    <w:autoRedefine/>
    <w:qFormat/>
    <w:uiPriority w:val="9"/>
    <w:rPr>
      <w:b/>
      <w:bCs/>
      <w:kern w:val="2"/>
      <w:sz w:val="32"/>
      <w:szCs w:val="32"/>
    </w:rPr>
  </w:style>
  <w:style w:type="character" w:customStyle="1" w:styleId="124">
    <w:name w:val="样式6 Char"/>
    <w:autoRedefine/>
    <w:qFormat/>
    <w:uiPriority w:val="0"/>
    <w:rPr>
      <w:rFonts w:ascii="FangSong_GB2312" w:hAnsi="宋体" w:eastAsia="FangSong_GB2312"/>
      <w:b/>
      <w:bCs/>
      <w:kern w:val="2"/>
      <w:sz w:val="24"/>
      <w:szCs w:val="24"/>
      <w:lang w:val="en-US" w:eastAsia="zh-CN" w:bidi="ar-SA"/>
    </w:rPr>
  </w:style>
  <w:style w:type="character" w:customStyle="1" w:styleId="125">
    <w:name w:val="Char Char14"/>
    <w:autoRedefine/>
    <w:qFormat/>
    <w:uiPriority w:val="6"/>
    <w:rPr>
      <w:rFonts w:ascii="黑体" w:hAnsi="黑体" w:eastAsia="黑体"/>
    </w:rPr>
  </w:style>
  <w:style w:type="character" w:customStyle="1" w:styleId="126">
    <w:name w:val="Heading 2 Hidden Char"/>
    <w:autoRedefine/>
    <w:qFormat/>
    <w:uiPriority w:val="0"/>
    <w:rPr>
      <w:rFonts w:ascii="FangSong_GB2312" w:eastAsia="FangSong_GB2312"/>
      <w:b/>
      <w:bCs/>
      <w:kern w:val="2"/>
      <w:sz w:val="24"/>
      <w:szCs w:val="24"/>
      <w:lang w:val="zh-CN" w:eastAsia="zh-CN" w:bidi="ar-SA"/>
    </w:rPr>
  </w:style>
  <w:style w:type="character" w:customStyle="1" w:styleId="127">
    <w:name w:val="正文首行缩进 2 Char"/>
    <w:link w:val="68"/>
    <w:autoRedefine/>
    <w:qFormat/>
    <w:uiPriority w:val="0"/>
    <w:rPr>
      <w:rFonts w:ascii="宋体" w:hAnsi="宋体"/>
      <w:kern w:val="2"/>
      <w:sz w:val="21"/>
      <w:szCs w:val="24"/>
    </w:rPr>
  </w:style>
  <w:style w:type="character" w:customStyle="1" w:styleId="128">
    <w:name w:val="font11"/>
    <w:autoRedefine/>
    <w:qFormat/>
    <w:uiPriority w:val="0"/>
    <w:rPr>
      <w:rFonts w:hint="default" w:ascii="Times New Roman" w:hAnsi="Times New Roman" w:cs="Times New Roman"/>
      <w:color w:val="000000"/>
      <w:sz w:val="22"/>
      <w:szCs w:val="22"/>
      <w:u w:val="none"/>
    </w:rPr>
  </w:style>
  <w:style w:type="character" w:customStyle="1" w:styleId="129">
    <w:name w:val="表正文 Char1"/>
    <w:autoRedefine/>
    <w:qFormat/>
    <w:uiPriority w:val="0"/>
    <w:rPr>
      <w:rFonts w:ascii="宋体" w:eastAsia="宋体"/>
      <w:snapToGrid w:val="0"/>
      <w:color w:val="000000"/>
      <w:kern w:val="28"/>
      <w:sz w:val="28"/>
    </w:rPr>
  </w:style>
  <w:style w:type="character" w:customStyle="1" w:styleId="130">
    <w:name w:val="blue1"/>
    <w:basedOn w:val="76"/>
    <w:autoRedefine/>
    <w:qFormat/>
    <w:uiPriority w:val="0"/>
    <w:rPr>
      <w:rFonts w:ascii="Arial" w:hAnsi="Arial" w:eastAsia="黑体" w:cs="Arial"/>
      <w:snapToGrid w:val="0"/>
      <w:kern w:val="0"/>
      <w:szCs w:val="21"/>
    </w:rPr>
  </w:style>
  <w:style w:type="character" w:customStyle="1" w:styleId="131">
    <w:name w:val="纯文本 Char"/>
    <w:link w:val="25"/>
    <w:autoRedefine/>
    <w:qFormat/>
    <w:uiPriority w:val="0"/>
    <w:rPr>
      <w:rFonts w:ascii="宋体" w:hAnsi="Courier New" w:eastAsia="宋体" w:cs="Arial"/>
      <w:snapToGrid w:val="0"/>
      <w:kern w:val="2"/>
      <w:sz w:val="21"/>
      <w:szCs w:val="21"/>
      <w:lang w:val="en-US" w:eastAsia="zh-CN" w:bidi="ar-SA"/>
    </w:rPr>
  </w:style>
  <w:style w:type="character" w:customStyle="1" w:styleId="132">
    <w:name w:val="标书1 Char"/>
    <w:autoRedefine/>
    <w:qFormat/>
    <w:uiPriority w:val="0"/>
    <w:rPr>
      <w:rFonts w:eastAsia="宋体"/>
      <w:b/>
      <w:bCs/>
      <w:kern w:val="44"/>
      <w:sz w:val="44"/>
      <w:szCs w:val="44"/>
      <w:lang w:val="en-US" w:eastAsia="zh-CN" w:bidi="ar-SA"/>
    </w:rPr>
  </w:style>
  <w:style w:type="character" w:customStyle="1" w:styleId="133">
    <w:name w:val="样式5 Char"/>
    <w:autoRedefine/>
    <w:qFormat/>
    <w:uiPriority w:val="0"/>
    <w:rPr>
      <w:rFonts w:ascii="FangSong_GB2312" w:hAnsi="仿宋" w:eastAsia="FangSong_GB2312"/>
      <w:kern w:val="2"/>
      <w:sz w:val="24"/>
      <w:szCs w:val="24"/>
    </w:rPr>
  </w:style>
  <w:style w:type="character" w:customStyle="1" w:styleId="134">
    <w:name w:val="样式4 Char"/>
    <w:autoRedefine/>
    <w:qFormat/>
    <w:uiPriority w:val="0"/>
    <w:rPr>
      <w:rFonts w:ascii="FangSong_GB2312" w:hAnsi="仿宋" w:eastAsia="FangSong_GB2312"/>
      <w:b/>
      <w:kern w:val="2"/>
      <w:sz w:val="32"/>
      <w:szCs w:val="32"/>
      <w:lang w:bidi="ar-SA"/>
    </w:rPr>
  </w:style>
  <w:style w:type="character" w:customStyle="1" w:styleId="135">
    <w:name w:val="插图说明 Char"/>
    <w:autoRedefine/>
    <w:qFormat/>
    <w:uiPriority w:val="0"/>
    <w:rPr>
      <w:rFonts w:eastAsia="黑体"/>
      <w:sz w:val="24"/>
      <w:lang w:val="en-US" w:eastAsia="zh-CN"/>
    </w:rPr>
  </w:style>
  <w:style w:type="character" w:customStyle="1" w:styleId="136">
    <w:name w:val="正文2 Char Char"/>
    <w:link w:val="87"/>
    <w:autoRedefine/>
    <w:qFormat/>
    <w:uiPriority w:val="0"/>
    <w:rPr>
      <w:rFonts w:eastAsia="宋体"/>
      <w:kern w:val="2"/>
      <w:sz w:val="24"/>
      <w:lang w:val="en-US" w:eastAsia="zh-CN" w:bidi="ar-SA"/>
    </w:rPr>
  </w:style>
  <w:style w:type="character" w:customStyle="1" w:styleId="137">
    <w:name w:val="Char Char24"/>
    <w:autoRedefine/>
    <w:qFormat/>
    <w:uiPriority w:val="6"/>
    <w:rPr>
      <w:kern w:val="1"/>
      <w:sz w:val="21"/>
    </w:rPr>
  </w:style>
  <w:style w:type="character" w:customStyle="1" w:styleId="138">
    <w:name w:val="副标题 Char"/>
    <w:link w:val="56"/>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sz w:val="22"/>
      <w:szCs w:val="22"/>
      <w:lang w:val="en-US" w:eastAsia="zh-CN" w:bidi="ar-SA"/>
    </w:rPr>
  </w:style>
  <w:style w:type="paragraph" w:customStyle="1" w:styleId="145">
    <w:name w:val="无间隔1"/>
    <w:link w:val="144"/>
    <w:autoRedefine/>
    <w:qFormat/>
    <w:uiPriority w:val="1"/>
    <w:rPr>
      <w:rFonts w:ascii="Times New Roman" w:hAnsi="Times New Roman" w:eastAsia="宋体" w:cs="Times New Roman"/>
      <w:sz w:val="22"/>
      <w:szCs w:val="22"/>
      <w:lang w:val="en-US" w:eastAsia="zh-CN" w:bidi="ar-SA"/>
    </w:rPr>
  </w:style>
  <w:style w:type="character" w:customStyle="1" w:styleId="146">
    <w:name w:val="样式7 Char"/>
    <w:autoRedefine/>
    <w:qFormat/>
    <w:uiPriority w:val="0"/>
    <w:rPr>
      <w:rFonts w:ascii="FangSong_GB2312" w:hAnsi="仿宋" w:eastAsia="FangSong_GB2312"/>
      <w:b/>
      <w:kern w:val="2"/>
      <w:sz w:val="24"/>
      <w:szCs w:val="24"/>
    </w:rPr>
  </w:style>
  <w:style w:type="character" w:customStyle="1" w:styleId="147">
    <w:name w:val="font12gray1"/>
    <w:autoRedefine/>
    <w:qFormat/>
    <w:uiPriority w:val="0"/>
    <w:rPr>
      <w:rFonts w:ascii="FangSong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FangSong_GB2312" w:eastAsia="FangSong_GB2312" w:cs="FangSong_GB2312"/>
      <w:color w:val="000000"/>
      <w:sz w:val="22"/>
      <w:szCs w:val="22"/>
      <w:u w:val="none"/>
    </w:rPr>
  </w:style>
  <w:style w:type="character" w:customStyle="1" w:styleId="152">
    <w:name w:val="标题 6 Char"/>
    <w:link w:val="8"/>
    <w:autoRedefine/>
    <w:qFormat/>
    <w:uiPriority w:val="0"/>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FangSong_GB2312" w:hAnsi="FangSong_GB2312" w:eastAsia="FangSong_GB2312"/>
      <w:kern w:val="2"/>
      <w:sz w:val="24"/>
      <w:lang w:bidi="ar-SA"/>
    </w:rPr>
  </w:style>
  <w:style w:type="character" w:customStyle="1" w:styleId="158">
    <w:name w:val="正文 项目 Char"/>
    <w:autoRedefine/>
    <w:qFormat/>
    <w:uiPriority w:val="0"/>
    <w:rPr>
      <w:rFonts w:ascii="FangSong_GB2312" w:hAnsi="FangSong_GB2312" w:eastAsia="FangSong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FangSong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99"/>
    <w:rPr>
      <w:rFonts w:eastAsia="FangSong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标题 2 字符"/>
    <w:autoRedefine/>
    <w:qFormat/>
    <w:uiPriority w:val="1"/>
    <w:rPr>
      <w:rFonts w:ascii="FangSong_GB2312" w:hAnsi="Times New Roman" w:eastAsia="FangSong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FangSong_GB2312" w:hAnsi="仿宋" w:eastAsia="FangSong_GB2312" w:cs="FangSong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4"/>
    <w:link w:val="17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Char"/>
    <w:link w:val="47"/>
    <w:autoRedefine/>
    <w:qFormat/>
    <w:uiPriority w:val="0"/>
    <w:rPr>
      <w:rFonts w:ascii="宋体"/>
      <w:kern w:val="2"/>
      <w:sz w:val="24"/>
      <w:szCs w:val="21"/>
      <w:lang w:val="zh-CN"/>
    </w:rPr>
  </w:style>
  <w:style w:type="character" w:customStyle="1" w:styleId="187">
    <w:name w:val="标题 9 Char"/>
    <w:link w:val="11"/>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99"/>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Char"/>
    <w:link w:val="17"/>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FangSong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9"/>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FangSong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autoRedefine/>
    <w:qFormat/>
    <w:uiPriority w:val="0"/>
    <w:rPr>
      <w:rFonts w:ascii="FangSong_GB2312" w:eastAsia="微软雅黑"/>
      <w:b/>
      <w:kern w:val="2"/>
      <w:sz w:val="32"/>
      <w:szCs w:val="32"/>
      <w:lang w:val="en-US" w:eastAsia="zh-CN" w:bidi="ar-SA"/>
    </w:rPr>
  </w:style>
  <w:style w:type="character" w:customStyle="1" w:styleId="207">
    <w:name w:val="文档结构图 Char1"/>
    <w:link w:val="22"/>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标题 2 Char"/>
    <w:autoRedefine/>
    <w:qFormat/>
    <w:uiPriority w:val="0"/>
    <w:rPr>
      <w:rFonts w:ascii="Arial" w:hAnsi="Arial" w:eastAsia="黑体"/>
      <w:b/>
      <w:kern w:val="2"/>
      <w:sz w:val="32"/>
      <w:lang w:val="en-US" w:eastAsia="zh-CN"/>
    </w:rPr>
  </w:style>
  <w:style w:type="character" w:customStyle="1" w:styleId="215">
    <w:name w:val="maywed421"/>
    <w:autoRedefine/>
    <w:qFormat/>
    <w:uiPriority w:val="0"/>
    <w:rPr>
      <w:color w:val="366FB6"/>
      <w:u w:val="none"/>
    </w:rPr>
  </w:style>
  <w:style w:type="character" w:customStyle="1" w:styleId="216">
    <w:name w:val="正文文本缩进 Char"/>
    <w:autoRedefine/>
    <w:qFormat/>
    <w:uiPriority w:val="0"/>
    <w:rPr>
      <w:rFonts w:ascii="宋体" w:hAnsi="宋体"/>
      <w:kern w:val="2"/>
      <w:sz w:val="24"/>
      <w:szCs w:val="24"/>
    </w:rPr>
  </w:style>
  <w:style w:type="character" w:customStyle="1" w:styleId="217">
    <w:name w:val="Char Char102"/>
    <w:autoRedefine/>
    <w:semiHidden/>
    <w:qFormat/>
    <w:uiPriority w:val="0"/>
    <w:rPr>
      <w:rFonts w:ascii="宋体" w:hAnsi="宋体"/>
      <w:kern w:val="2"/>
      <w:sz w:val="21"/>
      <w:szCs w:val="24"/>
      <w:lang w:val="en-US" w:eastAsia="zh-CN"/>
    </w:rPr>
  </w:style>
  <w:style w:type="character" w:customStyle="1" w:styleId="218">
    <w:name w:val="页眉 Char1"/>
    <w:autoRedefine/>
    <w:qFormat/>
    <w:uiPriority w:val="0"/>
    <w:rPr>
      <w:rFonts w:eastAsia="宋体"/>
      <w:kern w:val="2"/>
      <w:sz w:val="18"/>
      <w:szCs w:val="18"/>
      <w:lang w:val="en-US" w:eastAsia="zh-CN" w:bidi="ar-SA"/>
    </w:rPr>
  </w:style>
  <w:style w:type="character" w:customStyle="1" w:styleId="219">
    <w:name w:val="md"/>
    <w:basedOn w:val="76"/>
    <w:autoRedefine/>
    <w:qFormat/>
    <w:uiPriority w:val="0"/>
    <w:rPr>
      <w:rFonts w:ascii="Arial" w:hAnsi="Arial" w:eastAsia="黑体" w:cs="Arial"/>
      <w:snapToGrid w:val="0"/>
      <w:kern w:val="0"/>
      <w:szCs w:val="21"/>
    </w:rPr>
  </w:style>
  <w:style w:type="character" w:customStyle="1" w:styleId="220">
    <w:name w:val="big1"/>
    <w:autoRedefine/>
    <w:qFormat/>
    <w:uiPriority w:val="0"/>
    <w:rPr>
      <w:rFonts w:hint="eastAsia" w:ascii="宋体" w:hAnsi="宋体" w:eastAsia="宋体"/>
      <w:color w:val="333333"/>
      <w:sz w:val="22"/>
      <w:szCs w:val="22"/>
    </w:rPr>
  </w:style>
  <w:style w:type="character" w:customStyle="1" w:styleId="221">
    <w:name w:val="Char Char311"/>
    <w:autoRedefine/>
    <w:qFormat/>
    <w:uiPriority w:val="0"/>
    <w:rPr>
      <w:rFonts w:eastAsia="宋体"/>
      <w:kern w:val="2"/>
      <w:sz w:val="21"/>
      <w:szCs w:val="24"/>
      <w:lang w:val="en-US" w:eastAsia="zh-CN" w:bidi="ar-SA"/>
    </w:rPr>
  </w:style>
  <w:style w:type="character" w:customStyle="1" w:styleId="222">
    <w:name w:val="Char Char81"/>
    <w:autoRedefine/>
    <w:qFormat/>
    <w:uiPriority w:val="6"/>
    <w:rPr>
      <w:rFonts w:eastAsia="宋体"/>
      <w:b/>
      <w:sz w:val="24"/>
      <w:lang w:val="en-GB" w:eastAsia="zh-CN"/>
    </w:rPr>
  </w:style>
  <w:style w:type="character" w:customStyle="1" w:styleId="223">
    <w:name w:val="样式3 Char"/>
    <w:basedOn w:val="174"/>
    <w:autoRedefine/>
    <w:qFormat/>
    <w:uiPriority w:val="0"/>
    <w:rPr>
      <w:rFonts w:ascii="FangSong_GB2312" w:hAnsi="仿宋" w:eastAsia="FangSong_GB2312" w:cs="FangSong_GB2312"/>
      <w:sz w:val="32"/>
      <w:szCs w:val="30"/>
      <w:lang w:val="zh-CN"/>
    </w:rPr>
  </w:style>
  <w:style w:type="character" w:customStyle="1" w:styleId="224">
    <w:name w:val="HTML 地址 Char"/>
    <w:link w:val="43"/>
    <w:autoRedefine/>
    <w:qFormat/>
    <w:uiPriority w:val="0"/>
    <w:rPr>
      <w:rFonts w:ascii="宋体" w:hAnsi="宋体"/>
      <w:i/>
      <w:iCs/>
      <w:sz w:val="24"/>
      <w:szCs w:val="24"/>
    </w:rPr>
  </w:style>
  <w:style w:type="character" w:customStyle="1" w:styleId="225">
    <w:name w:val="正文首行缩进 2 Char1"/>
    <w:autoRedefine/>
    <w:qFormat/>
    <w:uiPriority w:val="0"/>
    <w:rPr>
      <w:rFonts w:ascii="Times New Roman" w:hAnsi="Times New Roman" w:eastAsia="宋体" w:cs="Times New Roman"/>
      <w:kern w:val="2"/>
      <w:sz w:val="24"/>
      <w:szCs w:val="24"/>
    </w:rPr>
  </w:style>
  <w:style w:type="character" w:customStyle="1" w:styleId="226">
    <w:name w:val="副标题 Char2"/>
    <w:autoRedefine/>
    <w:qFormat/>
    <w:uiPriority w:val="0"/>
    <w:rPr>
      <w:rFonts w:ascii="Cambria" w:hAnsi="Cambria" w:eastAsia="宋体" w:cs="Times New Roman"/>
      <w:b/>
      <w:bCs/>
      <w:snapToGrid w:val="0"/>
      <w:kern w:val="28"/>
      <w:sz w:val="32"/>
      <w:szCs w:val="32"/>
    </w:rPr>
  </w:style>
  <w:style w:type="character" w:customStyle="1" w:styleId="227">
    <w:name w:val="标题4-dyf Char"/>
    <w:link w:val="228"/>
    <w:autoRedefine/>
    <w:qFormat/>
    <w:uiPriority w:val="0"/>
    <w:rPr>
      <w:rFonts w:ascii="Cambria" w:hAnsi="Cambria"/>
      <w:b/>
      <w:bCs/>
      <w:color w:val="000000"/>
      <w:kern w:val="2"/>
      <w:sz w:val="21"/>
      <w:szCs w:val="21"/>
    </w:rPr>
  </w:style>
  <w:style w:type="paragraph" w:customStyle="1" w:styleId="228">
    <w:name w:val="标题4-dyf"/>
    <w:basedOn w:val="6"/>
    <w:link w:val="22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autoRedefine/>
    <w:qFormat/>
    <w:uiPriority w:val="0"/>
    <w:rPr>
      <w:rFonts w:ascii="宋体" w:hAnsi="宋体" w:eastAsia="宋体"/>
      <w:color w:val="333333"/>
      <w:sz w:val="21"/>
      <w:szCs w:val="21"/>
      <w:u w:val="none"/>
    </w:rPr>
  </w:style>
  <w:style w:type="character" w:customStyle="1" w:styleId="230">
    <w:name w:val="冯 Char"/>
    <w:link w:val="231"/>
    <w:autoRedefine/>
    <w:qFormat/>
    <w:uiPriority w:val="0"/>
    <w:rPr>
      <w:rFonts w:ascii="宋体" w:hAnsi="宋体"/>
      <w:color w:val="000000"/>
      <w:sz w:val="24"/>
      <w:szCs w:val="24"/>
    </w:rPr>
  </w:style>
  <w:style w:type="paragraph" w:customStyle="1" w:styleId="231">
    <w:name w:val="冯"/>
    <w:basedOn w:val="1"/>
    <w:link w:val="230"/>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autoRedefine/>
    <w:qFormat/>
    <w:locked/>
    <w:uiPriority w:val="0"/>
    <w:rPr>
      <w:rFonts w:eastAsia="宋体"/>
      <w:kern w:val="2"/>
      <w:sz w:val="18"/>
      <w:szCs w:val="18"/>
      <w:lang w:val="en-US" w:eastAsia="zh-CN" w:bidi="ar-SA"/>
    </w:rPr>
  </w:style>
  <w:style w:type="character" w:customStyle="1" w:styleId="233">
    <w:name w:val="Char Char12"/>
    <w:autoRedefine/>
    <w:qFormat/>
    <w:uiPriority w:val="0"/>
    <w:rPr>
      <w:rFonts w:ascii="FangSong_GB2312" w:eastAsia="FangSong_GB2312"/>
      <w:b/>
      <w:bCs/>
      <w:kern w:val="2"/>
      <w:sz w:val="24"/>
      <w:szCs w:val="24"/>
      <w:lang w:val="zh-CN" w:eastAsia="zh-CN" w:bidi="ar-SA"/>
    </w:rPr>
  </w:style>
  <w:style w:type="character" w:customStyle="1" w:styleId="234">
    <w:name w:val="题注 Char"/>
    <w:link w:val="20"/>
    <w:autoRedefine/>
    <w:qFormat/>
    <w:uiPriority w:val="0"/>
    <w:rPr>
      <w:b/>
      <w:kern w:val="2"/>
      <w:sz w:val="28"/>
    </w:rPr>
  </w:style>
  <w:style w:type="character" w:customStyle="1" w:styleId="235">
    <w:name w:val="普通文字 Char3"/>
    <w:autoRedefine/>
    <w:qFormat/>
    <w:uiPriority w:val="0"/>
    <w:rPr>
      <w:rFonts w:ascii="宋体" w:hAnsi="Courier New" w:eastAsia="宋体"/>
      <w:kern w:val="2"/>
      <w:sz w:val="21"/>
      <w:lang w:val="en-US" w:eastAsia="zh-CN" w:bidi="ar-SA"/>
    </w:rPr>
  </w:style>
  <w:style w:type="character" w:customStyle="1" w:styleId="236">
    <w:name w:val="公文正文 Char"/>
    <w:autoRedefine/>
    <w:qFormat/>
    <w:uiPriority w:val="0"/>
    <w:rPr>
      <w:rFonts w:ascii="FangSong_GB2312" w:eastAsia="FangSong_GB2312"/>
      <w:kern w:val="2"/>
      <w:sz w:val="24"/>
      <w:szCs w:val="24"/>
      <w:lang w:val="en-US" w:eastAsia="zh-CN" w:bidi="ar-SA"/>
    </w:rPr>
  </w:style>
  <w:style w:type="character" w:customStyle="1" w:styleId="237">
    <w:name w:val="正文首行缩进 Char Char Char Char Char"/>
    <w:autoRedefine/>
    <w:qFormat/>
    <w:uiPriority w:val="0"/>
    <w:rPr>
      <w:rFonts w:ascii="宋体"/>
      <w:kern w:val="2"/>
      <w:sz w:val="24"/>
      <w:lang w:val="zh-CN"/>
    </w:rPr>
  </w:style>
  <w:style w:type="character" w:customStyle="1" w:styleId="238">
    <w:name w:val="PI Char"/>
    <w:autoRedefine/>
    <w:qFormat/>
    <w:uiPriority w:val="0"/>
    <w:rPr>
      <w:rFonts w:ascii="宋体" w:hAnsi="宋体" w:eastAsia="宋体"/>
      <w:kern w:val="2"/>
      <w:sz w:val="24"/>
      <w:szCs w:val="24"/>
      <w:lang w:val="en-US" w:eastAsia="zh-CN" w:bidi="ar-SA"/>
    </w:rPr>
  </w:style>
  <w:style w:type="character" w:customStyle="1" w:styleId="239">
    <w:name w:val="Default Char"/>
    <w:link w:val="240"/>
    <w:autoRedefine/>
    <w:qFormat/>
    <w:uiPriority w:val="0"/>
    <w:rPr>
      <w:rFonts w:ascii="FangSong_GB2312" w:eastAsia="FangSong_GB2312" w:cs="FangSong_GB2312"/>
      <w:color w:val="000000"/>
      <w:sz w:val="24"/>
      <w:szCs w:val="24"/>
      <w:lang w:val="en-US" w:eastAsia="zh-CN" w:bidi="ar-SA"/>
    </w:rPr>
  </w:style>
  <w:style w:type="paragraph" w:customStyle="1" w:styleId="240">
    <w:name w:val="Default"/>
    <w:link w:val="239"/>
    <w:autoRedefine/>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character" w:customStyle="1" w:styleId="241">
    <w:name w:val="style91"/>
    <w:autoRedefine/>
    <w:qFormat/>
    <w:uiPriority w:val="0"/>
    <w:rPr>
      <w:color w:val="333333"/>
    </w:rPr>
  </w:style>
  <w:style w:type="character" w:customStyle="1" w:styleId="242">
    <w:name w:val="列出段落 Char2"/>
    <w:autoRedefine/>
    <w:qFormat/>
    <w:uiPriority w:val="34"/>
    <w:rPr>
      <w:rFonts w:ascii="Calibri" w:hAnsi="Calibri"/>
      <w:kern w:val="2"/>
      <w:sz w:val="28"/>
    </w:rPr>
  </w:style>
  <w:style w:type="character" w:customStyle="1" w:styleId="243">
    <w:name w:val="mdeck"/>
    <w:autoRedefine/>
    <w:qFormat/>
    <w:uiPriority w:val="0"/>
    <w:rPr>
      <w:rFonts w:ascii="FangSong_GB2312" w:eastAsia="微软雅黑"/>
      <w:b/>
      <w:kern w:val="2"/>
      <w:sz w:val="32"/>
      <w:szCs w:val="32"/>
      <w:lang w:val="en-US" w:eastAsia="zh-CN" w:bidi="ar-SA"/>
    </w:rPr>
  </w:style>
  <w:style w:type="character" w:customStyle="1" w:styleId="244">
    <w:name w:val="unnamed11"/>
    <w:autoRedefine/>
    <w:qFormat/>
    <w:uiPriority w:val="0"/>
    <w:rPr>
      <w:sz w:val="20"/>
      <w:szCs w:val="20"/>
    </w:rPr>
  </w:style>
  <w:style w:type="character" w:customStyle="1" w:styleId="245">
    <w:name w:val="正文文本 Char2"/>
    <w:autoRedefine/>
    <w:semiHidden/>
    <w:qFormat/>
    <w:uiPriority w:val="99"/>
    <w:rPr>
      <w:rFonts w:ascii="Times New Roman" w:hAnsi="Times New Roman" w:eastAsia="宋体" w:cs="Times New Roman"/>
      <w:snapToGrid w:val="0"/>
      <w:kern w:val="0"/>
      <w:szCs w:val="24"/>
    </w:rPr>
  </w:style>
  <w:style w:type="character" w:customStyle="1" w:styleId="246">
    <w:name w:val="标书正文格式 Char"/>
    <w:autoRedefine/>
    <w:qFormat/>
    <w:uiPriority w:val="0"/>
    <w:rPr>
      <w:rFonts w:eastAsia="楷体_GB2312"/>
      <w:kern w:val="2"/>
      <w:sz w:val="24"/>
      <w:szCs w:val="24"/>
      <w:lang w:bidi="ar-SA"/>
    </w:rPr>
  </w:style>
  <w:style w:type="character" w:customStyle="1" w:styleId="247">
    <w:name w:val="Char Char11"/>
    <w:autoRedefine/>
    <w:qFormat/>
    <w:locked/>
    <w:uiPriority w:val="0"/>
    <w:rPr>
      <w:rFonts w:ascii="宋体" w:hAnsi="宋体" w:eastAsia="宋体"/>
      <w:b/>
      <w:kern w:val="2"/>
      <w:sz w:val="24"/>
      <w:szCs w:val="24"/>
      <w:lang w:val="en-US" w:eastAsia="zh-CN" w:bidi="ar-SA"/>
    </w:rPr>
  </w:style>
  <w:style w:type="character" w:customStyle="1" w:styleId="248">
    <w:name w:val="ca-131"/>
    <w:autoRedefine/>
    <w:qFormat/>
    <w:uiPriority w:val="0"/>
    <w:rPr>
      <w:rFonts w:hint="eastAsia" w:ascii="FangSong_GB2312" w:eastAsia="FangSong_GB2312"/>
      <w:b/>
      <w:bCs/>
      <w:color w:val="000000"/>
      <w:spacing w:val="-20"/>
      <w:sz w:val="24"/>
      <w:szCs w:val="24"/>
    </w:rPr>
  </w:style>
  <w:style w:type="character" w:customStyle="1" w:styleId="249">
    <w:name w:val="tw4winMark"/>
    <w:autoRedefine/>
    <w:qFormat/>
    <w:uiPriority w:val="0"/>
    <w:rPr>
      <w:rFonts w:ascii="Courier New" w:hAnsi="Courier New" w:cs="Courier New"/>
      <w:vanish/>
      <w:color w:val="800080"/>
      <w:sz w:val="24"/>
      <w:szCs w:val="24"/>
      <w:vertAlign w:val="subscript"/>
    </w:rPr>
  </w:style>
  <w:style w:type="character" w:customStyle="1" w:styleId="250">
    <w:name w:val="正文样式 Char"/>
    <w:link w:val="251"/>
    <w:autoRedefine/>
    <w:qFormat/>
    <w:uiPriority w:val="0"/>
    <w:rPr>
      <w:rFonts w:ascii="Calibri" w:hAnsi="Calibri"/>
      <w:sz w:val="24"/>
      <w:szCs w:val="24"/>
    </w:rPr>
  </w:style>
  <w:style w:type="paragraph" w:customStyle="1" w:styleId="251">
    <w:name w:val="正文样式"/>
    <w:basedOn w:val="1"/>
    <w:link w:val="250"/>
    <w:autoRedefine/>
    <w:qFormat/>
    <w:uiPriority w:val="0"/>
    <w:pPr>
      <w:adjustRightInd/>
      <w:spacing w:line="360" w:lineRule="auto"/>
      <w:ind w:firstLine="480" w:firstLineChars="200"/>
    </w:pPr>
    <w:rPr>
      <w:kern w:val="0"/>
      <w:sz w:val="24"/>
    </w:rPr>
  </w:style>
  <w:style w:type="character" w:customStyle="1" w:styleId="252">
    <w:name w:val="表正文 Char3"/>
    <w:autoRedefine/>
    <w:qFormat/>
    <w:uiPriority w:val="0"/>
    <w:rPr>
      <w:rFonts w:eastAsia="宋体"/>
    </w:rPr>
  </w:style>
  <w:style w:type="character" w:customStyle="1" w:styleId="253">
    <w:name w:val="H5 Char"/>
    <w:autoRedefine/>
    <w:qFormat/>
    <w:uiPriority w:val="0"/>
    <w:rPr>
      <w:b/>
      <w:bCs/>
      <w:kern w:val="2"/>
      <w:sz w:val="28"/>
      <w:szCs w:val="28"/>
    </w:rPr>
  </w:style>
  <w:style w:type="character" w:customStyle="1" w:styleId="254">
    <w:name w:val="Char Char3"/>
    <w:autoRedefine/>
    <w:qFormat/>
    <w:uiPriority w:val="0"/>
    <w:rPr>
      <w:rFonts w:eastAsia="宋体"/>
      <w:kern w:val="2"/>
      <w:sz w:val="21"/>
      <w:szCs w:val="24"/>
      <w:lang w:val="en-US" w:eastAsia="zh-CN" w:bidi="ar-SA"/>
    </w:rPr>
  </w:style>
  <w:style w:type="character" w:customStyle="1" w:styleId="255">
    <w:name w:val="正文 编号 Char"/>
    <w:autoRedefine/>
    <w:qFormat/>
    <w:uiPriority w:val="0"/>
    <w:rPr>
      <w:rFonts w:ascii="FangSong_GB2312" w:hAnsi="FangSong_GB2312" w:eastAsia="FangSong_GB2312"/>
      <w:kern w:val="2"/>
      <w:sz w:val="24"/>
      <w:lang w:bidi="ar-SA"/>
    </w:rPr>
  </w:style>
  <w:style w:type="character" w:customStyle="1" w:styleId="256">
    <w:name w:val="question-title2"/>
    <w:autoRedefine/>
    <w:qFormat/>
    <w:uiPriority w:val="6"/>
    <w:rPr>
      <w:rFonts w:ascii="Arial" w:hAnsi="Arial" w:eastAsia="黑体" w:cs="Arial"/>
      <w:snapToGrid w:val="0"/>
      <w:kern w:val="0"/>
      <w:szCs w:val="21"/>
    </w:rPr>
  </w:style>
  <w:style w:type="character" w:customStyle="1" w:styleId="257">
    <w:name w:val="gf正文1 Char Char"/>
    <w:link w:val="258"/>
    <w:autoRedefine/>
    <w:qFormat/>
    <w:uiPriority w:val="0"/>
    <w:rPr>
      <w:rFonts w:ascii="宋体" w:hAnsi="宋体" w:cs="宋体"/>
      <w:kern w:val="2"/>
      <w:sz w:val="24"/>
      <w:szCs w:val="24"/>
    </w:rPr>
  </w:style>
  <w:style w:type="paragraph" w:customStyle="1" w:styleId="258">
    <w:name w:val="gf正文1"/>
    <w:basedOn w:val="1"/>
    <w:link w:val="257"/>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autoRedefine/>
    <w:qFormat/>
    <w:uiPriority w:val="6"/>
    <w:rPr>
      <w:rFonts w:ascii="宋体" w:hAnsi="宋体"/>
      <w:kern w:val="1"/>
      <w:sz w:val="21"/>
    </w:rPr>
  </w:style>
  <w:style w:type="character" w:customStyle="1" w:styleId="260">
    <w:name w:val="正文缩进 Char3"/>
    <w:autoRedefine/>
    <w:qFormat/>
    <w:uiPriority w:val="0"/>
    <w:rPr>
      <w:rFonts w:ascii="宋体" w:eastAsia="宋体"/>
      <w:snapToGrid w:val="0"/>
      <w:color w:val="000000"/>
      <w:kern w:val="28"/>
      <w:sz w:val="28"/>
      <w:lang w:val="en-US" w:eastAsia="zh-CN" w:bidi="ar-SA"/>
    </w:rPr>
  </w:style>
  <w:style w:type="character" w:customStyle="1" w:styleId="261">
    <w:name w:val="列出段落 Char1"/>
    <w:link w:val="262"/>
    <w:autoRedefine/>
    <w:qFormat/>
    <w:uiPriority w:val="0"/>
    <w:rPr>
      <w:rFonts w:ascii="Calibri" w:hAnsi="Calibri"/>
      <w:sz w:val="24"/>
      <w:lang w:eastAsia="en-US"/>
    </w:rPr>
  </w:style>
  <w:style w:type="paragraph" w:customStyle="1" w:styleId="262">
    <w:name w:val="列表1"/>
    <w:basedOn w:val="1"/>
    <w:next w:val="263"/>
    <w:link w:val="261"/>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99"/>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FangSong_GB2312" w:eastAsia="FangSong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Char3"/>
    <w:link w:val="38"/>
    <w:autoRedefine/>
    <w:qFormat/>
    <w:uiPriority w:val="0"/>
    <w:rPr>
      <w:rFonts w:ascii="宋体" w:hAnsi="宋体"/>
      <w:kern w:val="2"/>
      <w:sz w:val="24"/>
      <w:szCs w:val="24"/>
    </w:rPr>
  </w:style>
  <w:style w:type="character" w:customStyle="1" w:styleId="271">
    <w:name w:val="font0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qFormat/>
    <w:uiPriority w:val="0"/>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rPr>
      <w:sz w:val="24"/>
    </w:r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标题 1 Char"/>
    <w:link w:val="3"/>
    <w:autoRedefine/>
    <w:qFormat/>
    <w:uiPriority w:val="9"/>
    <w:rPr>
      <w:b/>
      <w:bCs/>
      <w:kern w:val="44"/>
      <w:sz w:val="44"/>
      <w:szCs w:val="44"/>
    </w:rPr>
  </w:style>
  <w:style w:type="character" w:customStyle="1" w:styleId="289">
    <w:name w:val="Footer-Even Char1"/>
    <w:autoRedefine/>
    <w:qFormat/>
    <w:uiPriority w:val="0"/>
    <w:rPr>
      <w:rFonts w:eastAsia="宋体"/>
      <w:kern w:val="2"/>
      <w:sz w:val="18"/>
      <w:szCs w:val="18"/>
      <w:lang w:val="en-US" w:eastAsia="zh-CN" w:bidi="ar-SA"/>
    </w:rPr>
  </w:style>
  <w:style w:type="character" w:customStyle="1" w:styleId="290">
    <w:name w:val="Char Char29"/>
    <w:autoRedefine/>
    <w:qFormat/>
    <w:uiPriority w:val="6"/>
    <w:rPr>
      <w:rFonts w:ascii="Arial" w:hAnsi="Arial" w:eastAsia="微软雅黑"/>
      <w:b/>
      <w:kern w:val="1"/>
      <w:sz w:val="44"/>
      <w:szCs w:val="32"/>
      <w:lang w:val="en-US" w:eastAsia="zh-CN" w:bidi="ar-SA"/>
    </w:rPr>
  </w:style>
  <w:style w:type="character" w:customStyle="1" w:styleId="291">
    <w:name w:val="标题 Char2"/>
    <w:link w:val="66"/>
    <w:autoRedefine/>
    <w:qFormat/>
    <w:uiPriority w:val="10"/>
    <w:rPr>
      <w:b/>
      <w:sz w:val="24"/>
      <w:lang w:val="en-GB"/>
    </w:rPr>
  </w:style>
  <w:style w:type="character" w:customStyle="1" w:styleId="292">
    <w:name w:val="font81"/>
    <w:autoRedefine/>
    <w:qFormat/>
    <w:uiPriority w:val="0"/>
    <w:rPr>
      <w:rFonts w:ascii="微软雅黑" w:hAnsi="微软雅黑" w:eastAsia="微软雅黑" w:cs="微软雅黑"/>
      <w:color w:val="000000"/>
      <w:sz w:val="20"/>
      <w:szCs w:val="20"/>
      <w:u w:val="none"/>
    </w:rPr>
  </w:style>
  <w:style w:type="character" w:customStyle="1" w:styleId="29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4">
    <w:name w:val="t21"/>
    <w:autoRedefine/>
    <w:qFormat/>
    <w:uiPriority w:val="0"/>
    <w:rPr>
      <w:rFonts w:ascii="FangSong_GB2312" w:eastAsia="微软雅黑"/>
      <w:b/>
      <w:kern w:val="2"/>
      <w:sz w:val="23"/>
      <w:szCs w:val="23"/>
      <w:lang w:val="en-US" w:eastAsia="zh-CN" w:bidi="ar-SA"/>
    </w:rPr>
  </w:style>
  <w:style w:type="character" w:customStyle="1" w:styleId="295">
    <w:name w:val="样式8 Char"/>
    <w:autoRedefine/>
    <w:qFormat/>
    <w:uiPriority w:val="0"/>
    <w:rPr>
      <w:rFonts w:ascii="FangSong_GB2312" w:hAnsi="宋体" w:eastAsia="FangSong_GB2312"/>
      <w:b/>
      <w:bCs/>
      <w:kern w:val="2"/>
      <w:sz w:val="24"/>
      <w:szCs w:val="24"/>
    </w:rPr>
  </w:style>
  <w:style w:type="character" w:customStyle="1" w:styleId="296">
    <w:name w:val="表格 Char Char"/>
    <w:autoRedefine/>
    <w:qFormat/>
    <w:uiPriority w:val="0"/>
    <w:rPr>
      <w:rFonts w:ascii="宋体" w:hAnsi="宋体" w:eastAsia="宋体"/>
      <w:lang w:bidi="ar-SA"/>
    </w:rPr>
  </w:style>
  <w:style w:type="character" w:customStyle="1" w:styleId="297">
    <w:name w:val="正文文本 字符1"/>
    <w:autoRedefine/>
    <w:qFormat/>
    <w:uiPriority w:val="0"/>
    <w:rPr>
      <w:rFonts w:ascii="Calibri" w:hAnsi="Calibri" w:eastAsia="黑体" w:cs="Arial"/>
      <w:snapToGrid w:val="0"/>
      <w:kern w:val="2"/>
      <w:sz w:val="28"/>
      <w:szCs w:val="21"/>
    </w:rPr>
  </w:style>
  <w:style w:type="character" w:customStyle="1" w:styleId="298">
    <w:name w:val="标题 5 Char"/>
    <w:link w:val="7"/>
    <w:autoRedefine/>
    <w:qFormat/>
    <w:uiPriority w:val="9"/>
    <w:rPr>
      <w:b/>
      <w:bCs/>
      <w:kern w:val="2"/>
      <w:sz w:val="28"/>
      <w:szCs w:val="28"/>
    </w:rPr>
  </w:style>
  <w:style w:type="character" w:customStyle="1" w:styleId="299">
    <w:name w:val="标题 6 Char1"/>
    <w:autoRedefine/>
    <w:qFormat/>
    <w:uiPriority w:val="0"/>
    <w:rPr>
      <w:rFonts w:ascii="Arial" w:hAnsi="Arial" w:eastAsia="黑体" w:cs="Times New Roman"/>
      <w:b/>
      <w:sz w:val="24"/>
      <w:szCs w:val="20"/>
      <w:lang w:bidi="ar-SA"/>
    </w:rPr>
  </w:style>
  <w:style w:type="character" w:customStyle="1" w:styleId="300">
    <w:name w:val="带编号样式 Char"/>
    <w:autoRedefine/>
    <w:qFormat/>
    <w:uiPriority w:val="0"/>
    <w:rPr>
      <w:rFonts w:ascii="FangSong_GB2312" w:eastAsia="FangSong_GB2312"/>
      <w:color w:val="000000"/>
      <w:sz w:val="24"/>
      <w:lang w:bidi="ar-SA"/>
    </w:rPr>
  </w:style>
  <w:style w:type="character" w:customStyle="1" w:styleId="301">
    <w:name w:val="unnamed31"/>
    <w:autoRedefine/>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autoRedefine/>
    <w:qFormat/>
    <w:uiPriority w:val="0"/>
    <w:rPr>
      <w:rFonts w:ascii="宋体" w:eastAsia="宋体"/>
      <w:kern w:val="2"/>
      <w:sz w:val="24"/>
      <w:szCs w:val="24"/>
      <w:lang w:val="zh-CN" w:bidi="ar-SA"/>
    </w:rPr>
  </w:style>
  <w:style w:type="character" w:customStyle="1" w:styleId="303">
    <w:name w:val="称呼 Char"/>
    <w:link w:val="33"/>
    <w:autoRedefine/>
    <w:qFormat/>
    <w:uiPriority w:val="0"/>
    <w:rPr>
      <w:rFonts w:ascii="FangSong_GB2312" w:eastAsia="FangSong_GB2312"/>
      <w:kern w:val="2"/>
      <w:sz w:val="28"/>
    </w:rPr>
  </w:style>
  <w:style w:type="character" w:customStyle="1" w:styleId="304">
    <w:name w:val="文本正文 Char Char"/>
    <w:autoRedefine/>
    <w:qFormat/>
    <w:locked/>
    <w:uiPriority w:val="0"/>
    <w:rPr>
      <w:sz w:val="24"/>
      <w:lang w:bidi="ar-SA"/>
    </w:rPr>
  </w:style>
  <w:style w:type="character" w:customStyle="1" w:styleId="305">
    <w:name w:val="正文缩进 字符"/>
    <w:autoRedefine/>
    <w:qFormat/>
    <w:uiPriority w:val="0"/>
    <w:rPr>
      <w:rFonts w:ascii="宋体" w:eastAsia="宋体"/>
      <w:snapToGrid w:val="0"/>
      <w:color w:val="000000"/>
      <w:kern w:val="28"/>
      <w:sz w:val="28"/>
      <w:lang w:val="en-US" w:eastAsia="zh-CN" w:bidi="ar-SA"/>
    </w:rPr>
  </w:style>
  <w:style w:type="character" w:customStyle="1" w:styleId="306">
    <w:name w:val="HTML 预设格式 Char"/>
    <w:link w:val="64"/>
    <w:autoRedefine/>
    <w:qFormat/>
    <w:uiPriority w:val="0"/>
    <w:rPr>
      <w:rFonts w:ascii="黑体" w:hAnsi="Courier New" w:eastAsia="黑体"/>
    </w:rPr>
  </w:style>
  <w:style w:type="character" w:customStyle="1" w:styleId="307">
    <w:name w:val="正文文本 2 Char1"/>
    <w:link w:val="27"/>
    <w:autoRedefine/>
    <w:qFormat/>
    <w:uiPriority w:val="0"/>
    <w:rPr>
      <w:kern w:val="2"/>
      <w:sz w:val="21"/>
      <w:szCs w:val="24"/>
    </w:rPr>
  </w:style>
  <w:style w:type="character" w:customStyle="1" w:styleId="308">
    <w:name w:val="样式 样式 标题 4h4H4Fab-4T5Ref Heading 1rh1Heading sqlsect 1.2.3.... +... Char"/>
    <w:link w:val="309"/>
    <w:autoRedefine/>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autoRedefine/>
    <w:qFormat/>
    <w:uiPriority w:val="0"/>
    <w:pPr>
      <w:tabs>
        <w:tab w:val="left" w:pos="2356"/>
      </w:tabs>
    </w:pPr>
  </w:style>
  <w:style w:type="paragraph" w:customStyle="1" w:styleId="310">
    <w:name w:val="样式 标题 4h4H4Fab-4T5Ref Heading 1rh1Heading sqlsect 1.2.3...."/>
    <w:basedOn w:val="6"/>
    <w:link w:val="4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autoRedefine/>
    <w:qFormat/>
    <w:uiPriority w:val="0"/>
    <w:rPr>
      <w:rFonts w:ascii="宋体" w:eastAsia="宋体"/>
      <w:snapToGrid w:val="0"/>
      <w:color w:val="000000"/>
      <w:kern w:val="28"/>
      <w:sz w:val="28"/>
      <w:lang w:val="en-US" w:eastAsia="zh-CN" w:bidi="ar-SA"/>
    </w:rPr>
  </w:style>
  <w:style w:type="character" w:customStyle="1" w:styleId="312">
    <w:name w:val="标题 7 Char"/>
    <w:link w:val="9"/>
    <w:autoRedefine/>
    <w:qFormat/>
    <w:uiPriority w:val="0"/>
    <w:rPr>
      <w:b/>
      <w:bCs/>
      <w:kern w:val="2"/>
      <w:sz w:val="24"/>
      <w:szCs w:val="24"/>
    </w:rPr>
  </w:style>
  <w:style w:type="character" w:customStyle="1" w:styleId="313">
    <w:name w:val="正文文本缩进 2 Char"/>
    <w:link w:val="48"/>
    <w:autoRedefine/>
    <w:qFormat/>
    <w:uiPriority w:val="0"/>
    <w:rPr>
      <w:rFonts w:ascii="宋体"/>
      <w:sz w:val="28"/>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Char"/>
    <w:link w:val="59"/>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autoRedefine/>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首行缩进 Char"/>
    <w:link w:val="37"/>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Char2"/>
    <w:link w:val="6"/>
    <w:autoRedefine/>
    <w:qFormat/>
    <w:uiPriority w:val="9"/>
    <w:rPr>
      <w:rFonts w:ascii="Arial" w:hAnsi="Arial" w:eastAsia="黑体"/>
      <w:b/>
      <w:bCs/>
      <w:kern w:val="2"/>
      <w:sz w:val="28"/>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Char"/>
    <w:link w:val="34"/>
    <w:autoRedefine/>
    <w:qFormat/>
    <w:uiPriority w:val="0"/>
    <w:rPr>
      <w:kern w:val="2"/>
      <w:sz w:val="21"/>
    </w:rPr>
  </w:style>
  <w:style w:type="character" w:customStyle="1" w:styleId="336">
    <w:name w:val="font31"/>
    <w:autoRedefine/>
    <w:qFormat/>
    <w:uiPriority w:val="0"/>
    <w:rPr>
      <w:rFonts w:hint="eastAsia" w:ascii="仿宋" w:hAnsi="仿宋" w:eastAsia="仿宋" w:cs="仿宋"/>
      <w:color w:val="000000"/>
      <w:sz w:val="20"/>
      <w:szCs w:val="20"/>
      <w:u w:val="none"/>
    </w:rPr>
  </w:style>
  <w:style w:type="character" w:customStyle="1" w:styleId="337">
    <w:name w:val="正文说明 Char"/>
    <w:link w:val="338"/>
    <w:autoRedefine/>
    <w:qFormat/>
    <w:uiPriority w:val="0"/>
    <w:rPr>
      <w:sz w:val="24"/>
      <w:szCs w:val="24"/>
    </w:rPr>
  </w:style>
  <w:style w:type="paragraph" w:customStyle="1" w:styleId="338">
    <w:name w:val="正文说明"/>
    <w:basedOn w:val="1"/>
    <w:link w:val="337"/>
    <w:autoRedefine/>
    <w:qFormat/>
    <w:uiPriority w:val="0"/>
    <w:pPr>
      <w:adjustRightInd/>
      <w:spacing w:line="360" w:lineRule="auto"/>
    </w:pPr>
    <w:rPr>
      <w:kern w:val="0"/>
      <w:sz w:val="24"/>
    </w:rPr>
  </w:style>
  <w:style w:type="character" w:customStyle="1" w:styleId="339">
    <w:name w:val="脚注文本 Char1"/>
    <w:autoRedefine/>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FangSong_GB2312" w:eastAsia="FangSong_GB2312"/>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jc w:val="left"/>
    </w:pPr>
    <w:rPr>
      <w:kern w:val="0"/>
      <w:sz w:val="24"/>
    </w:rPr>
  </w:style>
  <w:style w:type="character" w:customStyle="1" w:styleId="346">
    <w:name w:val="正文1 Char1"/>
    <w:autoRedefine/>
    <w:qFormat/>
    <w:uiPriority w:val="0"/>
    <w:rPr>
      <w:rFonts w:ascii="FangSong_GB2312" w:hAnsi="Courier New" w:eastAsia="FangSong_GB2312"/>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Char1"/>
    <w:link w:val="23"/>
    <w:autoRedefine/>
    <w:qFormat/>
    <w:uiPriority w:val="0"/>
    <w:rPr>
      <w:kern w:val="2"/>
      <w:sz w:val="21"/>
      <w:szCs w:val="24"/>
    </w:rPr>
  </w:style>
  <w:style w:type="character" w:customStyle="1" w:styleId="350">
    <w:name w:val="签名 Char"/>
    <w:link w:val="51"/>
    <w:autoRedefine/>
    <w:qFormat/>
    <w:uiPriority w:val="0"/>
    <w:rPr>
      <w:rFonts w:eastAsia="FangSong_GB2312"/>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FangSong_GB2312"/>
      <w:sz w:val="24"/>
    </w:rPr>
  </w:style>
  <w:style w:type="character" w:customStyle="1" w:styleId="353">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4">
    <w:name w:val="Char Char37"/>
    <w:autoRedefine/>
    <w:qFormat/>
    <w:uiPriority w:val="6"/>
    <w:rPr>
      <w:b/>
      <w:kern w:val="1"/>
      <w:sz w:val="44"/>
      <w:szCs w:val="44"/>
    </w:rPr>
  </w:style>
  <w:style w:type="character" w:customStyle="1" w:styleId="355">
    <w:name w:val="列出段落 Char"/>
    <w:autoRedefine/>
    <w:qFormat/>
    <w:uiPriority w:val="0"/>
    <w:rPr>
      <w:rFonts w:eastAsia="楷体_GB2312" w:cs="Lucida Sans"/>
      <w:kern w:val="2"/>
      <w:sz w:val="24"/>
      <w:szCs w:val="24"/>
      <w:lang w:val="en-US" w:eastAsia="zh-CN" w:bidi="ar-SA"/>
    </w:rPr>
  </w:style>
  <w:style w:type="character" w:customStyle="1" w:styleId="356">
    <w:name w:val="正文文本缩进 3 Char1"/>
    <w:autoRedefine/>
    <w:semiHidden/>
    <w:qFormat/>
    <w:uiPriority w:val="99"/>
    <w:rPr>
      <w:rFonts w:ascii="Times New Roman" w:hAnsi="Times New Roman" w:eastAsia="宋体" w:cs="Times New Roman"/>
      <w:sz w:val="16"/>
      <w:szCs w:val="16"/>
    </w:rPr>
  </w:style>
  <w:style w:type="character" w:customStyle="1" w:styleId="357">
    <w:name w:val="公文正文 Char Char"/>
    <w:link w:val="358"/>
    <w:autoRedefine/>
    <w:qFormat/>
    <w:uiPriority w:val="0"/>
    <w:rPr>
      <w:rFonts w:ascii="FangSong_GB2312" w:eastAsia="FangSong_GB2312"/>
      <w:kern w:val="2"/>
      <w:sz w:val="24"/>
      <w:szCs w:val="24"/>
    </w:rPr>
  </w:style>
  <w:style w:type="paragraph" w:customStyle="1" w:styleId="358">
    <w:name w:val="公文正文"/>
    <w:basedOn w:val="1"/>
    <w:link w:val="357"/>
    <w:autoRedefine/>
    <w:qFormat/>
    <w:uiPriority w:val="0"/>
    <w:pPr>
      <w:adjustRightInd/>
      <w:spacing w:before="156" w:line="360" w:lineRule="auto"/>
      <w:ind w:firstLine="360" w:firstLineChars="200"/>
    </w:pPr>
    <w:rPr>
      <w:rFonts w:ascii="FangSong_GB2312" w:eastAsia="FangSong_GB2312"/>
      <w:sz w:val="24"/>
    </w:rPr>
  </w:style>
  <w:style w:type="character" w:customStyle="1" w:styleId="359">
    <w:name w:val="Table Text Char1"/>
    <w:autoRedefine/>
    <w:qFormat/>
    <w:uiPriority w:val="0"/>
    <w:rPr>
      <w:rFonts w:eastAsia="宋体"/>
      <w:sz w:val="24"/>
      <w:szCs w:val="24"/>
      <w:lang w:val="en-US" w:eastAsia="zh-CN" w:bidi="ar-SA"/>
    </w:rPr>
  </w:style>
  <w:style w:type="character" w:customStyle="1" w:styleId="360">
    <w:name w:val="标题 1 Char Char"/>
    <w:autoRedefine/>
    <w:qFormat/>
    <w:uiPriority w:val="0"/>
    <w:rPr>
      <w:rFonts w:hint="eastAsia" w:ascii="宋体" w:hAnsi="宋体" w:eastAsia="宋体"/>
      <w:b/>
      <w:spacing w:val="-2"/>
      <w:sz w:val="24"/>
      <w:lang w:val="en-US" w:eastAsia="zh-CN" w:bidi="ar-SA"/>
    </w:rPr>
  </w:style>
  <w:style w:type="character" w:customStyle="1" w:styleId="361">
    <w:name w:val="正文（缩进2汉字） Char"/>
    <w:link w:val="362"/>
    <w:autoRedefine/>
    <w:qFormat/>
    <w:uiPriority w:val="0"/>
    <w:rPr>
      <w:rFonts w:ascii="宋体"/>
    </w:rPr>
  </w:style>
  <w:style w:type="paragraph" w:customStyle="1" w:styleId="362">
    <w:name w:val="正文（缩进2汉字）"/>
    <w:basedOn w:val="1"/>
    <w:link w:val="36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0"/>
    <w:autoRedefine/>
    <w:qFormat/>
    <w:uiPriority w:val="0"/>
    <w:rPr>
      <w:rFonts w:ascii="Arial" w:hAnsi="Arial" w:eastAsia="黑体"/>
      <w:kern w:val="2"/>
      <w:sz w:val="24"/>
      <w:szCs w:val="24"/>
    </w:rPr>
  </w:style>
  <w:style w:type="character" w:customStyle="1" w:styleId="364">
    <w:name w:val="标书表格字体格式 Char"/>
    <w:autoRedefine/>
    <w:qFormat/>
    <w:uiPriority w:val="0"/>
    <w:rPr>
      <w:kern w:val="2"/>
      <w:sz w:val="21"/>
      <w:szCs w:val="24"/>
      <w:lang w:bidi="ar-SA"/>
    </w:rPr>
  </w:style>
  <w:style w:type="character" w:customStyle="1" w:styleId="365">
    <w:name w:val="tw4winError"/>
    <w:autoRedefine/>
    <w:qFormat/>
    <w:uiPriority w:val="0"/>
    <w:rPr>
      <w:rFonts w:ascii="Courier New" w:hAnsi="Courier New" w:cs="Courier New"/>
      <w:color w:val="00FF00"/>
      <w:sz w:val="40"/>
      <w:szCs w:val="40"/>
    </w:rPr>
  </w:style>
  <w:style w:type="character" w:customStyle="1" w:styleId="366">
    <w:name w:val="Body Text(ch) Char Char"/>
    <w:autoRedefine/>
    <w:qFormat/>
    <w:uiPriority w:val="0"/>
    <w:rPr>
      <w:rFonts w:ascii="宋体"/>
      <w:kern w:val="2"/>
      <w:sz w:val="24"/>
      <w:szCs w:val="21"/>
      <w:lang w:val="zh-CN"/>
    </w:rPr>
  </w:style>
  <w:style w:type="character" w:customStyle="1" w:styleId="367">
    <w:name w:val="正文首行缩进两字 Char"/>
    <w:autoRedefine/>
    <w:qFormat/>
    <w:uiPriority w:val="0"/>
    <w:rPr>
      <w:sz w:val="24"/>
      <w:szCs w:val="24"/>
      <w:lang w:val="en-US" w:eastAsia="zh-CN" w:bidi="ar-SA"/>
    </w:rPr>
  </w:style>
  <w:style w:type="character" w:customStyle="1" w:styleId="368">
    <w:name w:val="正文文本 Char"/>
    <w:autoRedefine/>
    <w:qFormat/>
    <w:uiPriority w:val="0"/>
    <w:rPr>
      <w:rFonts w:eastAsia="宋体"/>
      <w:kern w:val="2"/>
      <w:sz w:val="24"/>
      <w:szCs w:val="24"/>
      <w:lang w:val="en-US" w:eastAsia="zh-CN" w:bidi="ar-SA"/>
    </w:rPr>
  </w:style>
  <w:style w:type="character" w:customStyle="1" w:styleId="369">
    <w:name w:val="文档结构图 字符1"/>
    <w:autoRedefine/>
    <w:qFormat/>
    <w:uiPriority w:val="0"/>
    <w:rPr>
      <w:rFonts w:ascii="宋体" w:hAnsi="Calibri" w:eastAsia="黑体" w:cs="Arial"/>
      <w:snapToGrid w:val="0"/>
      <w:kern w:val="2"/>
      <w:sz w:val="18"/>
      <w:szCs w:val="18"/>
    </w:rPr>
  </w:style>
  <w:style w:type="character" w:customStyle="1" w:styleId="370">
    <w:name w:val="content"/>
    <w:autoRedefine/>
    <w:qFormat/>
    <w:uiPriority w:val="0"/>
  </w:style>
  <w:style w:type="character" w:customStyle="1" w:styleId="371">
    <w:name w:val="tw4winPopup"/>
    <w:autoRedefine/>
    <w:qFormat/>
    <w:uiPriority w:val="0"/>
    <w:rPr>
      <w:rFonts w:ascii="Courier New" w:hAnsi="Courier New" w:cs="Courier New"/>
      <w:color w:val="008000"/>
      <w:lang w:val="en-US" w:eastAsia="zh-CN"/>
    </w:rPr>
  </w:style>
  <w:style w:type="character" w:customStyle="1" w:styleId="372">
    <w:name w:val="param-name"/>
    <w:autoRedefine/>
    <w:qFormat/>
    <w:uiPriority w:val="99"/>
    <w:rPr>
      <w:rFonts w:ascii="Arial" w:hAnsi="Arial" w:eastAsia="黑体" w:cs="Arial"/>
      <w:snapToGrid w:val="0"/>
      <w:kern w:val="0"/>
      <w:szCs w:val="21"/>
    </w:rPr>
  </w:style>
  <w:style w:type="character" w:customStyle="1" w:styleId="373">
    <w:name w:val="标准正文格式 Char"/>
    <w:autoRedefine/>
    <w:qFormat/>
    <w:uiPriority w:val="0"/>
    <w:rPr>
      <w:rFonts w:ascii="宋体" w:eastAsia="FangSong_GB2312" w:cs="宋体"/>
      <w:color w:val="000000"/>
      <w:sz w:val="24"/>
      <w:lang w:val="en-US" w:eastAsia="zh-CN" w:bidi="ar-SA"/>
    </w:rPr>
  </w:style>
  <w:style w:type="character" w:customStyle="1" w:styleId="374">
    <w:name w:val="Char Char212"/>
    <w:autoRedefine/>
    <w:qFormat/>
    <w:uiPriority w:val="0"/>
    <w:rPr>
      <w:rFonts w:eastAsia="宋体"/>
      <w:b/>
      <w:bCs/>
      <w:kern w:val="2"/>
      <w:sz w:val="21"/>
      <w:szCs w:val="24"/>
      <w:lang w:val="en-US" w:eastAsia="zh-CN" w:bidi="ar-SA"/>
    </w:rPr>
  </w:style>
  <w:style w:type="character" w:customStyle="1" w:styleId="375">
    <w:name w:val="文档结构图 Char"/>
    <w:autoRedefine/>
    <w:qFormat/>
    <w:uiPriority w:val="0"/>
    <w:rPr>
      <w:rFonts w:eastAsia="宋体"/>
      <w:kern w:val="2"/>
      <w:sz w:val="21"/>
      <w:szCs w:val="24"/>
      <w:lang w:val="en-US" w:eastAsia="zh-CN" w:bidi="ar-SA"/>
    </w:rPr>
  </w:style>
  <w:style w:type="character" w:customStyle="1" w:styleId="376">
    <w:name w:val="zbggmain style9"/>
    <w:autoRedefine/>
    <w:qFormat/>
    <w:uiPriority w:val="0"/>
  </w:style>
  <w:style w:type="character" w:customStyle="1" w:styleId="377">
    <w:name w:val="Char Char16"/>
    <w:autoRedefine/>
    <w:qFormat/>
    <w:uiPriority w:val="6"/>
    <w:rPr>
      <w:kern w:val="1"/>
      <w:sz w:val="18"/>
      <w:szCs w:val="18"/>
    </w:rPr>
  </w:style>
  <w:style w:type="character" w:customStyle="1" w:styleId="378">
    <w:name w:val="font51"/>
    <w:autoRedefine/>
    <w:qFormat/>
    <w:uiPriority w:val="0"/>
    <w:rPr>
      <w:rFonts w:hint="eastAsia" w:ascii="仿宋" w:hAnsi="仿宋" w:eastAsia="仿宋" w:cs="仿宋"/>
      <w:color w:val="000000"/>
      <w:sz w:val="20"/>
      <w:szCs w:val="20"/>
      <w:u w:val="none"/>
    </w:rPr>
  </w:style>
  <w:style w:type="character" w:customStyle="1" w:styleId="379">
    <w:name w:val="Char Char82"/>
    <w:autoRedefine/>
    <w:qFormat/>
    <w:uiPriority w:val="0"/>
    <w:rPr>
      <w:rFonts w:eastAsia="宋体"/>
      <w:b/>
      <w:sz w:val="24"/>
      <w:lang w:val="en-GB" w:eastAsia="zh-CN"/>
    </w:rPr>
  </w:style>
  <w:style w:type="character" w:customStyle="1" w:styleId="380">
    <w:name w:val="正文文本缩进 3 Char"/>
    <w:link w:val="62"/>
    <w:autoRedefine/>
    <w:qFormat/>
    <w:uiPriority w:val="0"/>
    <w:rPr>
      <w:kern w:val="2"/>
      <w:sz w:val="24"/>
    </w:rPr>
  </w:style>
  <w:style w:type="character" w:customStyle="1" w:styleId="381">
    <w:name w:val="日期 Char1"/>
    <w:autoRedefine/>
    <w:semiHidden/>
    <w:qFormat/>
    <w:uiPriority w:val="99"/>
    <w:rPr>
      <w:rFonts w:ascii="Times New Roman" w:hAnsi="Times New Roman" w:eastAsia="宋体" w:cs="Times New Roman"/>
      <w:szCs w:val="24"/>
    </w:rPr>
  </w:style>
  <w:style w:type="character" w:customStyle="1" w:styleId="382">
    <w:name w:val="页眉 字符"/>
    <w:autoRedefine/>
    <w:qFormat/>
    <w:uiPriority w:val="99"/>
    <w:rPr>
      <w:kern w:val="2"/>
      <w:sz w:val="18"/>
      <w:szCs w:val="18"/>
    </w:rPr>
  </w:style>
  <w:style w:type="character" w:customStyle="1" w:styleId="383">
    <w:name w:val="Char Char33"/>
    <w:autoRedefine/>
    <w:qFormat/>
    <w:uiPriority w:val="6"/>
    <w:rPr>
      <w:rFonts w:ascii="Arial" w:hAnsi="Arial" w:eastAsia="黑体"/>
      <w:b/>
      <w:kern w:val="1"/>
      <w:sz w:val="24"/>
      <w:szCs w:val="24"/>
    </w:rPr>
  </w:style>
  <w:style w:type="character" w:customStyle="1" w:styleId="384">
    <w:name w:val="b11_01b Char"/>
    <w:link w:val="385"/>
    <w:autoRedefine/>
    <w:qFormat/>
    <w:uiPriority w:val="0"/>
    <w:rPr>
      <w:rFonts w:ascii="Verdana" w:hAnsi="Verdana"/>
      <w:b/>
      <w:bCs/>
      <w:color w:val="4A82CA"/>
      <w:sz w:val="17"/>
      <w:szCs w:val="17"/>
    </w:rPr>
  </w:style>
  <w:style w:type="paragraph" w:customStyle="1" w:styleId="385">
    <w:name w:val="b11_01b"/>
    <w:basedOn w:val="1"/>
    <w:next w:val="1"/>
    <w:link w:val="38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autoRedefine/>
    <w:qFormat/>
    <w:uiPriority w:val="6"/>
    <w:rPr>
      <w:rFonts w:ascii="FangSong_GB2312" w:eastAsia="FangSong_GB2312"/>
      <w:b/>
      <w:bCs/>
      <w:kern w:val="2"/>
      <w:sz w:val="24"/>
      <w:szCs w:val="24"/>
      <w:lang w:val="zh-CN" w:eastAsia="zh-CN" w:bidi="ar-SA"/>
    </w:rPr>
  </w:style>
  <w:style w:type="character" w:customStyle="1" w:styleId="387">
    <w:name w:val="Footer-Even Char"/>
    <w:autoRedefine/>
    <w:qFormat/>
    <w:uiPriority w:val="0"/>
    <w:rPr>
      <w:rFonts w:eastAsia="宋体"/>
      <w:kern w:val="2"/>
      <w:sz w:val="18"/>
      <w:lang w:val="en-US" w:eastAsia="zh-CN" w:bidi="ar-SA"/>
    </w:rPr>
  </w:style>
  <w:style w:type="character" w:customStyle="1" w:styleId="388">
    <w:name w:val="页脚 Char2"/>
    <w:link w:val="2"/>
    <w:autoRedefine/>
    <w:qFormat/>
    <w:locked/>
    <w:uiPriority w:val="99"/>
    <w:rPr>
      <w:kern w:val="2"/>
      <w:sz w:val="18"/>
      <w:szCs w:val="18"/>
    </w:rPr>
  </w:style>
  <w:style w:type="character" w:customStyle="1" w:styleId="389">
    <w:name w:val="Char Char36"/>
    <w:autoRedefine/>
    <w:qFormat/>
    <w:uiPriority w:val="6"/>
    <w:rPr>
      <w:rFonts w:ascii="FangSong_GB2312" w:hAnsi="FangSong_GB2312" w:eastAsia="FangSong_GB2312" w:cs="Arial"/>
      <w:b/>
      <w:kern w:val="1"/>
      <w:sz w:val="32"/>
      <w:szCs w:val="32"/>
      <w:lang w:val="zh-CN" w:eastAsia="zh-CN" w:bidi="ar-SA"/>
    </w:rPr>
  </w:style>
  <w:style w:type="character" w:customStyle="1" w:styleId="390">
    <w:name w:val="Char Char61"/>
    <w:autoRedefine/>
    <w:qFormat/>
    <w:uiPriority w:val="6"/>
    <w:rPr>
      <w:rFonts w:eastAsia="宋体"/>
      <w:kern w:val="2"/>
      <w:sz w:val="21"/>
      <w:szCs w:val="24"/>
      <w:lang w:val="en-US" w:eastAsia="zh-CN" w:bidi="ar-SA"/>
    </w:rPr>
  </w:style>
  <w:style w:type="character" w:customStyle="1" w:styleId="391">
    <w:name w:val="正文文字缩进 2 Char Char"/>
    <w:autoRedefine/>
    <w:qFormat/>
    <w:uiPriority w:val="0"/>
    <w:rPr>
      <w:rFonts w:ascii="宋体"/>
      <w:sz w:val="28"/>
    </w:rPr>
  </w:style>
  <w:style w:type="character" w:customStyle="1" w:styleId="392">
    <w:name w:val="f141"/>
    <w:autoRedefine/>
    <w:qFormat/>
    <w:uiPriority w:val="0"/>
    <w:rPr>
      <w:rFonts w:ascii="Tahoma" w:hAnsi="Tahoma" w:eastAsia="宋体"/>
      <w:b/>
      <w:kern w:val="2"/>
      <w:sz w:val="21"/>
      <w:szCs w:val="21"/>
      <w:lang w:val="en-US" w:eastAsia="zh-CN" w:bidi="ar-SA"/>
    </w:rPr>
  </w:style>
  <w:style w:type="character" w:customStyle="1" w:styleId="393">
    <w:name w:val="段落 Char Char"/>
    <w:link w:val="394"/>
    <w:autoRedefine/>
    <w:qFormat/>
    <w:uiPriority w:val="0"/>
    <w:rPr>
      <w:rFonts w:ascii="宋体" w:hAnsi="宋体"/>
      <w:sz w:val="24"/>
    </w:rPr>
  </w:style>
  <w:style w:type="paragraph" w:customStyle="1" w:styleId="394">
    <w:name w:val="段落"/>
    <w:basedOn w:val="1"/>
    <w:link w:val="393"/>
    <w:autoRedefine/>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autoRedefine/>
    <w:qFormat/>
    <w:uiPriority w:val="0"/>
    <w:rPr>
      <w:rFonts w:eastAsia="宋体"/>
      <w:b/>
      <w:bCs/>
      <w:kern w:val="2"/>
      <w:sz w:val="32"/>
      <w:szCs w:val="32"/>
      <w:lang w:val="en-US" w:eastAsia="zh-CN" w:bidi="ar-SA"/>
    </w:rPr>
  </w:style>
  <w:style w:type="character" w:customStyle="1" w:styleId="396">
    <w:name w:val="apple-converted-space"/>
    <w:autoRedefine/>
    <w:qFormat/>
    <w:uiPriority w:val="0"/>
  </w:style>
  <w:style w:type="character" w:customStyle="1" w:styleId="397">
    <w:name w:val="页眉 Char2"/>
    <w:link w:val="50"/>
    <w:autoRedefine/>
    <w:qFormat/>
    <w:uiPriority w:val="99"/>
    <w:rPr>
      <w:kern w:val="2"/>
      <w:sz w:val="18"/>
      <w:szCs w:val="18"/>
    </w:rPr>
  </w:style>
  <w:style w:type="character" w:customStyle="1" w:styleId="398">
    <w:name w:val="Char Char9"/>
    <w:autoRedefine/>
    <w:qFormat/>
    <w:uiPriority w:val="0"/>
    <w:rPr>
      <w:rFonts w:eastAsia="宋体"/>
      <w:kern w:val="2"/>
      <w:sz w:val="18"/>
      <w:szCs w:val="18"/>
      <w:lang w:val="en-US" w:eastAsia="zh-CN" w:bidi="ar-SA"/>
    </w:rPr>
  </w:style>
  <w:style w:type="character" w:customStyle="1" w:styleId="399">
    <w:name w:val="Char Char41"/>
    <w:autoRedefine/>
    <w:qFormat/>
    <w:uiPriority w:val="0"/>
    <w:rPr>
      <w:rFonts w:eastAsia="宋体"/>
      <w:b/>
      <w:sz w:val="24"/>
      <w:lang w:val="en-GB" w:eastAsia="zh-CN" w:bidi="ar-SA"/>
    </w:rPr>
  </w:style>
  <w:style w:type="character" w:customStyle="1" w:styleId="400">
    <w:name w:val="large1"/>
    <w:autoRedefine/>
    <w:qFormat/>
    <w:uiPriority w:val="0"/>
    <w:rPr>
      <w:rFonts w:hint="eastAsia" w:ascii="宋体" w:hAnsi="宋体" w:eastAsia="宋体"/>
      <w:sz w:val="21"/>
      <w:szCs w:val="21"/>
    </w:rPr>
  </w:style>
  <w:style w:type="character" w:customStyle="1" w:styleId="401">
    <w:name w:val="正文段 Char"/>
    <w:link w:val="402"/>
    <w:autoRedefine/>
    <w:qFormat/>
    <w:uiPriority w:val="0"/>
    <w:rPr>
      <w:sz w:val="24"/>
    </w:rPr>
  </w:style>
  <w:style w:type="paragraph" w:customStyle="1" w:styleId="402">
    <w:name w:val="正文段"/>
    <w:basedOn w:val="1"/>
    <w:link w:val="401"/>
    <w:autoRedefine/>
    <w:qFormat/>
    <w:uiPriority w:val="0"/>
    <w:pPr>
      <w:widowControl/>
      <w:snapToGrid w:val="0"/>
      <w:spacing w:afterLines="50"/>
      <w:ind w:firstLine="200" w:firstLineChars="200"/>
    </w:pPr>
    <w:rPr>
      <w:kern w:val="0"/>
      <w:sz w:val="24"/>
      <w:szCs w:val="20"/>
    </w:rPr>
  </w:style>
  <w:style w:type="character" w:customStyle="1" w:styleId="403">
    <w:name w:val="Char Char13"/>
    <w:autoRedefine/>
    <w:qFormat/>
    <w:uiPriority w:val="6"/>
    <w:rPr>
      <w:rFonts w:ascii="宋体" w:hAnsi="宋体"/>
      <w:kern w:val="1"/>
      <w:sz w:val="21"/>
      <w:szCs w:val="24"/>
    </w:rPr>
  </w:style>
  <w:style w:type="character" w:customStyle="1" w:styleId="4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qFormat/>
    <w:uiPriority w:val="0"/>
    <w:rPr>
      <w:rFonts w:ascii="宋体" w:hAnsi="宋体"/>
      <w:kern w:val="2"/>
      <w:sz w:val="24"/>
      <w:szCs w:val="22"/>
    </w:rPr>
  </w:style>
  <w:style w:type="paragraph" w:customStyle="1" w:styleId="406">
    <w:name w:val="冯广丽"/>
    <w:basedOn w:val="1"/>
    <w:link w:val="405"/>
    <w:autoRedefine/>
    <w:qFormat/>
    <w:uiPriority w:val="0"/>
    <w:pPr>
      <w:adjustRightInd/>
      <w:spacing w:line="360" w:lineRule="auto"/>
      <w:ind w:firstLine="480" w:firstLineChars="200"/>
    </w:pPr>
    <w:rPr>
      <w:rFonts w:ascii="宋体" w:hAnsi="宋体"/>
      <w:sz w:val="24"/>
      <w:szCs w:val="22"/>
    </w:rPr>
  </w:style>
  <w:style w:type="character" w:customStyle="1" w:styleId="407">
    <w:name w:val="批注文字 字符"/>
    <w:autoRedefine/>
    <w:qFormat/>
    <w:uiPriority w:val="0"/>
    <w:rPr>
      <w:rFonts w:ascii="Arial" w:hAnsi="Arial" w:eastAsia="黑体" w:cs="Arial"/>
      <w:snapToGrid w:val="0"/>
      <w:kern w:val="0"/>
      <w:szCs w:val="21"/>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autoRedefine/>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qFormat/>
    <w:uiPriority w:val="0"/>
    <w:rPr>
      <w:rFonts w:ascii="Times New Roman" w:hAnsi="Times New Roman" w:eastAsia="宋体" w:cs="Times New Roman"/>
      <w:sz w:val="20"/>
      <w:szCs w:val="20"/>
    </w:rPr>
  </w:style>
  <w:style w:type="character" w:customStyle="1" w:styleId="412">
    <w:name w:val="编号，小四 Char"/>
    <w:link w:val="413"/>
    <w:autoRedefine/>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autoRedefine/>
    <w:qFormat/>
    <w:uiPriority w:val="99"/>
    <w:rPr>
      <w:rFonts w:ascii="宋体" w:eastAsia="宋体" w:cs="宋体"/>
      <w:color w:val="000000"/>
      <w:sz w:val="14"/>
      <w:szCs w:val="14"/>
    </w:rPr>
  </w:style>
  <w:style w:type="character" w:customStyle="1" w:styleId="4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ˎ̥" w:hAnsi="ˎ̥"/>
      <w:color w:val="000000"/>
      <w:sz w:val="20"/>
      <w:szCs w:val="20"/>
      <w:u w:val="none"/>
    </w:rPr>
  </w:style>
  <w:style w:type="character" w:customStyle="1" w:styleId="418">
    <w:name w:val="样式 标题 4h4H4Fab-4T5Ref Heading 1rh1Heading sqlsect 1.2.3.... Char"/>
    <w:link w:val="310"/>
    <w:autoRedefine/>
    <w:qFormat/>
    <w:uiPriority w:val="0"/>
    <w:rPr>
      <w:rFonts w:ascii="微软雅黑" w:hAnsi="微软雅黑" w:eastAsia="微软雅黑"/>
      <w:b/>
      <w:bCs/>
      <w:kern w:val="2"/>
      <w:sz w:val="24"/>
      <w:szCs w:val="28"/>
    </w:rPr>
  </w:style>
  <w:style w:type="character" w:customStyle="1" w:styleId="419">
    <w:name w:val="h Char Char"/>
    <w:autoRedefine/>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FangSong_GB2312" w:eastAsia="FangSong_GB2312"/>
      <w:kern w:val="2"/>
      <w:sz w:val="24"/>
      <w:lang w:val="en-US" w:eastAsia="zh-CN" w:bidi="ar-SA"/>
    </w:rPr>
  </w:style>
  <w:style w:type="paragraph" w:customStyle="1" w:styleId="421">
    <w:name w:val="仿宋正文"/>
    <w:basedOn w:val="1"/>
    <w:link w:val="420"/>
    <w:autoRedefine/>
    <w:qFormat/>
    <w:uiPriority w:val="0"/>
    <w:pPr>
      <w:adjustRightInd/>
      <w:spacing w:line="360" w:lineRule="auto"/>
      <w:ind w:firstLine="480" w:firstLineChars="200"/>
    </w:pPr>
    <w:rPr>
      <w:rFonts w:ascii="FangSong_GB2312" w:eastAsia="FangSong_GB2312"/>
      <w:sz w:val="24"/>
      <w:szCs w:val="20"/>
    </w:rPr>
  </w:style>
  <w:style w:type="character" w:customStyle="1" w:styleId="422">
    <w:name w:val="正文首行缩进 Char Char Char Char Char Char"/>
    <w:autoRedefine/>
    <w:qFormat/>
    <w:uiPriority w:val="0"/>
    <w:rPr>
      <w:rFonts w:ascii="宋体" w:eastAsia="宋体"/>
      <w:kern w:val="2"/>
      <w:sz w:val="24"/>
      <w:lang w:val="zh-CN" w:bidi="ar-SA"/>
    </w:rPr>
  </w:style>
  <w:style w:type="character" w:customStyle="1" w:styleId="423">
    <w:name w:val="样式 宋体"/>
    <w:autoRedefine/>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9"/>
    <w:rPr>
      <w:rFonts w:ascii="Arial" w:hAnsi="Arial" w:eastAsia="黑体" w:cs="Arial"/>
      <w:b/>
      <w:bCs/>
      <w:snapToGrid w:val="0"/>
      <w:kern w:val="44"/>
      <w:sz w:val="44"/>
      <w:szCs w:val="44"/>
    </w:rPr>
  </w:style>
  <w:style w:type="character" w:customStyle="1" w:styleId="426">
    <w:name w:val="style36"/>
    <w:basedOn w:val="76"/>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FangSong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99"/>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19"/>
    <w:link w:val="433"/>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36"/>
    <w:autoRedefine/>
    <w:qFormat/>
    <w:uiPriority w:val="0"/>
    <w:rPr>
      <w:rFonts w:ascii="宋体" w:hAnsi="Arial" w:eastAsia="宋体" w:cs="Arial"/>
      <w:snapToGrid w:val="0"/>
      <w:kern w:val="2"/>
      <w:sz w:val="24"/>
      <w:szCs w:val="21"/>
      <w:lang w:val="zh-CN" w:eastAsia="zh-CN" w:bidi="ar-SA"/>
    </w:rPr>
  </w:style>
  <w:style w:type="character" w:customStyle="1" w:styleId="436">
    <w:name w:val="gray6"/>
    <w:basedOn w:val="76"/>
    <w:autoRedefine/>
    <w:qFormat/>
    <w:uiPriority w:val="0"/>
    <w:rPr>
      <w:rFonts w:ascii="Arial" w:hAnsi="Arial" w:eastAsia="黑体" w:cs="Arial"/>
      <w:snapToGrid w:val="0"/>
      <w:kern w:val="0"/>
      <w:szCs w:val="21"/>
    </w:rPr>
  </w:style>
  <w:style w:type="character" w:customStyle="1" w:styleId="437">
    <w:name w:val="hui"/>
    <w:basedOn w:val="76"/>
    <w:autoRedefine/>
    <w:qFormat/>
    <w:uiPriority w:val="0"/>
    <w:rPr>
      <w:rFonts w:ascii="Arial" w:hAnsi="Arial" w:eastAsia="黑体" w:cs="Arial"/>
      <w:snapToGrid w:val="0"/>
      <w:kern w:val="0"/>
      <w:szCs w:val="21"/>
    </w:rPr>
  </w:style>
  <w:style w:type="character" w:customStyle="1" w:styleId="438">
    <w:name w:val="哈哈正文 Char Char"/>
    <w:autoRedefine/>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38"/>
    <w:autoRedefine/>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44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autoRedefine/>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qFormat/>
    <w:uiPriority w:val="0"/>
    <w:pPr>
      <w:spacing w:before="120" w:line="360" w:lineRule="auto"/>
      <w:ind w:firstLine="567"/>
    </w:pPr>
    <w:rPr>
      <w:rFonts w:ascii="Arial" w:hAnsi="Arial"/>
      <w:sz w:val="20"/>
      <w:szCs w:val="20"/>
    </w:rPr>
  </w:style>
  <w:style w:type="paragraph" w:customStyle="1" w:styleId="44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autoRedefine/>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autoRedefine/>
    <w:qFormat/>
    <w:uiPriority w:val="0"/>
    <w:pPr>
      <w:adjustRightInd/>
      <w:ind w:firstLine="200" w:firstLineChars="200"/>
    </w:pPr>
    <w:rPr>
      <w:rFonts w:ascii="Tahoma" w:hAnsi="Tahoma"/>
      <w:sz w:val="24"/>
      <w:szCs w:val="20"/>
    </w:rPr>
  </w:style>
  <w:style w:type="paragraph" w:customStyle="1" w:styleId="4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autoRedefine/>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460">
    <w:name w:val="Char Char Char Char Char Char Char Char"/>
    <w:basedOn w:val="1"/>
    <w:autoRedefine/>
    <w:qFormat/>
    <w:uiPriority w:val="0"/>
    <w:pPr>
      <w:tabs>
        <w:tab w:val="left" w:pos="360"/>
      </w:tabs>
    </w:pPr>
    <w:rPr>
      <w:sz w:val="24"/>
      <w:szCs w:val="20"/>
    </w:rPr>
  </w:style>
  <w:style w:type="paragraph" w:customStyle="1" w:styleId="461">
    <w:name w:val="Char Char11 Char Char Char"/>
    <w:basedOn w:val="1"/>
    <w:autoRedefine/>
    <w:qFormat/>
    <w:uiPriority w:val="0"/>
    <w:pPr>
      <w:spacing w:line="360" w:lineRule="auto"/>
    </w:pPr>
    <w:rPr>
      <w:szCs w:val="20"/>
    </w:rPr>
  </w:style>
  <w:style w:type="paragraph" w:customStyle="1" w:styleId="46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qFormat/>
    <w:uiPriority w:val="0"/>
    <w:pPr>
      <w:adjustRightInd/>
      <w:spacing w:line="500" w:lineRule="exact"/>
      <w:ind w:firstLine="560" w:firstLineChars="200"/>
    </w:pPr>
    <w:rPr>
      <w:rFonts w:eastAsia="FangSong_GB2312"/>
      <w:sz w:val="28"/>
      <w:szCs w:val="20"/>
    </w:rPr>
  </w:style>
  <w:style w:type="paragraph" w:customStyle="1" w:styleId="464">
    <w:name w:val="样式3"/>
    <w:basedOn w:val="465"/>
    <w:autoRedefine/>
    <w:qFormat/>
    <w:uiPriority w:val="0"/>
    <w:pPr>
      <w:tabs>
        <w:tab w:val="left" w:pos="2790"/>
        <w:tab w:val="left" w:pos="4230"/>
      </w:tabs>
      <w:spacing w:beforeLines="100"/>
      <w:jc w:val="left"/>
    </w:pPr>
  </w:style>
  <w:style w:type="paragraph" w:customStyle="1" w:styleId="465">
    <w:name w:val="样式2"/>
    <w:basedOn w:val="36"/>
    <w:autoRedefine/>
    <w:qFormat/>
    <w:uiPriority w:val="0"/>
    <w:pPr>
      <w:tabs>
        <w:tab w:val="left" w:pos="2790"/>
        <w:tab w:val="left" w:pos="4230"/>
      </w:tabs>
      <w:snapToGrid w:val="0"/>
      <w:jc w:val="center"/>
      <w:outlineLvl w:val="1"/>
    </w:pPr>
    <w:rPr>
      <w:rFonts w:ascii="FangSong_GB2312" w:hAnsi="仿宋" w:eastAsia="FangSong_GB2312"/>
      <w:b/>
      <w:bCs/>
      <w:kern w:val="0"/>
      <w:sz w:val="32"/>
      <w:szCs w:val="30"/>
    </w:rPr>
  </w:style>
  <w:style w:type="paragraph" w:customStyle="1" w:styleId="466">
    <w:name w:val="Char Char1 Char Char1 Char Char1"/>
    <w:basedOn w:val="1"/>
    <w:autoRedefine/>
    <w:qFormat/>
    <w:uiPriority w:val="0"/>
    <w:pPr>
      <w:tabs>
        <w:tab w:val="left" w:pos="840"/>
      </w:tabs>
      <w:ind w:left="840" w:hanging="420"/>
    </w:pPr>
    <w:rPr>
      <w:rFonts w:ascii="Tahoma" w:hAnsi="Tahoma"/>
      <w:sz w:val="24"/>
    </w:rPr>
  </w:style>
  <w:style w:type="paragraph" w:customStyle="1" w:styleId="46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autoRedefine/>
    <w:qFormat/>
    <w:uiPriority w:val="0"/>
    <w:pPr>
      <w:spacing w:line="360" w:lineRule="auto"/>
      <w:jc w:val="center"/>
    </w:pPr>
    <w:rPr>
      <w:rFonts w:ascii="FangSong_GB2312" w:eastAsia="FangSong_GB2312" w:cs="宋体"/>
      <w:b/>
      <w:bCs/>
      <w:color w:val="000000"/>
      <w:sz w:val="28"/>
      <w:szCs w:val="20"/>
    </w:rPr>
  </w:style>
  <w:style w:type="paragraph" w:customStyle="1" w:styleId="470">
    <w:name w:val="正文21"/>
    <w:basedOn w:val="1"/>
    <w:autoRedefine/>
    <w:qFormat/>
    <w:uiPriority w:val="0"/>
    <w:pPr>
      <w:adjustRightInd/>
      <w:spacing w:before="156" w:line="360" w:lineRule="auto"/>
      <w:ind w:firstLine="510" w:firstLineChars="200"/>
    </w:pPr>
    <w:rPr>
      <w:sz w:val="24"/>
      <w:szCs w:val="20"/>
    </w:rPr>
  </w:style>
  <w:style w:type="paragraph" w:customStyle="1" w:styleId="471">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autoRedefine/>
    <w:qFormat/>
    <w:uiPriority w:val="0"/>
    <w:rPr>
      <w:rFonts w:ascii="FangSong_GB2312" w:eastAsia="FangSong_GB2312"/>
      <w:b/>
      <w:sz w:val="32"/>
      <w:szCs w:val="32"/>
    </w:rPr>
  </w:style>
  <w:style w:type="paragraph" w:customStyle="1" w:styleId="47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autoRedefine/>
    <w:qFormat/>
    <w:uiPriority w:val="0"/>
    <w:pPr>
      <w:keepNext/>
      <w:tabs>
        <w:tab w:val="left" w:pos="360"/>
      </w:tabs>
      <w:outlineLvl w:val="5"/>
    </w:pPr>
  </w:style>
  <w:style w:type="paragraph" w:customStyle="1" w:styleId="479">
    <w:name w:val="5级标题"/>
    <w:basedOn w:val="480"/>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26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2">
    <w:name w:val="Char2 Char Char"/>
    <w:basedOn w:val="1"/>
    <w:autoRedefine/>
    <w:qFormat/>
    <w:uiPriority w:val="0"/>
    <w:pPr>
      <w:adjustRightInd/>
    </w:pPr>
    <w:rPr>
      <w:rFonts w:ascii="Tahoma" w:hAnsi="Tahoma"/>
      <w:sz w:val="24"/>
      <w:szCs w:val="20"/>
    </w:rPr>
  </w:style>
  <w:style w:type="paragraph" w:customStyle="1" w:styleId="483">
    <w:name w:val="_Style 11"/>
    <w:basedOn w:val="1"/>
    <w:autoRedefine/>
    <w:qFormat/>
    <w:uiPriority w:val="34"/>
    <w:pPr>
      <w:adjustRightInd/>
      <w:ind w:firstLine="420" w:firstLineChars="200"/>
    </w:pPr>
    <w:rPr>
      <w:rFonts w:eastAsia="FangSong_GB2312"/>
      <w:sz w:val="28"/>
    </w:rPr>
  </w:style>
  <w:style w:type="paragraph" w:customStyle="1" w:styleId="48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2"/>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FangSong_GB2312"/>
      <w:sz w:val="24"/>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4"/>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FangSong_GB2312" w:eastAsia="FangSong_GB2312"/>
      <w:b/>
      <w:sz w:val="32"/>
      <w:szCs w:val="32"/>
    </w:rPr>
  </w:style>
  <w:style w:type="paragraph" w:customStyle="1" w:styleId="496">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autoRedefine/>
    <w:qFormat/>
    <w:uiPriority w:val="0"/>
    <w:rPr>
      <w:rFonts w:ascii="FangSong_GB2312" w:eastAsia="FangSong_GB2312"/>
      <w:b/>
      <w:sz w:val="32"/>
      <w:szCs w:val="32"/>
    </w:rPr>
  </w:style>
  <w:style w:type="paragraph" w:customStyle="1" w:styleId="500">
    <w:name w:val="数字标题3"/>
    <w:basedOn w:val="5"/>
    <w:next w:val="1"/>
    <w:autoRedefine/>
    <w:qFormat/>
    <w:uiPriority w:val="0"/>
    <w:pPr>
      <w:spacing w:line="240" w:lineRule="auto"/>
    </w:pPr>
    <w:rPr>
      <w:sz w:val="28"/>
      <w:szCs w:val="28"/>
    </w:rPr>
  </w:style>
  <w:style w:type="paragraph" w:customStyle="1" w:styleId="501">
    <w:name w:val="FA正文"/>
    <w:basedOn w:val="1"/>
    <w:autoRedefine/>
    <w:qFormat/>
    <w:uiPriority w:val="0"/>
    <w:pPr>
      <w:spacing w:line="360" w:lineRule="auto"/>
      <w:ind w:firstLine="480" w:firstLineChars="200"/>
    </w:pPr>
    <w:rPr>
      <w:rFonts w:hAnsi="宋体"/>
      <w:sz w:val="24"/>
      <w:szCs w:val="20"/>
    </w:rPr>
  </w:style>
  <w:style w:type="paragraph" w:customStyle="1" w:styleId="502">
    <w:name w:val="MM Topic 5"/>
    <w:basedOn w:val="7"/>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FangSong_GB2312" w:eastAsia="FangSong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FangSong_GB2312" w:eastAsia="FangSong_GB2312"/>
      <w:b/>
      <w:sz w:val="32"/>
      <w:szCs w:val="32"/>
    </w:rPr>
  </w:style>
  <w:style w:type="paragraph" w:customStyle="1" w:styleId="507">
    <w:name w:val="Char2 Char Char Char1"/>
    <w:basedOn w:val="1"/>
    <w:autoRedefine/>
    <w:qFormat/>
    <w:uiPriority w:val="6"/>
    <w:rPr>
      <w:rFonts w:ascii="FangSong_GB2312" w:eastAsia="FangSong_GB2312"/>
      <w:b/>
      <w:sz w:val="32"/>
      <w:szCs w:val="32"/>
    </w:rPr>
  </w:style>
  <w:style w:type="paragraph" w:customStyle="1" w:styleId="508">
    <w:name w:val="默认段落样式"/>
    <w:basedOn w:val="87"/>
    <w:autoRedefine/>
    <w:qFormat/>
    <w:uiPriority w:val="0"/>
    <w:pPr>
      <w:spacing w:before="0"/>
      <w:ind w:firstLine="480"/>
      <w:outlineLvl w:val="2"/>
    </w:pPr>
    <w:rPr>
      <w:rFonts w:ascii="FangSong_GB2312" w:hAnsi="宋体" w:eastAsia="FangSong_GB2312"/>
      <w:color w:val="000000"/>
      <w:szCs w:val="24"/>
    </w:rPr>
  </w:style>
  <w:style w:type="paragraph" w:customStyle="1" w:styleId="50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5"/>
    <w:autoRedefine/>
    <w:qFormat/>
    <w:uiPriority w:val="0"/>
    <w:pPr>
      <w:tabs>
        <w:tab w:val="left" w:pos="1680"/>
      </w:tabs>
      <w:adjustRightInd/>
      <w:ind w:left="1680" w:hanging="420"/>
    </w:pPr>
  </w:style>
  <w:style w:type="paragraph" w:customStyle="1" w:styleId="512">
    <w:name w:val="标准小四"/>
    <w:basedOn w:val="1"/>
    <w:autoRedefine/>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napToGrid w:val="0"/>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 w:val="24"/>
      <w:szCs w:val="20"/>
    </w:rPr>
  </w:style>
  <w:style w:type="paragraph" w:customStyle="1" w:styleId="51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36"/>
    <w:autoRedefine/>
    <w:qFormat/>
    <w:uiPriority w:val="0"/>
    <w:pPr>
      <w:adjustRightInd/>
      <w:ind w:firstLine="200" w:firstLineChars="200"/>
    </w:pPr>
    <w:rPr>
      <w:rFonts w:ascii="Arial" w:hAnsi="Arial"/>
      <w:spacing w:val="-5"/>
      <w:kern w:val="0"/>
      <w:sz w:val="24"/>
      <w:szCs w:val="20"/>
    </w:rPr>
  </w:style>
  <w:style w:type="paragraph" w:customStyle="1" w:styleId="52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autoRedefine/>
    <w:qFormat/>
    <w:uiPriority w:val="1"/>
    <w:pPr>
      <w:adjustRightInd/>
      <w:ind w:firstLine="420" w:firstLineChars="200"/>
    </w:pPr>
    <w:rPr>
      <w:rFonts w:eastAsia="FangSong_GB2312"/>
      <w:sz w:val="28"/>
    </w:rPr>
  </w:style>
  <w:style w:type="paragraph" w:customStyle="1" w:styleId="52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37"/>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autoRedefine/>
    <w:qFormat/>
    <w:uiPriority w:val="0"/>
    <w:pPr>
      <w:adjustRightInd/>
      <w:ind w:firstLine="200" w:firstLineChars="200"/>
      <w:jc w:val="right"/>
    </w:pPr>
  </w:style>
  <w:style w:type="paragraph" w:customStyle="1" w:styleId="529">
    <w:name w:val="Char Char11 Char Char Char Char Char Char Char Char Char"/>
    <w:basedOn w:val="1"/>
    <w:autoRedefine/>
    <w:qFormat/>
    <w:uiPriority w:val="0"/>
    <w:pPr>
      <w:spacing w:line="360" w:lineRule="auto"/>
    </w:pPr>
    <w:rPr>
      <w:szCs w:val="20"/>
    </w:rPr>
  </w:style>
  <w:style w:type="paragraph" w:customStyle="1" w:styleId="530">
    <w:name w:val="正文1.25"/>
    <w:basedOn w:val="1"/>
    <w:autoRedefine/>
    <w:qFormat/>
    <w:uiPriority w:val="0"/>
    <w:pPr>
      <w:adjustRightInd/>
      <w:spacing w:line="300" w:lineRule="auto"/>
      <w:ind w:firstLine="480" w:firstLineChars="200"/>
    </w:pPr>
    <w:rPr>
      <w:sz w:val="24"/>
      <w:szCs w:val="20"/>
    </w:rPr>
  </w:style>
  <w:style w:type="paragraph" w:customStyle="1" w:styleId="531">
    <w:name w:val="1正文"/>
    <w:basedOn w:val="1"/>
    <w:autoRedefine/>
    <w:qFormat/>
    <w:uiPriority w:val="0"/>
    <w:pPr>
      <w:adjustRightInd/>
      <w:spacing w:line="360" w:lineRule="auto"/>
      <w:ind w:firstLine="200" w:firstLineChars="200"/>
    </w:pPr>
    <w:rPr>
      <w:rFonts w:ascii="FangSong_GB2312" w:hAnsi="Arial" w:eastAsia="仿宋"/>
      <w:sz w:val="28"/>
      <w:szCs w:val="28"/>
    </w:rPr>
  </w:style>
  <w:style w:type="paragraph" w:customStyle="1" w:styleId="5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autoRedefine/>
    <w:qFormat/>
    <w:uiPriority w:val="6"/>
    <w:rPr>
      <w:rFonts w:ascii="FangSong_GB2312" w:eastAsia="FangSong_GB2312"/>
      <w:b/>
      <w:sz w:val="32"/>
      <w:szCs w:val="20"/>
    </w:rPr>
  </w:style>
  <w:style w:type="paragraph" w:customStyle="1" w:styleId="535">
    <w:name w:val="列出段落2"/>
    <w:basedOn w:val="1"/>
    <w:autoRedefine/>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autoRedefine/>
    <w:qFormat/>
    <w:uiPriority w:val="0"/>
    <w:rPr>
      <w:rFonts w:eastAsia="FangSong_GB2312"/>
      <w:sz w:val="28"/>
      <w:szCs w:val="20"/>
    </w:rPr>
  </w:style>
  <w:style w:type="paragraph" w:customStyle="1" w:styleId="53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autoRedefine/>
    <w:qFormat/>
    <w:uiPriority w:val="0"/>
    <w:pPr>
      <w:widowControl/>
      <w:jc w:val="left"/>
    </w:pPr>
    <w:rPr>
      <w:rFonts w:cs="宋体"/>
      <w:sz w:val="24"/>
      <w:szCs w:val="20"/>
    </w:rPr>
  </w:style>
  <w:style w:type="paragraph" w:customStyle="1" w:styleId="539">
    <w:name w:val="彩色列表 - 强调文字颜色 11"/>
    <w:basedOn w:val="1"/>
    <w:autoRedefine/>
    <w:qFormat/>
    <w:uiPriority w:val="0"/>
    <w:pPr>
      <w:adjustRightInd/>
      <w:ind w:firstLine="420" w:firstLineChars="200"/>
    </w:pPr>
    <w:rPr>
      <w:rFonts w:ascii="Calibri" w:hAnsi="Calibri"/>
      <w:szCs w:val="22"/>
    </w:rPr>
  </w:style>
  <w:style w:type="paragraph" w:customStyle="1" w:styleId="540">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autoRedefine/>
    <w:qFormat/>
    <w:uiPriority w:val="6"/>
    <w:rPr>
      <w:szCs w:val="20"/>
    </w:rPr>
  </w:style>
  <w:style w:type="paragraph" w:customStyle="1" w:styleId="54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40"/>
    <w:next w:val="240"/>
    <w:autoRedefine/>
    <w:qFormat/>
    <w:uiPriority w:val="0"/>
    <w:pPr>
      <w:spacing w:after="68"/>
    </w:pPr>
    <w:rPr>
      <w:rFonts w:ascii="FHLHE E+ Futura Bk" w:eastAsia="FHLHE E+ Futura Bk" w:cs="Times New Roman"/>
      <w:color w:val="auto"/>
    </w:rPr>
  </w:style>
  <w:style w:type="paragraph" w:customStyle="1" w:styleId="55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autoRedefine/>
    <w:qFormat/>
    <w:uiPriority w:val="0"/>
    <w:pPr>
      <w:tabs>
        <w:tab w:val="left" w:pos="0"/>
      </w:tabs>
      <w:adjustRightInd/>
      <w:ind w:firstLine="200" w:firstLineChars="200"/>
    </w:pPr>
    <w:rPr>
      <w:rFonts w:ascii="宋体" w:hAnsi="宋体" w:eastAsia="FangSong_GB2312"/>
      <w:sz w:val="28"/>
    </w:rPr>
  </w:style>
  <w:style w:type="paragraph" w:customStyle="1" w:styleId="553">
    <w:name w:val="正文文字 2"/>
    <w:basedOn w:val="240"/>
    <w:next w:val="240"/>
    <w:autoRedefine/>
    <w:qFormat/>
    <w:uiPriority w:val="0"/>
    <w:rPr>
      <w:rFonts w:ascii="宋体" w:eastAsia="宋体" w:cs="Times New Roman"/>
      <w:color w:val="auto"/>
    </w:rPr>
  </w:style>
  <w:style w:type="paragraph" w:customStyle="1" w:styleId="554">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autoRedefine/>
    <w:qFormat/>
    <w:uiPriority w:val="0"/>
    <w:rPr>
      <w:rFonts w:ascii="FangSong_GB2312" w:eastAsia="FangSong_GB2312"/>
      <w:b/>
      <w:sz w:val="32"/>
      <w:szCs w:val="32"/>
    </w:rPr>
  </w:style>
  <w:style w:type="paragraph" w:customStyle="1" w:styleId="55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autoRedefine/>
    <w:qFormat/>
    <w:uiPriority w:val="0"/>
    <w:pPr>
      <w:spacing w:line="360" w:lineRule="auto"/>
    </w:pPr>
    <w:rPr>
      <w:szCs w:val="20"/>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9"/>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FangSong_GB2312" w:eastAsia="FangSong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FangSong_GB2312" w:hAnsi="仿宋" w:eastAsia="FangSong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38"/>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标题五"/>
    <w:basedOn w:val="1"/>
    <w:autoRedefine/>
    <w:qFormat/>
    <w:uiPriority w:val="0"/>
    <w:pPr>
      <w:adjustRightInd/>
      <w:spacing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FangSong_GB2312" w:eastAsia="FangSong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FangSong_GB2312" w:eastAsia="FangSong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8"/>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27"/>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Lines="100" w:line="360" w:lineRule="auto"/>
      <w:jc w:val="left"/>
    </w:pPr>
    <w:rPr>
      <w:rFonts w:ascii="Arial" w:hAnsi="Arial" w:eastAsia="FangSong_GB2312"/>
      <w:bCs/>
      <w:sz w:val="28"/>
    </w:rPr>
  </w:style>
  <w:style w:type="paragraph" w:customStyle="1" w:styleId="607">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FangSong_GB2312" w:eastAsia="FangSong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FangSong_GB2312" w:eastAsia="FangSong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FangSong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FangSong_GB2312"/>
      <w:bCs w:val="0"/>
      <w:color w:val="000000"/>
      <w:kern w:val="0"/>
      <w:szCs w:val="32"/>
      <w:lang w:val="en-US"/>
    </w:rPr>
  </w:style>
  <w:style w:type="paragraph" w:customStyle="1" w:styleId="631">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4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FangSong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FangSong_GB2312" w:eastAsia="FangSong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FangSong_GB2312" w:hAnsi="仿宋" w:eastAsia="FangSong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Lines="0" w:afterLines="0"/>
      <w:ind w:left="1680"/>
      <w:outlineLvl w:val="2"/>
    </w:pPr>
  </w:style>
  <w:style w:type="paragraph" w:customStyle="1" w:styleId="659">
    <w:name w:val="章标题"/>
    <w:next w:val="64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FangSong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FangSong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3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FangSong_GB2312" w:eastAsia="FangSong_GB2312"/>
      <w:b/>
      <w:sz w:val="32"/>
      <w:szCs w:val="32"/>
    </w:rPr>
  </w:style>
  <w:style w:type="paragraph" w:customStyle="1" w:styleId="703">
    <w:name w:val="正文缩进1"/>
    <w:basedOn w:val="1"/>
    <w:next w:val="38"/>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FangSong_GB2312" w:eastAsia="FangSong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FangSong_GB2312" w:eastAsia="新宋体"/>
      <w:sz w:val="24"/>
      <w:szCs w:val="20"/>
    </w:rPr>
  </w:style>
  <w:style w:type="paragraph" w:customStyle="1" w:styleId="723">
    <w:name w:val="4"/>
    <w:basedOn w:val="1"/>
    <w:next w:val="48"/>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FangSong_GB2312" w:eastAsia="FangSong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FangSong_GB2312" w:eastAsia="FangSong_GB2312"/>
      <w:b/>
      <w:sz w:val="32"/>
      <w:szCs w:val="20"/>
    </w:rPr>
  </w:style>
  <w:style w:type="paragraph" w:customStyle="1" w:styleId="733">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0"/>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FangSong_GB2312" w:eastAsia="FangSong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FangSong_GB2312" w:eastAsia="FangSong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762">
    <w:name w:val="_Style 5"/>
    <w:basedOn w:val="1"/>
    <w:autoRedefine/>
    <w:qFormat/>
    <w:uiPriority w:val="34"/>
    <w:pPr>
      <w:adjustRightInd/>
      <w:ind w:firstLine="420" w:firstLineChars="200"/>
    </w:pPr>
    <w:rPr>
      <w:rFonts w:eastAsia="FangSong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FangSong_GB2312" w:eastAsia="FangSong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36"/>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FangSong_GB2312" w:eastAsia="FangSong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38"/>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9"/>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Char6"/>
    <w:basedOn w:val="1"/>
    <w:autoRedefine/>
    <w:qFormat/>
    <w:uiPriority w:val="0"/>
    <w:rPr>
      <w:rFonts w:ascii="FangSong_GB2312" w:eastAsia="FangSong_GB2312"/>
      <w:b/>
      <w:sz w:val="32"/>
      <w:szCs w:val="32"/>
    </w:rPr>
  </w:style>
  <w:style w:type="paragraph" w:customStyle="1" w:styleId="786">
    <w:name w:val="Char111"/>
    <w:basedOn w:val="1"/>
    <w:autoRedefine/>
    <w:qFormat/>
    <w:uiPriority w:val="0"/>
    <w:rPr>
      <w:rFonts w:ascii="FangSong_GB2312" w:eastAsia="FangSong_GB2312"/>
      <w:b/>
      <w:sz w:val="32"/>
      <w:szCs w:val="32"/>
    </w:rPr>
  </w:style>
  <w:style w:type="paragraph" w:customStyle="1" w:styleId="787">
    <w:name w:val="标题3"/>
    <w:basedOn w:val="5"/>
    <w:next w:val="62"/>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FangSong_GB2312" w:eastAsia="FangSong_GB2312"/>
      <w:b/>
      <w:sz w:val="32"/>
      <w:szCs w:val="32"/>
    </w:rPr>
  </w:style>
  <w:style w:type="paragraph" w:customStyle="1" w:styleId="793">
    <w:name w:val="五级条标题"/>
    <w:basedOn w:val="794"/>
    <w:next w:val="641"/>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6"/>
    <w:next w:val="641"/>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FangSong_GB2312" w:eastAsia="FangSong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5"/>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3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FangSong_GB2312" w:eastAsia="FangSong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1"/>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4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FangSong_GB2312"/>
      <w:sz w:val="24"/>
      <w:szCs w:val="20"/>
    </w:rPr>
  </w:style>
  <w:style w:type="paragraph" w:customStyle="1" w:styleId="839">
    <w:name w:val="正文1"/>
    <w:basedOn w:val="45"/>
    <w:autoRedefine/>
    <w:qFormat/>
    <w:uiPriority w:val="0"/>
    <w:pPr>
      <w:ind w:left="0" w:leftChars="0" w:firstLine="480" w:firstLineChars="200"/>
    </w:pPr>
    <w:rPr>
      <w:rFonts w:ascii="FangSong_GB2312" w:hAnsi="Courier New" w:eastAsia="FangSong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38"/>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FangSong_GB2312" w:eastAsia="FangSong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FangSong_GB2312" w:eastAsia="FangSong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FangSong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FangSong_GB2312" w:eastAsia="FangSong_GB2312"/>
      <w:b/>
      <w:sz w:val="32"/>
      <w:szCs w:val="32"/>
    </w:rPr>
  </w:style>
  <w:style w:type="paragraph" w:customStyle="1" w:styleId="8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FangSong_GB2312"/>
      <w:sz w:val="28"/>
    </w:rPr>
  </w:style>
  <w:style w:type="paragraph" w:customStyle="1" w:styleId="860">
    <w:name w:val="Char21"/>
    <w:basedOn w:val="1"/>
    <w:autoRedefine/>
    <w:qFormat/>
    <w:uiPriority w:val="0"/>
    <w:pPr>
      <w:adjustRightInd/>
      <w:ind w:firstLine="200" w:firstLineChars="200"/>
    </w:pPr>
    <w:rPr>
      <w:rFonts w:ascii="FangSong_GB2312" w:eastAsia="FangSong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FangSong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FangSong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FangSong_GB2312" w:hAnsi="Arial" w:eastAsia="FangSong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2"/>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63"/>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3"/>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FangSong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FangSong_GB2312" w:eastAsia="FangSong_GB2312"/>
      <w:b/>
      <w:sz w:val="32"/>
      <w:szCs w:val="32"/>
    </w:rPr>
  </w:style>
  <w:style w:type="paragraph" w:customStyle="1" w:styleId="885">
    <w:name w:val="正文箭头"/>
    <w:basedOn w:val="542"/>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autoRedefine/>
    <w:qFormat/>
    <w:uiPriority w:val="0"/>
    <w:pPr>
      <w:keepLines w:val="0"/>
      <w:widowControl/>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FangSong_GB2312"/>
      <w:sz w:val="28"/>
    </w:rPr>
  </w:style>
  <w:style w:type="paragraph" w:customStyle="1" w:styleId="892">
    <w:name w:val="表格 内容"/>
    <w:basedOn w:val="730"/>
    <w:autoRedefine/>
    <w:qFormat/>
    <w:uiPriority w:val="0"/>
    <w:rPr>
      <w:b w:val="0"/>
      <w:sz w:val="20"/>
    </w:rPr>
  </w:style>
  <w:style w:type="paragraph" w:customStyle="1" w:styleId="893">
    <w:name w:val="正文首行缩进1"/>
    <w:basedOn w:val="3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FangSong_GB2312"/>
      <w:sz w:val="28"/>
    </w:rPr>
  </w:style>
  <w:style w:type="paragraph" w:customStyle="1" w:styleId="905">
    <w:name w:val="样式5"/>
    <w:basedOn w:val="1"/>
    <w:autoRedefine/>
    <w:qFormat/>
    <w:uiPriority w:val="0"/>
    <w:pPr>
      <w:spacing w:line="440" w:lineRule="exact"/>
      <w:ind w:left="2" w:firstLine="480" w:firstLineChars="200"/>
    </w:pPr>
    <w:rPr>
      <w:rFonts w:ascii="FangSong_GB2312" w:hAnsi="仿宋" w:eastAsia="FangSong_GB2312"/>
      <w:sz w:val="24"/>
    </w:rPr>
  </w:style>
  <w:style w:type="paragraph" w:customStyle="1" w:styleId="906">
    <w:name w:val="_Style 8"/>
    <w:basedOn w:val="1"/>
    <w:autoRedefine/>
    <w:qFormat/>
    <w:uiPriority w:val="34"/>
    <w:pPr>
      <w:adjustRightInd/>
      <w:ind w:firstLine="420" w:firstLineChars="200"/>
    </w:pPr>
    <w:rPr>
      <w:rFonts w:eastAsia="FangSong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FangSong_GB2312"/>
      <w:sz w:val="28"/>
    </w:rPr>
  </w:style>
  <w:style w:type="paragraph" w:customStyle="1" w:styleId="913">
    <w:name w:val="正文 图"/>
    <w:basedOn w:val="448"/>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5"/>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49"/>
    <w:autoRedefine/>
    <w:qFormat/>
    <w:uiPriority w:val="0"/>
    <w:rPr>
      <w:kern w:val="2"/>
      <w:sz w:val="21"/>
      <w:szCs w:val="24"/>
      <w:lang w:val="zh-CN"/>
    </w:rPr>
  </w:style>
  <w:style w:type="character" w:customStyle="1" w:styleId="932">
    <w:name w:val="无间隔 Char"/>
    <w:link w:val="487"/>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63"/>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6"/>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character" w:customStyle="1" w:styleId="963">
    <w:name w:val="NormalCharacter"/>
    <w:link w:val="964"/>
    <w:autoRedefine/>
    <w:qFormat/>
    <w:uiPriority w:val="0"/>
    <w:rPr>
      <w:rFonts w:ascii="Tahoma" w:hAnsi="Tahoma"/>
      <w:kern w:val="2"/>
      <w:sz w:val="24"/>
      <w:szCs w:val="24"/>
    </w:rPr>
  </w:style>
  <w:style w:type="paragraph" w:customStyle="1" w:styleId="964">
    <w:name w:val="UserStyle_13"/>
    <w:basedOn w:val="1"/>
    <w:link w:val="963"/>
    <w:autoRedefine/>
    <w:qFormat/>
    <w:uiPriority w:val="0"/>
    <w:pPr>
      <w:widowControl/>
      <w:adjustRightInd/>
      <w:spacing w:line="360" w:lineRule="auto"/>
      <w:ind w:firstLine="200" w:firstLineChars="200"/>
    </w:pPr>
    <w:rPr>
      <w:rFonts w:ascii="Tahoma" w:hAnsi="Tahoma"/>
      <w:sz w:val="24"/>
    </w:rPr>
  </w:style>
  <w:style w:type="paragraph" w:customStyle="1" w:styleId="965">
    <w:name w:val="表格01"/>
    <w:basedOn w:val="1"/>
    <w:autoRedefine/>
    <w:qFormat/>
    <w:uiPriority w:val="0"/>
    <w:pPr>
      <w:spacing w:line="360" w:lineRule="auto"/>
      <w:jc w:val="center"/>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19646-3B08-4489-83AC-2A8DF2E281E6}">
  <ds:schemaRefs/>
</ds:datastoreItem>
</file>

<file path=docProps/app.xml><?xml version="1.0" encoding="utf-8"?>
<Properties xmlns="http://schemas.openxmlformats.org/officeDocument/2006/extended-properties" xmlns:vt="http://schemas.openxmlformats.org/officeDocument/2006/docPropsVTypes">
  <Template>Normal</Template>
  <Pages>68</Pages>
  <Words>31249</Words>
  <Characters>33187</Characters>
  <Lines>33</Lines>
  <Paragraphs>62</Paragraphs>
  <TotalTime>6</TotalTime>
  <ScaleCrop>false</ScaleCrop>
  <LinksUpToDate>false</LinksUpToDate>
  <CharactersWithSpaces>34592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2023-03-01T00:22:00Z</dcterms:created>
  <dc:creator>Administrator.20180320-173244</dc:creator>
  <cp:lastModifiedBy>。</cp:lastModifiedBy>
  <cp:lastPrinted>2024-06-07T00:24:00Z</cp:lastPrinted>
  <dcterms:modified xsi:type="dcterms:W3CDTF">2024-06-28T00:25:46Z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0BF50D72D84847A698B31D2238573635_13</vt:lpwstr>
  </property>
</Properties>
</file>