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5EA1D">
      <w:pPr>
        <w:jc w:val="center"/>
        <w:rPr>
          <w:rFonts w:hint="eastAsia"/>
          <w:b/>
          <w:bCs/>
          <w:sz w:val="44"/>
          <w:szCs w:val="44"/>
          <w:highlight w:val="none"/>
        </w:rPr>
      </w:pPr>
    </w:p>
    <w:p w14:paraId="2A42D19C">
      <w:pPr>
        <w:jc w:val="center"/>
        <w:rPr>
          <w:rFonts w:hint="eastAsia" w:eastAsia="宋体"/>
          <w:b/>
          <w:bCs/>
          <w:sz w:val="44"/>
          <w:szCs w:val="44"/>
          <w:highlight w:val="none"/>
          <w:lang w:eastAsia="zh-CN"/>
        </w:rPr>
      </w:pPr>
      <w:r>
        <w:rPr>
          <w:rFonts w:hint="eastAsia"/>
          <w:b/>
          <w:bCs/>
          <w:sz w:val="44"/>
          <w:szCs w:val="44"/>
          <w:highlight w:val="none"/>
          <w:lang w:eastAsia="zh-CN"/>
        </w:rPr>
        <w:t>2024年临平区运河街道高标准农田示范区建设-农田数字化、灌排数字化项目</w:t>
      </w:r>
    </w:p>
    <w:p w14:paraId="260091F9">
      <w:pPr>
        <w:adjustRightInd/>
        <w:spacing w:line="360" w:lineRule="auto"/>
        <w:jc w:val="center"/>
        <w:rPr>
          <w:rFonts w:hint="eastAsia" w:ascii="宋体" w:hAnsi="宋体" w:eastAsia="宋体" w:cs="宋体"/>
          <w:b/>
          <w:bCs/>
          <w:sz w:val="48"/>
          <w:szCs w:val="48"/>
          <w:highlight w:val="none"/>
        </w:rPr>
      </w:pPr>
    </w:p>
    <w:p w14:paraId="1ECDD4AD">
      <w:pPr>
        <w:adjustRightInd/>
        <w:spacing w:line="360" w:lineRule="auto"/>
        <w:jc w:val="center"/>
        <w:rPr>
          <w:rFonts w:hint="eastAsia" w:ascii="宋体" w:hAnsi="宋体" w:eastAsia="宋体" w:cs="宋体"/>
          <w:b/>
          <w:bCs/>
          <w:sz w:val="48"/>
          <w:szCs w:val="48"/>
          <w:highlight w:val="none"/>
        </w:rPr>
      </w:pPr>
    </w:p>
    <w:p w14:paraId="6EA4FFDC">
      <w:pPr>
        <w:adjustRightInd/>
        <w:spacing w:line="360" w:lineRule="auto"/>
        <w:jc w:val="center"/>
        <w:rPr>
          <w:rFonts w:hint="eastAsia" w:ascii="宋体" w:hAnsi="宋体" w:eastAsia="宋体" w:cs="宋体"/>
          <w:b/>
          <w:bCs/>
          <w:sz w:val="48"/>
          <w:szCs w:val="48"/>
          <w:highlight w:val="none"/>
        </w:rPr>
      </w:pPr>
    </w:p>
    <w:p w14:paraId="589C453E">
      <w:pPr>
        <w:widowControl w:val="0"/>
        <w:wordWrap/>
        <w:adjustRightInd/>
        <w:snapToGrid/>
        <w:spacing w:line="240" w:lineRule="auto"/>
        <w:jc w:val="center"/>
        <w:textAlignment w:val="auto"/>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招标文件</w:t>
      </w:r>
    </w:p>
    <w:p w14:paraId="39C38ACA">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（电子招投标）</w:t>
      </w:r>
    </w:p>
    <w:p w14:paraId="312ECC78">
      <w:pPr>
        <w:jc w:val="center"/>
        <w:rPr>
          <w:rFonts w:hint="eastAsia" w:ascii="宋体" w:hAnsi="宋体" w:eastAsia="宋体" w:cs="宋体"/>
          <w:b/>
          <w:bCs/>
          <w:color w:val="auto"/>
          <w:sz w:val="32"/>
          <w:szCs w:val="32"/>
          <w:highlight w:val="none"/>
        </w:rPr>
      </w:pPr>
      <w:r>
        <w:rPr>
          <w:rFonts w:hint="eastAsia" w:ascii="宋体" w:hAnsi="宋体" w:eastAsia="宋体" w:cs="宋体"/>
          <w:sz w:val="30"/>
          <w:szCs w:val="30"/>
          <w:highlight w:val="none"/>
        </w:rPr>
        <w:t>编号:</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RTZFCG-2024-074-1</w:t>
      </w:r>
      <w:r>
        <w:rPr>
          <w:rFonts w:hint="eastAsia" w:ascii="宋体" w:hAnsi="宋体" w:eastAsia="宋体" w:cs="宋体"/>
          <w:b/>
          <w:bCs/>
          <w:color w:val="auto"/>
          <w:sz w:val="32"/>
          <w:szCs w:val="32"/>
          <w:highlight w:val="none"/>
        </w:rPr>
        <w:t>）</w:t>
      </w:r>
    </w:p>
    <w:p w14:paraId="4761D6F2">
      <w:pPr>
        <w:snapToGrid w:val="0"/>
        <w:spacing w:line="360" w:lineRule="auto"/>
        <w:jc w:val="center"/>
        <w:rPr>
          <w:rFonts w:hint="eastAsia" w:ascii="宋体" w:hAnsi="宋体" w:eastAsia="宋体" w:cs="宋体"/>
          <w:sz w:val="30"/>
          <w:szCs w:val="30"/>
          <w:highlight w:val="none"/>
        </w:rPr>
      </w:pPr>
    </w:p>
    <w:p w14:paraId="744444FD">
      <w:pPr>
        <w:adjustRightInd/>
        <w:spacing w:line="360" w:lineRule="auto"/>
        <w:rPr>
          <w:rFonts w:hint="eastAsia" w:ascii="宋体" w:hAnsi="宋体" w:eastAsia="宋体" w:cs="宋体"/>
          <w:sz w:val="28"/>
          <w:szCs w:val="20"/>
          <w:highlight w:val="none"/>
        </w:rPr>
      </w:pPr>
    </w:p>
    <w:p w14:paraId="70FFA857">
      <w:pPr>
        <w:spacing w:line="360" w:lineRule="auto"/>
        <w:jc w:val="center"/>
        <w:rPr>
          <w:rFonts w:hint="eastAsia" w:ascii="宋体" w:hAnsi="宋体" w:eastAsia="宋体" w:cs="宋体"/>
          <w:b/>
          <w:sz w:val="44"/>
          <w:szCs w:val="44"/>
          <w:highlight w:val="none"/>
        </w:rPr>
      </w:pPr>
    </w:p>
    <w:p w14:paraId="3A024110">
      <w:pPr>
        <w:spacing w:line="360" w:lineRule="auto"/>
        <w:jc w:val="center"/>
        <w:rPr>
          <w:rFonts w:hint="eastAsia" w:ascii="宋体" w:hAnsi="宋体" w:eastAsia="宋体" w:cs="宋体"/>
          <w:sz w:val="24"/>
          <w:highlight w:val="none"/>
        </w:rPr>
      </w:pPr>
    </w:p>
    <w:p w14:paraId="647BBBA9">
      <w:pPr>
        <w:spacing w:line="360" w:lineRule="auto"/>
        <w:rPr>
          <w:rFonts w:hint="eastAsia" w:ascii="宋体" w:hAnsi="宋体" w:eastAsia="宋体" w:cs="宋体"/>
          <w:sz w:val="32"/>
          <w:szCs w:val="32"/>
          <w:highlight w:val="none"/>
        </w:rPr>
      </w:pPr>
    </w:p>
    <w:p w14:paraId="302FB7FA">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采购人：</w:t>
      </w:r>
      <w:r>
        <w:rPr>
          <w:rFonts w:hint="eastAsia" w:ascii="宋体" w:hAnsi="宋体" w:cs="宋体"/>
          <w:b/>
          <w:bCs/>
          <w:color w:val="auto"/>
          <w:sz w:val="28"/>
          <w:szCs w:val="28"/>
          <w:highlight w:val="none"/>
          <w:lang w:eastAsia="zh-CN"/>
        </w:rPr>
        <w:t>杭州市临平区人民政府运河街道办事处</w:t>
      </w:r>
    </w:p>
    <w:p w14:paraId="48B5C507">
      <w:pPr>
        <w:pStyle w:val="24"/>
        <w:rPr>
          <w:rFonts w:hint="eastAsia" w:ascii="宋体" w:hAnsi="宋体" w:eastAsia="宋体" w:cs="宋体"/>
          <w:color w:val="auto"/>
          <w:highlight w:val="none"/>
        </w:rPr>
      </w:pPr>
    </w:p>
    <w:p w14:paraId="48FC2DDE">
      <w:pPr>
        <w:jc w:val="center"/>
        <w:rPr>
          <w:rFonts w:hint="eastAsia" w:ascii="宋体" w:hAnsi="宋体" w:eastAsia="宋体" w:cs="宋体"/>
          <w:b/>
          <w:bCs/>
          <w:color w:val="auto"/>
          <w:sz w:val="28"/>
          <w:szCs w:val="28"/>
          <w:highlight w:val="none"/>
        </w:rPr>
      </w:pPr>
    </w:p>
    <w:p w14:paraId="7FF8DB4F">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采购代理机构：杭州瑞拓工程咨询有限公司</w:t>
      </w:r>
    </w:p>
    <w:p w14:paraId="733C796D">
      <w:pPr>
        <w:jc w:val="center"/>
        <w:rPr>
          <w:rFonts w:hint="eastAsia" w:ascii="宋体" w:hAnsi="宋体" w:eastAsia="宋体" w:cs="宋体"/>
          <w:b/>
          <w:bCs/>
          <w:color w:val="auto"/>
          <w:sz w:val="28"/>
          <w:szCs w:val="28"/>
          <w:highlight w:val="none"/>
        </w:rPr>
      </w:pPr>
    </w:p>
    <w:p w14:paraId="1A21419D">
      <w:pPr>
        <w:jc w:val="center"/>
        <w:rPr>
          <w:rFonts w:hint="eastAsia" w:ascii="宋体" w:hAnsi="宋体" w:eastAsia="宋体" w:cs="宋体"/>
          <w:b/>
          <w:bCs/>
          <w:color w:val="auto"/>
          <w:sz w:val="28"/>
          <w:szCs w:val="28"/>
          <w:highlight w:val="none"/>
        </w:rPr>
      </w:pPr>
    </w:p>
    <w:p w14:paraId="148337A5">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二〇二</w:t>
      </w:r>
      <w:r>
        <w:rPr>
          <w:rFonts w:hint="eastAsia" w:ascii="宋体" w:hAnsi="宋体" w:cs="宋体"/>
          <w:b/>
          <w:bCs/>
          <w:color w:val="auto"/>
          <w:sz w:val="28"/>
          <w:szCs w:val="28"/>
          <w:highlight w:val="none"/>
          <w:lang w:eastAsia="zh-CN"/>
        </w:rPr>
        <w:t>四</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eastAsia="zh-CN"/>
        </w:rPr>
        <w:t>十一</w:t>
      </w:r>
      <w:r>
        <w:rPr>
          <w:rFonts w:hint="eastAsia" w:ascii="宋体" w:hAnsi="宋体" w:eastAsia="宋体" w:cs="宋体"/>
          <w:b/>
          <w:bCs/>
          <w:color w:val="auto"/>
          <w:sz w:val="28"/>
          <w:szCs w:val="28"/>
          <w:highlight w:val="none"/>
        </w:rPr>
        <w:t>月</w:t>
      </w:r>
    </w:p>
    <w:p w14:paraId="4D435997">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br w:type="page"/>
      </w:r>
      <w:bookmarkStart w:id="0" w:name="_Hlt67893495"/>
      <w:bookmarkEnd w:id="0"/>
    </w:p>
    <w:p w14:paraId="75E4BE95">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5738BC2C">
      <w:pPr>
        <w:spacing w:line="360" w:lineRule="auto"/>
        <w:rPr>
          <w:rFonts w:hint="eastAsia" w:ascii="宋体" w:hAnsi="宋体" w:eastAsia="宋体" w:cs="宋体"/>
          <w:sz w:val="32"/>
          <w:szCs w:val="32"/>
          <w:highlight w:val="none"/>
        </w:rPr>
      </w:pPr>
    </w:p>
    <w:p w14:paraId="4A51E08D">
      <w:pPr>
        <w:spacing w:line="360" w:lineRule="auto"/>
        <w:rPr>
          <w:rFonts w:hint="eastAsia" w:ascii="宋体" w:hAnsi="宋体" w:eastAsia="宋体" w:cs="宋体"/>
          <w:sz w:val="32"/>
          <w:szCs w:val="32"/>
          <w:highlight w:val="none"/>
        </w:rPr>
      </w:pPr>
    </w:p>
    <w:p w14:paraId="648C235E">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1620DF5F">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5034AC24">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603CA910">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6D564F6B">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3BF1A1ED">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70C82C27">
      <w:pPr>
        <w:spacing w:line="360" w:lineRule="auto"/>
        <w:ind w:firstLine="549" w:firstLineChars="229"/>
        <w:rPr>
          <w:rFonts w:hint="eastAsia" w:ascii="宋体" w:hAnsi="宋体" w:eastAsia="宋体" w:cs="宋体"/>
          <w:sz w:val="24"/>
          <w:highlight w:val="none"/>
        </w:rPr>
      </w:pPr>
      <w:bookmarkStart w:id="1" w:name="_Hlt91233176"/>
      <w:bookmarkEnd w:id="1"/>
      <w:bookmarkStart w:id="2" w:name="_Toc91899869"/>
    </w:p>
    <w:p w14:paraId="04B95141">
      <w:pPr>
        <w:spacing w:line="360" w:lineRule="auto"/>
        <w:ind w:firstLine="549" w:firstLineChars="229"/>
        <w:rPr>
          <w:rFonts w:hint="eastAsia" w:ascii="宋体" w:hAnsi="宋体" w:eastAsia="宋体" w:cs="宋体"/>
          <w:sz w:val="24"/>
          <w:highlight w:val="none"/>
        </w:rPr>
      </w:pPr>
    </w:p>
    <w:p w14:paraId="16B2A66C">
      <w:pPr>
        <w:spacing w:line="360" w:lineRule="auto"/>
        <w:ind w:firstLine="549" w:firstLineChars="229"/>
        <w:rPr>
          <w:rFonts w:hint="eastAsia" w:ascii="宋体" w:hAnsi="宋体" w:eastAsia="宋体" w:cs="宋体"/>
          <w:sz w:val="24"/>
          <w:highlight w:val="none"/>
        </w:rPr>
      </w:pPr>
    </w:p>
    <w:p w14:paraId="13C3CB86">
      <w:pPr>
        <w:spacing w:line="360" w:lineRule="auto"/>
        <w:ind w:firstLine="549" w:firstLineChars="229"/>
        <w:rPr>
          <w:rFonts w:hint="eastAsia" w:ascii="宋体" w:hAnsi="宋体" w:eastAsia="宋体" w:cs="宋体"/>
          <w:sz w:val="24"/>
          <w:highlight w:val="none"/>
        </w:rPr>
      </w:pPr>
    </w:p>
    <w:p w14:paraId="65705665">
      <w:pPr>
        <w:spacing w:line="360" w:lineRule="auto"/>
        <w:ind w:firstLine="549" w:firstLineChars="229"/>
        <w:rPr>
          <w:rFonts w:hint="eastAsia" w:ascii="宋体" w:hAnsi="宋体" w:eastAsia="宋体" w:cs="宋体"/>
          <w:sz w:val="24"/>
          <w:highlight w:val="none"/>
        </w:rPr>
      </w:pPr>
    </w:p>
    <w:p w14:paraId="49CA2539">
      <w:pPr>
        <w:spacing w:line="360" w:lineRule="auto"/>
        <w:ind w:firstLine="549" w:firstLineChars="229"/>
        <w:rPr>
          <w:rFonts w:hint="eastAsia" w:ascii="宋体" w:hAnsi="宋体" w:eastAsia="宋体" w:cs="宋体"/>
          <w:sz w:val="24"/>
          <w:highlight w:val="none"/>
        </w:rPr>
      </w:pPr>
    </w:p>
    <w:p w14:paraId="5E610075">
      <w:pPr>
        <w:spacing w:line="360" w:lineRule="auto"/>
        <w:ind w:firstLine="549" w:firstLineChars="229"/>
        <w:rPr>
          <w:rFonts w:hint="eastAsia" w:ascii="宋体" w:hAnsi="宋体" w:eastAsia="宋体" w:cs="宋体"/>
          <w:sz w:val="24"/>
          <w:highlight w:val="none"/>
        </w:rPr>
      </w:pPr>
    </w:p>
    <w:p w14:paraId="2616D444">
      <w:pPr>
        <w:spacing w:line="360" w:lineRule="auto"/>
        <w:ind w:firstLine="549" w:firstLineChars="229"/>
        <w:rPr>
          <w:rFonts w:hint="eastAsia" w:ascii="宋体" w:hAnsi="宋体" w:eastAsia="宋体" w:cs="宋体"/>
          <w:sz w:val="24"/>
          <w:highlight w:val="none"/>
        </w:rPr>
      </w:pPr>
    </w:p>
    <w:p w14:paraId="0138027D">
      <w:pPr>
        <w:spacing w:line="360" w:lineRule="auto"/>
        <w:ind w:firstLine="549" w:firstLineChars="229"/>
        <w:rPr>
          <w:rFonts w:hint="eastAsia" w:ascii="宋体" w:hAnsi="宋体" w:eastAsia="宋体" w:cs="宋体"/>
          <w:sz w:val="24"/>
          <w:highlight w:val="none"/>
        </w:rPr>
      </w:pPr>
    </w:p>
    <w:p w14:paraId="3B8C8F31">
      <w:pPr>
        <w:spacing w:line="360" w:lineRule="auto"/>
        <w:ind w:firstLine="549" w:firstLineChars="229"/>
        <w:rPr>
          <w:rFonts w:hint="eastAsia" w:ascii="宋体" w:hAnsi="宋体" w:eastAsia="宋体" w:cs="宋体"/>
          <w:sz w:val="24"/>
          <w:highlight w:val="none"/>
        </w:rPr>
      </w:pPr>
    </w:p>
    <w:p w14:paraId="280CC28A">
      <w:pPr>
        <w:spacing w:line="360" w:lineRule="auto"/>
        <w:ind w:firstLine="549" w:firstLineChars="229"/>
        <w:rPr>
          <w:rFonts w:hint="eastAsia" w:ascii="宋体" w:hAnsi="宋体" w:eastAsia="宋体" w:cs="宋体"/>
          <w:sz w:val="24"/>
          <w:highlight w:val="none"/>
        </w:rPr>
      </w:pPr>
    </w:p>
    <w:p w14:paraId="04477ADB">
      <w:pPr>
        <w:spacing w:line="360" w:lineRule="auto"/>
        <w:ind w:firstLine="549" w:firstLineChars="229"/>
        <w:rPr>
          <w:rFonts w:hint="eastAsia" w:ascii="宋体" w:hAnsi="宋体" w:eastAsia="宋体" w:cs="宋体"/>
          <w:sz w:val="24"/>
          <w:highlight w:val="none"/>
        </w:rPr>
      </w:pPr>
    </w:p>
    <w:p w14:paraId="7CF41866">
      <w:pPr>
        <w:spacing w:line="360" w:lineRule="auto"/>
        <w:ind w:firstLine="549" w:firstLineChars="229"/>
        <w:rPr>
          <w:rFonts w:hint="eastAsia" w:ascii="宋体" w:hAnsi="宋体" w:eastAsia="宋体" w:cs="宋体"/>
          <w:sz w:val="24"/>
          <w:highlight w:val="none"/>
        </w:rPr>
      </w:pPr>
    </w:p>
    <w:p w14:paraId="73AAD54F">
      <w:pPr>
        <w:spacing w:line="360" w:lineRule="auto"/>
        <w:rPr>
          <w:rFonts w:hint="eastAsia" w:ascii="宋体" w:hAnsi="宋体" w:eastAsia="宋体" w:cs="宋体"/>
          <w:sz w:val="24"/>
          <w:highlight w:val="none"/>
        </w:rPr>
      </w:pPr>
    </w:p>
    <w:p w14:paraId="3D5BAC1A">
      <w:pPr>
        <w:adjustRightInd/>
        <w:spacing w:line="360" w:lineRule="auto"/>
        <w:jc w:val="center"/>
        <w:outlineLvl w:val="0"/>
        <w:rPr>
          <w:rFonts w:hint="eastAsia" w:ascii="宋体" w:hAnsi="宋体" w:eastAsia="宋体" w:cs="宋体"/>
          <w:b/>
          <w:sz w:val="36"/>
          <w:szCs w:val="20"/>
          <w:highlight w:val="none"/>
        </w:rPr>
      </w:pPr>
      <w:bookmarkStart w:id="3" w:name="第一部分"/>
      <w:r>
        <w:rPr>
          <w:rFonts w:hint="eastAsia" w:ascii="宋体" w:hAnsi="宋体" w:eastAsia="宋体" w:cs="宋体"/>
          <w:b/>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eastAsia="宋体" w:cs="宋体"/>
          <w:b/>
          <w:sz w:val="36"/>
          <w:szCs w:val="20"/>
          <w:highlight w:val="none"/>
        </w:rPr>
        <w:t>第一部分 招标公告</w:t>
      </w:r>
    </w:p>
    <w:p w14:paraId="7721B741">
      <w:pPr>
        <w:pBdr>
          <w:top w:val="single" w:color="auto" w:sz="4" w:space="1"/>
          <w:left w:val="single" w:color="auto" w:sz="4" w:space="4"/>
          <w:bottom w:val="single" w:color="auto" w:sz="4" w:space="1"/>
          <w:right w:val="single" w:color="auto" w:sz="4" w:space="4"/>
        </w:pBdr>
        <w:wordWrap/>
        <w:adjustRightInd w:val="0"/>
        <w:spacing w:line="6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12A80630">
      <w:pPr>
        <w:pBdr>
          <w:top w:val="single" w:color="auto" w:sz="4" w:space="1"/>
          <w:left w:val="single" w:color="auto" w:sz="4" w:space="4"/>
          <w:bottom w:val="single" w:color="auto" w:sz="4" w:space="1"/>
          <w:right w:val="single" w:color="auto" w:sz="4" w:space="4"/>
        </w:pBdr>
        <w:wordWrap/>
        <w:adjustRightInd w:val="0"/>
        <w:spacing w:line="6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color="auto"/>
          <w:lang w:eastAsia="zh-CN"/>
        </w:rPr>
        <w:t>2024年临平区运河街道高标准农田示范区建设-农田数字化、灌排数字化项目</w:t>
      </w:r>
      <w:r>
        <w:rPr>
          <w:rFonts w:hint="eastAsia" w:ascii="宋体" w:hAnsi="宋体" w:eastAsia="宋体" w:cs="宋体"/>
          <w:color w:val="auto"/>
          <w:sz w:val="24"/>
          <w:szCs w:val="24"/>
          <w:highlight w:val="none"/>
        </w:rPr>
        <w:t>招标项目的潜在投标人应在政采云平台（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Style w:val="77"/>
          <w:rFonts w:hint="eastAsia" w:ascii="宋体" w:hAnsi="宋体" w:cs="宋体"/>
          <w:color w:val="auto"/>
          <w:kern w:val="2"/>
          <w:sz w:val="24"/>
          <w:szCs w:val="24"/>
          <w:highlight w:val="none"/>
          <w:lang w:eastAsia="zh-CN"/>
        </w:rPr>
        <w:t>2025年1月8日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点</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0分</w:t>
      </w:r>
      <w:r>
        <w:rPr>
          <w:rFonts w:hint="eastAsia" w:ascii="宋体" w:hAnsi="宋体" w:eastAsia="宋体" w:cs="宋体"/>
          <w:color w:val="auto"/>
          <w:sz w:val="24"/>
          <w:szCs w:val="24"/>
          <w:highlight w:val="none"/>
        </w:rPr>
        <w:t>00</w:t>
      </w:r>
      <w:r>
        <w:rPr>
          <w:rStyle w:val="77"/>
          <w:rFonts w:hint="eastAsia" w:ascii="宋体" w:hAnsi="宋体" w:eastAsia="宋体" w:cs="宋体"/>
          <w:bCs/>
          <w:color w:val="auto"/>
          <w:kern w:val="2"/>
          <w:sz w:val="24"/>
          <w:szCs w:val="24"/>
          <w:highlight w:val="none"/>
        </w:rPr>
        <w:t>秒</w:t>
      </w:r>
      <w:r>
        <w:rPr>
          <w:rStyle w:val="77"/>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49E21C25">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66C27A23">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项目编号：</w:t>
      </w:r>
      <w:r>
        <w:rPr>
          <w:rFonts w:hint="eastAsia" w:ascii="宋体" w:hAnsi="宋体" w:cs="宋体"/>
          <w:color w:val="auto"/>
          <w:sz w:val="24"/>
          <w:szCs w:val="24"/>
          <w:highlight w:val="none"/>
          <w:lang w:eastAsia="zh-CN"/>
        </w:rPr>
        <w:t>RTZFCG-2024-074-1</w:t>
      </w:r>
    </w:p>
    <w:p w14:paraId="2B39E90C">
      <w:pPr>
        <w:wordWrap/>
        <w:adjustRightInd w:val="0"/>
        <w:spacing w:line="6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项目名称：</w:t>
      </w:r>
      <w:r>
        <w:rPr>
          <w:rFonts w:hint="eastAsia" w:ascii="宋体" w:hAnsi="宋体" w:cs="宋体"/>
          <w:b w:val="0"/>
          <w:bCs/>
          <w:color w:val="auto"/>
          <w:sz w:val="24"/>
          <w:szCs w:val="24"/>
          <w:highlight w:val="none"/>
          <w:lang w:eastAsia="zh-CN"/>
        </w:rPr>
        <w:t>2024年临平区运河街道高标准农田示范区建设-农田数字化、灌排数字化项目</w:t>
      </w:r>
    </w:p>
    <w:p w14:paraId="74F55AF9">
      <w:pPr>
        <w:wordWrap/>
        <w:adjustRightInd w:val="0"/>
        <w:spacing w:line="600" w:lineRule="exac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预算金额（元）：</w:t>
      </w:r>
      <w:r>
        <w:rPr>
          <w:rFonts w:hint="eastAsia" w:ascii="宋体" w:hAnsi="宋体" w:cs="宋体"/>
          <w:b w:val="0"/>
          <w:bCs/>
          <w:color w:val="auto"/>
          <w:sz w:val="24"/>
          <w:szCs w:val="24"/>
          <w:highlight w:val="none"/>
          <w:lang w:val="en-US" w:eastAsia="zh-CN"/>
        </w:rPr>
        <w:t>2299700</w:t>
      </w:r>
      <w:r>
        <w:rPr>
          <w:rFonts w:hint="eastAsia" w:ascii="宋体" w:hAnsi="宋体" w:eastAsia="宋体" w:cs="宋体"/>
          <w:b w:val="0"/>
          <w:bCs/>
          <w:color w:val="auto"/>
          <w:sz w:val="24"/>
          <w:szCs w:val="24"/>
          <w:highlight w:val="none"/>
          <w:lang w:val="en-US" w:eastAsia="zh-CN"/>
        </w:rPr>
        <w:t>元</w:t>
      </w:r>
    </w:p>
    <w:p w14:paraId="57211127">
      <w:pPr>
        <w:wordWrap/>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最高限价（元）：</w:t>
      </w:r>
      <w:r>
        <w:rPr>
          <w:rFonts w:hint="eastAsia" w:ascii="宋体" w:hAnsi="宋体" w:cs="宋体"/>
          <w:b w:val="0"/>
          <w:bCs/>
          <w:color w:val="auto"/>
          <w:sz w:val="24"/>
          <w:szCs w:val="24"/>
          <w:highlight w:val="none"/>
          <w:lang w:val="en-US" w:eastAsia="zh-CN"/>
        </w:rPr>
        <w:t>2299700</w:t>
      </w:r>
      <w:r>
        <w:rPr>
          <w:rFonts w:hint="eastAsia" w:ascii="宋体" w:hAnsi="宋体" w:eastAsia="宋体" w:cs="宋体"/>
          <w:color w:val="auto"/>
          <w:sz w:val="24"/>
          <w:szCs w:val="24"/>
          <w:highlight w:val="none"/>
        </w:rPr>
        <w:t>元</w:t>
      </w:r>
    </w:p>
    <w:p w14:paraId="56410B6E">
      <w:pPr>
        <w:pStyle w:val="5"/>
        <w:wordWrap/>
        <w:adjustRightInd w:val="0"/>
        <w:spacing w:line="600" w:lineRule="exact"/>
        <w:ind w:firstLine="480"/>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
          <w:color w:val="auto"/>
          <w:sz w:val="24"/>
          <w:szCs w:val="24"/>
          <w:highlight w:val="none"/>
        </w:rPr>
        <w:t>采购需求：</w:t>
      </w:r>
      <w:r>
        <w:rPr>
          <w:rFonts w:hint="eastAsia" w:ascii="宋体" w:hAnsi="宋体" w:cs="宋体"/>
          <w:sz w:val="24"/>
          <w:highlight w:val="none"/>
          <w:u w:val="none"/>
        </w:rPr>
        <w:t>本项目采购内容为</w:t>
      </w:r>
      <w:r>
        <w:rPr>
          <w:rFonts w:hint="eastAsia" w:hAnsi="宋体" w:cs="宋体"/>
          <w:b w:val="0"/>
          <w:bCs/>
          <w:color w:val="auto"/>
          <w:sz w:val="24"/>
          <w:szCs w:val="24"/>
          <w:highlight w:val="none"/>
          <w:lang w:eastAsia="zh-CN"/>
        </w:rPr>
        <w:t>2024年临平区运河街道高标准农田示范区建设-农田数字化、灌排数字化项目</w:t>
      </w:r>
      <w:r>
        <w:rPr>
          <w:rFonts w:hint="eastAsia" w:ascii="宋体" w:hAnsi="宋体" w:cs="宋体"/>
          <w:sz w:val="24"/>
          <w:highlight w:val="none"/>
          <w:u w:val="none"/>
        </w:rPr>
        <w:t>，</w:t>
      </w:r>
      <w:r>
        <w:rPr>
          <w:rFonts w:hint="eastAsia" w:ascii="宋体" w:hAnsi="宋体" w:eastAsia="宋体" w:cs="宋体"/>
          <w:color w:val="auto"/>
          <w:kern w:val="2"/>
          <w:sz w:val="24"/>
          <w:szCs w:val="24"/>
          <w:highlight w:val="none"/>
          <w:u w:val="none"/>
        </w:rPr>
        <w:t>具体以招标文件第三部分采购需求为准，供应商可点击本公告下方“浏览采购文件”查看采购需求</w:t>
      </w:r>
      <w:r>
        <w:rPr>
          <w:rFonts w:hint="eastAsia" w:hAnsi="宋体" w:cs="宋体"/>
          <w:color w:val="auto"/>
          <w:kern w:val="2"/>
          <w:sz w:val="24"/>
          <w:szCs w:val="24"/>
          <w:highlight w:val="none"/>
          <w:u w:val="none"/>
          <w:lang w:eastAsia="zh-CN"/>
        </w:rPr>
        <w:t>；</w:t>
      </w:r>
    </w:p>
    <w:p w14:paraId="543D29D8">
      <w:pPr>
        <w:pStyle w:val="86"/>
        <w:wordWrap/>
        <w:adjustRightInd w:val="0"/>
        <w:spacing w:line="600" w:lineRule="exact"/>
        <w:ind w:firstLine="482"/>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合同履约期限：</w:t>
      </w:r>
      <w:r>
        <w:rPr>
          <w:rFonts w:hint="eastAsia" w:ascii="宋体" w:hAnsi="宋体" w:cs="宋体"/>
          <w:b w:val="0"/>
          <w:bCs w:val="0"/>
          <w:sz w:val="24"/>
          <w:highlight w:val="none"/>
          <w:lang w:val="en-US" w:eastAsia="zh-CN"/>
        </w:rPr>
        <w:t>合同签订后4个月内完成设备供货、安装、调试和数据对接等工作，并通过验收</w:t>
      </w:r>
      <w:r>
        <w:rPr>
          <w:rFonts w:hint="eastAsia" w:ascii="宋体" w:hAnsi="宋体" w:cs="宋体"/>
          <w:b w:val="0"/>
          <w:bCs/>
          <w:color w:val="auto"/>
          <w:szCs w:val="24"/>
          <w:highlight w:val="none"/>
          <w:lang w:eastAsia="zh-CN"/>
        </w:rPr>
        <w:t>；</w:t>
      </w:r>
      <w:r>
        <w:rPr>
          <w:rFonts w:hint="eastAsia" w:ascii="宋体" w:hAnsi="宋体" w:eastAsia="宋体" w:cs="宋体"/>
          <w:color w:val="auto"/>
          <w:sz w:val="24"/>
          <w:szCs w:val="24"/>
          <w:highlight w:val="none"/>
        </w:rPr>
        <w:t xml:space="preserve"> </w:t>
      </w:r>
    </w:p>
    <w:p w14:paraId="3219132D">
      <w:pPr>
        <w:pStyle w:val="5"/>
        <w:wordWrap/>
        <w:adjustRightInd w:val="0"/>
        <w:spacing w:line="60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color w:val="auto"/>
          <w:sz w:val="24"/>
          <w:szCs w:val="24"/>
          <w:highlight w:val="none"/>
        </w:rPr>
        <w:t>是；</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14:paraId="2E6C9D1C">
      <w:pPr>
        <w:wordWrap/>
        <w:adjustRightInd w:val="0"/>
        <w:spacing w:line="6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二、申请人的资格要求：</w:t>
      </w:r>
    </w:p>
    <w:p w14:paraId="68199D75">
      <w:pPr>
        <w:wordWrap/>
        <w:adjustRightInd w:val="0"/>
        <w:spacing w:line="600" w:lineRule="exact"/>
        <w:ind w:firstLine="480"/>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BB4D74D">
      <w:pPr>
        <w:wordWrap/>
        <w:adjustRightInd w:val="0"/>
        <w:spacing w:line="600" w:lineRule="exact"/>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 xml:space="preserve">    2.</w:t>
      </w:r>
      <w:r>
        <w:rPr>
          <w:rFonts w:hint="eastAsia" w:ascii="宋体" w:hAnsi="宋体" w:eastAsia="宋体" w:cs="宋体"/>
          <w:sz w:val="24"/>
          <w:szCs w:val="24"/>
          <w:highlight w:val="none"/>
        </w:rPr>
        <w:t xml:space="preserve"> </w:t>
      </w:r>
      <w:r>
        <w:rPr>
          <w:rFonts w:hint="eastAsia" w:ascii="宋体" w:hAnsi="宋体" w:eastAsia="宋体" w:cs="宋体"/>
          <w:snapToGrid w:val="0"/>
          <w:kern w:val="28"/>
          <w:sz w:val="24"/>
          <w:szCs w:val="24"/>
          <w:highlight w:val="none"/>
        </w:rPr>
        <w:t>以联合体形式投标的，提供联合协议(本项目不接受联合体投标或者投标人不以联合体形式投标的，则不需要提供) ；</w:t>
      </w:r>
    </w:p>
    <w:p w14:paraId="1239E44C">
      <w:pPr>
        <w:wordWrap/>
        <w:adjustRightInd w:val="0"/>
        <w:spacing w:line="600" w:lineRule="exact"/>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3.落实政府采购政策需满足的资格要求：</w:t>
      </w:r>
    </w:p>
    <w:p w14:paraId="0B49EBF3">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无</w:t>
      </w:r>
      <w:r>
        <w:rPr>
          <w:rFonts w:hint="eastAsia" w:ascii="宋体" w:hAnsi="宋体" w:eastAsia="宋体" w:cs="宋体"/>
          <w:snapToGrid w:val="0"/>
          <w:color w:val="auto"/>
          <w:kern w:val="28"/>
          <w:sz w:val="24"/>
          <w:szCs w:val="24"/>
          <w:highlight w:val="none"/>
        </w:rPr>
        <w:t>（注：不得限制大中型企业与小微企业组成联合体参与投标）；</w:t>
      </w:r>
    </w:p>
    <w:p w14:paraId="21361DAD">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☐专</w:t>
      </w:r>
      <w:r>
        <w:rPr>
          <w:rFonts w:hint="eastAsia" w:ascii="宋体" w:hAnsi="宋体" w:eastAsia="宋体" w:cs="宋体"/>
          <w:color w:val="auto"/>
          <w:sz w:val="24"/>
          <w:szCs w:val="24"/>
          <w:highlight w:val="none"/>
        </w:rPr>
        <w:t>门面向中小企业</w:t>
      </w:r>
    </w:p>
    <w:p w14:paraId="29E2C8A9">
      <w:pPr>
        <w:wordWrap/>
        <w:adjustRightInd w:val="0"/>
        <w:spacing w:line="600" w:lineRule="exact"/>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cs="宋体"/>
          <w:color w:val="auto"/>
          <w:sz w:val="24"/>
          <w:szCs w:val="24"/>
          <w:highlight w:val="none"/>
          <w:lang w:eastAsia="zh-CN"/>
        </w:rPr>
        <w:t>货物</w:t>
      </w:r>
      <w:r>
        <w:rPr>
          <w:rFonts w:hint="eastAsia" w:ascii="宋体" w:hAnsi="宋体" w:eastAsia="宋体" w:cs="宋体"/>
          <w:color w:val="auto"/>
          <w:sz w:val="24"/>
          <w:szCs w:val="24"/>
          <w:highlight w:val="none"/>
        </w:rPr>
        <w:t>全部由符合政策要求的中小企业承接，提供中小企业声明函；</w:t>
      </w:r>
    </w:p>
    <w:p w14:paraId="391F0BCE">
      <w:pPr>
        <w:wordWrap/>
        <w:adjustRightInd w:val="0"/>
        <w:spacing w:line="600" w:lineRule="exact"/>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cs="宋体"/>
          <w:color w:val="auto"/>
          <w:sz w:val="24"/>
          <w:szCs w:val="24"/>
          <w:highlight w:val="none"/>
          <w:lang w:eastAsia="zh-CN"/>
        </w:rPr>
        <w:t>货物</w:t>
      </w:r>
      <w:r>
        <w:rPr>
          <w:rFonts w:hint="eastAsia" w:ascii="宋体" w:hAnsi="宋体" w:eastAsia="宋体" w:cs="宋体"/>
          <w:color w:val="auto"/>
          <w:sz w:val="24"/>
          <w:szCs w:val="24"/>
          <w:highlight w:val="none"/>
        </w:rPr>
        <w:t>全部由符合政策要求的小微企业承接，提供中小企业声明函；</w:t>
      </w:r>
    </w:p>
    <w:p w14:paraId="3FD501A7">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要求以联合体形式参加，提供联合协议和中小企业声明函，联合协议中中小企业合同金额应当达到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p w14:paraId="312AD830">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szCs w:val="24"/>
          <w:highlight w:val="none"/>
        </w:rPr>
        <w:t>；</w:t>
      </w:r>
    </w:p>
    <w:p w14:paraId="14D332DD">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4.本项目的特定资格要求：无；</w:t>
      </w:r>
    </w:p>
    <w:p w14:paraId="504F750F">
      <w:pPr>
        <w:wordWrap/>
        <w:adjustRightInd w:val="0"/>
        <w:snapToGrid w:val="0"/>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84DB41F">
      <w:pPr>
        <w:wordWrap/>
        <w:adjustRightInd w:val="0"/>
        <w:spacing w:line="6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三、获取招标文件 </w:t>
      </w:r>
    </w:p>
    <w:p w14:paraId="2B6BCAAE">
      <w:pPr>
        <w:wordWrap/>
        <w:adjustRightInd w:val="0"/>
        <w:spacing w:line="6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时间：</w:t>
      </w:r>
      <w:r>
        <w:rPr>
          <w:rFonts w:hint="eastAsia" w:ascii="宋体" w:hAnsi="宋体" w:eastAsia="宋体" w:cs="宋体"/>
          <w:sz w:val="24"/>
          <w:szCs w:val="24"/>
          <w:highlight w:val="none"/>
        </w:rPr>
        <w:t>/至</w:t>
      </w:r>
      <w:r>
        <w:rPr>
          <w:rFonts w:hint="eastAsia" w:ascii="宋体" w:hAnsi="宋体" w:cs="宋体"/>
          <w:color w:val="auto"/>
          <w:sz w:val="24"/>
          <w:szCs w:val="24"/>
          <w:highlight w:val="none"/>
          <w:u w:val="single"/>
          <w:lang w:eastAsia="zh-CN"/>
        </w:rPr>
        <w:t>2025年1月8日</w:t>
      </w:r>
      <w:r>
        <w:rPr>
          <w:rFonts w:hint="eastAsia" w:ascii="宋体" w:hAnsi="宋体" w:eastAsia="宋体" w:cs="宋体"/>
          <w:color w:val="auto"/>
          <w:sz w:val="24"/>
          <w:szCs w:val="24"/>
          <w:highlight w:val="none"/>
        </w:rPr>
        <w:t>，每天</w:t>
      </w:r>
      <w:r>
        <w:rPr>
          <w:rFonts w:hint="eastAsia" w:ascii="宋体" w:hAnsi="宋体" w:eastAsia="宋体" w:cs="宋体"/>
          <w:sz w:val="24"/>
          <w:szCs w:val="24"/>
          <w:highlight w:val="none"/>
        </w:rPr>
        <w:t>上午00:00至12:00 ，下午12:00至23:59（北京时间，线上获取法定节假日均可，线下获取文件法定节假日除外）</w:t>
      </w:r>
    </w:p>
    <w:p w14:paraId="69077B8B">
      <w:pPr>
        <w:wordWrap/>
        <w:adjustRightInd w:val="0"/>
        <w:spacing w:line="6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地点（网址）：</w:t>
      </w:r>
      <w:r>
        <w:rPr>
          <w:rFonts w:hint="eastAsia" w:ascii="宋体" w:hAnsi="宋体" w:eastAsia="宋体" w:cs="宋体"/>
          <w:sz w:val="24"/>
          <w:szCs w:val="24"/>
          <w:highlight w:val="none"/>
        </w:rPr>
        <w:t xml:space="preserve">政采云平台（https://www.zcygov.cn/） </w:t>
      </w:r>
    </w:p>
    <w:p w14:paraId="5A94810B">
      <w:pPr>
        <w:wordWrap/>
        <w:adjustRightInd w:val="0"/>
        <w:spacing w:line="6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方式：</w:t>
      </w:r>
      <w:r>
        <w:rPr>
          <w:rFonts w:hint="eastAsia" w:ascii="宋体" w:hAnsi="宋体" w:eastAsia="宋体" w:cs="宋体"/>
          <w:sz w:val="24"/>
          <w:szCs w:val="24"/>
          <w:highlight w:val="none"/>
        </w:rPr>
        <w:t xml:space="preserve">供应商登录政采云平台https://www.zcygov.cn/在线申请获取采购文件（进入“项目采购”应用，在获取采购文件菜单中选择项目，申请获取采购文件）。 </w:t>
      </w:r>
    </w:p>
    <w:p w14:paraId="5B7CFA30">
      <w:pPr>
        <w:wordWrap/>
        <w:adjustRightInd w:val="0"/>
        <w:spacing w:line="6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售价（元）：</w:t>
      </w:r>
      <w:r>
        <w:rPr>
          <w:rFonts w:hint="eastAsia" w:ascii="宋体" w:hAnsi="宋体" w:eastAsia="宋体" w:cs="宋体"/>
          <w:sz w:val="24"/>
          <w:szCs w:val="24"/>
          <w:highlight w:val="none"/>
        </w:rPr>
        <w:t xml:space="preserve">0 </w:t>
      </w:r>
      <w:r>
        <w:rPr>
          <w:rFonts w:hint="eastAsia" w:ascii="宋体" w:hAnsi="宋体" w:eastAsia="宋体" w:cs="宋体"/>
          <w:sz w:val="24"/>
          <w:szCs w:val="24"/>
          <w:highlight w:val="none"/>
        </w:rPr>
        <w:tab/>
      </w:r>
    </w:p>
    <w:p w14:paraId="03A13A5F">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sz w:val="24"/>
          <w:szCs w:val="24"/>
          <w:highlight w:val="none"/>
        </w:rPr>
        <w:t>四、提交投标文件截止时</w:t>
      </w:r>
      <w:r>
        <w:rPr>
          <w:rFonts w:hint="eastAsia" w:ascii="宋体" w:hAnsi="宋体" w:eastAsia="宋体" w:cs="宋体"/>
          <w:b/>
          <w:color w:val="auto"/>
          <w:sz w:val="24"/>
          <w:szCs w:val="24"/>
          <w:highlight w:val="none"/>
        </w:rPr>
        <w:t>间、开标时间和地点</w:t>
      </w:r>
    </w:p>
    <w:p w14:paraId="44364B6A">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bookmarkStart w:id="555" w:name="_GoBack"/>
      <w:bookmarkEnd w:id="555"/>
      <w:r>
        <w:rPr>
          <w:rFonts w:hint="eastAsia" w:ascii="宋体" w:hAnsi="宋体" w:cs="宋体"/>
          <w:color w:val="auto"/>
          <w:sz w:val="24"/>
          <w:szCs w:val="24"/>
          <w:highlight w:val="none"/>
          <w:u w:val="single"/>
          <w:lang w:eastAsia="zh-CN"/>
        </w:rPr>
        <w:t>2025年1月8日</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lang w:eastAsia="zh-CN"/>
        </w:rPr>
        <w:t>点</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lang w:eastAsia="zh-CN"/>
        </w:rPr>
        <w:t>0分</w:t>
      </w:r>
      <w:r>
        <w:rPr>
          <w:rFonts w:hint="eastAsia" w:ascii="宋体" w:hAnsi="宋体" w:eastAsia="宋体" w:cs="宋体"/>
          <w:color w:val="auto"/>
          <w:sz w:val="24"/>
          <w:szCs w:val="24"/>
          <w:highlight w:val="none"/>
          <w:u w:val="single"/>
        </w:rPr>
        <w:t>00秒</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（北京时间）</w:t>
      </w:r>
    </w:p>
    <w:p w14:paraId="31B3C979">
      <w:pPr>
        <w:wordWrap/>
        <w:adjustRightInd w:val="0"/>
        <w:spacing w:line="6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 xml:space="preserve">政采云平台（https://www.zcygov.cn/） </w:t>
      </w:r>
    </w:p>
    <w:p w14:paraId="7513A799">
      <w:pPr>
        <w:wordWrap/>
        <w:adjustRightInd w:val="0"/>
        <w:spacing w:line="600" w:lineRule="exact"/>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cs="宋体"/>
          <w:color w:val="auto"/>
          <w:sz w:val="24"/>
          <w:szCs w:val="24"/>
          <w:highlight w:val="none"/>
          <w:u w:val="single"/>
          <w:lang w:eastAsia="zh-CN"/>
        </w:rPr>
        <w:t>2025年1月8日</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lang w:eastAsia="zh-CN"/>
        </w:rPr>
        <w:t>点</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lang w:eastAsia="zh-CN"/>
        </w:rPr>
        <w:t>0分</w:t>
      </w:r>
      <w:r>
        <w:rPr>
          <w:rFonts w:hint="eastAsia" w:ascii="宋体" w:hAnsi="宋体" w:eastAsia="宋体" w:cs="宋体"/>
          <w:color w:val="auto"/>
          <w:sz w:val="24"/>
          <w:szCs w:val="24"/>
          <w:highlight w:val="none"/>
          <w:u w:val="single"/>
        </w:rPr>
        <w:t>00秒</w:t>
      </w:r>
      <w:r>
        <w:rPr>
          <w:rFonts w:hint="eastAsia" w:ascii="宋体" w:hAnsi="宋体" w:eastAsia="宋体" w:cs="宋体"/>
          <w:bCs/>
          <w:color w:val="auto"/>
          <w:sz w:val="24"/>
          <w:szCs w:val="24"/>
          <w:highlight w:val="none"/>
          <w:u w:val="single"/>
        </w:rPr>
        <w:t xml:space="preserve">  </w:t>
      </w:r>
    </w:p>
    <w:p w14:paraId="1F1DB454">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政采云平台（https://www.zcygov.cn/）</w:t>
      </w:r>
    </w:p>
    <w:p w14:paraId="25CDF0DB">
      <w:pPr>
        <w:wordWrap/>
        <w:adjustRightIn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五、公告期限 </w:t>
      </w:r>
    </w:p>
    <w:p w14:paraId="6FA22B20">
      <w:pPr>
        <w:wordWrap/>
        <w:adjustRightInd w:val="0"/>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532D0356">
      <w:pPr>
        <w:wordWrap/>
        <w:adjustRightInd w:val="0"/>
        <w:spacing w:line="6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六、其他补充事宜</w:t>
      </w:r>
    </w:p>
    <w:p w14:paraId="4F287B49">
      <w:pPr>
        <w:wordWrap/>
        <w:adjustRightInd w:val="0"/>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399FA6D">
      <w:pPr>
        <w:wordWrap/>
        <w:adjustRightInd w:val="0"/>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9F4D07">
      <w:pPr>
        <w:wordWrap/>
        <w:adjustRightInd w:val="0"/>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9FBF42">
      <w:pPr>
        <w:wordWrap/>
        <w:adjustRightInd w:val="0"/>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44F9DEE">
      <w:pPr>
        <w:wordWrap/>
        <w:adjustRightInd w:val="0"/>
        <w:spacing w:line="6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七、对本次采购提出询问、质疑、投诉，请按以下方式联系</w:t>
      </w:r>
    </w:p>
    <w:p w14:paraId="6FE53FBE">
      <w:pPr>
        <w:spacing w:line="600" w:lineRule="exact"/>
        <w:ind w:firstLine="480" w:firstLineChars="200"/>
        <w:rPr>
          <w:rFonts w:ascii="宋体" w:hAnsi="宋体" w:cs="宋体"/>
          <w:sz w:val="24"/>
          <w:highlight w:val="none"/>
        </w:rPr>
      </w:pPr>
      <w:r>
        <w:rPr>
          <w:rFonts w:hint="eastAsia" w:ascii="宋体" w:hAnsi="宋体" w:cs="宋体"/>
          <w:sz w:val="24"/>
          <w:highlight w:val="none"/>
        </w:rPr>
        <w:t>1.采购人信息</w:t>
      </w:r>
    </w:p>
    <w:p w14:paraId="2DFD7178">
      <w:pPr>
        <w:spacing w:line="600" w:lineRule="exact"/>
        <w:ind w:firstLine="48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sz w:val="24"/>
          <w:highlight w:val="none"/>
          <w:lang w:eastAsia="zh-CN"/>
        </w:rPr>
        <w:t>杭州市临平区人民政府运河街道办事处</w:t>
      </w:r>
    </w:p>
    <w:p w14:paraId="44EB8785">
      <w:pPr>
        <w:spacing w:line="600" w:lineRule="exact"/>
        <w:ind w:firstLine="480"/>
        <w:rPr>
          <w:rFonts w:ascii="宋体" w:hAnsi="宋体" w:cs="宋体"/>
          <w:sz w:val="24"/>
          <w:highlight w:val="none"/>
        </w:rPr>
      </w:pPr>
      <w:r>
        <w:rPr>
          <w:rFonts w:hint="eastAsia" w:ascii="宋体" w:hAnsi="宋体" w:cs="宋体"/>
          <w:sz w:val="24"/>
          <w:highlight w:val="none"/>
        </w:rPr>
        <w:t>地    址：杭州市临平区运河街道兴旺大道1号</w:t>
      </w:r>
    </w:p>
    <w:p w14:paraId="5BE543A7">
      <w:pPr>
        <w:spacing w:line="600" w:lineRule="exact"/>
        <w:ind w:firstLine="480"/>
        <w:rPr>
          <w:rFonts w:ascii="宋体" w:hAnsi="宋体" w:cs="宋体"/>
          <w:sz w:val="24"/>
          <w:highlight w:val="none"/>
        </w:rPr>
      </w:pPr>
      <w:r>
        <w:rPr>
          <w:rFonts w:hint="eastAsia" w:ascii="宋体" w:hAnsi="宋体" w:cs="宋体"/>
          <w:sz w:val="24"/>
          <w:highlight w:val="none"/>
        </w:rPr>
        <w:t xml:space="preserve">传    真：/ </w:t>
      </w:r>
    </w:p>
    <w:p w14:paraId="32B551ED">
      <w:pPr>
        <w:spacing w:line="600" w:lineRule="exact"/>
        <w:ind w:firstLine="480"/>
        <w:rPr>
          <w:rFonts w:ascii="宋体" w:hAnsi="宋体" w:cs="宋体"/>
          <w:sz w:val="24"/>
          <w:highlight w:val="none"/>
        </w:rPr>
      </w:pPr>
      <w:r>
        <w:rPr>
          <w:rFonts w:hint="eastAsia" w:ascii="宋体" w:hAnsi="宋体" w:cs="宋体"/>
          <w:sz w:val="24"/>
          <w:highlight w:val="none"/>
        </w:rPr>
        <w:t>项目联系人（询问）：鲍工</w:t>
      </w:r>
    </w:p>
    <w:p w14:paraId="30B97490">
      <w:pPr>
        <w:spacing w:line="600" w:lineRule="exact"/>
        <w:ind w:firstLine="480" w:firstLineChars="200"/>
        <w:rPr>
          <w:rFonts w:ascii="宋体" w:hAnsi="宋体" w:cs="宋体"/>
          <w:sz w:val="24"/>
          <w:highlight w:val="none"/>
        </w:rPr>
      </w:pPr>
      <w:r>
        <w:rPr>
          <w:rFonts w:hint="eastAsia" w:ascii="宋体" w:hAnsi="宋体" w:cs="宋体"/>
          <w:sz w:val="24"/>
          <w:highlight w:val="none"/>
        </w:rPr>
        <w:t>项目联系方式（询问）：0571-89533112</w:t>
      </w:r>
    </w:p>
    <w:p w14:paraId="7F21D4CB">
      <w:pPr>
        <w:spacing w:line="600" w:lineRule="exact"/>
        <w:ind w:firstLine="480"/>
        <w:rPr>
          <w:rFonts w:hint="eastAsia" w:ascii="宋体" w:hAnsi="宋体" w:eastAsia="宋体" w:cs="宋体"/>
          <w:sz w:val="24"/>
          <w:highlight w:val="none"/>
          <w:lang w:eastAsia="zh-CN"/>
        </w:rPr>
      </w:pPr>
      <w:r>
        <w:rPr>
          <w:rFonts w:hint="eastAsia" w:ascii="宋体" w:hAnsi="宋体" w:cs="宋体"/>
          <w:sz w:val="24"/>
          <w:highlight w:val="none"/>
        </w:rPr>
        <w:t>质疑联系人：高宇翔</w:t>
      </w:r>
    </w:p>
    <w:p w14:paraId="3F83344B">
      <w:pPr>
        <w:spacing w:line="600" w:lineRule="exact"/>
        <w:ind w:firstLine="480"/>
        <w:rPr>
          <w:rFonts w:hint="eastAsia" w:ascii="宋体" w:hAnsi="宋体" w:eastAsia="宋体" w:cs="宋体"/>
          <w:sz w:val="24"/>
          <w:highlight w:val="none"/>
          <w:lang w:eastAsia="zh-CN"/>
        </w:rPr>
      </w:pPr>
      <w:r>
        <w:rPr>
          <w:rFonts w:hint="eastAsia" w:ascii="宋体" w:hAnsi="宋体" w:cs="宋体"/>
          <w:sz w:val="24"/>
          <w:highlight w:val="none"/>
        </w:rPr>
        <w:t>质疑联系方式：</w:t>
      </w:r>
      <w:r>
        <w:rPr>
          <w:rFonts w:hint="eastAsia" w:ascii="宋体" w:hAnsi="宋体" w:cs="宋体"/>
          <w:sz w:val="24"/>
          <w:highlight w:val="none"/>
          <w:lang w:val="en-US" w:eastAsia="zh-CN"/>
        </w:rPr>
        <w:t>0571-89533111</w:t>
      </w:r>
    </w:p>
    <w:p w14:paraId="55EE2489">
      <w:pPr>
        <w:spacing w:line="600" w:lineRule="exact"/>
        <w:ind w:firstLine="480" w:firstLineChars="200"/>
        <w:rPr>
          <w:rFonts w:ascii="宋体" w:hAnsi="宋体" w:cs="宋体"/>
          <w:sz w:val="24"/>
          <w:highlight w:val="none"/>
        </w:rPr>
      </w:pPr>
      <w:r>
        <w:rPr>
          <w:rFonts w:hint="eastAsia" w:ascii="宋体" w:hAnsi="宋体" w:cs="宋体"/>
          <w:sz w:val="24"/>
          <w:highlight w:val="none"/>
        </w:rPr>
        <w:t xml:space="preserve">2.采购代理机构信息            </w:t>
      </w:r>
    </w:p>
    <w:p w14:paraId="344B1F50">
      <w:pPr>
        <w:spacing w:line="600" w:lineRule="exact"/>
        <w:ind w:firstLine="480"/>
        <w:rPr>
          <w:rFonts w:ascii="宋体" w:hAnsi="宋体" w:cs="宋体"/>
          <w:sz w:val="24"/>
          <w:highlight w:val="none"/>
        </w:rPr>
      </w:pPr>
      <w:r>
        <w:rPr>
          <w:rFonts w:hint="eastAsia" w:ascii="宋体" w:hAnsi="宋体" w:cs="宋体"/>
          <w:sz w:val="24"/>
          <w:highlight w:val="none"/>
        </w:rPr>
        <w:t>名    称：杭州瑞拓工程咨询有限公司</w:t>
      </w:r>
    </w:p>
    <w:p w14:paraId="01FBFE62">
      <w:pPr>
        <w:spacing w:line="600" w:lineRule="exact"/>
        <w:ind w:firstLine="480"/>
        <w:rPr>
          <w:rFonts w:ascii="宋体" w:hAnsi="宋体" w:cs="宋体"/>
          <w:sz w:val="24"/>
          <w:highlight w:val="none"/>
        </w:rPr>
      </w:pPr>
      <w:r>
        <w:rPr>
          <w:rFonts w:hint="eastAsia" w:ascii="宋体" w:hAnsi="宋体" w:cs="宋体"/>
          <w:sz w:val="24"/>
          <w:highlight w:val="none"/>
        </w:rPr>
        <w:t>地    址：</w:t>
      </w:r>
      <w:r>
        <w:rPr>
          <w:rFonts w:hint="eastAsia" w:ascii="宋体" w:hAnsi="宋体" w:cs="宋体"/>
          <w:color w:val="auto"/>
          <w:sz w:val="24"/>
          <w:highlight w:val="none"/>
        </w:rPr>
        <w:t>杭州市临平区新丰路199号</w:t>
      </w:r>
      <w:r>
        <w:rPr>
          <w:rFonts w:hint="eastAsia" w:ascii="宋体" w:hAnsi="宋体" w:cs="宋体"/>
          <w:color w:val="auto"/>
          <w:sz w:val="24"/>
          <w:highlight w:val="none"/>
          <w:lang w:eastAsia="zh-CN"/>
        </w:rPr>
        <w:t>临平</w:t>
      </w:r>
      <w:r>
        <w:rPr>
          <w:rFonts w:hint="eastAsia" w:ascii="宋体" w:hAnsi="宋体" w:cs="宋体"/>
          <w:color w:val="auto"/>
          <w:sz w:val="24"/>
          <w:highlight w:val="none"/>
        </w:rPr>
        <w:t>商会大厦4号楼25楼</w:t>
      </w:r>
    </w:p>
    <w:p w14:paraId="623F2166">
      <w:pPr>
        <w:spacing w:line="600" w:lineRule="exact"/>
        <w:ind w:firstLine="480" w:firstLineChars="200"/>
        <w:rPr>
          <w:rFonts w:ascii="宋体" w:hAnsi="宋体" w:cs="宋体"/>
          <w:sz w:val="24"/>
          <w:highlight w:val="none"/>
        </w:rPr>
      </w:pPr>
      <w:r>
        <w:rPr>
          <w:rFonts w:hint="eastAsia" w:ascii="宋体" w:hAnsi="宋体" w:cs="宋体"/>
          <w:sz w:val="24"/>
          <w:highlight w:val="none"/>
        </w:rPr>
        <w:t xml:space="preserve">传    真：0571-86243788             </w:t>
      </w:r>
    </w:p>
    <w:p w14:paraId="01D8E6B2">
      <w:pPr>
        <w:spacing w:line="600" w:lineRule="exact"/>
        <w:ind w:firstLine="480" w:firstLineChars="200"/>
        <w:rPr>
          <w:rFonts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eastAsia="zh-CN"/>
        </w:rPr>
        <w:t>张诗佳</w:t>
      </w:r>
      <w:r>
        <w:rPr>
          <w:rFonts w:hint="eastAsia" w:ascii="宋体" w:hAnsi="宋体" w:cs="宋体"/>
          <w:sz w:val="24"/>
          <w:highlight w:val="none"/>
        </w:rPr>
        <w:t xml:space="preserve">        </w:t>
      </w:r>
    </w:p>
    <w:p w14:paraId="6A3A576E">
      <w:pPr>
        <w:spacing w:line="600" w:lineRule="exact"/>
        <w:ind w:firstLine="480" w:firstLineChars="200"/>
        <w:rPr>
          <w:rFonts w:ascii="宋体" w:hAnsi="宋体" w:cs="宋体"/>
          <w:sz w:val="24"/>
          <w:highlight w:val="none"/>
        </w:rPr>
      </w:pPr>
      <w:r>
        <w:rPr>
          <w:rFonts w:hint="eastAsia" w:ascii="宋体" w:hAnsi="宋体" w:cs="宋体"/>
          <w:sz w:val="24"/>
          <w:highlight w:val="none"/>
        </w:rPr>
        <w:t>项目联系方式（询问）：0571-89282811</w:t>
      </w:r>
    </w:p>
    <w:p w14:paraId="41FED421">
      <w:pPr>
        <w:spacing w:line="600" w:lineRule="exact"/>
        <w:ind w:firstLine="480" w:firstLineChars="200"/>
        <w:rPr>
          <w:rFonts w:ascii="宋体" w:hAnsi="宋体" w:cs="宋体"/>
          <w:sz w:val="24"/>
          <w:highlight w:val="none"/>
        </w:rPr>
      </w:pPr>
      <w:r>
        <w:rPr>
          <w:rFonts w:hint="eastAsia" w:ascii="宋体" w:hAnsi="宋体" w:cs="宋体"/>
          <w:sz w:val="24"/>
          <w:highlight w:val="none"/>
        </w:rPr>
        <w:t>质疑联系人：</w:t>
      </w:r>
      <w:r>
        <w:rPr>
          <w:rFonts w:hint="eastAsia" w:ascii="宋体" w:hAnsi="宋体" w:cs="宋体"/>
          <w:sz w:val="24"/>
          <w:highlight w:val="none"/>
          <w:lang w:eastAsia="zh-CN"/>
        </w:rPr>
        <w:t>林卓尔</w:t>
      </w:r>
      <w:r>
        <w:rPr>
          <w:rFonts w:hint="eastAsia" w:ascii="宋体" w:hAnsi="宋体" w:cs="宋体"/>
          <w:sz w:val="24"/>
          <w:highlight w:val="none"/>
        </w:rPr>
        <w:t xml:space="preserve">           </w:t>
      </w:r>
    </w:p>
    <w:p w14:paraId="5E08ABDE">
      <w:pPr>
        <w:spacing w:line="600" w:lineRule="exact"/>
        <w:ind w:firstLine="480" w:firstLineChars="200"/>
        <w:rPr>
          <w:rFonts w:ascii="宋体" w:hAnsi="宋体" w:cs="宋体"/>
          <w:sz w:val="24"/>
          <w:highlight w:val="none"/>
        </w:rPr>
      </w:pPr>
      <w:r>
        <w:rPr>
          <w:rFonts w:hint="eastAsia" w:ascii="宋体" w:hAnsi="宋体" w:cs="宋体"/>
          <w:sz w:val="24"/>
          <w:highlight w:val="none"/>
        </w:rPr>
        <w:t xml:space="preserve">质疑联系方式：0571-86243788 </w:t>
      </w:r>
    </w:p>
    <w:p w14:paraId="4CBE9292">
      <w:pPr>
        <w:spacing w:line="600" w:lineRule="exact"/>
        <w:ind w:firstLine="480" w:firstLineChars="200"/>
        <w:rPr>
          <w:rFonts w:ascii="宋体" w:hAnsi="宋体" w:cs="宋体"/>
          <w:sz w:val="24"/>
          <w:highlight w:val="none"/>
        </w:rPr>
      </w:pPr>
      <w:r>
        <w:rPr>
          <w:rFonts w:hint="eastAsia" w:ascii="宋体" w:hAnsi="宋体" w:cs="宋体"/>
          <w:sz w:val="24"/>
          <w:highlight w:val="none"/>
        </w:rPr>
        <w:t xml:space="preserve">3.同级政府采购监督管理部门            </w:t>
      </w:r>
    </w:p>
    <w:p w14:paraId="6B2F3B3E">
      <w:pPr>
        <w:wordWrap/>
        <w:adjustRightInd w:val="0"/>
        <w:spacing w:line="600" w:lineRule="exact"/>
        <w:ind w:firstLine="480"/>
        <w:textAlignment w:val="auto"/>
        <w:rPr>
          <w:rFonts w:hint="eastAsia" w:ascii="宋体" w:hAnsi="宋体" w:eastAsia="宋体" w:cs="宋体"/>
          <w:sz w:val="24"/>
          <w:szCs w:val="24"/>
          <w:highlight w:val="none"/>
        </w:rPr>
      </w:pPr>
      <w:r>
        <w:rPr>
          <w:rFonts w:hint="eastAsia" w:ascii="宋体" w:hAnsi="宋体" w:cs="宋体"/>
          <w:sz w:val="24"/>
          <w:highlight w:val="none"/>
        </w:rPr>
        <w:t>名    称：</w:t>
      </w:r>
      <w:r>
        <w:rPr>
          <w:rFonts w:hint="eastAsia" w:ascii="宋体" w:hAnsi="宋体" w:eastAsia="宋体" w:cs="宋体"/>
          <w:sz w:val="24"/>
          <w:szCs w:val="24"/>
          <w:highlight w:val="none"/>
        </w:rPr>
        <w:t>杭州市财政局政府采购监管处、浙江省政府采购行政裁决服务中心（杭州）</w:t>
      </w:r>
    </w:p>
    <w:p w14:paraId="6638CD48">
      <w:pPr>
        <w:wordWrap/>
        <w:adjustRightInd w:val="0"/>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highlight w:val="none"/>
        </w:rPr>
        <w:t>地    址：</w:t>
      </w:r>
      <w:r>
        <w:rPr>
          <w:rFonts w:hint="eastAsia" w:ascii="宋体" w:hAnsi="宋体" w:eastAsia="宋体" w:cs="宋体"/>
          <w:sz w:val="24"/>
          <w:szCs w:val="24"/>
          <w:highlight w:val="none"/>
          <w:lang w:eastAsia="zh-CN"/>
        </w:rPr>
        <w:t>杭州市上城区清泰街549号城建综合大楼11楼</w:t>
      </w:r>
      <w:r>
        <w:rPr>
          <w:rFonts w:hint="eastAsia" w:ascii="宋体" w:hAnsi="宋体" w:eastAsia="宋体" w:cs="宋体"/>
          <w:sz w:val="24"/>
          <w:szCs w:val="24"/>
          <w:highlight w:val="none"/>
        </w:rPr>
        <w:t>（快递仅限ems或顺丰）</w:t>
      </w:r>
    </w:p>
    <w:p w14:paraId="4A1EEDE3">
      <w:pPr>
        <w:wordWrap/>
        <w:adjustRightInd w:val="0"/>
        <w:spacing w:line="600" w:lineRule="exact"/>
        <w:ind w:firstLine="480"/>
        <w:textAlignment w:val="auto"/>
        <w:rPr>
          <w:rFonts w:hint="eastAsia" w:ascii="宋体" w:hAnsi="宋体" w:eastAsia="宋体" w:cs="宋体"/>
          <w:sz w:val="24"/>
          <w:szCs w:val="24"/>
          <w:highlight w:val="none"/>
        </w:rPr>
      </w:pPr>
      <w:r>
        <w:rPr>
          <w:rFonts w:hint="eastAsia" w:ascii="宋体" w:hAnsi="宋体" w:cs="宋体"/>
          <w:sz w:val="24"/>
          <w:highlight w:val="none"/>
        </w:rPr>
        <w:t>传    真：</w:t>
      </w:r>
      <w:r>
        <w:rPr>
          <w:rFonts w:hint="eastAsia" w:ascii="宋体" w:hAnsi="宋体" w:eastAsia="宋体" w:cs="宋体"/>
          <w:sz w:val="24"/>
          <w:szCs w:val="24"/>
          <w:highlight w:val="none"/>
        </w:rPr>
        <w:t>：/</w:t>
      </w:r>
    </w:p>
    <w:p w14:paraId="1D8DC9BB">
      <w:pPr>
        <w:wordWrap/>
        <w:adjustRightInd w:val="0"/>
        <w:spacing w:line="600" w:lineRule="exact"/>
        <w:ind w:firstLine="480"/>
        <w:textAlignment w:val="auto"/>
        <w:rPr>
          <w:rFonts w:hint="eastAsia" w:ascii="宋体" w:hAnsi="宋体" w:eastAsia="宋体" w:cs="宋体"/>
          <w:sz w:val="24"/>
          <w:szCs w:val="24"/>
          <w:highlight w:val="none"/>
        </w:rPr>
      </w:pPr>
      <w:r>
        <w:rPr>
          <w:rFonts w:hint="eastAsia" w:ascii="宋体" w:hAnsi="宋体" w:cs="宋体"/>
          <w:sz w:val="24"/>
          <w:highlight w:val="none"/>
        </w:rPr>
        <w:t>联系人</w:t>
      </w:r>
      <w:r>
        <w:rPr>
          <w:rFonts w:hint="eastAsia" w:ascii="宋体" w:hAnsi="宋体" w:eastAsia="宋体" w:cs="宋体"/>
          <w:sz w:val="24"/>
          <w:szCs w:val="24"/>
          <w:highlight w:val="none"/>
        </w:rPr>
        <w:t>：朱女士/王女士</w:t>
      </w:r>
    </w:p>
    <w:p w14:paraId="57CA6A0B">
      <w:pPr>
        <w:wordWrap/>
        <w:adjustRightInd w:val="0"/>
        <w:spacing w:line="600" w:lineRule="exact"/>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监督投诉电话：0571-8</w:t>
      </w:r>
      <w:r>
        <w:rPr>
          <w:rFonts w:hint="eastAsia" w:ascii="宋体" w:hAnsi="宋体" w:eastAsia="宋体" w:cs="宋体"/>
          <w:sz w:val="24"/>
          <w:szCs w:val="24"/>
          <w:highlight w:val="none"/>
          <w:lang w:val="en-US" w:eastAsia="zh-CN"/>
        </w:rPr>
        <w:t>7227671,0571-87800218</w:t>
      </w:r>
      <w:r>
        <w:rPr>
          <w:rFonts w:hint="eastAsia" w:ascii="宋体" w:hAnsi="宋体" w:eastAsia="宋体" w:cs="宋体"/>
          <w:sz w:val="24"/>
          <w:szCs w:val="24"/>
          <w:highlight w:val="none"/>
        </w:rPr>
        <w:t xml:space="preserve"> </w:t>
      </w:r>
    </w:p>
    <w:p w14:paraId="5B7B3BAF">
      <w:pPr>
        <w:wordWrap/>
        <w:adjustRightInd w:val="0"/>
        <w:spacing w:line="60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048D47A6">
      <w:pPr>
        <w:wordWrap/>
        <w:adjustRightInd w:val="0"/>
        <w:spacing w:line="6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szCs w:val="24"/>
          <w:highlight w:val="none"/>
        </w:rPr>
        <w:t>CA问题联系电话（人工）：汇信CA 400-888-4636；天谷CA 400-087-8198。</w:t>
      </w:r>
    </w:p>
    <w:p w14:paraId="2DBC51C9">
      <w:pPr>
        <w:widowControl/>
        <w:adjustRightInd/>
        <w:jc w:val="left"/>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p>
    <w:p w14:paraId="6DC40B65">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第二部分</w:t>
      </w:r>
      <w:bookmarkEnd w:id="8"/>
      <w:r>
        <w:rPr>
          <w:rFonts w:hint="eastAsia" w:ascii="宋体" w:hAnsi="宋体" w:eastAsia="宋体" w:cs="宋体"/>
          <w:b/>
          <w:sz w:val="36"/>
          <w:szCs w:val="20"/>
          <w:highlight w:val="none"/>
        </w:rPr>
        <w:t xml:space="preserve"> 投标人须知</w:t>
      </w:r>
      <w:bookmarkEnd w:id="9"/>
    </w:p>
    <w:p w14:paraId="523277C1">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3"/>
        <w:tblW w:w="90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595"/>
      </w:tblGrid>
      <w:tr w14:paraId="584FB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691F3B8">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843" w:type="dxa"/>
            <w:tcBorders>
              <w:tl2br w:val="nil"/>
              <w:tr2bl w:val="nil"/>
            </w:tcBorders>
            <w:vAlign w:val="center"/>
          </w:tcPr>
          <w:p w14:paraId="1FF5A489">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事项</w:t>
            </w:r>
          </w:p>
        </w:tc>
        <w:tc>
          <w:tcPr>
            <w:tcW w:w="6595" w:type="dxa"/>
            <w:tcBorders>
              <w:tl2br w:val="nil"/>
              <w:tr2bl w:val="nil"/>
            </w:tcBorders>
            <w:vAlign w:val="center"/>
          </w:tcPr>
          <w:p w14:paraId="0FAFC10F">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本项目的特别规定</w:t>
            </w:r>
          </w:p>
        </w:tc>
      </w:tr>
      <w:tr w14:paraId="004FE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94954FC">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843" w:type="dxa"/>
            <w:tcBorders>
              <w:tl2br w:val="nil"/>
              <w:tr2bl w:val="nil"/>
            </w:tcBorders>
            <w:vAlign w:val="center"/>
          </w:tcPr>
          <w:p w14:paraId="2204BACE">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项目属性</w:t>
            </w:r>
          </w:p>
        </w:tc>
        <w:tc>
          <w:tcPr>
            <w:tcW w:w="6595" w:type="dxa"/>
            <w:tcBorders>
              <w:tl2br w:val="nil"/>
              <w:tr2bl w:val="nil"/>
            </w:tcBorders>
            <w:vAlign w:val="center"/>
          </w:tcPr>
          <w:p w14:paraId="3684B630">
            <w:pPr>
              <w:widowControl w:val="0"/>
              <w:wordWrap/>
              <w:adjustRightInd w:val="0"/>
              <w:snapToGrid/>
              <w:spacing w:line="240" w:lineRule="auto"/>
              <w:jc w:val="left"/>
              <w:textAlignment w:val="auto"/>
              <w:rPr>
                <w:rFonts w:hint="eastAsia" w:ascii="宋体" w:hAnsi="宋体" w:eastAsia="宋体" w:cs="宋体"/>
                <w:sz w:val="24"/>
                <w:szCs w:val="24"/>
                <w:highlight w:val="none"/>
              </w:rPr>
            </w:pPr>
            <w:r>
              <w:rPr>
                <w:rFonts w:hint="eastAsia" w:ascii="宋体" w:hAnsi="宋体" w:cs="宋体"/>
                <w:sz w:val="24"/>
                <w:highlight w:val="none"/>
              </w:rPr>
              <w:t>货物类</w:t>
            </w:r>
            <w:r>
              <w:rPr>
                <w:rFonts w:hint="eastAsia" w:ascii="宋体" w:hAnsi="宋体" w:eastAsia="宋体" w:cs="宋体"/>
                <w:sz w:val="24"/>
                <w:szCs w:val="24"/>
                <w:highlight w:val="none"/>
              </w:rPr>
              <w:t>。</w:t>
            </w:r>
          </w:p>
        </w:tc>
      </w:tr>
      <w:tr w14:paraId="7271F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6DFDDFDC">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843" w:type="dxa"/>
            <w:tcBorders>
              <w:tl2br w:val="nil"/>
              <w:tr2bl w:val="nil"/>
            </w:tcBorders>
            <w:vAlign w:val="center"/>
          </w:tcPr>
          <w:p w14:paraId="54993CF0">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采购标的及其对应的中小企业划分标准所属行业</w:t>
            </w:r>
          </w:p>
        </w:tc>
        <w:tc>
          <w:tcPr>
            <w:tcW w:w="6595" w:type="dxa"/>
            <w:tcBorders>
              <w:tl2br w:val="nil"/>
              <w:tr2bl w:val="nil"/>
            </w:tcBorders>
            <w:vAlign w:val="center"/>
          </w:tcPr>
          <w:p w14:paraId="08BE3F01">
            <w:pPr>
              <w:widowControl w:val="0"/>
              <w:wordWrap/>
              <w:adjustRightInd w:val="0"/>
              <w:snapToGrid/>
              <w:spacing w:line="240" w:lineRule="auto"/>
              <w:jc w:val="left"/>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（1）标的：</w:t>
            </w:r>
            <w:r>
              <w:rPr>
                <w:rFonts w:hint="eastAsia" w:ascii="宋体" w:hAnsi="宋体" w:eastAsia="宋体" w:cs="宋体"/>
                <w:sz w:val="24"/>
                <w:szCs w:val="24"/>
                <w:highlight w:val="none"/>
                <w:u w:val="single"/>
                <w:lang w:eastAsia="zh-CN"/>
              </w:rPr>
              <w:t>数字化项目</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eastAsia="zh-CN"/>
              </w:rPr>
              <w:t>二</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eastAsia="zh-CN"/>
              </w:rPr>
              <w:t>工业</w:t>
            </w:r>
            <w:r>
              <w:rPr>
                <w:rFonts w:hint="eastAsia" w:ascii="宋体" w:hAnsi="宋体" w:eastAsia="宋体" w:cs="宋体"/>
                <w:sz w:val="24"/>
                <w:szCs w:val="24"/>
                <w:highlight w:val="none"/>
              </w:rPr>
              <w:t>；</w:t>
            </w:r>
          </w:p>
        </w:tc>
      </w:tr>
      <w:tr w14:paraId="65EBF1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D0376D3">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843" w:type="dxa"/>
            <w:tcBorders>
              <w:tl2br w:val="nil"/>
              <w:tr2bl w:val="nil"/>
            </w:tcBorders>
            <w:vAlign w:val="center"/>
          </w:tcPr>
          <w:p w14:paraId="2DFC71BC">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是否允许采购进口产品</w:t>
            </w:r>
          </w:p>
        </w:tc>
        <w:tc>
          <w:tcPr>
            <w:tcW w:w="6595" w:type="dxa"/>
            <w:tcBorders>
              <w:tl2br w:val="nil"/>
              <w:tr2bl w:val="nil"/>
            </w:tcBorders>
            <w:vAlign w:val="center"/>
          </w:tcPr>
          <w:p w14:paraId="1684665A">
            <w:pPr>
              <w:widowControl w:val="0"/>
              <w:wordWrap/>
              <w:adjustRightInd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FE"/>
            </w:r>
            <w:r>
              <w:rPr>
                <w:rFonts w:hint="eastAsia" w:ascii="宋体" w:hAnsi="宋体" w:eastAsia="宋体" w:cs="宋体"/>
                <w:sz w:val="24"/>
                <w:szCs w:val="24"/>
                <w:highlight w:val="none"/>
              </w:rPr>
              <w:t>本项目不允许采购进口产品。</w:t>
            </w:r>
          </w:p>
        </w:tc>
      </w:tr>
      <w:tr w14:paraId="5A78F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2A5D9FF">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843" w:type="dxa"/>
            <w:tcBorders>
              <w:tl2br w:val="nil"/>
              <w:tr2bl w:val="nil"/>
            </w:tcBorders>
            <w:vAlign w:val="center"/>
          </w:tcPr>
          <w:p w14:paraId="004D6DD4">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分包</w:t>
            </w:r>
          </w:p>
        </w:tc>
        <w:tc>
          <w:tcPr>
            <w:tcW w:w="6595" w:type="dxa"/>
            <w:tcBorders>
              <w:tl2br w:val="nil"/>
              <w:tr2bl w:val="nil"/>
            </w:tcBorders>
            <w:vAlign w:val="center"/>
          </w:tcPr>
          <w:p w14:paraId="105DB6FD">
            <w:pPr>
              <w:widowControl w:val="0"/>
              <w:wordWrap/>
              <w:adjustRightInd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B不同意分包。</w:t>
            </w:r>
          </w:p>
          <w:p w14:paraId="4B5F97CE">
            <w:pPr>
              <w:widowControl w:val="0"/>
              <w:wordWrap/>
              <w:adjustRightInd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注：不得限制大中型企业向小微企业合理分包。</w:t>
            </w:r>
          </w:p>
        </w:tc>
      </w:tr>
      <w:tr w14:paraId="68F5D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73D240D">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843" w:type="dxa"/>
            <w:tcBorders>
              <w:tl2br w:val="nil"/>
              <w:tr2bl w:val="nil"/>
            </w:tcBorders>
            <w:vAlign w:val="center"/>
          </w:tcPr>
          <w:p w14:paraId="309B0976">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开标前答疑会或现场考察</w:t>
            </w:r>
          </w:p>
        </w:tc>
        <w:tc>
          <w:tcPr>
            <w:tcW w:w="6595" w:type="dxa"/>
            <w:tcBorders>
              <w:tl2br w:val="nil"/>
              <w:tr2bl w:val="nil"/>
            </w:tcBorders>
            <w:vAlign w:val="center"/>
          </w:tcPr>
          <w:p w14:paraId="3AD19752">
            <w:pPr>
              <w:widowControl w:val="0"/>
              <w:wordWrap/>
              <w:adjustRightInd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FE"/>
            </w:r>
            <w:r>
              <w:rPr>
                <w:rFonts w:hint="eastAsia" w:ascii="宋体" w:hAnsi="宋体" w:eastAsia="宋体" w:cs="宋体"/>
                <w:sz w:val="24"/>
                <w:szCs w:val="24"/>
                <w:highlight w:val="none"/>
              </w:rPr>
              <w:t>A不组织。</w:t>
            </w:r>
          </w:p>
        </w:tc>
      </w:tr>
      <w:tr w14:paraId="4B027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E67B38B">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843" w:type="dxa"/>
            <w:tcBorders>
              <w:tl2br w:val="nil"/>
              <w:tr2bl w:val="nil"/>
            </w:tcBorders>
            <w:vAlign w:val="center"/>
          </w:tcPr>
          <w:p w14:paraId="1B6DFC1A">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样品提供</w:t>
            </w:r>
          </w:p>
        </w:tc>
        <w:tc>
          <w:tcPr>
            <w:tcW w:w="6595" w:type="dxa"/>
            <w:tcBorders>
              <w:tl2br w:val="nil"/>
              <w:tr2bl w:val="nil"/>
            </w:tcBorders>
            <w:vAlign w:val="center"/>
          </w:tcPr>
          <w:p w14:paraId="6EDBCF3E">
            <w:pPr>
              <w:widowControl w:val="0"/>
              <w:wordWrap/>
              <w:adjustRightInd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FE"/>
            </w:r>
            <w:r>
              <w:rPr>
                <w:rFonts w:hint="eastAsia" w:ascii="宋体" w:hAnsi="宋体" w:eastAsia="宋体" w:cs="宋体"/>
                <w:sz w:val="24"/>
                <w:szCs w:val="24"/>
                <w:highlight w:val="none"/>
              </w:rPr>
              <w:t>A不要求提供。</w:t>
            </w:r>
          </w:p>
        </w:tc>
      </w:tr>
      <w:tr w14:paraId="5A0089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9F571BB">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843" w:type="dxa"/>
            <w:tcBorders>
              <w:tl2br w:val="nil"/>
              <w:tr2bl w:val="nil"/>
            </w:tcBorders>
            <w:vAlign w:val="center"/>
          </w:tcPr>
          <w:p w14:paraId="6F161A35">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方案讲解演示</w:t>
            </w:r>
          </w:p>
        </w:tc>
        <w:tc>
          <w:tcPr>
            <w:tcW w:w="6595" w:type="dxa"/>
            <w:tcBorders>
              <w:tl2br w:val="nil"/>
              <w:tr2bl w:val="nil"/>
            </w:tcBorders>
            <w:vAlign w:val="center"/>
          </w:tcPr>
          <w:p w14:paraId="34CFA4B5">
            <w:pPr>
              <w:widowControl w:val="0"/>
              <w:wordWrap/>
              <w:adjustRightInd w:val="0"/>
              <w:snapToGrid/>
              <w:spacing w:line="240" w:lineRule="auto"/>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sym w:font="Wingdings" w:char="F0FE"/>
            </w:r>
            <w:r>
              <w:rPr>
                <w:rFonts w:hint="eastAsia" w:ascii="宋体" w:hAnsi="宋体" w:eastAsia="宋体" w:cs="宋体"/>
                <w:sz w:val="24"/>
                <w:szCs w:val="24"/>
                <w:highlight w:val="none"/>
              </w:rPr>
              <w:t>A不组织。</w:t>
            </w:r>
          </w:p>
        </w:tc>
      </w:tr>
      <w:tr w14:paraId="73256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509E466F">
            <w:pPr>
              <w:widowControl w:val="0"/>
              <w:wordWrap/>
              <w:adjustRightInd w:val="0"/>
              <w:snapToGrid/>
              <w:spacing w:line="240" w:lineRule="auto"/>
              <w:jc w:val="center"/>
              <w:textAlignment w:val="auto"/>
              <w:rPr>
                <w:rFonts w:hint="eastAsia" w:ascii="宋体" w:hAnsi="宋体" w:eastAsia="宋体" w:cs="宋体"/>
                <w:sz w:val="24"/>
                <w:szCs w:val="24"/>
                <w:highlight w:val="none"/>
              </w:rPr>
            </w:pPr>
          </w:p>
          <w:p w14:paraId="1303AD05">
            <w:pPr>
              <w:widowControl w:val="0"/>
              <w:wordWrap/>
              <w:adjustRightInd w:val="0"/>
              <w:snapToGrid/>
              <w:spacing w:line="240" w:lineRule="auto"/>
              <w:jc w:val="center"/>
              <w:textAlignment w:val="auto"/>
              <w:rPr>
                <w:rFonts w:hint="eastAsia" w:ascii="宋体" w:hAnsi="宋体" w:eastAsia="宋体" w:cs="宋体"/>
                <w:sz w:val="24"/>
                <w:szCs w:val="24"/>
                <w:highlight w:val="none"/>
              </w:rPr>
            </w:pPr>
          </w:p>
          <w:p w14:paraId="3ED0469A">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843" w:type="dxa"/>
            <w:vMerge w:val="restart"/>
            <w:tcBorders>
              <w:tl2br w:val="nil"/>
              <w:tr2bl w:val="nil"/>
            </w:tcBorders>
            <w:vAlign w:val="center"/>
          </w:tcPr>
          <w:p w14:paraId="3F2A3CA5">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投标人应当提供的资格、资信证明文件</w:t>
            </w:r>
          </w:p>
        </w:tc>
        <w:tc>
          <w:tcPr>
            <w:tcW w:w="6595" w:type="dxa"/>
            <w:tcBorders>
              <w:tl2br w:val="nil"/>
              <w:tr2bl w:val="nil"/>
            </w:tcBorders>
            <w:vAlign w:val="center"/>
          </w:tcPr>
          <w:p w14:paraId="695A0914">
            <w:pPr>
              <w:widowControl w:val="0"/>
              <w:wordWrap/>
              <w:adjustRightInd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（1）资格证明文件：见招标文件第二部分11.1。</w:t>
            </w:r>
          </w:p>
          <w:p w14:paraId="5A274C52">
            <w:pPr>
              <w:widowControl w:val="0"/>
              <w:wordWrap/>
              <w:adjustRightInd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投标人未提供有效的资格证明文件的，视为投标人不具备招标文件中规定的资格要求，投标无效。</w:t>
            </w:r>
          </w:p>
        </w:tc>
      </w:tr>
      <w:tr w14:paraId="722640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19D78262">
            <w:pPr>
              <w:widowControl w:val="0"/>
              <w:wordWrap/>
              <w:adjustRightInd w:val="0"/>
              <w:snapToGrid/>
              <w:spacing w:line="240" w:lineRule="auto"/>
              <w:jc w:val="center"/>
              <w:textAlignment w:val="auto"/>
              <w:rPr>
                <w:rFonts w:hint="eastAsia" w:ascii="宋体" w:hAnsi="宋体" w:eastAsia="宋体" w:cs="宋体"/>
                <w:sz w:val="24"/>
                <w:szCs w:val="24"/>
                <w:highlight w:val="none"/>
              </w:rPr>
            </w:pPr>
          </w:p>
        </w:tc>
        <w:tc>
          <w:tcPr>
            <w:tcW w:w="1843" w:type="dxa"/>
            <w:vMerge w:val="continue"/>
            <w:tcBorders>
              <w:tl2br w:val="nil"/>
              <w:tr2bl w:val="nil"/>
            </w:tcBorders>
            <w:vAlign w:val="center"/>
          </w:tcPr>
          <w:p w14:paraId="500179FC">
            <w:pPr>
              <w:widowControl w:val="0"/>
              <w:wordWrap/>
              <w:adjustRightInd w:val="0"/>
              <w:snapToGrid/>
              <w:spacing w:line="240" w:lineRule="auto"/>
              <w:jc w:val="center"/>
              <w:textAlignment w:val="auto"/>
              <w:rPr>
                <w:rFonts w:hint="eastAsia" w:ascii="宋体" w:hAnsi="宋体" w:eastAsia="宋体" w:cs="宋体"/>
                <w:sz w:val="24"/>
                <w:szCs w:val="24"/>
                <w:highlight w:val="none"/>
              </w:rPr>
            </w:pPr>
          </w:p>
        </w:tc>
        <w:tc>
          <w:tcPr>
            <w:tcW w:w="6595" w:type="dxa"/>
            <w:tcBorders>
              <w:tl2br w:val="nil"/>
              <w:tr2bl w:val="nil"/>
            </w:tcBorders>
            <w:vAlign w:val="center"/>
          </w:tcPr>
          <w:p w14:paraId="7B4CF7DE">
            <w:pPr>
              <w:widowControl w:val="0"/>
              <w:wordWrap/>
              <w:adjustRightInd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（2）资信证明文件：根据招标文件第四部分评标标准提供。</w:t>
            </w:r>
          </w:p>
        </w:tc>
      </w:tr>
      <w:tr w14:paraId="3182D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944CBEA">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843" w:type="dxa"/>
            <w:tcBorders>
              <w:tl2br w:val="nil"/>
              <w:tr2bl w:val="nil"/>
            </w:tcBorders>
            <w:vAlign w:val="center"/>
          </w:tcPr>
          <w:p w14:paraId="04A037F9">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节能产品、环境标志产品</w:t>
            </w:r>
          </w:p>
        </w:tc>
        <w:tc>
          <w:tcPr>
            <w:tcW w:w="6595" w:type="dxa"/>
            <w:tcBorders>
              <w:tl2br w:val="nil"/>
              <w:tr2bl w:val="nil"/>
            </w:tcBorders>
            <w:vAlign w:val="center"/>
          </w:tcPr>
          <w:p w14:paraId="32C24140">
            <w:pPr>
              <w:widowControl w:val="0"/>
              <w:wordWrap/>
              <w:adjustRightInd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11E5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3404753">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843" w:type="dxa"/>
            <w:tcBorders>
              <w:tl2br w:val="nil"/>
              <w:tr2bl w:val="nil"/>
            </w:tcBorders>
            <w:vAlign w:val="center"/>
          </w:tcPr>
          <w:p w14:paraId="657CE81E">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报价要求</w:t>
            </w:r>
          </w:p>
        </w:tc>
        <w:tc>
          <w:tcPr>
            <w:tcW w:w="6595" w:type="dxa"/>
            <w:tcBorders>
              <w:tl2br w:val="nil"/>
              <w:tr2bl w:val="nil"/>
            </w:tcBorders>
            <w:vAlign w:val="center"/>
          </w:tcPr>
          <w:p w14:paraId="37FAAFF5">
            <w:pPr>
              <w:widowControl w:val="0"/>
              <w:wordWrap/>
              <w:adjustRightInd w:val="0"/>
              <w:snapToGrid/>
              <w:spacing w:line="240" w:lineRule="auto"/>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有关本项目实施所需的所有费用（含税费）均计入报价。投标文件</w:t>
            </w:r>
            <w:r>
              <w:rPr>
                <w:rFonts w:hint="eastAsia" w:ascii="宋体" w:hAnsi="宋体" w:eastAsia="宋体" w:cs="宋体"/>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sz w:val="24"/>
                <w:szCs w:val="24"/>
                <w:highlight w:val="none"/>
                <w:lang w:val="zh-CN"/>
              </w:rPr>
              <w:t>投标文件中价格全部采用人民币报价。招标文件未列明，而投标人认为必需的费用也需列入报价。投标报价出现下列情形的，投标无效：</w:t>
            </w:r>
          </w:p>
          <w:p w14:paraId="11099805">
            <w:pPr>
              <w:widowControl w:val="0"/>
              <w:wordWrap/>
              <w:adjustRightInd w:val="0"/>
              <w:snapToGrid/>
              <w:spacing w:line="240" w:lineRule="auto"/>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投标文件出现不是唯一的、有选择性投标报价的；</w:t>
            </w:r>
          </w:p>
          <w:p w14:paraId="6499A815">
            <w:pPr>
              <w:widowControl w:val="0"/>
              <w:wordWrap/>
              <w:adjustRightInd w:val="0"/>
              <w:snapToGrid/>
              <w:spacing w:line="240" w:lineRule="auto"/>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投标报价超过招标文件中规定的预算金额或者最高限价的</w:t>
            </w:r>
            <w:r>
              <w:rPr>
                <w:rFonts w:hint="eastAsia" w:ascii="宋体" w:hAnsi="宋体" w:cs="宋体"/>
                <w:sz w:val="24"/>
                <w:szCs w:val="24"/>
                <w:highlight w:val="none"/>
                <w:lang w:val="zh-CN"/>
              </w:rPr>
              <w:t>；</w:t>
            </w:r>
          </w:p>
          <w:p w14:paraId="01DDDBDC">
            <w:pPr>
              <w:widowControl w:val="0"/>
              <w:wordWrap/>
              <w:adjustRightInd w:val="0"/>
              <w:snapToGrid/>
              <w:spacing w:line="24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sz w:val="24"/>
                <w:szCs w:val="24"/>
                <w:highlight w:val="none"/>
                <w:lang w:eastAsia="zh-CN"/>
              </w:rPr>
              <w:t>；</w:t>
            </w:r>
          </w:p>
          <w:p w14:paraId="1073A5EF">
            <w:pPr>
              <w:widowControl w:val="0"/>
              <w:wordWrap/>
              <w:adjustRightInd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投标人对根据修正原则修正后的报价不确认的。</w:t>
            </w:r>
          </w:p>
        </w:tc>
      </w:tr>
      <w:tr w14:paraId="6F563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2111C105">
            <w:pPr>
              <w:widowControl w:val="0"/>
              <w:wordWrap/>
              <w:adjustRightInd w:val="0"/>
              <w:snapToGrid/>
              <w:spacing w:line="240" w:lineRule="auto"/>
              <w:jc w:val="center"/>
              <w:textAlignment w:val="auto"/>
              <w:rPr>
                <w:rFonts w:hint="eastAsia" w:ascii="宋体" w:hAnsi="宋体" w:eastAsia="宋体" w:cs="宋体"/>
                <w:sz w:val="24"/>
                <w:szCs w:val="24"/>
                <w:highlight w:val="none"/>
              </w:rPr>
            </w:pPr>
          </w:p>
          <w:p w14:paraId="6E0D4B4F">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843" w:type="dxa"/>
            <w:tcBorders>
              <w:tl2br w:val="nil"/>
              <w:tr2bl w:val="nil"/>
            </w:tcBorders>
            <w:vAlign w:val="center"/>
          </w:tcPr>
          <w:p w14:paraId="77D96D94">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中小企业信用融资</w:t>
            </w:r>
          </w:p>
        </w:tc>
        <w:tc>
          <w:tcPr>
            <w:tcW w:w="6595" w:type="dxa"/>
            <w:tcBorders>
              <w:tl2br w:val="nil"/>
              <w:tr2bl w:val="nil"/>
            </w:tcBorders>
            <w:vAlign w:val="center"/>
          </w:tcPr>
          <w:p w14:paraId="34EE6728">
            <w:pPr>
              <w:widowControl w:val="0"/>
              <w:wordWrap/>
              <w:adjustRightInd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9F2A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20CF2EBD">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843" w:type="dxa"/>
            <w:tcBorders>
              <w:tl2br w:val="nil"/>
              <w:tr2bl w:val="nil"/>
            </w:tcBorders>
            <w:vAlign w:val="center"/>
          </w:tcPr>
          <w:p w14:paraId="702A7C0D">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备份投标文件送达地点和签收人员</w:t>
            </w:r>
          </w:p>
        </w:tc>
        <w:tc>
          <w:tcPr>
            <w:tcW w:w="6595" w:type="dxa"/>
            <w:tcBorders>
              <w:tl2br w:val="nil"/>
              <w:tr2bl w:val="nil"/>
            </w:tcBorders>
            <w:vAlign w:val="center"/>
          </w:tcPr>
          <w:p w14:paraId="6357DE92">
            <w:pPr>
              <w:widowControl w:val="0"/>
              <w:wordWrap/>
              <w:adjustRightInd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备份投标文件送达地点：杭州市临平区临平新丰路199号</w:t>
            </w:r>
            <w:r>
              <w:rPr>
                <w:rFonts w:hint="eastAsia" w:ascii="宋体" w:hAnsi="宋体" w:cs="宋体"/>
                <w:sz w:val="24"/>
                <w:szCs w:val="24"/>
                <w:highlight w:val="none"/>
                <w:lang w:eastAsia="zh-CN"/>
              </w:rPr>
              <w:t>临平</w:t>
            </w:r>
            <w:r>
              <w:rPr>
                <w:rFonts w:hint="eastAsia" w:ascii="宋体" w:hAnsi="宋体" w:eastAsia="宋体" w:cs="宋体"/>
                <w:sz w:val="24"/>
                <w:szCs w:val="24"/>
                <w:highlight w:val="none"/>
              </w:rPr>
              <w:t>商会大厦4号楼25楼；备份投标文件签收人员联系电话：</w:t>
            </w:r>
            <w:r>
              <w:rPr>
                <w:rFonts w:hint="eastAsia" w:ascii="宋体" w:hAnsi="宋体" w:eastAsia="宋体" w:cs="宋体"/>
                <w:sz w:val="24"/>
                <w:szCs w:val="24"/>
                <w:highlight w:val="none"/>
                <w:lang w:val="en-US" w:eastAsia="zh-CN"/>
              </w:rPr>
              <w:t>0571-89282811</w:t>
            </w:r>
            <w:r>
              <w:rPr>
                <w:rFonts w:hint="eastAsia" w:ascii="宋体" w:hAnsi="宋体" w:eastAsia="宋体" w:cs="宋体"/>
                <w:sz w:val="24"/>
                <w:szCs w:val="24"/>
                <w:highlight w:val="none"/>
              </w:rPr>
              <w:t>。采购人、</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不强制或变相强制投标人提交备份投标文件。</w:t>
            </w:r>
          </w:p>
        </w:tc>
      </w:tr>
      <w:tr w14:paraId="018F0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0BB73D13">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843" w:type="dxa"/>
            <w:vMerge w:val="restart"/>
            <w:tcBorders>
              <w:tl2br w:val="nil"/>
              <w:tr2bl w:val="nil"/>
            </w:tcBorders>
            <w:vAlign w:val="center"/>
          </w:tcPr>
          <w:p w14:paraId="67ECB890">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特别说明</w:t>
            </w:r>
          </w:p>
        </w:tc>
        <w:tc>
          <w:tcPr>
            <w:tcW w:w="6595" w:type="dxa"/>
            <w:tcBorders>
              <w:tl2br w:val="nil"/>
              <w:tr2bl w:val="nil"/>
            </w:tcBorders>
            <w:vAlign w:val="center"/>
          </w:tcPr>
          <w:p w14:paraId="0BBCCEB5">
            <w:pPr>
              <w:widowControl w:val="0"/>
              <w:wordWrap/>
              <w:adjustRightInd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联合体投标的，联合体各方分别提供与联合体协议中规定的分工内容相应的业绩证明材料，业绩数量以提供材料较少的一方为准。</w:t>
            </w:r>
          </w:p>
        </w:tc>
      </w:tr>
      <w:tr w14:paraId="3C488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3D0D7930">
            <w:pPr>
              <w:widowControl w:val="0"/>
              <w:wordWrap/>
              <w:adjustRightInd w:val="0"/>
              <w:snapToGrid/>
              <w:spacing w:line="240" w:lineRule="auto"/>
              <w:jc w:val="center"/>
              <w:textAlignment w:val="auto"/>
              <w:rPr>
                <w:rFonts w:hint="eastAsia" w:ascii="宋体" w:hAnsi="宋体" w:eastAsia="宋体" w:cs="宋体"/>
                <w:sz w:val="24"/>
                <w:szCs w:val="24"/>
                <w:highlight w:val="none"/>
              </w:rPr>
            </w:pPr>
          </w:p>
        </w:tc>
        <w:tc>
          <w:tcPr>
            <w:tcW w:w="1843" w:type="dxa"/>
            <w:vMerge w:val="continue"/>
            <w:tcBorders>
              <w:tl2br w:val="nil"/>
              <w:tr2bl w:val="nil"/>
            </w:tcBorders>
            <w:vAlign w:val="center"/>
          </w:tcPr>
          <w:p w14:paraId="36DF59D8">
            <w:pPr>
              <w:widowControl w:val="0"/>
              <w:wordWrap/>
              <w:adjustRightInd w:val="0"/>
              <w:snapToGrid/>
              <w:spacing w:line="240" w:lineRule="auto"/>
              <w:jc w:val="center"/>
              <w:textAlignment w:val="auto"/>
              <w:rPr>
                <w:rFonts w:hint="eastAsia" w:ascii="宋体" w:hAnsi="宋体" w:eastAsia="宋体" w:cs="宋体"/>
                <w:sz w:val="24"/>
                <w:szCs w:val="24"/>
                <w:highlight w:val="none"/>
              </w:rPr>
            </w:pPr>
          </w:p>
        </w:tc>
        <w:tc>
          <w:tcPr>
            <w:tcW w:w="6595" w:type="dxa"/>
            <w:tcBorders>
              <w:tl2br w:val="nil"/>
              <w:tr2bl w:val="nil"/>
            </w:tcBorders>
            <w:vAlign w:val="center"/>
          </w:tcPr>
          <w:p w14:paraId="404E02EE">
            <w:pPr>
              <w:widowControl w:val="0"/>
              <w:wordWrap/>
              <w:adjustRightInd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☐联合体投标的，联合体各方均需按招标文件第四部分评标标准要求提供资信证明文件，否则视为不符合相关要求。</w:t>
            </w:r>
          </w:p>
          <w:p w14:paraId="60994B88">
            <w:pPr>
              <w:widowControl w:val="0"/>
              <w:wordWrap/>
              <w:adjustRightInd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rPr>
              <w:t>联合体投标的，联合体中有一方或者联合体成员根据分工按招标文件第四部分评标标准要求提供资信证明文件的，视为符合了相关要求。</w:t>
            </w:r>
          </w:p>
        </w:tc>
      </w:tr>
      <w:tr w14:paraId="308EC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68976BF">
            <w:pPr>
              <w:widowControl w:val="0"/>
              <w:wordWrap/>
              <w:adjustRightInd w:val="0"/>
              <w:snapToGrid/>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p>
        </w:tc>
        <w:tc>
          <w:tcPr>
            <w:tcW w:w="1843" w:type="dxa"/>
            <w:tcBorders>
              <w:tl2br w:val="nil"/>
              <w:tr2bl w:val="nil"/>
            </w:tcBorders>
            <w:vAlign w:val="center"/>
          </w:tcPr>
          <w:p w14:paraId="45866F1B">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cs="宋体"/>
                <w:sz w:val="24"/>
                <w:highlight w:val="none"/>
              </w:rPr>
              <w:t>招标代理服务费</w:t>
            </w:r>
          </w:p>
        </w:tc>
        <w:tc>
          <w:tcPr>
            <w:tcW w:w="6595" w:type="dxa"/>
            <w:tcBorders>
              <w:tl2br w:val="nil"/>
              <w:tr2bl w:val="nil"/>
            </w:tcBorders>
            <w:vAlign w:val="center"/>
          </w:tcPr>
          <w:p w14:paraId="16DE7173">
            <w:pPr>
              <w:widowControl w:val="0"/>
              <w:wordWrap/>
              <w:adjustRightInd w:val="0"/>
              <w:snapToGrid/>
              <w:spacing w:line="240" w:lineRule="auto"/>
              <w:jc w:val="left"/>
              <w:textAlignment w:val="auto"/>
              <w:rPr>
                <w:rFonts w:ascii="宋体" w:hAnsi="宋体" w:cs="宋体"/>
                <w:sz w:val="24"/>
                <w:highlight w:val="none"/>
              </w:rPr>
            </w:pPr>
            <w:r>
              <w:rPr>
                <w:rFonts w:hint="eastAsia" w:ascii="宋体" w:hAnsi="宋体" w:cs="宋体"/>
                <w:sz w:val="24"/>
                <w:highlight w:val="none"/>
              </w:rPr>
              <w:t>本次代理服务费由中标人支付，代理服务费按照《</w:t>
            </w:r>
            <w:r>
              <w:rPr>
                <w:rFonts w:hint="eastAsia" w:ascii="宋体" w:hAnsi="宋体" w:cs="宋体"/>
                <w:sz w:val="24"/>
                <w:highlight w:val="none"/>
                <w:lang w:eastAsia="zh-CN"/>
              </w:rPr>
              <w:t>招标代理服务收费管理暂行办法</w:t>
            </w:r>
            <w:r>
              <w:rPr>
                <w:rFonts w:hint="eastAsia" w:ascii="宋体" w:hAnsi="宋体" w:cs="宋体"/>
                <w:sz w:val="24"/>
                <w:highlight w:val="none"/>
              </w:rPr>
              <w:t>》</w:t>
            </w:r>
            <w:r>
              <w:rPr>
                <w:rFonts w:hint="eastAsia" w:ascii="宋体" w:hAnsi="宋体" w:cs="宋体"/>
                <w:sz w:val="24"/>
                <w:highlight w:val="none"/>
                <w:lang w:eastAsia="zh-CN"/>
              </w:rPr>
              <w:t>（计价格</w:t>
            </w:r>
            <w:r>
              <w:rPr>
                <w:rFonts w:hint="eastAsia" w:ascii="宋体" w:hAnsi="宋体" w:cs="宋体"/>
                <w:sz w:val="24"/>
                <w:highlight w:val="none"/>
              </w:rPr>
              <w:t>〔</w:t>
            </w:r>
            <w:r>
              <w:rPr>
                <w:rFonts w:hint="eastAsia" w:ascii="宋体" w:hAnsi="宋体" w:cs="宋体"/>
                <w:sz w:val="24"/>
                <w:highlight w:val="none"/>
                <w:lang w:val="en-US" w:eastAsia="zh-CN"/>
              </w:rPr>
              <w:t>2002</w:t>
            </w:r>
            <w:r>
              <w:rPr>
                <w:rFonts w:hint="eastAsia" w:ascii="宋体" w:hAnsi="宋体" w:cs="宋体"/>
                <w:sz w:val="24"/>
                <w:highlight w:val="none"/>
              </w:rPr>
              <w:t>〕</w:t>
            </w:r>
            <w:r>
              <w:rPr>
                <w:rFonts w:hint="eastAsia" w:ascii="宋体" w:hAnsi="宋体" w:cs="宋体"/>
                <w:sz w:val="24"/>
                <w:highlight w:val="none"/>
                <w:lang w:val="en-US" w:eastAsia="zh-CN"/>
              </w:rPr>
              <w:t>1980</w:t>
            </w:r>
            <w:r>
              <w:rPr>
                <w:rFonts w:hint="eastAsia" w:ascii="宋体" w:hAnsi="宋体" w:cs="宋体"/>
                <w:sz w:val="24"/>
                <w:highlight w:val="none"/>
              </w:rPr>
              <w:t>号</w:t>
            </w:r>
            <w:r>
              <w:rPr>
                <w:rFonts w:hint="eastAsia" w:ascii="宋体" w:hAnsi="宋体" w:cs="宋体"/>
                <w:sz w:val="24"/>
                <w:highlight w:val="none"/>
                <w:lang w:eastAsia="zh-CN"/>
              </w:rPr>
              <w:t>）</w:t>
            </w:r>
            <w:r>
              <w:rPr>
                <w:rFonts w:hint="eastAsia" w:ascii="宋体" w:hAnsi="宋体" w:cs="宋体"/>
                <w:sz w:val="24"/>
                <w:highlight w:val="none"/>
              </w:rPr>
              <w:t>规定收费。各投标人应在投标报价中予以考虑。</w:t>
            </w:r>
          </w:p>
          <w:p w14:paraId="172CBCE3">
            <w:pPr>
              <w:widowControl w:val="0"/>
              <w:wordWrap/>
              <w:adjustRightInd w:val="0"/>
              <w:snapToGrid/>
              <w:spacing w:line="240" w:lineRule="auto"/>
              <w:jc w:val="left"/>
              <w:textAlignment w:val="auto"/>
              <w:rPr>
                <w:rFonts w:hint="eastAsia" w:ascii="宋体" w:hAnsi="宋体" w:eastAsia="宋体" w:cs="宋体"/>
                <w:sz w:val="24"/>
                <w:szCs w:val="24"/>
                <w:highlight w:val="none"/>
              </w:rPr>
            </w:pPr>
            <w:r>
              <w:rPr>
                <w:rFonts w:hint="eastAsia" w:ascii="宋体" w:hAnsi="宋体" w:cs="宋体"/>
                <w:sz w:val="24"/>
                <w:highlight w:val="none"/>
              </w:rPr>
              <w:t>中标服务费的交纳方式：以转帐或支票的形式支付；开户行名称：浦发银行临平支行；帐号：95110154800000633；开户名：杭州瑞拓工程咨询有限公司；</w:t>
            </w:r>
          </w:p>
        </w:tc>
      </w:tr>
      <w:tr w14:paraId="6FF8A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F929ECC">
            <w:pPr>
              <w:widowControl w:val="0"/>
              <w:wordWrap/>
              <w:adjustRightInd w:val="0"/>
              <w:snapToGrid/>
              <w:spacing w:line="240" w:lineRule="auto"/>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15</w:t>
            </w:r>
          </w:p>
        </w:tc>
        <w:tc>
          <w:tcPr>
            <w:tcW w:w="8438" w:type="dxa"/>
            <w:gridSpan w:val="2"/>
            <w:tcBorders>
              <w:tl2br w:val="nil"/>
              <w:tr2bl w:val="nil"/>
            </w:tcBorders>
            <w:vAlign w:val="center"/>
          </w:tcPr>
          <w:p w14:paraId="5785E521">
            <w:pPr>
              <w:jc w:val="left"/>
              <w:rPr>
                <w:rFonts w:hint="eastAsia" w:ascii="宋体" w:hAnsi="宋体" w:cs="宋体"/>
                <w:sz w:val="24"/>
                <w:highlight w:val="none"/>
              </w:rPr>
            </w:pPr>
            <w:r>
              <w:rPr>
                <w:rFonts w:hint="eastAsia"/>
                <w:sz w:val="24"/>
                <w:highlight w:val="none"/>
              </w:rPr>
              <w:t>各中标单位在中标公示结束后再递交与电子加密投标文件内容一致的书面响应文件（正本一份，副本四份）。</w:t>
            </w:r>
          </w:p>
        </w:tc>
      </w:tr>
      <w:tr w14:paraId="4A9FE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AEDE8A6">
            <w:pPr>
              <w:widowControl w:val="0"/>
              <w:wordWrap/>
              <w:adjustRightInd w:val="0"/>
              <w:snapToGrid/>
              <w:spacing w:line="240" w:lineRule="auto"/>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16</w:t>
            </w:r>
          </w:p>
        </w:tc>
        <w:tc>
          <w:tcPr>
            <w:tcW w:w="8438" w:type="dxa"/>
            <w:gridSpan w:val="2"/>
            <w:tcBorders>
              <w:tl2br w:val="nil"/>
              <w:tr2bl w:val="nil"/>
            </w:tcBorders>
            <w:vAlign w:val="center"/>
          </w:tcPr>
          <w:p w14:paraId="187F28B4">
            <w:pPr>
              <w:jc w:val="left"/>
              <w:rPr>
                <w:rFonts w:hint="eastAsia" w:ascii="宋体" w:hAnsi="宋体" w:cs="宋体"/>
                <w:sz w:val="24"/>
                <w:highlight w:val="none"/>
              </w:rPr>
            </w:pPr>
            <w:r>
              <w:rPr>
                <w:rFonts w:hint="eastAsia"/>
                <w:b/>
                <w:bCs/>
                <w:sz w:val="24"/>
                <w:highlight w:val="none"/>
              </w:rPr>
              <w:t>采购文件中带“●”条款为招标文件要求的实质性内容，投标人须在投标文件中提供《符合性审查资料》（格式见第六部分  应提交的有关格式范例），如有任意一条未响应或不满足，将被视为无效。</w:t>
            </w:r>
          </w:p>
        </w:tc>
      </w:tr>
    </w:tbl>
    <w:p w14:paraId="4B3EF0D7">
      <w:pPr>
        <w:snapToGrid w:val="0"/>
        <w:spacing w:line="360" w:lineRule="auto"/>
        <w:jc w:val="center"/>
        <w:rPr>
          <w:rFonts w:hint="eastAsia" w:ascii="宋体" w:hAnsi="宋体" w:eastAsia="宋体" w:cs="宋体"/>
          <w:b/>
          <w:sz w:val="32"/>
          <w:szCs w:val="20"/>
          <w:highlight w:val="none"/>
        </w:rPr>
      </w:pPr>
    </w:p>
    <w:bookmarkEnd w:id="10"/>
    <w:p w14:paraId="0CB6A2D0">
      <w:pPr>
        <w:adjustRightInd/>
        <w:spacing w:line="360" w:lineRule="auto"/>
        <w:ind w:firstLine="3845" w:firstLineChars="1197"/>
        <w:outlineLvl w:val="0"/>
        <w:rPr>
          <w:rFonts w:hint="eastAsia" w:ascii="宋体" w:hAnsi="宋体" w:eastAsia="宋体" w:cs="宋体"/>
          <w:b/>
          <w:sz w:val="32"/>
          <w:szCs w:val="20"/>
          <w:highlight w:val="none"/>
        </w:rPr>
        <w:sectPr>
          <w:headerReference r:id="rId4" w:type="first"/>
          <w:footerReference r:id="rId7" w:type="first"/>
          <w:headerReference r:id="rId3" w:type="default"/>
          <w:footerReference r:id="rId5" w:type="default"/>
          <w:footerReference r:id="rId6" w:type="even"/>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bookmarkStart w:id="11" w:name="第三部分"/>
      <w:bookmarkStart w:id="12" w:name="_Toc164416483"/>
    </w:p>
    <w:p w14:paraId="0CFDD796">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一、总则</w:t>
      </w:r>
    </w:p>
    <w:p w14:paraId="434D7057">
      <w:pPr>
        <w:wordWrap/>
        <w:snapToGrid w:val="0"/>
        <w:spacing w:line="600" w:lineRule="exact"/>
        <w:ind w:firstLine="361" w:firstLineChars="150"/>
        <w:jc w:val="left"/>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1. 适用范围</w:t>
      </w:r>
    </w:p>
    <w:p w14:paraId="606CC6E7">
      <w:pPr>
        <w:wordWrap/>
        <w:snapToGrid w:val="0"/>
        <w:spacing w:line="6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本招标文件适用于该项目的招标、投标、开标、资格审查及信用信息查询、评标、定标、合同、验收等行为（法律、法规另有规定的，从其规定）。</w:t>
      </w:r>
    </w:p>
    <w:p w14:paraId="2AA87DB3">
      <w:pPr>
        <w:wordWrap/>
        <w:adjustRightInd/>
        <w:spacing w:line="600" w:lineRule="exact"/>
        <w:textAlignment w:val="auto"/>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2.定义</w:t>
      </w:r>
    </w:p>
    <w:p w14:paraId="6EE41F14">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 “采购人”系指招标公告中载明的本项目的采购人。</w:t>
      </w:r>
    </w:p>
    <w:p w14:paraId="7D3E1E11">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 “</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”系指招标公告中载明的本项目的</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w:t>
      </w:r>
    </w:p>
    <w:p w14:paraId="2E7DE7D4">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 “投标人”系指是指响应招标、参加投标竞争的法人、其他组织或者自然人。</w:t>
      </w:r>
    </w:p>
    <w:p w14:paraId="6ADB2A14">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 “负责人”系指法人企业的法定负责人，或其他组织为法律、行政法规规定代表单位行使职权的主要负责人，或自然人本人。</w:t>
      </w:r>
    </w:p>
    <w:p w14:paraId="6A5CF2DB">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CDAD835">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2.6“电子交易平台”</w:t>
      </w:r>
      <w:r>
        <w:rPr>
          <w:rFonts w:hint="eastAsia" w:ascii="宋体" w:hAnsi="宋体" w:eastAsia="宋体" w:cs="宋体"/>
          <w:sz w:val="24"/>
          <w:szCs w:val="24"/>
          <w:highlight w:val="none"/>
          <w:lang w:val="en-US" w:eastAsia="zh-CN"/>
        </w:rPr>
        <w:t>系</w:t>
      </w:r>
      <w:r>
        <w:rPr>
          <w:rFonts w:hint="eastAsia" w:ascii="宋体" w:hAnsi="宋体" w:eastAsia="宋体" w:cs="宋体"/>
          <w:sz w:val="24"/>
          <w:szCs w:val="24"/>
          <w:highlight w:val="none"/>
        </w:rPr>
        <w:t>指本项目政府采购活动所依托的政府采购云平台（https://www.zcygov.cn/）。</w:t>
      </w:r>
    </w:p>
    <w:p w14:paraId="04B83C53">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 “</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”系指实质性要求条款，“</w:t>
      </w:r>
      <w:r>
        <w:rPr>
          <w:rFonts w:hint="eastAsia" w:ascii="宋体" w:hAnsi="宋体" w:eastAsia="宋体" w:cs="宋体"/>
          <w:sz w:val="24"/>
          <w:szCs w:val="24"/>
          <w:highlight w:val="none"/>
        </w:rPr>
        <w:sym w:font="Wingdings" w:char="F0FE"/>
      </w:r>
      <w:r>
        <w:rPr>
          <w:rFonts w:hint="eastAsia" w:ascii="宋体" w:hAnsi="宋体" w:eastAsia="宋体" w:cs="宋体"/>
          <w:sz w:val="24"/>
          <w:szCs w:val="24"/>
          <w:highlight w:val="none"/>
        </w:rPr>
        <w:t>”系指适用本项目的要求，“</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”系指不适用本项目的要求</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系指</w:t>
      </w:r>
      <w:r>
        <w:rPr>
          <w:rFonts w:hint="eastAsia" w:ascii="宋体" w:hAnsi="宋体" w:cs="宋体"/>
          <w:sz w:val="24"/>
          <w:szCs w:val="24"/>
          <w:highlight w:val="none"/>
          <w:lang w:eastAsia="zh-CN"/>
        </w:rPr>
        <w:t>采购需求重要技术参数</w:t>
      </w:r>
      <w:r>
        <w:rPr>
          <w:rFonts w:hint="eastAsia" w:ascii="宋体" w:hAnsi="宋体" w:eastAsia="宋体" w:cs="宋体"/>
          <w:sz w:val="24"/>
          <w:szCs w:val="24"/>
          <w:highlight w:val="none"/>
        </w:rPr>
        <w:t>。</w:t>
      </w:r>
    </w:p>
    <w:p w14:paraId="2BACBBD1">
      <w:pPr>
        <w:wordWrap/>
        <w:spacing w:line="600" w:lineRule="exact"/>
        <w:ind w:firstLine="241" w:firstLineChars="100"/>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 xml:space="preserve"> </w:t>
      </w:r>
      <w:r>
        <w:rPr>
          <w:rFonts w:hint="eastAsia" w:ascii="宋体" w:hAnsi="宋体" w:eastAsia="宋体" w:cs="宋体"/>
          <w:b/>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b/>
          <w:sz w:val="24"/>
          <w:szCs w:val="24"/>
          <w:highlight w:val="none"/>
        </w:rPr>
        <w:t>采购项目需要落实的政府采购政策</w:t>
      </w:r>
    </w:p>
    <w:p w14:paraId="4EE4C343">
      <w:pPr>
        <w:wordWrap/>
        <w:spacing w:line="600" w:lineRule="exact"/>
        <w:ind w:firstLine="240" w:firstLineChars="1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不会对其加以限制，仍将按照公平竞争原则实施采购）；</w:t>
      </w:r>
      <w:r>
        <w:rPr>
          <w:rFonts w:hint="eastAsia" w:ascii="宋体" w:hAnsi="宋体" w:eastAsia="宋体" w:cs="宋体"/>
          <w:kern w:val="0"/>
          <w:sz w:val="24"/>
          <w:szCs w:val="24"/>
          <w:highlight w:val="none"/>
        </w:rPr>
        <w:t>优先采购向我国企业转让技术、与我国企业签订消化吸收再创新方案的供应商的进口产品</w:t>
      </w:r>
      <w:r>
        <w:rPr>
          <w:rFonts w:hint="eastAsia" w:ascii="宋体" w:hAnsi="宋体" w:eastAsia="宋体" w:cs="宋体"/>
          <w:sz w:val="24"/>
          <w:szCs w:val="24"/>
          <w:highlight w:val="none"/>
        </w:rPr>
        <w:t>。</w:t>
      </w:r>
    </w:p>
    <w:p w14:paraId="7B3945CF">
      <w:pPr>
        <w:wordWrap/>
        <w:spacing w:line="600" w:lineRule="exact"/>
        <w:ind w:firstLine="240" w:firstLineChars="1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3.2 支持绿色发展</w:t>
      </w:r>
    </w:p>
    <w:p w14:paraId="2768B7CB">
      <w:pPr>
        <w:wordWrap/>
        <w:spacing w:line="600" w:lineRule="exact"/>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sz w:val="24"/>
          <w:szCs w:val="24"/>
          <w:highlight w:val="none"/>
        </w:rPr>
        <w:t>●</w:t>
      </w:r>
      <w:r>
        <w:rPr>
          <w:rFonts w:hint="eastAsia" w:ascii="宋体" w:hAnsi="宋体" w:eastAsia="宋体" w:cs="宋体"/>
          <w:b/>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C85175D">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3.2.2 修缮、装修类项目采购建材的，采购人应将绿色建筑和绿色建材性能、指标等作为实质性条件纳入招标文件和合同。</w:t>
      </w:r>
    </w:p>
    <w:p w14:paraId="680C3818">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D30F380">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C10E919">
      <w:pPr>
        <w:wordWrap/>
        <w:spacing w:line="600" w:lineRule="exact"/>
        <w:ind w:firstLine="240" w:firstLineChars="1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3.3支持中小企业发展</w:t>
      </w:r>
    </w:p>
    <w:p w14:paraId="5BC4843A">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CEF97F6">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符合中小企业划分标准的个体工商户，在政府采购活动中视同中小企业。</w:t>
      </w:r>
    </w:p>
    <w:p w14:paraId="4E3D5284">
      <w:pPr>
        <w:widowControl/>
        <w:wordWrap/>
        <w:spacing w:line="6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bCs/>
          <w:sz w:val="24"/>
          <w:szCs w:val="24"/>
          <w:highlight w:val="none"/>
        </w:rPr>
        <w:t>3.3.2</w:t>
      </w:r>
      <w:r>
        <w:rPr>
          <w:rFonts w:hint="eastAsia" w:ascii="宋体" w:hAnsi="宋体" w:eastAsia="宋体" w:cs="宋体"/>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EDC1D1E">
      <w:pPr>
        <w:widowControl/>
        <w:wordWrap/>
        <w:spacing w:line="6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以联合体形式参加政府采购活动，联合体各方均为中小企业的，联合体视同中小企业。其中，联合体各方均为小微企业的，联合体视同小微企业。</w:t>
      </w:r>
    </w:p>
    <w:p w14:paraId="5E0860CB">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%的扣除，用扣除后的价格参加评审。组成联合体或者接受分包的小微企业与联合体内其他企业、分包企业之间存在直接控股、管理关系的，不享受价格扣除优惠政策。</w:t>
      </w:r>
    </w:p>
    <w:p w14:paraId="6C7E0FD9">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3.3.4符合《关于促进残疾人就业政府采购政策的通知》（财库〔2017〕141号）规定的条件并提供《残疾人福利性单位声明函》（附件1）的残疾人福利性单位视同小型、微型企业；</w:t>
      </w:r>
    </w:p>
    <w:p w14:paraId="16A15DC9">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84EE97B">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0508CD6">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3.3.7中小企业享受扶持政策获得政府采购合同的，小微企业不得将合同分包给大中型企业，中型企业不得将合同分包给大型企业。</w:t>
      </w:r>
    </w:p>
    <w:p w14:paraId="6E5C21C0">
      <w:pPr>
        <w:wordWrap/>
        <w:spacing w:line="600" w:lineRule="exact"/>
        <w:ind w:firstLine="240" w:firstLineChars="1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3.4</w:t>
      </w:r>
      <w:r>
        <w:rPr>
          <w:rFonts w:hint="eastAsia" w:ascii="宋体" w:hAnsi="宋体" w:eastAsia="宋体" w:cs="宋体"/>
          <w:bCs/>
          <w:sz w:val="24"/>
          <w:szCs w:val="24"/>
          <w:highlight w:val="none"/>
        </w:rPr>
        <w:t>支持创新发展</w:t>
      </w:r>
    </w:p>
    <w:p w14:paraId="030D992E">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3.4.1 采购人优先采购被认定为首台套产品和“制造精品”的自主创新产品。</w:t>
      </w:r>
    </w:p>
    <w:p w14:paraId="4BF277B1">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ABDF72A">
      <w:pPr>
        <w:wordWrap/>
        <w:spacing w:line="6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3.5平等对待内外资企业和符合条件的破产重整企业</w:t>
      </w:r>
    </w:p>
    <w:p w14:paraId="4E692E46">
      <w:pPr>
        <w:wordWrap/>
        <w:spacing w:line="600" w:lineRule="exact"/>
        <w:ind w:firstLine="240" w:firstLineChars="100"/>
        <w:textAlignment w:val="auto"/>
        <w:rPr>
          <w:rFonts w:hint="eastAsia" w:ascii="宋体" w:hAnsi="宋体" w:eastAsia="宋体" w:cs="宋体"/>
          <w:b/>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平等对待内外资企业和符合条件的破产重整企业，切实保障企业公平竞争，平等维护企业的合法利益。</w:t>
      </w:r>
      <w:r>
        <w:rPr>
          <w:rFonts w:hint="eastAsia" w:ascii="宋体" w:hAnsi="宋体" w:eastAsia="宋体" w:cs="宋体"/>
          <w:sz w:val="24"/>
          <w:szCs w:val="24"/>
          <w:highlight w:val="none"/>
        </w:rPr>
        <w:cr/>
      </w:r>
      <w:r>
        <w:rPr>
          <w:rFonts w:hint="eastAsia" w:ascii="宋体" w:hAnsi="宋体" w:cs="宋体"/>
          <w:sz w:val="24"/>
          <w:szCs w:val="24"/>
          <w:highlight w:val="none"/>
          <w:lang w:val="en-US" w:eastAsia="zh-CN"/>
        </w:rPr>
        <w:t xml:space="preserve">   </w:t>
      </w:r>
      <w:r>
        <w:rPr>
          <w:rFonts w:hint="eastAsia" w:ascii="宋体" w:hAnsi="宋体" w:eastAsia="宋体" w:cs="宋体"/>
          <w:b/>
          <w:sz w:val="24"/>
          <w:szCs w:val="24"/>
          <w:highlight w:val="none"/>
        </w:rPr>
        <w:t>4. 询问、质疑、投诉</w:t>
      </w:r>
    </w:p>
    <w:p w14:paraId="14222533">
      <w:pPr>
        <w:wordWrap/>
        <w:autoSpaceDE w:val="0"/>
        <w:autoSpaceDN w:val="0"/>
        <w:spacing w:line="600" w:lineRule="exact"/>
        <w:ind w:firstLine="480" w:firstLineChars="20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657821">
      <w:pPr>
        <w:wordWrap/>
        <w:autoSpaceDE w:val="0"/>
        <w:autoSpaceDN w:val="0"/>
        <w:spacing w:line="600" w:lineRule="exact"/>
        <w:ind w:firstLine="480" w:firstLineChars="20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4.2供应商询问</w:t>
      </w:r>
    </w:p>
    <w:p w14:paraId="5A59079D">
      <w:pPr>
        <w:wordWrap/>
        <w:autoSpaceDE w:val="0"/>
        <w:autoSpaceDN w:val="0"/>
        <w:spacing w:line="600" w:lineRule="exact"/>
        <w:ind w:firstLine="480" w:firstLineChars="20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D47CC5F">
      <w:pPr>
        <w:wordWrap/>
        <w:autoSpaceDE w:val="0"/>
        <w:autoSpaceDN w:val="0"/>
        <w:spacing w:line="600" w:lineRule="exact"/>
        <w:ind w:firstLine="240" w:firstLineChars="100"/>
        <w:jc w:val="left"/>
        <w:textAlignment w:val="auto"/>
        <w:rPr>
          <w:rFonts w:hint="eastAsia" w:ascii="宋体" w:hAnsi="宋体" w:eastAsia="宋体" w:cs="宋体"/>
          <w:kern w:val="0"/>
          <w:sz w:val="24"/>
          <w:szCs w:val="24"/>
          <w:highlight w:val="none"/>
          <w:lang w:val="zh-CN"/>
        </w:rPr>
      </w:pPr>
      <w:r>
        <w:rPr>
          <w:rFonts w:hint="eastAsia" w:ascii="宋体" w:hAnsi="宋体" w:cs="宋体"/>
          <w:kern w:val="0"/>
          <w:sz w:val="24"/>
          <w:szCs w:val="24"/>
          <w:highlight w:val="none"/>
          <w:lang w:val="en-US" w:eastAsia="zh-CN"/>
        </w:rPr>
        <w:t xml:space="preserve">  </w:t>
      </w:r>
      <w:r>
        <w:rPr>
          <w:rFonts w:hint="eastAsia" w:ascii="宋体" w:hAnsi="宋体" w:eastAsia="宋体" w:cs="宋体"/>
          <w:kern w:val="0"/>
          <w:sz w:val="24"/>
          <w:szCs w:val="24"/>
          <w:highlight w:val="none"/>
          <w:lang w:val="zh-CN"/>
        </w:rPr>
        <w:t>4.3供应商质疑</w:t>
      </w:r>
    </w:p>
    <w:p w14:paraId="674FD451">
      <w:pPr>
        <w:pStyle w:val="33"/>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4.3</w:t>
      </w:r>
      <w:r>
        <w:rPr>
          <w:rFonts w:hint="eastAsia" w:ascii="宋体" w:hAnsi="宋体" w:eastAsia="宋体" w:cs="宋体"/>
          <w:sz w:val="24"/>
          <w:szCs w:val="24"/>
          <w:highlight w:val="none"/>
        </w:rPr>
        <w:t>.1提出质疑的供应商应当是参与所质疑项目采购活动的供应商。潜在供应商已依法获取其可质疑的招标文件的，可以对该文件提出质疑。</w:t>
      </w:r>
    </w:p>
    <w:p w14:paraId="10E7197B">
      <w:pPr>
        <w:pStyle w:val="33"/>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4.3</w:t>
      </w:r>
      <w:r>
        <w:rPr>
          <w:rFonts w:hint="eastAsia" w:ascii="宋体" w:hAnsi="宋体" w:eastAsia="宋体" w:cs="宋体"/>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提出质疑，否则，采购人或者</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不予受理：</w:t>
      </w:r>
    </w:p>
    <w:p w14:paraId="11C06492">
      <w:pPr>
        <w:pStyle w:val="5"/>
        <w:wordWrap/>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4.3.2.1对招标文件提出质疑的，质疑期限为供应商获得招标文件之日或者招标文件公告期限届满之日起计算。</w:t>
      </w:r>
    </w:p>
    <w:p w14:paraId="50FBD852">
      <w:pPr>
        <w:pStyle w:val="33"/>
        <w:wordWrap/>
        <w:spacing w:line="600" w:lineRule="exact"/>
        <w:ind w:left="479" w:leftChars="22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4.3.2.2对采购过程提出质疑的，质疑期限为各采购程序环节结束之日起计算。4.3.2.3对采购结果提出质疑的，质疑期限自采购结果公告期限届满之日起计算。</w:t>
      </w:r>
    </w:p>
    <w:p w14:paraId="44E8F1F7">
      <w:pPr>
        <w:pStyle w:val="33"/>
        <w:wordWrap/>
        <w:spacing w:line="600" w:lineRule="exact"/>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4.3.3</w:t>
      </w:r>
      <w:r>
        <w:rPr>
          <w:rFonts w:hint="eastAsia" w:ascii="宋体" w:hAnsi="宋体" w:eastAsia="宋体" w:cs="宋体"/>
          <w:sz w:val="24"/>
          <w:szCs w:val="24"/>
          <w:highlight w:val="none"/>
        </w:rPr>
        <w:t>供应商提出质疑应当提交质疑函和必要的证明材料。质疑函应当包括下列内容：</w:t>
      </w:r>
    </w:p>
    <w:p w14:paraId="614EF533">
      <w:pPr>
        <w:pStyle w:val="33"/>
        <w:wordWrap/>
        <w:spacing w:line="600" w:lineRule="exact"/>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4.3.3.1供应商的姓名或者名称、地址、邮编、联系人及联系电话；</w:t>
      </w:r>
    </w:p>
    <w:p w14:paraId="4CE7D07B">
      <w:pPr>
        <w:pStyle w:val="33"/>
        <w:wordWrap/>
        <w:spacing w:line="600" w:lineRule="exact"/>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4.3.3.2质疑项目的名称、编号；</w:t>
      </w:r>
    </w:p>
    <w:p w14:paraId="1694C85D">
      <w:pPr>
        <w:pStyle w:val="33"/>
        <w:wordWrap/>
        <w:spacing w:line="600" w:lineRule="exact"/>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4.3.3.3具体、明确的质疑事项和与质疑事项相关的请求；</w:t>
      </w:r>
    </w:p>
    <w:p w14:paraId="4F790FE2">
      <w:pPr>
        <w:pStyle w:val="33"/>
        <w:wordWrap/>
        <w:spacing w:line="600" w:lineRule="exact"/>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4.3.3.4事实依据；</w:t>
      </w:r>
    </w:p>
    <w:p w14:paraId="327F05B3">
      <w:pPr>
        <w:pStyle w:val="33"/>
        <w:wordWrap/>
        <w:spacing w:line="600" w:lineRule="exact"/>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4.3.3.5必要的法律依据；</w:t>
      </w:r>
    </w:p>
    <w:p w14:paraId="2CFC58B8">
      <w:pPr>
        <w:pStyle w:val="33"/>
        <w:wordWrap/>
        <w:spacing w:line="600" w:lineRule="exact"/>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4.3.3.6提出质疑的日期。</w:t>
      </w:r>
    </w:p>
    <w:p w14:paraId="39BDABC1">
      <w:pPr>
        <w:widowControl w:val="0"/>
        <w:wordWrap/>
        <w:adjustRightInd w:val="0"/>
        <w:snapToGrid/>
        <w:spacing w:line="6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707AA95F">
      <w:pPr>
        <w:widowControl w:val="0"/>
        <w:wordWrap/>
        <w:adjustRightInd w:val="0"/>
        <w:snapToGrid/>
        <w:spacing w:line="6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质疑函范本及制作说明详见附件2。</w:t>
      </w:r>
    </w:p>
    <w:p w14:paraId="3CC1138E">
      <w:pPr>
        <w:widowControl w:val="0"/>
        <w:wordWrap/>
        <w:adjustRightInd w:val="0"/>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4.3.4对同一采购程序环节的质疑，供应商须在法定质疑期内一次性提出。</w:t>
      </w:r>
    </w:p>
    <w:p w14:paraId="2F89A90F">
      <w:pPr>
        <w:widowControl w:val="0"/>
        <w:wordWrap/>
        <w:adjustRightInd w:val="0"/>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4.3</w:t>
      </w:r>
      <w:r>
        <w:rPr>
          <w:rFonts w:hint="eastAsia" w:ascii="宋体" w:hAnsi="宋体" w:eastAsia="宋体" w:cs="宋体"/>
          <w:sz w:val="24"/>
          <w:szCs w:val="24"/>
          <w:highlight w:val="none"/>
        </w:rPr>
        <w:t>.5采购人或者</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在质疑回复后5个工作日内，在浙江政府采购网的“其他公告”栏目公开质疑答复，答复内容应当完整。质疑函作为附件上传。</w:t>
      </w:r>
    </w:p>
    <w:p w14:paraId="442C20B3">
      <w:pPr>
        <w:widowControl w:val="0"/>
        <w:wordWrap/>
        <w:adjustRightInd w:val="0"/>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4.3</w:t>
      </w:r>
      <w:r>
        <w:rPr>
          <w:rFonts w:hint="eastAsia" w:ascii="宋体" w:hAnsi="宋体" w:eastAsia="宋体" w:cs="宋体"/>
          <w:sz w:val="24"/>
          <w:szCs w:val="24"/>
          <w:highlight w:val="none"/>
        </w:rPr>
        <w:t>.6询问或者质疑事项可能影响采购结果的，采购人应当暂停签订合同，已经签订合同的，应当中止履行合同。</w:t>
      </w:r>
    </w:p>
    <w:p w14:paraId="7A7C75FD">
      <w:pPr>
        <w:widowControl w:val="0"/>
        <w:wordWrap/>
        <w:adjustRightInd w:val="0"/>
        <w:snapToGrid/>
        <w:spacing w:line="6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4.4供应商投诉</w:t>
      </w:r>
    </w:p>
    <w:p w14:paraId="4D69160F">
      <w:pPr>
        <w:widowControl w:val="0"/>
        <w:wordWrap/>
        <w:adjustRightInd w:val="0"/>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4.4.1质疑供应商对采购人、</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的答复不满意或者采购人、</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未在规定的时间内作出答复的，可以在答复期满后十五个工作日内向同级政府采购监督管理部门提出投诉。</w:t>
      </w:r>
    </w:p>
    <w:p w14:paraId="72BA3086">
      <w:pPr>
        <w:widowControl w:val="0"/>
        <w:wordWrap/>
        <w:adjustRightInd w:val="0"/>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w:t>
      </w: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供应商投诉的事项不得超出已质疑事项的范围，基于质疑答复内容提出的投诉事项除外。</w:t>
      </w:r>
    </w:p>
    <w:p w14:paraId="661E6800">
      <w:pPr>
        <w:widowControl w:val="0"/>
        <w:wordWrap/>
        <w:adjustRightInd w:val="0"/>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4.4.3供应商投诉应当有明确的请求和必要的证明材料。</w:t>
      </w:r>
    </w:p>
    <w:p w14:paraId="08E58592">
      <w:pPr>
        <w:widowControl w:val="0"/>
        <w:wordWrap/>
        <w:adjustRightInd w:val="0"/>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4.4.4以联合体形式参加政府采购活动的，其投诉应当由组成联合体的所有供应商共同提出。</w:t>
      </w:r>
    </w:p>
    <w:p w14:paraId="3823AA92">
      <w:pPr>
        <w:widowControl w:val="0"/>
        <w:wordWrap/>
        <w:adjustRightInd w:val="0"/>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4.4.5</w:t>
      </w:r>
      <w:r>
        <w:rPr>
          <w:rFonts w:hint="eastAsia" w:ascii="宋体" w:hAnsi="宋体" w:cs="宋体"/>
          <w:sz w:val="24"/>
          <w:szCs w:val="24"/>
          <w:highlight w:val="none"/>
          <w:lang w:eastAsia="zh-CN"/>
        </w:rPr>
        <w:t>临平</w:t>
      </w:r>
      <w:r>
        <w:rPr>
          <w:rFonts w:hint="eastAsia" w:ascii="宋体" w:hAnsi="宋体" w:eastAsia="宋体" w:cs="宋体"/>
          <w:sz w:val="24"/>
          <w:szCs w:val="24"/>
          <w:highlight w:val="none"/>
        </w:rPr>
        <w:t>区政府采购项目投诉材料可寄送至杭州市财政局政府采购监管处、浙江省政府采购行政裁决服务中心（杭州），地址：</w:t>
      </w:r>
      <w:r>
        <w:rPr>
          <w:rFonts w:hint="eastAsia" w:ascii="宋体" w:hAnsi="宋体" w:eastAsia="宋体" w:cs="宋体"/>
          <w:sz w:val="24"/>
          <w:szCs w:val="24"/>
          <w:highlight w:val="none"/>
          <w:lang w:eastAsia="zh-CN"/>
        </w:rPr>
        <w:t>杭州市上城区清泰街549号城建综合大楼11楼</w:t>
      </w:r>
      <w:r>
        <w:rPr>
          <w:rFonts w:hint="eastAsia" w:ascii="宋体" w:hAnsi="宋体" w:eastAsia="宋体" w:cs="宋体"/>
          <w:sz w:val="24"/>
          <w:szCs w:val="24"/>
          <w:highlight w:val="none"/>
        </w:rPr>
        <w:t>（快递仅限ems或顺丰），收件人：朱女士/王女士，电话：0571-8</w:t>
      </w:r>
      <w:r>
        <w:rPr>
          <w:rFonts w:hint="eastAsia" w:ascii="宋体" w:hAnsi="宋体" w:eastAsia="宋体" w:cs="宋体"/>
          <w:sz w:val="24"/>
          <w:szCs w:val="24"/>
          <w:highlight w:val="none"/>
          <w:lang w:val="en-US" w:eastAsia="zh-CN"/>
        </w:rPr>
        <w:t>7227671,0571-87800218</w:t>
      </w:r>
      <w:r>
        <w:rPr>
          <w:rFonts w:hint="eastAsia" w:ascii="宋体" w:hAnsi="宋体" w:eastAsia="宋体" w:cs="宋体"/>
          <w:sz w:val="24"/>
          <w:szCs w:val="24"/>
          <w:highlight w:val="none"/>
        </w:rPr>
        <w:t>。</w:t>
      </w:r>
    </w:p>
    <w:p w14:paraId="599C8C70">
      <w:pPr>
        <w:widowControl w:val="0"/>
        <w:wordWrap/>
        <w:adjustRightInd w:val="0"/>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投诉书范本及制作说明详见附件3。</w:t>
      </w:r>
    </w:p>
    <w:p w14:paraId="17C5724B">
      <w:pPr>
        <w:pStyle w:val="86"/>
        <w:snapToGrid w:val="0"/>
        <w:spacing w:before="0"/>
        <w:ind w:firstLine="360"/>
        <w:rPr>
          <w:rFonts w:hint="eastAsia" w:ascii="宋体" w:hAnsi="宋体" w:eastAsia="宋体" w:cs="宋体"/>
          <w:sz w:val="18"/>
          <w:szCs w:val="18"/>
          <w:highlight w:val="none"/>
        </w:rPr>
      </w:pPr>
    </w:p>
    <w:p w14:paraId="019BD24A">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二、招标文件的构成、澄清、修改</w:t>
      </w:r>
    </w:p>
    <w:p w14:paraId="3BD4BDF9">
      <w:pPr>
        <w:pStyle w:val="33"/>
        <w:widowControl w:val="0"/>
        <w:wordWrap/>
        <w:adjustRightInd w:val="0"/>
        <w:spacing w:line="600" w:lineRule="exact"/>
        <w:textAlignment w:val="auto"/>
        <w:rPr>
          <w:rFonts w:hint="eastAsia" w:ascii="宋体" w:hAnsi="宋体" w:eastAsia="宋体" w:cs="宋体"/>
          <w:b/>
          <w:sz w:val="24"/>
          <w:szCs w:val="24"/>
          <w:highlight w:val="none"/>
        </w:rPr>
      </w:pPr>
      <w:r>
        <w:rPr>
          <w:rFonts w:hint="eastAsia" w:hAnsi="宋体" w:cs="宋体"/>
          <w:b/>
          <w:sz w:val="24"/>
          <w:szCs w:val="24"/>
          <w:highlight w:val="none"/>
          <w:lang w:val="en-US" w:eastAsia="zh-CN"/>
        </w:rPr>
        <w:t xml:space="preserve">   </w:t>
      </w:r>
      <w:r>
        <w:rPr>
          <w:rFonts w:hint="eastAsia" w:ascii="宋体" w:hAnsi="宋体" w:eastAsia="宋体" w:cs="宋体"/>
          <w:b/>
          <w:sz w:val="24"/>
          <w:szCs w:val="24"/>
          <w:highlight w:val="none"/>
        </w:rPr>
        <w:t>5．招标文件的构成</w:t>
      </w:r>
    </w:p>
    <w:p w14:paraId="3C1103FE">
      <w:pPr>
        <w:pStyle w:val="33"/>
        <w:widowControl w:val="0"/>
        <w:wordWrap/>
        <w:adjustRightInd w:val="0"/>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14:paraId="15C05196">
      <w:pPr>
        <w:pStyle w:val="33"/>
        <w:widowControl w:val="0"/>
        <w:tabs>
          <w:tab w:val="left" w:pos="840"/>
        </w:tabs>
        <w:wordWrap/>
        <w:adjustRightInd w:val="0"/>
        <w:spacing w:line="60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14:paraId="19A0449C">
      <w:pPr>
        <w:pStyle w:val="33"/>
        <w:widowControl w:val="0"/>
        <w:tabs>
          <w:tab w:val="left" w:pos="840"/>
        </w:tabs>
        <w:wordWrap/>
        <w:adjustRightInd w:val="0"/>
        <w:spacing w:line="60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14:paraId="502C4579">
      <w:pPr>
        <w:pStyle w:val="33"/>
        <w:widowControl w:val="0"/>
        <w:tabs>
          <w:tab w:val="left" w:pos="840"/>
        </w:tabs>
        <w:wordWrap/>
        <w:adjustRightInd w:val="0"/>
        <w:spacing w:line="60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0A6A090B">
      <w:pPr>
        <w:pStyle w:val="33"/>
        <w:widowControl w:val="0"/>
        <w:tabs>
          <w:tab w:val="left" w:pos="840"/>
        </w:tabs>
        <w:wordWrap/>
        <w:adjustRightInd w:val="0"/>
        <w:spacing w:line="60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41E59F35">
      <w:pPr>
        <w:pStyle w:val="33"/>
        <w:widowControl w:val="0"/>
        <w:tabs>
          <w:tab w:val="left" w:pos="840"/>
        </w:tabs>
        <w:wordWrap/>
        <w:adjustRightInd w:val="0"/>
        <w:spacing w:line="60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29BC5183">
      <w:pPr>
        <w:pStyle w:val="33"/>
        <w:widowControl w:val="0"/>
        <w:tabs>
          <w:tab w:val="left" w:pos="840"/>
        </w:tabs>
        <w:wordWrap/>
        <w:adjustRightInd w:val="0"/>
        <w:spacing w:line="60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14:paraId="59729CA1">
      <w:pPr>
        <w:widowControl w:val="0"/>
        <w:wordWrap/>
        <w:adjustRightInd w:val="0"/>
        <w:spacing w:line="6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14:paraId="6A6AACBB">
      <w:pPr>
        <w:pStyle w:val="33"/>
        <w:widowControl w:val="0"/>
        <w:wordWrap/>
        <w:adjustRightInd w:val="0"/>
        <w:spacing w:line="600" w:lineRule="exact"/>
        <w:textAlignment w:val="auto"/>
        <w:rPr>
          <w:rFonts w:hint="eastAsia" w:ascii="宋体" w:hAnsi="宋体" w:eastAsia="宋体" w:cs="宋体"/>
          <w:b/>
          <w:sz w:val="24"/>
          <w:szCs w:val="24"/>
          <w:highlight w:val="none"/>
        </w:rPr>
      </w:pPr>
      <w:r>
        <w:rPr>
          <w:rFonts w:hint="eastAsia" w:hAnsi="宋体" w:cs="宋体"/>
          <w:b/>
          <w:sz w:val="24"/>
          <w:szCs w:val="24"/>
          <w:highlight w:val="none"/>
          <w:lang w:val="en-US" w:eastAsia="zh-CN"/>
        </w:rPr>
        <w:t xml:space="preserve">   </w:t>
      </w:r>
      <w:r>
        <w:rPr>
          <w:rFonts w:hint="eastAsia" w:ascii="宋体" w:hAnsi="宋体" w:eastAsia="宋体" w:cs="宋体"/>
          <w:b/>
          <w:sz w:val="24"/>
          <w:szCs w:val="24"/>
          <w:highlight w:val="none"/>
        </w:rPr>
        <w:t>6. 招标文件的澄清、修改</w:t>
      </w:r>
    </w:p>
    <w:p w14:paraId="1F1BBF52">
      <w:pPr>
        <w:pStyle w:val="86"/>
        <w:widowControl w:val="0"/>
        <w:wordWrap/>
        <w:adjustRightInd w:val="0"/>
        <w:snapToGrid w:val="0"/>
        <w:spacing w:before="0" w:line="600" w:lineRule="exact"/>
        <w:ind w:firstLine="480"/>
        <w:textAlignment w:val="auto"/>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w:t>
      </w:r>
      <w:r>
        <w:rPr>
          <w:rFonts w:hint="eastAsia" w:ascii="宋体" w:hAnsi="宋体" w:eastAsia="宋体" w:cs="宋体"/>
          <w:highlight w:val="none"/>
          <w:lang w:eastAsia="zh-CN"/>
        </w:rPr>
        <w:t>采购代理机构</w:t>
      </w:r>
      <w:r>
        <w:rPr>
          <w:rFonts w:hint="eastAsia" w:ascii="宋体" w:hAnsi="宋体" w:eastAsia="宋体" w:cs="宋体"/>
          <w:highlight w:val="none"/>
        </w:rPr>
        <w:t>提出。</w:t>
      </w:r>
    </w:p>
    <w:p w14:paraId="40DEC357">
      <w:pPr>
        <w:pStyle w:val="86"/>
        <w:widowControl w:val="0"/>
        <w:wordWrap/>
        <w:adjustRightInd w:val="0"/>
        <w:snapToGrid w:val="0"/>
        <w:spacing w:before="0" w:line="600" w:lineRule="exact"/>
        <w:ind w:firstLine="480"/>
        <w:textAlignment w:val="auto"/>
        <w:rPr>
          <w:rFonts w:hint="eastAsia" w:ascii="宋体" w:hAnsi="宋体" w:eastAsia="宋体" w:cs="宋体"/>
          <w:highlight w:val="none"/>
        </w:rPr>
      </w:pPr>
      <w:r>
        <w:rPr>
          <w:rFonts w:hint="eastAsia" w:ascii="宋体" w:hAnsi="宋体" w:eastAsia="宋体" w:cs="宋体"/>
          <w:highlight w:val="none"/>
        </w:rPr>
        <w:t xml:space="preserve">6.2 </w:t>
      </w:r>
      <w:r>
        <w:rPr>
          <w:rFonts w:hint="eastAsia" w:ascii="宋体" w:hAnsi="宋体" w:eastAsia="宋体" w:cs="宋体"/>
          <w:highlight w:val="none"/>
          <w:lang w:eastAsia="zh-CN"/>
        </w:rPr>
        <w:t>采购代理机构</w:t>
      </w:r>
      <w:r>
        <w:rPr>
          <w:rFonts w:hint="eastAsia" w:ascii="宋体" w:hAnsi="宋体" w:eastAsia="宋体" w:cs="宋体"/>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99CCCD8">
      <w:pPr>
        <w:pStyle w:val="23"/>
        <w:rPr>
          <w:rFonts w:hint="eastAsia" w:ascii="宋体" w:hAnsi="宋体" w:eastAsia="宋体" w:cs="宋体"/>
          <w:sz w:val="18"/>
          <w:szCs w:val="18"/>
          <w:highlight w:val="none"/>
          <w:lang w:val="en-US"/>
        </w:rPr>
      </w:pPr>
      <w:r>
        <w:rPr>
          <w:rFonts w:hint="eastAsia" w:ascii="宋体" w:hAnsi="宋体" w:eastAsia="宋体" w:cs="宋体"/>
          <w:szCs w:val="24"/>
          <w:highlight w:val="none"/>
          <w:lang w:val="en-US"/>
        </w:rPr>
        <w:t xml:space="preserve">    </w:t>
      </w:r>
    </w:p>
    <w:p w14:paraId="7AC07709">
      <w:pPr>
        <w:adjustRightInd/>
        <w:spacing w:line="360" w:lineRule="auto"/>
        <w:jc w:val="center"/>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14:paraId="3B05E671">
      <w:pPr>
        <w:pStyle w:val="33"/>
        <w:wordWrap/>
        <w:adjustRightInd w:val="0"/>
        <w:spacing w:line="600" w:lineRule="exact"/>
        <w:textAlignment w:val="auto"/>
        <w:rPr>
          <w:rFonts w:hint="eastAsia" w:ascii="宋体" w:hAnsi="宋体" w:eastAsia="宋体" w:cs="宋体"/>
          <w:b/>
          <w:sz w:val="24"/>
          <w:szCs w:val="24"/>
          <w:highlight w:val="none"/>
        </w:rPr>
      </w:pPr>
      <w:r>
        <w:rPr>
          <w:rFonts w:hint="eastAsia" w:hAnsi="宋体" w:cs="宋体"/>
          <w:b/>
          <w:sz w:val="24"/>
          <w:szCs w:val="24"/>
          <w:highlight w:val="none"/>
          <w:lang w:val="en-US" w:eastAsia="zh-CN"/>
        </w:rPr>
        <w:t xml:space="preserve">   </w:t>
      </w:r>
      <w:r>
        <w:rPr>
          <w:rFonts w:hint="eastAsia" w:ascii="宋体" w:hAnsi="宋体" w:eastAsia="宋体" w:cs="宋体"/>
          <w:b/>
          <w:sz w:val="24"/>
          <w:szCs w:val="24"/>
          <w:highlight w:val="none"/>
        </w:rPr>
        <w:t>7. 招标文件的获取</w:t>
      </w:r>
    </w:p>
    <w:p w14:paraId="6A0A17AF">
      <w:pPr>
        <w:wordWrap/>
        <w:adjustRightInd w:val="0"/>
        <w:spacing w:line="600" w:lineRule="exact"/>
        <w:ind w:firstLine="480" w:firstLineChars="200"/>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详见招标公告中获取招标文件的时间期限、地点、方式及招标文件售价。</w:t>
      </w:r>
    </w:p>
    <w:p w14:paraId="30784B77">
      <w:pPr>
        <w:pStyle w:val="33"/>
        <w:wordWrap/>
        <w:adjustRightInd w:val="0"/>
        <w:spacing w:line="600" w:lineRule="exact"/>
        <w:textAlignment w:val="auto"/>
        <w:rPr>
          <w:rFonts w:hint="eastAsia" w:ascii="宋体" w:hAnsi="宋体" w:eastAsia="宋体" w:cs="宋体"/>
          <w:b/>
          <w:sz w:val="24"/>
          <w:szCs w:val="24"/>
          <w:highlight w:val="none"/>
        </w:rPr>
      </w:pPr>
      <w:r>
        <w:rPr>
          <w:rFonts w:hint="eastAsia" w:hAnsi="宋体" w:cs="宋体"/>
          <w:b/>
          <w:sz w:val="24"/>
          <w:szCs w:val="24"/>
          <w:highlight w:val="none"/>
          <w:lang w:val="en-US" w:eastAsia="zh-CN"/>
        </w:rPr>
        <w:t xml:space="preserve">   </w:t>
      </w:r>
      <w:r>
        <w:rPr>
          <w:rFonts w:hint="eastAsia" w:ascii="宋体" w:hAnsi="宋体" w:eastAsia="宋体" w:cs="宋体"/>
          <w:b/>
          <w:sz w:val="24"/>
          <w:szCs w:val="24"/>
          <w:highlight w:val="none"/>
        </w:rPr>
        <w:t>8.开标前答疑会或现场考察</w:t>
      </w:r>
    </w:p>
    <w:p w14:paraId="159C25EB">
      <w:pPr>
        <w:pStyle w:val="33"/>
        <w:wordWrap/>
        <w:adjustRightInd w:val="0"/>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7D35BE75">
      <w:pPr>
        <w:pStyle w:val="33"/>
        <w:wordWrap/>
        <w:adjustRightInd w:val="0"/>
        <w:spacing w:line="600" w:lineRule="exact"/>
        <w:textAlignment w:val="auto"/>
        <w:rPr>
          <w:rFonts w:hint="eastAsia" w:ascii="宋体" w:hAnsi="宋体" w:eastAsia="宋体" w:cs="宋体"/>
          <w:b/>
          <w:sz w:val="24"/>
          <w:szCs w:val="24"/>
          <w:highlight w:val="none"/>
        </w:rPr>
      </w:pPr>
      <w:r>
        <w:rPr>
          <w:rFonts w:hint="eastAsia" w:hAnsi="宋体" w:cs="宋体"/>
          <w:b/>
          <w:kern w:val="28"/>
          <w:sz w:val="24"/>
          <w:szCs w:val="24"/>
          <w:highlight w:val="none"/>
          <w:lang w:val="en-US" w:eastAsia="zh-CN"/>
        </w:rPr>
        <w:t xml:space="preserve">   </w:t>
      </w:r>
      <w:r>
        <w:rPr>
          <w:rFonts w:hint="eastAsia" w:ascii="宋体" w:hAnsi="宋体" w:eastAsia="宋体" w:cs="宋体"/>
          <w:b/>
          <w:kern w:val="28"/>
          <w:sz w:val="24"/>
          <w:szCs w:val="24"/>
          <w:highlight w:val="none"/>
        </w:rPr>
        <w:t>9.投标保证金</w:t>
      </w:r>
    </w:p>
    <w:p w14:paraId="0102425C">
      <w:pPr>
        <w:pStyle w:val="5"/>
        <w:wordWrap/>
        <w:adjustRightInd w:val="0"/>
        <w:spacing w:line="6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39CD087E">
      <w:pPr>
        <w:pStyle w:val="33"/>
        <w:wordWrap/>
        <w:adjustRightInd w:val="0"/>
        <w:spacing w:line="600" w:lineRule="exact"/>
        <w:textAlignment w:val="auto"/>
        <w:rPr>
          <w:rFonts w:hint="eastAsia" w:ascii="宋体" w:hAnsi="宋体" w:eastAsia="宋体" w:cs="宋体"/>
          <w:b/>
          <w:sz w:val="24"/>
          <w:szCs w:val="24"/>
          <w:highlight w:val="none"/>
        </w:rPr>
      </w:pPr>
      <w:r>
        <w:rPr>
          <w:rFonts w:hint="eastAsia" w:hAnsi="宋体" w:cs="宋体"/>
          <w:b/>
          <w:sz w:val="24"/>
          <w:szCs w:val="24"/>
          <w:highlight w:val="none"/>
          <w:lang w:val="en-US" w:eastAsia="zh-CN"/>
        </w:rPr>
        <w:t xml:space="preserve">   </w:t>
      </w:r>
      <w:r>
        <w:rPr>
          <w:rFonts w:hint="eastAsia" w:ascii="宋体" w:hAnsi="宋体" w:eastAsia="宋体" w:cs="宋体"/>
          <w:b/>
          <w:sz w:val="24"/>
          <w:szCs w:val="24"/>
          <w:highlight w:val="none"/>
        </w:rPr>
        <w:t>10. 投标文件的语言</w:t>
      </w:r>
    </w:p>
    <w:p w14:paraId="18103EA1">
      <w:pPr>
        <w:wordWrap/>
        <w:autoSpaceDE w:val="0"/>
        <w:autoSpaceDN w:val="0"/>
        <w:adjustRightInd w:val="0"/>
        <w:spacing w:line="6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投标文件及投标人与采购有关的来往通知、函件和文件均应使用中文。</w:t>
      </w:r>
    </w:p>
    <w:p w14:paraId="22FA74F1">
      <w:pPr>
        <w:pStyle w:val="33"/>
        <w:wordWrap/>
        <w:adjustRightInd w:val="0"/>
        <w:spacing w:line="600" w:lineRule="exact"/>
        <w:textAlignment w:val="auto"/>
        <w:rPr>
          <w:rFonts w:hint="eastAsia" w:ascii="宋体" w:hAnsi="宋体" w:eastAsia="宋体" w:cs="宋体"/>
          <w:b/>
          <w:sz w:val="24"/>
          <w:szCs w:val="24"/>
          <w:highlight w:val="none"/>
        </w:rPr>
      </w:pPr>
      <w:r>
        <w:rPr>
          <w:rFonts w:hint="eastAsia" w:hAnsi="宋体" w:cs="宋体"/>
          <w:b/>
          <w:sz w:val="24"/>
          <w:szCs w:val="24"/>
          <w:highlight w:val="none"/>
          <w:lang w:val="en-US" w:eastAsia="zh-CN"/>
        </w:rPr>
        <w:t xml:space="preserve">   </w:t>
      </w:r>
      <w:r>
        <w:rPr>
          <w:rFonts w:hint="eastAsia" w:ascii="宋体" w:hAnsi="宋体" w:eastAsia="宋体" w:cs="宋体"/>
          <w:b/>
          <w:sz w:val="24"/>
          <w:szCs w:val="24"/>
          <w:highlight w:val="none"/>
        </w:rPr>
        <w:t>11. 投标文件的组成</w:t>
      </w:r>
    </w:p>
    <w:p w14:paraId="71836E6C">
      <w:pPr>
        <w:wordWrap/>
        <w:adjustRightInd w:val="0"/>
        <w:snapToGrid w:val="0"/>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w:t>
      </w:r>
      <w:r>
        <w:rPr>
          <w:rFonts w:hint="eastAsia" w:ascii="宋体" w:hAnsi="宋体" w:eastAsia="宋体" w:cs="宋体"/>
          <w:b/>
          <w:sz w:val="24"/>
          <w:szCs w:val="24"/>
          <w:highlight w:val="none"/>
        </w:rPr>
        <w:t>资格文件</w:t>
      </w:r>
      <w:r>
        <w:rPr>
          <w:rFonts w:hint="eastAsia" w:ascii="宋体" w:hAnsi="宋体" w:eastAsia="宋体" w:cs="宋体"/>
          <w:sz w:val="24"/>
          <w:szCs w:val="24"/>
          <w:highlight w:val="none"/>
        </w:rPr>
        <w:t>：</w:t>
      </w:r>
    </w:p>
    <w:p w14:paraId="0C4829F3">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11.1.1符</w:t>
      </w:r>
      <w:r>
        <w:rPr>
          <w:rFonts w:hint="eastAsia" w:ascii="宋体" w:hAnsi="宋体" w:eastAsia="宋体" w:cs="宋体"/>
          <w:color w:val="auto"/>
          <w:sz w:val="24"/>
          <w:szCs w:val="24"/>
          <w:highlight w:val="none"/>
        </w:rPr>
        <w:t>合参加政府采购活动应当具备的一般条件的承诺函；</w:t>
      </w:r>
    </w:p>
    <w:p w14:paraId="5F21139E">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r>
        <w:rPr>
          <w:rFonts w:hint="eastAsia" w:ascii="宋体" w:hAnsi="宋体" w:eastAsia="宋体" w:cs="宋体"/>
          <w:snapToGrid w:val="0"/>
          <w:color w:val="auto"/>
          <w:kern w:val="28"/>
          <w:sz w:val="24"/>
          <w:szCs w:val="24"/>
          <w:highlight w:val="none"/>
        </w:rPr>
        <w:t>联合协议（如果有)；</w:t>
      </w:r>
    </w:p>
    <w:p w14:paraId="15DCE3B5">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6C13C31F">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1F8FCFEC">
      <w:pPr>
        <w:wordWrap/>
        <w:adjustRightInd w:val="0"/>
        <w:snapToGrid w:val="0"/>
        <w:spacing w:line="6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14:paraId="4C924AB4">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14:paraId="2D813A31">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3F8A6F30">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1363D48B">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5989D9B9">
      <w:pPr>
        <w:wordWrap/>
        <w:adjustRightInd w:val="0"/>
        <w:snapToGrid w:val="0"/>
        <w:spacing w:line="6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11.2.5评标标准相应的商务技术资料；</w:t>
      </w:r>
    </w:p>
    <w:p w14:paraId="4D6B4F84">
      <w:pPr>
        <w:wordWrap/>
        <w:adjustRightInd w:val="0"/>
        <w:snapToGrid w:val="0"/>
        <w:spacing w:line="6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11.2.6投标标的清单；</w:t>
      </w:r>
    </w:p>
    <w:p w14:paraId="6CC607BA">
      <w:pPr>
        <w:wordWrap/>
        <w:adjustRightInd w:val="0"/>
        <w:snapToGrid w:val="0"/>
        <w:spacing w:line="60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11.2.7商务技术偏离表；</w:t>
      </w:r>
    </w:p>
    <w:p w14:paraId="28F902C9">
      <w:pPr>
        <w:spacing w:line="6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 xml:space="preserve">8所投产品具体配置表； </w:t>
      </w:r>
    </w:p>
    <w:p w14:paraId="62B61EBF">
      <w:pPr>
        <w:wordWrap/>
        <w:adjustRightInd w:val="0"/>
        <w:snapToGrid w:val="0"/>
        <w:spacing w:line="600" w:lineRule="exact"/>
        <w:ind w:firstLine="960" w:firstLineChars="4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zh-CN"/>
        </w:rPr>
        <w:t>政府采购供应商廉洁自律承诺书；</w:t>
      </w:r>
    </w:p>
    <w:p w14:paraId="46CA5FBF">
      <w:pPr>
        <w:wordWrap/>
        <w:adjustRightInd w:val="0"/>
        <w:snapToGrid w:val="0"/>
        <w:spacing w:line="600" w:lineRule="exact"/>
        <w:ind w:firstLine="480" w:firstLineChars="200"/>
        <w:textAlignment w:val="auto"/>
        <w:rPr>
          <w:rFonts w:hint="eastAsia" w:ascii="宋体" w:hAnsi="宋体" w:eastAsia="宋体" w:cs="宋体"/>
          <w:sz w:val="24"/>
          <w:szCs w:val="24"/>
          <w:highlight w:val="none"/>
          <w:u w:val="single"/>
          <w:lang w:val="zh-CN"/>
        </w:rPr>
      </w:pPr>
      <w:r>
        <w:rPr>
          <w:rFonts w:hint="eastAsia" w:ascii="宋体" w:hAnsi="宋体" w:eastAsia="宋体" w:cs="宋体"/>
          <w:kern w:val="0"/>
          <w:sz w:val="24"/>
          <w:szCs w:val="24"/>
          <w:highlight w:val="none"/>
          <w:lang w:val="zh-CN"/>
        </w:rPr>
        <w:t>11.</w:t>
      </w:r>
      <w:r>
        <w:rPr>
          <w:rFonts w:hint="eastAsia" w:ascii="宋体" w:hAnsi="宋体" w:eastAsia="宋体" w:cs="宋体"/>
          <w:kern w:val="0"/>
          <w:sz w:val="24"/>
          <w:szCs w:val="24"/>
          <w:highlight w:val="none"/>
        </w:rPr>
        <w:t>3</w:t>
      </w:r>
      <w:r>
        <w:rPr>
          <w:rFonts w:hint="eastAsia" w:ascii="宋体" w:hAnsi="宋体" w:eastAsia="宋体" w:cs="宋体"/>
          <w:b/>
          <w:sz w:val="24"/>
          <w:szCs w:val="24"/>
          <w:highlight w:val="none"/>
        </w:rPr>
        <w:t>报价文件：</w:t>
      </w:r>
      <w:r>
        <w:rPr>
          <w:rFonts w:hint="eastAsia" w:ascii="宋体" w:hAnsi="宋体" w:eastAsia="宋体" w:cs="宋体"/>
          <w:sz w:val="24"/>
          <w:szCs w:val="24"/>
          <w:highlight w:val="none"/>
        </w:rPr>
        <w:t xml:space="preserve"> </w:t>
      </w:r>
    </w:p>
    <w:p w14:paraId="59661377">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39796637">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11.3.2中小企业声明函。</w:t>
      </w:r>
    </w:p>
    <w:p w14:paraId="6759A941">
      <w:pPr>
        <w:wordWrap/>
        <w:adjustRightInd w:val="0"/>
        <w:spacing w:line="600" w:lineRule="exact"/>
        <w:ind w:firstLine="723" w:firstLineChars="3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投标文件含有采购人不能接受的附加条件的，投标无效；</w:t>
      </w:r>
    </w:p>
    <w:p w14:paraId="21C13E12">
      <w:pPr>
        <w:wordWrap/>
        <w:adjustRightInd w:val="0"/>
        <w:spacing w:line="600" w:lineRule="exact"/>
        <w:ind w:firstLine="723" w:firstLineChars="3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投标人提供虚假材料投标的，投标无效。</w:t>
      </w:r>
    </w:p>
    <w:p w14:paraId="3329054D">
      <w:pPr>
        <w:pStyle w:val="86"/>
        <w:wordWrap/>
        <w:adjustRightInd w:val="0"/>
        <w:snapToGrid w:val="0"/>
        <w:spacing w:before="0" w:line="600" w:lineRule="exact"/>
        <w:ind w:firstLine="0" w:firstLineChars="0"/>
        <w:textAlignment w:val="auto"/>
        <w:outlineLvl w:val="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 xml:space="preserve">   </w:t>
      </w:r>
      <w:r>
        <w:rPr>
          <w:rFonts w:hint="eastAsia" w:ascii="宋体" w:hAnsi="宋体" w:eastAsia="宋体" w:cs="宋体"/>
          <w:b/>
          <w:sz w:val="24"/>
          <w:szCs w:val="24"/>
          <w:highlight w:val="none"/>
        </w:rPr>
        <w:t>12</w:t>
      </w:r>
      <w:r>
        <w:rPr>
          <w:rFonts w:hint="eastAsia" w:ascii="宋体" w:hAnsi="宋体" w:eastAsia="宋体" w:cs="宋体"/>
          <w:b/>
          <w:kern w:val="0"/>
          <w:sz w:val="24"/>
          <w:szCs w:val="24"/>
          <w:highlight w:val="none"/>
          <w:lang w:val="zh-CN"/>
        </w:rPr>
        <w:t xml:space="preserve">. </w:t>
      </w:r>
      <w:r>
        <w:rPr>
          <w:rFonts w:hint="eastAsia" w:ascii="宋体" w:hAnsi="宋体" w:eastAsia="宋体" w:cs="宋体"/>
          <w:b/>
          <w:sz w:val="24"/>
          <w:szCs w:val="24"/>
          <w:highlight w:val="none"/>
        </w:rPr>
        <w:t>投标文件的编制</w:t>
      </w:r>
    </w:p>
    <w:p w14:paraId="25AA2578">
      <w:pPr>
        <w:wordWrap/>
        <w:adjustRightInd w:val="0"/>
        <w:spacing w:line="600" w:lineRule="exact"/>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0464538">
      <w:pPr>
        <w:wordWrap/>
        <w:adjustRightInd w:val="0"/>
        <w:spacing w:line="600" w:lineRule="exact"/>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8A81248">
      <w:pPr>
        <w:wordWrap/>
        <w:adjustRightInd w:val="0"/>
        <w:spacing w:line="600" w:lineRule="exact"/>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31B1831D">
      <w:pPr>
        <w:wordWrap/>
        <w:adjustRightInd w:val="0"/>
        <w:snapToGrid w:val="0"/>
        <w:spacing w:line="600" w:lineRule="exact"/>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 xml:space="preserve">   </w:t>
      </w:r>
      <w:r>
        <w:rPr>
          <w:rFonts w:hint="eastAsia" w:ascii="宋体" w:hAnsi="宋体" w:eastAsia="宋体" w:cs="宋体"/>
          <w:b/>
          <w:sz w:val="24"/>
          <w:szCs w:val="24"/>
          <w:highlight w:val="none"/>
        </w:rPr>
        <w:t>13.投标文件的签署、盖章</w:t>
      </w:r>
    </w:p>
    <w:p w14:paraId="6B456993">
      <w:pPr>
        <w:pStyle w:val="86"/>
        <w:wordWrap/>
        <w:adjustRightInd w:val="0"/>
        <w:snapToGrid w:val="0"/>
        <w:spacing w:before="0" w:line="600" w:lineRule="exact"/>
        <w:ind w:firstLine="48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13.1投标文件按照招标文件第六部分格式要求进行签署、盖章。</w:t>
      </w:r>
      <w:r>
        <w:rPr>
          <w:rFonts w:hint="eastAsia" w:ascii="宋体" w:hAnsi="宋体" w:eastAsia="宋体" w:cs="宋体"/>
          <w:b/>
          <w:bCs/>
          <w:sz w:val="24"/>
          <w:szCs w:val="24"/>
          <w:highlight w:val="none"/>
        </w:rPr>
        <w:t>●</w:t>
      </w:r>
      <w:r>
        <w:rPr>
          <w:rFonts w:hint="eastAsia" w:ascii="宋体" w:hAnsi="宋体" w:eastAsia="宋体" w:cs="宋体"/>
          <w:b/>
          <w:sz w:val="24"/>
          <w:szCs w:val="24"/>
          <w:highlight w:val="none"/>
        </w:rPr>
        <w:t>投标人的投标文件未按照招标文件要求签署、盖章的，其投标无效</w:t>
      </w:r>
      <w:r>
        <w:rPr>
          <w:rFonts w:hint="eastAsia" w:ascii="宋体" w:hAnsi="宋体" w:eastAsia="宋体" w:cs="宋体"/>
          <w:sz w:val="24"/>
          <w:szCs w:val="24"/>
          <w:highlight w:val="none"/>
        </w:rPr>
        <w:t>。</w:t>
      </w:r>
    </w:p>
    <w:p w14:paraId="36003D2E">
      <w:pPr>
        <w:pStyle w:val="86"/>
        <w:wordWrap/>
        <w:adjustRightInd w:val="0"/>
        <w:snapToGrid w:val="0"/>
        <w:spacing w:before="0" w:line="60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452879BE">
      <w:pPr>
        <w:pStyle w:val="86"/>
        <w:widowControl w:val="0"/>
        <w:wordWrap/>
        <w:adjustRightInd w:val="0"/>
        <w:snapToGrid w:val="0"/>
        <w:spacing w:before="0" w:line="600" w:lineRule="exact"/>
        <w:ind w:left="0" w:leftChars="0" w:right="0" w:firstLine="48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13.3招标文件对投标文件签署、盖章的要求适用于电子签名。</w:t>
      </w:r>
    </w:p>
    <w:p w14:paraId="74B59CE7">
      <w:pPr>
        <w:pStyle w:val="86"/>
        <w:widowControl w:val="0"/>
        <w:wordWrap/>
        <w:adjustRightInd w:val="0"/>
        <w:spacing w:before="0" w:line="600" w:lineRule="exact"/>
        <w:ind w:left="0" w:leftChars="0" w:right="0" w:firstLine="0" w:firstLineChars="0"/>
        <w:jc w:val="both"/>
        <w:textAlignment w:val="auto"/>
        <w:outlineLvl w:val="9"/>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 xml:space="preserve">   </w:t>
      </w:r>
      <w:r>
        <w:rPr>
          <w:rFonts w:hint="eastAsia" w:ascii="宋体" w:hAnsi="宋体" w:eastAsia="宋体" w:cs="宋体"/>
          <w:b/>
          <w:sz w:val="24"/>
          <w:szCs w:val="24"/>
          <w:highlight w:val="none"/>
        </w:rPr>
        <w:t>14. 投标文件的提交、补充、修改、撤回</w:t>
      </w:r>
    </w:p>
    <w:p w14:paraId="2D868107">
      <w:pPr>
        <w:pStyle w:val="86"/>
        <w:widowControl w:val="0"/>
        <w:wordWrap/>
        <w:adjustRightInd w:val="0"/>
        <w:spacing w:before="0" w:line="600" w:lineRule="exact"/>
        <w:ind w:left="0" w:leftChars="0" w:right="0" w:firstLine="48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ED72F73">
      <w:pPr>
        <w:pStyle w:val="86"/>
        <w:wordWrap/>
        <w:adjustRightInd w:val="0"/>
        <w:spacing w:before="0" w:line="60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17D1238">
      <w:pPr>
        <w:pStyle w:val="86"/>
        <w:wordWrap/>
        <w:adjustRightInd w:val="0"/>
        <w:spacing w:before="0" w:line="60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14.3采购人、</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可以视情况延长投标文件提交的截止时间。在上述情况下，</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与投标人以前在投标截止期方面的全部权利、责任和义务，将适用于延长至新的投标截止期。</w:t>
      </w:r>
    </w:p>
    <w:p w14:paraId="2653A60C">
      <w:pPr>
        <w:pStyle w:val="33"/>
        <w:wordWrap/>
        <w:adjustRightInd w:val="0"/>
        <w:spacing w:line="600" w:lineRule="exact"/>
        <w:textAlignment w:val="auto"/>
        <w:rPr>
          <w:rFonts w:hint="eastAsia" w:ascii="宋体" w:hAnsi="宋体" w:eastAsia="宋体" w:cs="宋体"/>
          <w:b/>
          <w:sz w:val="24"/>
          <w:szCs w:val="24"/>
          <w:highlight w:val="none"/>
        </w:rPr>
      </w:pPr>
      <w:r>
        <w:rPr>
          <w:rFonts w:hint="eastAsia" w:hAnsi="宋体" w:cs="宋体"/>
          <w:b/>
          <w:sz w:val="24"/>
          <w:szCs w:val="24"/>
          <w:highlight w:val="none"/>
          <w:lang w:val="en-US" w:eastAsia="zh-CN"/>
        </w:rPr>
        <w:t xml:space="preserve">   </w:t>
      </w:r>
      <w:r>
        <w:rPr>
          <w:rFonts w:hint="eastAsia" w:ascii="宋体" w:hAnsi="宋体" w:eastAsia="宋体" w:cs="宋体"/>
          <w:b/>
          <w:sz w:val="24"/>
          <w:szCs w:val="24"/>
          <w:highlight w:val="none"/>
        </w:rPr>
        <w:t>15.备份投标文件</w:t>
      </w:r>
    </w:p>
    <w:p w14:paraId="3B9802AE">
      <w:pPr>
        <w:pStyle w:val="33"/>
        <w:wordWrap/>
        <w:adjustRightInd w:val="0"/>
        <w:spacing w:line="600" w:lineRule="exact"/>
        <w:ind w:firstLine="360" w:firstLineChars="15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w:t>
      </w:r>
      <w:r>
        <w:rPr>
          <w:rFonts w:hint="eastAsia" w:ascii="宋体" w:hAnsi="宋体" w:eastAsia="宋体" w:cs="宋体"/>
          <w:b/>
          <w:sz w:val="24"/>
          <w:szCs w:val="24"/>
          <w:highlight w:val="none"/>
          <w:lang w:eastAsia="zh-CN"/>
        </w:rPr>
        <w:t>采购代理机构</w:t>
      </w:r>
      <w:r>
        <w:rPr>
          <w:rFonts w:hint="eastAsia" w:ascii="宋体" w:hAnsi="宋体" w:eastAsia="宋体" w:cs="宋体"/>
          <w:b/>
          <w:sz w:val="24"/>
          <w:szCs w:val="24"/>
          <w:highlight w:val="none"/>
        </w:rPr>
        <w:t>不强制或变相强制投标人提交备份投标文件。</w:t>
      </w:r>
    </w:p>
    <w:p w14:paraId="0CC7BF0E">
      <w:pPr>
        <w:pStyle w:val="33"/>
        <w:wordWrap/>
        <w:adjustRightInd w:val="0"/>
        <w:spacing w:line="600" w:lineRule="exact"/>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15.2备份投标文件须在“政采云投标客户端”制作生成，并储存在DVD光盘</w:t>
      </w:r>
      <w:r>
        <w:rPr>
          <w:rFonts w:hint="eastAsia" w:ascii="宋体" w:hAnsi="宋体" w:eastAsia="宋体" w:cs="宋体"/>
          <w:sz w:val="24"/>
          <w:szCs w:val="24"/>
          <w:highlight w:val="none"/>
          <w:lang w:val="en-US" w:eastAsia="zh-CN"/>
        </w:rPr>
        <w:t>等存储介质</w:t>
      </w:r>
      <w:r>
        <w:rPr>
          <w:rFonts w:hint="eastAsia" w:ascii="宋体" w:hAnsi="宋体" w:eastAsia="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szCs w:val="24"/>
          <w:highlight w:val="none"/>
        </w:rPr>
        <w:t>不符合上述制作、存储、密封规定的备份投标文件将被视为无效或者被拒绝接收。</w:t>
      </w:r>
    </w:p>
    <w:p w14:paraId="65A74AD2">
      <w:pPr>
        <w:pStyle w:val="33"/>
        <w:wordWrap/>
        <w:adjustRightInd w:val="0"/>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将拒绝接受逾期送达的备份投标文件。</w:t>
      </w:r>
    </w:p>
    <w:p w14:paraId="095DD827">
      <w:pPr>
        <w:pStyle w:val="33"/>
        <w:wordWrap/>
        <w:adjustRightInd w:val="0"/>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将拒绝接受逾期送达的备份投标文件。邮寄过程中，电子备份投标文件发生泄露、遗失、损坏或延期送达等情况的，由投标人自行负责。</w:t>
      </w:r>
    </w:p>
    <w:p w14:paraId="6461CD0C">
      <w:pPr>
        <w:pStyle w:val="33"/>
        <w:wordWrap/>
        <w:adjustRightInd w:val="0"/>
        <w:spacing w:line="600" w:lineRule="exact"/>
        <w:ind w:firstLine="479" w:firstLineChars="199"/>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15.5投标人仅提交备份投标文件，未在电子交易平台传输递交投标文件的，投标无效。</w:t>
      </w:r>
    </w:p>
    <w:p w14:paraId="4B7C9E44">
      <w:pPr>
        <w:pStyle w:val="86"/>
        <w:wordWrap/>
        <w:adjustRightInd w:val="0"/>
        <w:spacing w:before="0" w:line="600" w:lineRule="exact"/>
        <w:ind w:firstLine="0" w:firstLineChars="0"/>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 xml:space="preserve">   </w:t>
      </w:r>
      <w:r>
        <w:rPr>
          <w:rFonts w:hint="eastAsia" w:ascii="宋体" w:hAnsi="宋体" w:eastAsia="宋体" w:cs="宋体"/>
          <w:b/>
          <w:sz w:val="24"/>
          <w:szCs w:val="24"/>
          <w:highlight w:val="none"/>
        </w:rPr>
        <w:t>16.投标文件的无效处理</w:t>
      </w:r>
    </w:p>
    <w:p w14:paraId="6E89D49D">
      <w:pPr>
        <w:pStyle w:val="24"/>
        <w:wordWrap/>
        <w:adjustRightInd w:val="0"/>
        <w:spacing w:line="600" w:lineRule="exact"/>
        <w:ind w:firstLine="360" w:firstLineChars="150"/>
        <w:textAlignment w:val="auto"/>
        <w:rPr>
          <w:rFonts w:hint="eastAsia" w:ascii="宋体" w:hAnsi="宋体" w:eastAsia="宋体" w:cs="宋体"/>
          <w:sz w:val="24"/>
          <w:szCs w:val="24"/>
          <w:highlight w:val="none"/>
        </w:rPr>
      </w:pPr>
      <w:r>
        <w:rPr>
          <w:rFonts w:hint="eastAsia" w:cs="宋体"/>
          <w:sz w:val="24"/>
          <w:szCs w:val="24"/>
          <w:highlight w:val="none"/>
          <w:lang w:val="en-US" w:eastAsia="zh-CN"/>
        </w:rPr>
        <w:t xml:space="preserve"> </w:t>
      </w:r>
      <w:r>
        <w:rPr>
          <w:rFonts w:hint="eastAsia" w:ascii="宋体" w:hAnsi="宋体" w:eastAsia="宋体" w:cs="宋体"/>
          <w:sz w:val="24"/>
          <w:szCs w:val="24"/>
          <w:highlight w:val="none"/>
        </w:rPr>
        <w:t>有招标文件第四部分4.2规定的情形之一的，投标无效：</w:t>
      </w:r>
    </w:p>
    <w:p w14:paraId="02B573C9">
      <w:pPr>
        <w:pStyle w:val="86"/>
        <w:wordWrap/>
        <w:adjustRightInd w:val="0"/>
        <w:spacing w:before="0" w:line="600" w:lineRule="exact"/>
        <w:ind w:firstLine="0" w:firstLineChars="0"/>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 xml:space="preserve">   </w:t>
      </w:r>
      <w:r>
        <w:rPr>
          <w:rFonts w:hint="eastAsia" w:ascii="宋体" w:hAnsi="宋体" w:eastAsia="宋体" w:cs="宋体"/>
          <w:b/>
          <w:sz w:val="24"/>
          <w:szCs w:val="24"/>
          <w:highlight w:val="none"/>
        </w:rPr>
        <w:t>17.投标有效期</w:t>
      </w:r>
    </w:p>
    <w:p w14:paraId="481426CB">
      <w:pPr>
        <w:wordWrap/>
        <w:adjustRightInd w:val="0"/>
        <w:spacing w:line="600" w:lineRule="exact"/>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17.1投标有效期为从提交投标文件的截止之日起90天。</w:t>
      </w:r>
      <w:r>
        <w:rPr>
          <w:rFonts w:hint="eastAsia" w:ascii="宋体" w:hAnsi="宋体" w:eastAsia="宋体" w:cs="宋体"/>
          <w:b/>
          <w:bCs/>
          <w:sz w:val="24"/>
          <w:szCs w:val="24"/>
          <w:highlight w:val="none"/>
        </w:rPr>
        <w:t>●</w:t>
      </w:r>
      <w:r>
        <w:rPr>
          <w:rFonts w:hint="eastAsia" w:ascii="宋体" w:hAnsi="宋体" w:eastAsia="宋体" w:cs="宋体"/>
          <w:b/>
          <w:sz w:val="24"/>
          <w:szCs w:val="24"/>
          <w:highlight w:val="none"/>
        </w:rPr>
        <w:t>投标人的投标文件中承诺的投标有效期少于招标文件中载明的投标有效期的，投标无效。</w:t>
      </w:r>
    </w:p>
    <w:p w14:paraId="1D9C56B1">
      <w:pPr>
        <w:pStyle w:val="86"/>
        <w:wordWrap/>
        <w:adjustRightInd w:val="0"/>
        <w:spacing w:before="0" w:line="60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17.2投标文件合格投递后，自投标截止日期起，在投标有效期内有效。</w:t>
      </w:r>
    </w:p>
    <w:p w14:paraId="127034DA">
      <w:pPr>
        <w:pStyle w:val="86"/>
        <w:wordWrap/>
        <w:adjustRightInd w:val="0"/>
        <w:spacing w:before="0" w:line="60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17.3在原定投标有效期满之前，如果出现特殊情况，</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可以以书面形式通知投标人延长投标有效期。投标人同意延长的，不得要求或被允许修改其投标文件，投标人拒绝延长的，其投标无效。</w:t>
      </w:r>
    </w:p>
    <w:p w14:paraId="7924F3C6">
      <w:pPr>
        <w:pStyle w:val="86"/>
        <w:spacing w:before="0"/>
        <w:ind w:firstLine="643"/>
        <w:rPr>
          <w:rFonts w:hint="eastAsia" w:ascii="宋体" w:hAnsi="宋体" w:eastAsia="宋体" w:cs="宋体"/>
          <w:b/>
          <w:sz w:val="32"/>
          <w:highlight w:val="none"/>
        </w:rPr>
      </w:pPr>
    </w:p>
    <w:p w14:paraId="64388C2C">
      <w:pPr>
        <w:pStyle w:val="86"/>
        <w:spacing w:before="0"/>
        <w:ind w:firstLine="1928" w:firstLineChars="600"/>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14:paraId="1C7B3E52">
      <w:pPr>
        <w:pStyle w:val="241"/>
        <w:wordWrap/>
        <w:adjustRightInd w:val="0"/>
        <w:spacing w:before="0" w:line="600" w:lineRule="exact"/>
        <w:ind w:left="0" w:firstLine="241" w:firstLineChars="100"/>
        <w:contextualSpacing/>
        <w:textAlignment w:val="auto"/>
        <w:rPr>
          <w:rFonts w:hint="eastAsia" w:ascii="宋体" w:hAnsi="宋体" w:eastAsia="宋体" w:cs="宋体"/>
          <w:sz w:val="24"/>
          <w:highlight w:val="none"/>
        </w:rPr>
      </w:pPr>
      <w:r>
        <w:rPr>
          <w:rFonts w:hint="eastAsia" w:ascii="宋体" w:hAnsi="宋体" w:cs="宋体"/>
          <w:b/>
          <w:sz w:val="24"/>
          <w:szCs w:val="24"/>
          <w:highlight w:val="none"/>
          <w:lang w:val="en-US" w:eastAsia="zh-CN"/>
        </w:rPr>
        <w:t xml:space="preserve"> </w:t>
      </w:r>
      <w:r>
        <w:rPr>
          <w:rFonts w:hint="eastAsia" w:ascii="宋体" w:hAnsi="宋体" w:eastAsia="宋体" w:cs="宋体"/>
          <w:b/>
          <w:sz w:val="24"/>
          <w:szCs w:val="24"/>
          <w:highlight w:val="none"/>
        </w:rPr>
        <w:t>18.开标</w:t>
      </w:r>
      <w:r>
        <w:rPr>
          <w:rFonts w:hint="eastAsia" w:ascii="宋体" w:hAnsi="宋体" w:eastAsia="宋体" w:cs="宋体"/>
          <w:sz w:val="24"/>
          <w:highlight w:val="none"/>
        </w:rPr>
        <w:t xml:space="preserve"> </w:t>
      </w:r>
    </w:p>
    <w:p w14:paraId="2D7ACC35">
      <w:pPr>
        <w:pStyle w:val="241"/>
        <w:wordWrap/>
        <w:adjustRightInd w:val="0"/>
        <w:spacing w:before="0" w:line="600" w:lineRule="exact"/>
        <w:ind w:left="0" w:firstLine="480" w:firstLineChars="200"/>
        <w:contextualSpacing/>
        <w:textAlignment w:val="auto"/>
        <w:rPr>
          <w:rFonts w:hint="eastAsia" w:ascii="宋体" w:hAnsi="宋体" w:eastAsia="宋体" w:cs="宋体"/>
          <w:sz w:val="24"/>
          <w:highlight w:val="none"/>
        </w:rPr>
      </w:pPr>
      <w:r>
        <w:rPr>
          <w:rFonts w:hint="eastAsia" w:ascii="宋体" w:hAnsi="宋体" w:eastAsia="宋体" w:cs="宋体"/>
          <w:sz w:val="24"/>
          <w:highlight w:val="none"/>
        </w:rPr>
        <w:t>18.1</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按照招标文件规定的时间通过电子交易平台组织开标，所有投标人均应当准时在线参加。投标人不足3家的，不得开标。</w:t>
      </w:r>
    </w:p>
    <w:p w14:paraId="19219CCC">
      <w:pPr>
        <w:pStyle w:val="241"/>
        <w:wordWrap/>
        <w:adjustRightInd w:val="0"/>
        <w:spacing w:before="0" w:beforeAutospacing="0" w:line="600" w:lineRule="exact"/>
        <w:ind w:left="0" w:leftChars="0" w:right="0" w:firstLine="240" w:firstLineChars="100"/>
        <w:contextualSpacing/>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依托电子交易平台发起开始解密指令，投标人按照平台提示和招标文件的规定在半小时内完成在线解密。</w:t>
      </w:r>
    </w:p>
    <w:p w14:paraId="5759AFBC">
      <w:pPr>
        <w:pStyle w:val="241"/>
        <w:wordWrap/>
        <w:adjustRightInd w:val="0"/>
        <w:spacing w:before="0" w:beforeAutospacing="0" w:line="600" w:lineRule="exact"/>
        <w:ind w:left="0" w:leftChars="0" w:right="0" w:firstLine="240" w:firstLineChars="100"/>
        <w:contextualSpacing/>
        <w:textAlignment w:val="auto"/>
        <w:outlineLvl w:val="9"/>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14:paraId="1809E980">
      <w:pPr>
        <w:widowControl/>
        <w:wordWrap/>
        <w:adjustRightInd w:val="0"/>
        <w:spacing w:beforeAutospacing="0" w:line="600" w:lineRule="exact"/>
        <w:ind w:left="0" w:leftChars="0" w:right="0"/>
        <w:jc w:val="left"/>
        <w:textAlignment w:val="auto"/>
        <w:outlineLvl w:val="9"/>
        <w:rPr>
          <w:rFonts w:hint="eastAsia" w:ascii="宋体" w:hAnsi="宋体" w:eastAsia="宋体" w:cs="宋体"/>
          <w:b/>
          <w:sz w:val="24"/>
          <w:szCs w:val="20"/>
          <w:highlight w:val="none"/>
        </w:rPr>
      </w:pPr>
      <w:r>
        <w:rPr>
          <w:rFonts w:hint="eastAsia" w:ascii="宋体" w:hAnsi="宋体" w:eastAsia="宋体" w:cs="宋体"/>
          <w:b/>
          <w:sz w:val="24"/>
          <w:szCs w:val="20"/>
          <w:highlight w:val="none"/>
        </w:rPr>
        <w:t>　</w:t>
      </w:r>
      <w:r>
        <w:rPr>
          <w:rFonts w:hint="eastAsia" w:ascii="宋体" w:hAnsi="宋体" w:cs="宋体"/>
          <w:b/>
          <w:sz w:val="24"/>
          <w:szCs w:val="20"/>
          <w:highlight w:val="none"/>
          <w:lang w:val="en-US" w:eastAsia="zh-CN"/>
        </w:rPr>
        <w:t xml:space="preserve"> </w:t>
      </w:r>
      <w:r>
        <w:rPr>
          <w:rFonts w:hint="eastAsia" w:ascii="宋体" w:hAnsi="宋体" w:eastAsia="宋体" w:cs="宋体"/>
          <w:b/>
          <w:sz w:val="24"/>
          <w:szCs w:val="20"/>
          <w:highlight w:val="none"/>
        </w:rPr>
        <w:t>19、资格审查</w:t>
      </w:r>
    </w:p>
    <w:p w14:paraId="330717C0">
      <w:pPr>
        <w:wordWrap/>
        <w:adjustRightInd w:val="0"/>
        <w:snapToGrid w:val="0"/>
        <w:spacing w:beforeAutospacing="0" w:line="600" w:lineRule="exact"/>
        <w:ind w:left="0" w:leftChars="0" w:right="0" w:firstLine="480" w:firstLineChars="200"/>
        <w:textAlignment w:val="auto"/>
        <w:outlineLvl w:val="9"/>
        <w:rPr>
          <w:rFonts w:hint="eastAsia" w:ascii="宋体" w:hAnsi="宋体" w:eastAsia="宋体" w:cs="宋体"/>
          <w:sz w:val="24"/>
          <w:highlight w:val="none"/>
        </w:rPr>
      </w:pPr>
      <w:r>
        <w:rPr>
          <w:rFonts w:hint="eastAsia" w:ascii="宋体" w:hAnsi="宋体" w:eastAsia="宋体" w:cs="宋体"/>
          <w:kern w:val="0"/>
          <w:sz w:val="24"/>
          <w:highlight w:val="none"/>
        </w:rPr>
        <w:t>19.</w:t>
      </w:r>
      <w:r>
        <w:rPr>
          <w:rFonts w:hint="eastAsia" w:ascii="宋体" w:hAnsi="宋体" w:eastAsia="宋体" w:cs="宋体"/>
          <w:kern w:val="0"/>
          <w:sz w:val="24"/>
          <w:highlight w:val="none"/>
          <w:lang w:val="en-US" w:eastAsia="zh-CN"/>
        </w:rPr>
        <w:t>1</w:t>
      </w:r>
      <w:r>
        <w:rPr>
          <w:rFonts w:hint="eastAsia" w:ascii="宋体" w:hAnsi="宋体" w:eastAsia="宋体" w:cs="宋体"/>
          <w:sz w:val="24"/>
          <w:highlight w:val="none"/>
        </w:rPr>
        <w:t>采购人或</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依据法律法规和招标文件的规定，对投标人的资格进行审查。</w:t>
      </w:r>
    </w:p>
    <w:p w14:paraId="238ADAB7">
      <w:pPr>
        <w:pStyle w:val="86"/>
        <w:wordWrap/>
        <w:adjustRightInd w:val="0"/>
        <w:spacing w:before="0" w:beforeAutospacing="0" w:line="600" w:lineRule="exact"/>
        <w:ind w:left="0" w:leftChars="0" w:right="0" w:firstLine="480"/>
        <w:textAlignment w:val="auto"/>
        <w:outlineLvl w:val="9"/>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kern w:val="0"/>
          <w:szCs w:val="24"/>
          <w:highlight w:val="none"/>
          <w:lang w:val="en-US" w:eastAsia="zh-CN"/>
        </w:rPr>
        <w:t>2</w:t>
      </w:r>
      <w:r>
        <w:rPr>
          <w:rFonts w:hint="eastAsia" w:ascii="宋体" w:hAnsi="宋体" w:eastAsia="宋体" w:cs="宋体"/>
          <w:kern w:val="0"/>
          <w:szCs w:val="24"/>
          <w:highlight w:val="none"/>
        </w:rPr>
        <w:t>投标人未按照招标文件要求提供与</w:t>
      </w:r>
      <w:r>
        <w:rPr>
          <w:rFonts w:hint="eastAsia" w:ascii="宋体" w:hAnsi="宋体" w:eastAsia="宋体" w:cs="宋体"/>
          <w:highlight w:val="none"/>
        </w:rPr>
        <w:t>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14:paraId="566BDA8C">
      <w:pPr>
        <w:pStyle w:val="86"/>
        <w:wordWrap/>
        <w:adjustRightInd w:val="0"/>
        <w:spacing w:before="0" w:line="600" w:lineRule="exact"/>
        <w:ind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lang w:val="en-US" w:eastAsia="zh-CN"/>
        </w:rPr>
        <w:t>3</w:t>
      </w:r>
      <w:r>
        <w:rPr>
          <w:rFonts w:hint="eastAsia" w:ascii="宋体" w:hAnsi="宋体" w:eastAsia="宋体" w:cs="宋体"/>
          <w:highlight w:val="none"/>
        </w:rPr>
        <w:t>对未通过资格审查的投标人，采购人或</w:t>
      </w:r>
      <w:r>
        <w:rPr>
          <w:rFonts w:hint="eastAsia" w:ascii="宋体" w:hAnsi="宋体" w:eastAsia="宋体" w:cs="宋体"/>
          <w:highlight w:val="none"/>
          <w:lang w:eastAsia="zh-CN"/>
        </w:rPr>
        <w:t>采购代理机构</w:t>
      </w:r>
      <w:r>
        <w:rPr>
          <w:rFonts w:hint="eastAsia" w:ascii="宋体" w:hAnsi="宋体" w:eastAsia="宋体" w:cs="宋体"/>
          <w:highlight w:val="none"/>
        </w:rPr>
        <w:t>告知其未通过的原因。</w:t>
      </w:r>
    </w:p>
    <w:p w14:paraId="5AE363A1">
      <w:pPr>
        <w:pStyle w:val="86"/>
        <w:wordWrap/>
        <w:adjustRightInd w:val="0"/>
        <w:spacing w:before="0" w:line="600" w:lineRule="exact"/>
        <w:ind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lang w:val="en-US" w:eastAsia="zh-CN"/>
        </w:rPr>
        <w:t>4</w:t>
      </w:r>
      <w:r>
        <w:rPr>
          <w:rFonts w:hint="eastAsia" w:ascii="宋体" w:hAnsi="宋体" w:eastAsia="宋体" w:cs="宋体"/>
          <w:highlight w:val="none"/>
        </w:rPr>
        <w:t>合格投标人不足3家的，不再评标。</w:t>
      </w:r>
    </w:p>
    <w:p w14:paraId="3858475E">
      <w:pPr>
        <w:pStyle w:val="86"/>
        <w:wordWrap/>
        <w:adjustRightInd w:val="0"/>
        <w:spacing w:before="0" w:line="600" w:lineRule="exact"/>
        <w:ind w:firstLine="0" w:firstLineChars="0"/>
        <w:textAlignment w:val="auto"/>
        <w:rPr>
          <w:rFonts w:hint="eastAsia" w:ascii="宋体" w:hAnsi="宋体" w:eastAsia="宋体" w:cs="宋体"/>
          <w:b/>
          <w:szCs w:val="24"/>
          <w:highlight w:val="none"/>
        </w:rPr>
      </w:pPr>
      <w:r>
        <w:rPr>
          <w:rFonts w:hint="eastAsia" w:ascii="宋体" w:hAnsi="宋体" w:cs="宋体"/>
          <w:b/>
          <w:szCs w:val="24"/>
          <w:highlight w:val="none"/>
          <w:lang w:val="en-US" w:eastAsia="zh-CN"/>
        </w:rPr>
        <w:t xml:space="preserve">   </w:t>
      </w:r>
      <w:r>
        <w:rPr>
          <w:rFonts w:hint="eastAsia" w:ascii="宋体" w:hAnsi="宋体" w:eastAsia="宋体" w:cs="宋体"/>
          <w:b/>
          <w:szCs w:val="24"/>
          <w:highlight w:val="none"/>
        </w:rPr>
        <w:t>20、信用信息查询</w:t>
      </w:r>
    </w:p>
    <w:p w14:paraId="35E8B153">
      <w:pPr>
        <w:pStyle w:val="86"/>
        <w:wordWrap/>
        <w:adjustRightInd w:val="0"/>
        <w:spacing w:before="0" w:line="600" w:lineRule="exact"/>
        <w:ind w:firstLine="495"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w:t>
      </w:r>
      <w:r>
        <w:rPr>
          <w:rFonts w:hint="eastAsia" w:ascii="宋体" w:hAnsi="宋体" w:eastAsia="宋体" w:cs="宋体"/>
          <w:kern w:val="0"/>
          <w:szCs w:val="24"/>
          <w:highlight w:val="none"/>
          <w:lang w:eastAsia="zh-CN"/>
        </w:rPr>
        <w:t>采购代理机构</w:t>
      </w:r>
      <w:r>
        <w:rPr>
          <w:rFonts w:hint="eastAsia" w:ascii="宋体" w:hAnsi="宋体" w:eastAsia="宋体" w:cs="宋体"/>
          <w:kern w:val="0"/>
          <w:szCs w:val="24"/>
          <w:highlight w:val="none"/>
        </w:rPr>
        <w:t>将在资格审查时通过“信用中国”网站(www.creditchina.gov.cn)、中国政府采购网(www.ccgp.gov.cn)渠道查询投标人接受资格时的信用记录。</w:t>
      </w:r>
    </w:p>
    <w:p w14:paraId="22C5BA74">
      <w:pPr>
        <w:pStyle w:val="86"/>
        <w:wordWrap/>
        <w:adjustRightInd w:val="0"/>
        <w:spacing w:before="0" w:line="600" w:lineRule="exact"/>
        <w:ind w:firstLine="495"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14:paraId="3776A8CA">
      <w:pPr>
        <w:pStyle w:val="86"/>
        <w:wordWrap/>
        <w:adjustRightInd w:val="0"/>
        <w:spacing w:before="0" w:line="600" w:lineRule="exact"/>
        <w:ind w:firstLine="495"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3CBCF3A3">
      <w:pPr>
        <w:pStyle w:val="86"/>
        <w:wordWrap/>
        <w:adjustRightInd w:val="0"/>
        <w:spacing w:before="0" w:line="600" w:lineRule="exact"/>
        <w:ind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7A9AFDCC">
      <w:pPr>
        <w:pStyle w:val="86"/>
        <w:spacing w:before="0"/>
        <w:ind w:firstLine="0" w:firstLineChars="0"/>
        <w:rPr>
          <w:rFonts w:hint="eastAsia" w:ascii="宋体" w:hAnsi="宋体" w:eastAsia="宋体" w:cs="宋体"/>
          <w:kern w:val="0"/>
          <w:szCs w:val="24"/>
          <w:highlight w:val="none"/>
        </w:rPr>
      </w:pPr>
    </w:p>
    <w:p w14:paraId="4A30CCEE">
      <w:pPr>
        <w:widowControl w:val="0"/>
        <w:wordWrap/>
        <w:adjustRightInd w:val="0"/>
        <w:snapToGrid w:val="0"/>
        <w:spacing w:line="600" w:lineRule="exact"/>
        <w:jc w:val="center"/>
        <w:textAlignment w:val="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14:paraId="3ED48E45">
      <w:pPr>
        <w:widowControl w:val="0"/>
        <w:wordWrap/>
        <w:adjustRightInd w:val="0"/>
        <w:spacing w:line="600" w:lineRule="exact"/>
        <w:textAlignment w:val="auto"/>
        <w:rPr>
          <w:rFonts w:hint="eastAsia" w:ascii="宋体" w:hAnsi="宋体" w:eastAsia="宋体" w:cs="宋体"/>
          <w:b/>
          <w:sz w:val="24"/>
          <w:szCs w:val="24"/>
          <w:highlight w:val="none"/>
        </w:rPr>
      </w:pPr>
      <w:bookmarkStart w:id="13" w:name="_Toc91899903"/>
      <w:r>
        <w:rPr>
          <w:rFonts w:hint="eastAsia" w:ascii="宋体" w:hAnsi="宋体" w:cs="宋体"/>
          <w:b/>
          <w:sz w:val="24"/>
          <w:szCs w:val="24"/>
          <w:highlight w:val="none"/>
          <w:lang w:val="en-US" w:eastAsia="zh-CN"/>
        </w:rPr>
        <w:t xml:space="preserve">   </w:t>
      </w:r>
      <w:r>
        <w:rPr>
          <w:rFonts w:hint="eastAsia" w:ascii="宋体" w:hAnsi="宋体" w:eastAsia="宋体" w:cs="宋体"/>
          <w:b/>
          <w:sz w:val="24"/>
          <w:szCs w:val="24"/>
          <w:highlight w:val="none"/>
        </w:rPr>
        <w:t>21.</w:t>
      </w:r>
      <w:r>
        <w:rPr>
          <w:rFonts w:hint="eastAsia" w:ascii="宋体" w:hAnsi="宋体" w:eastAsia="宋体" w:cs="宋体"/>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szCs w:val="24"/>
          <w:highlight w:val="none"/>
        </w:rPr>
        <w:t>详见招标文件第四部分评标办法。</w:t>
      </w:r>
    </w:p>
    <w:p w14:paraId="7776EA24">
      <w:pPr>
        <w:spacing w:line="360" w:lineRule="auto"/>
        <w:rPr>
          <w:rFonts w:hint="eastAsia" w:ascii="宋体" w:hAnsi="宋体" w:eastAsia="宋体" w:cs="宋体"/>
          <w:b/>
          <w:sz w:val="24"/>
          <w:highlight w:val="none"/>
        </w:rPr>
      </w:pPr>
    </w:p>
    <w:p w14:paraId="56488A79">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14:paraId="00193F5F">
      <w:pPr>
        <w:pStyle w:val="24"/>
        <w:wordWrap/>
        <w:adjustRightInd w:val="0"/>
        <w:spacing w:line="600" w:lineRule="exact"/>
        <w:ind w:left="479" w:hanging="479" w:hangingChars="199"/>
        <w:textAlignment w:val="auto"/>
        <w:rPr>
          <w:rFonts w:hint="eastAsia" w:ascii="宋体" w:hAnsi="宋体" w:eastAsia="宋体" w:cs="宋体"/>
          <w:b/>
          <w:highlight w:val="none"/>
        </w:rPr>
      </w:pPr>
      <w:r>
        <w:rPr>
          <w:rFonts w:hint="eastAsia" w:cs="宋体"/>
          <w:b/>
          <w:highlight w:val="none"/>
          <w:lang w:val="en-US" w:eastAsia="zh-CN"/>
        </w:rPr>
        <w:t xml:space="preserve">   </w:t>
      </w:r>
      <w:r>
        <w:rPr>
          <w:rFonts w:hint="eastAsia" w:ascii="宋体" w:hAnsi="宋体" w:eastAsia="宋体" w:cs="宋体"/>
          <w:b/>
          <w:highlight w:val="none"/>
        </w:rPr>
        <w:t>22. 确定中标供应商</w:t>
      </w:r>
    </w:p>
    <w:p w14:paraId="77B73428">
      <w:pPr>
        <w:pStyle w:val="86"/>
        <w:wordWrap/>
        <w:adjustRightInd w:val="0"/>
        <w:snapToGrid w:val="0"/>
        <w:spacing w:before="0" w:line="600" w:lineRule="exact"/>
        <w:ind w:firstLine="480"/>
        <w:textAlignment w:val="auto"/>
        <w:rPr>
          <w:rFonts w:hint="eastAsia" w:ascii="宋体" w:hAnsi="宋体" w:eastAsia="宋体" w:cs="宋体"/>
          <w:b/>
          <w:szCs w:val="24"/>
          <w:highlight w:val="none"/>
        </w:rPr>
      </w:pPr>
      <w:r>
        <w:rPr>
          <w:rFonts w:hint="eastAsia" w:ascii="宋体" w:hAnsi="宋体" w:eastAsia="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69BEE93">
      <w:pPr>
        <w:pStyle w:val="86"/>
        <w:wordWrap/>
        <w:adjustRightInd w:val="0"/>
        <w:snapToGrid w:val="0"/>
        <w:spacing w:before="0" w:line="600" w:lineRule="exact"/>
        <w:ind w:firstLine="0" w:firstLineChars="0"/>
        <w:textAlignment w:val="auto"/>
        <w:rPr>
          <w:rFonts w:hint="eastAsia" w:ascii="宋体" w:hAnsi="宋体" w:eastAsia="宋体" w:cs="宋体"/>
          <w:b/>
          <w:szCs w:val="24"/>
          <w:highlight w:val="none"/>
        </w:rPr>
      </w:pPr>
      <w:r>
        <w:rPr>
          <w:rFonts w:hint="eastAsia" w:ascii="宋体" w:hAnsi="宋体" w:cs="宋体"/>
          <w:b/>
          <w:szCs w:val="24"/>
          <w:highlight w:val="none"/>
          <w:lang w:val="en-US" w:eastAsia="zh-CN"/>
        </w:rPr>
        <w:t xml:space="preserve">   </w:t>
      </w:r>
      <w:r>
        <w:rPr>
          <w:rFonts w:hint="eastAsia" w:ascii="宋体" w:hAnsi="宋体" w:eastAsia="宋体" w:cs="宋体"/>
          <w:b/>
          <w:szCs w:val="24"/>
          <w:highlight w:val="none"/>
        </w:rPr>
        <w:t>23. 中标通知与中标结果公告</w:t>
      </w:r>
    </w:p>
    <w:p w14:paraId="7B5EFBE1">
      <w:pPr>
        <w:widowControl w:val="0"/>
        <w:wordWrap/>
        <w:adjustRightInd w:val="0"/>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23.1自中标人确定之日起2个工作日内，采购代理机构通过电子交易平台向中标人发出中标通知书，同时编制发布采购结果公告。采购代理机构也可以以纸质形式进行中标通知。</w:t>
      </w:r>
    </w:p>
    <w:p w14:paraId="65A8E396">
      <w:pPr>
        <w:widowControl w:val="0"/>
        <w:wordWrap/>
        <w:adjustRightInd w:val="0"/>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sz w:val="24"/>
          <w:szCs w:val="24"/>
          <w:highlight w:val="none"/>
          <w:lang w:val="en-US" w:eastAsia="zh-CN"/>
        </w:rPr>
        <w:t>资格审查情况、评审专家抽取规则、符合性审查情况、</w:t>
      </w:r>
      <w:bookmarkEnd w:id="14"/>
      <w:r>
        <w:rPr>
          <w:rFonts w:hint="eastAsia" w:ascii="宋体" w:hAnsi="宋体" w:eastAsia="宋体" w:cs="宋体"/>
          <w:sz w:val="24"/>
          <w:szCs w:val="24"/>
          <w:highlight w:val="none"/>
          <w:lang w:val="en-US" w:eastAsia="zh-CN"/>
        </w:rPr>
        <w:t>未中标情况说明、中标公告期限以及评审专家名单、评分汇总及明细。</w:t>
      </w:r>
    </w:p>
    <w:p w14:paraId="4F6908AF">
      <w:pPr>
        <w:widowControl w:val="0"/>
        <w:wordWrap/>
        <w:adjustRightInd w:val="0"/>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23.3公告期限为1个工作日。</w:t>
      </w:r>
    </w:p>
    <w:p w14:paraId="0615B2EF">
      <w:pPr>
        <w:snapToGrid w:val="0"/>
        <w:spacing w:line="360" w:lineRule="auto"/>
        <w:ind w:left="120" w:leftChars="57" w:firstLine="482" w:firstLineChars="150"/>
        <w:jc w:val="center"/>
        <w:rPr>
          <w:rFonts w:hint="eastAsia" w:ascii="宋体" w:hAnsi="宋体" w:eastAsia="宋体" w:cs="宋体"/>
          <w:b/>
          <w:sz w:val="32"/>
          <w:highlight w:val="none"/>
        </w:rPr>
      </w:pPr>
    </w:p>
    <w:p w14:paraId="62065F4E">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七、合同授予</w:t>
      </w:r>
    </w:p>
    <w:p w14:paraId="79CF1A68">
      <w:pPr>
        <w:pStyle w:val="24"/>
        <w:wordWrap/>
        <w:spacing w:line="600" w:lineRule="exact"/>
        <w:ind w:left="479" w:hanging="479" w:hangingChars="199"/>
        <w:textAlignment w:val="auto"/>
        <w:rPr>
          <w:rFonts w:hint="eastAsia" w:ascii="宋体" w:hAnsi="宋体" w:eastAsia="宋体" w:cs="宋体"/>
          <w:b/>
          <w:sz w:val="24"/>
          <w:szCs w:val="24"/>
          <w:highlight w:val="none"/>
        </w:rPr>
      </w:pPr>
      <w:r>
        <w:rPr>
          <w:rFonts w:hint="eastAsia" w:cs="宋体"/>
          <w:b/>
          <w:sz w:val="24"/>
          <w:szCs w:val="24"/>
          <w:highlight w:val="none"/>
          <w:lang w:val="en-US" w:eastAsia="zh-CN"/>
        </w:rPr>
        <w:t xml:space="preserve">   </w:t>
      </w:r>
      <w:r>
        <w:rPr>
          <w:rFonts w:hint="eastAsia" w:ascii="宋体" w:hAnsi="宋体" w:eastAsia="宋体" w:cs="宋体"/>
          <w:b/>
          <w:sz w:val="24"/>
          <w:szCs w:val="24"/>
          <w:highlight w:val="none"/>
        </w:rPr>
        <w:t xml:space="preserve">24. </w:t>
      </w:r>
      <w:r>
        <w:rPr>
          <w:rFonts w:hint="eastAsia" w:ascii="宋体" w:hAnsi="宋体" w:eastAsia="宋体" w:cs="宋体"/>
          <w:sz w:val="24"/>
          <w:szCs w:val="24"/>
          <w:highlight w:val="none"/>
        </w:rPr>
        <w:t>合同主要条款详见第五部分拟签订的合同文本。</w:t>
      </w:r>
    </w:p>
    <w:p w14:paraId="44ABD8F5">
      <w:pPr>
        <w:pStyle w:val="24"/>
        <w:wordWrap/>
        <w:spacing w:line="600" w:lineRule="exact"/>
        <w:ind w:left="479" w:hanging="479" w:hangingChars="199"/>
        <w:textAlignment w:val="auto"/>
        <w:rPr>
          <w:rFonts w:hint="eastAsia" w:ascii="宋体" w:hAnsi="宋体" w:eastAsia="宋体" w:cs="宋体"/>
          <w:b/>
          <w:sz w:val="24"/>
          <w:szCs w:val="24"/>
          <w:highlight w:val="none"/>
        </w:rPr>
      </w:pPr>
      <w:r>
        <w:rPr>
          <w:rFonts w:hint="eastAsia" w:cs="宋体"/>
          <w:b/>
          <w:sz w:val="24"/>
          <w:szCs w:val="24"/>
          <w:highlight w:val="none"/>
          <w:lang w:val="en-US" w:eastAsia="zh-CN"/>
        </w:rPr>
        <w:t xml:space="preserve">   </w:t>
      </w:r>
      <w:r>
        <w:rPr>
          <w:rFonts w:hint="eastAsia" w:ascii="宋体" w:hAnsi="宋体" w:eastAsia="宋体" w:cs="宋体"/>
          <w:b/>
          <w:sz w:val="24"/>
          <w:szCs w:val="24"/>
          <w:highlight w:val="none"/>
        </w:rPr>
        <w:t>25. 合同的签订</w:t>
      </w:r>
    </w:p>
    <w:p w14:paraId="60BCCD4C">
      <w:pPr>
        <w:widowControl w:val="0"/>
        <w:wordWrap/>
        <w:adjustRightInd w:val="0"/>
        <w:snapToGrid/>
        <w:spacing w:line="6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BAE4092">
      <w:pPr>
        <w:pStyle w:val="86"/>
        <w:wordWrap/>
        <w:snapToGrid w:val="0"/>
        <w:spacing w:before="0" w:line="600" w:lineRule="exact"/>
        <w:ind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899B039">
      <w:pPr>
        <w:pStyle w:val="86"/>
        <w:wordWrap/>
        <w:snapToGrid w:val="0"/>
        <w:spacing w:before="0" w:line="60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25.3如签订合同并生效后，供应商无故拒绝或延期，除按照合同条款处理外，列入不良行为记录一次，并给予通报。</w:t>
      </w:r>
    </w:p>
    <w:p w14:paraId="2A60A458">
      <w:pPr>
        <w:pStyle w:val="86"/>
        <w:wordWrap/>
        <w:snapToGrid w:val="0"/>
        <w:spacing w:before="0" w:line="60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2F762D90">
      <w:pPr>
        <w:pStyle w:val="86"/>
        <w:wordWrap/>
        <w:snapToGrid w:val="0"/>
        <w:spacing w:before="0" w:after="120" w:line="60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25.5采购合同由采购人与中标供应商根据招标文件、投标文件等内容通过政府采购电子交易平台在线签订，自动备案。</w:t>
      </w:r>
    </w:p>
    <w:p w14:paraId="3D7C9026">
      <w:pPr>
        <w:pStyle w:val="24"/>
        <w:wordWrap/>
        <w:spacing w:line="600" w:lineRule="exact"/>
        <w:ind w:left="479" w:hanging="479" w:hangingChars="199"/>
        <w:textAlignment w:val="auto"/>
        <w:rPr>
          <w:rFonts w:hint="eastAsia" w:ascii="宋体" w:hAnsi="宋体" w:eastAsia="宋体" w:cs="宋体"/>
          <w:b/>
          <w:sz w:val="24"/>
          <w:szCs w:val="24"/>
          <w:highlight w:val="none"/>
        </w:rPr>
      </w:pPr>
      <w:r>
        <w:rPr>
          <w:rFonts w:hint="eastAsia" w:cs="宋体"/>
          <w:b/>
          <w:sz w:val="24"/>
          <w:szCs w:val="24"/>
          <w:highlight w:val="none"/>
          <w:lang w:val="en-US" w:eastAsia="zh-CN"/>
        </w:rPr>
        <w:t xml:space="preserve">   </w:t>
      </w:r>
      <w:r>
        <w:rPr>
          <w:rFonts w:hint="eastAsia" w:ascii="宋体" w:hAnsi="宋体" w:eastAsia="宋体" w:cs="宋体"/>
          <w:b/>
          <w:sz w:val="24"/>
          <w:szCs w:val="24"/>
          <w:highlight w:val="none"/>
        </w:rPr>
        <w:t>26. 履约保证金</w:t>
      </w:r>
    </w:p>
    <w:p w14:paraId="52948CD7">
      <w:pPr>
        <w:tabs>
          <w:tab w:val="left" w:pos="0"/>
        </w:tabs>
        <w:wordWrap/>
        <w:spacing w:line="600" w:lineRule="exact"/>
        <w:ind w:firstLine="482"/>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284840F">
      <w:pPr>
        <w:pStyle w:val="3"/>
        <w:wordWrap/>
        <w:spacing w:line="600" w:lineRule="exact"/>
        <w:ind w:left="0" w:firstLine="480" w:firstLineChars="200"/>
        <w:textAlignment w:val="auto"/>
        <w:rPr>
          <w:rFonts w:hint="eastAsia" w:ascii="宋体" w:hAnsi="宋体" w:eastAsia="宋体" w:cs="宋体"/>
          <w:b w:val="0"/>
          <w:bCs w:val="0"/>
          <w:snapToGrid w:val="0"/>
          <w:kern w:val="28"/>
          <w:sz w:val="24"/>
          <w:szCs w:val="24"/>
          <w:highlight w:val="none"/>
        </w:rPr>
      </w:pPr>
      <w:r>
        <w:rPr>
          <w:rFonts w:hint="eastAsia" w:ascii="宋体" w:hAnsi="宋体" w:eastAsia="宋体" w:cs="宋体"/>
          <w:b w:val="0"/>
          <w:bCs w:val="0"/>
          <w:snapToGrid w:val="0"/>
          <w:kern w:val="28"/>
          <w:sz w:val="24"/>
          <w:szCs w:val="24"/>
          <w:highlight w:val="none"/>
        </w:rPr>
        <w:t>供应商</w:t>
      </w:r>
      <w:r>
        <w:rPr>
          <w:rFonts w:hint="eastAsia" w:ascii="宋体" w:hAnsi="宋体" w:eastAsia="宋体" w:cs="宋体"/>
          <w:b w:val="0"/>
          <w:bCs w:val="0"/>
          <w:snapToGrid w:val="0"/>
          <w:kern w:val="28"/>
          <w:sz w:val="24"/>
          <w:szCs w:val="24"/>
          <w:highlight w:val="none"/>
          <w:lang w:val="en-US"/>
        </w:rPr>
        <w:t>可</w:t>
      </w:r>
      <w:r>
        <w:rPr>
          <w:rFonts w:hint="eastAsia" w:ascii="宋体" w:hAnsi="宋体" w:eastAsia="宋体" w:cs="宋体"/>
          <w:b w:val="0"/>
          <w:bCs w:val="0"/>
          <w:snapToGrid w:val="0"/>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E628F67">
      <w:pPr>
        <w:pStyle w:val="3"/>
        <w:wordWrap/>
        <w:spacing w:line="60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lang w:val="en-US"/>
        </w:rPr>
        <w:t>27.预付款</w:t>
      </w:r>
    </w:p>
    <w:p w14:paraId="442FA725">
      <w:pPr>
        <w:wordWrap/>
        <w:adjustRightInd/>
        <w:spacing w:line="600" w:lineRule="exact"/>
        <w:ind w:firstLine="480" w:firstLineChars="200"/>
        <w:textAlignment w:val="auto"/>
        <w:rPr>
          <w:rFonts w:hint="eastAsia" w:ascii="宋体" w:hAnsi="宋体" w:eastAsia="宋体" w:cs="宋体"/>
          <w:highlight w:val="none"/>
        </w:rPr>
      </w:pPr>
      <w:r>
        <w:rPr>
          <w:rFonts w:hint="eastAsia" w:ascii="宋体" w:hAnsi="宋体" w:eastAsia="宋体" w:cs="宋体"/>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7DD97B1">
      <w:pPr>
        <w:rPr>
          <w:rFonts w:hint="eastAsia" w:ascii="宋体" w:hAnsi="宋体" w:eastAsia="宋体" w:cs="宋体"/>
          <w:highlight w:val="none"/>
        </w:rPr>
      </w:pPr>
    </w:p>
    <w:p w14:paraId="2A10296D">
      <w:pPr>
        <w:snapToGrid w:val="0"/>
        <w:spacing w:line="360" w:lineRule="auto"/>
        <w:ind w:firstLine="3357" w:firstLineChars="1045"/>
        <w:rPr>
          <w:rFonts w:hint="eastAsia" w:ascii="宋体" w:hAnsi="宋体" w:eastAsia="宋体" w:cs="宋体"/>
          <w:b/>
          <w:sz w:val="32"/>
          <w:highlight w:val="none"/>
        </w:rPr>
      </w:pPr>
    </w:p>
    <w:p w14:paraId="6D81A54C">
      <w:pPr>
        <w:snapToGrid w:val="0"/>
        <w:spacing w:line="360" w:lineRule="auto"/>
        <w:ind w:firstLine="3357" w:firstLineChars="1045"/>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14:paraId="1305CE3D">
      <w:pPr>
        <w:pStyle w:val="86"/>
        <w:widowControl w:val="0"/>
        <w:wordWrap/>
        <w:adjustRightInd w:val="0"/>
        <w:snapToGrid w:val="0"/>
        <w:spacing w:before="0" w:line="600" w:lineRule="exact"/>
        <w:ind w:firstLine="0" w:firstLineChars="0"/>
        <w:textAlignment w:val="auto"/>
        <w:rPr>
          <w:rFonts w:hint="eastAsia" w:ascii="宋体" w:hAnsi="宋体" w:eastAsia="宋体" w:cs="宋体"/>
          <w:highlight w:val="none"/>
        </w:rPr>
      </w:pPr>
      <w:r>
        <w:rPr>
          <w:rFonts w:hint="eastAsia" w:ascii="宋体" w:hAnsi="宋体" w:cs="宋体"/>
          <w:b/>
          <w:bCs/>
          <w:sz w:val="24"/>
          <w:szCs w:val="20"/>
          <w:highlight w:val="none"/>
          <w:lang w:val="en-US" w:eastAsia="zh-CN"/>
        </w:rPr>
        <w:t xml:space="preserve">   </w:t>
      </w:r>
      <w:r>
        <w:rPr>
          <w:rFonts w:hint="eastAsia" w:ascii="宋体" w:hAnsi="宋体" w:eastAsia="宋体" w:cs="宋体"/>
          <w:b/>
          <w:bCs/>
          <w:sz w:val="24"/>
          <w:szCs w:val="20"/>
          <w:highlight w:val="none"/>
        </w:rPr>
        <w:t>2</w:t>
      </w:r>
      <w:r>
        <w:rPr>
          <w:rFonts w:hint="eastAsia" w:ascii="宋体" w:hAnsi="宋体" w:eastAsia="宋体" w:cs="宋体"/>
          <w:b/>
          <w:bCs/>
          <w:sz w:val="24"/>
          <w:szCs w:val="24"/>
          <w:highlight w:val="none"/>
        </w:rPr>
        <w:t>8</w:t>
      </w:r>
      <w:r>
        <w:rPr>
          <w:rFonts w:hint="eastAsia" w:ascii="宋体" w:hAnsi="宋体" w:eastAsia="宋体" w:cs="宋体"/>
          <w:b/>
          <w:szCs w:val="24"/>
          <w:highlight w:val="none"/>
        </w:rPr>
        <w:t>. 电子交易活动的中止。</w:t>
      </w:r>
      <w:r>
        <w:rPr>
          <w:rFonts w:hint="eastAsia" w:ascii="宋体" w:hAnsi="宋体" w:eastAsia="宋体" w:cs="宋体"/>
          <w:highlight w:val="none"/>
        </w:rPr>
        <w:t>采购过程中出现以下情形，导致电子交易平台无法正常运行，或者无法保证电子交易的公平、公正和安全时，</w:t>
      </w:r>
      <w:r>
        <w:rPr>
          <w:rFonts w:hint="eastAsia" w:ascii="宋体" w:hAnsi="宋体" w:eastAsia="宋体" w:cs="宋体"/>
          <w:highlight w:val="none"/>
          <w:lang w:eastAsia="zh-CN"/>
        </w:rPr>
        <w:t>采购代理机构</w:t>
      </w:r>
      <w:r>
        <w:rPr>
          <w:rFonts w:hint="eastAsia" w:ascii="宋体" w:hAnsi="宋体" w:eastAsia="宋体" w:cs="宋体"/>
          <w:highlight w:val="none"/>
        </w:rPr>
        <w:t>可中止电子交易活动：</w:t>
      </w:r>
    </w:p>
    <w:p w14:paraId="7C3AC4FF">
      <w:pPr>
        <w:pStyle w:val="86"/>
        <w:widowControl w:val="0"/>
        <w:wordWrap/>
        <w:adjustRightInd w:val="0"/>
        <w:snapToGrid w:val="0"/>
        <w:spacing w:before="0" w:line="600" w:lineRule="exact"/>
        <w:ind w:firstLine="480"/>
        <w:textAlignment w:val="auto"/>
        <w:rPr>
          <w:rFonts w:hint="eastAsia" w:ascii="宋体" w:hAnsi="宋体" w:eastAsia="宋体" w:cs="宋体"/>
          <w:highlight w:val="none"/>
        </w:rPr>
      </w:pPr>
      <w:r>
        <w:rPr>
          <w:rFonts w:hint="eastAsia" w:ascii="宋体" w:hAnsi="宋体" w:eastAsia="宋体" w:cs="宋体"/>
          <w:highlight w:val="none"/>
        </w:rPr>
        <w:t xml:space="preserve">28.1电子交易平台发生故障而无法登录访问的； </w:t>
      </w:r>
    </w:p>
    <w:p w14:paraId="70336901">
      <w:pPr>
        <w:pStyle w:val="86"/>
        <w:widowControl w:val="0"/>
        <w:wordWrap/>
        <w:adjustRightInd w:val="0"/>
        <w:snapToGrid w:val="0"/>
        <w:spacing w:before="0" w:line="600" w:lineRule="exact"/>
        <w:ind w:firstLine="480"/>
        <w:textAlignment w:val="auto"/>
        <w:rPr>
          <w:rFonts w:hint="eastAsia" w:ascii="宋体" w:hAnsi="宋体" w:eastAsia="宋体" w:cs="宋体"/>
          <w:highlight w:val="none"/>
        </w:rPr>
      </w:pPr>
      <w:r>
        <w:rPr>
          <w:rFonts w:hint="eastAsia" w:ascii="宋体" w:hAnsi="宋体" w:eastAsia="宋体" w:cs="宋体"/>
          <w:highlight w:val="none"/>
        </w:rPr>
        <w:t>28.2电子交易平台应用或数据库出现错误，不能进行正常操作的；</w:t>
      </w:r>
    </w:p>
    <w:p w14:paraId="184D3A0E">
      <w:pPr>
        <w:pStyle w:val="86"/>
        <w:widowControl w:val="0"/>
        <w:wordWrap/>
        <w:adjustRightInd w:val="0"/>
        <w:snapToGrid w:val="0"/>
        <w:spacing w:before="0" w:line="600" w:lineRule="exact"/>
        <w:ind w:firstLine="480"/>
        <w:textAlignment w:val="auto"/>
        <w:rPr>
          <w:rFonts w:hint="eastAsia" w:ascii="宋体" w:hAnsi="宋体" w:eastAsia="宋体" w:cs="宋体"/>
          <w:highlight w:val="none"/>
        </w:rPr>
      </w:pPr>
      <w:r>
        <w:rPr>
          <w:rFonts w:hint="eastAsia" w:ascii="宋体" w:hAnsi="宋体" w:eastAsia="宋体" w:cs="宋体"/>
          <w:highlight w:val="none"/>
        </w:rPr>
        <w:t>28.3电子交易平台发现严重安全漏洞，有潜在泄密危险的；</w:t>
      </w:r>
    </w:p>
    <w:p w14:paraId="77F07627">
      <w:pPr>
        <w:pStyle w:val="86"/>
        <w:widowControl w:val="0"/>
        <w:wordWrap/>
        <w:adjustRightInd w:val="0"/>
        <w:snapToGrid w:val="0"/>
        <w:spacing w:before="0" w:line="600" w:lineRule="exact"/>
        <w:ind w:firstLine="480"/>
        <w:textAlignment w:val="auto"/>
        <w:rPr>
          <w:rFonts w:hint="eastAsia" w:ascii="宋体" w:hAnsi="宋体" w:eastAsia="宋体" w:cs="宋体"/>
          <w:highlight w:val="none"/>
        </w:rPr>
      </w:pPr>
      <w:r>
        <w:rPr>
          <w:rFonts w:hint="eastAsia" w:ascii="宋体" w:hAnsi="宋体" w:eastAsia="宋体" w:cs="宋体"/>
          <w:highlight w:val="none"/>
        </w:rPr>
        <w:t xml:space="preserve">28.4病毒发作导致不能进行正常操作的； </w:t>
      </w:r>
    </w:p>
    <w:p w14:paraId="3A3C47BE">
      <w:pPr>
        <w:pStyle w:val="86"/>
        <w:widowControl w:val="0"/>
        <w:wordWrap/>
        <w:adjustRightInd w:val="0"/>
        <w:snapToGrid w:val="0"/>
        <w:spacing w:before="0" w:line="600" w:lineRule="exact"/>
        <w:ind w:firstLine="480"/>
        <w:textAlignment w:val="auto"/>
        <w:rPr>
          <w:rFonts w:hint="eastAsia" w:ascii="宋体" w:hAnsi="宋体" w:eastAsia="宋体" w:cs="宋体"/>
          <w:highlight w:val="none"/>
        </w:rPr>
      </w:pPr>
      <w:r>
        <w:rPr>
          <w:rFonts w:hint="eastAsia" w:ascii="宋体" w:hAnsi="宋体" w:eastAsia="宋体" w:cs="宋体"/>
          <w:highlight w:val="none"/>
        </w:rPr>
        <w:t>28.5其他无法保证电子交易的公平、公正和安全的情况。</w:t>
      </w:r>
    </w:p>
    <w:p w14:paraId="34A756B5">
      <w:pPr>
        <w:pStyle w:val="86"/>
        <w:widowControl w:val="0"/>
        <w:wordWrap/>
        <w:adjustRightInd w:val="0"/>
        <w:snapToGrid w:val="0"/>
        <w:spacing w:before="0" w:line="60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cs="宋体"/>
          <w:highlight w:val="none"/>
          <w:lang w:val="en-US" w:eastAsia="zh-CN"/>
        </w:rPr>
        <w:t xml:space="preserve">  </w:t>
      </w:r>
      <w:r>
        <w:rPr>
          <w:rFonts w:hint="eastAsia" w:ascii="宋体" w:hAnsi="宋体" w:eastAsia="宋体" w:cs="宋体"/>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4ACACC1C">
      <w:pPr>
        <w:tabs>
          <w:tab w:val="left" w:pos="0"/>
        </w:tabs>
        <w:spacing w:line="360" w:lineRule="auto"/>
        <w:ind w:firstLine="480"/>
        <w:rPr>
          <w:rFonts w:hint="eastAsia" w:ascii="宋体" w:hAnsi="宋体" w:eastAsia="宋体" w:cs="宋体"/>
          <w:sz w:val="24"/>
          <w:highlight w:val="none"/>
        </w:rPr>
      </w:pPr>
    </w:p>
    <w:p w14:paraId="363D915B">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九、验收</w:t>
      </w:r>
    </w:p>
    <w:p w14:paraId="77876DB1">
      <w:pPr>
        <w:pStyle w:val="24"/>
        <w:widowControl w:val="0"/>
        <w:wordWrap/>
        <w:adjustRightInd w:val="0"/>
        <w:snapToGrid/>
        <w:spacing w:line="600" w:lineRule="exact"/>
        <w:ind w:firstLine="0" w:firstLineChars="0"/>
        <w:textAlignment w:val="auto"/>
        <w:rPr>
          <w:rFonts w:hint="eastAsia" w:ascii="宋体" w:hAnsi="宋体" w:eastAsia="宋体" w:cs="宋体"/>
          <w:b/>
          <w:highlight w:val="none"/>
        </w:rPr>
      </w:pPr>
      <w:r>
        <w:rPr>
          <w:rFonts w:hint="eastAsia" w:cs="宋体"/>
          <w:b/>
          <w:highlight w:val="none"/>
          <w:lang w:val="en-US" w:eastAsia="zh-CN"/>
        </w:rPr>
        <w:t xml:space="preserve">   </w:t>
      </w:r>
      <w:r>
        <w:rPr>
          <w:rFonts w:hint="eastAsia" w:ascii="宋体" w:hAnsi="宋体" w:eastAsia="宋体" w:cs="宋体"/>
          <w:b/>
          <w:highlight w:val="none"/>
        </w:rPr>
        <w:t>30.验收</w:t>
      </w:r>
    </w:p>
    <w:p w14:paraId="07042ECC">
      <w:pPr>
        <w:widowControl w:val="0"/>
        <w:tabs>
          <w:tab w:val="left" w:pos="0"/>
        </w:tabs>
        <w:wordWrap/>
        <w:adjustRightInd w:val="0"/>
        <w:snapToGrid/>
        <w:spacing w:line="600" w:lineRule="exact"/>
        <w:ind w:firstLine="48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4E99FF">
      <w:pPr>
        <w:widowControl w:val="0"/>
        <w:tabs>
          <w:tab w:val="left" w:pos="0"/>
        </w:tabs>
        <w:wordWrap/>
        <w:adjustRightInd w:val="0"/>
        <w:snapToGrid/>
        <w:spacing w:line="600" w:lineRule="exact"/>
        <w:ind w:firstLine="48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30.2采购人可以邀请参加本项目的其他投标人或者第三方机构参与验收。参与验收的投标人或者第三方机构的意见作为验收书的参考资料一并存档。</w:t>
      </w:r>
    </w:p>
    <w:p w14:paraId="2E3A2C1C">
      <w:pPr>
        <w:widowControl w:val="0"/>
        <w:tabs>
          <w:tab w:val="left" w:pos="0"/>
        </w:tabs>
        <w:wordWrap/>
        <w:adjustRightInd w:val="0"/>
        <w:snapToGrid/>
        <w:spacing w:line="600" w:lineRule="exact"/>
        <w:ind w:firstLine="48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CF38F71">
      <w:pPr>
        <w:widowControl w:val="0"/>
        <w:tabs>
          <w:tab w:val="left" w:pos="0"/>
        </w:tabs>
        <w:wordWrap/>
        <w:adjustRightInd w:val="0"/>
        <w:snapToGrid/>
        <w:spacing w:line="600" w:lineRule="exact"/>
        <w:ind w:firstLine="480"/>
        <w:textAlignment w:val="auto"/>
        <w:rPr>
          <w:rFonts w:hint="eastAsia" w:ascii="宋体" w:hAnsi="宋体" w:eastAsia="宋体" w:cs="宋体"/>
          <w:sz w:val="18"/>
          <w:szCs w:val="18"/>
          <w:highlight w:val="none"/>
        </w:rPr>
      </w:pPr>
      <w:r>
        <w:rPr>
          <w:rFonts w:hint="eastAsia" w:ascii="宋体" w:hAnsi="宋体" w:eastAsia="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85DFCD9">
      <w:pPr>
        <w:tabs>
          <w:tab w:val="left" w:pos="0"/>
        </w:tabs>
        <w:spacing w:line="360" w:lineRule="auto"/>
        <w:ind w:firstLine="480"/>
        <w:rPr>
          <w:rFonts w:hint="eastAsia" w:ascii="宋体" w:hAnsi="宋体" w:eastAsia="宋体" w:cs="宋体"/>
          <w:kern w:val="0"/>
          <w:sz w:val="24"/>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bookmarkStart w:id="15" w:name="_Hlt68072990"/>
      <w:bookmarkEnd w:id="15"/>
      <w:bookmarkStart w:id="16" w:name="_Hlt74707468"/>
      <w:bookmarkEnd w:id="16"/>
      <w:bookmarkStart w:id="17" w:name="_Hlt74714665"/>
      <w:bookmarkEnd w:id="17"/>
      <w:bookmarkStart w:id="18" w:name="_Hlt74730295"/>
      <w:bookmarkEnd w:id="18"/>
      <w:bookmarkStart w:id="19" w:name="_Hlt75236011"/>
      <w:bookmarkEnd w:id="19"/>
      <w:bookmarkStart w:id="20" w:name="_Hlt74729768"/>
      <w:bookmarkEnd w:id="20"/>
      <w:bookmarkStart w:id="21" w:name="_Hlt75236101"/>
      <w:bookmarkEnd w:id="21"/>
      <w:bookmarkStart w:id="22" w:name="_Hlt68403820"/>
      <w:bookmarkEnd w:id="22"/>
      <w:bookmarkStart w:id="23" w:name="_Hlt68057669"/>
      <w:bookmarkEnd w:id="23"/>
      <w:bookmarkStart w:id="24" w:name="_Hlt68072998"/>
      <w:bookmarkEnd w:id="24"/>
      <w:bookmarkStart w:id="25" w:name="_Hlt75236290"/>
      <w:bookmarkEnd w:id="25"/>
      <w:bookmarkStart w:id="26" w:name="_Hlt68073093"/>
      <w:bookmarkEnd w:id="26"/>
    </w:p>
    <w:bookmarkEnd w:id="11"/>
    <w:bookmarkEnd w:id="12"/>
    <w:p w14:paraId="18368C01">
      <w:pPr>
        <w:spacing w:line="600" w:lineRule="exact"/>
        <w:jc w:val="center"/>
        <w:rPr>
          <w:rFonts w:ascii="宋体" w:hAnsi="宋体" w:cs="宋体"/>
          <w:b/>
          <w:sz w:val="28"/>
          <w:szCs w:val="28"/>
          <w:highlight w:val="none"/>
        </w:rPr>
      </w:pPr>
      <w:bookmarkStart w:id="27" w:name="第四部分"/>
      <w:r>
        <w:rPr>
          <w:rFonts w:hint="eastAsia" w:ascii="宋体" w:hAnsi="宋体" w:cs="宋体"/>
          <w:b/>
          <w:sz w:val="28"/>
          <w:szCs w:val="28"/>
          <w:highlight w:val="none"/>
        </w:rPr>
        <w:t>第三部分   采购需求</w:t>
      </w:r>
    </w:p>
    <w:p w14:paraId="2ECA46DD">
      <w:pPr>
        <w:spacing w:before="120" w:beforeLines="50" w:line="600" w:lineRule="exact"/>
        <w:rPr>
          <w:rFonts w:ascii="宋体" w:hAnsi="宋体"/>
          <w:b/>
          <w:sz w:val="24"/>
          <w:highlight w:val="none"/>
        </w:rPr>
      </w:pPr>
      <w:r>
        <w:rPr>
          <w:rFonts w:hint="eastAsia" w:ascii="宋体" w:hAnsi="宋体"/>
          <w:b/>
          <w:sz w:val="24"/>
          <w:highlight w:val="none"/>
        </w:rPr>
        <w:t>一、项目概述</w:t>
      </w:r>
    </w:p>
    <w:p w14:paraId="196B5FDA">
      <w:pPr>
        <w:snapToGrid w:val="0"/>
        <w:spacing w:line="600" w:lineRule="exact"/>
        <w:ind w:firstLine="480" w:firstLineChars="200"/>
        <w:rPr>
          <w:rFonts w:ascii="宋体" w:hAnsi="宋体"/>
          <w:sz w:val="24"/>
          <w:highlight w:val="none"/>
        </w:rPr>
      </w:pPr>
      <w:r>
        <w:rPr>
          <w:rFonts w:hint="eastAsia" w:ascii="宋体" w:hAnsi="宋体" w:eastAsia="宋体" w:cs="宋体"/>
          <w:kern w:val="2"/>
          <w:sz w:val="24"/>
          <w:szCs w:val="24"/>
          <w:highlight w:val="none"/>
          <w:lang w:val="en-US" w:eastAsia="zh-CN"/>
        </w:rPr>
        <w:t>本项目为“交钥匙”项目，采购内容包括</w:t>
      </w:r>
      <w:r>
        <w:rPr>
          <w:rFonts w:hint="eastAsia" w:ascii="宋体" w:hAnsi="宋体" w:cs="宋体"/>
          <w:i w:val="0"/>
          <w:iCs w:val="0"/>
          <w:caps w:val="0"/>
          <w:spacing w:val="0"/>
          <w:sz w:val="24"/>
          <w:szCs w:val="24"/>
          <w:highlight w:val="none"/>
          <w:lang w:eastAsia="zh-CN"/>
        </w:rPr>
        <w:t>2024年临平区运河街道高标准农田示范区建设-农田数字化、灌排数字化项目</w:t>
      </w:r>
      <w:r>
        <w:rPr>
          <w:rFonts w:hint="eastAsia" w:ascii="宋体" w:hAnsi="宋体" w:eastAsia="宋体" w:cs="宋体"/>
          <w:kern w:val="2"/>
          <w:sz w:val="24"/>
          <w:szCs w:val="24"/>
          <w:highlight w:val="none"/>
          <w:lang w:val="en-US" w:eastAsia="zh-CN"/>
        </w:rPr>
        <w:t>的采购、运输、安装、调试、培训和相关维护等。投标报价包括设备费、材料费、安装调试费用、招标代理费、验收费、监理费、税金、运输及运输保险费、质保期内维修保养费、特殊工具费、售后服务费、培训费、政策性文件规定及合同包含的所有风险。</w:t>
      </w:r>
    </w:p>
    <w:p w14:paraId="168B8259">
      <w:pPr>
        <w:snapToGrid w:val="0"/>
        <w:spacing w:line="600" w:lineRule="exact"/>
        <w:rPr>
          <w:rFonts w:hint="eastAsia" w:ascii="宋体" w:hAnsi="宋体"/>
          <w:b/>
          <w:bCs/>
          <w:sz w:val="24"/>
          <w:highlight w:val="none"/>
        </w:rPr>
      </w:pPr>
      <w:r>
        <w:rPr>
          <w:rFonts w:hint="eastAsia" w:ascii="宋体" w:hAnsi="宋体"/>
          <w:b/>
          <w:bCs/>
          <w:sz w:val="24"/>
          <w:highlight w:val="none"/>
        </w:rPr>
        <w:t>二、采购清单及技术参数：</w:t>
      </w:r>
    </w:p>
    <w:tbl>
      <w:tblPr>
        <w:tblStyle w:val="63"/>
        <w:tblW w:w="9358"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19"/>
        <w:gridCol w:w="1016"/>
        <w:gridCol w:w="809"/>
        <w:gridCol w:w="679"/>
        <w:gridCol w:w="5285"/>
      </w:tblGrid>
      <w:tr w14:paraId="56E8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0" w:type="dxa"/>
            <w:noWrap w:val="0"/>
            <w:vAlign w:val="center"/>
          </w:tcPr>
          <w:p w14:paraId="4F4BF344">
            <w:pPr>
              <w:widowControl/>
              <w:spacing w:line="40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序号</w:t>
            </w:r>
          </w:p>
        </w:tc>
        <w:tc>
          <w:tcPr>
            <w:tcW w:w="819" w:type="dxa"/>
            <w:noWrap w:val="0"/>
            <w:vAlign w:val="center"/>
          </w:tcPr>
          <w:p w14:paraId="748B571E">
            <w:pPr>
              <w:widowControl/>
              <w:spacing w:line="400" w:lineRule="exact"/>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项目名称</w:t>
            </w:r>
          </w:p>
        </w:tc>
        <w:tc>
          <w:tcPr>
            <w:tcW w:w="1016" w:type="dxa"/>
            <w:noWrap w:val="0"/>
            <w:vAlign w:val="center"/>
          </w:tcPr>
          <w:p w14:paraId="7F041C02">
            <w:pPr>
              <w:widowControl/>
              <w:spacing w:line="400" w:lineRule="exact"/>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rPr>
              <w:t>分项</w:t>
            </w:r>
          </w:p>
        </w:tc>
        <w:tc>
          <w:tcPr>
            <w:tcW w:w="809" w:type="dxa"/>
            <w:noWrap w:val="0"/>
            <w:vAlign w:val="center"/>
          </w:tcPr>
          <w:p w14:paraId="0EC978B5">
            <w:pPr>
              <w:widowControl/>
              <w:spacing w:line="400" w:lineRule="exact"/>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rPr>
              <w:t>单位</w:t>
            </w:r>
          </w:p>
        </w:tc>
        <w:tc>
          <w:tcPr>
            <w:tcW w:w="679" w:type="dxa"/>
            <w:noWrap w:val="0"/>
            <w:vAlign w:val="center"/>
          </w:tcPr>
          <w:p w14:paraId="356060AB">
            <w:pPr>
              <w:widowControl/>
              <w:spacing w:line="400" w:lineRule="exact"/>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rPr>
              <w:t>数量</w:t>
            </w:r>
          </w:p>
        </w:tc>
        <w:tc>
          <w:tcPr>
            <w:tcW w:w="5285" w:type="dxa"/>
            <w:noWrap w:val="0"/>
            <w:vAlign w:val="center"/>
          </w:tcPr>
          <w:p w14:paraId="0A9AECC3">
            <w:pPr>
              <w:widowControl/>
              <w:spacing w:line="400" w:lineRule="exact"/>
              <w:jc w:val="center"/>
              <w:textAlignment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sz w:val="21"/>
                <w:szCs w:val="21"/>
                <w:highlight w:val="none"/>
                <w:lang w:eastAsia="zh-CN"/>
              </w:rPr>
              <w:t>具体</w:t>
            </w:r>
            <w:r>
              <w:rPr>
                <w:rFonts w:hint="eastAsia" w:ascii="宋体" w:hAnsi="宋体" w:eastAsia="宋体" w:cs="宋体"/>
                <w:b/>
                <w:bCs/>
                <w:sz w:val="21"/>
                <w:szCs w:val="21"/>
                <w:highlight w:val="none"/>
              </w:rPr>
              <w:t>技术</w:t>
            </w:r>
            <w:r>
              <w:rPr>
                <w:rFonts w:hint="eastAsia" w:ascii="宋体" w:hAnsi="宋体" w:eastAsia="宋体" w:cs="宋体"/>
                <w:b/>
                <w:bCs/>
                <w:color w:val="auto"/>
                <w:kern w:val="0"/>
                <w:sz w:val="21"/>
                <w:szCs w:val="21"/>
                <w:highlight w:val="none"/>
                <w:lang w:val="en-US" w:eastAsia="zh-CN"/>
              </w:rPr>
              <w:t>参数</w:t>
            </w:r>
          </w:p>
        </w:tc>
      </w:tr>
      <w:tr w14:paraId="07E0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50" w:type="dxa"/>
            <w:noWrap w:val="0"/>
            <w:vAlign w:val="center"/>
          </w:tcPr>
          <w:p w14:paraId="503A2339">
            <w:pPr>
              <w:widowControl/>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19" w:type="dxa"/>
            <w:vMerge w:val="restart"/>
            <w:noWrap w:val="0"/>
            <w:vAlign w:val="center"/>
          </w:tcPr>
          <w:p w14:paraId="5EC7B9A4">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精准灌排工程</w:t>
            </w:r>
          </w:p>
        </w:tc>
        <w:tc>
          <w:tcPr>
            <w:tcW w:w="1016" w:type="dxa"/>
            <w:noWrap w:val="0"/>
            <w:vAlign w:val="center"/>
          </w:tcPr>
          <w:p w14:paraId="5961ACD8">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泵房智能控制柜</w:t>
            </w:r>
          </w:p>
        </w:tc>
        <w:tc>
          <w:tcPr>
            <w:tcW w:w="809" w:type="dxa"/>
            <w:noWrap w:val="0"/>
            <w:vAlign w:val="center"/>
          </w:tcPr>
          <w:p w14:paraId="422E6D8D">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679" w:type="dxa"/>
            <w:noWrap w:val="0"/>
            <w:vAlign w:val="center"/>
          </w:tcPr>
          <w:p w14:paraId="700AE93B">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285" w:type="dxa"/>
            <w:noWrap w:val="0"/>
            <w:vAlign w:val="center"/>
          </w:tcPr>
          <w:p w14:paraId="7DE9ACD2">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1.控制柜技术要求：</w:t>
            </w:r>
          </w:p>
          <w:p w14:paraId="5BCA1E75">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输入电压：AC220V/AC380V±20%,50Hz能正常工作；</w:t>
            </w:r>
          </w:p>
          <w:p w14:paraId="5D50D8C1">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外壳材质：铝合金，不锈钢(定制),防尘防静电；</w:t>
            </w:r>
          </w:p>
          <w:p w14:paraId="1731FDAB">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功耗：功率200mw，接收电流&lt;45mA,发射电流&lt;200mA,会自动进入休眠状态；</w:t>
            </w:r>
          </w:p>
          <w:p w14:paraId="2B67DF38">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面板功能：7寸触摸屏，安卓系统，查看数据配置传感器。运行指示灯、警告指示灯、启动按钮、停止按钮、手/自动切换按钮等；</w:t>
            </w:r>
          </w:p>
          <w:p w14:paraId="127752F6">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工作温度：-20℃~70℃；</w:t>
            </w:r>
          </w:p>
          <w:p w14:paraId="3B4FA7E4">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存储温度：-25℃~70℃；</w:t>
            </w:r>
          </w:p>
          <w:p w14:paraId="5D22FE5B">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工作湿度：≤98%RH(不结露)；</w:t>
            </w:r>
          </w:p>
          <w:p w14:paraId="41F18B3E">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数据存储：128Mbit内存，当采集间隔5分钟情况下，数据可缓存约600天的数据；</w:t>
            </w:r>
          </w:p>
          <w:p w14:paraId="624453BA">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讯：设备可通过网线、GPRS、4G、NBIOT的方式进行通讯，上传测量数据和远程设置功能。当出现网络故障时，后台将存储数据，网络恢复后，缓存数据将自动补发。数据收发转换自动完成，只要向接口收/发数据即可，转换时间短，自组网通信组合方式；</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eastAsia="zh-CN"/>
              </w:rPr>
              <w:t>投标文件中提供具有检验资质的第三方检测机构出具的带有CMA或CNAS标识的检测报告复印件</w:t>
            </w:r>
            <w:r>
              <w:rPr>
                <w:rFonts w:hint="eastAsia" w:ascii="宋体" w:hAnsi="宋体" w:eastAsia="宋体" w:cs="宋体"/>
                <w:b/>
                <w:bCs/>
                <w:color w:val="auto"/>
                <w:kern w:val="0"/>
                <w:sz w:val="21"/>
                <w:szCs w:val="21"/>
                <w:highlight w:val="none"/>
              </w:rPr>
              <w:t>）</w:t>
            </w:r>
          </w:p>
          <w:p w14:paraId="2E541C1C">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位置信息：内置GPS模块，实时采集GPS信息，设备位置信息上传到系统；</w:t>
            </w:r>
          </w:p>
          <w:p w14:paraId="4D1791F1">
            <w:pPr>
              <w:widowControl/>
              <w:spacing w:line="400" w:lineRule="exact"/>
              <w:jc w:val="left"/>
              <w:textAlignment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★异常报警：传感器数据超出预设的上限或下限、传感器被移位(内置GPS,移位超过100米),将通过手机或Web端进行报警，提醒用户处理异常情况，设备本身可以提供LED灯提示及语音提示；</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eastAsia="zh-CN"/>
              </w:rPr>
              <w:t>投标文件中提供具有检验资质的第三方检测机构出具的带有CMA或CNAS标识的检测报告复印件</w:t>
            </w:r>
            <w:r>
              <w:rPr>
                <w:rFonts w:hint="eastAsia" w:ascii="宋体" w:hAnsi="宋体" w:eastAsia="宋体" w:cs="宋体"/>
                <w:b/>
                <w:bCs/>
                <w:color w:val="auto"/>
                <w:kern w:val="0"/>
                <w:sz w:val="21"/>
                <w:szCs w:val="21"/>
                <w:highlight w:val="none"/>
              </w:rPr>
              <w:t>）</w:t>
            </w:r>
          </w:p>
          <w:p w14:paraId="611AA0C2">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★软件升级：系统支持从服务端后台对控制终端进行远程智能在线升级；</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eastAsia="zh-CN"/>
              </w:rPr>
              <w:t>投标文件中提供具有检验资质的第三方检测机构出具的带有CMA或CNAS标识的检测报告复印件</w:t>
            </w:r>
            <w:r>
              <w:rPr>
                <w:rFonts w:hint="eastAsia" w:ascii="宋体" w:hAnsi="宋体" w:eastAsia="宋体" w:cs="宋体"/>
                <w:b/>
                <w:bCs/>
                <w:color w:val="auto"/>
                <w:kern w:val="0"/>
                <w:sz w:val="21"/>
                <w:szCs w:val="21"/>
                <w:highlight w:val="none"/>
              </w:rPr>
              <w:t>）</w:t>
            </w:r>
          </w:p>
          <w:p w14:paraId="7E81A225">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网络：采用GFSK的调制方式，视距可靠传输距离可达2000m，载频490MHz，提供32个信道，接口/信道速率：1200/2400/4800/9600/19200/38400bps；</w:t>
            </w:r>
          </w:p>
          <w:p w14:paraId="07D7E74D">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控制对象：卷被/卷膜电机、上/下通风电机、灌溉设备（水泵、电磁阀等)、照明设备、雾化降温、天窗等；</w:t>
            </w:r>
          </w:p>
          <w:p w14:paraId="3F18836E">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控制路数：支持无线控制，16路继路器，最大扩容256路</w:t>
            </w:r>
          </w:p>
          <w:p w14:paraId="7EB26533">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★控制模式：控制模式包含：手/自动模式、定时模式、参数模式三种控制方式，可通过网页、客户端及APP等方式进行远程设置；</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eastAsia="zh-CN"/>
              </w:rPr>
              <w:t>投标文件中提供具有检验资质的第三方检测机构出具的带有CMA或CNAS标识的检测报告复印件</w:t>
            </w:r>
            <w:r>
              <w:rPr>
                <w:rFonts w:hint="eastAsia" w:ascii="宋体" w:hAnsi="宋体" w:eastAsia="宋体" w:cs="宋体"/>
                <w:b/>
                <w:bCs/>
                <w:color w:val="auto"/>
                <w:kern w:val="0"/>
                <w:sz w:val="21"/>
                <w:szCs w:val="21"/>
                <w:highlight w:val="none"/>
              </w:rPr>
              <w:t>）</w:t>
            </w:r>
          </w:p>
        </w:tc>
      </w:tr>
      <w:tr w14:paraId="1B4D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50" w:type="dxa"/>
            <w:noWrap w:val="0"/>
            <w:vAlign w:val="center"/>
          </w:tcPr>
          <w:p w14:paraId="1B1CFCF6">
            <w:pPr>
              <w:widowControl/>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819" w:type="dxa"/>
            <w:vMerge w:val="continue"/>
            <w:noWrap w:val="0"/>
            <w:vAlign w:val="center"/>
          </w:tcPr>
          <w:p w14:paraId="2FA50543">
            <w:pPr>
              <w:spacing w:line="400" w:lineRule="exact"/>
              <w:jc w:val="center"/>
              <w:rPr>
                <w:rFonts w:hint="eastAsia" w:ascii="宋体" w:hAnsi="宋体" w:eastAsia="宋体" w:cs="宋体"/>
                <w:color w:val="auto"/>
                <w:sz w:val="21"/>
                <w:szCs w:val="21"/>
                <w:highlight w:val="none"/>
              </w:rPr>
            </w:pPr>
          </w:p>
        </w:tc>
        <w:tc>
          <w:tcPr>
            <w:tcW w:w="1016" w:type="dxa"/>
            <w:noWrap w:val="0"/>
            <w:vAlign w:val="center"/>
          </w:tcPr>
          <w:p w14:paraId="2F65382A">
            <w:pPr>
              <w:widowControl/>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用水监测设备</w:t>
            </w:r>
          </w:p>
        </w:tc>
        <w:tc>
          <w:tcPr>
            <w:tcW w:w="809" w:type="dxa"/>
            <w:noWrap w:val="0"/>
            <w:vAlign w:val="center"/>
          </w:tcPr>
          <w:p w14:paraId="36B1BDED">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679" w:type="dxa"/>
            <w:noWrap w:val="0"/>
            <w:vAlign w:val="center"/>
          </w:tcPr>
          <w:p w14:paraId="264374FD">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285" w:type="dxa"/>
            <w:noWrap w:val="0"/>
            <w:vAlign w:val="center"/>
          </w:tcPr>
          <w:p w14:paraId="5C638828">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通信方式：485协议</w:t>
            </w:r>
          </w:p>
          <w:p w14:paraId="57949BF5">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电压电流：5（60)A 380V</w:t>
            </w:r>
          </w:p>
          <w:p w14:paraId="7DF2FAAD">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电表类形：交流电表</w:t>
            </w:r>
          </w:p>
          <w:p w14:paraId="6B123D68">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含以电算水算法</w:t>
            </w:r>
          </w:p>
        </w:tc>
      </w:tr>
      <w:tr w14:paraId="39C9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50" w:type="dxa"/>
            <w:noWrap w:val="0"/>
            <w:vAlign w:val="center"/>
          </w:tcPr>
          <w:p w14:paraId="574FDF6E">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819" w:type="dxa"/>
            <w:vMerge w:val="continue"/>
            <w:noWrap w:val="0"/>
            <w:vAlign w:val="center"/>
          </w:tcPr>
          <w:p w14:paraId="209A897F">
            <w:pPr>
              <w:spacing w:line="400" w:lineRule="exact"/>
              <w:jc w:val="center"/>
              <w:rPr>
                <w:rFonts w:hint="eastAsia" w:ascii="宋体" w:hAnsi="宋体" w:eastAsia="宋体" w:cs="宋体"/>
                <w:color w:val="auto"/>
                <w:sz w:val="21"/>
                <w:szCs w:val="21"/>
                <w:highlight w:val="none"/>
              </w:rPr>
            </w:pPr>
          </w:p>
        </w:tc>
        <w:tc>
          <w:tcPr>
            <w:tcW w:w="1016" w:type="dxa"/>
            <w:noWrap w:val="0"/>
            <w:vAlign w:val="center"/>
          </w:tcPr>
          <w:p w14:paraId="4DF293A0">
            <w:pPr>
              <w:widowControl/>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农田智能进水阀门</w:t>
            </w:r>
          </w:p>
        </w:tc>
        <w:tc>
          <w:tcPr>
            <w:tcW w:w="809" w:type="dxa"/>
            <w:noWrap w:val="0"/>
            <w:vAlign w:val="center"/>
          </w:tcPr>
          <w:p w14:paraId="12B64109">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79" w:type="dxa"/>
            <w:noWrap w:val="0"/>
            <w:vAlign w:val="center"/>
          </w:tcPr>
          <w:p w14:paraId="3EBDB26D">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39</w:t>
            </w:r>
          </w:p>
        </w:tc>
        <w:tc>
          <w:tcPr>
            <w:tcW w:w="5285" w:type="dxa"/>
            <w:noWrap w:val="0"/>
            <w:vAlign w:val="center"/>
          </w:tcPr>
          <w:p w14:paraId="4A002ACA">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设备功能：可接收DCS系统中PLC等控制器发出的开关量信号，可直接驱动，也可通过接触器或固态继电器驱动电动执行器动作。</w:t>
            </w:r>
          </w:p>
          <w:p w14:paraId="75EC05AF">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1、主体材质：304不锈钢浮球外包橡胶，铝质推杆，数控精加工,出水口口径DN100；</w:t>
            </w:r>
          </w:p>
          <w:p w14:paraId="4578887F">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2、DC12V，每小时流量大约100立方米水，静态防水等级IP68</w:t>
            </w:r>
          </w:p>
          <w:p w14:paraId="124BF97F">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3、控制机构：由转矩控制机构，行程控制机构及可调式电动推杆组成，用以控制进水口的开启和关闭。</w:t>
            </w:r>
          </w:p>
          <w:p w14:paraId="11E79F17">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4、密封性能：1.76MPa无泄漏</w:t>
            </w:r>
          </w:p>
        </w:tc>
      </w:tr>
      <w:tr w14:paraId="4FA6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50" w:type="dxa"/>
            <w:noWrap w:val="0"/>
            <w:vAlign w:val="center"/>
          </w:tcPr>
          <w:p w14:paraId="73876969">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819" w:type="dxa"/>
            <w:vMerge w:val="continue"/>
            <w:noWrap w:val="0"/>
            <w:vAlign w:val="center"/>
          </w:tcPr>
          <w:p w14:paraId="2065A79F">
            <w:pPr>
              <w:spacing w:line="400" w:lineRule="exact"/>
              <w:jc w:val="center"/>
              <w:rPr>
                <w:rFonts w:hint="eastAsia" w:ascii="宋体" w:hAnsi="宋体" w:eastAsia="宋体" w:cs="宋体"/>
                <w:color w:val="auto"/>
                <w:sz w:val="21"/>
                <w:szCs w:val="21"/>
                <w:highlight w:val="none"/>
              </w:rPr>
            </w:pPr>
          </w:p>
        </w:tc>
        <w:tc>
          <w:tcPr>
            <w:tcW w:w="1016" w:type="dxa"/>
            <w:noWrap w:val="0"/>
            <w:vAlign w:val="center"/>
          </w:tcPr>
          <w:p w14:paraId="0B7602E5">
            <w:pPr>
              <w:widowControl/>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管道阀控</w:t>
            </w:r>
          </w:p>
        </w:tc>
        <w:tc>
          <w:tcPr>
            <w:tcW w:w="809" w:type="dxa"/>
            <w:noWrap w:val="0"/>
            <w:vAlign w:val="center"/>
          </w:tcPr>
          <w:p w14:paraId="2D8F5070">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79" w:type="dxa"/>
            <w:noWrap w:val="0"/>
            <w:vAlign w:val="center"/>
          </w:tcPr>
          <w:p w14:paraId="2E3AD2CC">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285" w:type="dxa"/>
            <w:noWrap w:val="0"/>
            <w:vAlign w:val="center"/>
          </w:tcPr>
          <w:p w14:paraId="3207CEAA">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功能：可接收DCS系统中PLC等控制器发出的开关量信号(无源干触点、有源24V、有源220V，点动保持可切换)或选配模拟量信号(DC4~20mA、0~10V等)，可直接驱动，也可通过接触器或固态继电器驱动电动执行器动作。输出信号(开位、关位)或可选配4~20mA反馈。该组件集成了控制单元、限位单元等，静态防水等级IP68。</w:t>
            </w:r>
          </w:p>
          <w:p w14:paraId="20074378">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1、主体材质：优质球墨铸铁/不锈钢，数控精加工,阀体口径DN300；</w:t>
            </w:r>
          </w:p>
          <w:p w14:paraId="3AE8C776">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2、配套单晶太阳能电池板，锂电池组，硬件MPPT充电，分段放电控制，5Km 专用无线通信技术，脉冲时间1ms-30000ms可调，铝压铸坚固型外壳，防护等级IP68，LED指示灯清晰指示阀控器工作状态，可根据现场需求定制阀控器电缆长度</w:t>
            </w:r>
          </w:p>
          <w:p w14:paraId="12B08ECA">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控制机构：由转矩控制机构，行程控制机构及可调式开度指示器组成，用以控制阀门的开启和关闭及阀位指示。行程控制机构由曲拐，挡块，凸轮分度盘，支板和微动开关组成，当输出轴旋转时，通过齿轮组带动分度盘同时旋转，若选配阀位输出信号，其转换为角位移，带动编码盘运动从而产生角度输出变化，输出轴曲拐运动过程中首先触碰行程限位开关产生到位信号，此时可通过外部信号进行切断，或继续运行达到硬限位开关，完成运转方向断电。可调式开度指示器由齿轮组阀门开度表盘组成，出厂时已经完成校准，如果指示与实际开度不一致，可拆开顶端密封盖，拨动指针至实际运转位置，重复运转几次，确保位置指示准确。</w:t>
            </w:r>
          </w:p>
          <w:p w14:paraId="69DEB9EA">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4、密封性能：1.76MPa无泄漏</w:t>
            </w:r>
          </w:p>
          <w:p w14:paraId="4200B991">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5、壳体强度：2.40MPa无结构损伤</w:t>
            </w:r>
          </w:p>
          <w:p w14:paraId="74458DDF">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6、质检要求：CE认证及省级以上检测机构出具的的质量检测报告，符合GB/T13927-2008要求。</w:t>
            </w:r>
          </w:p>
        </w:tc>
      </w:tr>
      <w:tr w14:paraId="3F51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50" w:type="dxa"/>
            <w:noWrap w:val="0"/>
            <w:vAlign w:val="center"/>
          </w:tcPr>
          <w:p w14:paraId="253EDFFB">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819" w:type="dxa"/>
            <w:vMerge w:val="continue"/>
            <w:noWrap w:val="0"/>
            <w:vAlign w:val="center"/>
          </w:tcPr>
          <w:p w14:paraId="0AFEF1F9">
            <w:pPr>
              <w:spacing w:line="400" w:lineRule="exact"/>
              <w:jc w:val="center"/>
              <w:rPr>
                <w:rFonts w:hint="eastAsia" w:ascii="宋体" w:hAnsi="宋体" w:eastAsia="宋体" w:cs="宋体"/>
                <w:color w:val="auto"/>
                <w:sz w:val="21"/>
                <w:szCs w:val="21"/>
                <w:highlight w:val="none"/>
              </w:rPr>
            </w:pPr>
          </w:p>
        </w:tc>
        <w:tc>
          <w:tcPr>
            <w:tcW w:w="1016" w:type="dxa"/>
            <w:noWrap w:val="0"/>
            <w:vAlign w:val="center"/>
          </w:tcPr>
          <w:p w14:paraId="2B6CC56C">
            <w:pPr>
              <w:widowControl/>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农田智能排水闸门</w:t>
            </w:r>
          </w:p>
        </w:tc>
        <w:tc>
          <w:tcPr>
            <w:tcW w:w="809" w:type="dxa"/>
            <w:noWrap w:val="0"/>
            <w:vAlign w:val="center"/>
          </w:tcPr>
          <w:p w14:paraId="52F6B346">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79" w:type="dxa"/>
            <w:noWrap w:val="0"/>
            <w:vAlign w:val="center"/>
          </w:tcPr>
          <w:p w14:paraId="5998A624">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w:t>
            </w:r>
          </w:p>
        </w:tc>
        <w:tc>
          <w:tcPr>
            <w:tcW w:w="5285" w:type="dxa"/>
            <w:noWrap w:val="0"/>
            <w:vAlign w:val="center"/>
          </w:tcPr>
          <w:p w14:paraId="50192E14">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1、规格:宽≥0.3M*挡水板高≥0.3M。</w:t>
            </w:r>
          </w:p>
          <w:p w14:paraId="1E046B31">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2、电压:DC12V,太阳能+锂电池供电。</w:t>
            </w:r>
          </w:p>
          <w:p w14:paraId="14E38E6B">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3、连接形式:螺丝，单向止水，止水胶圈可调节</w:t>
            </w:r>
          </w:p>
          <w:p w14:paraId="59AC3280">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5、材质：框架开模定制铝合金外框，高分子挡水板</w:t>
            </w:r>
          </w:p>
          <w:p w14:paraId="704063BF">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4、具备限位、限流、限时3重保护功能</w:t>
            </w:r>
          </w:p>
          <w:p w14:paraId="7F20C156">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5、配套20W太阳能板，配备≥16mAH锂电池</w:t>
            </w:r>
          </w:p>
        </w:tc>
      </w:tr>
      <w:tr w14:paraId="7725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50" w:type="dxa"/>
            <w:noWrap w:val="0"/>
            <w:vAlign w:val="center"/>
          </w:tcPr>
          <w:p w14:paraId="2E890827">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819" w:type="dxa"/>
            <w:vMerge w:val="continue"/>
            <w:noWrap w:val="0"/>
            <w:vAlign w:val="center"/>
          </w:tcPr>
          <w:p w14:paraId="7BE4D6BA">
            <w:pPr>
              <w:spacing w:line="400" w:lineRule="exact"/>
              <w:jc w:val="center"/>
              <w:rPr>
                <w:rFonts w:hint="eastAsia" w:ascii="宋体" w:hAnsi="宋体" w:eastAsia="宋体" w:cs="宋体"/>
                <w:color w:val="auto"/>
                <w:sz w:val="21"/>
                <w:szCs w:val="21"/>
                <w:highlight w:val="none"/>
              </w:rPr>
            </w:pPr>
          </w:p>
        </w:tc>
        <w:tc>
          <w:tcPr>
            <w:tcW w:w="1016" w:type="dxa"/>
            <w:noWrap w:val="0"/>
            <w:vAlign w:val="center"/>
          </w:tcPr>
          <w:p w14:paraId="3F1E10FF">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田块水层精测</w:t>
            </w:r>
          </w:p>
        </w:tc>
        <w:tc>
          <w:tcPr>
            <w:tcW w:w="809" w:type="dxa"/>
            <w:noWrap w:val="0"/>
            <w:vAlign w:val="center"/>
          </w:tcPr>
          <w:p w14:paraId="0891046C">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79" w:type="dxa"/>
            <w:noWrap w:val="0"/>
            <w:vAlign w:val="center"/>
          </w:tcPr>
          <w:p w14:paraId="49AF8309">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w:t>
            </w:r>
          </w:p>
        </w:tc>
        <w:tc>
          <w:tcPr>
            <w:tcW w:w="5285" w:type="dxa"/>
            <w:noWrap w:val="0"/>
            <w:vAlign w:val="center"/>
          </w:tcPr>
          <w:p w14:paraId="7898223B">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传感器实时采集信息传送给智能电动排水闸实现水位监测。可连接方式：负关联、正关联、双关联、不关联、多种方式可选择。</w:t>
            </w:r>
          </w:p>
          <w:p w14:paraId="512A023B">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功能描述：用于田块处液位监测；</w:t>
            </w:r>
          </w:p>
          <w:p w14:paraId="01AE6196">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检测范围70-1000mm；</w:t>
            </w:r>
          </w:p>
          <w:p w14:paraId="0D258654">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具备学习功能，可适配复杂环境；</w:t>
            </w:r>
          </w:p>
          <w:p w14:paraId="5005B287">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通过多色指示灯显示设备运行状态；</w:t>
            </w:r>
          </w:p>
          <w:p w14:paraId="2ADA3C45">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尺寸：长度100mm*直径60mm（含防护罩）</w:t>
            </w:r>
          </w:p>
          <w:p w14:paraId="0242724F">
            <w:pPr>
              <w:widowControl/>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重复精度：满量程的±0.1%；</w:t>
            </w:r>
          </w:p>
        </w:tc>
      </w:tr>
      <w:tr w14:paraId="6D5E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50" w:type="dxa"/>
            <w:noWrap w:val="0"/>
            <w:vAlign w:val="center"/>
          </w:tcPr>
          <w:p w14:paraId="3F06BDEE">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819" w:type="dxa"/>
            <w:vMerge w:val="restart"/>
            <w:noWrap w:val="0"/>
            <w:vAlign w:val="center"/>
          </w:tcPr>
          <w:p w14:paraId="57A7BC3E">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农情设备管理及数据分析</w:t>
            </w:r>
          </w:p>
        </w:tc>
        <w:tc>
          <w:tcPr>
            <w:tcW w:w="1016" w:type="dxa"/>
            <w:noWrap w:val="0"/>
            <w:vAlign w:val="center"/>
          </w:tcPr>
          <w:p w14:paraId="62A0DCF8">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系统对接</w:t>
            </w:r>
          </w:p>
        </w:tc>
        <w:tc>
          <w:tcPr>
            <w:tcW w:w="809" w:type="dxa"/>
            <w:noWrap w:val="0"/>
            <w:vAlign w:val="center"/>
          </w:tcPr>
          <w:p w14:paraId="08B371E2">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679" w:type="dxa"/>
            <w:noWrap w:val="0"/>
            <w:vAlign w:val="center"/>
          </w:tcPr>
          <w:p w14:paraId="2094510E">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285" w:type="dxa"/>
            <w:noWrap w:val="0"/>
            <w:vAlign w:val="center"/>
          </w:tcPr>
          <w:p w14:paraId="394EF3D5">
            <w:pPr>
              <w:widowControl/>
              <w:spacing w:line="400" w:lineRule="exact"/>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数据资源整合和本地化数据利用的能力：遵循《浙江省数字三农协同应用平台基础数据归集规范（〔2021〕1号）》要求与数据融合共享原则，充分与浙江省农业体系现有系统对接共享，包括浙江乡村大脑（浙江省数字三农协同应用平台）和浙农田对接。</w:t>
            </w:r>
          </w:p>
        </w:tc>
      </w:tr>
      <w:tr w14:paraId="2334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0" w:type="dxa"/>
            <w:noWrap w:val="0"/>
            <w:vAlign w:val="center"/>
          </w:tcPr>
          <w:p w14:paraId="3F38E6FE">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819" w:type="dxa"/>
            <w:vMerge w:val="continue"/>
            <w:noWrap w:val="0"/>
            <w:vAlign w:val="center"/>
          </w:tcPr>
          <w:p w14:paraId="4CBFC9D9">
            <w:pPr>
              <w:widowControl/>
              <w:spacing w:line="400" w:lineRule="exact"/>
              <w:jc w:val="center"/>
              <w:textAlignment w:val="center"/>
              <w:rPr>
                <w:rFonts w:hint="eastAsia" w:ascii="宋体" w:hAnsi="宋体" w:eastAsia="宋体" w:cs="宋体"/>
                <w:color w:val="auto"/>
                <w:sz w:val="21"/>
                <w:szCs w:val="21"/>
                <w:highlight w:val="none"/>
                <w:lang w:val="en-US" w:eastAsia="zh-CN"/>
              </w:rPr>
            </w:pPr>
          </w:p>
        </w:tc>
        <w:tc>
          <w:tcPr>
            <w:tcW w:w="1016" w:type="dxa"/>
            <w:noWrap w:val="0"/>
            <w:vAlign w:val="center"/>
          </w:tcPr>
          <w:p w14:paraId="41414D55">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气象与墒情数据采集</w:t>
            </w:r>
          </w:p>
        </w:tc>
        <w:tc>
          <w:tcPr>
            <w:tcW w:w="809" w:type="dxa"/>
            <w:noWrap w:val="0"/>
            <w:vAlign w:val="center"/>
          </w:tcPr>
          <w:p w14:paraId="0FB87412">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679" w:type="dxa"/>
            <w:noWrap w:val="0"/>
            <w:vAlign w:val="center"/>
          </w:tcPr>
          <w:p w14:paraId="2BEE4CCB">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285" w:type="dxa"/>
            <w:noWrap w:val="0"/>
            <w:vAlign w:val="center"/>
          </w:tcPr>
          <w:p w14:paraId="1AD7DEAD">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气象墒情数据采集主要负责采集田间生产环境信息，包括：土壤水分/盐分、土壤温湿度、空气温/湿度、降雨量、风速/风向等诸多环境信息，上传至服务器并控制相关设备。可以定时将采集到的各种数据通过无线网络发送到监测平台或者管理人员的手机上，方便指导农业生产并有效形成气象灾害预警，以便及时采取措施，降低灾害损失。</w:t>
            </w:r>
          </w:p>
          <w:p w14:paraId="2AD12531">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模块主要功能包括实时采集、数据分析、设备管理。</w:t>
            </w:r>
          </w:p>
          <w:p w14:paraId="47091810">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支持设备中所有传感器设备及数据采集；</w:t>
            </w:r>
          </w:p>
          <w:p w14:paraId="30188F31">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支持传感器告警值设置、“预警状态统计”（通过环状图来统计预警状态的占比）等功能；</w:t>
            </w:r>
          </w:p>
          <w:p w14:paraId="310D3886">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支持苗情图像信息展示、播放及评价，可以调整图片播放时的速度，同时可对图片添加文字记录信息；</w:t>
            </w:r>
          </w:p>
          <w:p w14:paraId="61A6E293">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支持设备远程控制和管理，可设置工作模式、电压状态、故障报警信息及位置信息等。</w:t>
            </w:r>
          </w:p>
        </w:tc>
      </w:tr>
      <w:tr w14:paraId="39A3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50" w:type="dxa"/>
            <w:noWrap w:val="0"/>
            <w:vAlign w:val="center"/>
          </w:tcPr>
          <w:p w14:paraId="4446558F">
            <w:pPr>
              <w:widowControl/>
              <w:spacing w:line="40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819" w:type="dxa"/>
            <w:vMerge w:val="continue"/>
            <w:noWrap w:val="0"/>
            <w:vAlign w:val="center"/>
          </w:tcPr>
          <w:p w14:paraId="71844EA0">
            <w:pPr>
              <w:spacing w:line="400" w:lineRule="exact"/>
              <w:jc w:val="center"/>
              <w:rPr>
                <w:rFonts w:hint="eastAsia" w:ascii="宋体" w:hAnsi="宋体" w:eastAsia="宋体" w:cs="宋体"/>
                <w:color w:val="auto"/>
                <w:sz w:val="21"/>
                <w:szCs w:val="21"/>
                <w:highlight w:val="none"/>
              </w:rPr>
            </w:pPr>
          </w:p>
        </w:tc>
        <w:tc>
          <w:tcPr>
            <w:tcW w:w="1016" w:type="dxa"/>
            <w:noWrap w:val="0"/>
            <w:vAlign w:val="center"/>
          </w:tcPr>
          <w:p w14:paraId="12E23F60">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苗情长势数据采集</w:t>
            </w:r>
          </w:p>
        </w:tc>
        <w:tc>
          <w:tcPr>
            <w:tcW w:w="809" w:type="dxa"/>
            <w:noWrap w:val="0"/>
            <w:vAlign w:val="center"/>
          </w:tcPr>
          <w:p w14:paraId="3DEB0C00">
            <w:pPr>
              <w:widowControl/>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679" w:type="dxa"/>
            <w:noWrap w:val="0"/>
            <w:vAlign w:val="center"/>
          </w:tcPr>
          <w:p w14:paraId="13AA1527">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285" w:type="dxa"/>
            <w:noWrap w:val="0"/>
            <w:vAlign w:val="center"/>
          </w:tcPr>
          <w:p w14:paraId="110C9F1B">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苗情长势采集通过苗情监测设备，实时采集现场作物生长情况，通过高清视频了解作物的生长态势来判断作物的整体发育与生长是否良好，并且提供定时拍照功能，将每个特定时期的作物长势图片拍照并上传至数据中心，以备后期的作物长势分析提供依据。</w:t>
            </w:r>
          </w:p>
          <w:p w14:paraId="24CED7F7">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模块主要功能包括实时查看、设备控制、视频回放。</w:t>
            </w:r>
          </w:p>
          <w:p w14:paraId="48847CB4">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支持监控数据的采集、分类、分时管理和维护，支持对不同数据类型的模块化维护</w:t>
            </w:r>
          </w:p>
          <w:p w14:paraId="6FE42575">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支持实时采集现场作物生长情况和产区生产情况，提供定时拍照功能，将特定期的照片上传至数据中心，提供追溯依据。</w:t>
            </w:r>
          </w:p>
        </w:tc>
      </w:tr>
      <w:tr w14:paraId="3DCA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0" w:type="dxa"/>
            <w:noWrap w:val="0"/>
            <w:vAlign w:val="center"/>
          </w:tcPr>
          <w:p w14:paraId="593FBDCA">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819" w:type="dxa"/>
            <w:vMerge w:val="continue"/>
            <w:noWrap w:val="0"/>
            <w:vAlign w:val="center"/>
          </w:tcPr>
          <w:p w14:paraId="212BFC60">
            <w:pPr>
              <w:spacing w:line="400" w:lineRule="exact"/>
              <w:jc w:val="center"/>
              <w:rPr>
                <w:rFonts w:hint="eastAsia" w:ascii="宋体" w:hAnsi="宋体" w:eastAsia="宋体" w:cs="宋体"/>
                <w:color w:val="auto"/>
                <w:sz w:val="21"/>
                <w:szCs w:val="21"/>
                <w:highlight w:val="none"/>
              </w:rPr>
            </w:pPr>
          </w:p>
        </w:tc>
        <w:tc>
          <w:tcPr>
            <w:tcW w:w="1016" w:type="dxa"/>
            <w:noWrap w:val="0"/>
            <w:vAlign w:val="center"/>
          </w:tcPr>
          <w:p w14:paraId="28789F11">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灌溉设施控制</w:t>
            </w:r>
          </w:p>
        </w:tc>
        <w:tc>
          <w:tcPr>
            <w:tcW w:w="809" w:type="dxa"/>
            <w:noWrap w:val="0"/>
            <w:vAlign w:val="center"/>
          </w:tcPr>
          <w:p w14:paraId="5421DD6C">
            <w:pPr>
              <w:widowControl/>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679" w:type="dxa"/>
            <w:noWrap w:val="0"/>
            <w:vAlign w:val="center"/>
          </w:tcPr>
          <w:p w14:paraId="25D04625">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285" w:type="dxa"/>
            <w:noWrap w:val="0"/>
            <w:vAlign w:val="center"/>
          </w:tcPr>
          <w:p w14:paraId="47B8F465">
            <w:pPr>
              <w:widowControl/>
              <w:spacing w:line="4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灌溉控制管理模块利用物联网技术和自动控制技术，对农田灌溉阀门精确控制和智能化管理。</w:t>
            </w:r>
          </w:p>
          <w:p w14:paraId="6E0AD2F9">
            <w:pPr>
              <w:widowControl/>
              <w:spacing w:line="4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支持灌溉计划制定，通过灌溉计划制定功能，用户可以根据需求，设定合理的灌溉时间。</w:t>
            </w:r>
          </w:p>
          <w:p w14:paraId="0B2A347F">
            <w:pPr>
              <w:widowControl/>
              <w:spacing w:line="4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支持灌溉执行监控，能够实时查看灌溉设备的运行状态，确保灌溉计划得到有效执行。</w:t>
            </w:r>
          </w:p>
          <w:p w14:paraId="6D02854F">
            <w:pPr>
              <w:widowControl/>
              <w:spacing w:line="4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支持可视化系统图管理整体灌溉设备。</w:t>
            </w:r>
          </w:p>
        </w:tc>
      </w:tr>
      <w:tr w14:paraId="3B8B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0" w:type="dxa"/>
            <w:noWrap w:val="0"/>
            <w:vAlign w:val="center"/>
          </w:tcPr>
          <w:p w14:paraId="01BFC8A7">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819" w:type="dxa"/>
            <w:vMerge w:val="continue"/>
            <w:noWrap w:val="0"/>
            <w:vAlign w:val="center"/>
          </w:tcPr>
          <w:p w14:paraId="56B4C2EE">
            <w:pPr>
              <w:spacing w:line="400" w:lineRule="exact"/>
              <w:jc w:val="center"/>
              <w:rPr>
                <w:rFonts w:hint="eastAsia" w:ascii="宋体" w:hAnsi="宋体" w:eastAsia="宋体" w:cs="宋体"/>
                <w:color w:val="auto"/>
                <w:sz w:val="21"/>
                <w:szCs w:val="21"/>
                <w:highlight w:val="none"/>
              </w:rPr>
            </w:pPr>
          </w:p>
        </w:tc>
        <w:tc>
          <w:tcPr>
            <w:tcW w:w="1016" w:type="dxa"/>
            <w:noWrap w:val="0"/>
            <w:vAlign w:val="center"/>
          </w:tcPr>
          <w:p w14:paraId="7D3F1C5C">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水质数据采集</w:t>
            </w:r>
          </w:p>
        </w:tc>
        <w:tc>
          <w:tcPr>
            <w:tcW w:w="809" w:type="dxa"/>
            <w:noWrap w:val="0"/>
            <w:vAlign w:val="center"/>
          </w:tcPr>
          <w:p w14:paraId="197781E4">
            <w:pPr>
              <w:widowControl/>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679" w:type="dxa"/>
            <w:noWrap w:val="0"/>
            <w:vAlign w:val="center"/>
          </w:tcPr>
          <w:p w14:paraId="590AC6DA">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285" w:type="dxa"/>
            <w:noWrap w:val="0"/>
            <w:vAlign w:val="center"/>
          </w:tcPr>
          <w:p w14:paraId="0F51D7B7">
            <w:pPr>
              <w:widowControl/>
              <w:spacing w:line="4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利用先进的水质传感器和数据传输技术，实现对水质参数的实时采集、传输和分析，为水质管理提供了强有力的数据支持。</w:t>
            </w:r>
          </w:p>
          <w:p w14:paraId="42CBBA3E">
            <w:pPr>
              <w:widowControl/>
              <w:spacing w:line="4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支持实时监测水中的温度、pH值、溶解氧等重要参数，并通过图表方式进行展示。</w:t>
            </w:r>
          </w:p>
          <w:p w14:paraId="21F8D462">
            <w:pPr>
              <w:widowControl/>
              <w:spacing w:line="40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支持数据查询，自由选择时间段或年、月、日</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支持数据导出</w:t>
            </w:r>
            <w:r>
              <w:rPr>
                <w:rFonts w:hint="eastAsia" w:ascii="宋体" w:hAnsi="宋体" w:eastAsia="宋体" w:cs="宋体"/>
                <w:color w:val="auto"/>
                <w:kern w:val="0"/>
                <w:sz w:val="21"/>
                <w:szCs w:val="21"/>
                <w:highlight w:val="none"/>
                <w:lang w:eastAsia="zh-CN"/>
              </w:rPr>
              <w:t>。</w:t>
            </w:r>
          </w:p>
        </w:tc>
      </w:tr>
      <w:tr w14:paraId="377A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50" w:type="dxa"/>
            <w:noWrap w:val="0"/>
            <w:vAlign w:val="center"/>
          </w:tcPr>
          <w:p w14:paraId="5B1D4B83">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819" w:type="dxa"/>
            <w:vMerge w:val="continue"/>
            <w:noWrap w:val="0"/>
            <w:vAlign w:val="center"/>
          </w:tcPr>
          <w:p w14:paraId="33D6ABD2">
            <w:pPr>
              <w:spacing w:line="400" w:lineRule="exact"/>
              <w:jc w:val="center"/>
              <w:rPr>
                <w:rFonts w:hint="eastAsia" w:ascii="宋体" w:hAnsi="宋体" w:eastAsia="宋体" w:cs="宋体"/>
                <w:color w:val="auto"/>
                <w:sz w:val="21"/>
                <w:szCs w:val="21"/>
                <w:highlight w:val="none"/>
              </w:rPr>
            </w:pPr>
          </w:p>
        </w:tc>
        <w:tc>
          <w:tcPr>
            <w:tcW w:w="1016" w:type="dxa"/>
            <w:noWrap w:val="0"/>
            <w:vAlign w:val="center"/>
          </w:tcPr>
          <w:p w14:paraId="36AE5E15">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移动端智管、智控</w:t>
            </w:r>
          </w:p>
        </w:tc>
        <w:tc>
          <w:tcPr>
            <w:tcW w:w="809" w:type="dxa"/>
            <w:noWrap w:val="0"/>
            <w:vAlign w:val="center"/>
          </w:tcPr>
          <w:p w14:paraId="3C5ADD07">
            <w:pPr>
              <w:widowControl/>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679" w:type="dxa"/>
            <w:noWrap w:val="0"/>
            <w:vAlign w:val="center"/>
          </w:tcPr>
          <w:p w14:paraId="26579BED">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285" w:type="dxa"/>
            <w:noWrap w:val="0"/>
            <w:vAlign w:val="center"/>
          </w:tcPr>
          <w:p w14:paraId="50635525">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基地物联监控设备的数量统计、支持各类物联监控设备的监测数据查询、设备配置管理及数据分析应用。左上角支持切换园区基地，右上角显示当前日期，并提供农历日期。可通过设备或地块切换显示不同页面，设备页面可对相关设备进行控制，地块页面可显示相应地块基本环境信息。</w:t>
            </w:r>
          </w:p>
          <w:p w14:paraId="6D0EEC4B">
            <w:pPr>
              <w:spacing w:line="400" w:lineRule="exac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智管</w:t>
            </w:r>
            <w:r>
              <w:rPr>
                <w:rFonts w:hint="eastAsia" w:ascii="宋体" w:hAnsi="宋体" w:eastAsia="宋体" w:cs="宋体"/>
                <w:color w:val="auto"/>
                <w:kern w:val="0"/>
                <w:sz w:val="21"/>
                <w:szCs w:val="21"/>
                <w:highlight w:val="none"/>
                <w:lang w:eastAsia="zh-CN"/>
              </w:rPr>
              <w:t>：</w:t>
            </w:r>
          </w:p>
          <w:p w14:paraId="2655A694">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可进行农事管理、种植方案、采收管理等。对种植、采收等环节进行管理，通过移动端对相关工作流程数据进行快速录入与查询，用户可提供扫描地块二维码快速选择种植批次，进行农事操作录入。</w:t>
            </w:r>
          </w:p>
          <w:p w14:paraId="3595A36C">
            <w:pPr>
              <w:spacing w:line="400" w:lineRule="exac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基地管理</w:t>
            </w:r>
            <w:r>
              <w:rPr>
                <w:rFonts w:hint="eastAsia" w:ascii="宋体" w:hAnsi="宋体" w:eastAsia="宋体" w:cs="宋体"/>
                <w:color w:val="auto"/>
                <w:kern w:val="0"/>
                <w:sz w:val="21"/>
                <w:szCs w:val="21"/>
                <w:highlight w:val="none"/>
                <w:lang w:eastAsia="zh-CN"/>
              </w:rPr>
              <w:t>：</w:t>
            </w:r>
          </w:p>
          <w:p w14:paraId="08801B20">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我的基地、设备关联等信息进行管理设置，支持基地切换、设备的关联及系统设置。基地切换中可切换至不同基地，实现对各个基地的情况的实时监控和信息查看；设备关联可按照地块名称进行地块的切换，可实现查看不同地块所关联的设备及设备信息。</w:t>
            </w:r>
          </w:p>
        </w:tc>
      </w:tr>
      <w:tr w14:paraId="23A4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0" w:type="dxa"/>
            <w:noWrap w:val="0"/>
            <w:vAlign w:val="center"/>
          </w:tcPr>
          <w:p w14:paraId="60727510">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819" w:type="dxa"/>
            <w:vMerge w:val="restart"/>
            <w:noWrap w:val="0"/>
            <w:vAlign w:val="center"/>
          </w:tcPr>
          <w:p w14:paraId="55B9F522">
            <w:pPr>
              <w:widowControl/>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田间农机智能化（传统设备智能化）精准数字控制系统</w:t>
            </w:r>
          </w:p>
        </w:tc>
        <w:tc>
          <w:tcPr>
            <w:tcW w:w="1016" w:type="dxa"/>
            <w:noWrap w:val="0"/>
            <w:vAlign w:val="center"/>
          </w:tcPr>
          <w:p w14:paraId="7A3589D1">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无人机设备</w:t>
            </w:r>
          </w:p>
        </w:tc>
        <w:tc>
          <w:tcPr>
            <w:tcW w:w="809" w:type="dxa"/>
            <w:noWrap w:val="0"/>
            <w:vAlign w:val="center"/>
          </w:tcPr>
          <w:p w14:paraId="14BCC999">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679" w:type="dxa"/>
            <w:noWrap w:val="0"/>
            <w:vAlign w:val="center"/>
          </w:tcPr>
          <w:p w14:paraId="1FD3F8C8">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285" w:type="dxa"/>
            <w:noWrap w:val="0"/>
            <w:vAlign w:val="center"/>
          </w:tcPr>
          <w:p w14:paraId="262725DE">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1、基本参数：</w:t>
            </w:r>
          </w:p>
          <w:p w14:paraId="0A27E7AE">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外形尺寸</w:t>
            </w:r>
          </w:p>
          <w:p w14:paraId="5DCA8679">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3110×3118×804 mm（桨叶展开）</w:t>
            </w:r>
          </w:p>
          <w:p w14:paraId="631D6A9F">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1723×1732×804 mm（桨叶折叠）</w:t>
            </w:r>
          </w:p>
          <w:p w14:paraId="7E630E9C">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飞行平台质量（含电池）</w:t>
            </w:r>
          </w:p>
          <w:p w14:paraId="661E12F8">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 kg（含电池）</w:t>
            </w:r>
          </w:p>
          <w:p w14:paraId="6014B318">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对称电机轴距：2203 mm</w:t>
            </w:r>
          </w:p>
          <w:p w14:paraId="4D217214">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机臂管材质：铝合金</w:t>
            </w:r>
          </w:p>
          <w:p w14:paraId="3DA14B24">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防护等级：IPX6K</w:t>
            </w:r>
          </w:p>
          <w:p w14:paraId="0B80CF0C">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额定起飞质量:</w:t>
            </w:r>
          </w:p>
          <w:p w14:paraId="25CF0322">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 kg (额定喷洒起飞质量）</w:t>
            </w:r>
          </w:p>
          <w:p w14:paraId="2F686C82">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128 kg (额定播撒起飞质量）</w:t>
            </w:r>
          </w:p>
          <w:p w14:paraId="281EC025">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2、飞行参数：</w:t>
            </w:r>
          </w:p>
          <w:p w14:paraId="4AF64A42">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最大起飞海拔高度：2000 m （高于 2000 m 会影响飞行效率）</w:t>
            </w:r>
          </w:p>
          <w:p w14:paraId="51DA9ECD">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最大飞行速度：13.8 m/s</w:t>
            </w:r>
          </w:p>
          <w:p w14:paraId="3A69467E">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推荐工作环境温度：0 ~ 40 ℃</w:t>
            </w:r>
          </w:p>
          <w:p w14:paraId="48714466">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悬停精度（GNSS 信号良好）：</w:t>
            </w:r>
          </w:p>
          <w:p w14:paraId="4F77113C">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启用 RTK ：水平 ±10 cm，垂直 ±10 cm</w:t>
            </w:r>
          </w:p>
          <w:p w14:paraId="79879433">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未启用 RTK ：水平 ±0.6 m，垂直 ±0.3 m</w:t>
            </w:r>
          </w:p>
          <w:p w14:paraId="58213785">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最大飞行高度：30 m</w:t>
            </w:r>
          </w:p>
          <w:p w14:paraId="79DC9D6D">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3、智能药箱</w:t>
            </w:r>
          </w:p>
          <w:p w14:paraId="05ED766A">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药箱额定容量：60 L</w:t>
            </w:r>
          </w:p>
          <w:p w14:paraId="4DF3585C">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药箱额定载重：60 kg</w:t>
            </w:r>
          </w:p>
          <w:p w14:paraId="420BE32D">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4、FPV 第一人称视角影像</w:t>
            </w:r>
          </w:p>
          <w:p w14:paraId="40E181DF">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视频分辨率：1920 x 1080</w:t>
            </w:r>
          </w:p>
          <w:p w14:paraId="731584BA">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供电电压：24 V</w:t>
            </w:r>
          </w:p>
          <w:p w14:paraId="37DB2884">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帧率：30 fps</w:t>
            </w:r>
          </w:p>
          <w:p w14:paraId="76018565">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视频编码格式：H.264 / H.265</w:t>
            </w:r>
          </w:p>
          <w:p w14:paraId="56BCF481">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影像传感器：1/2.8 英寸 CMOS-RGB 图像传感器，200 万有效像素</w:t>
            </w:r>
          </w:p>
          <w:p w14:paraId="71DF7B8C">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焦距：前视 FPV（2.7 mm）下视 FPV（2.7 mm）</w:t>
            </w:r>
          </w:p>
          <w:p w14:paraId="596FB940">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5、包含播撒设备</w:t>
            </w:r>
          </w:p>
          <w:p w14:paraId="1A82C8D6">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播盘数量：1 个</w:t>
            </w:r>
          </w:p>
          <w:p w14:paraId="41AC2D76">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最大转速：5400 rpm</w:t>
            </w:r>
          </w:p>
          <w:p w14:paraId="3D4D9110">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播幅：3 - 8 m（视飞行高度、种子重量、形状、亩用量、环境等而定）</w:t>
            </w:r>
          </w:p>
          <w:p w14:paraId="4D4DC484">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6、含保险、流量费用三年</w:t>
            </w:r>
          </w:p>
        </w:tc>
      </w:tr>
      <w:tr w14:paraId="76C0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0" w:type="dxa"/>
            <w:noWrap w:val="0"/>
            <w:vAlign w:val="center"/>
          </w:tcPr>
          <w:p w14:paraId="0784B3E6">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819" w:type="dxa"/>
            <w:vMerge w:val="continue"/>
            <w:noWrap w:val="0"/>
            <w:vAlign w:val="center"/>
          </w:tcPr>
          <w:p w14:paraId="1839326E">
            <w:pPr>
              <w:spacing w:line="400" w:lineRule="exact"/>
              <w:jc w:val="center"/>
              <w:rPr>
                <w:rFonts w:hint="eastAsia" w:ascii="宋体" w:hAnsi="宋体" w:eastAsia="宋体" w:cs="宋体"/>
                <w:color w:val="auto"/>
                <w:sz w:val="21"/>
                <w:szCs w:val="21"/>
                <w:highlight w:val="none"/>
              </w:rPr>
            </w:pPr>
          </w:p>
        </w:tc>
        <w:tc>
          <w:tcPr>
            <w:tcW w:w="1016" w:type="dxa"/>
            <w:noWrap w:val="0"/>
            <w:vAlign w:val="center"/>
          </w:tcPr>
          <w:p w14:paraId="0A5BC91E">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农机监测终端</w:t>
            </w:r>
          </w:p>
        </w:tc>
        <w:tc>
          <w:tcPr>
            <w:tcW w:w="809" w:type="dxa"/>
            <w:noWrap w:val="0"/>
            <w:vAlign w:val="center"/>
          </w:tcPr>
          <w:p w14:paraId="071A34DD">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679" w:type="dxa"/>
            <w:noWrap w:val="0"/>
            <w:vAlign w:val="center"/>
          </w:tcPr>
          <w:p w14:paraId="6C86370F">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285" w:type="dxa"/>
            <w:noWrap w:val="0"/>
            <w:vAlign w:val="center"/>
          </w:tcPr>
          <w:p w14:paraId="631ECA07">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对基地已有的农机进行智慧改造，加装视频终端，监测定位、作业轨迹、作业速度、作业面积、故障检测、作业视频等并上传数据至云平台。</w:t>
            </w:r>
          </w:p>
          <w:p w14:paraId="3A1F5BE8">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智能探测系统组件包括：主机、传感器、摄像头、定位天线、机具识别器等。采用北斗+GPS定位系统对车辆进行精准定位，采用can总线的设计方式预留车辆OBD接口。主机为整个系统的核心部分，承载着车辆定位、运算显示、数据存储、数据上传等功能。</w:t>
            </w:r>
          </w:p>
          <w:p w14:paraId="479A8FBD">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2、具有GPS+北斗双模卫星定位功能，定位数据采样间隔≤2秒，水平定位精度≤3米，测速精度≤0.2m/s。</w:t>
            </w:r>
          </w:p>
          <w:p w14:paraId="18033B6C">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3、支持GPRS无线数据传输，支持4G无线网络通信功能，支持连接手机热点进行数据传输、设备调试。</w:t>
            </w:r>
          </w:p>
          <w:p w14:paraId="4208533F">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4、作业面积计量精度≥97%；作业深度监测误差&lt;3cm。</w:t>
            </w:r>
          </w:p>
          <w:p w14:paraId="58178248">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5、终端设备须配有彩色显示屏，支持作业视频本地实时查看，支持远程图像传输，支持至少两个摄像头的安装，摄像头分辨率高于640*480。</w:t>
            </w:r>
          </w:p>
          <w:p w14:paraId="322B4CF1">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6、因作业环境恶劣，主机及外设部件均应采用防尘防水部件，防护等级应达到IP67，并且连接线材均应采用防水接头；设备需经过振动、冲击试验；支持-25℃—70℃的工作环境，支持-40℃—80℃的放置环境。</w:t>
            </w:r>
          </w:p>
        </w:tc>
      </w:tr>
      <w:tr w14:paraId="4560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0" w:type="dxa"/>
            <w:noWrap w:val="0"/>
            <w:vAlign w:val="center"/>
          </w:tcPr>
          <w:p w14:paraId="4E35E495">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819" w:type="dxa"/>
            <w:vMerge w:val="continue"/>
            <w:noWrap w:val="0"/>
            <w:vAlign w:val="center"/>
          </w:tcPr>
          <w:p w14:paraId="5B8E9229">
            <w:pPr>
              <w:spacing w:line="400" w:lineRule="exact"/>
              <w:jc w:val="center"/>
              <w:rPr>
                <w:rFonts w:hint="eastAsia" w:ascii="宋体" w:hAnsi="宋体" w:eastAsia="宋体" w:cs="宋体"/>
                <w:color w:val="auto"/>
                <w:sz w:val="21"/>
                <w:szCs w:val="21"/>
                <w:highlight w:val="none"/>
              </w:rPr>
            </w:pPr>
          </w:p>
        </w:tc>
        <w:tc>
          <w:tcPr>
            <w:tcW w:w="1016" w:type="dxa"/>
            <w:noWrap w:val="0"/>
            <w:vAlign w:val="center"/>
          </w:tcPr>
          <w:p w14:paraId="1B28D3B6">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农机管理系统</w:t>
            </w:r>
          </w:p>
        </w:tc>
        <w:tc>
          <w:tcPr>
            <w:tcW w:w="809" w:type="dxa"/>
            <w:noWrap w:val="0"/>
            <w:vAlign w:val="center"/>
          </w:tcPr>
          <w:p w14:paraId="5CD182D8">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79" w:type="dxa"/>
            <w:noWrap w:val="0"/>
            <w:vAlign w:val="center"/>
          </w:tcPr>
          <w:p w14:paraId="55B7D96E">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285" w:type="dxa"/>
            <w:noWrap w:val="0"/>
            <w:vAlign w:val="center"/>
          </w:tcPr>
          <w:p w14:paraId="6AE0E7EE">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1、支持无人机、拖拉机类作业装备的历史路径、作业信息等的展示。</w:t>
            </w:r>
          </w:p>
          <w:p w14:paraId="56BE587B">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2、支持以农田地块维度展示基地设备，以设备维度展示绿色农田内物联网设备的在线情况，可实时查看田间设备数据，点击不同设备，获取对应信息。</w:t>
            </w:r>
          </w:p>
          <w:p w14:paraId="1AE0832B">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3、对高标农田灌溉体系进行可视化展示，基于现场田块及阀门位置，设计灌溉管理平台。</w:t>
            </w:r>
          </w:p>
        </w:tc>
      </w:tr>
      <w:tr w14:paraId="7D2B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0" w:type="dxa"/>
            <w:noWrap w:val="0"/>
            <w:vAlign w:val="center"/>
          </w:tcPr>
          <w:p w14:paraId="3202A57B">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6</w:t>
            </w:r>
          </w:p>
        </w:tc>
        <w:tc>
          <w:tcPr>
            <w:tcW w:w="819" w:type="dxa"/>
            <w:vMerge w:val="restart"/>
            <w:noWrap w:val="0"/>
            <w:vAlign w:val="center"/>
          </w:tcPr>
          <w:p w14:paraId="123C80F7">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大田农情监测智能化</w:t>
            </w:r>
          </w:p>
        </w:tc>
        <w:tc>
          <w:tcPr>
            <w:tcW w:w="1016" w:type="dxa"/>
            <w:noWrap w:val="0"/>
            <w:vAlign w:val="center"/>
          </w:tcPr>
          <w:p w14:paraId="797B9D34">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气象监测设备</w:t>
            </w:r>
          </w:p>
        </w:tc>
        <w:tc>
          <w:tcPr>
            <w:tcW w:w="809" w:type="dxa"/>
            <w:noWrap w:val="0"/>
            <w:vAlign w:val="center"/>
          </w:tcPr>
          <w:p w14:paraId="32B85853">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台</w:t>
            </w:r>
          </w:p>
        </w:tc>
        <w:tc>
          <w:tcPr>
            <w:tcW w:w="679" w:type="dxa"/>
            <w:noWrap w:val="0"/>
            <w:vAlign w:val="center"/>
          </w:tcPr>
          <w:p w14:paraId="389E294C">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5285" w:type="dxa"/>
            <w:noWrap w:val="0"/>
            <w:vAlign w:val="center"/>
          </w:tcPr>
          <w:p w14:paraId="1810EF9D">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1、主机可通过管理云平台远程设置数据采集时间、存储和发送时间间隔及IP地址。</w:t>
            </w:r>
          </w:p>
          <w:p w14:paraId="27CA08F6">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2、模块化设计，传感器可管理云平台进行任意配置，总共可接16种类型传感器，每种传感器可接16路，超过16路的可通过菜单设置进行增加。</w:t>
            </w:r>
          </w:p>
          <w:p w14:paraId="4A72610A">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3、传感器采用低功耗设计，且内置一次性电池供电，可工作5年以上；</w:t>
            </w:r>
          </w:p>
          <w:p w14:paraId="15B66B5A">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4、系统支持4G/RJ45网络与服务器通讯，网络支持联通移动的2/3/4G，电信4G；</w:t>
            </w:r>
          </w:p>
          <w:p w14:paraId="38F3E761">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5、数据可以上传到自己指定的电脑也可以上传到总服务器，可切换，无影响。</w:t>
            </w:r>
          </w:p>
          <w:p w14:paraId="44584C6C">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6、系统可兼容RS485和Lora两种传感器通讯接口；超声波风速风向传感器，RS485接口+12V电源，管式墒情采用有线RS485+8V电源接口；空气温湿度传感器、光照强度传感器、雨量传感器采用Lora无线通信接口；</w:t>
            </w:r>
          </w:p>
          <w:p w14:paraId="60D5FD8A">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7、系统采用FREERTOS操作系统，提升了系统运行的可靠性、多数据采集任务的实时性、系统模块化、CPU的高效化应用；</w:t>
            </w:r>
          </w:p>
          <w:p w14:paraId="78F85E69">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★8、设备可自动获取安装点的海拔数据及GPS坐标信息，可知道设备及数据采集点具体的地理位置，防盗防位移；</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eastAsia="zh-CN"/>
              </w:rPr>
              <w:t>投标文件中提供具有检验资质的第三方检测机构出具的带有CMA或CNAS标识的检测报告复印件</w:t>
            </w:r>
            <w:r>
              <w:rPr>
                <w:rFonts w:hint="eastAsia" w:ascii="宋体" w:hAnsi="宋体" w:eastAsia="宋体" w:cs="宋体"/>
                <w:b/>
                <w:bCs/>
                <w:color w:val="auto"/>
                <w:kern w:val="0"/>
                <w:sz w:val="21"/>
                <w:szCs w:val="21"/>
                <w:highlight w:val="none"/>
              </w:rPr>
              <w:t>）</w:t>
            </w:r>
          </w:p>
          <w:p w14:paraId="1B0F92CA">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★9、设备自带摄像头，≥2.7英寸，1920×1080，200W像素，可视场角89.1°，支持定时拍照功能，可将现场图片上传到管理云平台方便观察植物实际生长情况，亦可在平台上设置拍照间隔和时间；</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eastAsia="zh-CN"/>
              </w:rPr>
              <w:t>投标文件中提供具有检验资质的第三方检测机构出具的带有CMA或CNAS标识的检测报告复印件</w:t>
            </w:r>
            <w:r>
              <w:rPr>
                <w:rFonts w:hint="eastAsia" w:ascii="宋体" w:hAnsi="宋体" w:eastAsia="宋体" w:cs="宋体"/>
                <w:b/>
                <w:bCs/>
                <w:color w:val="auto"/>
                <w:kern w:val="0"/>
                <w:sz w:val="21"/>
                <w:szCs w:val="21"/>
                <w:highlight w:val="none"/>
              </w:rPr>
              <w:t>）</w:t>
            </w:r>
          </w:p>
          <w:p w14:paraId="0ADA7CC5">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10、系统供电系统为太阳能+充电电池结合模式，内置一次磷酸铁锂15Ah电池，拆卸更换方便，可独立工作15天以上。</w:t>
            </w:r>
          </w:p>
          <w:p w14:paraId="3059DFC3">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11、防护等级：IP65</w:t>
            </w:r>
          </w:p>
          <w:p w14:paraId="65F4CE49">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12、系统采用抗震级设计，可支持抵抗11级台风等级,长效续航：内置大容量锂电池，可独立工作15天以上。外接太阳能电池板，可实现连续工作。</w:t>
            </w:r>
          </w:p>
          <w:p w14:paraId="37548628">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★13、传感器参数：</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eastAsia="zh-CN"/>
              </w:rPr>
              <w:t>投标文件中提供具有检验资质的第三方检测机构出具的带有CMA或CNAS标识的检测报告复印件</w:t>
            </w:r>
            <w:r>
              <w:rPr>
                <w:rFonts w:hint="eastAsia" w:ascii="宋体" w:hAnsi="宋体" w:eastAsia="宋体" w:cs="宋体"/>
                <w:b/>
                <w:bCs/>
                <w:color w:val="auto"/>
                <w:kern w:val="0"/>
                <w:sz w:val="21"/>
                <w:szCs w:val="21"/>
                <w:highlight w:val="none"/>
              </w:rPr>
              <w:t>）</w:t>
            </w:r>
          </w:p>
          <w:p w14:paraId="31019BDB">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空气温度测量范围：-40～+70℃；分辨率：0.1℃；精度：±0.2℃；</w:t>
            </w:r>
          </w:p>
          <w:p w14:paraId="74C13001">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空气湿度测量范围：0%～95%RH；分辨率：1%RH；精度：±3%RH（≤80%），±5%RH（≥80%）；</w:t>
            </w:r>
          </w:p>
          <w:p w14:paraId="759B5BC2">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土壤水分测量范围：0～100%VWC；分辨率：0.1%；精度：±3%（0～50%）；</w:t>
            </w:r>
          </w:p>
          <w:p w14:paraId="53C22F06">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土壤温度测量范围：-40℃～70℃；分辨率：0.1℃；精度：±0.5℃；</w:t>
            </w:r>
          </w:p>
          <w:p w14:paraId="3CDA2DAC">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风速测量范围：0～60m/s；分辨率：0.1m/s；精度：±0.5m/s；</w:t>
            </w:r>
          </w:p>
          <w:p w14:paraId="2EDD6F58">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风向测量范围：0～360°；分辨率：1°；精度：±3°；</w:t>
            </w:r>
          </w:p>
          <w:p w14:paraId="160FBBD7">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雨量测量范围：0～4mm/min；分辨率：0.1mm；精度：±0.4mm（≤10mm)；</w:t>
            </w:r>
          </w:p>
          <w:p w14:paraId="259416A1">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光照强度测量范围：0～200000 lux；分辨率：1Lux；精度：±2%FS；</w:t>
            </w:r>
          </w:p>
          <w:p w14:paraId="6E164E19">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平台功能：</w:t>
            </w:r>
          </w:p>
          <w:p w14:paraId="4AA0FA1F">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1、带智慧农业云管理平台包含B/S架构，可将所有便携式设备及在线设备数据进行汇总分析，数据永不丢失，查看操作方式包括网页端及手机端。 </w:t>
            </w:r>
          </w:p>
          <w:p w14:paraId="20DE4834">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2、显示每种参数过程曲线趋势，最大值、最小值、平均值显示查看，放大、缩小功能。</w:t>
            </w:r>
          </w:p>
          <w:p w14:paraId="2B3FC752">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3、数据可上传至管理云平台。平台内数据可下载，数据对比分析，打印。</w:t>
            </w:r>
          </w:p>
          <w:p w14:paraId="1AC1FA35">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4、用户可为设备配置传感器报警条件，预置若干常用的农作物的报警配置。</w:t>
            </w:r>
          </w:p>
          <w:p w14:paraId="1E9A8CB2">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5、数据评价：可以设置最低最高超限值，可自动进行数据预警分析。</w:t>
            </w:r>
          </w:p>
          <w:p w14:paraId="54B23BF1">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★6、可提供全年极端气候分析</w:t>
            </w:r>
            <w:r>
              <w:rPr>
                <w:rFonts w:hint="eastAsia" w:ascii="宋体" w:hAnsi="宋体" w:eastAsia="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（提供国家网络软件产品质量监督检验机构出具的带CMA、CNAS标识的检验报告</w:t>
            </w:r>
            <w:r>
              <w:rPr>
                <w:rFonts w:hint="eastAsia" w:ascii="宋体" w:hAnsi="宋体" w:eastAsia="宋体" w:cs="宋体"/>
                <w:b/>
                <w:bCs/>
                <w:color w:val="auto"/>
                <w:kern w:val="0"/>
                <w:sz w:val="21"/>
                <w:szCs w:val="21"/>
                <w:highlight w:val="none"/>
                <w:lang w:val="en-US" w:eastAsia="zh-CN"/>
              </w:rPr>
              <w:t>复印件</w:t>
            </w:r>
            <w:r>
              <w:rPr>
                <w:rFonts w:hint="eastAsia" w:ascii="宋体" w:hAnsi="宋体" w:eastAsia="宋体" w:cs="宋体"/>
                <w:b/>
                <w:bCs/>
                <w:color w:val="auto"/>
                <w:kern w:val="0"/>
                <w:sz w:val="21"/>
                <w:szCs w:val="21"/>
                <w:highlight w:val="none"/>
              </w:rPr>
              <w:t>）</w:t>
            </w:r>
          </w:p>
          <w:p w14:paraId="51E487A7">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★7、可提供历史至未来5天的参考蒸发蒸腾量</w:t>
            </w:r>
            <w:r>
              <w:rPr>
                <w:rFonts w:hint="eastAsia" w:ascii="宋体" w:hAnsi="宋体" w:eastAsia="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（提供国家网络软件产品质量监督检验机构出具的带CMA、CNAS标识的检验报告</w:t>
            </w:r>
            <w:r>
              <w:rPr>
                <w:rFonts w:hint="eastAsia" w:ascii="宋体" w:hAnsi="宋体" w:eastAsia="宋体" w:cs="宋体"/>
                <w:b/>
                <w:bCs/>
                <w:color w:val="auto"/>
                <w:kern w:val="0"/>
                <w:sz w:val="21"/>
                <w:szCs w:val="21"/>
                <w:highlight w:val="none"/>
                <w:lang w:val="en-US" w:eastAsia="zh-CN"/>
              </w:rPr>
              <w:t>复印件</w:t>
            </w:r>
            <w:r>
              <w:rPr>
                <w:rFonts w:hint="eastAsia" w:ascii="宋体" w:hAnsi="宋体" w:eastAsia="宋体" w:cs="宋体"/>
                <w:b/>
                <w:bCs/>
                <w:color w:val="auto"/>
                <w:kern w:val="0"/>
                <w:sz w:val="21"/>
                <w:szCs w:val="21"/>
                <w:highlight w:val="none"/>
              </w:rPr>
              <w:t>）</w:t>
            </w:r>
          </w:p>
          <w:p w14:paraId="22BB1E8E">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★8、可提供历史至未来5天的天气预测</w:t>
            </w:r>
            <w:r>
              <w:rPr>
                <w:rFonts w:hint="eastAsia" w:ascii="宋体" w:hAnsi="宋体" w:eastAsia="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（提供国家网络软件产品质量监督检验机构出具的带CMA、CNAS标识的检验报告</w:t>
            </w:r>
            <w:r>
              <w:rPr>
                <w:rFonts w:hint="eastAsia" w:ascii="宋体" w:hAnsi="宋体" w:eastAsia="宋体" w:cs="宋体"/>
                <w:b/>
                <w:bCs/>
                <w:color w:val="auto"/>
                <w:kern w:val="0"/>
                <w:sz w:val="21"/>
                <w:szCs w:val="21"/>
                <w:highlight w:val="none"/>
                <w:lang w:val="en-US" w:eastAsia="zh-CN"/>
              </w:rPr>
              <w:t>复印件</w:t>
            </w:r>
            <w:r>
              <w:rPr>
                <w:rFonts w:hint="eastAsia" w:ascii="宋体" w:hAnsi="宋体" w:eastAsia="宋体" w:cs="宋体"/>
                <w:b/>
                <w:bCs/>
                <w:color w:val="auto"/>
                <w:kern w:val="0"/>
                <w:sz w:val="21"/>
                <w:szCs w:val="21"/>
                <w:highlight w:val="none"/>
              </w:rPr>
              <w:t>）</w:t>
            </w:r>
          </w:p>
        </w:tc>
      </w:tr>
      <w:tr w14:paraId="1820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0" w:type="dxa"/>
            <w:noWrap w:val="0"/>
            <w:vAlign w:val="center"/>
          </w:tcPr>
          <w:p w14:paraId="564A94A7">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7</w:t>
            </w:r>
          </w:p>
        </w:tc>
        <w:tc>
          <w:tcPr>
            <w:tcW w:w="819" w:type="dxa"/>
            <w:vMerge w:val="continue"/>
            <w:noWrap w:val="0"/>
            <w:vAlign w:val="center"/>
          </w:tcPr>
          <w:p w14:paraId="50132848">
            <w:pPr>
              <w:spacing w:line="400" w:lineRule="exact"/>
              <w:jc w:val="center"/>
              <w:rPr>
                <w:rFonts w:hint="eastAsia" w:ascii="宋体" w:hAnsi="宋体" w:eastAsia="宋体" w:cs="宋体"/>
                <w:color w:val="auto"/>
                <w:sz w:val="21"/>
                <w:szCs w:val="21"/>
                <w:highlight w:val="none"/>
                <w:lang w:val="en-US" w:eastAsia="zh-CN"/>
              </w:rPr>
            </w:pPr>
          </w:p>
        </w:tc>
        <w:tc>
          <w:tcPr>
            <w:tcW w:w="1016" w:type="dxa"/>
            <w:noWrap w:val="0"/>
            <w:vAlign w:val="center"/>
          </w:tcPr>
          <w:p w14:paraId="53016447">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土壤墒情监测设备</w:t>
            </w:r>
          </w:p>
        </w:tc>
        <w:tc>
          <w:tcPr>
            <w:tcW w:w="809" w:type="dxa"/>
            <w:noWrap w:val="0"/>
            <w:vAlign w:val="center"/>
          </w:tcPr>
          <w:p w14:paraId="605CAAA7">
            <w:pPr>
              <w:widowControl/>
              <w:spacing w:line="40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679" w:type="dxa"/>
            <w:noWrap w:val="0"/>
            <w:vAlign w:val="center"/>
          </w:tcPr>
          <w:p w14:paraId="059FBC03">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5285" w:type="dxa"/>
            <w:noWrap w:val="0"/>
            <w:vAlign w:val="center"/>
          </w:tcPr>
          <w:p w14:paraId="5F7B11C1">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可测四层土壤温度，四层土壤墒情</w:t>
            </w:r>
          </w:p>
          <w:p w14:paraId="54B4BF84">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系统供电：系统采用15W单晶硅太阳能板进行供电，可支持220v市电和太阳能双电源供电，可按实际应用进行切换；</w:t>
            </w:r>
          </w:p>
          <w:p w14:paraId="0EF2228C">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长效续航：内置大容量锂电池，可独立工作15天以上。外接太阳能电池板，可实现连续工作；</w:t>
            </w:r>
          </w:p>
          <w:p w14:paraId="16501820">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一体化数据采集：设备具有数据采集及上传功能，通过标准485接口集成土壤墒情传感器数据采集，包括土壤温度、土壤水分、作物苗情图像等参数，并通过无线通讯方式上传至管理云平台；</w:t>
            </w:r>
          </w:p>
          <w:p w14:paraId="79B03B40">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上传方式：数据可以上传到自己指定的电脑也可以上传到总服务器，可切换，无影响；</w:t>
            </w:r>
          </w:p>
          <w:p w14:paraId="4064C5AC">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精准定位：系统设计采用高精度定位模块，支持北斗/GPS双融合定位，自动获取设备所处位置的海拔参数和坐标信息，采用位移偏离算法判断设备位置移动，防盗防位移；</w:t>
            </w:r>
          </w:p>
          <w:p w14:paraId="33FC5255">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苗情图像采集：自带摄像头，CMOS1/2.7英寸图像传感器，200W（1280*1080）像素，手动360°云台调节，支持定时拍照功能、通过远程设定拍照时间和拍照张数，可将现场图片上传到管理云平台方便观察植物实际生长情况，动态播放苗情变化趋势；</w:t>
            </w:r>
          </w:p>
          <w:p w14:paraId="4FA6B7A9">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嵌入式系统设计： 系统采用FREERTOS操作系统，提升了系统运行的可靠性、多数据采集任务的实时性、系统模块化、CPU的高效化应用；</w:t>
            </w:r>
          </w:p>
          <w:p w14:paraId="5F188DA3">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内存容量： 系统支持TF卡配置，可存储40万条传感器数据，可以确保5年传感器数据存储；</w:t>
            </w:r>
          </w:p>
          <w:p w14:paraId="17281C9B">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网络通讯：系统支持三网通4G CAT1（可选配5G）网络与服务器通讯，网络向下兼容联通移动的2G，可随时随地联网管理，支持手机App与Web端远程查看设备信息及远程管理操作；</w:t>
            </w:r>
          </w:p>
          <w:p w14:paraId="0B12CB93">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故障排查：设备支持远程故障在线诊断，当设备发生故障，可通过远程在线故障诊断功能进行故障排查；</w:t>
            </w:r>
          </w:p>
          <w:p w14:paraId="2E5F260B">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远程升级：设备具有OTA远程固件在线升级功能，可通过平台或者app，直接远程对硬件设备进行固件升级；</w:t>
            </w:r>
          </w:p>
          <w:p w14:paraId="6F46F1E8">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低功耗设计：低功耗设计加太阳能互补方式，内置大容量锂电池，放置在野外无太阳能充电的情况下，可以连续工作15日以上，有太阳能充电的情况下，可持续工作；</w:t>
            </w:r>
          </w:p>
          <w:p w14:paraId="10ACAC81">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防水设计：系统整机采用一体式设计，防湿防潮设计，防护等级：IP65，土壤传感器防水等级IP68；</w:t>
            </w:r>
          </w:p>
          <w:p w14:paraId="4F3DA83B">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传感器技术参数：</w:t>
            </w:r>
          </w:p>
          <w:p w14:paraId="3697218C">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4层土壤水分测量范围：0～100%VWC；分辨率：0.1%；精度：0～50%，±3%</w:t>
            </w:r>
            <w:r>
              <w:rPr>
                <w:rFonts w:hint="eastAsia" w:ascii="宋体" w:hAnsi="宋体" w:eastAsia="宋体" w:cs="宋体"/>
                <w:color w:val="auto"/>
                <w:sz w:val="21"/>
                <w:szCs w:val="21"/>
                <w:highlight w:val="none"/>
                <w:lang w:eastAsia="zh-CN"/>
              </w:rPr>
              <w:t>；</w:t>
            </w:r>
          </w:p>
          <w:p w14:paraId="6C8421D5">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4层土壤温度测量范围：-40℃～70℃；分辨率：0.1℃；精度：±0.5℃</w:t>
            </w:r>
            <w:r>
              <w:rPr>
                <w:rFonts w:hint="eastAsia" w:ascii="宋体" w:hAnsi="宋体" w:eastAsia="宋体" w:cs="宋体"/>
                <w:color w:val="auto"/>
                <w:sz w:val="21"/>
                <w:szCs w:val="21"/>
                <w:highlight w:val="none"/>
                <w:lang w:eastAsia="zh-CN"/>
              </w:rPr>
              <w:t>。</w:t>
            </w:r>
          </w:p>
        </w:tc>
      </w:tr>
      <w:tr w14:paraId="0014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0" w:type="dxa"/>
            <w:noWrap w:val="0"/>
            <w:vAlign w:val="center"/>
          </w:tcPr>
          <w:p w14:paraId="2E9643E9">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819" w:type="dxa"/>
            <w:vMerge w:val="continue"/>
            <w:noWrap w:val="0"/>
            <w:vAlign w:val="center"/>
          </w:tcPr>
          <w:p w14:paraId="67505163">
            <w:pPr>
              <w:spacing w:line="400" w:lineRule="exact"/>
              <w:jc w:val="center"/>
              <w:rPr>
                <w:rFonts w:hint="eastAsia" w:ascii="宋体" w:hAnsi="宋体" w:eastAsia="宋体" w:cs="宋体"/>
                <w:color w:val="auto"/>
                <w:sz w:val="21"/>
                <w:szCs w:val="21"/>
                <w:highlight w:val="none"/>
                <w:lang w:val="en-US" w:eastAsia="zh-CN"/>
              </w:rPr>
            </w:pPr>
          </w:p>
        </w:tc>
        <w:tc>
          <w:tcPr>
            <w:tcW w:w="1016" w:type="dxa"/>
            <w:noWrap w:val="0"/>
            <w:vAlign w:val="center"/>
          </w:tcPr>
          <w:p w14:paraId="3A0D9BC9">
            <w:pPr>
              <w:spacing w:line="40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苗情监控球机</w:t>
            </w:r>
          </w:p>
        </w:tc>
        <w:tc>
          <w:tcPr>
            <w:tcW w:w="809" w:type="dxa"/>
            <w:noWrap w:val="0"/>
            <w:vAlign w:val="center"/>
          </w:tcPr>
          <w:p w14:paraId="4C32F8C5">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套</w:t>
            </w:r>
          </w:p>
        </w:tc>
        <w:tc>
          <w:tcPr>
            <w:tcW w:w="679" w:type="dxa"/>
            <w:noWrap w:val="0"/>
            <w:vAlign w:val="center"/>
          </w:tcPr>
          <w:p w14:paraId="7741248A">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5285" w:type="dxa"/>
            <w:noWrap w:val="0"/>
            <w:vAlign w:val="center"/>
          </w:tcPr>
          <w:p w14:paraId="37CEF6A8">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7寸400万23倍;支持最大2560 × 1440 @30 fps高清画面输出;支持切换为人脸抓拍模式，最大同时抓拍5张人脸;支持H.265高效压缩算法，可较大节省存储空间;支持超低照度，0.005 Lux @F1.6（彩色），0.001 Lux @F1.6（黑白），0 Lux with IR;支持23倍光学变倍，16倍数字变倍。</w:t>
            </w:r>
          </w:p>
        </w:tc>
      </w:tr>
      <w:tr w14:paraId="711C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0" w:type="dxa"/>
            <w:noWrap w:val="0"/>
            <w:vAlign w:val="center"/>
          </w:tcPr>
          <w:p w14:paraId="3A994A94">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19</w:t>
            </w:r>
          </w:p>
        </w:tc>
        <w:tc>
          <w:tcPr>
            <w:tcW w:w="819" w:type="dxa"/>
            <w:vMerge w:val="continue"/>
            <w:noWrap w:val="0"/>
            <w:vAlign w:val="center"/>
          </w:tcPr>
          <w:p w14:paraId="2E585DAA">
            <w:pPr>
              <w:spacing w:line="400" w:lineRule="exact"/>
              <w:jc w:val="center"/>
              <w:rPr>
                <w:rFonts w:hint="eastAsia" w:ascii="宋体" w:hAnsi="宋体" w:eastAsia="宋体" w:cs="宋体"/>
                <w:color w:val="auto"/>
                <w:sz w:val="21"/>
                <w:szCs w:val="21"/>
                <w:highlight w:val="none"/>
                <w:lang w:val="en-US" w:eastAsia="zh-CN"/>
              </w:rPr>
            </w:pPr>
          </w:p>
        </w:tc>
        <w:tc>
          <w:tcPr>
            <w:tcW w:w="1016" w:type="dxa"/>
            <w:noWrap w:val="0"/>
            <w:vAlign w:val="center"/>
          </w:tcPr>
          <w:p w14:paraId="149C9F85">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交换机</w:t>
            </w:r>
          </w:p>
        </w:tc>
        <w:tc>
          <w:tcPr>
            <w:tcW w:w="809" w:type="dxa"/>
            <w:noWrap w:val="0"/>
            <w:vAlign w:val="center"/>
          </w:tcPr>
          <w:p w14:paraId="1CE06346">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79" w:type="dxa"/>
            <w:noWrap w:val="0"/>
            <w:vAlign w:val="center"/>
          </w:tcPr>
          <w:p w14:paraId="7DFB2BCE">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5285" w:type="dxa"/>
            <w:noWrap w:val="0"/>
            <w:vAlign w:val="center"/>
          </w:tcPr>
          <w:p w14:paraId="7EF96116">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5口 100M自适应以太网交换机 RJ45端口。</w:t>
            </w:r>
          </w:p>
        </w:tc>
      </w:tr>
      <w:tr w14:paraId="34A5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0" w:type="dxa"/>
            <w:noWrap w:val="0"/>
            <w:vAlign w:val="center"/>
          </w:tcPr>
          <w:p w14:paraId="04D36A8B">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819" w:type="dxa"/>
            <w:vMerge w:val="continue"/>
            <w:noWrap w:val="0"/>
            <w:vAlign w:val="center"/>
          </w:tcPr>
          <w:p w14:paraId="604D003D">
            <w:pPr>
              <w:spacing w:line="400" w:lineRule="exact"/>
              <w:jc w:val="center"/>
              <w:rPr>
                <w:rFonts w:hint="eastAsia" w:ascii="宋体" w:hAnsi="宋体" w:eastAsia="宋体" w:cs="宋体"/>
                <w:color w:val="auto"/>
                <w:sz w:val="21"/>
                <w:szCs w:val="21"/>
                <w:highlight w:val="none"/>
                <w:lang w:val="en-US" w:eastAsia="zh-CN"/>
              </w:rPr>
            </w:pPr>
          </w:p>
        </w:tc>
        <w:tc>
          <w:tcPr>
            <w:tcW w:w="1016" w:type="dxa"/>
            <w:noWrap w:val="0"/>
            <w:vAlign w:val="center"/>
          </w:tcPr>
          <w:p w14:paraId="6E78CFB2">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光纤收发器</w:t>
            </w:r>
          </w:p>
        </w:tc>
        <w:tc>
          <w:tcPr>
            <w:tcW w:w="809" w:type="dxa"/>
            <w:noWrap w:val="0"/>
            <w:vAlign w:val="center"/>
          </w:tcPr>
          <w:p w14:paraId="27622AB4">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对</w:t>
            </w:r>
          </w:p>
        </w:tc>
        <w:tc>
          <w:tcPr>
            <w:tcW w:w="679" w:type="dxa"/>
            <w:noWrap w:val="0"/>
            <w:vAlign w:val="center"/>
          </w:tcPr>
          <w:p w14:paraId="6402067E">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5285" w:type="dxa"/>
            <w:noWrap w:val="0"/>
            <w:vAlign w:val="center"/>
          </w:tcPr>
          <w:p w14:paraId="71BD3BC4">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1000M 单模单纤 20km</w:t>
            </w:r>
          </w:p>
        </w:tc>
      </w:tr>
      <w:tr w14:paraId="34C0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0" w:type="dxa"/>
            <w:noWrap w:val="0"/>
            <w:vAlign w:val="center"/>
          </w:tcPr>
          <w:p w14:paraId="037808AC">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w:t>
            </w:r>
          </w:p>
        </w:tc>
        <w:tc>
          <w:tcPr>
            <w:tcW w:w="819" w:type="dxa"/>
            <w:vMerge w:val="continue"/>
            <w:noWrap w:val="0"/>
            <w:vAlign w:val="center"/>
          </w:tcPr>
          <w:p w14:paraId="285E4CFE">
            <w:pPr>
              <w:spacing w:line="400" w:lineRule="exact"/>
              <w:jc w:val="center"/>
              <w:rPr>
                <w:rFonts w:hint="eastAsia" w:ascii="宋体" w:hAnsi="宋体" w:eastAsia="宋体" w:cs="宋体"/>
                <w:color w:val="auto"/>
                <w:sz w:val="21"/>
                <w:szCs w:val="21"/>
                <w:highlight w:val="none"/>
                <w:lang w:val="en-US" w:eastAsia="zh-CN"/>
              </w:rPr>
            </w:pPr>
          </w:p>
        </w:tc>
        <w:tc>
          <w:tcPr>
            <w:tcW w:w="1016" w:type="dxa"/>
            <w:noWrap w:val="0"/>
            <w:vAlign w:val="center"/>
          </w:tcPr>
          <w:p w14:paraId="25EBE914">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防水箱</w:t>
            </w:r>
          </w:p>
        </w:tc>
        <w:tc>
          <w:tcPr>
            <w:tcW w:w="809" w:type="dxa"/>
            <w:noWrap w:val="0"/>
            <w:vAlign w:val="center"/>
          </w:tcPr>
          <w:p w14:paraId="64DFC43A">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79" w:type="dxa"/>
            <w:noWrap w:val="0"/>
            <w:vAlign w:val="center"/>
          </w:tcPr>
          <w:p w14:paraId="48546D59">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5285" w:type="dxa"/>
            <w:noWrap w:val="0"/>
            <w:vAlign w:val="center"/>
          </w:tcPr>
          <w:p w14:paraId="2F053CE9">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配电箱及抱箍 （摄像设备电源防水箱）尺寸规格：≥450*300*250</w:t>
            </w:r>
          </w:p>
        </w:tc>
      </w:tr>
      <w:tr w14:paraId="601B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0" w:type="dxa"/>
            <w:noWrap w:val="0"/>
            <w:vAlign w:val="center"/>
          </w:tcPr>
          <w:p w14:paraId="51496C99">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22</w:t>
            </w:r>
          </w:p>
        </w:tc>
        <w:tc>
          <w:tcPr>
            <w:tcW w:w="819" w:type="dxa"/>
            <w:vMerge w:val="continue"/>
            <w:noWrap w:val="0"/>
            <w:vAlign w:val="center"/>
          </w:tcPr>
          <w:p w14:paraId="1FEC1160">
            <w:pPr>
              <w:spacing w:line="400" w:lineRule="exact"/>
              <w:jc w:val="center"/>
              <w:rPr>
                <w:rFonts w:hint="eastAsia" w:ascii="宋体" w:hAnsi="宋体" w:eastAsia="宋体" w:cs="宋体"/>
                <w:color w:val="auto"/>
                <w:sz w:val="21"/>
                <w:szCs w:val="21"/>
                <w:highlight w:val="none"/>
                <w:lang w:val="en-US" w:eastAsia="zh-CN"/>
              </w:rPr>
            </w:pPr>
          </w:p>
        </w:tc>
        <w:tc>
          <w:tcPr>
            <w:tcW w:w="1016" w:type="dxa"/>
            <w:noWrap w:val="0"/>
            <w:vAlign w:val="center"/>
          </w:tcPr>
          <w:p w14:paraId="2E96EFE9">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硬盘录像机</w:t>
            </w:r>
          </w:p>
        </w:tc>
        <w:tc>
          <w:tcPr>
            <w:tcW w:w="809" w:type="dxa"/>
            <w:noWrap w:val="0"/>
            <w:vAlign w:val="center"/>
          </w:tcPr>
          <w:p w14:paraId="6B10B754">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台</w:t>
            </w:r>
          </w:p>
        </w:tc>
        <w:tc>
          <w:tcPr>
            <w:tcW w:w="679" w:type="dxa"/>
            <w:noWrap w:val="0"/>
            <w:vAlign w:val="center"/>
          </w:tcPr>
          <w:p w14:paraId="33AA3C3E">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5285" w:type="dxa"/>
            <w:noWrap w:val="0"/>
            <w:vAlign w:val="center"/>
          </w:tcPr>
          <w:p w14:paraId="5B666CB8">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1.5U标准机架式IP存储/嵌入式处理器/嵌入式软硬件设计/16路/160M接入/160M存储/80M转发/1.5U/4盘位/1个HDMI、1个VGA同源输出/6路1080P解码/2个千兆网口/2个USB2.0，1个USB3.0/Smart 2.0/N+1热备/ANR/智能检索/浓缩播放/车牌检索/人脸检索/热度图/客流量统计/视频摘要回放/分时段回放/超高倍速回放</w:t>
            </w:r>
          </w:p>
        </w:tc>
      </w:tr>
      <w:tr w14:paraId="0963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0" w:type="dxa"/>
            <w:noWrap w:val="0"/>
            <w:vAlign w:val="center"/>
          </w:tcPr>
          <w:p w14:paraId="262344AA">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23</w:t>
            </w:r>
          </w:p>
        </w:tc>
        <w:tc>
          <w:tcPr>
            <w:tcW w:w="819" w:type="dxa"/>
            <w:vMerge w:val="continue"/>
            <w:noWrap w:val="0"/>
            <w:vAlign w:val="center"/>
          </w:tcPr>
          <w:p w14:paraId="46E82B97">
            <w:pPr>
              <w:spacing w:line="400" w:lineRule="exact"/>
              <w:jc w:val="center"/>
              <w:rPr>
                <w:rFonts w:hint="eastAsia" w:ascii="宋体" w:hAnsi="宋体" w:eastAsia="宋体" w:cs="宋体"/>
                <w:color w:val="auto"/>
                <w:sz w:val="21"/>
                <w:szCs w:val="21"/>
                <w:highlight w:val="none"/>
                <w:lang w:val="en-US" w:eastAsia="zh-CN"/>
              </w:rPr>
            </w:pPr>
          </w:p>
        </w:tc>
        <w:tc>
          <w:tcPr>
            <w:tcW w:w="1016" w:type="dxa"/>
            <w:noWrap w:val="0"/>
            <w:vAlign w:val="center"/>
          </w:tcPr>
          <w:p w14:paraId="11B61167">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汇聚交换机</w:t>
            </w:r>
          </w:p>
        </w:tc>
        <w:tc>
          <w:tcPr>
            <w:tcW w:w="809" w:type="dxa"/>
            <w:noWrap w:val="0"/>
            <w:vAlign w:val="center"/>
          </w:tcPr>
          <w:p w14:paraId="11E6A246">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台</w:t>
            </w:r>
          </w:p>
        </w:tc>
        <w:tc>
          <w:tcPr>
            <w:tcW w:w="679" w:type="dxa"/>
            <w:noWrap w:val="0"/>
            <w:vAlign w:val="center"/>
          </w:tcPr>
          <w:p w14:paraId="5D296BEB">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5285" w:type="dxa"/>
            <w:noWrap w:val="0"/>
            <w:vAlign w:val="center"/>
          </w:tcPr>
          <w:p w14:paraId="32BB0957">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16口 1000M自适应RJ45端口</w:t>
            </w:r>
          </w:p>
        </w:tc>
      </w:tr>
      <w:tr w14:paraId="5EA8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0" w:type="dxa"/>
            <w:noWrap w:val="0"/>
            <w:vAlign w:val="center"/>
          </w:tcPr>
          <w:p w14:paraId="46BA47A9">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24</w:t>
            </w:r>
          </w:p>
        </w:tc>
        <w:tc>
          <w:tcPr>
            <w:tcW w:w="819" w:type="dxa"/>
            <w:vMerge w:val="continue"/>
            <w:noWrap w:val="0"/>
            <w:vAlign w:val="center"/>
          </w:tcPr>
          <w:p w14:paraId="14A3E806">
            <w:pPr>
              <w:spacing w:line="400" w:lineRule="exact"/>
              <w:jc w:val="center"/>
              <w:rPr>
                <w:rFonts w:hint="eastAsia" w:ascii="宋体" w:hAnsi="宋体" w:eastAsia="宋体" w:cs="宋体"/>
                <w:color w:val="auto"/>
                <w:sz w:val="21"/>
                <w:szCs w:val="21"/>
                <w:highlight w:val="none"/>
                <w:lang w:val="en-US" w:eastAsia="zh-CN"/>
              </w:rPr>
            </w:pPr>
          </w:p>
        </w:tc>
        <w:tc>
          <w:tcPr>
            <w:tcW w:w="1016" w:type="dxa"/>
            <w:noWrap w:val="0"/>
            <w:vAlign w:val="center"/>
          </w:tcPr>
          <w:p w14:paraId="39A1CB40">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硬盘</w:t>
            </w:r>
          </w:p>
        </w:tc>
        <w:tc>
          <w:tcPr>
            <w:tcW w:w="809" w:type="dxa"/>
            <w:noWrap w:val="0"/>
            <w:vAlign w:val="center"/>
          </w:tcPr>
          <w:p w14:paraId="6B17E5F7">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块</w:t>
            </w:r>
          </w:p>
        </w:tc>
        <w:tc>
          <w:tcPr>
            <w:tcW w:w="679" w:type="dxa"/>
            <w:noWrap w:val="0"/>
            <w:vAlign w:val="center"/>
          </w:tcPr>
          <w:p w14:paraId="29AF5066">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5285" w:type="dxa"/>
            <w:noWrap w:val="0"/>
            <w:vAlign w:val="center"/>
          </w:tcPr>
          <w:p w14:paraId="50885B9A">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2TB 监控级 接口SATA 转速5400 缓存64M 3.5寸</w:t>
            </w:r>
          </w:p>
        </w:tc>
      </w:tr>
      <w:tr w14:paraId="15D9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0" w:type="dxa"/>
            <w:noWrap w:val="0"/>
            <w:vAlign w:val="center"/>
          </w:tcPr>
          <w:p w14:paraId="22FE7AF7">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25</w:t>
            </w:r>
          </w:p>
        </w:tc>
        <w:tc>
          <w:tcPr>
            <w:tcW w:w="819" w:type="dxa"/>
            <w:vMerge w:val="continue"/>
            <w:noWrap w:val="0"/>
            <w:vAlign w:val="center"/>
          </w:tcPr>
          <w:p w14:paraId="1942EC68">
            <w:pPr>
              <w:spacing w:line="400" w:lineRule="exact"/>
              <w:jc w:val="center"/>
              <w:rPr>
                <w:rFonts w:hint="eastAsia" w:ascii="宋体" w:hAnsi="宋体" w:eastAsia="宋体" w:cs="宋体"/>
                <w:color w:val="auto"/>
                <w:sz w:val="21"/>
                <w:szCs w:val="21"/>
                <w:highlight w:val="none"/>
                <w:lang w:val="en-US" w:eastAsia="zh-CN"/>
              </w:rPr>
            </w:pPr>
          </w:p>
        </w:tc>
        <w:tc>
          <w:tcPr>
            <w:tcW w:w="1016" w:type="dxa"/>
            <w:noWrap w:val="0"/>
            <w:vAlign w:val="center"/>
          </w:tcPr>
          <w:p w14:paraId="65BBAEA5">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路由器</w:t>
            </w:r>
          </w:p>
        </w:tc>
        <w:tc>
          <w:tcPr>
            <w:tcW w:w="809" w:type="dxa"/>
            <w:noWrap w:val="0"/>
            <w:vAlign w:val="center"/>
          </w:tcPr>
          <w:p w14:paraId="5B310DEC">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套</w:t>
            </w:r>
          </w:p>
        </w:tc>
        <w:tc>
          <w:tcPr>
            <w:tcW w:w="679" w:type="dxa"/>
            <w:noWrap w:val="0"/>
            <w:vAlign w:val="center"/>
          </w:tcPr>
          <w:p w14:paraId="1532C041">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5285" w:type="dxa"/>
            <w:noWrap w:val="0"/>
            <w:vAlign w:val="center"/>
          </w:tcPr>
          <w:p w14:paraId="5A27F984">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无线450M 1个千兆WAN口，1个千兆LAN口，3个WAN/LAN千兆可变口 1USB 带机:无线30/总50  AC（10）</w:t>
            </w:r>
          </w:p>
        </w:tc>
      </w:tr>
      <w:tr w14:paraId="3E69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0" w:type="dxa"/>
            <w:noWrap w:val="0"/>
            <w:vAlign w:val="center"/>
          </w:tcPr>
          <w:p w14:paraId="2098905E">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26</w:t>
            </w:r>
          </w:p>
        </w:tc>
        <w:tc>
          <w:tcPr>
            <w:tcW w:w="819" w:type="dxa"/>
            <w:vMerge w:val="continue"/>
            <w:noWrap w:val="0"/>
            <w:vAlign w:val="center"/>
          </w:tcPr>
          <w:p w14:paraId="725169A8">
            <w:pPr>
              <w:spacing w:line="400" w:lineRule="exact"/>
              <w:jc w:val="center"/>
              <w:rPr>
                <w:rFonts w:hint="eastAsia" w:ascii="宋体" w:hAnsi="宋体" w:eastAsia="宋体" w:cs="宋体"/>
                <w:color w:val="auto"/>
                <w:sz w:val="21"/>
                <w:szCs w:val="21"/>
                <w:highlight w:val="none"/>
                <w:lang w:val="en-US" w:eastAsia="zh-CN"/>
              </w:rPr>
            </w:pPr>
          </w:p>
        </w:tc>
        <w:tc>
          <w:tcPr>
            <w:tcW w:w="1016" w:type="dxa"/>
            <w:noWrap w:val="0"/>
            <w:vAlign w:val="center"/>
          </w:tcPr>
          <w:p w14:paraId="26156191">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水质监测设备</w:t>
            </w:r>
          </w:p>
        </w:tc>
        <w:tc>
          <w:tcPr>
            <w:tcW w:w="809" w:type="dxa"/>
            <w:noWrap w:val="0"/>
            <w:vAlign w:val="center"/>
          </w:tcPr>
          <w:p w14:paraId="41EB0372">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套</w:t>
            </w:r>
          </w:p>
        </w:tc>
        <w:tc>
          <w:tcPr>
            <w:tcW w:w="679" w:type="dxa"/>
            <w:noWrap w:val="0"/>
            <w:vAlign w:val="center"/>
          </w:tcPr>
          <w:p w14:paraId="33230CEE">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5285" w:type="dxa"/>
            <w:noWrap w:val="0"/>
            <w:vAlign w:val="center"/>
          </w:tcPr>
          <w:p w14:paraId="6CC50776">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水质浮标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水质浮漂一套，确保传感器稳定</w:t>
            </w:r>
            <w:r>
              <w:rPr>
                <w:rFonts w:hint="eastAsia" w:ascii="宋体" w:hAnsi="宋体" w:eastAsia="宋体" w:cs="宋体"/>
                <w:color w:val="auto"/>
                <w:sz w:val="21"/>
                <w:szCs w:val="21"/>
                <w:highlight w:val="none"/>
                <w:lang w:eastAsia="zh-CN"/>
              </w:rPr>
              <w:t>；</w:t>
            </w:r>
          </w:p>
          <w:p w14:paraId="52B421E2">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水质主机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水质监测主机一套，含显示屏、网关等</w:t>
            </w:r>
            <w:r>
              <w:rPr>
                <w:rFonts w:hint="eastAsia" w:ascii="宋体" w:hAnsi="宋体" w:eastAsia="宋体" w:cs="宋体"/>
                <w:color w:val="auto"/>
                <w:sz w:val="21"/>
                <w:szCs w:val="21"/>
                <w:highlight w:val="none"/>
                <w:lang w:eastAsia="zh-CN"/>
              </w:rPr>
              <w:t>；</w:t>
            </w:r>
          </w:p>
          <w:p w14:paraId="57C59004">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ph传感器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传感器主要芯片采用进口。测量范围：0~14pH</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精度：1%FS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高阻抗设计，抗干扰性好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数字式通讯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操作温度：0-45℃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压力：&lt;3bar</w:t>
            </w:r>
            <w:r>
              <w:rPr>
                <w:rFonts w:hint="eastAsia" w:ascii="宋体" w:hAnsi="宋体" w:eastAsia="宋体" w:cs="宋体"/>
                <w:color w:val="auto"/>
                <w:sz w:val="21"/>
                <w:szCs w:val="21"/>
                <w:highlight w:val="none"/>
                <w:lang w:eastAsia="zh-CN"/>
              </w:rPr>
              <w:t>；</w:t>
            </w:r>
          </w:p>
          <w:p w14:paraId="12D8419E">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溶解氧传感器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传感器主要芯片采用进口。测量范围：0.00~20.00mg/L，温度补偿至25℃</w:t>
            </w:r>
          </w:p>
          <w:p w14:paraId="3839EF17">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精度：3%FS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  辨 率： 0.01mg/L</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操作温度：0~45℃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数字式通讯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无需更换填充液和膜头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压力：&lt;3bar</w:t>
            </w:r>
            <w:r>
              <w:rPr>
                <w:rFonts w:hint="eastAsia" w:ascii="宋体" w:hAnsi="宋体" w:eastAsia="宋体" w:cs="宋体"/>
                <w:color w:val="auto"/>
                <w:sz w:val="21"/>
                <w:szCs w:val="21"/>
                <w:highlight w:val="none"/>
                <w:lang w:eastAsia="zh-CN"/>
              </w:rPr>
              <w:t>；</w:t>
            </w:r>
          </w:p>
          <w:p w14:paraId="1F1B2920">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氨氮传感器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传感器主要芯片采用进口。量程：0.00~1000mg/L</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准确度：5%FS</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分辨 率： 0.01mg/L</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数字式通讯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样品温度：0～45℃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压力：&lt;3bar不锈钢材质</w:t>
            </w:r>
            <w:r>
              <w:rPr>
                <w:rFonts w:hint="eastAsia" w:ascii="宋体" w:hAnsi="宋体" w:eastAsia="宋体" w:cs="宋体"/>
                <w:color w:val="auto"/>
                <w:sz w:val="21"/>
                <w:szCs w:val="21"/>
                <w:highlight w:val="none"/>
                <w:lang w:eastAsia="zh-CN"/>
              </w:rPr>
              <w:t>；</w:t>
            </w:r>
          </w:p>
          <w:p w14:paraId="0BA3AE7C">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供电服务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提供水质监测</w:t>
            </w:r>
            <w:r>
              <w:rPr>
                <w:rFonts w:hint="eastAsia" w:ascii="宋体" w:hAnsi="宋体" w:eastAsia="宋体" w:cs="宋体"/>
                <w:color w:val="auto"/>
                <w:sz w:val="21"/>
                <w:szCs w:val="21"/>
                <w:highlight w:val="none"/>
                <w:lang w:val="en-US" w:eastAsia="zh-CN"/>
              </w:rPr>
              <w:t>设备</w:t>
            </w:r>
            <w:r>
              <w:rPr>
                <w:rFonts w:hint="eastAsia" w:ascii="宋体" w:hAnsi="宋体" w:eastAsia="宋体" w:cs="宋体"/>
                <w:color w:val="auto"/>
                <w:sz w:val="21"/>
                <w:szCs w:val="21"/>
                <w:highlight w:val="none"/>
              </w:rPr>
              <w:t>供电</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w:t>
            </w:r>
          </w:p>
        </w:tc>
      </w:tr>
      <w:tr w14:paraId="1504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0" w:type="dxa"/>
            <w:noWrap w:val="0"/>
            <w:vAlign w:val="center"/>
          </w:tcPr>
          <w:p w14:paraId="46BBE817">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27</w:t>
            </w:r>
          </w:p>
        </w:tc>
        <w:tc>
          <w:tcPr>
            <w:tcW w:w="819" w:type="dxa"/>
            <w:vMerge w:val="restart"/>
            <w:noWrap w:val="0"/>
            <w:vAlign w:val="center"/>
          </w:tcPr>
          <w:p w14:paraId="050A52EA">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田间广播</w:t>
            </w:r>
          </w:p>
        </w:tc>
        <w:tc>
          <w:tcPr>
            <w:tcW w:w="1016" w:type="dxa"/>
            <w:noWrap w:val="0"/>
            <w:vAlign w:val="center"/>
          </w:tcPr>
          <w:p w14:paraId="11A943AC">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网络喊话控制平台终端</w:t>
            </w:r>
          </w:p>
        </w:tc>
        <w:tc>
          <w:tcPr>
            <w:tcW w:w="809" w:type="dxa"/>
            <w:noWrap w:val="0"/>
            <w:vAlign w:val="center"/>
          </w:tcPr>
          <w:p w14:paraId="673D4716">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79" w:type="dxa"/>
            <w:noWrap w:val="0"/>
            <w:vAlign w:val="center"/>
          </w:tcPr>
          <w:p w14:paraId="0EB429E9">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285" w:type="dxa"/>
            <w:noWrap w:val="0"/>
            <w:vAlign w:val="center"/>
          </w:tcPr>
          <w:p w14:paraId="5183CAE9">
            <w:pPr>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设备支持连接网络、分区，话筒喊话功能及云端对接</w:t>
            </w:r>
          </w:p>
        </w:tc>
      </w:tr>
      <w:tr w14:paraId="6CBC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0" w:type="dxa"/>
            <w:noWrap w:val="0"/>
            <w:vAlign w:val="center"/>
          </w:tcPr>
          <w:p w14:paraId="1C5E0037">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28</w:t>
            </w:r>
          </w:p>
        </w:tc>
        <w:tc>
          <w:tcPr>
            <w:tcW w:w="819" w:type="dxa"/>
            <w:vMerge w:val="continue"/>
            <w:noWrap w:val="0"/>
            <w:vAlign w:val="center"/>
          </w:tcPr>
          <w:p w14:paraId="54589128">
            <w:pPr>
              <w:spacing w:line="400" w:lineRule="exact"/>
              <w:jc w:val="center"/>
              <w:rPr>
                <w:rFonts w:hint="eastAsia" w:ascii="宋体" w:hAnsi="宋体" w:eastAsia="宋体" w:cs="宋体"/>
                <w:color w:val="auto"/>
                <w:sz w:val="21"/>
                <w:szCs w:val="21"/>
                <w:highlight w:val="none"/>
                <w:lang w:val="en-US" w:eastAsia="zh-CN"/>
              </w:rPr>
            </w:pPr>
          </w:p>
        </w:tc>
        <w:tc>
          <w:tcPr>
            <w:tcW w:w="1016" w:type="dxa"/>
            <w:noWrap w:val="0"/>
            <w:vAlign w:val="center"/>
          </w:tcPr>
          <w:p w14:paraId="5C931738">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有线会议话筒</w:t>
            </w:r>
          </w:p>
        </w:tc>
        <w:tc>
          <w:tcPr>
            <w:tcW w:w="809" w:type="dxa"/>
            <w:noWrap w:val="0"/>
            <w:vAlign w:val="center"/>
          </w:tcPr>
          <w:p w14:paraId="2F5746E4">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79" w:type="dxa"/>
            <w:noWrap w:val="0"/>
            <w:vAlign w:val="center"/>
          </w:tcPr>
          <w:p w14:paraId="17200D91">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285" w:type="dxa"/>
            <w:noWrap w:val="0"/>
            <w:vAlign w:val="center"/>
          </w:tcPr>
          <w:p w14:paraId="7791E27B">
            <w:pPr>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专业电容音头，高灵敏度，频响特性好，外形设计采用当代最新款式，线条流畅，特色显著，是各种会议、广播、演讲、集会使用的专业麦克风。</w:t>
            </w:r>
          </w:p>
        </w:tc>
      </w:tr>
      <w:tr w14:paraId="42E7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0" w:type="dxa"/>
            <w:noWrap w:val="0"/>
            <w:vAlign w:val="center"/>
          </w:tcPr>
          <w:p w14:paraId="5235651A">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29</w:t>
            </w:r>
          </w:p>
        </w:tc>
        <w:tc>
          <w:tcPr>
            <w:tcW w:w="819" w:type="dxa"/>
            <w:vMerge w:val="continue"/>
            <w:noWrap w:val="0"/>
            <w:vAlign w:val="center"/>
          </w:tcPr>
          <w:p w14:paraId="0E4A2C78">
            <w:pPr>
              <w:spacing w:line="400" w:lineRule="exact"/>
              <w:jc w:val="center"/>
              <w:rPr>
                <w:rFonts w:hint="eastAsia" w:ascii="宋体" w:hAnsi="宋体" w:eastAsia="宋体" w:cs="宋体"/>
                <w:color w:val="auto"/>
                <w:sz w:val="21"/>
                <w:szCs w:val="21"/>
                <w:highlight w:val="none"/>
                <w:lang w:val="en-US" w:eastAsia="zh-CN"/>
              </w:rPr>
            </w:pPr>
          </w:p>
        </w:tc>
        <w:tc>
          <w:tcPr>
            <w:tcW w:w="1016" w:type="dxa"/>
            <w:noWrap w:val="0"/>
            <w:vAlign w:val="center"/>
          </w:tcPr>
          <w:p w14:paraId="2130013A">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便携式管理端</w:t>
            </w:r>
          </w:p>
        </w:tc>
        <w:tc>
          <w:tcPr>
            <w:tcW w:w="809" w:type="dxa"/>
            <w:noWrap w:val="0"/>
            <w:vAlign w:val="center"/>
          </w:tcPr>
          <w:p w14:paraId="6ABD826C">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79" w:type="dxa"/>
            <w:noWrap w:val="0"/>
            <w:vAlign w:val="center"/>
          </w:tcPr>
          <w:p w14:paraId="0ABB4D2B">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285" w:type="dxa"/>
            <w:noWrap w:val="0"/>
            <w:vAlign w:val="center"/>
          </w:tcPr>
          <w:p w14:paraId="79997FA5">
            <w:pPr>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手机端快速语音输入</w:t>
            </w:r>
          </w:p>
        </w:tc>
      </w:tr>
      <w:tr w14:paraId="5B78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0" w:type="dxa"/>
            <w:noWrap w:val="0"/>
            <w:vAlign w:val="center"/>
          </w:tcPr>
          <w:p w14:paraId="2528CCD2">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819" w:type="dxa"/>
            <w:vMerge w:val="continue"/>
            <w:noWrap w:val="0"/>
            <w:vAlign w:val="center"/>
          </w:tcPr>
          <w:p w14:paraId="4FB0419C">
            <w:pPr>
              <w:spacing w:line="400" w:lineRule="exact"/>
              <w:jc w:val="center"/>
              <w:rPr>
                <w:rFonts w:hint="eastAsia" w:ascii="宋体" w:hAnsi="宋体" w:eastAsia="宋体" w:cs="宋体"/>
                <w:color w:val="auto"/>
                <w:sz w:val="21"/>
                <w:szCs w:val="21"/>
                <w:highlight w:val="none"/>
                <w:lang w:val="en-US" w:eastAsia="zh-CN"/>
              </w:rPr>
            </w:pPr>
          </w:p>
        </w:tc>
        <w:tc>
          <w:tcPr>
            <w:tcW w:w="1016" w:type="dxa"/>
            <w:noWrap w:val="0"/>
            <w:vAlign w:val="center"/>
          </w:tcPr>
          <w:p w14:paraId="631C60BC">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4G无线广播终端</w:t>
            </w:r>
          </w:p>
        </w:tc>
        <w:tc>
          <w:tcPr>
            <w:tcW w:w="809" w:type="dxa"/>
            <w:noWrap w:val="0"/>
            <w:vAlign w:val="center"/>
          </w:tcPr>
          <w:p w14:paraId="1454356C">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79" w:type="dxa"/>
            <w:noWrap w:val="0"/>
            <w:vAlign w:val="center"/>
          </w:tcPr>
          <w:p w14:paraId="6A12F0AD">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5285" w:type="dxa"/>
            <w:noWrap w:val="0"/>
            <w:vAlign w:val="center"/>
          </w:tcPr>
          <w:p w14:paraId="1EC7DAE7">
            <w:pPr>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1、采用可寻址全数据解码（4G），无频率漂移和邻频干扰，超强的抗干扰能力，当有非法信号入侵时，接收终端能在5秒钟内自动关机；全天候防雨、通过IPX3防水检测，金属外壳，美观大方，音质通透；</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2、接收频率:78.0MHZ-108.0MHZ，采用第三代高性能、低能耗、全功能的立体声调频接收芯片；信号强度自动显示，接收频率三级优先设计，动态扫描根据信号强度自动优先选择接收频率；</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3、微电脑锁相，频率准确稳定；模块化设计，专业屏蔽盒式设计，超强的抗干扰性能、更简便的后期维护；终端接受主机房远程控制，可以实现任意编码，具有广播断电自动恢复功能；</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4、接收频率、音量、编码数码显示，可本机手动或机房远程6、终端支持内置100W  D类数字音频功率放大器，具备过流过压过载自动保护功能，两组4-16Ω定阻输出，具备噪音低，音质优美不失真，效率高，功耗小的优点。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频率稳定度：1x10-6</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灵敏度：≤10uv</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信噪比：≥60dB</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失真度:≤1%</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频响：80Hz-1500Hz</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电源电压：AC-220±20%</w:t>
            </w:r>
          </w:p>
        </w:tc>
      </w:tr>
      <w:tr w14:paraId="5C58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0" w:type="dxa"/>
            <w:noWrap w:val="0"/>
            <w:vAlign w:val="center"/>
          </w:tcPr>
          <w:p w14:paraId="77467655">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819" w:type="dxa"/>
            <w:vMerge w:val="continue"/>
            <w:noWrap w:val="0"/>
            <w:vAlign w:val="center"/>
          </w:tcPr>
          <w:p w14:paraId="369BCA59">
            <w:pPr>
              <w:spacing w:line="400" w:lineRule="exact"/>
              <w:jc w:val="center"/>
              <w:rPr>
                <w:rFonts w:hint="eastAsia" w:ascii="宋体" w:hAnsi="宋体" w:eastAsia="宋体" w:cs="宋体"/>
                <w:color w:val="auto"/>
                <w:sz w:val="21"/>
                <w:szCs w:val="21"/>
                <w:highlight w:val="none"/>
                <w:lang w:val="en-US" w:eastAsia="zh-CN"/>
              </w:rPr>
            </w:pPr>
          </w:p>
        </w:tc>
        <w:tc>
          <w:tcPr>
            <w:tcW w:w="1016" w:type="dxa"/>
            <w:noWrap w:val="0"/>
            <w:vAlign w:val="center"/>
          </w:tcPr>
          <w:p w14:paraId="051D294E">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高音喇叭</w:t>
            </w:r>
          </w:p>
        </w:tc>
        <w:tc>
          <w:tcPr>
            <w:tcW w:w="809" w:type="dxa"/>
            <w:noWrap w:val="0"/>
            <w:vAlign w:val="center"/>
          </w:tcPr>
          <w:p w14:paraId="6A91562E">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79" w:type="dxa"/>
            <w:noWrap w:val="0"/>
            <w:vAlign w:val="center"/>
          </w:tcPr>
          <w:p w14:paraId="62AC934C">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5285" w:type="dxa"/>
            <w:noWrap w:val="0"/>
            <w:vAlign w:val="center"/>
          </w:tcPr>
          <w:p w14:paraId="5B08517E">
            <w:pPr>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外形尺寸（mm):φ510*390±2</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1.额定功率:50W</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2.阻抗:16±15%</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3.特性灵敏度级:≥100</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4.频率范围:500~6000</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5.失真:≤20</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重量:4.1</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50W足功率号角扬声器，声音传播远，声音洪亮，音质清晰。</w:t>
            </w:r>
          </w:p>
        </w:tc>
      </w:tr>
      <w:tr w14:paraId="0EB3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noWrap w:val="0"/>
            <w:vAlign w:val="center"/>
          </w:tcPr>
          <w:p w14:paraId="29E0C72F">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32</w:t>
            </w:r>
          </w:p>
        </w:tc>
        <w:tc>
          <w:tcPr>
            <w:tcW w:w="819" w:type="dxa"/>
            <w:noWrap w:val="0"/>
            <w:vAlign w:val="center"/>
          </w:tcPr>
          <w:p w14:paraId="265E1CE6">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绿色防控</w:t>
            </w:r>
          </w:p>
        </w:tc>
        <w:tc>
          <w:tcPr>
            <w:tcW w:w="1016" w:type="dxa"/>
            <w:noWrap w:val="0"/>
            <w:vAlign w:val="center"/>
          </w:tcPr>
          <w:p w14:paraId="70B52C7A">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风吸式景观杀虫灯</w:t>
            </w:r>
          </w:p>
        </w:tc>
        <w:tc>
          <w:tcPr>
            <w:tcW w:w="809" w:type="dxa"/>
            <w:noWrap w:val="0"/>
            <w:vAlign w:val="center"/>
          </w:tcPr>
          <w:p w14:paraId="4EEBAC5D">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台</w:t>
            </w:r>
          </w:p>
        </w:tc>
        <w:tc>
          <w:tcPr>
            <w:tcW w:w="679" w:type="dxa"/>
            <w:noWrap w:val="0"/>
            <w:vAlign w:val="center"/>
          </w:tcPr>
          <w:p w14:paraId="15035F69">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5285" w:type="dxa"/>
            <w:noWrap w:val="0"/>
            <w:vAlign w:val="center"/>
          </w:tcPr>
          <w:p w14:paraId="20E2B43C">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光控</w:t>
            </w:r>
            <w:r>
              <w:rPr>
                <w:rFonts w:hint="eastAsia" w:ascii="宋体" w:hAnsi="宋体" w:eastAsia="宋体" w:cs="宋体"/>
                <w:color w:val="auto"/>
                <w:sz w:val="21"/>
                <w:szCs w:val="21"/>
                <w:highlight w:val="none"/>
                <w:lang w:val="en-US" w:eastAsia="zh-CN"/>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遮挡光控传感器，灯管应自动亮起，杀虫灯进入正常工作状态。去除光控传感器遮挡物，灯管应能自动熄灭，杀虫灯应停止工作。</w:t>
            </w:r>
          </w:p>
          <w:p w14:paraId="01EC1537">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2.时控功能：应具有时间控制功能，控制的时间在1-24个时间段任意控制</w:t>
            </w:r>
          </w:p>
          <w:p w14:paraId="64F0E1B9">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一个账户可远程控制多台不同编号的设备，配置方法由服务人员后台设置</w:t>
            </w:r>
          </w:p>
          <w:p w14:paraId="16C895EB">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可在GIS地图上列出所有安装的联网杀虫灯，可在地图上直接选择进入查看状态，便于统一管理</w:t>
            </w:r>
          </w:p>
          <w:p w14:paraId="31EDD159">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5.远程管理：</w:t>
            </w:r>
            <w:r>
              <w:rPr>
                <w:rFonts w:hint="eastAsia" w:ascii="宋体" w:hAnsi="宋体" w:eastAsia="宋体" w:cs="宋体"/>
                <w:color w:val="auto"/>
                <w:sz w:val="21"/>
                <w:szCs w:val="21"/>
                <w:highlight w:val="none"/>
              </w:rPr>
              <w:t>支持手机App与Web端控制,具有丰富的状态信息展示,足不出户就可以了解一切，如地理位置、设备编号、基地名称、物联网卡卡号、剩余流量、卡有效期、杀虫次数、GSM天线连接是否正常等故障报警信息。可远程控制、查看设备的当前工作状态、信号强度、电量使用等情况。</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eastAsia="zh-CN"/>
              </w:rPr>
              <w:t>投标文件中提供具有检验资质的第三方检测机构出具的带有CMA或CNAS标识的检测报告复印件</w:t>
            </w:r>
            <w:r>
              <w:rPr>
                <w:rFonts w:hint="eastAsia" w:ascii="宋体" w:hAnsi="宋体" w:eastAsia="宋体" w:cs="宋体"/>
                <w:b/>
                <w:bCs/>
                <w:color w:val="auto"/>
                <w:kern w:val="0"/>
                <w:sz w:val="21"/>
                <w:szCs w:val="21"/>
                <w:highlight w:val="none"/>
              </w:rPr>
              <w:t>）</w:t>
            </w:r>
          </w:p>
          <w:p w14:paraId="5FBB8F97">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节能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在线时段可远程设置，最长可设置2小时，非在线时段设备休眠，每隔2h通讯一次。</w:t>
            </w:r>
          </w:p>
          <w:p w14:paraId="6683AC59">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8.防逃逸功能：设备具有防逃逸功能，确保诱捕的害虫不再逃离，集虫装置采用金属网罩。</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eastAsia="zh-CN"/>
              </w:rPr>
              <w:t>投标文件中提供具有检验资质的第三方检测机构出具的带有CMA或CNAS标识的检测报告复印件</w:t>
            </w:r>
            <w:r>
              <w:rPr>
                <w:rFonts w:hint="eastAsia" w:ascii="宋体" w:hAnsi="宋体" w:eastAsia="宋体" w:cs="宋体"/>
                <w:b/>
                <w:bCs/>
                <w:color w:val="auto"/>
                <w:kern w:val="0"/>
                <w:sz w:val="21"/>
                <w:szCs w:val="21"/>
                <w:highlight w:val="none"/>
              </w:rPr>
              <w:t>）</w:t>
            </w:r>
          </w:p>
          <w:p w14:paraId="5111B075">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9.倾倒保护：设备具有倾倒后自动断电功能</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eastAsia="zh-CN"/>
              </w:rPr>
              <w:t>投标文件中提供具有检验资质的第三方检测机构出具的带有CMA或CNAS标识的检测报告复印件</w:t>
            </w:r>
            <w:r>
              <w:rPr>
                <w:rFonts w:hint="eastAsia" w:ascii="宋体" w:hAnsi="宋体" w:eastAsia="宋体" w:cs="宋体"/>
                <w:b/>
                <w:bCs/>
                <w:color w:val="auto"/>
                <w:kern w:val="0"/>
                <w:sz w:val="21"/>
                <w:szCs w:val="21"/>
                <w:highlight w:val="none"/>
              </w:rPr>
              <w:t>）</w:t>
            </w:r>
          </w:p>
          <w:p w14:paraId="172337A7">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电源： DC12.6V锂电池，功率＜20W</w:t>
            </w:r>
          </w:p>
          <w:p w14:paraId="3A325493">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太阳能板：功率40W。</w:t>
            </w:r>
          </w:p>
          <w:p w14:paraId="2E7372B0">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待机功耗≤0.7W。</w:t>
            </w:r>
          </w:p>
          <w:p w14:paraId="58E2D43A">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诱虫灯规格：功率 ≤ 5W（主波长365nm混合LED灯管）。</w:t>
            </w:r>
          </w:p>
          <w:p w14:paraId="02A61731">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风机规格：6W/12V，转速为2200转/分，防水级别为IP68，无刷电机。</w:t>
            </w:r>
          </w:p>
          <w:p w14:paraId="5B48BD2C">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工作温度：工作温度范围是5℃～55℃；</w:t>
            </w:r>
          </w:p>
          <w:p w14:paraId="1D81A167">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储存温度：为-5℃～35℃。，</w:t>
            </w:r>
          </w:p>
          <w:p w14:paraId="749190C6">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低温保护：内置低温保护开关，低于5℃左右时温控开关断开，灯和风扇停止工作。</w:t>
            </w:r>
          </w:p>
          <w:p w14:paraId="6EF5243F">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结构尺寸：670*408*2000mm。</w:t>
            </w:r>
          </w:p>
        </w:tc>
      </w:tr>
      <w:tr w14:paraId="5531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2" w:hRule="atLeast"/>
        </w:trPr>
        <w:tc>
          <w:tcPr>
            <w:tcW w:w="750" w:type="dxa"/>
            <w:noWrap w:val="0"/>
            <w:vAlign w:val="center"/>
          </w:tcPr>
          <w:p w14:paraId="59C622A4">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33</w:t>
            </w:r>
          </w:p>
        </w:tc>
        <w:tc>
          <w:tcPr>
            <w:tcW w:w="819" w:type="dxa"/>
            <w:noWrap w:val="0"/>
            <w:vAlign w:val="center"/>
          </w:tcPr>
          <w:p w14:paraId="5458E314">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田间展示</w:t>
            </w:r>
          </w:p>
        </w:tc>
        <w:tc>
          <w:tcPr>
            <w:tcW w:w="1016" w:type="dxa"/>
            <w:noWrap w:val="0"/>
            <w:vAlign w:val="center"/>
          </w:tcPr>
          <w:p w14:paraId="667063BF">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农田数控</w:t>
            </w:r>
            <w:r>
              <w:rPr>
                <w:rFonts w:hint="eastAsia" w:ascii="宋体" w:hAnsi="宋体" w:eastAsia="宋体" w:cs="宋体"/>
                <w:color w:val="auto"/>
                <w:sz w:val="21"/>
                <w:szCs w:val="21"/>
                <w:highlight w:val="none"/>
                <w:lang w:val="en-US" w:eastAsia="zh-CN"/>
              </w:rPr>
              <w:t>移动</w:t>
            </w:r>
            <w:r>
              <w:rPr>
                <w:rFonts w:hint="eastAsia" w:ascii="宋体" w:hAnsi="宋体" w:eastAsia="宋体" w:cs="宋体"/>
                <w:color w:val="auto"/>
                <w:sz w:val="21"/>
                <w:szCs w:val="21"/>
                <w:highlight w:val="none"/>
              </w:rPr>
              <w:t>大屏</w:t>
            </w:r>
          </w:p>
        </w:tc>
        <w:tc>
          <w:tcPr>
            <w:tcW w:w="809" w:type="dxa"/>
            <w:noWrap w:val="0"/>
            <w:vAlign w:val="center"/>
          </w:tcPr>
          <w:p w14:paraId="15D44128">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套</w:t>
            </w:r>
          </w:p>
        </w:tc>
        <w:tc>
          <w:tcPr>
            <w:tcW w:w="679" w:type="dxa"/>
            <w:noWrap w:val="0"/>
            <w:vAlign w:val="center"/>
          </w:tcPr>
          <w:p w14:paraId="06111257">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5285" w:type="dxa"/>
            <w:noWrap w:val="0"/>
            <w:vAlign w:val="center"/>
          </w:tcPr>
          <w:p w14:paraId="287EBFDE">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屏幕尺寸 85英寸</w:t>
            </w:r>
          </w:p>
          <w:p w14:paraId="275FE8D2">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屏幕比例 16:9</w:t>
            </w:r>
          </w:p>
          <w:p w14:paraId="1C958B80">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显示面积 1651*931mm</w:t>
            </w:r>
          </w:p>
          <w:p w14:paraId="41A5F13C">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可视角度 178°/178°（全视角）</w:t>
            </w:r>
          </w:p>
          <w:p w14:paraId="528D7BEF">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屏幕亮度 ≥350cd/m2（典型值）  </w:t>
            </w:r>
          </w:p>
          <w:p w14:paraId="1600B42B">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背光类型 D-LED</w:t>
            </w:r>
          </w:p>
          <w:p w14:paraId="539DA923">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刷新频率 60HZ</w:t>
            </w:r>
          </w:p>
          <w:p w14:paraId="67375069">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整机功耗 ≤380W</w:t>
            </w:r>
          </w:p>
          <w:p w14:paraId="47DB0759">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待机功耗 ≤1W</w:t>
            </w:r>
          </w:p>
          <w:p w14:paraId="7945F707">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GPU ARM Mali-G52 MP2 (2EE)，主频高达1.9G</w:t>
            </w:r>
          </w:p>
          <w:p w14:paraId="43C28611">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 四核 Cortex-A55</w:t>
            </w:r>
          </w:p>
          <w:p w14:paraId="42DEB33E">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运行内存 （RAM）4G（高速DDR4）</w:t>
            </w:r>
          </w:p>
          <w:p w14:paraId="21F8DB43">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存储内存 （ROM）32G 高速存储内存</w:t>
            </w:r>
          </w:p>
          <w:p w14:paraId="44807E10">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配套：投屏器、智能笔、移动支架</w:t>
            </w:r>
          </w:p>
        </w:tc>
      </w:tr>
      <w:tr w14:paraId="73F8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50" w:type="dxa"/>
            <w:noWrap w:val="0"/>
            <w:vAlign w:val="center"/>
          </w:tcPr>
          <w:p w14:paraId="4906FFCB">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34</w:t>
            </w:r>
          </w:p>
        </w:tc>
        <w:tc>
          <w:tcPr>
            <w:tcW w:w="1835" w:type="dxa"/>
            <w:gridSpan w:val="2"/>
            <w:noWrap w:val="0"/>
            <w:vAlign w:val="center"/>
          </w:tcPr>
          <w:p w14:paraId="54A652F1">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设备安装实施</w:t>
            </w:r>
          </w:p>
        </w:tc>
        <w:tc>
          <w:tcPr>
            <w:tcW w:w="809" w:type="dxa"/>
            <w:noWrap w:val="0"/>
            <w:vAlign w:val="center"/>
          </w:tcPr>
          <w:p w14:paraId="49B0622C">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w:t>
            </w:r>
          </w:p>
        </w:tc>
        <w:tc>
          <w:tcPr>
            <w:tcW w:w="679" w:type="dxa"/>
            <w:noWrap w:val="0"/>
            <w:vAlign w:val="center"/>
          </w:tcPr>
          <w:p w14:paraId="5166C332">
            <w:pPr>
              <w:widowControl/>
              <w:spacing w:line="400" w:lineRule="exact"/>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5285" w:type="dxa"/>
            <w:noWrap w:val="0"/>
            <w:vAlign w:val="center"/>
          </w:tcPr>
          <w:p w14:paraId="25823C64">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含设备安装、施工、接电、布线等配套服务</w:t>
            </w:r>
          </w:p>
        </w:tc>
      </w:tr>
    </w:tbl>
    <w:p w14:paraId="0E3E136B">
      <w:pPr>
        <w:wordWrap/>
        <w:adjustRightInd/>
        <w:spacing w:line="600" w:lineRule="exact"/>
        <w:ind w:right="0"/>
        <w:textAlignment w:val="auto"/>
        <w:outlineLvl w:val="9"/>
        <w:rPr>
          <w:rFonts w:hint="eastAsia" w:ascii="宋体" w:hAnsi="宋体" w:cs="宋体"/>
          <w:b/>
          <w:bCs/>
          <w:sz w:val="24"/>
          <w:highlight w:val="none"/>
          <w:lang w:val="en-US" w:eastAsia="zh-CN"/>
        </w:rPr>
      </w:pPr>
      <w:r>
        <w:rPr>
          <w:rFonts w:hint="eastAsia" w:ascii="宋体" w:hAnsi="宋体" w:cs="宋体"/>
          <w:b/>
          <w:bCs/>
          <w:sz w:val="24"/>
          <w:highlight w:val="none"/>
          <w:lang w:eastAsia="zh-CN"/>
        </w:rPr>
        <w:t>三、</w:t>
      </w:r>
      <w:r>
        <w:rPr>
          <w:rFonts w:hint="eastAsia" w:ascii="宋体" w:hAnsi="宋体" w:cs="宋体"/>
          <w:b/>
          <w:bCs/>
          <w:sz w:val="24"/>
          <w:highlight w:val="none"/>
          <w:lang w:val="en-US" w:eastAsia="zh-CN"/>
        </w:rPr>
        <w:t>售后服务：</w:t>
      </w:r>
    </w:p>
    <w:p w14:paraId="6C80F232">
      <w:pPr>
        <w:wordWrap/>
        <w:adjustRightInd/>
        <w:spacing w:line="600" w:lineRule="exact"/>
        <w:ind w:left="0" w:leftChars="0" w:right="0" w:firstLine="480" w:firstLineChars="200"/>
        <w:textAlignment w:val="auto"/>
        <w:outlineLvl w:val="9"/>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 xml:space="preserve">1、本项目的设备必须为全新的，符合国家标准的合格产品； </w:t>
      </w:r>
    </w:p>
    <w:p w14:paraId="18402DCA">
      <w:pPr>
        <w:wordWrap/>
        <w:adjustRightInd/>
        <w:spacing w:line="600" w:lineRule="exact"/>
        <w:ind w:left="0" w:leftChars="0" w:right="0" w:firstLine="480" w:firstLineChars="200"/>
        <w:textAlignment w:val="auto"/>
        <w:outlineLvl w:val="9"/>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 xml:space="preserve">2、设备不会侵犯任何第三方知识产权； </w:t>
      </w:r>
    </w:p>
    <w:p w14:paraId="7CC9967A">
      <w:pPr>
        <w:wordWrap/>
        <w:adjustRightInd/>
        <w:spacing w:line="600" w:lineRule="exact"/>
        <w:ind w:left="0" w:leftChars="0" w:right="0" w:firstLine="480" w:firstLineChars="200"/>
        <w:textAlignment w:val="auto"/>
        <w:outlineLvl w:val="9"/>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3、项目地点：采购人指定地点；</w:t>
      </w:r>
    </w:p>
    <w:p w14:paraId="463BFC36">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b w:val="0"/>
          <w:bCs w:val="0"/>
          <w:sz w:val="24"/>
          <w:highlight w:val="none"/>
          <w:lang w:val="en-US" w:eastAsia="zh-CN"/>
        </w:rPr>
        <w:t>4、</w:t>
      </w:r>
      <w:r>
        <w:rPr>
          <w:rFonts w:hint="eastAsia" w:ascii="宋体" w:hAnsi="宋体" w:eastAsia="宋体" w:cs="宋体"/>
          <w:sz w:val="24"/>
          <w:highlight w:val="none"/>
        </w:rPr>
        <w:t>质保期：产品验收合格使用之日起</w:t>
      </w:r>
      <w:r>
        <w:rPr>
          <w:rFonts w:hint="eastAsia" w:ascii="宋体" w:hAnsi="宋体" w:cs="宋体"/>
          <w:sz w:val="24"/>
          <w:highlight w:val="none"/>
          <w:lang w:val="en-US" w:eastAsia="zh-CN"/>
        </w:rPr>
        <w:t>2</w:t>
      </w:r>
      <w:r>
        <w:rPr>
          <w:rFonts w:hint="eastAsia" w:ascii="宋体" w:hAnsi="宋体" w:eastAsia="宋体" w:cs="宋体"/>
          <w:sz w:val="24"/>
          <w:highlight w:val="none"/>
        </w:rPr>
        <w:t>年</w:t>
      </w:r>
      <w:r>
        <w:rPr>
          <w:rFonts w:hint="eastAsia" w:ascii="宋体" w:hAnsi="宋体" w:cs="宋体"/>
          <w:sz w:val="24"/>
          <w:highlight w:val="none"/>
          <w:lang w:eastAsia="zh-CN"/>
        </w:rPr>
        <w:t>（</w:t>
      </w:r>
      <w:r>
        <w:rPr>
          <w:rFonts w:hint="eastAsia" w:ascii="宋体" w:hAnsi="宋体" w:cs="宋体"/>
          <w:sz w:val="24"/>
          <w:highlight w:val="none"/>
          <w:lang w:val="en-US" w:eastAsia="zh-CN"/>
        </w:rPr>
        <w:t>质保期满即服务期满</w:t>
      </w:r>
      <w:r>
        <w:rPr>
          <w:rFonts w:hint="eastAsia" w:ascii="宋体" w:hAnsi="宋体" w:cs="宋体"/>
          <w:sz w:val="24"/>
          <w:highlight w:val="none"/>
          <w:lang w:eastAsia="zh-CN"/>
        </w:rPr>
        <w:t>）</w:t>
      </w:r>
      <w:r>
        <w:rPr>
          <w:rFonts w:hint="eastAsia" w:ascii="宋体" w:hAnsi="宋体" w:eastAsia="宋体" w:cs="宋体"/>
          <w:sz w:val="24"/>
          <w:highlight w:val="none"/>
        </w:rPr>
        <w:t>，在质保期内提供免费现场技术服务。在质保期内，投标人应对货物出现的质量及安全问题负责处理解决并承担一切费用。</w:t>
      </w:r>
    </w:p>
    <w:p w14:paraId="6A3F5C9D">
      <w:pPr>
        <w:wordWrap/>
        <w:adjustRightInd/>
        <w:spacing w:line="600" w:lineRule="exact"/>
        <w:ind w:left="0" w:leftChars="0" w:right="0" w:firstLine="480" w:firstLineChars="200"/>
        <w:textAlignment w:val="auto"/>
        <w:outlineLvl w:val="9"/>
        <w:rPr>
          <w:rFonts w:hint="eastAsia" w:ascii="宋体" w:hAnsi="宋体" w:cs="宋体"/>
          <w:b w:val="0"/>
          <w:bCs w:val="0"/>
          <w:sz w:val="24"/>
          <w:highlight w:val="none"/>
          <w:lang w:val="en-US" w:eastAsia="zh-CN"/>
        </w:rPr>
      </w:pPr>
      <w:r>
        <w:rPr>
          <w:rFonts w:hint="eastAsia" w:ascii="宋体" w:hAnsi="宋体" w:cs="宋体"/>
          <w:sz w:val="24"/>
          <w:highlight w:val="none"/>
          <w:lang w:val="en-US" w:eastAsia="zh-CN"/>
        </w:rPr>
        <w:t>5、</w:t>
      </w:r>
      <w:r>
        <w:rPr>
          <w:rFonts w:hint="eastAsia" w:ascii="宋体" w:hAnsi="宋体" w:eastAsia="宋体" w:cs="宋体"/>
          <w:sz w:val="24"/>
          <w:highlight w:val="none"/>
        </w:rPr>
        <w:t>质保期内的维修费用（包括配件）全部由供货方负责，质保期后的维修酌情以成本价收费。</w:t>
      </w:r>
    </w:p>
    <w:p w14:paraId="060978F3">
      <w:pPr>
        <w:wordWrap/>
        <w:adjustRightInd/>
        <w:spacing w:line="600" w:lineRule="exact"/>
        <w:ind w:left="0" w:leftChars="0" w:right="0" w:firstLine="480" w:firstLineChars="200"/>
        <w:textAlignment w:val="auto"/>
        <w:outlineLvl w:val="9"/>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6、中标人针对本项目需提供7×24小时服务，在接到故障申报后，必须做到2小时内响应，8小时到达现场，24小时以内解决问题。</w:t>
      </w:r>
    </w:p>
    <w:p w14:paraId="79C88821">
      <w:pPr>
        <w:wordWrap/>
        <w:adjustRightInd/>
        <w:spacing w:line="600" w:lineRule="exact"/>
        <w:ind w:right="0"/>
        <w:textAlignment w:val="auto"/>
        <w:outlineLvl w:val="9"/>
        <w:rPr>
          <w:rFonts w:hint="eastAsia" w:ascii="宋体" w:hAnsi="宋体" w:cs="宋体"/>
          <w:b/>
          <w:bCs/>
          <w:sz w:val="24"/>
          <w:highlight w:val="none"/>
          <w:lang w:val="en-US" w:eastAsia="zh-CN"/>
        </w:rPr>
      </w:pPr>
      <w:r>
        <w:rPr>
          <w:rFonts w:hint="eastAsia" w:ascii="宋体" w:hAnsi="宋体" w:cs="宋体"/>
          <w:b/>
          <w:bCs/>
          <w:sz w:val="24"/>
          <w:highlight w:val="none"/>
          <w:lang w:eastAsia="zh-CN"/>
        </w:rPr>
        <w:t>四、</w:t>
      </w:r>
      <w:r>
        <w:rPr>
          <w:rFonts w:hint="eastAsia" w:ascii="宋体" w:hAnsi="宋体" w:cs="宋体"/>
          <w:b/>
          <w:bCs/>
          <w:sz w:val="24"/>
          <w:highlight w:val="none"/>
          <w:lang w:val="en-US" w:eastAsia="zh-CN"/>
        </w:rPr>
        <w:t>培训要求：</w:t>
      </w:r>
    </w:p>
    <w:p w14:paraId="421BA306">
      <w:pPr>
        <w:wordWrap/>
        <w:adjustRightInd/>
        <w:spacing w:line="600" w:lineRule="exact"/>
        <w:ind w:left="0" w:leftChars="0" w:right="0" w:firstLine="480" w:firstLineChars="200"/>
        <w:textAlignment w:val="auto"/>
        <w:outlineLvl w:val="9"/>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在本项目服务期内，在项目正式运行后，需提根据用户的实际需求提供相应的系统培训；投标人需提供现场培训服务，并在培训前提供具体的培训方案。培训方案中需详细描述培训内容、人数、时间、地点，培训的材料由投标方负责解决</w:t>
      </w:r>
    </w:p>
    <w:p w14:paraId="6BFC39CE">
      <w:pPr>
        <w:wordWrap/>
        <w:adjustRightInd/>
        <w:spacing w:line="600" w:lineRule="exact"/>
        <w:ind w:right="0"/>
        <w:textAlignment w:val="auto"/>
        <w:outlineLvl w:val="9"/>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五、货物工期：</w:t>
      </w:r>
    </w:p>
    <w:p w14:paraId="09003126">
      <w:pPr>
        <w:wordWrap/>
        <w:adjustRightInd/>
        <w:spacing w:line="600" w:lineRule="exact"/>
        <w:ind w:left="0" w:leftChars="0" w:right="0" w:firstLine="480" w:firstLineChars="200"/>
        <w:textAlignment w:val="auto"/>
        <w:outlineLvl w:val="9"/>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合同签订后4个月内完成设备供货、安装、调试和数据对接等工作，并通过验收。</w:t>
      </w:r>
    </w:p>
    <w:p w14:paraId="4C42E6AD">
      <w:pPr>
        <w:wordWrap/>
        <w:adjustRightInd/>
        <w:spacing w:line="600" w:lineRule="exact"/>
        <w:ind w:right="0"/>
        <w:textAlignment w:val="auto"/>
        <w:outlineLvl w:val="9"/>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六、履约保证金</w:t>
      </w:r>
    </w:p>
    <w:p w14:paraId="72A1AEEC">
      <w:pPr>
        <w:wordWrap/>
        <w:adjustRightInd/>
        <w:spacing w:line="600" w:lineRule="exact"/>
        <w:ind w:right="0" w:firstLine="480" w:firstLineChars="200"/>
        <w:textAlignment w:val="auto"/>
        <w:outlineLvl w:val="9"/>
        <w:rPr>
          <w:rFonts w:hint="eastAsia" w:ascii="宋体" w:hAnsi="宋体" w:cs="宋体"/>
          <w:b w:val="0"/>
          <w:bCs w:val="0"/>
          <w:sz w:val="24"/>
          <w:highlight w:val="none"/>
          <w:lang w:val="en-US" w:eastAsia="zh-CN"/>
        </w:rPr>
      </w:pPr>
      <w:r>
        <w:rPr>
          <w:rFonts w:hint="eastAsia" w:ascii="宋体" w:hAnsi="宋体" w:eastAsia="宋体" w:cs="宋体"/>
          <w:b w:val="0"/>
          <w:bCs/>
          <w:sz w:val="24"/>
          <w:highlight w:val="none"/>
        </w:rPr>
        <w:t>在签订合同后向采购人缴纳合同价1%的履约保证金（以支票、汇票、本票或者金融机构、担保机构出具的保函等非现金形式提交），检测合格并通过验收后采购人予以无息退还</w:t>
      </w:r>
      <w:r>
        <w:rPr>
          <w:rFonts w:hint="eastAsia" w:ascii="宋体" w:hAnsi="宋体" w:cs="宋体"/>
          <w:b w:val="0"/>
          <w:bCs w:val="0"/>
          <w:sz w:val="24"/>
          <w:highlight w:val="none"/>
          <w:lang w:val="en-US" w:eastAsia="zh-CN"/>
        </w:rPr>
        <w:t>。</w:t>
      </w:r>
    </w:p>
    <w:p w14:paraId="4E59E563">
      <w:pPr>
        <w:wordWrap/>
        <w:adjustRightInd/>
        <w:spacing w:line="600" w:lineRule="exact"/>
        <w:ind w:right="0"/>
        <w:textAlignment w:val="auto"/>
        <w:outlineLvl w:val="9"/>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七、付款条件：</w:t>
      </w:r>
    </w:p>
    <w:p w14:paraId="75C24B4F">
      <w:pPr>
        <w:wordWrap/>
        <w:adjustRightInd/>
        <w:spacing w:line="600" w:lineRule="exact"/>
        <w:ind w:left="0" w:leftChars="0" w:right="0" w:firstLine="480" w:firstLineChars="200"/>
        <w:textAlignment w:val="auto"/>
        <w:outlineLvl w:val="9"/>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1、本项目业务合同签订后，采购人支付合同总额的40%给中标人作为预付款。</w:t>
      </w:r>
    </w:p>
    <w:p w14:paraId="088C3AB5">
      <w:pPr>
        <w:wordWrap/>
        <w:adjustRightInd/>
        <w:spacing w:line="600" w:lineRule="exact"/>
        <w:ind w:left="0" w:leftChars="0" w:right="0" w:firstLine="480" w:firstLineChars="200"/>
        <w:textAlignment w:val="auto"/>
        <w:outlineLvl w:val="9"/>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2、采购人在中标方根据合同规定将项目完工且经采购人确认后，采购人支付合同总额的30%给中标人。</w:t>
      </w:r>
    </w:p>
    <w:p w14:paraId="512AAAAD">
      <w:pPr>
        <w:wordWrap/>
        <w:adjustRightInd/>
        <w:spacing w:line="600" w:lineRule="exact"/>
        <w:ind w:left="0" w:leftChars="0" w:right="0" w:firstLine="480" w:firstLineChars="200"/>
        <w:textAlignment w:val="auto"/>
        <w:outlineLvl w:val="9"/>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3、项目竣工验收通过后，采购人支付合同总额的25%给中标人。</w:t>
      </w:r>
    </w:p>
    <w:p w14:paraId="52360D74">
      <w:pPr>
        <w:wordWrap/>
        <w:adjustRightInd/>
        <w:spacing w:line="600" w:lineRule="exact"/>
        <w:ind w:left="0" w:leftChars="0" w:right="0" w:firstLine="480" w:firstLineChars="200"/>
        <w:textAlignment w:val="auto"/>
        <w:outlineLvl w:val="9"/>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4、服务期满后支付剩余合同价款。</w:t>
      </w:r>
    </w:p>
    <w:p w14:paraId="67E90633">
      <w:pPr>
        <w:wordWrap/>
        <w:adjustRightInd/>
        <w:spacing w:line="600" w:lineRule="exact"/>
        <w:ind w:left="0" w:leftChars="0" w:right="0" w:firstLine="480" w:firstLineChars="200"/>
        <w:textAlignment w:val="auto"/>
        <w:outlineLvl w:val="9"/>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注：1）结算款项时，投标人根据采购人要求开具符合规范的发票。</w:t>
      </w:r>
    </w:p>
    <w:p w14:paraId="39D85EC2">
      <w:pPr>
        <w:wordWrap/>
        <w:adjustRightInd/>
        <w:spacing w:line="600" w:lineRule="exact"/>
        <w:ind w:left="0" w:leftChars="0" w:right="0" w:firstLine="960" w:firstLineChars="400"/>
        <w:textAlignment w:val="auto"/>
        <w:outlineLvl w:val="9"/>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2）资金支付以上级补助资金到账为准。</w:t>
      </w:r>
    </w:p>
    <w:p w14:paraId="111E4488">
      <w:pPr>
        <w:adjustRightInd/>
        <w:spacing w:line="600" w:lineRule="exact"/>
        <w:rPr>
          <w:rFonts w:hint="eastAsia" w:ascii="宋体" w:hAnsi="宋体" w:eastAsia="宋体" w:cs="宋体"/>
          <w:b/>
          <w:bCs/>
          <w:sz w:val="24"/>
          <w:highlight w:val="none"/>
        </w:rPr>
        <w:sectPr>
          <w:headerReference r:id="rId8" w:type="default"/>
          <w:footerReference r:id="rId9" w:type="default"/>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1" w:charSpace="0"/>
        </w:sectPr>
      </w:pPr>
    </w:p>
    <w:p w14:paraId="75B31304">
      <w:pPr>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第四部分   </w:t>
      </w:r>
      <w:bookmarkStart w:id="28" w:name="_Toc184312111"/>
      <w:bookmarkEnd w:id="28"/>
      <w:bookmarkStart w:id="29" w:name="_Toc184314474"/>
      <w:bookmarkEnd w:id="29"/>
      <w:bookmarkStart w:id="30" w:name="_Toc184310302"/>
      <w:bookmarkEnd w:id="30"/>
      <w:bookmarkStart w:id="31" w:name="_Toc184312088"/>
      <w:bookmarkEnd w:id="31"/>
      <w:bookmarkStart w:id="32" w:name="_Toc184310318"/>
      <w:bookmarkEnd w:id="32"/>
      <w:bookmarkStart w:id="33" w:name="_Toc184313283"/>
      <w:bookmarkEnd w:id="33"/>
      <w:bookmarkStart w:id="34" w:name="_Toc184310282"/>
      <w:bookmarkEnd w:id="34"/>
      <w:bookmarkStart w:id="35" w:name="_Toc184308049"/>
      <w:bookmarkEnd w:id="35"/>
      <w:bookmarkStart w:id="36" w:name="_Toc184310276"/>
      <w:bookmarkEnd w:id="36"/>
      <w:bookmarkStart w:id="37" w:name="_Toc184308090"/>
      <w:bookmarkEnd w:id="37"/>
      <w:bookmarkStart w:id="38" w:name="_Toc184312100"/>
      <w:bookmarkEnd w:id="38"/>
      <w:bookmarkStart w:id="39" w:name="_Toc184314430"/>
      <w:bookmarkEnd w:id="39"/>
      <w:bookmarkStart w:id="40" w:name="_Toc184312102"/>
      <w:bookmarkEnd w:id="40"/>
      <w:bookmarkStart w:id="41" w:name="_Toc184313240"/>
      <w:bookmarkEnd w:id="41"/>
      <w:bookmarkStart w:id="42" w:name="_Toc184308046"/>
      <w:bookmarkEnd w:id="42"/>
      <w:bookmarkStart w:id="43" w:name="_Toc184310322"/>
      <w:bookmarkEnd w:id="43"/>
      <w:bookmarkStart w:id="44" w:name="_Toc184314462"/>
      <w:bookmarkEnd w:id="44"/>
      <w:bookmarkStart w:id="45" w:name="_Toc184312081"/>
      <w:bookmarkEnd w:id="45"/>
      <w:bookmarkStart w:id="46" w:name="_Toc184312071"/>
      <w:bookmarkEnd w:id="46"/>
      <w:bookmarkStart w:id="47" w:name="_Toc184313267"/>
      <w:bookmarkEnd w:id="47"/>
      <w:bookmarkStart w:id="48" w:name="_Toc184313268"/>
      <w:bookmarkEnd w:id="48"/>
      <w:bookmarkStart w:id="49" w:name="_Toc184308055"/>
      <w:bookmarkEnd w:id="49"/>
      <w:bookmarkStart w:id="50" w:name="_Toc184310295"/>
      <w:bookmarkEnd w:id="50"/>
      <w:bookmarkStart w:id="51" w:name="_Toc184314413"/>
      <w:bookmarkEnd w:id="51"/>
      <w:bookmarkStart w:id="52" w:name="_Toc184312137"/>
      <w:bookmarkEnd w:id="52"/>
      <w:bookmarkStart w:id="53" w:name="_Toc184313298"/>
      <w:bookmarkEnd w:id="53"/>
      <w:bookmarkStart w:id="54" w:name="_Toc184314457"/>
      <w:bookmarkEnd w:id="54"/>
      <w:bookmarkStart w:id="55" w:name="_Toc184310280"/>
      <w:bookmarkEnd w:id="55"/>
      <w:bookmarkStart w:id="56" w:name="_Toc184308050"/>
      <w:bookmarkEnd w:id="56"/>
      <w:bookmarkStart w:id="57" w:name="_Toc184314473"/>
      <w:bookmarkEnd w:id="57"/>
      <w:bookmarkStart w:id="58" w:name="_Toc184314439"/>
      <w:bookmarkEnd w:id="58"/>
      <w:bookmarkStart w:id="59" w:name="_Toc184313252"/>
      <w:bookmarkEnd w:id="59"/>
      <w:bookmarkStart w:id="60" w:name="_Toc184312092"/>
      <w:bookmarkEnd w:id="60"/>
      <w:bookmarkStart w:id="61" w:name="_Toc184314477"/>
      <w:bookmarkEnd w:id="61"/>
      <w:bookmarkStart w:id="62" w:name="_Toc184312104"/>
      <w:bookmarkEnd w:id="62"/>
      <w:bookmarkStart w:id="63" w:name="_Toc184312073"/>
      <w:bookmarkEnd w:id="63"/>
      <w:bookmarkStart w:id="64" w:name="_Toc184310335"/>
      <w:bookmarkEnd w:id="64"/>
      <w:bookmarkStart w:id="65" w:name="_Toc184308083"/>
      <w:bookmarkEnd w:id="65"/>
      <w:bookmarkStart w:id="66" w:name="_Toc184314410"/>
      <w:bookmarkEnd w:id="66"/>
      <w:bookmarkStart w:id="67" w:name="_Toc184313264"/>
      <w:bookmarkEnd w:id="67"/>
      <w:bookmarkStart w:id="68" w:name="_Toc184313255"/>
      <w:bookmarkEnd w:id="68"/>
      <w:bookmarkStart w:id="69" w:name="_Toc184312079"/>
      <w:bookmarkEnd w:id="69"/>
      <w:bookmarkStart w:id="70" w:name="_Toc184313266"/>
      <w:bookmarkEnd w:id="70"/>
      <w:bookmarkStart w:id="71" w:name="_Toc184312105"/>
      <w:bookmarkEnd w:id="71"/>
      <w:bookmarkStart w:id="72" w:name="_Toc184308067"/>
      <w:bookmarkEnd w:id="72"/>
      <w:bookmarkStart w:id="73" w:name="_Toc184308062"/>
      <w:bookmarkEnd w:id="73"/>
      <w:bookmarkStart w:id="74" w:name="_Toc184308088"/>
      <w:bookmarkEnd w:id="74"/>
      <w:bookmarkStart w:id="75" w:name="_Toc184308037"/>
      <w:bookmarkEnd w:id="75"/>
      <w:bookmarkStart w:id="76" w:name="_Toc184312074"/>
      <w:bookmarkEnd w:id="76"/>
      <w:bookmarkStart w:id="77" w:name="_Toc184308053"/>
      <w:bookmarkEnd w:id="77"/>
      <w:bookmarkStart w:id="78" w:name="_Toc184310316"/>
      <w:bookmarkEnd w:id="78"/>
      <w:bookmarkStart w:id="79" w:name="_Toc184308096"/>
      <w:bookmarkEnd w:id="79"/>
      <w:bookmarkStart w:id="80" w:name="_Toc184313274"/>
      <w:bookmarkEnd w:id="80"/>
      <w:bookmarkStart w:id="81" w:name="_Toc184310281"/>
      <w:bookmarkEnd w:id="81"/>
      <w:bookmarkStart w:id="82" w:name="_Toc184314447"/>
      <w:bookmarkEnd w:id="82"/>
      <w:bookmarkStart w:id="83" w:name="_Toc184312116"/>
      <w:bookmarkEnd w:id="83"/>
      <w:bookmarkStart w:id="84" w:name="_Toc184313243"/>
      <w:bookmarkEnd w:id="84"/>
      <w:bookmarkStart w:id="85" w:name="_Toc184313249"/>
      <w:bookmarkEnd w:id="85"/>
      <w:bookmarkStart w:id="86" w:name="_Toc184310303"/>
      <w:bookmarkEnd w:id="86"/>
      <w:bookmarkStart w:id="87" w:name="_Toc184308044"/>
      <w:bookmarkEnd w:id="87"/>
      <w:bookmarkStart w:id="88" w:name="_Toc184312109"/>
      <w:bookmarkEnd w:id="88"/>
      <w:bookmarkStart w:id="89" w:name="_Toc184314455"/>
      <w:bookmarkEnd w:id="89"/>
      <w:bookmarkStart w:id="90" w:name="_Toc184310341"/>
      <w:bookmarkEnd w:id="90"/>
      <w:bookmarkStart w:id="91" w:name="_Toc184308066"/>
      <w:bookmarkEnd w:id="91"/>
      <w:bookmarkStart w:id="92" w:name="_Toc184312089"/>
      <w:bookmarkEnd w:id="92"/>
      <w:bookmarkStart w:id="93" w:name="_Toc184312097"/>
      <w:bookmarkEnd w:id="93"/>
      <w:bookmarkStart w:id="94" w:name="_Toc184312127"/>
      <w:bookmarkEnd w:id="94"/>
      <w:bookmarkStart w:id="95" w:name="_Toc184310330"/>
      <w:bookmarkEnd w:id="95"/>
      <w:bookmarkStart w:id="96" w:name="_Toc184313265"/>
      <w:bookmarkEnd w:id="96"/>
      <w:bookmarkStart w:id="97" w:name="_Toc184314434"/>
      <w:bookmarkEnd w:id="97"/>
      <w:bookmarkStart w:id="98" w:name="_Toc184313294"/>
      <w:bookmarkEnd w:id="98"/>
      <w:bookmarkStart w:id="99" w:name="_Toc184313260"/>
      <w:bookmarkEnd w:id="99"/>
      <w:bookmarkStart w:id="100" w:name="_Toc184310307"/>
      <w:bookmarkEnd w:id="100"/>
      <w:bookmarkStart w:id="101" w:name="_Toc184308072"/>
      <w:bookmarkEnd w:id="101"/>
      <w:bookmarkStart w:id="102" w:name="_Toc184313301"/>
      <w:bookmarkEnd w:id="102"/>
      <w:bookmarkStart w:id="103" w:name="_Toc184314468"/>
      <w:bookmarkEnd w:id="103"/>
      <w:bookmarkStart w:id="104" w:name="_Toc184314451"/>
      <w:bookmarkEnd w:id="104"/>
      <w:bookmarkStart w:id="105" w:name="_Toc184313273"/>
      <w:bookmarkEnd w:id="105"/>
      <w:bookmarkStart w:id="106" w:name="_Toc184308075"/>
      <w:bookmarkEnd w:id="106"/>
      <w:bookmarkStart w:id="107" w:name="_Toc184308048"/>
      <w:bookmarkEnd w:id="107"/>
      <w:bookmarkStart w:id="108" w:name="_Toc184314417"/>
      <w:bookmarkEnd w:id="108"/>
      <w:bookmarkStart w:id="109" w:name="_Toc184314464"/>
      <w:bookmarkEnd w:id="109"/>
      <w:bookmarkStart w:id="110" w:name="_Toc184310319"/>
      <w:bookmarkEnd w:id="110"/>
      <w:bookmarkStart w:id="111" w:name="_Toc184310298"/>
      <w:bookmarkEnd w:id="111"/>
      <w:bookmarkStart w:id="112" w:name="_Toc184313284"/>
      <w:bookmarkEnd w:id="112"/>
      <w:bookmarkStart w:id="113" w:name="_Toc184310300"/>
      <w:bookmarkEnd w:id="113"/>
      <w:bookmarkStart w:id="114" w:name="_Toc184310306"/>
      <w:bookmarkEnd w:id="114"/>
      <w:bookmarkStart w:id="115" w:name="_Toc184313276"/>
      <w:bookmarkEnd w:id="115"/>
      <w:bookmarkStart w:id="116" w:name="_Toc184310297"/>
      <w:bookmarkEnd w:id="116"/>
      <w:bookmarkStart w:id="117" w:name="_Toc184312087"/>
      <w:bookmarkEnd w:id="117"/>
      <w:bookmarkStart w:id="118" w:name="_Toc184313254"/>
      <w:bookmarkEnd w:id="118"/>
      <w:bookmarkStart w:id="119" w:name="_Toc184313285"/>
      <w:bookmarkEnd w:id="119"/>
      <w:bookmarkStart w:id="120" w:name="_Toc184313259"/>
      <w:bookmarkEnd w:id="120"/>
      <w:bookmarkStart w:id="121" w:name="_Toc184308093"/>
      <w:bookmarkEnd w:id="121"/>
      <w:bookmarkStart w:id="122" w:name="_Toc184313258"/>
      <w:bookmarkEnd w:id="122"/>
      <w:bookmarkStart w:id="123" w:name="_Toc184313302"/>
      <w:bookmarkEnd w:id="123"/>
      <w:bookmarkStart w:id="124" w:name="_Toc184308092"/>
      <w:bookmarkEnd w:id="124"/>
      <w:bookmarkStart w:id="125" w:name="_Toc184314453"/>
      <w:bookmarkEnd w:id="125"/>
      <w:bookmarkStart w:id="126" w:name="_Toc184308065"/>
      <w:bookmarkEnd w:id="126"/>
      <w:bookmarkStart w:id="127" w:name="_Toc184314469"/>
      <w:bookmarkEnd w:id="127"/>
      <w:bookmarkStart w:id="128" w:name="_Toc184314466"/>
      <w:bookmarkEnd w:id="128"/>
      <w:bookmarkStart w:id="129" w:name="_Toc184308060"/>
      <w:bookmarkEnd w:id="129"/>
      <w:bookmarkStart w:id="130" w:name="_Toc184310313"/>
      <w:bookmarkEnd w:id="130"/>
      <w:bookmarkStart w:id="131" w:name="_Toc184312077"/>
      <w:bookmarkEnd w:id="131"/>
      <w:bookmarkStart w:id="132" w:name="_Toc184308070"/>
      <w:bookmarkEnd w:id="132"/>
      <w:bookmarkStart w:id="133" w:name="_Toc184308077"/>
      <w:bookmarkEnd w:id="133"/>
      <w:bookmarkStart w:id="134" w:name="_Toc184308076"/>
      <w:bookmarkEnd w:id="134"/>
      <w:bookmarkStart w:id="135" w:name="_Toc184308104"/>
      <w:bookmarkEnd w:id="135"/>
      <w:bookmarkStart w:id="136" w:name="_Toc184314426"/>
      <w:bookmarkEnd w:id="136"/>
      <w:bookmarkStart w:id="137" w:name="_Toc184310309"/>
      <w:bookmarkEnd w:id="137"/>
      <w:bookmarkStart w:id="138" w:name="_Toc184313281"/>
      <w:bookmarkEnd w:id="138"/>
      <w:bookmarkStart w:id="139" w:name="_Toc184310336"/>
      <w:bookmarkEnd w:id="139"/>
      <w:bookmarkStart w:id="140" w:name="_Toc184310327"/>
      <w:bookmarkEnd w:id="140"/>
      <w:bookmarkStart w:id="141" w:name="_Toc184310301"/>
      <w:bookmarkEnd w:id="141"/>
      <w:bookmarkStart w:id="142" w:name="_Toc184310314"/>
      <w:bookmarkEnd w:id="142"/>
      <w:bookmarkStart w:id="143" w:name="_Toc184314467"/>
      <w:bookmarkEnd w:id="143"/>
      <w:bookmarkStart w:id="144" w:name="_Toc184310331"/>
      <w:bookmarkEnd w:id="144"/>
      <w:bookmarkStart w:id="145" w:name="_Toc184310339"/>
      <w:bookmarkEnd w:id="145"/>
      <w:bookmarkStart w:id="146" w:name="_Toc184312138"/>
      <w:bookmarkEnd w:id="146"/>
      <w:bookmarkStart w:id="147" w:name="_Toc184312091"/>
      <w:bookmarkEnd w:id="147"/>
      <w:bookmarkStart w:id="148" w:name="_Toc184314459"/>
      <w:bookmarkEnd w:id="148"/>
      <w:bookmarkStart w:id="149" w:name="_Toc184314463"/>
      <w:bookmarkEnd w:id="149"/>
      <w:bookmarkStart w:id="150" w:name="_Toc184308056"/>
      <w:bookmarkEnd w:id="150"/>
      <w:bookmarkStart w:id="151" w:name="_Toc184308061"/>
      <w:bookmarkEnd w:id="151"/>
      <w:bookmarkStart w:id="152" w:name="_Toc184314456"/>
      <w:bookmarkEnd w:id="152"/>
      <w:bookmarkStart w:id="153" w:name="_Toc184312108"/>
      <w:bookmarkEnd w:id="153"/>
      <w:bookmarkStart w:id="154" w:name="_Toc184310274"/>
      <w:bookmarkEnd w:id="154"/>
      <w:bookmarkStart w:id="155" w:name="_Toc184314440"/>
      <w:bookmarkEnd w:id="155"/>
      <w:bookmarkStart w:id="156" w:name="_Toc184308080"/>
      <w:bookmarkEnd w:id="156"/>
      <w:bookmarkStart w:id="157" w:name="_Toc184314461"/>
      <w:bookmarkEnd w:id="157"/>
      <w:bookmarkStart w:id="158" w:name="_Toc184308091"/>
      <w:bookmarkEnd w:id="158"/>
      <w:bookmarkStart w:id="159" w:name="_Toc184313279"/>
      <w:bookmarkEnd w:id="159"/>
      <w:bookmarkStart w:id="160" w:name="_Toc184312095"/>
      <w:bookmarkEnd w:id="160"/>
      <w:bookmarkStart w:id="161" w:name="_Toc184308105"/>
      <w:bookmarkEnd w:id="161"/>
      <w:bookmarkStart w:id="162" w:name="_Toc184313270"/>
      <w:bookmarkEnd w:id="162"/>
      <w:bookmarkStart w:id="163" w:name="_Toc184313296"/>
      <w:bookmarkEnd w:id="163"/>
      <w:bookmarkStart w:id="164" w:name="_Toc184314431"/>
      <w:bookmarkEnd w:id="164"/>
      <w:bookmarkStart w:id="165" w:name="_Toc184308042"/>
      <w:bookmarkEnd w:id="165"/>
      <w:bookmarkStart w:id="166" w:name="_Toc184312114"/>
      <w:bookmarkEnd w:id="166"/>
      <w:bookmarkStart w:id="167" w:name="_Toc184310338"/>
      <w:bookmarkEnd w:id="167"/>
      <w:bookmarkStart w:id="168" w:name="_Toc184308045"/>
      <w:bookmarkEnd w:id="168"/>
      <w:bookmarkStart w:id="169" w:name="_Toc184308089"/>
      <w:bookmarkEnd w:id="169"/>
      <w:bookmarkStart w:id="170" w:name="_Toc184313247"/>
      <w:bookmarkEnd w:id="170"/>
      <w:bookmarkStart w:id="171" w:name="_Toc184314435"/>
      <w:bookmarkEnd w:id="171"/>
      <w:bookmarkStart w:id="172" w:name="_Toc184308064"/>
      <w:bookmarkEnd w:id="172"/>
      <w:bookmarkStart w:id="173" w:name="_Toc184313245"/>
      <w:bookmarkEnd w:id="173"/>
      <w:bookmarkStart w:id="174" w:name="_Toc184310315"/>
      <w:bookmarkEnd w:id="174"/>
      <w:bookmarkStart w:id="175" w:name="_Toc184312121"/>
      <w:bookmarkEnd w:id="175"/>
      <w:bookmarkStart w:id="176" w:name="_Toc184310283"/>
      <w:bookmarkEnd w:id="176"/>
      <w:bookmarkStart w:id="177" w:name="_Toc184312139"/>
      <w:bookmarkEnd w:id="177"/>
      <w:bookmarkStart w:id="178" w:name="_Toc184312067"/>
      <w:bookmarkEnd w:id="178"/>
      <w:bookmarkStart w:id="179" w:name="_Toc184314420"/>
      <w:bookmarkEnd w:id="179"/>
      <w:bookmarkStart w:id="180" w:name="_Toc184310311"/>
      <w:bookmarkEnd w:id="180"/>
      <w:bookmarkStart w:id="181" w:name="_Toc184312125"/>
      <w:bookmarkEnd w:id="181"/>
      <w:bookmarkStart w:id="182" w:name="_Toc184308059"/>
      <w:bookmarkEnd w:id="182"/>
      <w:bookmarkStart w:id="183" w:name="_Toc184313248"/>
      <w:bookmarkEnd w:id="183"/>
      <w:bookmarkStart w:id="184" w:name="_Toc184308098"/>
      <w:bookmarkEnd w:id="184"/>
      <w:bookmarkStart w:id="185" w:name="_Toc184310324"/>
      <w:bookmarkEnd w:id="185"/>
      <w:bookmarkStart w:id="186" w:name="_Toc184312136"/>
      <w:bookmarkEnd w:id="186"/>
      <w:bookmarkStart w:id="187" w:name="_Toc184314445"/>
      <w:bookmarkEnd w:id="187"/>
      <w:bookmarkStart w:id="188" w:name="_Toc184312131"/>
      <w:bookmarkEnd w:id="188"/>
      <w:bookmarkStart w:id="189" w:name="_Toc184313277"/>
      <w:bookmarkEnd w:id="189"/>
      <w:bookmarkStart w:id="190" w:name="_Toc184314415"/>
      <w:bookmarkEnd w:id="190"/>
      <w:bookmarkStart w:id="191" w:name="_Toc184314427"/>
      <w:bookmarkEnd w:id="191"/>
      <w:bookmarkStart w:id="192" w:name="_Toc184308081"/>
      <w:bookmarkEnd w:id="192"/>
      <w:bookmarkStart w:id="193" w:name="_Toc184312094"/>
      <w:bookmarkEnd w:id="193"/>
      <w:bookmarkStart w:id="194" w:name="_Toc184314454"/>
      <w:bookmarkEnd w:id="194"/>
      <w:bookmarkStart w:id="195" w:name="_Toc184312093"/>
      <w:bookmarkEnd w:id="195"/>
      <w:bookmarkStart w:id="196" w:name="_Toc184312120"/>
      <w:bookmarkEnd w:id="196"/>
      <w:bookmarkStart w:id="197" w:name="_Toc184314448"/>
      <w:bookmarkEnd w:id="197"/>
      <w:bookmarkStart w:id="198" w:name="_Toc184308071"/>
      <w:bookmarkEnd w:id="198"/>
      <w:bookmarkStart w:id="199" w:name="_Toc184308047"/>
      <w:bookmarkEnd w:id="199"/>
      <w:bookmarkStart w:id="200" w:name="_Toc184310285"/>
      <w:bookmarkEnd w:id="200"/>
      <w:bookmarkStart w:id="201" w:name="_Toc184308107"/>
      <w:bookmarkEnd w:id="201"/>
      <w:bookmarkStart w:id="202" w:name="_Toc184314480"/>
      <w:bookmarkEnd w:id="202"/>
      <w:bookmarkStart w:id="203" w:name="_Toc184308108"/>
      <w:bookmarkEnd w:id="203"/>
      <w:bookmarkStart w:id="204" w:name="_Toc184314425"/>
      <w:bookmarkEnd w:id="204"/>
      <w:bookmarkStart w:id="205" w:name="_Toc184313307"/>
      <w:bookmarkEnd w:id="205"/>
      <w:bookmarkStart w:id="206" w:name="_Toc184312078"/>
      <w:bookmarkEnd w:id="206"/>
      <w:bookmarkStart w:id="207" w:name="_Toc184310305"/>
      <w:bookmarkEnd w:id="207"/>
      <w:bookmarkStart w:id="208" w:name="_Toc184314476"/>
      <w:bookmarkEnd w:id="208"/>
      <w:bookmarkStart w:id="209" w:name="_Toc184310292"/>
      <w:bookmarkEnd w:id="209"/>
      <w:bookmarkStart w:id="210" w:name="_Toc184314412"/>
      <w:bookmarkEnd w:id="210"/>
      <w:bookmarkStart w:id="211" w:name="_Toc184310289"/>
      <w:bookmarkEnd w:id="211"/>
      <w:bookmarkStart w:id="212" w:name="_Toc184314418"/>
      <w:bookmarkEnd w:id="212"/>
      <w:bookmarkStart w:id="213" w:name="_Toc184312126"/>
      <w:bookmarkEnd w:id="213"/>
      <w:bookmarkStart w:id="214" w:name="_Toc184308101"/>
      <w:bookmarkEnd w:id="214"/>
      <w:bookmarkStart w:id="215" w:name="_Toc184310279"/>
      <w:bookmarkEnd w:id="215"/>
      <w:bookmarkStart w:id="216" w:name="_Toc184308094"/>
      <w:bookmarkEnd w:id="216"/>
      <w:bookmarkStart w:id="217" w:name="_Toc184314428"/>
      <w:bookmarkEnd w:id="217"/>
      <w:bookmarkStart w:id="218" w:name="_Toc184314438"/>
      <w:bookmarkEnd w:id="218"/>
      <w:bookmarkStart w:id="219" w:name="_Toc184313272"/>
      <w:bookmarkEnd w:id="219"/>
      <w:bookmarkStart w:id="220" w:name="_Toc184310326"/>
      <w:bookmarkEnd w:id="220"/>
      <w:bookmarkStart w:id="221" w:name="_Toc184308040"/>
      <w:bookmarkEnd w:id="221"/>
      <w:bookmarkStart w:id="222" w:name="_Toc184312117"/>
      <w:bookmarkEnd w:id="222"/>
      <w:bookmarkStart w:id="223" w:name="_Toc184313308"/>
      <w:bookmarkEnd w:id="223"/>
      <w:bookmarkStart w:id="224" w:name="_Toc184308078"/>
      <w:bookmarkEnd w:id="224"/>
      <w:bookmarkStart w:id="225" w:name="_Toc184312084"/>
      <w:bookmarkEnd w:id="225"/>
      <w:bookmarkStart w:id="226" w:name="_Toc184308086"/>
      <w:bookmarkEnd w:id="226"/>
      <w:bookmarkStart w:id="227" w:name="_Toc184314458"/>
      <w:bookmarkEnd w:id="227"/>
      <w:bookmarkStart w:id="228" w:name="_Toc184313287"/>
      <w:bookmarkEnd w:id="228"/>
      <w:bookmarkStart w:id="229" w:name="_Toc184313257"/>
      <w:bookmarkEnd w:id="229"/>
      <w:bookmarkStart w:id="230" w:name="_Toc184313290"/>
      <w:bookmarkEnd w:id="230"/>
      <w:bookmarkStart w:id="231" w:name="_Toc184308063"/>
      <w:bookmarkEnd w:id="231"/>
      <w:bookmarkStart w:id="232" w:name="_Toc184313253"/>
      <w:bookmarkEnd w:id="232"/>
      <w:bookmarkStart w:id="233" w:name="_Toc184308041"/>
      <w:bookmarkEnd w:id="233"/>
      <w:bookmarkStart w:id="234" w:name="_Toc184313261"/>
      <w:bookmarkEnd w:id="234"/>
      <w:bookmarkStart w:id="235" w:name="_Toc184314436"/>
      <w:bookmarkEnd w:id="235"/>
      <w:bookmarkStart w:id="236" w:name="_Toc184313306"/>
      <w:bookmarkEnd w:id="236"/>
      <w:bookmarkStart w:id="237" w:name="_Toc184312123"/>
      <w:bookmarkEnd w:id="237"/>
      <w:bookmarkStart w:id="238" w:name="_Toc184310321"/>
      <w:bookmarkEnd w:id="238"/>
      <w:bookmarkStart w:id="239" w:name="_Toc184313238"/>
      <w:bookmarkEnd w:id="239"/>
      <w:bookmarkStart w:id="240" w:name="_Toc184313292"/>
      <w:bookmarkEnd w:id="240"/>
      <w:bookmarkStart w:id="241" w:name="_Toc184313289"/>
      <w:bookmarkEnd w:id="241"/>
      <w:bookmarkStart w:id="242" w:name="_Toc184313303"/>
      <w:bookmarkEnd w:id="242"/>
      <w:bookmarkStart w:id="243" w:name="_Toc184310328"/>
      <w:bookmarkEnd w:id="243"/>
      <w:bookmarkStart w:id="244" w:name="_Toc184308087"/>
      <w:bookmarkEnd w:id="244"/>
      <w:bookmarkStart w:id="245" w:name="_Toc184314441"/>
      <w:bookmarkEnd w:id="245"/>
      <w:bookmarkStart w:id="246" w:name="_Toc184310294"/>
      <w:bookmarkEnd w:id="246"/>
      <w:bookmarkStart w:id="247" w:name="_Toc184312118"/>
      <w:bookmarkEnd w:id="247"/>
      <w:bookmarkStart w:id="248" w:name="_Toc184313280"/>
      <w:bookmarkEnd w:id="248"/>
      <w:bookmarkStart w:id="249" w:name="_Toc184314423"/>
      <w:bookmarkEnd w:id="249"/>
      <w:bookmarkStart w:id="250" w:name="_Toc184314443"/>
      <w:bookmarkEnd w:id="250"/>
      <w:bookmarkStart w:id="251" w:name="_Toc184314442"/>
      <w:bookmarkEnd w:id="251"/>
      <w:bookmarkStart w:id="252" w:name="_Toc184310272"/>
      <w:bookmarkEnd w:id="252"/>
      <w:bookmarkStart w:id="253" w:name="_Toc184308074"/>
      <w:bookmarkEnd w:id="253"/>
      <w:bookmarkStart w:id="254" w:name="_Toc184314419"/>
      <w:bookmarkEnd w:id="254"/>
      <w:bookmarkStart w:id="255" w:name="_Toc184312076"/>
      <w:bookmarkEnd w:id="255"/>
      <w:bookmarkStart w:id="256" w:name="_Toc184308057"/>
      <w:bookmarkEnd w:id="256"/>
      <w:bookmarkStart w:id="257" w:name="_Toc184314414"/>
      <w:bookmarkEnd w:id="257"/>
      <w:bookmarkStart w:id="258" w:name="_Toc184312135"/>
      <w:bookmarkEnd w:id="258"/>
      <w:bookmarkStart w:id="259" w:name="_Toc184312090"/>
      <w:bookmarkEnd w:id="259"/>
      <w:bookmarkStart w:id="260" w:name="_Toc184312130"/>
      <w:bookmarkEnd w:id="260"/>
      <w:bookmarkStart w:id="261" w:name="_Toc184308038"/>
      <w:bookmarkEnd w:id="261"/>
      <w:bookmarkStart w:id="262" w:name="_Toc184313251"/>
      <w:bookmarkEnd w:id="262"/>
      <w:bookmarkStart w:id="263" w:name="_Toc184308043"/>
      <w:bookmarkEnd w:id="263"/>
      <w:bookmarkStart w:id="264" w:name="_Toc184310293"/>
      <w:bookmarkEnd w:id="264"/>
      <w:bookmarkStart w:id="265" w:name="_Toc184314460"/>
      <w:bookmarkEnd w:id="265"/>
      <w:bookmarkStart w:id="266" w:name="_Toc184312070"/>
      <w:bookmarkEnd w:id="266"/>
      <w:bookmarkStart w:id="267" w:name="_Toc184310343"/>
      <w:bookmarkEnd w:id="267"/>
      <w:bookmarkStart w:id="268" w:name="_Toc184308069"/>
      <w:bookmarkEnd w:id="268"/>
      <w:bookmarkStart w:id="269" w:name="_Toc184313291"/>
      <w:bookmarkEnd w:id="269"/>
      <w:bookmarkStart w:id="270" w:name="_Toc184312129"/>
      <w:bookmarkEnd w:id="270"/>
      <w:bookmarkStart w:id="271" w:name="_Toc184314422"/>
      <w:bookmarkEnd w:id="271"/>
      <w:bookmarkStart w:id="272" w:name="_Toc184312132"/>
      <w:bookmarkEnd w:id="272"/>
      <w:bookmarkStart w:id="273" w:name="_Toc184310342"/>
      <w:bookmarkEnd w:id="273"/>
      <w:bookmarkStart w:id="274" w:name="_Toc184313246"/>
      <w:bookmarkEnd w:id="274"/>
      <w:bookmarkStart w:id="275" w:name="_Toc184310288"/>
      <w:bookmarkEnd w:id="275"/>
      <w:bookmarkStart w:id="276" w:name="_Toc184312119"/>
      <w:bookmarkEnd w:id="276"/>
      <w:bookmarkStart w:id="277" w:name="_Toc184308036"/>
      <w:bookmarkEnd w:id="277"/>
      <w:bookmarkStart w:id="278" w:name="_Toc184310286"/>
      <w:bookmarkEnd w:id="278"/>
      <w:bookmarkStart w:id="279" w:name="_Toc184312122"/>
      <w:bookmarkEnd w:id="279"/>
      <w:bookmarkStart w:id="280" w:name="_Toc184312086"/>
      <w:bookmarkEnd w:id="280"/>
      <w:bookmarkStart w:id="281" w:name="_Toc184314437"/>
      <w:bookmarkEnd w:id="281"/>
      <w:bookmarkStart w:id="282" w:name="_Toc184313299"/>
      <w:bookmarkEnd w:id="282"/>
      <w:bookmarkStart w:id="283" w:name="_Toc184314475"/>
      <w:bookmarkEnd w:id="283"/>
      <w:bookmarkStart w:id="284" w:name="_Toc184312133"/>
      <w:bookmarkEnd w:id="284"/>
      <w:bookmarkStart w:id="285" w:name="_Toc184308085"/>
      <w:bookmarkEnd w:id="285"/>
      <w:bookmarkStart w:id="286" w:name="_Toc184313304"/>
      <w:bookmarkEnd w:id="286"/>
      <w:bookmarkStart w:id="287" w:name="_Toc184312098"/>
      <w:bookmarkEnd w:id="287"/>
      <w:bookmarkStart w:id="288" w:name="_Toc184313282"/>
      <w:bookmarkEnd w:id="288"/>
      <w:bookmarkStart w:id="289" w:name="_Toc184314481"/>
      <w:bookmarkEnd w:id="289"/>
      <w:bookmarkStart w:id="290" w:name="_Toc184312101"/>
      <w:bookmarkEnd w:id="290"/>
      <w:bookmarkStart w:id="291" w:name="_Toc184310320"/>
      <w:bookmarkEnd w:id="291"/>
      <w:bookmarkStart w:id="292" w:name="_Toc184313263"/>
      <w:bookmarkEnd w:id="292"/>
      <w:bookmarkStart w:id="293" w:name="_Toc184313295"/>
      <w:bookmarkEnd w:id="293"/>
      <w:bookmarkStart w:id="294" w:name="_Toc184310332"/>
      <w:bookmarkEnd w:id="294"/>
      <w:bookmarkStart w:id="295" w:name="_Toc184312124"/>
      <w:bookmarkEnd w:id="295"/>
      <w:bookmarkStart w:id="296" w:name="_Toc184313310"/>
      <w:bookmarkEnd w:id="296"/>
      <w:bookmarkStart w:id="297" w:name="_Toc184308100"/>
      <w:bookmarkEnd w:id="297"/>
      <w:bookmarkStart w:id="298" w:name="_Toc184310273"/>
      <w:bookmarkEnd w:id="298"/>
      <w:bookmarkStart w:id="299" w:name="_Toc184308051"/>
      <w:bookmarkEnd w:id="299"/>
      <w:bookmarkStart w:id="300" w:name="_Toc184314452"/>
      <w:bookmarkEnd w:id="300"/>
      <w:bookmarkStart w:id="301" w:name="_Toc184308068"/>
      <w:bookmarkEnd w:id="301"/>
      <w:bookmarkStart w:id="302" w:name="_Toc184313275"/>
      <w:bookmarkEnd w:id="302"/>
      <w:bookmarkStart w:id="303" w:name="_Toc184310334"/>
      <w:bookmarkEnd w:id="303"/>
      <w:bookmarkStart w:id="304" w:name="_Toc184313278"/>
      <w:bookmarkEnd w:id="304"/>
      <w:bookmarkStart w:id="305" w:name="_Toc184313250"/>
      <w:bookmarkEnd w:id="305"/>
      <w:bookmarkStart w:id="306" w:name="_Toc184310340"/>
      <w:bookmarkEnd w:id="306"/>
      <w:bookmarkStart w:id="307" w:name="_Toc184313244"/>
      <w:bookmarkEnd w:id="307"/>
      <w:bookmarkStart w:id="308" w:name="_Toc184314424"/>
      <w:bookmarkEnd w:id="308"/>
      <w:bookmarkStart w:id="309" w:name="_Toc184313305"/>
      <w:bookmarkEnd w:id="309"/>
      <w:bookmarkStart w:id="310" w:name="_Toc184314450"/>
      <w:bookmarkEnd w:id="310"/>
      <w:bookmarkStart w:id="311" w:name="_Toc184308039"/>
      <w:bookmarkEnd w:id="311"/>
      <w:bookmarkStart w:id="312" w:name="_Toc184310299"/>
      <w:bookmarkEnd w:id="312"/>
      <w:bookmarkStart w:id="313" w:name="_Toc184314478"/>
      <w:bookmarkEnd w:id="313"/>
      <w:bookmarkStart w:id="314" w:name="_Toc184312112"/>
      <w:bookmarkEnd w:id="314"/>
      <w:bookmarkStart w:id="315" w:name="_Toc184312099"/>
      <w:bookmarkEnd w:id="315"/>
      <w:bookmarkStart w:id="316" w:name="_Toc184310325"/>
      <w:bookmarkEnd w:id="316"/>
      <w:bookmarkStart w:id="317" w:name="_Toc184308095"/>
      <w:bookmarkEnd w:id="317"/>
      <w:bookmarkStart w:id="318" w:name="_Toc184310329"/>
      <w:bookmarkEnd w:id="318"/>
      <w:bookmarkStart w:id="319" w:name="_Toc184314446"/>
      <w:bookmarkEnd w:id="319"/>
      <w:bookmarkStart w:id="320" w:name="_Toc184308082"/>
      <w:bookmarkEnd w:id="320"/>
      <w:bookmarkStart w:id="321" w:name="_Toc184313269"/>
      <w:bookmarkEnd w:id="321"/>
      <w:bookmarkStart w:id="322" w:name="_Toc184308054"/>
      <w:bookmarkEnd w:id="322"/>
      <w:bookmarkStart w:id="323" w:name="_Toc184314472"/>
      <w:bookmarkEnd w:id="323"/>
      <w:bookmarkStart w:id="324" w:name="_Toc184308052"/>
      <w:bookmarkEnd w:id="324"/>
      <w:bookmarkStart w:id="325" w:name="_Toc184310287"/>
      <w:bookmarkEnd w:id="325"/>
      <w:bookmarkStart w:id="326" w:name="_Toc184310290"/>
      <w:bookmarkEnd w:id="326"/>
      <w:bookmarkStart w:id="327" w:name="_Toc184312075"/>
      <w:bookmarkEnd w:id="327"/>
      <w:bookmarkStart w:id="328" w:name="_Toc184310277"/>
      <w:bookmarkEnd w:id="328"/>
      <w:bookmarkStart w:id="329" w:name="_Toc184308079"/>
      <w:bookmarkEnd w:id="329"/>
      <w:bookmarkStart w:id="330" w:name="_Toc184312096"/>
      <w:bookmarkEnd w:id="330"/>
      <w:bookmarkStart w:id="331" w:name="_Toc184310312"/>
      <w:bookmarkEnd w:id="331"/>
      <w:bookmarkStart w:id="332" w:name="_Toc184314479"/>
      <w:bookmarkEnd w:id="332"/>
      <w:bookmarkStart w:id="333" w:name="_Toc184312113"/>
      <w:bookmarkEnd w:id="333"/>
      <w:bookmarkStart w:id="334" w:name="_Toc184312107"/>
      <w:bookmarkEnd w:id="334"/>
      <w:bookmarkStart w:id="335" w:name="_Toc184314465"/>
      <w:bookmarkEnd w:id="335"/>
      <w:bookmarkStart w:id="336" w:name="_Toc184310296"/>
      <w:bookmarkEnd w:id="336"/>
      <w:bookmarkStart w:id="337" w:name="_Toc184313297"/>
      <w:bookmarkEnd w:id="337"/>
      <w:bookmarkStart w:id="338" w:name="_Toc184314429"/>
      <w:bookmarkEnd w:id="338"/>
      <w:bookmarkStart w:id="339" w:name="_Toc184314471"/>
      <w:bookmarkEnd w:id="339"/>
      <w:bookmarkStart w:id="340" w:name="_Toc184313241"/>
      <w:bookmarkEnd w:id="340"/>
      <w:bookmarkStart w:id="341" w:name="_Toc184314444"/>
      <w:bookmarkEnd w:id="341"/>
      <w:bookmarkStart w:id="342" w:name="_Toc184308097"/>
      <w:bookmarkEnd w:id="342"/>
      <w:bookmarkStart w:id="343" w:name="_Toc184314411"/>
      <w:bookmarkEnd w:id="343"/>
      <w:bookmarkStart w:id="344" w:name="_Toc184313239"/>
      <w:bookmarkEnd w:id="344"/>
      <w:bookmarkStart w:id="345" w:name="_Toc184313271"/>
      <w:bookmarkEnd w:id="345"/>
      <w:bookmarkStart w:id="346" w:name="_Toc184314421"/>
      <w:bookmarkEnd w:id="346"/>
      <w:bookmarkStart w:id="347" w:name="_Toc184308103"/>
      <w:bookmarkEnd w:id="347"/>
      <w:bookmarkStart w:id="348" w:name="_Toc184312110"/>
      <w:bookmarkEnd w:id="348"/>
      <w:bookmarkStart w:id="349" w:name="_Toc184312115"/>
      <w:bookmarkEnd w:id="349"/>
      <w:bookmarkStart w:id="350" w:name="_Toc184313293"/>
      <w:bookmarkEnd w:id="350"/>
      <w:bookmarkStart w:id="351" w:name="_Toc184314432"/>
      <w:bookmarkEnd w:id="351"/>
      <w:bookmarkStart w:id="352" w:name="_Toc184310323"/>
      <w:bookmarkEnd w:id="352"/>
      <w:bookmarkStart w:id="353" w:name="_Toc184314449"/>
      <w:bookmarkEnd w:id="353"/>
      <w:bookmarkStart w:id="354" w:name="_Toc184314482"/>
      <w:bookmarkEnd w:id="354"/>
      <w:bookmarkStart w:id="355" w:name="_Toc184310310"/>
      <w:bookmarkEnd w:id="355"/>
      <w:bookmarkStart w:id="356" w:name="_Toc184312072"/>
      <w:bookmarkEnd w:id="356"/>
      <w:bookmarkStart w:id="357" w:name="_Toc184312080"/>
      <w:bookmarkEnd w:id="357"/>
      <w:bookmarkStart w:id="358" w:name="_Toc184310333"/>
      <w:bookmarkEnd w:id="358"/>
      <w:bookmarkStart w:id="359" w:name="_Toc184310291"/>
      <w:bookmarkEnd w:id="359"/>
      <w:bookmarkStart w:id="360" w:name="_Toc184308073"/>
      <w:bookmarkEnd w:id="360"/>
      <w:bookmarkStart w:id="361" w:name="_Toc184310278"/>
      <w:bookmarkEnd w:id="361"/>
      <w:bookmarkStart w:id="362" w:name="_Toc184308102"/>
      <w:bookmarkEnd w:id="362"/>
      <w:bookmarkStart w:id="363" w:name="_Toc184313286"/>
      <w:bookmarkEnd w:id="363"/>
      <w:bookmarkStart w:id="364" w:name="_Toc184308106"/>
      <w:bookmarkEnd w:id="364"/>
      <w:bookmarkStart w:id="365" w:name="_Toc184313300"/>
      <w:bookmarkEnd w:id="365"/>
      <w:bookmarkStart w:id="366" w:name="_Toc184310317"/>
      <w:bookmarkEnd w:id="366"/>
      <w:bookmarkStart w:id="367" w:name="_Toc184313256"/>
      <w:bookmarkEnd w:id="367"/>
      <w:bookmarkStart w:id="368" w:name="_Toc184314470"/>
      <w:bookmarkEnd w:id="368"/>
      <w:bookmarkStart w:id="369" w:name="_Toc184310337"/>
      <w:bookmarkEnd w:id="369"/>
      <w:bookmarkStart w:id="370" w:name="_Toc184308084"/>
      <w:bookmarkEnd w:id="370"/>
      <w:bookmarkStart w:id="371" w:name="_Toc184310275"/>
      <w:bookmarkEnd w:id="371"/>
      <w:bookmarkStart w:id="372" w:name="_Toc184312083"/>
      <w:bookmarkEnd w:id="372"/>
      <w:bookmarkStart w:id="373" w:name="_Toc184313242"/>
      <w:bookmarkEnd w:id="373"/>
      <w:bookmarkStart w:id="374" w:name="_Toc184313288"/>
      <w:bookmarkEnd w:id="374"/>
      <w:bookmarkStart w:id="375" w:name="_Toc184310308"/>
      <w:bookmarkEnd w:id="375"/>
      <w:bookmarkStart w:id="376" w:name="_Toc184312128"/>
      <w:bookmarkEnd w:id="376"/>
      <w:bookmarkStart w:id="377" w:name="_Toc184310344"/>
      <w:bookmarkEnd w:id="377"/>
      <w:bookmarkStart w:id="378" w:name="_Toc184312134"/>
      <w:bookmarkEnd w:id="378"/>
      <w:bookmarkStart w:id="379" w:name="_Toc184312106"/>
      <w:bookmarkEnd w:id="379"/>
      <w:bookmarkStart w:id="380" w:name="_Toc184308099"/>
      <w:bookmarkEnd w:id="380"/>
      <w:bookmarkStart w:id="381" w:name="_Toc184313309"/>
      <w:bookmarkEnd w:id="381"/>
      <w:bookmarkStart w:id="382" w:name="_Toc184308058"/>
      <w:bookmarkEnd w:id="382"/>
      <w:bookmarkStart w:id="383" w:name="_Toc184312068"/>
      <w:bookmarkEnd w:id="383"/>
      <w:bookmarkStart w:id="384" w:name="_Toc184312103"/>
      <w:bookmarkEnd w:id="384"/>
      <w:bookmarkStart w:id="385" w:name="_Toc184310304"/>
      <w:bookmarkEnd w:id="385"/>
      <w:bookmarkStart w:id="386" w:name="_Toc184312082"/>
      <w:bookmarkEnd w:id="386"/>
      <w:bookmarkStart w:id="387" w:name="_Toc184314433"/>
      <w:bookmarkEnd w:id="387"/>
      <w:bookmarkStart w:id="388" w:name="_Toc184310284"/>
      <w:bookmarkEnd w:id="388"/>
      <w:bookmarkStart w:id="389" w:name="_Toc184312085"/>
      <w:bookmarkEnd w:id="389"/>
      <w:bookmarkStart w:id="390" w:name="_Toc184312069"/>
      <w:bookmarkEnd w:id="390"/>
      <w:bookmarkStart w:id="391" w:name="_Toc184313262"/>
      <w:bookmarkEnd w:id="391"/>
      <w:bookmarkStart w:id="392" w:name="_Toc184314416"/>
      <w:bookmarkEnd w:id="392"/>
      <w:r>
        <w:rPr>
          <w:rFonts w:hint="eastAsia" w:ascii="宋体" w:hAnsi="宋体" w:eastAsia="宋体" w:cs="宋体"/>
          <w:b/>
          <w:sz w:val="36"/>
          <w:szCs w:val="36"/>
          <w:highlight w:val="none"/>
        </w:rPr>
        <w:t>评标办法</w:t>
      </w:r>
    </w:p>
    <w:p w14:paraId="79D598D9">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评标办法前附表</w:t>
      </w:r>
    </w:p>
    <w:tbl>
      <w:tblPr>
        <w:tblStyle w:val="64"/>
        <w:tblW w:w="9727"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055"/>
        <w:gridCol w:w="4827"/>
        <w:gridCol w:w="815"/>
        <w:gridCol w:w="1125"/>
        <w:gridCol w:w="1167"/>
      </w:tblGrid>
      <w:tr w14:paraId="031E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17594CD6">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882" w:type="dxa"/>
            <w:gridSpan w:val="2"/>
            <w:tcBorders>
              <w:tl2br w:val="nil"/>
              <w:tr2bl w:val="nil"/>
            </w:tcBorders>
            <w:vAlign w:val="center"/>
          </w:tcPr>
          <w:p w14:paraId="237BA81E">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15" w:type="dxa"/>
            <w:tcBorders>
              <w:tl2br w:val="nil"/>
              <w:tr2bl w:val="nil"/>
            </w:tcBorders>
            <w:vAlign w:val="center"/>
          </w:tcPr>
          <w:p w14:paraId="6C0D2041">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125" w:type="dxa"/>
            <w:tcBorders>
              <w:tl2br w:val="nil"/>
              <w:tr2bl w:val="nil"/>
            </w:tcBorders>
            <w:vAlign w:val="center"/>
          </w:tcPr>
          <w:p w14:paraId="6566CD4F">
            <w:pPr>
              <w:widowControl w:val="0"/>
              <w:wordWrap/>
              <w:adjustRightInd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167" w:type="dxa"/>
            <w:tcBorders>
              <w:tl2br w:val="nil"/>
              <w:tr2bl w:val="nil"/>
            </w:tcBorders>
            <w:vAlign w:val="top"/>
          </w:tcPr>
          <w:p w14:paraId="68EB21BA">
            <w:pPr>
              <w:widowControl w:val="0"/>
              <w:wordWrap/>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14:paraId="169E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436251F6">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55" w:type="dxa"/>
            <w:tcBorders>
              <w:tl2br w:val="nil"/>
              <w:tr2bl w:val="nil"/>
            </w:tcBorders>
            <w:vAlign w:val="center"/>
          </w:tcPr>
          <w:p w14:paraId="55613937">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技术参数偏离情况</w:t>
            </w:r>
          </w:p>
        </w:tc>
        <w:tc>
          <w:tcPr>
            <w:tcW w:w="4827" w:type="dxa"/>
            <w:tcBorders>
              <w:tl2br w:val="nil"/>
              <w:tr2bl w:val="nil"/>
            </w:tcBorders>
            <w:vAlign w:val="center"/>
          </w:tcPr>
          <w:p w14:paraId="77B9D7AC">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所投产品具体配置表、技术参数及偏离情况：产品参数配置等所有指标均满足的得基本分</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分用</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rPr>
              <w:t>标出的技术指标低于招标需求（负偏离）的每项扣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分，未加</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rPr>
              <w:t>的技术指标低于招标需求（负偏离）的每项扣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w:t>
            </w:r>
          </w:p>
          <w:p w14:paraId="16EC8E7A">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0" w:leftChars="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采购需求中要求提供的检测报告或证书的必须提供，</w:t>
            </w:r>
            <w:r>
              <w:rPr>
                <w:rFonts w:hint="eastAsia" w:ascii="宋体" w:hAnsi="宋体" w:cs="宋体"/>
                <w:b/>
                <w:bCs/>
                <w:color w:val="auto"/>
                <w:sz w:val="24"/>
                <w:szCs w:val="24"/>
                <w:highlight w:val="none"/>
                <w:lang w:val="en-US" w:eastAsia="zh-CN"/>
              </w:rPr>
              <w:t>不提供不得分</w:t>
            </w:r>
            <w:r>
              <w:rPr>
                <w:rFonts w:hint="eastAsia" w:ascii="宋体" w:hAnsi="宋体" w:eastAsia="宋体" w:cs="宋体"/>
                <w:b/>
                <w:bCs/>
                <w:color w:val="auto"/>
                <w:sz w:val="24"/>
                <w:szCs w:val="24"/>
                <w:highlight w:val="none"/>
              </w:rPr>
              <w:t>；</w:t>
            </w:r>
          </w:p>
        </w:tc>
        <w:tc>
          <w:tcPr>
            <w:tcW w:w="815" w:type="dxa"/>
            <w:tcBorders>
              <w:tl2br w:val="nil"/>
              <w:tr2bl w:val="nil"/>
            </w:tcBorders>
            <w:vAlign w:val="center"/>
          </w:tcPr>
          <w:p w14:paraId="17E28ACF">
            <w:pPr>
              <w:widowControl w:val="0"/>
              <w:wordWrap/>
              <w:adjustRightInd w:val="0"/>
              <w:spacing w:line="240" w:lineRule="auto"/>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22</w:t>
            </w:r>
          </w:p>
        </w:tc>
        <w:tc>
          <w:tcPr>
            <w:tcW w:w="1125" w:type="dxa"/>
            <w:tcBorders>
              <w:tl2br w:val="nil"/>
              <w:tr2bl w:val="nil"/>
            </w:tcBorders>
            <w:vAlign w:val="center"/>
          </w:tcPr>
          <w:p w14:paraId="640B28E6">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客观</w:t>
            </w:r>
            <w:r>
              <w:rPr>
                <w:rFonts w:hint="eastAsia" w:ascii="宋体" w:hAnsi="宋体" w:eastAsia="宋体" w:cs="宋体"/>
                <w:bCs/>
                <w:color w:val="auto"/>
                <w:sz w:val="24"/>
                <w:szCs w:val="24"/>
                <w:highlight w:val="none"/>
              </w:rPr>
              <w:t>分</w:t>
            </w:r>
          </w:p>
        </w:tc>
        <w:tc>
          <w:tcPr>
            <w:tcW w:w="1167" w:type="dxa"/>
            <w:tcBorders>
              <w:tl2br w:val="nil"/>
              <w:tr2bl w:val="nil"/>
            </w:tcBorders>
            <w:vAlign w:val="top"/>
          </w:tcPr>
          <w:p w14:paraId="34557365">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7809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73AD9604">
            <w:pPr>
              <w:widowControl w:val="0"/>
              <w:wordWrap/>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055" w:type="dxa"/>
            <w:tcBorders>
              <w:tl2br w:val="nil"/>
              <w:tr2bl w:val="nil"/>
            </w:tcBorders>
            <w:vAlign w:val="center"/>
          </w:tcPr>
          <w:p w14:paraId="055B08D1">
            <w:pPr>
              <w:keepNext w:val="0"/>
              <w:keepLines w:val="0"/>
              <w:pageBreakBefore w:val="0"/>
              <w:widowControl/>
              <w:suppressLineNumbers w:val="0"/>
              <w:kinsoku/>
              <w:wordWrap/>
              <w:overflowPunct/>
              <w:topLinePunct w:val="0"/>
              <w:autoSpaceDE/>
              <w:autoSpaceDN/>
              <w:bidi w:val="0"/>
              <w:adjustRightInd w:val="0"/>
              <w:snapToGrid/>
              <w:spacing w:line="600" w:lineRule="exact"/>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项目实施方案</w:t>
            </w:r>
          </w:p>
        </w:tc>
        <w:tc>
          <w:tcPr>
            <w:tcW w:w="4827" w:type="dxa"/>
            <w:tcBorders>
              <w:tl2br w:val="nil"/>
              <w:tr2bl w:val="nil"/>
            </w:tcBorders>
            <w:vAlign w:val="center"/>
          </w:tcPr>
          <w:p w14:paraId="4E61DE82">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600" w:lineRule="exact"/>
              <w:jc w:val="both"/>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为保障本项目实施进度及品质安全保障，根据投标人对本项目施工质量保障、进度管理和措施等情况进行打分，</w:t>
            </w:r>
            <w:r>
              <w:rPr>
                <w:rFonts w:hint="eastAsia" w:ascii="宋体" w:hAnsi="宋体" w:cs="宋体"/>
                <w:i w:val="0"/>
                <w:iCs w:val="0"/>
                <w:color w:val="auto"/>
                <w:kern w:val="0"/>
                <w:sz w:val="24"/>
                <w:szCs w:val="24"/>
                <w:highlight w:val="none"/>
                <w:u w:val="none"/>
                <w:lang w:val="en-US" w:eastAsia="zh-CN" w:bidi="ar"/>
              </w:rPr>
              <w:t>完全符合得2分，基本符合得1分，不符合不得分；</w:t>
            </w:r>
          </w:p>
          <w:p w14:paraId="62BBA563">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60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根据工程特点，根据投标人对本项目系统工程调试验收方案的科学性、合理性、可行性等进行打分，</w:t>
            </w:r>
            <w:r>
              <w:rPr>
                <w:rFonts w:hint="eastAsia" w:ascii="宋体" w:hAnsi="宋体" w:cs="宋体"/>
                <w:i w:val="0"/>
                <w:iCs w:val="0"/>
                <w:color w:val="auto"/>
                <w:kern w:val="0"/>
                <w:sz w:val="24"/>
                <w:szCs w:val="24"/>
                <w:highlight w:val="none"/>
                <w:u w:val="none"/>
                <w:lang w:val="en-US" w:eastAsia="zh-CN" w:bidi="ar"/>
              </w:rPr>
              <w:t>完全符合得2分，基本符合得1分，不符合不得分；</w:t>
            </w:r>
          </w:p>
          <w:p w14:paraId="1F0C5263">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600" w:lineRule="exact"/>
              <w:jc w:val="both"/>
              <w:textAlignment w:val="center"/>
              <w:rPr>
                <w:rFonts w:hint="eastAsia" w:ascii="宋体" w:hAnsi="宋体" w:eastAsia="宋体" w:cs="宋体"/>
                <w:b w:val="0"/>
                <w:bCs w:val="0"/>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根据对投标人对本项目利用信息化、专业化的管理工具进行项目全生命周期管理进行打分，</w:t>
            </w:r>
            <w:r>
              <w:rPr>
                <w:rFonts w:hint="eastAsia" w:ascii="宋体" w:hAnsi="宋体" w:cs="宋体"/>
                <w:i w:val="0"/>
                <w:iCs w:val="0"/>
                <w:color w:val="auto"/>
                <w:kern w:val="0"/>
                <w:sz w:val="24"/>
                <w:szCs w:val="24"/>
                <w:highlight w:val="none"/>
                <w:u w:val="none"/>
                <w:lang w:val="en-US" w:eastAsia="zh-CN" w:bidi="ar"/>
              </w:rPr>
              <w:t>完全符合得2分，基本符合得1分，不符合不得分；</w:t>
            </w:r>
          </w:p>
        </w:tc>
        <w:tc>
          <w:tcPr>
            <w:tcW w:w="815" w:type="dxa"/>
            <w:tcBorders>
              <w:tl2br w:val="nil"/>
              <w:tr2bl w:val="nil"/>
            </w:tcBorders>
            <w:vAlign w:val="center"/>
          </w:tcPr>
          <w:p w14:paraId="4C0616CD">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6</w:t>
            </w:r>
          </w:p>
        </w:tc>
        <w:tc>
          <w:tcPr>
            <w:tcW w:w="1125" w:type="dxa"/>
            <w:tcBorders>
              <w:tl2br w:val="nil"/>
              <w:tr2bl w:val="nil"/>
            </w:tcBorders>
            <w:vAlign w:val="center"/>
          </w:tcPr>
          <w:p w14:paraId="30E0CBB0">
            <w:pPr>
              <w:widowControl w:val="0"/>
              <w:wordWrap/>
              <w:adjustRightInd w:val="0"/>
              <w:snapToGrid w:val="0"/>
              <w:spacing w:line="24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主观分</w:t>
            </w:r>
          </w:p>
        </w:tc>
        <w:tc>
          <w:tcPr>
            <w:tcW w:w="1167" w:type="dxa"/>
            <w:tcBorders>
              <w:tl2br w:val="nil"/>
              <w:tr2bl w:val="nil"/>
            </w:tcBorders>
            <w:vAlign w:val="top"/>
          </w:tcPr>
          <w:p w14:paraId="013F61E9">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3E06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Merge w:val="restart"/>
            <w:tcBorders>
              <w:tl2br w:val="nil"/>
              <w:tr2bl w:val="nil"/>
            </w:tcBorders>
            <w:vAlign w:val="center"/>
          </w:tcPr>
          <w:p w14:paraId="407E7450">
            <w:pPr>
              <w:widowControl w:val="0"/>
              <w:wordWrap/>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55" w:type="dxa"/>
            <w:vMerge w:val="restart"/>
            <w:tcBorders>
              <w:tl2br w:val="nil"/>
              <w:tr2bl w:val="nil"/>
            </w:tcBorders>
            <w:vAlign w:val="center"/>
          </w:tcPr>
          <w:p w14:paraId="69E60C45">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技术方案</w:t>
            </w:r>
          </w:p>
        </w:tc>
        <w:tc>
          <w:tcPr>
            <w:tcW w:w="4827" w:type="dxa"/>
            <w:tcBorders>
              <w:tl2br w:val="nil"/>
              <w:tr2bl w:val="nil"/>
            </w:tcBorders>
            <w:shd w:val="clear" w:color="auto" w:fill="auto"/>
            <w:vAlign w:val="center"/>
          </w:tcPr>
          <w:p w14:paraId="50C9518F">
            <w:pPr>
              <w:keepNext w:val="0"/>
              <w:keepLines w:val="0"/>
              <w:pageBreakBefore w:val="0"/>
              <w:widowControl/>
              <w:suppressLineNumbers w:val="0"/>
              <w:kinsoku/>
              <w:wordWrap/>
              <w:overflowPunct/>
              <w:topLinePunct w:val="0"/>
              <w:autoSpaceDE/>
              <w:autoSpaceDN/>
              <w:bidi w:val="0"/>
              <w:adjustRightInd w:val="0"/>
              <w:snapToGrid/>
              <w:spacing w:line="600" w:lineRule="exac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对项目需求的理解情况，包含对建设目标、建设原则、建设要求、建设内容、建设思路等方面的理解情况</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描述清晰、全面、科学、合理得</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分，描述不够清晰全面、科学性较差、合理性较差得</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分，不提供或存在明显缺陷的得0分</w:t>
            </w:r>
            <w:r>
              <w:rPr>
                <w:rFonts w:hint="eastAsia" w:ascii="宋体" w:hAnsi="宋体" w:cs="宋体"/>
                <w:i w:val="0"/>
                <w:iCs w:val="0"/>
                <w:color w:val="auto"/>
                <w:kern w:val="0"/>
                <w:sz w:val="24"/>
                <w:szCs w:val="24"/>
                <w:highlight w:val="none"/>
                <w:u w:val="none"/>
                <w:lang w:val="en-US" w:eastAsia="zh-CN" w:bidi="ar"/>
              </w:rPr>
              <w:t>；</w:t>
            </w:r>
          </w:p>
        </w:tc>
        <w:tc>
          <w:tcPr>
            <w:tcW w:w="815" w:type="dxa"/>
            <w:tcBorders>
              <w:tl2br w:val="nil"/>
              <w:tr2bl w:val="nil"/>
            </w:tcBorders>
            <w:shd w:val="clear" w:color="auto" w:fill="auto"/>
            <w:vAlign w:val="center"/>
          </w:tcPr>
          <w:p w14:paraId="11668291">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3</w:t>
            </w:r>
          </w:p>
        </w:tc>
        <w:tc>
          <w:tcPr>
            <w:tcW w:w="1125" w:type="dxa"/>
            <w:tcBorders>
              <w:tl2br w:val="nil"/>
              <w:tr2bl w:val="nil"/>
            </w:tcBorders>
            <w:vAlign w:val="center"/>
          </w:tcPr>
          <w:p w14:paraId="378752BF">
            <w:pPr>
              <w:widowControl w:val="0"/>
              <w:wordWrap/>
              <w:adjustRightInd w:val="0"/>
              <w:snapToGrid w:val="0"/>
              <w:spacing w:line="24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主观分</w:t>
            </w:r>
          </w:p>
        </w:tc>
        <w:tc>
          <w:tcPr>
            <w:tcW w:w="1167" w:type="dxa"/>
            <w:tcBorders>
              <w:tl2br w:val="nil"/>
              <w:tr2bl w:val="nil"/>
            </w:tcBorders>
            <w:vAlign w:val="top"/>
          </w:tcPr>
          <w:p w14:paraId="6597FD55">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4713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Merge w:val="continue"/>
            <w:tcBorders>
              <w:tl2br w:val="nil"/>
              <w:tr2bl w:val="nil"/>
            </w:tcBorders>
            <w:vAlign w:val="center"/>
          </w:tcPr>
          <w:p w14:paraId="530B9678">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p>
        </w:tc>
        <w:tc>
          <w:tcPr>
            <w:tcW w:w="1055" w:type="dxa"/>
            <w:vMerge w:val="continue"/>
            <w:tcBorders>
              <w:tl2br w:val="nil"/>
              <w:tr2bl w:val="nil"/>
            </w:tcBorders>
            <w:vAlign w:val="center"/>
          </w:tcPr>
          <w:p w14:paraId="11022FDD">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0" w:leftChars="0" w:firstLine="0" w:firstLineChars="0"/>
              <w:jc w:val="left"/>
              <w:textAlignment w:val="auto"/>
              <w:rPr>
                <w:rFonts w:hint="eastAsia" w:ascii="宋体" w:hAnsi="宋体" w:eastAsia="宋体" w:cs="宋体"/>
                <w:b w:val="0"/>
                <w:bCs w:val="0"/>
                <w:color w:val="auto"/>
                <w:sz w:val="24"/>
                <w:szCs w:val="24"/>
                <w:highlight w:val="none"/>
              </w:rPr>
            </w:pPr>
          </w:p>
        </w:tc>
        <w:tc>
          <w:tcPr>
            <w:tcW w:w="4827" w:type="dxa"/>
            <w:tcBorders>
              <w:tl2br w:val="nil"/>
              <w:tr2bl w:val="nil"/>
            </w:tcBorders>
            <w:shd w:val="clear" w:color="auto" w:fill="auto"/>
            <w:vAlign w:val="center"/>
          </w:tcPr>
          <w:p w14:paraId="75AED718">
            <w:pPr>
              <w:keepNext w:val="0"/>
              <w:keepLines w:val="0"/>
              <w:pageBreakBefore w:val="0"/>
              <w:widowControl/>
              <w:suppressLineNumbers w:val="0"/>
              <w:kinsoku/>
              <w:wordWrap/>
              <w:overflowPunct/>
              <w:topLinePunct w:val="0"/>
              <w:autoSpaceDE/>
              <w:autoSpaceDN/>
              <w:bidi w:val="0"/>
              <w:adjustRightInd w:val="0"/>
              <w:snapToGrid/>
              <w:spacing w:line="600" w:lineRule="exac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提供本项目的总体设计方案，包括但不限于系统架构、技术架构、网络拓扑图、关键技术分析等</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描述清晰、全面、科学、合理得</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分，不清晰全面、科学性较差、合理性较差得</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分，不提供或存在明显缺陷的得0分</w:t>
            </w:r>
            <w:r>
              <w:rPr>
                <w:rFonts w:hint="eastAsia" w:ascii="宋体" w:hAnsi="宋体" w:cs="宋体"/>
                <w:i w:val="0"/>
                <w:iCs w:val="0"/>
                <w:color w:val="auto"/>
                <w:kern w:val="0"/>
                <w:sz w:val="24"/>
                <w:szCs w:val="24"/>
                <w:highlight w:val="none"/>
                <w:u w:val="none"/>
                <w:lang w:val="en-US" w:eastAsia="zh-CN" w:bidi="ar"/>
              </w:rPr>
              <w:t>；</w:t>
            </w:r>
          </w:p>
        </w:tc>
        <w:tc>
          <w:tcPr>
            <w:tcW w:w="815" w:type="dxa"/>
            <w:tcBorders>
              <w:tl2br w:val="nil"/>
              <w:tr2bl w:val="nil"/>
            </w:tcBorders>
            <w:shd w:val="clear" w:color="auto" w:fill="auto"/>
            <w:vAlign w:val="center"/>
          </w:tcPr>
          <w:p w14:paraId="409F9F76">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3</w:t>
            </w:r>
          </w:p>
        </w:tc>
        <w:tc>
          <w:tcPr>
            <w:tcW w:w="1125" w:type="dxa"/>
            <w:tcBorders>
              <w:tl2br w:val="nil"/>
              <w:tr2bl w:val="nil"/>
            </w:tcBorders>
            <w:vAlign w:val="center"/>
          </w:tcPr>
          <w:p w14:paraId="1E9B4960">
            <w:pPr>
              <w:widowControl w:val="0"/>
              <w:wordWrap/>
              <w:adjustRightInd w:val="0"/>
              <w:snapToGrid w:val="0"/>
              <w:spacing w:line="24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主观分</w:t>
            </w:r>
          </w:p>
        </w:tc>
        <w:tc>
          <w:tcPr>
            <w:tcW w:w="1167" w:type="dxa"/>
            <w:tcBorders>
              <w:tl2br w:val="nil"/>
              <w:tr2bl w:val="nil"/>
            </w:tcBorders>
            <w:vAlign w:val="top"/>
          </w:tcPr>
          <w:p w14:paraId="5FC5493B">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48BA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Merge w:val="continue"/>
            <w:tcBorders>
              <w:tl2br w:val="nil"/>
              <w:tr2bl w:val="nil"/>
            </w:tcBorders>
            <w:vAlign w:val="center"/>
          </w:tcPr>
          <w:p w14:paraId="4FE121F6">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p>
        </w:tc>
        <w:tc>
          <w:tcPr>
            <w:tcW w:w="1055" w:type="dxa"/>
            <w:vMerge w:val="continue"/>
            <w:tcBorders>
              <w:tl2br w:val="nil"/>
              <w:tr2bl w:val="nil"/>
            </w:tcBorders>
            <w:vAlign w:val="center"/>
          </w:tcPr>
          <w:p w14:paraId="3D4DA539">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0" w:leftChars="0" w:firstLine="0" w:firstLineChars="0"/>
              <w:jc w:val="left"/>
              <w:textAlignment w:val="auto"/>
              <w:rPr>
                <w:rFonts w:hint="eastAsia" w:ascii="宋体" w:hAnsi="宋体" w:eastAsia="宋体" w:cs="宋体"/>
                <w:b w:val="0"/>
                <w:bCs w:val="0"/>
                <w:color w:val="auto"/>
                <w:sz w:val="24"/>
                <w:szCs w:val="24"/>
                <w:highlight w:val="none"/>
              </w:rPr>
            </w:pPr>
          </w:p>
        </w:tc>
        <w:tc>
          <w:tcPr>
            <w:tcW w:w="4827" w:type="dxa"/>
            <w:tcBorders>
              <w:tl2br w:val="nil"/>
              <w:tr2bl w:val="nil"/>
            </w:tcBorders>
            <w:shd w:val="clear" w:color="auto" w:fill="auto"/>
            <w:vAlign w:val="center"/>
          </w:tcPr>
          <w:p w14:paraId="6C5DCFCD">
            <w:pPr>
              <w:keepNext w:val="0"/>
              <w:keepLines w:val="0"/>
              <w:pageBreakBefore w:val="0"/>
              <w:widowControl/>
              <w:suppressLineNumbers w:val="0"/>
              <w:kinsoku/>
              <w:wordWrap/>
              <w:overflowPunct/>
              <w:topLinePunct w:val="0"/>
              <w:autoSpaceDE/>
              <w:autoSpaceDN/>
              <w:bidi w:val="0"/>
              <w:adjustRightInd w:val="0"/>
              <w:snapToGrid/>
              <w:spacing w:line="6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基于项目实际建设需求，提供</w:t>
            </w:r>
            <w:r>
              <w:rPr>
                <w:rFonts w:hint="eastAsia" w:ascii="宋体" w:hAnsi="宋体" w:eastAsia="宋体" w:cs="宋体"/>
                <w:color w:val="auto"/>
                <w:sz w:val="24"/>
                <w:szCs w:val="24"/>
                <w:highlight w:val="none"/>
                <w:lang w:val="en-US" w:eastAsia="zh-CN"/>
              </w:rPr>
              <w:t>泵房智能控制柜、</w:t>
            </w:r>
            <w:r>
              <w:rPr>
                <w:rFonts w:hint="eastAsia" w:ascii="宋体" w:hAnsi="宋体" w:eastAsia="宋体" w:cs="宋体"/>
                <w:color w:val="auto"/>
                <w:sz w:val="24"/>
                <w:szCs w:val="24"/>
                <w:highlight w:val="none"/>
              </w:rPr>
              <w:t>用水监测设备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农田智能进水阀门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农田智能排水闸门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气象监测设备、土壤墒情监测设备、苗情监控系统、水质监测设备、4G无线广播终端</w:t>
            </w:r>
            <w:r>
              <w:rPr>
                <w:rFonts w:hint="eastAsia" w:ascii="宋体" w:hAnsi="宋体" w:eastAsia="宋体" w:cs="宋体"/>
                <w:i w:val="0"/>
                <w:iCs w:val="0"/>
                <w:color w:val="auto"/>
                <w:kern w:val="0"/>
                <w:sz w:val="24"/>
                <w:szCs w:val="24"/>
                <w:highlight w:val="none"/>
                <w:u w:val="none"/>
                <w:lang w:val="en-US" w:eastAsia="zh-CN" w:bidi="ar"/>
              </w:rPr>
              <w:t>的点位部署方案，并提供相应系统的点位部署图</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方案清晰可行、满足采购需求得</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分，方案基本可行、基本满足采购需求得</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分，方案有明显缺陷的得</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分、不满足采购需求得0分</w:t>
            </w:r>
            <w:r>
              <w:rPr>
                <w:rFonts w:hint="eastAsia" w:ascii="宋体" w:hAnsi="宋体" w:cs="宋体"/>
                <w:i w:val="0"/>
                <w:iCs w:val="0"/>
                <w:color w:val="auto"/>
                <w:kern w:val="0"/>
                <w:sz w:val="24"/>
                <w:szCs w:val="24"/>
                <w:highlight w:val="none"/>
                <w:u w:val="none"/>
                <w:lang w:val="en-US" w:eastAsia="zh-CN" w:bidi="ar"/>
              </w:rPr>
              <w:t>；</w:t>
            </w:r>
          </w:p>
        </w:tc>
        <w:tc>
          <w:tcPr>
            <w:tcW w:w="815" w:type="dxa"/>
            <w:tcBorders>
              <w:tl2br w:val="nil"/>
              <w:tr2bl w:val="nil"/>
            </w:tcBorders>
            <w:shd w:val="clear" w:color="auto" w:fill="auto"/>
            <w:vAlign w:val="center"/>
          </w:tcPr>
          <w:p w14:paraId="05F9F72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1125" w:type="dxa"/>
            <w:tcBorders>
              <w:tl2br w:val="nil"/>
              <w:tr2bl w:val="nil"/>
            </w:tcBorders>
            <w:vAlign w:val="center"/>
          </w:tcPr>
          <w:p w14:paraId="44C17C9D">
            <w:pPr>
              <w:widowControl w:val="0"/>
              <w:wordWrap/>
              <w:adjustRightInd w:val="0"/>
              <w:snapToGrid w:val="0"/>
              <w:spacing w:line="24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主观分</w:t>
            </w:r>
          </w:p>
        </w:tc>
        <w:tc>
          <w:tcPr>
            <w:tcW w:w="1167" w:type="dxa"/>
            <w:tcBorders>
              <w:tl2br w:val="nil"/>
              <w:tr2bl w:val="nil"/>
            </w:tcBorders>
            <w:vAlign w:val="top"/>
          </w:tcPr>
          <w:p w14:paraId="0CC50C0B">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1875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Merge w:val="continue"/>
            <w:tcBorders>
              <w:tl2br w:val="nil"/>
              <w:tr2bl w:val="nil"/>
            </w:tcBorders>
            <w:vAlign w:val="center"/>
          </w:tcPr>
          <w:p w14:paraId="0AC6B0E4">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p>
        </w:tc>
        <w:tc>
          <w:tcPr>
            <w:tcW w:w="1055" w:type="dxa"/>
            <w:vMerge w:val="continue"/>
            <w:tcBorders>
              <w:tl2br w:val="nil"/>
              <w:tr2bl w:val="nil"/>
            </w:tcBorders>
            <w:vAlign w:val="center"/>
          </w:tcPr>
          <w:p w14:paraId="3EADBBC9">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0" w:leftChars="0" w:firstLine="0" w:firstLineChars="0"/>
              <w:jc w:val="left"/>
              <w:textAlignment w:val="auto"/>
              <w:rPr>
                <w:rFonts w:hint="eastAsia" w:ascii="宋体" w:hAnsi="宋体" w:eastAsia="宋体" w:cs="宋体"/>
                <w:color w:val="auto"/>
                <w:sz w:val="24"/>
                <w:szCs w:val="24"/>
                <w:highlight w:val="none"/>
              </w:rPr>
            </w:pPr>
          </w:p>
        </w:tc>
        <w:tc>
          <w:tcPr>
            <w:tcW w:w="4827" w:type="dxa"/>
            <w:tcBorders>
              <w:tl2br w:val="nil"/>
              <w:tr2bl w:val="nil"/>
            </w:tcBorders>
            <w:shd w:val="clear" w:color="auto" w:fill="auto"/>
            <w:vAlign w:val="center"/>
          </w:tcPr>
          <w:p w14:paraId="19F10F65">
            <w:pPr>
              <w:keepNext w:val="0"/>
              <w:keepLines w:val="0"/>
              <w:pageBreakBefore w:val="0"/>
              <w:widowControl/>
              <w:suppressLineNumbers w:val="0"/>
              <w:kinsoku/>
              <w:wordWrap/>
              <w:overflowPunct/>
              <w:topLinePunct w:val="0"/>
              <w:autoSpaceDE/>
              <w:autoSpaceDN/>
              <w:bidi w:val="0"/>
              <w:adjustRightInd w:val="0"/>
              <w:snapToGrid/>
              <w:spacing w:line="60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产品可靠性和成熟度：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投标产品的制造商中有制造商获省部级（含）以上科技奖</w:t>
            </w:r>
            <w:r>
              <w:rPr>
                <w:rFonts w:hint="eastAsia" w:ascii="宋体" w:hAnsi="宋体" w:cs="宋体"/>
                <w:i w:val="0"/>
                <w:iCs w:val="0"/>
                <w:color w:val="auto"/>
                <w:kern w:val="0"/>
                <w:sz w:val="24"/>
                <w:szCs w:val="24"/>
                <w:highlight w:val="none"/>
                <w:u w:val="none"/>
                <w:lang w:val="en-US" w:eastAsia="zh-CN" w:bidi="ar"/>
              </w:rPr>
              <w:t>的</w:t>
            </w:r>
            <w:r>
              <w:rPr>
                <w:rFonts w:hint="eastAsia" w:ascii="宋体" w:hAnsi="宋体" w:eastAsia="宋体" w:cs="宋体"/>
                <w:i w:val="0"/>
                <w:iCs w:val="0"/>
                <w:color w:val="auto"/>
                <w:kern w:val="0"/>
                <w:sz w:val="24"/>
                <w:szCs w:val="24"/>
                <w:highlight w:val="none"/>
                <w:u w:val="none"/>
                <w:lang w:val="en-US" w:eastAsia="zh-CN" w:bidi="ar"/>
              </w:rPr>
              <w:t>每提供一份得</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分，市级得1分，最高得</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投标产品的制造商中有制造商</w:t>
            </w:r>
            <w:r>
              <w:rPr>
                <w:rFonts w:hint="eastAsia" w:ascii="宋体" w:hAnsi="宋体" w:cs="宋体"/>
                <w:i w:val="0"/>
                <w:iCs w:val="0"/>
                <w:color w:val="auto"/>
                <w:kern w:val="0"/>
                <w:sz w:val="24"/>
                <w:szCs w:val="24"/>
                <w:highlight w:val="none"/>
                <w:u w:val="none"/>
                <w:lang w:val="en-US" w:eastAsia="zh-CN" w:bidi="ar"/>
              </w:rPr>
              <w:t>的农作物病虫害相关的监测预警系统具有</w:t>
            </w:r>
            <w:r>
              <w:rPr>
                <w:rFonts w:hint="eastAsia" w:ascii="宋体" w:hAnsi="宋体" w:eastAsia="宋体" w:cs="宋体"/>
                <w:i w:val="0"/>
                <w:iCs w:val="0"/>
                <w:color w:val="auto"/>
                <w:kern w:val="0"/>
                <w:sz w:val="24"/>
                <w:szCs w:val="24"/>
                <w:highlight w:val="none"/>
                <w:u w:val="none"/>
                <w:lang w:val="en-US" w:eastAsia="zh-CN" w:bidi="ar"/>
              </w:rPr>
              <w:t>检验检测报告</w:t>
            </w:r>
            <w:r>
              <w:rPr>
                <w:rFonts w:hint="eastAsia" w:ascii="宋体" w:hAnsi="宋体" w:cs="宋体"/>
                <w:i w:val="0"/>
                <w:iCs w:val="0"/>
                <w:color w:val="auto"/>
                <w:kern w:val="0"/>
                <w:sz w:val="24"/>
                <w:szCs w:val="24"/>
                <w:highlight w:val="none"/>
                <w:u w:val="none"/>
                <w:lang w:val="en-US" w:eastAsia="zh-CN" w:bidi="ar"/>
              </w:rPr>
              <w:t>的</w:t>
            </w:r>
            <w:r>
              <w:rPr>
                <w:rFonts w:hint="eastAsia" w:ascii="宋体" w:hAnsi="宋体" w:eastAsia="宋体" w:cs="宋体"/>
                <w:i w:val="0"/>
                <w:iCs w:val="0"/>
                <w:color w:val="auto"/>
                <w:kern w:val="0"/>
                <w:sz w:val="24"/>
                <w:szCs w:val="24"/>
                <w:highlight w:val="none"/>
                <w:u w:val="none"/>
                <w:lang w:val="en-US" w:eastAsia="zh-CN" w:bidi="ar"/>
              </w:rPr>
              <w:t>得2分；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3）投标产品的制造商中有与本项目相关的农业类控制、管理、监测、集成等软件著作权证书的，每有一个得1分，本项最多得5分</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b/>
                <w:bCs/>
                <w:i w:val="0"/>
                <w:iCs w:val="0"/>
                <w:color w:val="auto"/>
                <w:kern w:val="0"/>
                <w:sz w:val="24"/>
                <w:szCs w:val="24"/>
                <w:highlight w:val="none"/>
                <w:u w:val="none"/>
                <w:lang w:val="en-US" w:eastAsia="zh-CN" w:bidi="ar"/>
              </w:rPr>
              <w:t>投标文件中</w:t>
            </w:r>
            <w:r>
              <w:rPr>
                <w:rFonts w:hint="eastAsia" w:ascii="宋体" w:hAnsi="宋体" w:eastAsia="宋体" w:cs="宋体"/>
                <w:b/>
                <w:bCs/>
                <w:i w:val="0"/>
                <w:iCs w:val="0"/>
                <w:color w:val="auto"/>
                <w:kern w:val="0"/>
                <w:sz w:val="24"/>
                <w:szCs w:val="24"/>
                <w:highlight w:val="none"/>
                <w:u w:val="none"/>
                <w:lang w:val="en-US" w:eastAsia="zh-CN" w:bidi="ar"/>
              </w:rPr>
              <w:t>提供证书</w:t>
            </w:r>
            <w:r>
              <w:rPr>
                <w:rFonts w:hint="eastAsia" w:ascii="宋体" w:hAnsi="宋体" w:cs="宋体"/>
                <w:b/>
                <w:bCs/>
                <w:i w:val="0"/>
                <w:iCs w:val="0"/>
                <w:color w:val="auto"/>
                <w:kern w:val="0"/>
                <w:sz w:val="24"/>
                <w:szCs w:val="24"/>
                <w:highlight w:val="none"/>
                <w:u w:val="none"/>
                <w:lang w:val="en-US" w:eastAsia="zh-CN" w:bidi="ar"/>
              </w:rPr>
              <w:t>复印</w:t>
            </w:r>
            <w:r>
              <w:rPr>
                <w:rFonts w:hint="eastAsia" w:ascii="宋体" w:hAnsi="宋体" w:eastAsia="宋体" w:cs="宋体"/>
                <w:b/>
                <w:bCs/>
                <w:i w:val="0"/>
                <w:iCs w:val="0"/>
                <w:color w:val="auto"/>
                <w:kern w:val="0"/>
                <w:sz w:val="24"/>
                <w:szCs w:val="24"/>
                <w:highlight w:val="none"/>
                <w:u w:val="none"/>
                <w:lang w:val="en-US" w:eastAsia="zh-CN" w:bidi="ar"/>
              </w:rPr>
              <w:t>件并加盖原厂公章</w:t>
            </w:r>
            <w:r>
              <w:rPr>
                <w:rFonts w:hint="eastAsia" w:ascii="宋体" w:hAnsi="宋体" w:cs="宋体"/>
                <w:b/>
                <w:bCs/>
                <w:i w:val="0"/>
                <w:iCs w:val="0"/>
                <w:color w:val="auto"/>
                <w:kern w:val="0"/>
                <w:sz w:val="24"/>
                <w:szCs w:val="24"/>
                <w:highlight w:val="none"/>
                <w:u w:val="none"/>
                <w:lang w:val="en-US" w:eastAsia="zh-CN" w:bidi="ar"/>
              </w:rPr>
              <w:t>，不提供不得分；</w:t>
            </w:r>
          </w:p>
        </w:tc>
        <w:tc>
          <w:tcPr>
            <w:tcW w:w="815" w:type="dxa"/>
            <w:tcBorders>
              <w:tl2br w:val="nil"/>
              <w:tr2bl w:val="nil"/>
            </w:tcBorders>
            <w:shd w:val="clear" w:color="auto" w:fill="auto"/>
            <w:vAlign w:val="center"/>
          </w:tcPr>
          <w:p w14:paraId="3FE23BB3">
            <w:pPr>
              <w:keepNext w:val="0"/>
              <w:keepLines w:val="0"/>
              <w:widowControl/>
              <w:suppressLineNumbers w:val="0"/>
              <w:spacing w:line="36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10</w:t>
            </w:r>
          </w:p>
        </w:tc>
        <w:tc>
          <w:tcPr>
            <w:tcW w:w="1125" w:type="dxa"/>
            <w:tcBorders>
              <w:tl2br w:val="nil"/>
              <w:tr2bl w:val="nil"/>
            </w:tcBorders>
            <w:vAlign w:val="center"/>
          </w:tcPr>
          <w:p w14:paraId="7B78FA87">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eastAsia="zh-CN"/>
              </w:rPr>
              <w:t>客</w:t>
            </w:r>
            <w:r>
              <w:rPr>
                <w:rFonts w:hint="eastAsia" w:ascii="宋体" w:hAnsi="宋体" w:eastAsia="宋体" w:cs="宋体"/>
                <w:bCs/>
                <w:color w:val="auto"/>
                <w:sz w:val="24"/>
                <w:szCs w:val="24"/>
                <w:highlight w:val="none"/>
              </w:rPr>
              <w:t>观分</w:t>
            </w:r>
          </w:p>
        </w:tc>
        <w:tc>
          <w:tcPr>
            <w:tcW w:w="1167" w:type="dxa"/>
            <w:tcBorders>
              <w:tl2br w:val="nil"/>
              <w:tr2bl w:val="nil"/>
            </w:tcBorders>
            <w:vAlign w:val="top"/>
          </w:tcPr>
          <w:p w14:paraId="031D7CAA">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0A02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Merge w:val="continue"/>
            <w:tcBorders>
              <w:tl2br w:val="nil"/>
              <w:tr2bl w:val="nil"/>
            </w:tcBorders>
            <w:vAlign w:val="center"/>
          </w:tcPr>
          <w:p w14:paraId="26A42BB7">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p>
        </w:tc>
        <w:tc>
          <w:tcPr>
            <w:tcW w:w="1055" w:type="dxa"/>
            <w:vMerge w:val="continue"/>
            <w:tcBorders>
              <w:tl2br w:val="nil"/>
              <w:tr2bl w:val="nil"/>
            </w:tcBorders>
            <w:vAlign w:val="center"/>
          </w:tcPr>
          <w:p w14:paraId="41E10579">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p>
        </w:tc>
        <w:tc>
          <w:tcPr>
            <w:tcW w:w="4827" w:type="dxa"/>
            <w:tcBorders>
              <w:tl2br w:val="nil"/>
              <w:tr2bl w:val="nil"/>
            </w:tcBorders>
            <w:shd w:val="clear" w:color="auto" w:fill="auto"/>
            <w:vAlign w:val="center"/>
          </w:tcPr>
          <w:p w14:paraId="415149D3">
            <w:pPr>
              <w:keepNext w:val="0"/>
              <w:keepLines w:val="0"/>
              <w:pageBreakBefore w:val="0"/>
              <w:widowControl/>
              <w:suppressLineNumbers w:val="0"/>
              <w:kinsoku/>
              <w:wordWrap/>
              <w:overflowPunct/>
              <w:topLinePunct w:val="0"/>
              <w:autoSpaceDE/>
              <w:autoSpaceDN/>
              <w:bidi w:val="0"/>
              <w:adjustRightInd w:val="0"/>
              <w:snapToGrid/>
              <w:spacing w:line="60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针对采购需求中“采购清单及技术参数”第7点的系统对接</w:t>
            </w:r>
            <w:r>
              <w:rPr>
                <w:rFonts w:hint="eastAsia" w:ascii="宋体" w:hAnsi="宋体" w:eastAsia="宋体" w:cs="宋体"/>
                <w:i w:val="0"/>
                <w:iCs w:val="0"/>
                <w:color w:val="auto"/>
                <w:kern w:val="0"/>
                <w:sz w:val="24"/>
                <w:szCs w:val="24"/>
                <w:highlight w:val="none"/>
                <w:u w:val="none"/>
                <w:lang w:val="en-US" w:eastAsia="zh-CN" w:bidi="ar"/>
              </w:rPr>
              <w:t>，提供详细、合理的的对接说明，</w:t>
            </w:r>
            <w:r>
              <w:rPr>
                <w:rFonts w:hint="eastAsia" w:ascii="宋体" w:hAnsi="宋体" w:eastAsia="宋体" w:cs="宋体"/>
                <w:color w:val="auto"/>
                <w:sz w:val="24"/>
                <w:szCs w:val="24"/>
                <w:highlight w:val="none"/>
              </w:rPr>
              <w:t>具有对接能力的，</w:t>
            </w:r>
            <w:r>
              <w:rPr>
                <w:rFonts w:hint="eastAsia" w:ascii="宋体" w:hAnsi="宋体" w:cs="宋体"/>
                <w:color w:val="auto"/>
                <w:sz w:val="24"/>
                <w:szCs w:val="24"/>
                <w:highlight w:val="none"/>
                <w:lang w:eastAsia="zh-CN"/>
              </w:rPr>
              <w:t>每有</w:t>
            </w:r>
            <w:r>
              <w:rPr>
                <w:rFonts w:hint="eastAsia" w:ascii="宋体" w:hAnsi="宋体" w:eastAsia="宋体" w:cs="宋体"/>
                <w:color w:val="auto"/>
                <w:sz w:val="24"/>
                <w:szCs w:val="24"/>
                <w:highlight w:val="none"/>
              </w:rPr>
              <w:t>对接一个得2分，</w:t>
            </w:r>
            <w:r>
              <w:rPr>
                <w:rFonts w:hint="eastAsia" w:ascii="宋体" w:hAnsi="宋体" w:cs="宋体"/>
                <w:color w:val="auto"/>
                <w:sz w:val="24"/>
                <w:szCs w:val="24"/>
                <w:highlight w:val="none"/>
                <w:lang w:eastAsia="zh-CN"/>
              </w:rPr>
              <w:t>本项</w:t>
            </w:r>
            <w:r>
              <w:rPr>
                <w:rFonts w:hint="eastAsia" w:ascii="宋体" w:hAnsi="宋体" w:eastAsia="宋体" w:cs="宋体"/>
                <w:color w:val="auto"/>
                <w:sz w:val="24"/>
                <w:szCs w:val="24"/>
                <w:highlight w:val="none"/>
              </w:rPr>
              <w:t>最</w:t>
            </w:r>
            <w:r>
              <w:rPr>
                <w:rFonts w:hint="eastAsia" w:ascii="宋体" w:hAnsi="宋体" w:cs="宋体"/>
                <w:color w:val="auto"/>
                <w:sz w:val="24"/>
                <w:szCs w:val="24"/>
                <w:highlight w:val="none"/>
                <w:lang w:eastAsia="zh-CN"/>
              </w:rPr>
              <w:t>多</w:t>
            </w:r>
            <w:r>
              <w:rPr>
                <w:rFonts w:hint="eastAsia" w:ascii="宋体" w:hAnsi="宋体" w:eastAsia="宋体" w:cs="宋体"/>
                <w:color w:val="auto"/>
                <w:sz w:val="24"/>
                <w:szCs w:val="24"/>
                <w:highlight w:val="none"/>
              </w:rPr>
              <w:t>得4分</w:t>
            </w:r>
            <w:r>
              <w:rPr>
                <w:rFonts w:hint="eastAsia" w:ascii="宋体" w:hAnsi="宋体" w:cs="宋体"/>
                <w:color w:val="auto"/>
                <w:sz w:val="24"/>
                <w:szCs w:val="24"/>
                <w:highlight w:val="none"/>
                <w:lang w:eastAsia="zh-CN"/>
              </w:rPr>
              <w:t>；</w:t>
            </w:r>
            <w:r>
              <w:rPr>
                <w:rFonts w:hint="eastAsia" w:ascii="宋体" w:hAnsi="宋体" w:eastAsia="宋体" w:cs="宋体"/>
                <w:i w:val="0"/>
                <w:iCs w:val="0"/>
                <w:color w:val="auto"/>
                <w:kern w:val="0"/>
                <w:sz w:val="24"/>
                <w:szCs w:val="24"/>
                <w:highlight w:val="none"/>
                <w:u w:val="none"/>
                <w:lang w:val="en-US" w:eastAsia="zh-CN" w:bidi="ar"/>
              </w:rPr>
              <w:br w:type="textWrapping"/>
            </w:r>
            <w:r>
              <w:rPr>
                <w:rStyle w:val="832"/>
                <w:rFonts w:hint="eastAsia" w:ascii="宋体" w:hAnsi="宋体" w:cs="宋体"/>
                <w:b/>
                <w:bCs/>
                <w:color w:val="auto"/>
                <w:sz w:val="24"/>
                <w:szCs w:val="24"/>
                <w:highlight w:val="none"/>
                <w:lang w:val="en-US" w:eastAsia="zh-CN" w:bidi="ar"/>
              </w:rPr>
              <w:t>投标文件中</w:t>
            </w:r>
            <w:r>
              <w:rPr>
                <w:rStyle w:val="832"/>
                <w:rFonts w:hint="eastAsia" w:ascii="宋体" w:hAnsi="宋体" w:eastAsia="宋体" w:cs="宋体"/>
                <w:b/>
                <w:bCs/>
                <w:color w:val="auto"/>
                <w:sz w:val="24"/>
                <w:szCs w:val="24"/>
                <w:highlight w:val="none"/>
                <w:lang w:val="en-US" w:eastAsia="zh-CN" w:bidi="ar"/>
              </w:rPr>
              <w:t>提供相关合同或授权证明材料</w:t>
            </w:r>
            <w:r>
              <w:rPr>
                <w:rStyle w:val="832"/>
                <w:rFonts w:hint="eastAsia" w:ascii="宋体" w:hAnsi="宋体" w:cs="宋体"/>
                <w:b/>
                <w:bCs/>
                <w:color w:val="auto"/>
                <w:sz w:val="24"/>
                <w:szCs w:val="24"/>
                <w:highlight w:val="none"/>
                <w:lang w:val="en-US" w:eastAsia="zh-CN" w:bidi="ar"/>
              </w:rPr>
              <w:t>复印件</w:t>
            </w:r>
            <w:r>
              <w:rPr>
                <w:rStyle w:val="832"/>
                <w:rFonts w:hint="eastAsia" w:ascii="宋体" w:hAnsi="宋体" w:eastAsia="宋体" w:cs="宋体"/>
                <w:b/>
                <w:bCs/>
                <w:color w:val="auto"/>
                <w:sz w:val="24"/>
                <w:szCs w:val="24"/>
                <w:highlight w:val="none"/>
                <w:lang w:val="en-US" w:eastAsia="zh-CN" w:bidi="ar"/>
              </w:rPr>
              <w:t>并加盖单位公章</w:t>
            </w:r>
            <w:r>
              <w:rPr>
                <w:rStyle w:val="832"/>
                <w:rFonts w:hint="eastAsia" w:ascii="宋体" w:hAnsi="宋体" w:cs="宋体"/>
                <w:b/>
                <w:bCs/>
                <w:color w:val="auto"/>
                <w:sz w:val="24"/>
                <w:szCs w:val="24"/>
                <w:highlight w:val="none"/>
                <w:lang w:val="en-US" w:eastAsia="zh-CN" w:bidi="ar"/>
              </w:rPr>
              <w:t>，不提供不得分；</w:t>
            </w:r>
          </w:p>
        </w:tc>
        <w:tc>
          <w:tcPr>
            <w:tcW w:w="815" w:type="dxa"/>
            <w:tcBorders>
              <w:tl2br w:val="nil"/>
              <w:tr2bl w:val="nil"/>
            </w:tcBorders>
            <w:shd w:val="clear" w:color="auto" w:fill="auto"/>
            <w:vAlign w:val="center"/>
          </w:tcPr>
          <w:p w14:paraId="2DAFC85E">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1125" w:type="dxa"/>
            <w:tcBorders>
              <w:tl2br w:val="nil"/>
              <w:tr2bl w:val="nil"/>
            </w:tcBorders>
            <w:vAlign w:val="center"/>
          </w:tcPr>
          <w:p w14:paraId="2FD3D4DC">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eastAsia="zh-CN"/>
              </w:rPr>
              <w:t>客观</w:t>
            </w:r>
            <w:r>
              <w:rPr>
                <w:rFonts w:hint="eastAsia" w:ascii="宋体" w:hAnsi="宋体" w:eastAsia="宋体" w:cs="宋体"/>
                <w:bCs/>
                <w:color w:val="auto"/>
                <w:sz w:val="24"/>
                <w:szCs w:val="24"/>
                <w:highlight w:val="none"/>
              </w:rPr>
              <w:t>分</w:t>
            </w:r>
          </w:p>
        </w:tc>
        <w:tc>
          <w:tcPr>
            <w:tcW w:w="1167" w:type="dxa"/>
            <w:tcBorders>
              <w:tl2br w:val="nil"/>
              <w:tr2bl w:val="nil"/>
            </w:tcBorders>
            <w:vAlign w:val="top"/>
          </w:tcPr>
          <w:p w14:paraId="47B7FFA8">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02B1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126FB180">
            <w:pPr>
              <w:widowControl w:val="0"/>
              <w:wordWrap/>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055" w:type="dxa"/>
            <w:tcBorders>
              <w:tl2br w:val="nil"/>
              <w:tr2bl w:val="nil"/>
            </w:tcBorders>
            <w:shd w:val="clear" w:color="auto" w:fill="auto"/>
            <w:vAlign w:val="center"/>
          </w:tcPr>
          <w:p w14:paraId="1C66EA3A">
            <w:pPr>
              <w:keepNext w:val="0"/>
              <w:keepLines w:val="0"/>
              <w:pageBreakBefore w:val="0"/>
              <w:widowControl/>
              <w:suppressLineNumbers w:val="0"/>
              <w:kinsoku/>
              <w:wordWrap/>
              <w:overflowPunct/>
              <w:topLinePunct w:val="0"/>
              <w:autoSpaceDE/>
              <w:autoSpaceDN/>
              <w:bidi w:val="0"/>
              <w:adjustRightInd w:val="0"/>
              <w:snapToGrid/>
              <w:spacing w:line="600" w:lineRule="exact"/>
              <w:jc w:val="left"/>
              <w:textAlignment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项目实施能力</w:t>
            </w:r>
          </w:p>
        </w:tc>
        <w:tc>
          <w:tcPr>
            <w:tcW w:w="4827" w:type="dxa"/>
            <w:tcBorders>
              <w:tl2br w:val="nil"/>
              <w:tr2bl w:val="nil"/>
            </w:tcBorders>
            <w:shd w:val="clear" w:color="auto" w:fill="auto"/>
            <w:vAlign w:val="center"/>
          </w:tcPr>
          <w:p w14:paraId="0853C06A">
            <w:pPr>
              <w:keepNext w:val="0"/>
              <w:keepLines w:val="0"/>
              <w:pageBreakBefore w:val="0"/>
              <w:widowControl/>
              <w:suppressLineNumbers w:val="0"/>
              <w:kinsoku/>
              <w:wordWrap/>
              <w:overflowPunct/>
              <w:topLinePunct w:val="0"/>
              <w:autoSpaceDE/>
              <w:autoSpaceDN/>
              <w:bidi w:val="0"/>
              <w:adjustRightInd w:val="0"/>
              <w:snapToGrid/>
              <w:spacing w:line="600" w:lineRule="exact"/>
              <w:jc w:val="both"/>
              <w:textAlignment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1）拟派项目经理</w:t>
            </w:r>
            <w:r>
              <w:rPr>
                <w:rFonts w:hint="eastAsia" w:ascii="宋体" w:hAnsi="宋体" w:cs="宋体"/>
                <w:i w:val="0"/>
                <w:iCs w:val="0"/>
                <w:color w:val="auto"/>
                <w:kern w:val="0"/>
                <w:sz w:val="24"/>
                <w:szCs w:val="24"/>
                <w:highlight w:val="none"/>
                <w:u w:val="none"/>
                <w:lang w:val="en-US" w:eastAsia="zh-CN" w:bidi="ar"/>
              </w:rPr>
              <w:t>：具有</w:t>
            </w:r>
            <w:r>
              <w:rPr>
                <w:rFonts w:hint="eastAsia" w:ascii="宋体" w:hAnsi="宋体" w:eastAsia="宋体" w:cs="宋体"/>
                <w:i w:val="0"/>
                <w:iCs w:val="0"/>
                <w:color w:val="auto"/>
                <w:kern w:val="0"/>
                <w:sz w:val="24"/>
                <w:szCs w:val="24"/>
                <w:highlight w:val="none"/>
                <w:u w:val="none"/>
                <w:lang w:val="en-US" w:eastAsia="zh-CN" w:bidi="ar"/>
              </w:rPr>
              <w:t>高级工程师职称（信息技术（技术开发））、信息系统项目管理师证书、通信中级工程师证书的</w:t>
            </w:r>
            <w:r>
              <w:rPr>
                <w:rFonts w:hint="eastAsia" w:ascii="宋体" w:hAnsi="宋体" w:cs="宋体"/>
                <w:i w:val="0"/>
                <w:iCs w:val="0"/>
                <w:color w:val="auto"/>
                <w:kern w:val="0"/>
                <w:sz w:val="24"/>
                <w:szCs w:val="24"/>
                <w:highlight w:val="none"/>
                <w:u w:val="none"/>
                <w:lang w:val="en-US" w:eastAsia="zh-CN" w:bidi="ar"/>
              </w:rPr>
              <w:t>，每有一个</w:t>
            </w:r>
            <w:r>
              <w:rPr>
                <w:rFonts w:hint="eastAsia" w:ascii="宋体" w:hAnsi="宋体" w:eastAsia="宋体" w:cs="宋体"/>
                <w:i w:val="0"/>
                <w:iCs w:val="0"/>
                <w:color w:val="auto"/>
                <w:kern w:val="0"/>
                <w:sz w:val="24"/>
                <w:szCs w:val="24"/>
                <w:highlight w:val="none"/>
                <w:u w:val="none"/>
                <w:lang w:val="en-US" w:eastAsia="zh-CN" w:bidi="ar"/>
              </w:rPr>
              <w:t>得</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分</w:t>
            </w:r>
            <w:r>
              <w:rPr>
                <w:rFonts w:hint="eastAsia" w:ascii="宋体" w:hAnsi="宋体" w:cs="宋体"/>
                <w:i w:val="0"/>
                <w:iCs w:val="0"/>
                <w:color w:val="auto"/>
                <w:kern w:val="0"/>
                <w:sz w:val="24"/>
                <w:szCs w:val="24"/>
                <w:highlight w:val="none"/>
                <w:u w:val="none"/>
                <w:lang w:val="en-US" w:eastAsia="zh-CN" w:bidi="ar"/>
              </w:rPr>
              <w:t>，本项最多得3分；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2）拟派技术负责人</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具</w:t>
            </w:r>
            <w:r>
              <w:rPr>
                <w:rFonts w:hint="eastAsia" w:ascii="宋体" w:hAnsi="宋体" w:cs="宋体"/>
                <w:i w:val="0"/>
                <w:iCs w:val="0"/>
                <w:color w:val="auto"/>
                <w:kern w:val="0"/>
                <w:sz w:val="24"/>
                <w:szCs w:val="24"/>
                <w:highlight w:val="none"/>
                <w:u w:val="none"/>
                <w:lang w:val="en-US" w:eastAsia="zh-CN" w:bidi="ar"/>
              </w:rPr>
              <w:t>有</w:t>
            </w:r>
            <w:r>
              <w:rPr>
                <w:rFonts w:hint="eastAsia" w:ascii="宋体" w:hAnsi="宋体" w:eastAsia="宋体" w:cs="宋体"/>
                <w:i w:val="0"/>
                <w:iCs w:val="0"/>
                <w:color w:val="auto"/>
                <w:kern w:val="0"/>
                <w:sz w:val="24"/>
                <w:szCs w:val="24"/>
                <w:highlight w:val="none"/>
                <w:u w:val="none"/>
                <w:lang w:val="en-US" w:eastAsia="zh-CN" w:bidi="ar"/>
              </w:rPr>
              <w:t>高级工程师职称（信息技术）、</w:t>
            </w:r>
            <w:r>
              <w:rPr>
                <w:rFonts w:hint="eastAsia" w:ascii="宋体" w:hAnsi="宋体" w:cs="宋体"/>
                <w:i w:val="0"/>
                <w:iCs w:val="0"/>
                <w:color w:val="auto"/>
                <w:kern w:val="0"/>
                <w:sz w:val="24"/>
                <w:szCs w:val="24"/>
                <w:highlight w:val="none"/>
                <w:u w:val="none"/>
                <w:lang w:val="en-US" w:eastAsia="zh-CN" w:bidi="ar"/>
              </w:rPr>
              <w:t>中级网络工程师证书</w:t>
            </w:r>
            <w:r>
              <w:rPr>
                <w:rFonts w:hint="eastAsia" w:ascii="宋体" w:hAnsi="宋体" w:eastAsia="宋体" w:cs="宋体"/>
                <w:i w:val="0"/>
                <w:iCs w:val="0"/>
                <w:color w:val="auto"/>
                <w:kern w:val="0"/>
                <w:sz w:val="24"/>
                <w:szCs w:val="24"/>
                <w:highlight w:val="none"/>
                <w:u w:val="none"/>
                <w:lang w:val="en-US" w:eastAsia="zh-CN" w:bidi="ar"/>
              </w:rPr>
              <w:t>的</w:t>
            </w:r>
            <w:r>
              <w:rPr>
                <w:rFonts w:hint="eastAsia" w:ascii="宋体" w:hAnsi="宋体" w:cs="宋体"/>
                <w:i w:val="0"/>
                <w:iCs w:val="0"/>
                <w:color w:val="auto"/>
                <w:kern w:val="0"/>
                <w:sz w:val="24"/>
                <w:szCs w:val="24"/>
                <w:highlight w:val="none"/>
                <w:u w:val="none"/>
                <w:lang w:val="en-US" w:eastAsia="zh-CN" w:bidi="ar"/>
              </w:rPr>
              <w:t>，每有一个</w:t>
            </w:r>
            <w:r>
              <w:rPr>
                <w:rFonts w:hint="eastAsia" w:ascii="宋体" w:hAnsi="宋体" w:eastAsia="宋体" w:cs="宋体"/>
                <w:i w:val="0"/>
                <w:iCs w:val="0"/>
                <w:color w:val="auto"/>
                <w:kern w:val="0"/>
                <w:sz w:val="24"/>
                <w:szCs w:val="24"/>
                <w:highlight w:val="none"/>
                <w:u w:val="none"/>
                <w:lang w:val="en-US" w:eastAsia="zh-CN" w:bidi="ar"/>
              </w:rPr>
              <w:t>得</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分</w:t>
            </w:r>
            <w:r>
              <w:rPr>
                <w:rFonts w:hint="eastAsia" w:ascii="宋体" w:hAnsi="宋体" w:cs="宋体"/>
                <w:i w:val="0"/>
                <w:iCs w:val="0"/>
                <w:color w:val="auto"/>
                <w:kern w:val="0"/>
                <w:sz w:val="24"/>
                <w:szCs w:val="24"/>
                <w:highlight w:val="none"/>
                <w:u w:val="none"/>
                <w:lang w:val="en-US" w:eastAsia="zh-CN" w:bidi="ar"/>
              </w:rPr>
              <w:t>，本项最多得2分；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3）拟派项目系统架构师具备高级系统架构设计师证书的得1分，没有不得分；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4）项目团队其他成员（项目经理、项目技术负责人和系统架构师除外）具有中级及以上软件设计师资格证书的，每有一个得0.5分，本项最多得2分；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投标文件中提供相应人员证书复印件及近1个月的社保缴纳证明复印件加盖公章</w:t>
            </w:r>
            <w:r>
              <w:rPr>
                <w:rFonts w:hint="eastAsia" w:ascii="宋体" w:hAnsi="宋体" w:cs="宋体"/>
                <w:b/>
                <w:bCs/>
                <w:i w:val="0"/>
                <w:iCs w:val="0"/>
                <w:color w:val="auto"/>
                <w:kern w:val="0"/>
                <w:sz w:val="24"/>
                <w:szCs w:val="24"/>
                <w:highlight w:val="none"/>
                <w:u w:val="none"/>
                <w:lang w:val="en-US" w:eastAsia="zh-CN" w:bidi="ar"/>
              </w:rPr>
              <w:t>，不提供不得分</w:t>
            </w:r>
            <w:r>
              <w:rPr>
                <w:rFonts w:hint="eastAsia" w:ascii="宋体" w:hAnsi="宋体" w:eastAsia="宋体" w:cs="宋体"/>
                <w:b/>
                <w:bCs/>
                <w:i w:val="0"/>
                <w:iCs w:val="0"/>
                <w:color w:val="auto"/>
                <w:kern w:val="0"/>
                <w:sz w:val="24"/>
                <w:szCs w:val="24"/>
                <w:highlight w:val="none"/>
                <w:u w:val="none"/>
                <w:lang w:val="en-US" w:eastAsia="zh-CN" w:bidi="ar"/>
              </w:rPr>
              <w:t>；</w:t>
            </w:r>
          </w:p>
        </w:tc>
        <w:tc>
          <w:tcPr>
            <w:tcW w:w="815" w:type="dxa"/>
            <w:tcBorders>
              <w:tl2br w:val="nil"/>
              <w:tr2bl w:val="nil"/>
            </w:tcBorders>
            <w:shd w:val="clear" w:color="auto" w:fill="auto"/>
            <w:vAlign w:val="center"/>
          </w:tcPr>
          <w:p w14:paraId="11A9C8FD">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w:t>
            </w:r>
          </w:p>
        </w:tc>
        <w:tc>
          <w:tcPr>
            <w:tcW w:w="1125" w:type="dxa"/>
            <w:tcBorders>
              <w:tl2br w:val="nil"/>
              <w:tr2bl w:val="nil"/>
            </w:tcBorders>
            <w:vAlign w:val="center"/>
          </w:tcPr>
          <w:p w14:paraId="71DEDD3B">
            <w:pPr>
              <w:widowControl w:val="0"/>
              <w:wordWrap/>
              <w:adjustRightInd w:val="0"/>
              <w:snapToGrid w:val="0"/>
              <w:spacing w:line="24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客观分</w:t>
            </w:r>
          </w:p>
        </w:tc>
        <w:tc>
          <w:tcPr>
            <w:tcW w:w="1167" w:type="dxa"/>
            <w:tcBorders>
              <w:tl2br w:val="nil"/>
              <w:tr2bl w:val="nil"/>
            </w:tcBorders>
            <w:vAlign w:val="top"/>
          </w:tcPr>
          <w:p w14:paraId="119E78B2">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773A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7B87C696">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055" w:type="dxa"/>
            <w:tcBorders>
              <w:tl2br w:val="nil"/>
              <w:tr2bl w:val="nil"/>
            </w:tcBorders>
            <w:shd w:val="clear" w:color="auto" w:fill="auto"/>
            <w:vAlign w:val="center"/>
          </w:tcPr>
          <w:p w14:paraId="3602EF2C">
            <w:pPr>
              <w:keepNext w:val="0"/>
              <w:keepLines w:val="0"/>
              <w:pageBreakBefore w:val="0"/>
              <w:widowControl/>
              <w:suppressLineNumbers w:val="0"/>
              <w:kinsoku/>
              <w:wordWrap/>
              <w:overflowPunct/>
              <w:topLinePunct w:val="0"/>
              <w:autoSpaceDE/>
              <w:autoSpaceDN/>
              <w:bidi w:val="0"/>
              <w:adjustRightInd w:val="0"/>
              <w:snapToGrid/>
              <w:spacing w:line="600" w:lineRule="exac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售后服务</w:t>
            </w:r>
          </w:p>
        </w:tc>
        <w:tc>
          <w:tcPr>
            <w:tcW w:w="4827" w:type="dxa"/>
            <w:tcBorders>
              <w:tl2br w:val="nil"/>
              <w:tr2bl w:val="nil"/>
            </w:tcBorders>
            <w:shd w:val="clear" w:color="auto" w:fill="auto"/>
            <w:vAlign w:val="center"/>
          </w:tcPr>
          <w:p w14:paraId="5DB73E34">
            <w:pPr>
              <w:keepNext w:val="0"/>
              <w:keepLines w:val="0"/>
              <w:pageBreakBefore w:val="0"/>
              <w:widowControl/>
              <w:suppressLineNumbers w:val="0"/>
              <w:kinsoku/>
              <w:wordWrap/>
              <w:overflowPunct/>
              <w:topLinePunct w:val="0"/>
              <w:autoSpaceDE/>
              <w:autoSpaceDN/>
              <w:bidi w:val="0"/>
              <w:adjustRightInd w:val="0"/>
              <w:snapToGrid/>
              <w:spacing w:line="60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根据投标人针对本项目实际情况提供详细的售后服务方案：包括故障修复服务、定期巡检服务、系统评估及优化服务、重大节假日保障服务和保修期外服务等方面打分</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方案描述详细、可行、实用得3分，较为详细、可行性差、不实用得1分，不提供或存在明显缺陷的得0分</w:t>
            </w:r>
            <w:r>
              <w:rPr>
                <w:rFonts w:hint="eastAsia" w:ascii="宋体" w:hAnsi="宋体" w:cs="宋体"/>
                <w:i w:val="0"/>
                <w:iCs w:val="0"/>
                <w:color w:val="auto"/>
                <w:kern w:val="0"/>
                <w:sz w:val="24"/>
                <w:szCs w:val="24"/>
                <w:highlight w:val="none"/>
                <w:u w:val="none"/>
                <w:lang w:val="en-US" w:eastAsia="zh-CN" w:bidi="ar"/>
              </w:rPr>
              <w:t>；</w:t>
            </w:r>
          </w:p>
        </w:tc>
        <w:tc>
          <w:tcPr>
            <w:tcW w:w="815" w:type="dxa"/>
            <w:tcBorders>
              <w:tl2br w:val="nil"/>
              <w:tr2bl w:val="nil"/>
            </w:tcBorders>
            <w:shd w:val="clear" w:color="auto" w:fill="auto"/>
            <w:vAlign w:val="center"/>
          </w:tcPr>
          <w:p w14:paraId="3F256F69">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125" w:type="dxa"/>
            <w:tcBorders>
              <w:tl2br w:val="nil"/>
              <w:tr2bl w:val="nil"/>
            </w:tcBorders>
            <w:vAlign w:val="center"/>
          </w:tcPr>
          <w:p w14:paraId="0CEE0E28">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167" w:type="dxa"/>
            <w:tcBorders>
              <w:tl2br w:val="nil"/>
              <w:tr2bl w:val="nil"/>
            </w:tcBorders>
            <w:vAlign w:val="top"/>
          </w:tcPr>
          <w:p w14:paraId="21E3E995">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197A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30AF9A51">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055" w:type="dxa"/>
            <w:tcBorders>
              <w:tl2br w:val="nil"/>
              <w:tr2bl w:val="nil"/>
            </w:tcBorders>
            <w:shd w:val="clear" w:color="auto" w:fill="FFFFFF" w:themeFill="background1"/>
            <w:vAlign w:val="center"/>
          </w:tcPr>
          <w:p w14:paraId="35CB21E2">
            <w:pPr>
              <w:keepNext w:val="0"/>
              <w:keepLines w:val="0"/>
              <w:pageBreakBefore w:val="0"/>
              <w:widowControl/>
              <w:suppressLineNumbers w:val="0"/>
              <w:kinsoku/>
              <w:wordWrap/>
              <w:overflowPunct/>
              <w:topLinePunct w:val="0"/>
              <w:autoSpaceDE/>
              <w:autoSpaceDN/>
              <w:bidi w:val="0"/>
              <w:adjustRightInd w:val="0"/>
              <w:snapToGrid/>
              <w:spacing w:line="60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企业认证证书</w:t>
            </w:r>
          </w:p>
        </w:tc>
        <w:tc>
          <w:tcPr>
            <w:tcW w:w="4827" w:type="dxa"/>
            <w:tcBorders>
              <w:tl2br w:val="nil"/>
              <w:tr2bl w:val="nil"/>
            </w:tcBorders>
            <w:shd w:val="clear" w:color="auto" w:fill="FFFFFF" w:themeFill="background1"/>
            <w:vAlign w:val="center"/>
          </w:tcPr>
          <w:p w14:paraId="1F334219">
            <w:pPr>
              <w:keepNext w:val="0"/>
              <w:keepLines w:val="0"/>
              <w:pageBreakBefore w:val="0"/>
              <w:widowControl/>
              <w:suppressLineNumbers w:val="0"/>
              <w:kinsoku/>
              <w:wordWrap/>
              <w:overflowPunct/>
              <w:topLinePunct w:val="0"/>
              <w:autoSpaceDE/>
              <w:autoSpaceDN/>
              <w:bidi w:val="0"/>
              <w:adjustRightInd w:val="0"/>
              <w:snapToGrid/>
              <w:spacing w:line="600" w:lineRule="exac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投标人具有CCRC信息安全服务资质证书、信息安全管理体系认证证书、电讯业质量管理体系认证证书的，每有一个证书得2分，本项最多得6分；证书需在有效期内；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sz w:val="24"/>
                <w:szCs w:val="24"/>
                <w:highlight w:val="none"/>
                <w:lang w:val="en-US" w:eastAsia="zh-CN"/>
              </w:rPr>
              <w:t>投标文件中提供证书复印件及全国认证认可信息公共服务平台（http://cx.cnca.cn/CertECloud/index/index/page）查询页面截图加盖公章，</w:t>
            </w:r>
            <w:r>
              <w:rPr>
                <w:rFonts w:hint="eastAsia" w:ascii="宋体" w:hAnsi="宋体" w:cs="宋体"/>
                <w:b/>
                <w:bCs/>
                <w:sz w:val="24"/>
                <w:szCs w:val="24"/>
                <w:highlight w:val="none"/>
                <w:lang w:val="en-US" w:eastAsia="zh-CN"/>
              </w:rPr>
              <w:t>不提供</w:t>
            </w:r>
            <w:r>
              <w:rPr>
                <w:rFonts w:hint="eastAsia" w:ascii="宋体" w:hAnsi="宋体" w:eastAsia="宋体" w:cs="宋体"/>
                <w:b/>
                <w:bCs/>
                <w:sz w:val="24"/>
                <w:szCs w:val="24"/>
                <w:highlight w:val="none"/>
                <w:lang w:val="en-US" w:eastAsia="zh-CN"/>
              </w:rPr>
              <w:t>不得分；</w:t>
            </w:r>
          </w:p>
        </w:tc>
        <w:tc>
          <w:tcPr>
            <w:tcW w:w="815" w:type="dxa"/>
            <w:tcBorders>
              <w:tl2br w:val="nil"/>
              <w:tr2bl w:val="nil"/>
            </w:tcBorders>
            <w:shd w:val="clear" w:color="auto" w:fill="FFFFFF" w:themeFill="background1"/>
            <w:vAlign w:val="center"/>
          </w:tcPr>
          <w:p w14:paraId="03693B30">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w:t>
            </w:r>
          </w:p>
        </w:tc>
        <w:tc>
          <w:tcPr>
            <w:tcW w:w="1125" w:type="dxa"/>
            <w:tcBorders>
              <w:tl2br w:val="nil"/>
              <w:tr2bl w:val="nil"/>
            </w:tcBorders>
            <w:vAlign w:val="center"/>
          </w:tcPr>
          <w:p w14:paraId="5FB02B0B">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客观分</w:t>
            </w:r>
          </w:p>
        </w:tc>
        <w:tc>
          <w:tcPr>
            <w:tcW w:w="1167" w:type="dxa"/>
            <w:tcBorders>
              <w:tl2br w:val="nil"/>
              <w:tr2bl w:val="nil"/>
            </w:tcBorders>
            <w:vAlign w:val="top"/>
          </w:tcPr>
          <w:p w14:paraId="4B5137F8">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5008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75899246">
            <w:pPr>
              <w:widowControl w:val="0"/>
              <w:wordWrap/>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055" w:type="dxa"/>
            <w:tcBorders>
              <w:tl2br w:val="nil"/>
              <w:tr2bl w:val="nil"/>
            </w:tcBorders>
            <w:shd w:val="clear" w:color="auto" w:fill="auto"/>
            <w:vAlign w:val="center"/>
          </w:tcPr>
          <w:p w14:paraId="1A670E17">
            <w:pPr>
              <w:keepNext w:val="0"/>
              <w:keepLines w:val="0"/>
              <w:pageBreakBefore w:val="0"/>
              <w:widowControl/>
              <w:suppressLineNumbers w:val="0"/>
              <w:kinsoku/>
              <w:wordWrap/>
              <w:overflowPunct/>
              <w:topLinePunct w:val="0"/>
              <w:autoSpaceDE/>
              <w:autoSpaceDN/>
              <w:bidi w:val="0"/>
              <w:adjustRightInd w:val="0"/>
              <w:snapToGrid/>
              <w:spacing w:line="60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sz w:val="24"/>
                <w:szCs w:val="24"/>
                <w:highlight w:val="none"/>
              </w:rPr>
              <w:t>类似项目实施业绩</w:t>
            </w:r>
          </w:p>
        </w:tc>
        <w:tc>
          <w:tcPr>
            <w:tcW w:w="4827" w:type="dxa"/>
            <w:tcBorders>
              <w:tl2br w:val="nil"/>
              <w:tr2bl w:val="nil"/>
            </w:tcBorders>
            <w:shd w:val="clear" w:color="auto" w:fill="auto"/>
            <w:vAlign w:val="center"/>
          </w:tcPr>
          <w:p w14:paraId="17329F1D">
            <w:pPr>
              <w:keepNext w:val="0"/>
              <w:keepLines w:val="0"/>
              <w:pageBreakBefore w:val="0"/>
              <w:widowControl/>
              <w:suppressLineNumbers w:val="0"/>
              <w:kinsoku/>
              <w:wordWrap/>
              <w:overflowPunct/>
              <w:topLinePunct w:val="0"/>
              <w:autoSpaceDE/>
              <w:autoSpaceDN/>
              <w:bidi w:val="0"/>
              <w:adjustRightInd w:val="0"/>
              <w:snapToGrid/>
              <w:spacing w:line="600" w:lineRule="exac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提供2021年1月1日</w:t>
            </w:r>
            <w:r>
              <w:rPr>
                <w:rFonts w:hint="eastAsia" w:ascii="宋体" w:hAnsi="宋体" w:eastAsia="宋体" w:cs="宋体"/>
                <w:color w:val="auto"/>
                <w:sz w:val="24"/>
                <w:szCs w:val="24"/>
                <w:highlight w:val="none"/>
              </w:rPr>
              <w:t>（含）以来（以合同签订时间为准）</w:t>
            </w:r>
            <w:r>
              <w:rPr>
                <w:rFonts w:hint="eastAsia" w:ascii="宋体" w:hAnsi="宋体" w:eastAsia="宋体" w:cs="宋体"/>
                <w:sz w:val="24"/>
                <w:szCs w:val="24"/>
                <w:highlight w:val="none"/>
              </w:rPr>
              <w:t>承担过同类项目成功案例</w:t>
            </w:r>
            <w:r>
              <w:rPr>
                <w:rFonts w:hint="eastAsia" w:ascii="宋体" w:hAnsi="宋体" w:eastAsia="宋体" w:cs="宋体"/>
                <w:color w:val="auto"/>
                <w:sz w:val="24"/>
                <w:szCs w:val="24"/>
                <w:highlight w:val="none"/>
              </w:rPr>
              <w:t>，每提供一个业绩得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color w:val="auto"/>
                <w:sz w:val="24"/>
                <w:szCs w:val="24"/>
                <w:highlight w:val="none"/>
              </w:rPr>
              <w:t>投标文件中提供相关业绩</w:t>
            </w:r>
            <w:r>
              <w:rPr>
                <w:rFonts w:hint="eastAsia" w:ascii="宋体" w:hAnsi="宋体" w:cs="宋体"/>
                <w:b/>
                <w:bCs/>
                <w:color w:val="auto"/>
                <w:sz w:val="24"/>
                <w:szCs w:val="24"/>
                <w:highlight w:val="none"/>
                <w:lang w:val="en-US" w:eastAsia="zh-CN"/>
              </w:rPr>
              <w:t>合同</w:t>
            </w:r>
            <w:r>
              <w:rPr>
                <w:rFonts w:hint="eastAsia" w:ascii="宋体" w:hAnsi="宋体" w:eastAsia="宋体" w:cs="宋体"/>
                <w:b/>
                <w:bCs/>
                <w:color w:val="auto"/>
                <w:sz w:val="24"/>
                <w:szCs w:val="24"/>
                <w:highlight w:val="none"/>
              </w:rPr>
              <w:t>复印件并加盖投标人公章</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不提供不得分</w:t>
            </w:r>
            <w:r>
              <w:rPr>
                <w:rFonts w:hint="eastAsia" w:ascii="宋体" w:hAnsi="宋体" w:eastAsia="宋体" w:cs="宋体"/>
                <w:b/>
                <w:bCs/>
                <w:color w:val="auto"/>
                <w:sz w:val="24"/>
                <w:szCs w:val="24"/>
                <w:highlight w:val="none"/>
              </w:rPr>
              <w:t>；</w:t>
            </w:r>
          </w:p>
        </w:tc>
        <w:tc>
          <w:tcPr>
            <w:tcW w:w="815" w:type="dxa"/>
            <w:tcBorders>
              <w:tl2br w:val="nil"/>
              <w:tr2bl w:val="nil"/>
            </w:tcBorders>
            <w:shd w:val="clear" w:color="auto" w:fill="auto"/>
            <w:vAlign w:val="center"/>
          </w:tcPr>
          <w:p w14:paraId="3F4B3BEF">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125" w:type="dxa"/>
            <w:tcBorders>
              <w:tl2br w:val="nil"/>
              <w:tr2bl w:val="nil"/>
            </w:tcBorders>
            <w:vAlign w:val="center"/>
          </w:tcPr>
          <w:p w14:paraId="3C87EC00">
            <w:pPr>
              <w:widowControl w:val="0"/>
              <w:wordWrap/>
              <w:adjustRightInd w:val="0"/>
              <w:snapToGrid w:val="0"/>
              <w:spacing w:line="24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客观分</w:t>
            </w:r>
          </w:p>
        </w:tc>
        <w:tc>
          <w:tcPr>
            <w:tcW w:w="1167" w:type="dxa"/>
            <w:tcBorders>
              <w:tl2br w:val="nil"/>
              <w:tr2bl w:val="nil"/>
            </w:tcBorders>
            <w:vAlign w:val="top"/>
          </w:tcPr>
          <w:p w14:paraId="7FA5B26F">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7642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542FD89E">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5882" w:type="dxa"/>
            <w:gridSpan w:val="2"/>
            <w:tcBorders>
              <w:tl2br w:val="nil"/>
              <w:tr2bl w:val="nil"/>
            </w:tcBorders>
            <w:vAlign w:val="top"/>
          </w:tcPr>
          <w:p w14:paraId="307D478A">
            <w:pPr>
              <w:keepNext w:val="0"/>
              <w:keepLines w:val="0"/>
              <w:pageBreakBefore w:val="0"/>
              <w:widowControl w:val="0"/>
              <w:kinsoku/>
              <w:wordWrap/>
              <w:overflowPunct/>
              <w:topLinePunct w:val="0"/>
              <w:autoSpaceDE/>
              <w:autoSpaceDN/>
              <w:bidi w:val="0"/>
              <w:adjustRightInd w:val="0"/>
              <w:snapToGrid/>
              <w:spacing w:line="600" w:lineRule="exact"/>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14:paraId="50D72C73">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评标过程中，不得去掉报价中的最高报价和最低报价。</w:t>
            </w:r>
          </w:p>
          <w:p w14:paraId="367F35C0">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%的扣除，用扣除后的价格参加评审。</w:t>
            </w:r>
          </w:p>
        </w:tc>
        <w:tc>
          <w:tcPr>
            <w:tcW w:w="815" w:type="dxa"/>
            <w:tcBorders>
              <w:tl2br w:val="nil"/>
              <w:tr2bl w:val="nil"/>
            </w:tcBorders>
            <w:vAlign w:val="center"/>
          </w:tcPr>
          <w:p w14:paraId="367A18D8">
            <w:pPr>
              <w:widowControl w:val="0"/>
              <w:wordWrap/>
              <w:adjustRightInd w:val="0"/>
              <w:spacing w:line="240" w:lineRule="auto"/>
              <w:jc w:val="center"/>
              <w:textAlignment w:val="auto"/>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p>
        </w:tc>
        <w:tc>
          <w:tcPr>
            <w:tcW w:w="1125" w:type="dxa"/>
            <w:tcBorders>
              <w:tl2br w:val="nil"/>
              <w:tr2bl w:val="nil"/>
            </w:tcBorders>
            <w:vAlign w:val="center"/>
          </w:tcPr>
          <w:p w14:paraId="2DA9AC1D">
            <w:pPr>
              <w:widowControl w:val="0"/>
              <w:wordWrap/>
              <w:adjustRightInd w:val="0"/>
              <w:spacing w:line="240" w:lineRule="auto"/>
              <w:jc w:val="center"/>
              <w:textAlignment w:val="auto"/>
              <w:outlineLvl w:val="0"/>
              <w:rPr>
                <w:rFonts w:hint="eastAsia" w:ascii="宋体" w:hAnsi="宋体" w:eastAsia="宋体" w:cs="宋体"/>
                <w:color w:val="auto"/>
                <w:sz w:val="24"/>
                <w:szCs w:val="24"/>
                <w:highlight w:val="none"/>
              </w:rPr>
            </w:pPr>
          </w:p>
        </w:tc>
        <w:tc>
          <w:tcPr>
            <w:tcW w:w="1167" w:type="dxa"/>
            <w:tcBorders>
              <w:tl2br w:val="nil"/>
              <w:tr2bl w:val="nil"/>
            </w:tcBorders>
            <w:vAlign w:val="center"/>
          </w:tcPr>
          <w:p w14:paraId="51A4DBF1">
            <w:pPr>
              <w:widowControl w:val="0"/>
              <w:wordWrap/>
              <w:adjustRightIn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14E4E0DF">
      <w:pPr>
        <w:wordWrap/>
        <w:snapToGrid w:val="0"/>
        <w:spacing w:line="600" w:lineRule="exact"/>
        <w:ind w:firstLine="400" w:firstLineChars="200"/>
        <w:textAlignment w:val="auto"/>
        <w:rPr>
          <w:rFonts w:hint="eastAsia" w:ascii="宋体" w:hAnsi="宋体" w:eastAsia="宋体" w:cs="宋体"/>
          <w:b/>
          <w:sz w:val="24"/>
          <w:highlight w:val="none"/>
        </w:rPr>
      </w:pPr>
      <w:r>
        <w:rPr>
          <w:rFonts w:hint="eastAsia" w:ascii="宋体" w:hAnsi="宋体" w:eastAsia="宋体" w:cs="宋体"/>
          <w:sz w:val="20"/>
          <w:szCs w:val="20"/>
          <w:highlight w:val="none"/>
          <w:shd w:val="clear" w:color="auto" w:fill="FFFFFF"/>
        </w:rPr>
        <w:t>*</w:t>
      </w:r>
      <w:r>
        <w:rPr>
          <w:rFonts w:hint="eastAsia" w:ascii="宋体" w:hAnsi="宋体" w:eastAsia="宋体" w:cs="宋体"/>
          <w:b/>
          <w:sz w:val="24"/>
          <w:highlight w:val="none"/>
        </w:rPr>
        <w:t>备注：</w:t>
      </w:r>
      <w:r>
        <w:rPr>
          <w:rFonts w:hint="eastAsia" w:ascii="宋体" w:hAnsi="宋体" w:eastAsia="宋体" w:cs="宋体"/>
          <w:sz w:val="24"/>
          <w:highlight w:val="none"/>
        </w:rPr>
        <w:t>投标人编制投标文件（商务技术文件部分）时，建议按此目录（序号和内容）提供评标标准相应的商务技术资料。 </w:t>
      </w:r>
    </w:p>
    <w:p w14:paraId="18B2A130">
      <w:pPr>
        <w:wordWrap/>
        <w:snapToGrid w:val="0"/>
        <w:spacing w:line="600" w:lineRule="exact"/>
        <w:textAlignment w:val="auto"/>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14:paraId="68424BBF">
      <w:pPr>
        <w:wordWrap/>
        <w:adjustRightInd/>
        <w:spacing w:line="600" w:lineRule="exact"/>
        <w:ind w:firstLine="472" w:firstLineChars="196"/>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cs="宋体"/>
          <w:b/>
          <w:kern w:val="0"/>
          <w:sz w:val="24"/>
          <w:highlight w:val="none"/>
          <w:lang w:eastAsia="zh-CN"/>
        </w:rPr>
        <w:t>：</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14:paraId="46946134">
      <w:pPr>
        <w:wordWrap/>
        <w:adjustRightInd/>
        <w:spacing w:line="600" w:lineRule="exact"/>
        <w:textAlignment w:val="auto"/>
        <w:rPr>
          <w:rFonts w:hint="eastAsia" w:ascii="宋体" w:hAnsi="宋体" w:eastAsia="宋体" w:cs="宋体"/>
          <w:kern w:val="0"/>
          <w:sz w:val="24"/>
          <w:highlight w:val="none"/>
        </w:rPr>
      </w:pPr>
      <w:r>
        <w:rPr>
          <w:rFonts w:hint="eastAsia" w:ascii="宋体" w:hAnsi="宋体" w:eastAsia="宋体" w:cs="宋体"/>
          <w:b/>
          <w:sz w:val="32"/>
          <w:highlight w:val="none"/>
        </w:rPr>
        <w:t>二、评标标准</w:t>
      </w:r>
    </w:p>
    <w:p w14:paraId="1148F0C6">
      <w:pPr>
        <w:wordWrap/>
        <w:spacing w:line="600" w:lineRule="exact"/>
        <w:ind w:firstLine="472" w:firstLineChars="196"/>
        <w:textAlignment w:val="auto"/>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highlight w:val="none"/>
        </w:rPr>
        <w:t xml:space="preserve"> </w:t>
      </w:r>
      <w:r>
        <w:rPr>
          <w:rFonts w:hint="eastAsia" w:ascii="宋体" w:hAnsi="宋体" w:eastAsia="宋体" w:cs="宋体"/>
          <w:b/>
          <w:sz w:val="24"/>
          <w:highlight w:val="none"/>
        </w:rPr>
        <w:t>评标标准：</w:t>
      </w:r>
      <w:r>
        <w:rPr>
          <w:rFonts w:hint="eastAsia" w:ascii="宋体" w:hAnsi="宋体" w:eastAsia="宋体" w:cs="宋体"/>
          <w:kern w:val="0"/>
          <w:sz w:val="24"/>
          <w:highlight w:val="none"/>
        </w:rPr>
        <w:t>见评标办法前附表。</w:t>
      </w:r>
    </w:p>
    <w:p w14:paraId="34AF8EC1">
      <w:pPr>
        <w:wordWrap/>
        <w:spacing w:line="600" w:lineRule="exact"/>
        <w:textAlignment w:val="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三、评标程序</w:t>
      </w:r>
    </w:p>
    <w:p w14:paraId="54CAE683">
      <w:pPr>
        <w:wordWrap/>
        <w:spacing w:line="600" w:lineRule="exact"/>
        <w:ind w:firstLine="472" w:firstLineChars="196"/>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cs="宋体"/>
          <w:b/>
          <w:kern w:val="0"/>
          <w:sz w:val="24"/>
          <w:highlight w:val="none"/>
          <w:lang w:eastAsia="zh-CN"/>
        </w:rPr>
        <w:t>：</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7F368D62">
      <w:pPr>
        <w:wordWrap/>
        <w:spacing w:line="600" w:lineRule="exact"/>
        <w:ind w:firstLine="472" w:firstLineChars="196"/>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cs="宋体"/>
          <w:b/>
          <w:kern w:val="0"/>
          <w:sz w:val="24"/>
          <w:highlight w:val="none"/>
          <w:lang w:eastAsia="zh-CN"/>
        </w:rPr>
        <w:t>：</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14:paraId="1F32D53A">
      <w:pPr>
        <w:wordWrap/>
        <w:spacing w:line="600" w:lineRule="exact"/>
        <w:ind w:firstLine="472" w:firstLineChars="196"/>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cs="宋体"/>
          <w:b/>
          <w:kern w:val="0"/>
          <w:sz w:val="24"/>
          <w:highlight w:val="none"/>
          <w:lang w:eastAsia="zh-CN"/>
        </w:rPr>
        <w:t>：</w:t>
      </w:r>
      <w:r>
        <w:rPr>
          <w:rFonts w:hint="eastAsia" w:ascii="宋体" w:hAnsi="宋体" w:eastAsia="宋体" w:cs="宋体"/>
          <w:kern w:val="0"/>
          <w:sz w:val="24"/>
          <w:highlight w:val="none"/>
        </w:rPr>
        <w:t>评标委员会各成员应当独立对每个投标人的商务和技术文件进行评价，并汇总商务技术得分情况。</w:t>
      </w:r>
    </w:p>
    <w:p w14:paraId="1712CFC7">
      <w:pPr>
        <w:wordWrap/>
        <w:spacing w:line="600" w:lineRule="exact"/>
        <w:ind w:firstLine="472" w:firstLineChars="196"/>
        <w:textAlignment w:val="auto"/>
        <w:rPr>
          <w:rFonts w:hint="eastAsia" w:ascii="宋体" w:hAnsi="宋体" w:eastAsia="宋体" w:cs="宋体"/>
          <w:b/>
          <w:kern w:val="0"/>
          <w:sz w:val="24"/>
          <w:highlight w:val="none"/>
          <w:lang w:eastAsia="zh-CN"/>
        </w:rPr>
      </w:pPr>
      <w:r>
        <w:rPr>
          <w:rFonts w:hint="eastAsia" w:ascii="宋体" w:hAnsi="宋体" w:eastAsia="宋体" w:cs="宋体"/>
          <w:b/>
          <w:kern w:val="0"/>
          <w:sz w:val="24"/>
          <w:highlight w:val="none"/>
        </w:rPr>
        <w:t>3.4报价评审</w:t>
      </w:r>
      <w:r>
        <w:rPr>
          <w:rFonts w:hint="eastAsia" w:ascii="宋体" w:hAnsi="宋体" w:cs="宋体"/>
          <w:b/>
          <w:kern w:val="0"/>
          <w:sz w:val="24"/>
          <w:highlight w:val="none"/>
          <w:lang w:eastAsia="zh-CN"/>
        </w:rPr>
        <w:t>：</w:t>
      </w:r>
    </w:p>
    <w:p w14:paraId="4A812447">
      <w:pPr>
        <w:pStyle w:val="86"/>
        <w:wordWrap/>
        <w:spacing w:before="0" w:line="600" w:lineRule="exact"/>
        <w:ind w:firstLine="508" w:firstLineChars="212"/>
        <w:textAlignment w:val="auto"/>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14:paraId="45B096FF">
      <w:pPr>
        <w:pStyle w:val="86"/>
        <w:wordWrap/>
        <w:spacing w:before="0" w:line="600" w:lineRule="exact"/>
        <w:ind w:firstLine="480"/>
        <w:textAlignment w:val="auto"/>
        <w:rPr>
          <w:rFonts w:hint="eastAsia" w:ascii="宋体" w:hAnsi="宋体" w:eastAsia="宋体" w:cs="宋体"/>
          <w:kern w:val="0"/>
          <w:szCs w:val="24"/>
          <w:highlight w:val="none"/>
          <w:lang w:eastAsia="zh-CN"/>
        </w:rPr>
      </w:pPr>
      <w:r>
        <w:rPr>
          <w:rFonts w:hint="eastAsia" w:ascii="宋体" w:hAnsi="宋体" w:eastAsia="宋体" w:cs="宋体"/>
          <w:kern w:val="0"/>
          <w:szCs w:val="24"/>
          <w:highlight w:val="none"/>
        </w:rPr>
        <w:t>3.4.1.1投标文件中开标一览表(报价表)内容与投标文件中相应内容不一致的，以开标一览表(报价表)为准</w:t>
      </w:r>
      <w:r>
        <w:rPr>
          <w:rFonts w:hint="eastAsia" w:ascii="宋体" w:hAnsi="宋体" w:cs="宋体"/>
          <w:kern w:val="0"/>
          <w:szCs w:val="24"/>
          <w:highlight w:val="none"/>
          <w:lang w:eastAsia="zh-CN"/>
        </w:rPr>
        <w:t>；</w:t>
      </w:r>
    </w:p>
    <w:p w14:paraId="1A806F93">
      <w:pPr>
        <w:pStyle w:val="86"/>
        <w:wordWrap/>
        <w:spacing w:before="0" w:line="600" w:lineRule="exact"/>
        <w:ind w:firstLine="480"/>
        <w:textAlignment w:val="auto"/>
        <w:rPr>
          <w:rFonts w:hint="eastAsia" w:ascii="宋体" w:hAnsi="宋体" w:eastAsia="宋体" w:cs="宋体"/>
          <w:kern w:val="0"/>
          <w:szCs w:val="24"/>
          <w:highlight w:val="none"/>
          <w:lang w:eastAsia="zh-CN"/>
        </w:rPr>
      </w:pPr>
      <w:r>
        <w:rPr>
          <w:rFonts w:hint="eastAsia" w:ascii="宋体" w:hAnsi="宋体" w:eastAsia="宋体" w:cs="宋体"/>
          <w:kern w:val="0"/>
          <w:szCs w:val="24"/>
          <w:highlight w:val="none"/>
        </w:rPr>
        <w:t>3.4.1.2大写金额和小写金额不一致的，以大写金额为准</w:t>
      </w:r>
      <w:r>
        <w:rPr>
          <w:rFonts w:hint="eastAsia" w:ascii="宋体" w:hAnsi="宋体" w:cs="宋体"/>
          <w:kern w:val="0"/>
          <w:szCs w:val="24"/>
          <w:highlight w:val="none"/>
          <w:lang w:eastAsia="zh-CN"/>
        </w:rPr>
        <w:t>；</w:t>
      </w:r>
    </w:p>
    <w:p w14:paraId="3279043F">
      <w:pPr>
        <w:pStyle w:val="86"/>
        <w:wordWrap/>
        <w:spacing w:before="0" w:line="600" w:lineRule="exact"/>
        <w:ind w:firstLine="480"/>
        <w:textAlignment w:val="auto"/>
        <w:rPr>
          <w:rFonts w:hint="eastAsia" w:ascii="宋体" w:hAnsi="宋体" w:eastAsia="宋体" w:cs="宋体"/>
          <w:kern w:val="0"/>
          <w:szCs w:val="24"/>
          <w:highlight w:val="none"/>
          <w:lang w:eastAsia="zh-CN"/>
        </w:rPr>
      </w:pPr>
      <w:r>
        <w:rPr>
          <w:rFonts w:hint="eastAsia" w:ascii="宋体" w:hAnsi="宋体" w:eastAsia="宋体" w:cs="宋体"/>
          <w:kern w:val="0"/>
          <w:szCs w:val="24"/>
          <w:highlight w:val="none"/>
        </w:rPr>
        <w:t>3.4.1.3单价金额小数点或者百分比有明显错位的，以开标一览表的总价为准，并修改单价</w:t>
      </w:r>
      <w:r>
        <w:rPr>
          <w:rFonts w:hint="eastAsia" w:ascii="宋体" w:hAnsi="宋体" w:cs="宋体"/>
          <w:kern w:val="0"/>
          <w:szCs w:val="24"/>
          <w:highlight w:val="none"/>
          <w:lang w:eastAsia="zh-CN"/>
        </w:rPr>
        <w:t>；</w:t>
      </w:r>
    </w:p>
    <w:p w14:paraId="0B2657D0">
      <w:pPr>
        <w:pStyle w:val="86"/>
        <w:wordWrap/>
        <w:spacing w:before="0" w:line="600" w:lineRule="exact"/>
        <w:ind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14:paraId="3AE2196A">
      <w:pPr>
        <w:pStyle w:val="86"/>
        <w:wordWrap/>
        <w:spacing w:before="0" w:line="600" w:lineRule="exact"/>
        <w:ind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AFA0FB7">
      <w:pPr>
        <w:wordWrap/>
        <w:snapToGrid w:val="0"/>
        <w:spacing w:line="60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14:paraId="72F1BA95">
      <w:pPr>
        <w:wordWrap/>
        <w:snapToGrid w:val="0"/>
        <w:spacing w:line="60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14:paraId="3B7A77F6">
      <w:pPr>
        <w:pStyle w:val="86"/>
        <w:wordWrap/>
        <w:spacing w:before="0" w:line="600" w:lineRule="exact"/>
        <w:ind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highlight w:val="none"/>
          <w:lang w:eastAsia="zh-CN"/>
        </w:rPr>
        <w:t>；</w:t>
      </w:r>
      <w:r>
        <w:rPr>
          <w:rFonts w:hint="eastAsia" w:ascii="宋体" w:hAnsi="宋体" w:eastAsia="宋体" w:cs="宋体"/>
          <w:kern w:val="0"/>
          <w:szCs w:val="24"/>
          <w:highlight w:val="none"/>
        </w:rPr>
        <w:t>投标人不能证明其报价合理性的，评标委员会应当将其作为无效投标处理。</w:t>
      </w:r>
    </w:p>
    <w:p w14:paraId="18692EF3">
      <w:pPr>
        <w:pStyle w:val="86"/>
        <w:wordWrap/>
        <w:spacing w:before="0" w:line="600" w:lineRule="exact"/>
        <w:ind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宋体" w:hAnsi="宋体" w:cs="宋体"/>
          <w:kern w:val="0"/>
          <w:szCs w:val="24"/>
          <w:highlight w:val="none"/>
          <w:lang w:val="en-US" w:eastAsia="zh-CN"/>
        </w:rPr>
        <w:t>15</w:t>
      </w:r>
      <w:r>
        <w:rPr>
          <w:rFonts w:hint="eastAsia" w:ascii="宋体" w:hAnsi="宋体" w:eastAsia="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kern w:val="0"/>
          <w:szCs w:val="24"/>
          <w:highlight w:val="none"/>
          <w:lang w:val="en-US" w:eastAsia="zh-CN"/>
        </w:rPr>
        <w:t>5</w:t>
      </w:r>
      <w:r>
        <w:rPr>
          <w:rFonts w:hint="eastAsia" w:ascii="宋体" w:hAnsi="宋体" w:eastAsia="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50B21BF0">
      <w:pPr>
        <w:wordWrap/>
        <w:spacing w:line="600" w:lineRule="exact"/>
        <w:ind w:firstLine="482" w:firstLineChars="200"/>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cs="宋体"/>
          <w:b/>
          <w:kern w:val="0"/>
          <w:sz w:val="24"/>
          <w:highlight w:val="none"/>
          <w:lang w:eastAsia="zh-CN"/>
        </w:rPr>
        <w:t>：</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1598F99">
      <w:pPr>
        <w:wordWrap/>
        <w:spacing w:line="600" w:lineRule="exact"/>
        <w:ind w:firstLine="480" w:firstLineChars="200"/>
        <w:textAlignment w:val="auto"/>
        <w:rPr>
          <w:rFonts w:hint="eastAsia" w:ascii="宋体" w:hAnsi="宋体" w:eastAsia="宋体" w:cs="宋体"/>
          <w:b/>
          <w:kern w:val="0"/>
          <w:sz w:val="24"/>
          <w:highlight w:val="none"/>
        </w:rPr>
      </w:pPr>
      <w:r>
        <w:rPr>
          <w:rFonts w:hint="eastAsia" w:ascii="宋体" w:hAnsi="宋体" w:eastAsia="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33A7FB4">
      <w:pPr>
        <w:wordWrap/>
        <w:spacing w:line="600" w:lineRule="exact"/>
        <w:ind w:firstLine="472" w:firstLineChars="196"/>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cs="宋体"/>
          <w:b/>
          <w:kern w:val="0"/>
          <w:sz w:val="24"/>
          <w:highlight w:val="none"/>
          <w:lang w:eastAsia="zh-CN"/>
        </w:rPr>
        <w:t>：</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7CF201">
      <w:pPr>
        <w:widowControl w:val="0"/>
        <w:wordWrap/>
        <w:adjustRightInd w:val="0"/>
        <w:snapToGrid/>
        <w:spacing w:line="600" w:lineRule="exact"/>
        <w:textAlignment w:val="auto"/>
        <w:rPr>
          <w:rFonts w:hint="eastAsia"/>
          <w:b/>
          <w:bCs/>
          <w:sz w:val="32"/>
          <w:szCs w:val="32"/>
          <w:highlight w:val="none"/>
        </w:rPr>
      </w:pPr>
      <w:r>
        <w:rPr>
          <w:rFonts w:hint="eastAsia"/>
          <w:b/>
          <w:bCs/>
          <w:sz w:val="32"/>
          <w:szCs w:val="32"/>
          <w:highlight w:val="none"/>
        </w:rPr>
        <w:t>四、评标中的其他事项</w:t>
      </w:r>
    </w:p>
    <w:p w14:paraId="7142683A">
      <w:pPr>
        <w:pStyle w:val="86"/>
        <w:wordWrap/>
        <w:spacing w:before="0" w:line="600" w:lineRule="exact"/>
        <w:ind w:firstLine="472" w:firstLineChars="196"/>
        <w:textAlignment w:val="auto"/>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cs="宋体"/>
          <w:b/>
          <w:kern w:val="0"/>
          <w:szCs w:val="24"/>
          <w:highlight w:val="none"/>
          <w:lang w:eastAsia="zh-CN"/>
        </w:rPr>
        <w:t>：</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B77B76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354" w:firstLineChars="147"/>
        <w:jc w:val="left"/>
        <w:textAlignment w:val="auto"/>
        <w:outlineLvl w:val="1"/>
        <w:rPr>
          <w:rFonts w:hint="eastAsia" w:ascii="宋体" w:hAnsi="宋体" w:eastAsia="宋体" w:cs="宋体"/>
          <w:color w:val="000000"/>
          <w:sz w:val="24"/>
          <w:szCs w:val="24"/>
          <w:highlight w:val="none"/>
          <w:lang w:val="en-US"/>
        </w:rPr>
      </w:pPr>
      <w:r>
        <w:rPr>
          <w:rFonts w:hint="eastAsia" w:ascii="宋体" w:hAnsi="宋体" w:eastAsia="宋体" w:cs="宋体"/>
          <w:b/>
          <w:bCs/>
          <w:color w:val="000000"/>
          <w:kern w:val="2"/>
          <w:sz w:val="24"/>
          <w:szCs w:val="24"/>
          <w:highlight w:val="none"/>
          <w:lang w:val="en-US" w:eastAsia="zh-CN" w:bidi="ar"/>
        </w:rPr>
        <w:t>4.2串通投标认定</w:t>
      </w:r>
    </w:p>
    <w:p w14:paraId="582EB32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480" w:firstLineChars="200"/>
        <w:jc w:val="both"/>
        <w:textAlignment w:val="auto"/>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
        </w:rPr>
        <w:t>有下列情形之一的，视为投标人串通投标，其投标无效：</w:t>
      </w:r>
    </w:p>
    <w:p w14:paraId="72E5621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480" w:firstLineChars="200"/>
        <w:jc w:val="both"/>
        <w:textAlignment w:val="auto"/>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
        </w:rPr>
        <w:t>1.不同投标人的投标文件由同一单位或者个人编制或同一IP或同一MAC地址上传；</w:t>
      </w:r>
    </w:p>
    <w:p w14:paraId="1E22309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480" w:firstLineChars="200"/>
        <w:jc w:val="both"/>
        <w:textAlignment w:val="auto"/>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
        </w:rPr>
        <w:t>2.不同投标人委托同一单位或者个人办理投标事宜；</w:t>
      </w:r>
    </w:p>
    <w:p w14:paraId="49FDE15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480" w:firstLineChars="200"/>
        <w:jc w:val="both"/>
        <w:textAlignment w:val="auto"/>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
        </w:rPr>
        <w:t>3.不同投标人的投标文件载明的项目管理成员或者联系人员为同一人；</w:t>
      </w:r>
    </w:p>
    <w:p w14:paraId="45E65B2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480" w:firstLineChars="200"/>
        <w:jc w:val="both"/>
        <w:textAlignment w:val="auto"/>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
        </w:rPr>
        <w:t>4.不同投标人的投标文件异常一致或者投标报价呈规律性差异；</w:t>
      </w:r>
    </w:p>
    <w:p w14:paraId="0722CBE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480" w:firstLineChars="200"/>
        <w:jc w:val="both"/>
        <w:textAlignment w:val="auto"/>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
        </w:rPr>
        <w:t>5.不同投标人的投标文件相互混装；</w:t>
      </w:r>
    </w:p>
    <w:p w14:paraId="30D5D620">
      <w:pPr>
        <w:pStyle w:val="24"/>
        <w:wordWrap/>
        <w:spacing w:line="600" w:lineRule="exact"/>
        <w:ind w:left="954" w:leftChars="226" w:hanging="479" w:firstLineChars="0"/>
        <w:textAlignment w:val="auto"/>
        <w:rPr>
          <w:rFonts w:hint="eastAsia" w:ascii="宋体" w:hAnsi="宋体" w:eastAsia="宋体" w:cs="宋体"/>
          <w:szCs w:val="21"/>
          <w:highlight w:val="none"/>
          <w:lang w:eastAsia="zh-CN"/>
        </w:rPr>
      </w:pPr>
      <w:r>
        <w:rPr>
          <w:rFonts w:hint="eastAsia" w:ascii="宋体" w:hAnsi="宋体" w:eastAsia="宋体" w:cs="宋体"/>
          <w:b/>
          <w:kern w:val="0"/>
          <w:highlight w:val="none"/>
        </w:rPr>
        <w:t>4.</w:t>
      </w:r>
      <w:r>
        <w:rPr>
          <w:rFonts w:hint="eastAsia" w:cs="宋体"/>
          <w:b/>
          <w:kern w:val="0"/>
          <w:highlight w:val="none"/>
          <w:lang w:val="en-US" w:eastAsia="zh-CN"/>
        </w:rPr>
        <w:t>3</w:t>
      </w:r>
      <w:r>
        <w:rPr>
          <w:rFonts w:hint="eastAsia" w:ascii="宋体" w:hAnsi="宋体" w:eastAsia="宋体" w:cs="宋体"/>
          <w:b/>
          <w:kern w:val="0"/>
          <w:highlight w:val="none"/>
        </w:rPr>
        <w:t>投标无效</w:t>
      </w:r>
      <w:r>
        <w:rPr>
          <w:rFonts w:hint="eastAsia" w:cs="宋体"/>
          <w:b/>
          <w:kern w:val="0"/>
          <w:highlight w:val="none"/>
          <w:lang w:eastAsia="zh-CN"/>
        </w:rPr>
        <w:t>：</w:t>
      </w:r>
      <w:r>
        <w:rPr>
          <w:rFonts w:hint="eastAsia" w:ascii="宋体" w:hAnsi="宋体" w:eastAsia="宋体" w:cs="宋体"/>
          <w:szCs w:val="21"/>
          <w:highlight w:val="none"/>
        </w:rPr>
        <w:t>有下列情形之一的，投标无效</w:t>
      </w:r>
      <w:r>
        <w:rPr>
          <w:rFonts w:hint="eastAsia" w:cs="宋体"/>
          <w:szCs w:val="21"/>
          <w:highlight w:val="none"/>
          <w:lang w:eastAsia="zh-CN"/>
        </w:rPr>
        <w:t>；</w:t>
      </w:r>
    </w:p>
    <w:p w14:paraId="3AA2CD6E">
      <w:pPr>
        <w:wordWrap/>
        <w:spacing w:line="60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.1投标人不具备招标文件中规定的资格要求的（投标人未提供有效的资格文件的，视为投标人不具备招标文件中规定的资格要求）；</w:t>
      </w:r>
    </w:p>
    <w:p w14:paraId="26EC9983">
      <w:pPr>
        <w:wordWrap/>
        <w:spacing w:line="60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.2投标文件未按照招标文件要求签署、盖章的；</w:t>
      </w:r>
    </w:p>
    <w:p w14:paraId="41FD2D12">
      <w:pPr>
        <w:wordWrap/>
        <w:spacing w:line="60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.3采购人拟采购的产品属于政府强制采购的节能产品品目清单范围的，投标人相应的投标产品未获得国家确定的认证机构出具的、处于有效期之内的节能产品认证证书的；</w:t>
      </w:r>
    </w:p>
    <w:p w14:paraId="40E38249">
      <w:pPr>
        <w:wordWrap/>
        <w:spacing w:line="60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.4投标文件含有采购人不能接受的附加条件的；</w:t>
      </w:r>
    </w:p>
    <w:p w14:paraId="1EBE00F3">
      <w:pPr>
        <w:wordWrap/>
        <w:spacing w:line="60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.5投标文件中承诺的投标有效期少于招标文件中载明的投标有效期的；</w:t>
      </w:r>
    </w:p>
    <w:p w14:paraId="5EBC0415">
      <w:pPr>
        <w:wordWrap/>
        <w:snapToGrid w:val="0"/>
        <w:spacing w:line="600" w:lineRule="exact"/>
        <w:ind w:firstLine="120" w:firstLineChars="50"/>
        <w:jc w:val="left"/>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 xml:space="preserve">   4.</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.6投标文件出现不是唯一的、有选择性投标报价的</w:t>
      </w:r>
      <w:r>
        <w:rPr>
          <w:rFonts w:hint="eastAsia" w:ascii="宋体" w:hAnsi="宋体" w:cs="宋体"/>
          <w:kern w:val="0"/>
          <w:sz w:val="24"/>
          <w:highlight w:val="none"/>
          <w:lang w:eastAsia="zh-CN"/>
        </w:rPr>
        <w:t>；</w:t>
      </w:r>
    </w:p>
    <w:p w14:paraId="728FA8DB">
      <w:pPr>
        <w:wordWrap/>
        <w:spacing w:line="60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4.</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.7投标报价超过招标文件中规定的预算金额或者最高限价的</w:t>
      </w:r>
      <w:r>
        <w:rPr>
          <w:rFonts w:hint="eastAsia" w:ascii="宋体" w:hAnsi="宋体" w:cs="宋体"/>
          <w:kern w:val="0"/>
          <w:sz w:val="24"/>
          <w:highlight w:val="none"/>
          <w:lang w:eastAsia="zh-CN"/>
        </w:rPr>
        <w:t>；</w:t>
      </w:r>
    </w:p>
    <w:p w14:paraId="3EC408D6">
      <w:pPr>
        <w:wordWrap/>
        <w:spacing w:line="60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4.</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highlight w:val="none"/>
          <w:lang w:eastAsia="zh-CN"/>
        </w:rPr>
        <w:t>；</w:t>
      </w:r>
    </w:p>
    <w:p w14:paraId="5DEEF874">
      <w:pPr>
        <w:wordWrap/>
        <w:spacing w:line="60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.9投标人对根据修正原则修正后的报价不确认的；</w:t>
      </w:r>
    </w:p>
    <w:p w14:paraId="4ED5022B">
      <w:pPr>
        <w:wordWrap/>
        <w:spacing w:line="60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.10投标人提供虚假材料投标的；</w:t>
      </w:r>
    </w:p>
    <w:p w14:paraId="2A3736AE">
      <w:pPr>
        <w:wordWrap/>
        <w:spacing w:line="600" w:lineRule="exact"/>
        <w:ind w:firstLine="240" w:firstLineChars="1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.11投标人有恶意串通、妨碍其他投标人的竞争行为、损害采购人或者其他投标人的合法权益情形的；</w:t>
      </w:r>
    </w:p>
    <w:p w14:paraId="4CA69658">
      <w:pPr>
        <w:wordWrap/>
        <w:spacing w:line="60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.12投标人仅提交备份投标文件，未在电子交易平台传输递交投标文件的，投标无效；</w:t>
      </w:r>
    </w:p>
    <w:p w14:paraId="12FA92D5">
      <w:pPr>
        <w:pStyle w:val="3"/>
        <w:wordWrap/>
        <w:spacing w:line="600" w:lineRule="exact"/>
        <w:ind w:left="862" w:leftChars="205"/>
        <w:textAlignment w:val="auto"/>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w:t>
      </w:r>
      <w:r>
        <w:rPr>
          <w:rFonts w:hint="eastAsia" w:ascii="宋体" w:hAnsi="宋体" w:eastAsia="宋体" w:cs="宋体"/>
          <w:b w:val="0"/>
          <w:bCs w:val="0"/>
          <w:kern w:val="0"/>
          <w:sz w:val="24"/>
          <w:szCs w:val="24"/>
          <w:highlight w:val="none"/>
          <w:lang w:val="en-US" w:eastAsia="zh-CN"/>
        </w:rPr>
        <w:t>3</w:t>
      </w:r>
      <w:r>
        <w:rPr>
          <w:rFonts w:hint="eastAsia" w:ascii="宋体" w:hAnsi="宋体" w:eastAsia="宋体" w:cs="宋体"/>
          <w:b w:val="0"/>
          <w:bCs w:val="0"/>
          <w:kern w:val="0"/>
          <w:sz w:val="24"/>
          <w:szCs w:val="24"/>
          <w:highlight w:val="none"/>
          <w:lang w:val="en-US"/>
        </w:rPr>
        <w:t>.13 投标文件不满足招标文件的其它实质性要求的；</w:t>
      </w:r>
    </w:p>
    <w:p w14:paraId="6BE58C7B">
      <w:pPr>
        <w:wordWrap/>
        <w:spacing w:line="60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.14法律、法规、规章（适用本市的）及省级以上规范性文件（适用本市的）规定的其他无效情形。</w:t>
      </w:r>
    </w:p>
    <w:p w14:paraId="64CEE1E5">
      <w:pPr>
        <w:pStyle w:val="24"/>
        <w:wordWrap/>
        <w:snapToGrid w:val="0"/>
        <w:spacing w:line="600" w:lineRule="exact"/>
        <w:ind w:firstLine="472" w:firstLineChars="196"/>
        <w:textAlignment w:val="auto"/>
        <w:rPr>
          <w:rFonts w:hint="eastAsia" w:ascii="宋体" w:hAnsi="宋体" w:eastAsia="宋体" w:cs="宋体"/>
          <w:highlight w:val="none"/>
        </w:rPr>
      </w:pPr>
      <w:r>
        <w:rPr>
          <w:rFonts w:hint="eastAsia" w:ascii="宋体" w:hAnsi="宋体" w:eastAsia="宋体" w:cs="宋体"/>
          <w:b/>
          <w:highlight w:val="none"/>
        </w:rPr>
        <w:t>5.废标</w:t>
      </w:r>
      <w:r>
        <w:rPr>
          <w:rFonts w:hint="eastAsia" w:cs="宋体"/>
          <w:b/>
          <w:highlight w:val="none"/>
          <w:lang w:eastAsia="zh-CN"/>
        </w:rPr>
        <w:t>：</w:t>
      </w:r>
      <w:r>
        <w:rPr>
          <w:rFonts w:hint="eastAsia" w:ascii="宋体" w:hAnsi="宋体" w:eastAsia="宋体" w:cs="宋体"/>
          <w:highlight w:val="none"/>
        </w:rPr>
        <w:t>根据《中华人民共和国政府采购法》第三十六条之规定，在采购中，出现下列情形之一的，应予废标：</w:t>
      </w:r>
    </w:p>
    <w:p w14:paraId="54D47FE3">
      <w:pPr>
        <w:pStyle w:val="24"/>
        <w:wordWrap/>
        <w:snapToGrid w:val="0"/>
        <w:spacing w:line="600" w:lineRule="exact"/>
        <w:textAlignment w:val="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14:paraId="0F5F8091">
      <w:pPr>
        <w:pStyle w:val="24"/>
        <w:wordWrap/>
        <w:snapToGrid w:val="0"/>
        <w:spacing w:line="600" w:lineRule="exact"/>
        <w:textAlignment w:val="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14:paraId="3D24EBDD">
      <w:pPr>
        <w:pStyle w:val="24"/>
        <w:wordWrap/>
        <w:snapToGrid w:val="0"/>
        <w:spacing w:line="600" w:lineRule="exact"/>
        <w:textAlignment w:val="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14:paraId="7EA158E1">
      <w:pPr>
        <w:pStyle w:val="24"/>
        <w:wordWrap/>
        <w:snapToGrid w:val="0"/>
        <w:spacing w:line="600" w:lineRule="exact"/>
        <w:textAlignment w:val="auto"/>
        <w:rPr>
          <w:rFonts w:hint="eastAsia" w:ascii="宋体" w:hAnsi="宋体" w:eastAsia="宋体" w:cs="宋体"/>
          <w:highlight w:val="none"/>
        </w:rPr>
      </w:pPr>
      <w:r>
        <w:rPr>
          <w:rFonts w:hint="eastAsia" w:ascii="宋体" w:hAnsi="宋体" w:eastAsia="宋体" w:cs="宋体"/>
          <w:highlight w:val="none"/>
        </w:rPr>
        <w:t>5.4因重大变故，采购任务取消的。</w:t>
      </w:r>
    </w:p>
    <w:p w14:paraId="0A8B6274">
      <w:pPr>
        <w:pStyle w:val="24"/>
        <w:wordWrap/>
        <w:snapToGrid w:val="0"/>
        <w:spacing w:line="600" w:lineRule="exact"/>
        <w:textAlignment w:val="auto"/>
        <w:rPr>
          <w:rFonts w:hint="eastAsia" w:ascii="宋体" w:hAnsi="宋体" w:eastAsia="宋体" w:cs="宋体"/>
          <w:highlight w:val="none"/>
        </w:rPr>
      </w:pPr>
      <w:r>
        <w:rPr>
          <w:rFonts w:hint="eastAsia" w:ascii="宋体" w:hAnsi="宋体" w:eastAsia="宋体" w:cs="宋体"/>
          <w:highlight w:val="none"/>
        </w:rPr>
        <w:t>废标后，</w:t>
      </w:r>
      <w:r>
        <w:rPr>
          <w:rFonts w:hint="eastAsia" w:ascii="宋体" w:hAnsi="宋体" w:eastAsia="宋体" w:cs="宋体"/>
          <w:highlight w:val="none"/>
          <w:lang w:eastAsia="zh-CN"/>
        </w:rPr>
        <w:t>采购代理机构</w:t>
      </w:r>
      <w:r>
        <w:rPr>
          <w:rFonts w:hint="eastAsia" w:ascii="宋体" w:hAnsi="宋体" w:eastAsia="宋体" w:cs="宋体"/>
          <w:highlight w:val="none"/>
        </w:rPr>
        <w:t>应当将废标理由通知所有投标人。</w:t>
      </w:r>
    </w:p>
    <w:p w14:paraId="72285B06">
      <w:pPr>
        <w:pStyle w:val="24"/>
        <w:wordWrap/>
        <w:snapToGrid w:val="0"/>
        <w:spacing w:line="600" w:lineRule="exact"/>
        <w:ind w:firstLine="590" w:firstLineChars="245"/>
        <w:textAlignment w:val="auto"/>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cs="宋体"/>
          <w:b/>
          <w:highlight w:val="none"/>
          <w:lang w:eastAsia="zh-CN"/>
        </w:rPr>
        <w:t>：</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highlight w:val="none"/>
          <w:lang w:eastAsia="zh-CN"/>
        </w:rPr>
        <w:t>采购代理机构</w:t>
      </w:r>
      <w:r>
        <w:rPr>
          <w:rFonts w:hint="eastAsia" w:ascii="宋体" w:hAnsi="宋体" w:eastAsia="宋体" w:cs="宋体"/>
          <w:highlight w:val="none"/>
        </w:rPr>
        <w:t>沟通并作书面记录。采购人、</w:t>
      </w:r>
      <w:r>
        <w:rPr>
          <w:rFonts w:hint="eastAsia" w:ascii="宋体" w:hAnsi="宋体" w:eastAsia="宋体" w:cs="宋体"/>
          <w:highlight w:val="none"/>
          <w:lang w:eastAsia="zh-CN"/>
        </w:rPr>
        <w:t>采购代理机构</w:t>
      </w:r>
      <w:r>
        <w:rPr>
          <w:rFonts w:hint="eastAsia" w:ascii="宋体" w:hAnsi="宋体" w:eastAsia="宋体" w:cs="宋体"/>
          <w:highlight w:val="none"/>
        </w:rPr>
        <w:t>确认后，将修改招标文件，重新组织采购活动。</w:t>
      </w:r>
    </w:p>
    <w:p w14:paraId="09D9A188">
      <w:pPr>
        <w:pStyle w:val="24"/>
        <w:wordWrap/>
        <w:snapToGrid w:val="0"/>
        <w:spacing w:line="600" w:lineRule="exact"/>
        <w:ind w:firstLine="482"/>
        <w:textAlignment w:val="auto"/>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cs="宋体"/>
          <w:b/>
          <w:kern w:val="0"/>
          <w:highlight w:val="none"/>
          <w:lang w:eastAsia="zh-CN"/>
        </w:rPr>
        <w:t>：</w:t>
      </w:r>
      <w:r>
        <w:rPr>
          <w:rFonts w:hint="eastAsia" w:ascii="宋体" w:hAnsi="宋体" w:eastAsia="宋体" w:cs="宋体"/>
          <w:highlight w:val="none"/>
        </w:rPr>
        <w:t>有政府采购法第七十一条、第七十二条规定的违法行为之一，影响或者可能影响中标结果的，依照下列规定处理：</w:t>
      </w:r>
    </w:p>
    <w:p w14:paraId="10727EE8">
      <w:pPr>
        <w:pStyle w:val="24"/>
        <w:wordWrap/>
        <w:snapToGrid w:val="0"/>
        <w:spacing w:line="600" w:lineRule="exact"/>
        <w:textAlignment w:val="auto"/>
        <w:rPr>
          <w:rFonts w:hint="eastAsia" w:ascii="宋体" w:hAnsi="宋体" w:eastAsia="宋体" w:cs="宋体"/>
          <w:highlight w:val="none"/>
        </w:rPr>
      </w:pPr>
      <w:r>
        <w:rPr>
          <w:rFonts w:hint="eastAsia" w:ascii="宋体" w:hAnsi="宋体" w:eastAsia="宋体" w:cs="宋体"/>
          <w:highlight w:val="none"/>
        </w:rPr>
        <w:t>7.1未确定中标供应商的，终止本次政府采购活动，重新开展政府采购活动。</w:t>
      </w:r>
    </w:p>
    <w:p w14:paraId="676028EE">
      <w:pPr>
        <w:pStyle w:val="24"/>
        <w:wordWrap/>
        <w:snapToGrid w:val="0"/>
        <w:spacing w:line="600" w:lineRule="exact"/>
        <w:textAlignment w:val="auto"/>
        <w:rPr>
          <w:rFonts w:hint="eastAsia" w:ascii="宋体" w:hAnsi="宋体" w:eastAsia="宋体" w:cs="宋体"/>
          <w:highlight w:val="none"/>
        </w:rPr>
      </w:pPr>
      <w:r>
        <w:rPr>
          <w:rFonts w:hint="eastAsia" w:ascii="宋体" w:hAnsi="宋体" w:eastAsia="宋体" w:cs="宋体"/>
          <w:highlight w:val="none"/>
        </w:rPr>
        <w:t>7.2已确定中标供应商但尚未签订政府采购合同的，中标结果无效，从合格的中标候选人中另行确定中标供应商；没有合格的中标候选人的，重新开展政府采购活动。</w:t>
      </w:r>
    </w:p>
    <w:p w14:paraId="68E79383">
      <w:pPr>
        <w:pStyle w:val="24"/>
        <w:wordWrap/>
        <w:snapToGrid w:val="0"/>
        <w:spacing w:line="600" w:lineRule="exact"/>
        <w:textAlignment w:val="auto"/>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7.3政府采购合同已签订但尚未履行的，撤销合同，从合格的中标候选人中另行确定中标供应商；没有合格的中标候选人的，重新开展政府采购活动。</w:t>
      </w:r>
    </w:p>
    <w:p w14:paraId="1AC71F87">
      <w:pPr>
        <w:pStyle w:val="24"/>
        <w:wordWrap/>
        <w:snapToGrid w:val="0"/>
        <w:spacing w:line="600" w:lineRule="exact"/>
        <w:textAlignment w:val="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14:paraId="582CB422">
      <w:pPr>
        <w:widowControl/>
        <w:wordWrap/>
        <w:adjustRightInd/>
        <w:spacing w:line="600" w:lineRule="exact"/>
        <w:jc w:val="left"/>
        <w:textAlignment w:val="auto"/>
        <w:rPr>
          <w:rFonts w:hint="eastAsia" w:ascii="宋体" w:hAnsi="宋体" w:eastAsia="宋体" w:cs="宋体"/>
          <w:highlight w:val="none"/>
        </w:rPr>
      </w:pPr>
      <w:r>
        <w:rPr>
          <w:rFonts w:hint="eastAsia" w:ascii="宋体" w:hAnsi="宋体" w:cs="宋体"/>
          <w:highlight w:val="none"/>
          <w:lang w:val="en-US" w:eastAsia="zh-CN"/>
        </w:rPr>
        <w:t xml:space="preserve">  </w:t>
      </w:r>
      <w:r>
        <w:rPr>
          <w:rFonts w:hint="eastAsia" w:ascii="宋体" w:hAnsi="宋体" w:eastAsia="宋体" w:cs="宋体"/>
          <w:kern w:val="2"/>
          <w:sz w:val="24"/>
          <w:szCs w:val="24"/>
          <w:highlight w:val="none"/>
          <w:lang w:val="en-US" w:eastAsia="zh-CN" w:bidi="ar-SA"/>
        </w:rPr>
        <w:t xml:space="preserve">  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13A67090">
      <w:pPr>
        <w:pStyle w:val="2"/>
        <w:rPr>
          <w:rFonts w:hint="eastAsia"/>
          <w:highlight w:val="none"/>
        </w:rPr>
      </w:pPr>
    </w:p>
    <w:p w14:paraId="431154D3">
      <w:pPr>
        <w:spacing w:line="360" w:lineRule="auto"/>
        <w:ind w:left="720" w:leftChars="343" w:firstLine="1084" w:firstLineChars="300"/>
        <w:outlineLvl w:val="0"/>
        <w:rPr>
          <w:rFonts w:hint="eastAsia" w:ascii="宋体" w:hAnsi="宋体" w:eastAsia="宋体" w:cs="宋体"/>
          <w:b/>
          <w:sz w:val="36"/>
          <w:szCs w:val="36"/>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1" w:charSpace="0"/>
        </w:sectPr>
      </w:pPr>
    </w:p>
    <w:p w14:paraId="73B703EC">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6D9E9DD5">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3650B9D6">
      <w:pPr>
        <w:spacing w:line="480" w:lineRule="auto"/>
        <w:jc w:val="center"/>
        <w:rPr>
          <w:rFonts w:ascii="宋体" w:hAnsi="宋体" w:cs="宋体"/>
          <w:b/>
          <w:sz w:val="28"/>
          <w:szCs w:val="28"/>
          <w:highlight w:val="none"/>
        </w:rPr>
      </w:pPr>
    </w:p>
    <w:p w14:paraId="2624E1B8">
      <w:pPr>
        <w:spacing w:line="480" w:lineRule="auto"/>
        <w:jc w:val="center"/>
        <w:rPr>
          <w:rFonts w:ascii="宋体" w:hAnsi="宋体" w:cs="宋体"/>
          <w:b/>
          <w:sz w:val="24"/>
          <w:highlight w:val="none"/>
        </w:rPr>
      </w:pPr>
    </w:p>
    <w:p w14:paraId="19E6B74A">
      <w:pPr>
        <w:spacing w:line="480" w:lineRule="auto"/>
        <w:jc w:val="center"/>
        <w:rPr>
          <w:rFonts w:ascii="宋体" w:hAnsi="宋体" w:cs="宋体"/>
          <w:b/>
          <w:sz w:val="24"/>
          <w:highlight w:val="none"/>
        </w:rPr>
      </w:pPr>
    </w:p>
    <w:p w14:paraId="7BA3EEEF">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6A68B7F1">
      <w:pPr>
        <w:spacing w:line="480" w:lineRule="auto"/>
        <w:jc w:val="center"/>
        <w:rPr>
          <w:rFonts w:ascii="宋体" w:hAnsi="宋体" w:cs="宋体"/>
          <w:b/>
          <w:sz w:val="36"/>
          <w:szCs w:val="36"/>
          <w:highlight w:val="none"/>
        </w:rPr>
      </w:pPr>
      <w:r>
        <w:rPr>
          <w:rFonts w:hint="eastAsia" w:ascii="宋体" w:hAnsi="宋体" w:cs="宋体"/>
          <w:b/>
          <w:sz w:val="36"/>
          <w:szCs w:val="36"/>
          <w:highlight w:val="none"/>
        </w:rPr>
        <w:t>（货物类）</w:t>
      </w:r>
    </w:p>
    <w:p w14:paraId="4CA0EB67">
      <w:pPr>
        <w:pStyle w:val="386"/>
        <w:rPr>
          <w:rFonts w:ascii="宋体" w:hAnsi="宋体" w:cs="宋体"/>
          <w:szCs w:val="24"/>
          <w:highlight w:val="none"/>
        </w:rPr>
      </w:pPr>
    </w:p>
    <w:p w14:paraId="41AF7761">
      <w:pPr>
        <w:pStyle w:val="386"/>
        <w:rPr>
          <w:rFonts w:ascii="宋体" w:hAnsi="宋体" w:cs="宋体"/>
          <w:szCs w:val="24"/>
          <w:highlight w:val="none"/>
        </w:rPr>
      </w:pPr>
    </w:p>
    <w:p w14:paraId="37F63A8A">
      <w:pPr>
        <w:pStyle w:val="386"/>
        <w:jc w:val="center"/>
        <w:rPr>
          <w:rFonts w:ascii="宋体" w:hAnsi="宋体" w:cs="宋体"/>
          <w:szCs w:val="24"/>
          <w:highlight w:val="none"/>
        </w:rPr>
      </w:pPr>
    </w:p>
    <w:p w14:paraId="72E5ACB5">
      <w:pPr>
        <w:pStyle w:val="386"/>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278F420C">
      <w:pPr>
        <w:pStyle w:val="386"/>
        <w:rPr>
          <w:rFonts w:ascii="宋体" w:hAnsi="宋体" w:cs="宋体"/>
          <w:szCs w:val="24"/>
          <w:highlight w:val="none"/>
        </w:rPr>
      </w:pPr>
    </w:p>
    <w:p w14:paraId="63C3F1FC">
      <w:pPr>
        <w:pStyle w:val="386"/>
        <w:rPr>
          <w:rFonts w:ascii="宋体" w:hAnsi="宋体" w:cs="宋体"/>
          <w:szCs w:val="24"/>
          <w:highlight w:val="none"/>
        </w:rPr>
      </w:pPr>
    </w:p>
    <w:p w14:paraId="6BA90593">
      <w:pPr>
        <w:spacing w:before="120" w:line="22" w:lineRule="atLeast"/>
        <w:rPr>
          <w:rFonts w:ascii="宋体" w:hAnsi="宋体" w:cs="宋体"/>
          <w:sz w:val="24"/>
          <w:highlight w:val="none"/>
        </w:rPr>
      </w:pPr>
    </w:p>
    <w:p w14:paraId="23608B1A">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46C28A34">
      <w:pPr>
        <w:pStyle w:val="283"/>
        <w:spacing w:before="120" w:line="22" w:lineRule="atLeast"/>
        <w:rPr>
          <w:rFonts w:ascii="宋体" w:hAnsi="宋体" w:eastAsia="宋体" w:cs="宋体"/>
          <w:szCs w:val="24"/>
          <w:highlight w:val="none"/>
        </w:rPr>
      </w:pPr>
    </w:p>
    <w:p w14:paraId="40D7910A">
      <w:pPr>
        <w:pStyle w:val="283"/>
        <w:spacing w:before="120" w:line="22" w:lineRule="atLeast"/>
        <w:rPr>
          <w:rFonts w:ascii="宋体" w:hAnsi="宋体" w:eastAsia="宋体" w:cs="宋体"/>
          <w:szCs w:val="24"/>
          <w:highlight w:val="none"/>
        </w:rPr>
      </w:pPr>
    </w:p>
    <w:p w14:paraId="7CC82411">
      <w:pPr>
        <w:rPr>
          <w:rFonts w:ascii="宋体" w:hAnsi="宋体" w:cs="宋体"/>
          <w:sz w:val="24"/>
          <w:highlight w:val="none"/>
        </w:rPr>
      </w:pPr>
    </w:p>
    <w:p w14:paraId="7219AC82">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70CE3275">
      <w:pPr>
        <w:spacing w:before="120" w:line="22" w:lineRule="atLeast"/>
        <w:rPr>
          <w:rFonts w:ascii="宋体" w:hAnsi="宋体" w:cs="宋体"/>
          <w:sz w:val="24"/>
          <w:highlight w:val="none"/>
        </w:rPr>
      </w:pPr>
    </w:p>
    <w:p w14:paraId="7BE5AC74">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6020115E">
      <w:pPr>
        <w:spacing w:before="120" w:line="22" w:lineRule="atLeast"/>
        <w:rPr>
          <w:rFonts w:ascii="宋体" w:hAnsi="宋体" w:cs="宋体"/>
          <w:sz w:val="24"/>
          <w:highlight w:val="none"/>
        </w:rPr>
      </w:pPr>
    </w:p>
    <w:p w14:paraId="5BC63C06">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38E46CEC">
      <w:pPr>
        <w:spacing w:before="120" w:line="22" w:lineRule="atLeast"/>
        <w:rPr>
          <w:rFonts w:ascii="宋体" w:hAnsi="宋体" w:cs="宋体"/>
          <w:sz w:val="24"/>
          <w:highlight w:val="none"/>
        </w:rPr>
      </w:pPr>
    </w:p>
    <w:p w14:paraId="2657E182">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42621CA">
      <w:pPr>
        <w:widowControl/>
        <w:jc w:val="left"/>
        <w:rPr>
          <w:rFonts w:ascii="宋体" w:hAnsi="宋体" w:cs="宋体"/>
          <w:kern w:val="0"/>
          <w:sz w:val="24"/>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23559AD4">
      <w:pPr>
        <w:spacing w:line="560" w:lineRule="exact"/>
        <w:ind w:firstLine="480" w:firstLineChars="200"/>
        <w:rPr>
          <w:rFonts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color w:val="0000FF"/>
          <w:sz w:val="24"/>
          <w:highlight w:val="none"/>
          <w:u w:val="single"/>
        </w:rPr>
        <w:t>（采购人）</w:t>
      </w:r>
      <w:r>
        <w:rPr>
          <w:rFonts w:hint="eastAsia" w:ascii="宋体" w:hAnsi="宋体" w:cs="宋体"/>
          <w:sz w:val="24"/>
          <w:highlight w:val="none"/>
          <w:u w:val="single"/>
        </w:rPr>
        <w:t xml:space="preserve">   </w:t>
      </w:r>
      <w:r>
        <w:rPr>
          <w:rFonts w:hint="eastAsia" w:ascii="宋体" w:hAnsi="宋体" w:cs="宋体"/>
          <w:sz w:val="24"/>
          <w:highlight w:val="none"/>
        </w:rPr>
        <w:t>以</w:t>
      </w:r>
      <w:r>
        <w:rPr>
          <w:rFonts w:hint="eastAsia" w:ascii="宋体" w:hAnsi="宋体" w:cs="宋体"/>
          <w:sz w:val="24"/>
          <w:highlight w:val="none"/>
          <w:u w:val="single"/>
        </w:rPr>
        <w:t xml:space="preserve">   （政府采购方式）  </w:t>
      </w:r>
      <w:r>
        <w:rPr>
          <w:rFonts w:hint="eastAsia" w:ascii="宋体" w:hAnsi="宋体" w:cs="宋体"/>
          <w:sz w:val="24"/>
          <w:highlight w:val="none"/>
        </w:rPr>
        <w:t>对</w:t>
      </w:r>
      <w:r>
        <w:rPr>
          <w:rFonts w:hint="eastAsia" w:ascii="宋体" w:hAnsi="宋体" w:cs="宋体"/>
          <w:sz w:val="24"/>
          <w:highlight w:val="none"/>
          <w:u w:val="single"/>
        </w:rPr>
        <w:t xml:space="preserve">   </w:t>
      </w:r>
      <w:r>
        <w:rPr>
          <w:rFonts w:hint="eastAsia" w:ascii="宋体" w:hAnsi="宋体" w:cs="宋体"/>
          <w:color w:val="0000FF"/>
          <w:sz w:val="24"/>
          <w:highlight w:val="none"/>
          <w:u w:val="single"/>
        </w:rPr>
        <w:t xml:space="preserve">（项目名称、编号）  </w:t>
      </w:r>
      <w:r>
        <w:rPr>
          <w:rFonts w:hint="eastAsia" w:ascii="宋体" w:hAnsi="宋体" w:cs="宋体"/>
          <w:sz w:val="24"/>
          <w:highlight w:val="none"/>
          <w:u w:val="single"/>
        </w:rPr>
        <w:t xml:space="preserve"> </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（中标或者成交供应商名称）</w:t>
      </w:r>
      <w:r>
        <w:rPr>
          <w:rFonts w:hint="eastAsia" w:ascii="宋体" w:hAnsi="宋体" w:cs="宋体"/>
          <w:sz w:val="24"/>
          <w:highlight w:val="none"/>
        </w:rPr>
        <w:t>为该项目中标或者成交供应商。现于中标或者成交通知书发出之日起10个工作日内，按照采购文件等确定的事项签订本合同。</w:t>
      </w:r>
    </w:p>
    <w:p w14:paraId="6F6BE03B">
      <w:pPr>
        <w:spacing w:line="560" w:lineRule="exact"/>
        <w:ind w:firstLine="480" w:firstLineChars="200"/>
        <w:rPr>
          <w:rFonts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sz w:val="24"/>
          <w:highlight w:val="none"/>
          <w:u w:val="single"/>
        </w:rPr>
        <w:t xml:space="preserve">   （采购人）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（中标或者成交供应商名称）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14:paraId="25AA79A6">
      <w:pPr>
        <w:spacing w:line="560" w:lineRule="exact"/>
        <w:ind w:firstLine="482" w:firstLineChars="200"/>
        <w:outlineLvl w:val="0"/>
        <w:rPr>
          <w:rFonts w:ascii="宋体" w:hAnsi="宋体" w:cs="宋体"/>
          <w:b/>
          <w:sz w:val="24"/>
          <w:highlight w:val="none"/>
        </w:rPr>
      </w:pPr>
      <w:bookmarkStart w:id="395" w:name="_Toc2232"/>
      <w:bookmarkStart w:id="396" w:name="_Toc3029"/>
      <w:bookmarkStart w:id="397" w:name="_Toc24059"/>
      <w:r>
        <w:rPr>
          <w:rFonts w:hint="eastAsia" w:ascii="宋体" w:hAnsi="宋体" w:cs="宋体"/>
          <w:b/>
          <w:sz w:val="24"/>
          <w:highlight w:val="none"/>
        </w:rPr>
        <w:t>1.1 合同组成部分</w:t>
      </w:r>
      <w:bookmarkEnd w:id="395"/>
      <w:bookmarkEnd w:id="396"/>
      <w:bookmarkEnd w:id="397"/>
    </w:p>
    <w:p w14:paraId="37A1C394">
      <w:pPr>
        <w:spacing w:line="560" w:lineRule="exact"/>
        <w:ind w:firstLine="480" w:firstLineChars="200"/>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83693DA">
      <w:pPr>
        <w:spacing w:line="560" w:lineRule="exact"/>
        <w:ind w:firstLine="480" w:firstLineChars="200"/>
        <w:rPr>
          <w:rFonts w:ascii="宋体" w:hAnsi="宋体" w:cs="宋体"/>
          <w:sz w:val="24"/>
          <w:highlight w:val="none"/>
        </w:rPr>
      </w:pPr>
      <w:r>
        <w:rPr>
          <w:rFonts w:hint="eastAsia" w:ascii="宋体" w:hAnsi="宋体" w:cs="宋体"/>
          <w:sz w:val="24"/>
          <w:highlight w:val="none"/>
        </w:rPr>
        <w:t>1.1.1 本合同及其补充合同、变更协议；</w:t>
      </w:r>
    </w:p>
    <w:p w14:paraId="7080EC6B">
      <w:pPr>
        <w:spacing w:line="560" w:lineRule="exact"/>
        <w:ind w:firstLine="480" w:firstLineChars="200"/>
        <w:rPr>
          <w:rFonts w:ascii="宋体" w:hAnsi="宋体" w:cs="宋体"/>
          <w:sz w:val="24"/>
          <w:highlight w:val="none"/>
        </w:rPr>
      </w:pPr>
      <w:r>
        <w:rPr>
          <w:rFonts w:hint="eastAsia" w:ascii="宋体" w:hAnsi="宋体" w:cs="宋体"/>
          <w:sz w:val="24"/>
          <w:highlight w:val="none"/>
        </w:rPr>
        <w:t>1.1.2 中标或者成交通知书；</w:t>
      </w:r>
    </w:p>
    <w:p w14:paraId="40E2BA37">
      <w:pPr>
        <w:spacing w:line="560" w:lineRule="exact"/>
        <w:ind w:firstLine="480" w:firstLineChars="200"/>
        <w:rPr>
          <w:rFonts w:ascii="宋体" w:hAnsi="宋体" w:cs="宋体"/>
          <w:sz w:val="24"/>
          <w:highlight w:val="none"/>
        </w:rPr>
      </w:pPr>
      <w:r>
        <w:rPr>
          <w:rFonts w:hint="eastAsia" w:ascii="宋体" w:hAnsi="宋体" w:cs="宋体"/>
          <w:sz w:val="24"/>
          <w:highlight w:val="none"/>
        </w:rPr>
        <w:t>1.1.3 投标或者响应文件（含澄清或者说明文件）；</w:t>
      </w:r>
    </w:p>
    <w:p w14:paraId="03704E12">
      <w:pPr>
        <w:spacing w:line="560" w:lineRule="exact"/>
        <w:ind w:firstLine="480" w:firstLineChars="200"/>
        <w:rPr>
          <w:rFonts w:ascii="宋体" w:hAnsi="宋体" w:cs="宋体"/>
          <w:sz w:val="24"/>
          <w:highlight w:val="none"/>
        </w:rPr>
      </w:pPr>
      <w:r>
        <w:rPr>
          <w:rFonts w:hint="eastAsia" w:ascii="宋体" w:hAnsi="宋体" w:cs="宋体"/>
          <w:sz w:val="24"/>
          <w:highlight w:val="none"/>
        </w:rPr>
        <w:t>1.1.4 采购文件（含澄清或者修改文件）；</w:t>
      </w:r>
    </w:p>
    <w:p w14:paraId="4270EAC6">
      <w:pPr>
        <w:spacing w:line="560" w:lineRule="exact"/>
        <w:ind w:firstLine="480" w:firstLineChars="200"/>
        <w:rPr>
          <w:rFonts w:ascii="宋体" w:hAnsi="宋体" w:cs="宋体"/>
          <w:sz w:val="24"/>
          <w:highlight w:val="none"/>
        </w:rPr>
      </w:pPr>
      <w:r>
        <w:rPr>
          <w:rFonts w:hint="eastAsia" w:ascii="宋体" w:hAnsi="宋体" w:cs="宋体"/>
          <w:sz w:val="24"/>
          <w:highlight w:val="none"/>
        </w:rPr>
        <w:t>1.1.5 其他相关采购文件。</w:t>
      </w:r>
    </w:p>
    <w:p w14:paraId="05899CD0">
      <w:pPr>
        <w:spacing w:line="560" w:lineRule="exact"/>
        <w:ind w:firstLine="482" w:firstLineChars="200"/>
        <w:outlineLvl w:val="0"/>
        <w:rPr>
          <w:rFonts w:ascii="宋体" w:hAnsi="宋体" w:cs="宋体"/>
          <w:b/>
          <w:sz w:val="24"/>
          <w:highlight w:val="none"/>
        </w:rPr>
      </w:pPr>
      <w:bookmarkStart w:id="398" w:name="_Toc27126"/>
      <w:bookmarkStart w:id="399" w:name="_Toc21295"/>
      <w:bookmarkStart w:id="400" w:name="_Toc24300"/>
      <w:r>
        <w:rPr>
          <w:rFonts w:hint="eastAsia" w:ascii="宋体" w:hAnsi="宋体" w:cs="宋体"/>
          <w:b/>
          <w:sz w:val="24"/>
          <w:highlight w:val="none"/>
        </w:rPr>
        <w:t>1.2 货物</w:t>
      </w:r>
      <w:bookmarkEnd w:id="398"/>
      <w:bookmarkEnd w:id="399"/>
      <w:bookmarkEnd w:id="400"/>
    </w:p>
    <w:p w14:paraId="796D1F3A">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14:paraId="2A28E4D4">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1.2.2 货物数量：</w:t>
      </w:r>
      <w:r>
        <w:rPr>
          <w:rFonts w:hint="eastAsia" w:ascii="宋体" w:hAnsi="宋体" w:cs="宋体"/>
          <w:sz w:val="24"/>
          <w:highlight w:val="none"/>
          <w:u w:val="single"/>
        </w:rPr>
        <w:t xml:space="preserve">                                                </w:t>
      </w:r>
      <w:r>
        <w:rPr>
          <w:rFonts w:hint="eastAsia" w:ascii="宋体" w:hAnsi="宋体" w:cs="宋体"/>
          <w:sz w:val="24"/>
          <w:highlight w:val="none"/>
        </w:rPr>
        <w:t>；</w:t>
      </w:r>
    </w:p>
    <w:p w14:paraId="702806E6">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1.2.3 货物质量：</w:t>
      </w:r>
      <w:r>
        <w:rPr>
          <w:rFonts w:hint="eastAsia" w:ascii="宋体" w:hAnsi="宋体" w:cs="宋体"/>
          <w:sz w:val="24"/>
          <w:highlight w:val="none"/>
          <w:u w:val="single"/>
        </w:rPr>
        <w:t>　　　　　　　　　                      　      ；</w:t>
      </w:r>
    </w:p>
    <w:p w14:paraId="1EB5ED8C">
      <w:pPr>
        <w:spacing w:line="560" w:lineRule="exact"/>
        <w:ind w:firstLine="482" w:firstLineChars="200"/>
        <w:outlineLvl w:val="0"/>
        <w:rPr>
          <w:rFonts w:ascii="宋体" w:hAnsi="宋体" w:cs="宋体"/>
          <w:b/>
          <w:sz w:val="24"/>
          <w:highlight w:val="none"/>
        </w:rPr>
      </w:pPr>
      <w:bookmarkStart w:id="401" w:name="_Toc23292"/>
      <w:bookmarkStart w:id="402" w:name="_Toc21551"/>
      <w:bookmarkStart w:id="403" w:name="_Toc21631"/>
      <w:r>
        <w:rPr>
          <w:rFonts w:hint="eastAsia" w:ascii="宋体" w:hAnsi="宋体" w:cs="宋体"/>
          <w:b/>
          <w:sz w:val="24"/>
          <w:highlight w:val="none"/>
        </w:rPr>
        <w:t>1.3 价款</w:t>
      </w:r>
      <w:bookmarkEnd w:id="401"/>
      <w:bookmarkEnd w:id="402"/>
      <w:bookmarkEnd w:id="403"/>
    </w:p>
    <w:p w14:paraId="075A4046">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本合同总价（含税）为：￥</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元人民币）。</w:t>
      </w:r>
    </w:p>
    <w:p w14:paraId="46188BC1">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D4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5DC16C9">
            <w:pPr>
              <w:pStyle w:val="106"/>
              <w:spacing w:line="560" w:lineRule="exact"/>
              <w:jc w:val="center"/>
              <w:rPr>
                <w:rFonts w:hAnsi="宋体" w:cs="宋体"/>
                <w:sz w:val="24"/>
                <w:szCs w:val="24"/>
                <w:highlight w:val="none"/>
              </w:rPr>
            </w:pPr>
            <w:r>
              <w:rPr>
                <w:rFonts w:hint="eastAsia" w:hAnsi="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5809D0F">
            <w:pPr>
              <w:pStyle w:val="106"/>
              <w:spacing w:line="560" w:lineRule="exact"/>
              <w:ind w:firstLine="200"/>
              <w:jc w:val="center"/>
              <w:rPr>
                <w:rFonts w:hAnsi="宋体" w:cs="宋体"/>
                <w:sz w:val="24"/>
                <w:szCs w:val="24"/>
                <w:highlight w:val="none"/>
              </w:rPr>
            </w:pPr>
            <w:r>
              <w:rPr>
                <w:rFonts w:hint="eastAsia" w:hAnsi="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4182702">
            <w:pPr>
              <w:pStyle w:val="106"/>
              <w:spacing w:line="560" w:lineRule="exact"/>
              <w:jc w:val="center"/>
              <w:rPr>
                <w:rFonts w:hAnsi="宋体" w:cs="宋体"/>
                <w:sz w:val="24"/>
                <w:szCs w:val="24"/>
                <w:highlight w:val="none"/>
              </w:rPr>
            </w:pPr>
            <w:r>
              <w:rPr>
                <w:rFonts w:hint="eastAsia" w:hAnsi="宋体" w:cs="宋体"/>
                <w:sz w:val="24"/>
                <w:szCs w:val="24"/>
                <w:highlight w:val="none"/>
              </w:rPr>
              <w:t>分项价格</w:t>
            </w:r>
          </w:p>
        </w:tc>
      </w:tr>
      <w:tr w14:paraId="7C0B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F217B2">
            <w:pPr>
              <w:pStyle w:val="106"/>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7B01F36">
            <w:pPr>
              <w:pStyle w:val="106"/>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6B8A51A">
            <w:pPr>
              <w:pStyle w:val="106"/>
              <w:spacing w:line="560" w:lineRule="exact"/>
              <w:ind w:firstLine="200"/>
              <w:jc w:val="center"/>
              <w:rPr>
                <w:rFonts w:hAnsi="宋体" w:cs="宋体"/>
                <w:sz w:val="24"/>
                <w:szCs w:val="24"/>
                <w:highlight w:val="none"/>
              </w:rPr>
            </w:pPr>
          </w:p>
        </w:tc>
      </w:tr>
      <w:tr w14:paraId="6AE8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5A8827B">
            <w:pPr>
              <w:pStyle w:val="106"/>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0487FCE">
            <w:pPr>
              <w:pStyle w:val="106"/>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F75EAD5">
            <w:pPr>
              <w:pStyle w:val="106"/>
              <w:spacing w:line="560" w:lineRule="exact"/>
              <w:ind w:firstLine="200"/>
              <w:jc w:val="center"/>
              <w:rPr>
                <w:rFonts w:hAnsi="宋体" w:cs="宋体"/>
                <w:sz w:val="24"/>
                <w:szCs w:val="24"/>
                <w:highlight w:val="none"/>
              </w:rPr>
            </w:pPr>
          </w:p>
        </w:tc>
      </w:tr>
      <w:tr w14:paraId="26CA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E771671">
            <w:pPr>
              <w:pStyle w:val="106"/>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E17BF22">
            <w:pPr>
              <w:pStyle w:val="106"/>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F1D4C4F">
            <w:pPr>
              <w:pStyle w:val="106"/>
              <w:spacing w:line="560" w:lineRule="exact"/>
              <w:ind w:firstLine="200"/>
              <w:jc w:val="center"/>
              <w:rPr>
                <w:rFonts w:hAnsi="宋体" w:cs="宋体"/>
                <w:sz w:val="24"/>
                <w:szCs w:val="24"/>
                <w:highlight w:val="none"/>
              </w:rPr>
            </w:pPr>
          </w:p>
        </w:tc>
      </w:tr>
      <w:tr w14:paraId="18A0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E6912E9">
            <w:pPr>
              <w:pStyle w:val="106"/>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0B2454B">
            <w:pPr>
              <w:pStyle w:val="106"/>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7778463">
            <w:pPr>
              <w:pStyle w:val="106"/>
              <w:spacing w:line="560" w:lineRule="exact"/>
              <w:ind w:firstLine="200"/>
              <w:jc w:val="center"/>
              <w:rPr>
                <w:rFonts w:hAnsi="宋体" w:cs="宋体"/>
                <w:sz w:val="24"/>
                <w:szCs w:val="24"/>
                <w:highlight w:val="none"/>
              </w:rPr>
            </w:pPr>
          </w:p>
        </w:tc>
      </w:tr>
      <w:tr w14:paraId="684B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3ACD1B4">
            <w:pPr>
              <w:pStyle w:val="106"/>
              <w:spacing w:line="560" w:lineRule="exact"/>
              <w:ind w:firstLine="200"/>
              <w:jc w:val="center"/>
              <w:rPr>
                <w:rFonts w:hAnsi="宋体" w:cs="宋体"/>
                <w:sz w:val="24"/>
                <w:szCs w:val="24"/>
                <w:highlight w:val="none"/>
              </w:rPr>
            </w:pPr>
            <w:r>
              <w:rPr>
                <w:rFonts w:hint="eastAsia" w:hAnsi="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6FCCC44">
            <w:pPr>
              <w:pStyle w:val="106"/>
              <w:spacing w:line="560" w:lineRule="exact"/>
              <w:ind w:firstLine="200"/>
              <w:jc w:val="center"/>
              <w:rPr>
                <w:rFonts w:hAnsi="宋体" w:cs="宋体"/>
                <w:sz w:val="24"/>
                <w:szCs w:val="24"/>
                <w:highlight w:val="none"/>
              </w:rPr>
            </w:pPr>
          </w:p>
        </w:tc>
      </w:tr>
    </w:tbl>
    <w:p w14:paraId="043661F2">
      <w:pPr>
        <w:pStyle w:val="617"/>
        <w:spacing w:before="0" w:beforeAutospacing="0" w:after="0" w:afterAutospacing="0" w:line="360" w:lineRule="auto"/>
        <w:ind w:firstLine="480"/>
        <w:rPr>
          <w:b/>
          <w:highlight w:val="none"/>
        </w:rPr>
      </w:pPr>
      <w:bookmarkStart w:id="404" w:name="_Toc22618"/>
      <w:bookmarkStart w:id="405" w:name="_Toc10340"/>
      <w:bookmarkStart w:id="406" w:name="_Toc1814"/>
      <w:r>
        <w:rPr>
          <w:rFonts w:hint="eastAsia"/>
          <w:b/>
          <w:highlight w:val="none"/>
        </w:rPr>
        <w:t>1.4履约保证金</w:t>
      </w:r>
    </w:p>
    <w:p w14:paraId="638ECE81">
      <w:pPr>
        <w:pStyle w:val="617"/>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52EB635D">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1B9AEBB3">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3DC1B241">
      <w:pPr>
        <w:pStyle w:val="3"/>
        <w:tabs>
          <w:tab w:val="left" w:pos="0"/>
          <w:tab w:val="clear" w:pos="432"/>
        </w:tabs>
        <w:spacing w:line="560" w:lineRule="exact"/>
        <w:ind w:left="0" w:firstLine="480" w:firstLineChars="200"/>
        <w:rPr>
          <w:rFonts w:eastAsia="宋体"/>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41982C3">
      <w:pPr>
        <w:spacing w:line="560" w:lineRule="exact"/>
        <w:ind w:firstLine="480" w:firstLineChars="200"/>
        <w:outlineLvl w:val="0"/>
        <w:rPr>
          <w:highlight w:val="none"/>
        </w:rPr>
      </w:pPr>
      <w:r>
        <w:rPr>
          <w:rFonts w:hint="eastAsia" w:ascii="宋体" w:hAnsi="宋体" w:cs="宋体"/>
          <w:kern w:val="0"/>
          <w:sz w:val="24"/>
          <w:highlight w:val="none"/>
        </w:rPr>
        <w:t>1.4.4 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w:t>
      </w:r>
      <w:r>
        <w:rPr>
          <w:rFonts w:hint="eastAsia" w:ascii="宋体" w:hAnsi="宋体" w:cs="宋体"/>
          <w:sz w:val="24"/>
          <w:highlight w:val="none"/>
          <w:u w:val="single"/>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5F083AA6">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1.5</w:t>
      </w:r>
      <w:bookmarkEnd w:id="404"/>
      <w:bookmarkEnd w:id="405"/>
      <w:bookmarkEnd w:id="406"/>
      <w:r>
        <w:rPr>
          <w:rFonts w:hint="eastAsia" w:ascii="宋体" w:hAnsi="宋体" w:cs="宋体"/>
          <w:b/>
          <w:sz w:val="24"/>
          <w:highlight w:val="none"/>
        </w:rPr>
        <w:t>预付款</w:t>
      </w:r>
    </w:p>
    <w:p w14:paraId="33FC59F2">
      <w:pPr>
        <w:pStyle w:val="617"/>
        <w:spacing w:before="0" w:beforeAutospacing="0" w:after="0" w:afterAutospacing="0" w:line="360" w:lineRule="auto"/>
        <w:ind w:firstLine="480"/>
        <w:rPr>
          <w:highlight w:val="none"/>
        </w:rPr>
      </w:pPr>
      <w:r>
        <w:rPr>
          <w:rFonts w:hint="eastAsia"/>
          <w:highlight w:val="none"/>
        </w:rPr>
        <w:t>甲方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585DDEE7">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404A2214">
      <w:pPr>
        <w:pStyle w:val="617"/>
        <w:spacing w:before="0" w:beforeAutospacing="0" w:after="0" w:afterAutospacing="0" w:line="360" w:lineRule="auto"/>
        <w:ind w:firstLine="480"/>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1D4AE3DD">
      <w:pPr>
        <w:pStyle w:val="617"/>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0A3BA6CA">
      <w:pPr>
        <w:pStyle w:val="617"/>
        <w:spacing w:before="0" w:beforeAutospacing="0" w:after="0" w:afterAutospacing="0" w:line="360" w:lineRule="auto"/>
        <w:ind w:firstLine="480"/>
        <w:rPr>
          <w:b/>
          <w:bCs/>
          <w:highlight w:val="none"/>
        </w:rPr>
      </w:pPr>
      <w:r>
        <w:rPr>
          <w:rFonts w:hint="eastAsia"/>
          <w:b/>
          <w:bCs/>
          <w:highlight w:val="none"/>
        </w:rPr>
        <w:t>1.6资金支付</w:t>
      </w:r>
    </w:p>
    <w:p w14:paraId="1668256B">
      <w:pPr>
        <w:pStyle w:val="617"/>
        <w:spacing w:before="0" w:beforeAutospacing="0" w:after="0" w:afterAutospacing="0" w:line="360" w:lineRule="auto"/>
        <w:ind w:firstLine="480"/>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78389F6">
      <w:pPr>
        <w:spacing w:line="560" w:lineRule="exact"/>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62CF171B">
      <w:pPr>
        <w:spacing w:line="560" w:lineRule="exact"/>
        <w:ind w:firstLine="482" w:firstLineChars="200"/>
        <w:outlineLvl w:val="0"/>
        <w:rPr>
          <w:rFonts w:ascii="宋体" w:hAnsi="宋体" w:cs="宋体"/>
          <w:b/>
          <w:sz w:val="24"/>
          <w:highlight w:val="none"/>
        </w:rPr>
      </w:pPr>
      <w:bookmarkStart w:id="407" w:name="_Toc2846"/>
      <w:bookmarkStart w:id="408" w:name="_Toc19304"/>
      <w:bookmarkStart w:id="409" w:name="_Toc32071"/>
      <w:r>
        <w:rPr>
          <w:rFonts w:hint="eastAsia" w:ascii="宋体" w:hAnsi="宋体" w:cs="宋体"/>
          <w:b/>
          <w:sz w:val="24"/>
          <w:highlight w:val="none"/>
        </w:rPr>
        <w:t>1.7货物交付期限、地点和方式</w:t>
      </w:r>
      <w:bookmarkEnd w:id="407"/>
      <w:bookmarkEnd w:id="408"/>
      <w:bookmarkEnd w:id="409"/>
    </w:p>
    <w:p w14:paraId="6D4979E0">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1.7.1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F0AB072">
      <w:pPr>
        <w:spacing w:line="560" w:lineRule="exact"/>
        <w:ind w:firstLine="480" w:firstLineChars="200"/>
        <w:rPr>
          <w:rFonts w:ascii="宋体" w:hAnsi="宋体" w:cs="宋体"/>
          <w:sz w:val="24"/>
          <w:highlight w:val="none"/>
        </w:rPr>
      </w:pPr>
      <w:r>
        <w:rPr>
          <w:rFonts w:hint="eastAsia" w:ascii="宋体" w:hAnsi="宋体" w:cs="宋体"/>
          <w:sz w:val="24"/>
          <w:highlight w:val="none"/>
        </w:rPr>
        <w:t>1.7.2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FE3C410">
      <w:pPr>
        <w:spacing w:line="560" w:lineRule="exact"/>
        <w:ind w:firstLine="480" w:firstLineChars="200"/>
        <w:rPr>
          <w:rFonts w:ascii="宋体" w:hAnsi="宋体" w:cs="宋体"/>
          <w:sz w:val="24"/>
          <w:highlight w:val="none"/>
        </w:rPr>
      </w:pPr>
      <w:r>
        <w:rPr>
          <w:rFonts w:hint="eastAsia" w:ascii="宋体" w:hAnsi="宋体" w:cs="宋体"/>
          <w:sz w:val="24"/>
          <w:highlight w:val="none"/>
        </w:rPr>
        <w:t>1.7.3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5B82BB37">
      <w:pPr>
        <w:spacing w:line="560" w:lineRule="exact"/>
        <w:ind w:firstLine="482" w:firstLineChars="200"/>
        <w:outlineLvl w:val="0"/>
        <w:rPr>
          <w:rFonts w:ascii="宋体" w:hAnsi="宋体" w:cs="宋体"/>
          <w:b/>
          <w:sz w:val="24"/>
          <w:highlight w:val="none"/>
        </w:rPr>
      </w:pPr>
      <w:bookmarkStart w:id="410" w:name="_Toc27250"/>
      <w:bookmarkStart w:id="411" w:name="_Toc19554"/>
      <w:bookmarkStart w:id="412" w:name="_Toc21423"/>
      <w:r>
        <w:rPr>
          <w:rFonts w:hint="eastAsia" w:ascii="宋体" w:hAnsi="宋体" w:cs="宋体"/>
          <w:b/>
          <w:sz w:val="24"/>
          <w:highlight w:val="none"/>
        </w:rPr>
        <w:t>1.8违约责任</w:t>
      </w:r>
      <w:bookmarkEnd w:id="410"/>
      <w:bookmarkEnd w:id="411"/>
      <w:bookmarkEnd w:id="412"/>
    </w:p>
    <w:p w14:paraId="53E94E32">
      <w:pPr>
        <w:spacing w:line="560" w:lineRule="exact"/>
        <w:ind w:firstLine="480" w:firstLineChars="200"/>
        <w:rPr>
          <w:rFonts w:ascii="宋体" w:hAnsi="宋体" w:cs="宋体"/>
          <w:sz w:val="24"/>
          <w:highlight w:val="none"/>
        </w:rPr>
      </w:pPr>
      <w:r>
        <w:rPr>
          <w:rFonts w:hint="eastAsia" w:ascii="宋体" w:hAnsi="宋体" w:cs="宋体"/>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%；迟延交付货物的违约金计算数额达到前述最高限额之日起，甲方有权在要求乙方支付违约金的同时，书面通知乙方解除本合同；</w:t>
      </w:r>
    </w:p>
    <w:p w14:paraId="29CF4CC7">
      <w:pPr>
        <w:spacing w:line="560" w:lineRule="exact"/>
        <w:ind w:firstLine="480" w:firstLineChars="200"/>
        <w:rPr>
          <w:rFonts w:ascii="宋体" w:hAnsi="宋体" w:cs="宋体"/>
          <w:sz w:val="24"/>
          <w:highlight w:val="none"/>
        </w:rPr>
      </w:pPr>
      <w:r>
        <w:rPr>
          <w:rFonts w:hint="eastAsia" w:ascii="宋体" w:hAnsi="宋体" w:cs="宋体"/>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%；迟延付款的违约金计算数额达到前述最高限额之日起，乙方有权在要求甲方支付违约金的同时，书面通知甲方解除本合同；</w:t>
      </w:r>
    </w:p>
    <w:p w14:paraId="4FDCE17D">
      <w:pPr>
        <w:spacing w:line="560" w:lineRule="exact"/>
        <w:ind w:firstLine="480" w:firstLineChars="200"/>
        <w:rPr>
          <w:rFonts w:ascii="宋体" w:hAnsi="宋体" w:cs="宋体"/>
          <w:sz w:val="24"/>
          <w:highlight w:val="none"/>
        </w:rPr>
      </w:pPr>
      <w:r>
        <w:rPr>
          <w:rFonts w:hint="eastAsia" w:ascii="宋体" w:hAnsi="宋体" w:cs="宋体"/>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B3AE7DB">
      <w:pPr>
        <w:spacing w:line="560" w:lineRule="exact"/>
        <w:ind w:firstLine="480" w:firstLineChars="200"/>
        <w:rPr>
          <w:rFonts w:ascii="宋体" w:hAnsi="宋体" w:cs="宋体"/>
          <w:sz w:val="24"/>
          <w:highlight w:val="none"/>
        </w:rPr>
      </w:pPr>
      <w:r>
        <w:rPr>
          <w:rFonts w:hint="eastAsia" w:ascii="宋体" w:hAnsi="宋体" w:cs="宋体"/>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880DCBD">
      <w:pPr>
        <w:spacing w:line="560" w:lineRule="exact"/>
        <w:ind w:firstLine="480" w:firstLineChars="200"/>
        <w:rPr>
          <w:rFonts w:ascii="宋体" w:hAnsi="宋体" w:cs="宋体"/>
          <w:sz w:val="24"/>
          <w:highlight w:val="none"/>
        </w:rPr>
      </w:pPr>
      <w:r>
        <w:rPr>
          <w:rFonts w:hint="eastAsia" w:ascii="宋体" w:hAnsi="宋体" w:cs="宋体"/>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6F878923">
      <w:pPr>
        <w:spacing w:line="560" w:lineRule="exact"/>
        <w:ind w:left="-420" w:leftChars="-200" w:right="-420" w:rightChars="-200" w:firstLine="960" w:firstLineChars="400"/>
        <w:rPr>
          <w:rFonts w:ascii="宋体" w:hAnsi="宋体" w:cs="宋体"/>
          <w:highlight w:val="none"/>
        </w:rPr>
      </w:pPr>
      <w:r>
        <w:rPr>
          <w:rFonts w:hint="eastAsia" w:ascii="宋体" w:hAnsi="宋体" w:cs="宋体"/>
          <w:sz w:val="24"/>
          <w:highlight w:val="none"/>
        </w:rPr>
        <w:t>1.8.6违约责任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p w14:paraId="198D452C">
      <w:pPr>
        <w:spacing w:line="560" w:lineRule="exact"/>
        <w:ind w:firstLine="482" w:firstLineChars="200"/>
        <w:outlineLvl w:val="0"/>
        <w:rPr>
          <w:rFonts w:ascii="宋体" w:hAnsi="宋体" w:cs="宋体"/>
          <w:b/>
          <w:sz w:val="24"/>
          <w:highlight w:val="none"/>
        </w:rPr>
      </w:pPr>
      <w:bookmarkStart w:id="413" w:name="_Toc16021"/>
      <w:bookmarkStart w:id="414" w:name="_Toc28375"/>
      <w:bookmarkStart w:id="415" w:name="_Toc15583"/>
      <w:r>
        <w:rPr>
          <w:rFonts w:hint="eastAsia" w:ascii="宋体" w:hAnsi="宋体" w:cs="宋体"/>
          <w:b/>
          <w:sz w:val="24"/>
          <w:highlight w:val="none"/>
        </w:rPr>
        <w:t>1.9合同争议的解决</w:t>
      </w:r>
      <w:bookmarkEnd w:id="413"/>
      <w:bookmarkEnd w:id="414"/>
      <w:bookmarkEnd w:id="415"/>
    </w:p>
    <w:p w14:paraId="6D557381">
      <w:pPr>
        <w:spacing w:line="560" w:lineRule="exact"/>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14:paraId="6FDBB9F5">
      <w:pPr>
        <w:spacing w:line="560" w:lineRule="exact"/>
        <w:ind w:left="-420" w:leftChars="-200" w:right="-420" w:rightChars="-200" w:firstLine="840" w:firstLineChars="3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1139304D">
      <w:pPr>
        <w:spacing w:line="560" w:lineRule="exact"/>
        <w:ind w:left="-420" w:leftChars="-200" w:right="-420" w:rightChars="-200" w:firstLine="840" w:firstLineChars="3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3C70DA83">
      <w:pPr>
        <w:spacing w:line="560" w:lineRule="exact"/>
        <w:ind w:firstLine="482" w:firstLineChars="200"/>
        <w:outlineLvl w:val="0"/>
        <w:rPr>
          <w:rFonts w:ascii="宋体" w:hAnsi="宋体" w:cs="宋体"/>
          <w:b/>
          <w:sz w:val="24"/>
          <w:highlight w:val="none"/>
        </w:rPr>
      </w:pPr>
      <w:bookmarkStart w:id="416" w:name="_Toc7245"/>
      <w:bookmarkStart w:id="417" w:name="_Toc11173"/>
      <w:bookmarkStart w:id="418" w:name="_Toc15322"/>
      <w:r>
        <w:rPr>
          <w:rFonts w:hint="eastAsia" w:ascii="宋体" w:hAnsi="宋体" w:cs="宋体"/>
          <w:b/>
          <w:sz w:val="24"/>
          <w:highlight w:val="none"/>
        </w:rPr>
        <w:t>2.0 合同生效</w:t>
      </w:r>
      <w:bookmarkEnd w:id="416"/>
      <w:bookmarkEnd w:id="417"/>
      <w:bookmarkEnd w:id="418"/>
    </w:p>
    <w:p w14:paraId="2DAEEC8B">
      <w:pPr>
        <w:spacing w:line="560" w:lineRule="exact"/>
        <w:ind w:firstLine="480" w:firstLineChars="200"/>
        <w:rPr>
          <w:rFonts w:ascii="宋体" w:hAnsi="宋体" w:cs="宋体"/>
          <w:b/>
          <w:sz w:val="24"/>
          <w:highlight w:val="none"/>
        </w:rPr>
      </w:pPr>
      <w:r>
        <w:rPr>
          <w:rFonts w:hint="eastAsia" w:ascii="宋体" w:hAnsi="宋体" w:cs="宋体"/>
          <w:sz w:val="24"/>
          <w:highlight w:val="none"/>
        </w:rPr>
        <w:t>本合同自双方当事人盖章签字时生效。</w:t>
      </w:r>
    </w:p>
    <w:p w14:paraId="13AA4981">
      <w:pPr>
        <w:autoSpaceDE w:val="0"/>
        <w:autoSpaceDN w:val="0"/>
        <w:spacing w:line="560" w:lineRule="exact"/>
        <w:rPr>
          <w:rFonts w:ascii="宋体" w:hAnsi="宋体" w:cs="宋体"/>
          <w:sz w:val="24"/>
          <w:highlight w:val="none"/>
          <w:lang w:val="zh-CN"/>
        </w:rPr>
      </w:pPr>
    </w:p>
    <w:p w14:paraId="1034418D">
      <w:pPr>
        <w:autoSpaceDE w:val="0"/>
        <w:autoSpaceDN w:val="0"/>
        <w:spacing w:line="560" w:lineRule="exact"/>
        <w:rPr>
          <w:rFonts w:ascii="宋体" w:hAnsi="宋体" w:cs="宋体"/>
          <w:sz w:val="24"/>
          <w:highlight w:val="none"/>
          <w:lang w:val="zh-CN"/>
        </w:rPr>
      </w:pPr>
      <w:r>
        <w:rPr>
          <w:rFonts w:hint="eastAsia" w:ascii="宋体" w:hAnsi="宋体" w:cs="宋体"/>
          <w:b/>
          <w:sz w:val="24"/>
          <w:highlight w:val="none"/>
          <w:lang w:val="zh-CN"/>
        </w:rPr>
        <w:t>甲方</w:t>
      </w:r>
      <w:r>
        <w:rPr>
          <w:rFonts w:hint="eastAsia" w:ascii="宋体" w:hAnsi="宋体" w:cs="宋体"/>
          <w:sz w:val="24"/>
          <w:highlight w:val="none"/>
          <w:lang w:val="zh-CN"/>
        </w:rPr>
        <w:t xml:space="preserve">：                             </w:t>
      </w:r>
      <w:r>
        <w:rPr>
          <w:rFonts w:hint="eastAsia" w:ascii="宋体" w:hAnsi="宋体" w:cs="宋体"/>
          <w:b/>
          <w:sz w:val="24"/>
          <w:highlight w:val="none"/>
          <w:lang w:val="zh-CN"/>
        </w:rPr>
        <w:t xml:space="preserve">      乙方</w:t>
      </w:r>
      <w:r>
        <w:rPr>
          <w:rFonts w:hint="eastAsia" w:ascii="宋体" w:hAnsi="宋体" w:cs="宋体"/>
          <w:sz w:val="24"/>
          <w:highlight w:val="none"/>
          <w:lang w:val="zh-CN"/>
        </w:rPr>
        <w:t>：</w:t>
      </w:r>
    </w:p>
    <w:p w14:paraId="32DD1418">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14:paraId="46C39BAD">
      <w:pPr>
        <w:autoSpaceDE w:val="0"/>
        <w:autoSpaceDN w:val="0"/>
        <w:spacing w:line="560" w:lineRule="exact"/>
        <w:rPr>
          <w:rFonts w:ascii="宋体" w:hAnsi="宋体" w:cs="宋体"/>
          <w:sz w:val="24"/>
          <w:highlight w:val="none"/>
          <w:lang w:val="zh-CN"/>
        </w:rPr>
      </w:pPr>
    </w:p>
    <w:p w14:paraId="2D099CE5">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住所：                                   住所：</w:t>
      </w:r>
    </w:p>
    <w:p w14:paraId="6DA17AA9">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法定代表人或                             法定代表人</w:t>
      </w:r>
    </w:p>
    <w:p w14:paraId="004A5FAA">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授权代表（签字）：                        或授权代表（签字）: </w:t>
      </w:r>
    </w:p>
    <w:p w14:paraId="147E59E0">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联系人：                                 联系人：</w:t>
      </w:r>
    </w:p>
    <w:p w14:paraId="18472591">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约定送达地址：                           约定送达地址：</w:t>
      </w:r>
    </w:p>
    <w:p w14:paraId="3A930023">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邮政编码：                               邮政编码：</w:t>
      </w:r>
    </w:p>
    <w:p w14:paraId="79A08F0C">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电话:                                    电话: </w:t>
      </w:r>
    </w:p>
    <w:p w14:paraId="7C3E1D15">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传真:                                    传真:</w:t>
      </w:r>
    </w:p>
    <w:p w14:paraId="3A0079A7">
      <w:pPr>
        <w:autoSpaceDE w:val="0"/>
        <w:autoSpaceDN w:val="0"/>
        <w:spacing w:line="560" w:lineRule="exact"/>
        <w:rPr>
          <w:rFonts w:ascii="宋体" w:hAnsi="宋体" w:cs="宋体"/>
          <w:sz w:val="24"/>
          <w:highlight w:val="none"/>
        </w:rPr>
      </w:pPr>
      <w:r>
        <w:rPr>
          <w:rFonts w:hint="eastAsia" w:ascii="宋体" w:hAnsi="宋体" w:cs="宋体"/>
          <w:sz w:val="24"/>
          <w:highlight w:val="none"/>
          <w:lang w:val="zh-CN"/>
        </w:rPr>
        <w:t>电子邮箱：                               电子邮箱：</w:t>
      </w:r>
    </w:p>
    <w:p w14:paraId="5525C3AA">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开户银行：                               开户银行： </w:t>
      </w:r>
    </w:p>
    <w:p w14:paraId="34CE5F7B">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开户名称：                               开户名称： </w:t>
      </w:r>
    </w:p>
    <w:p w14:paraId="01607C3A">
      <w:pPr>
        <w:widowControl/>
        <w:spacing w:line="560" w:lineRule="exact"/>
        <w:jc w:val="left"/>
        <w:rPr>
          <w:rFonts w:hint="eastAsia" w:ascii="宋体" w:hAnsi="宋体" w:eastAsia="宋体" w:cs="宋体"/>
          <w:b/>
          <w:sz w:val="24"/>
          <w:highlight w:val="none"/>
        </w:rPr>
      </w:pPr>
      <w:r>
        <w:rPr>
          <w:rFonts w:hint="eastAsia" w:ascii="宋体" w:hAnsi="宋体" w:cs="宋体"/>
          <w:sz w:val="24"/>
          <w:highlight w:val="none"/>
        </w:rPr>
        <w:t>开户账号：</w:t>
      </w:r>
      <w:r>
        <w:rPr>
          <w:rFonts w:hint="eastAsia" w:ascii="宋体" w:hAnsi="宋体" w:cs="宋体"/>
          <w:sz w:val="24"/>
          <w:highlight w:val="none"/>
          <w:lang w:val="zh-CN"/>
        </w:rPr>
        <w:t xml:space="preserve">                               </w:t>
      </w:r>
      <w:r>
        <w:rPr>
          <w:rFonts w:hint="eastAsia" w:ascii="宋体" w:hAnsi="宋体" w:cs="宋体"/>
          <w:sz w:val="24"/>
          <w:highlight w:val="none"/>
        </w:rPr>
        <w:t>开户账号：</w:t>
      </w:r>
    </w:p>
    <w:p w14:paraId="3627DAF0">
      <w:pPr>
        <w:widowControl/>
        <w:adjustRightInd/>
        <w:jc w:val="left"/>
        <w:rPr>
          <w:rFonts w:hint="eastAsia" w:ascii="宋体" w:hAnsi="宋体" w:eastAsia="宋体" w:cs="宋体"/>
          <w:b/>
          <w:sz w:val="24"/>
          <w:highlight w:val="none"/>
        </w:rPr>
      </w:pPr>
      <w:r>
        <w:rPr>
          <w:rFonts w:hint="eastAsia" w:ascii="宋体" w:hAnsi="宋体" w:eastAsia="宋体" w:cs="宋体"/>
          <w:b/>
          <w:highlight w:val="none"/>
        </w:rPr>
        <w:br w:type="page"/>
      </w:r>
    </w:p>
    <w:p w14:paraId="23C69902">
      <w:pPr>
        <w:pStyle w:val="386"/>
        <w:spacing w:line="560" w:lineRule="exact"/>
        <w:ind w:firstLine="482"/>
        <w:jc w:val="center"/>
        <w:rPr>
          <w:rFonts w:ascii="宋体" w:hAnsi="宋体" w:cs="宋体"/>
          <w:b/>
          <w:szCs w:val="24"/>
          <w:highlight w:val="none"/>
        </w:rPr>
      </w:pPr>
      <w:r>
        <w:rPr>
          <w:rFonts w:hint="eastAsia" w:ascii="宋体" w:hAnsi="宋体" w:cs="宋体"/>
          <w:b/>
          <w:szCs w:val="24"/>
          <w:highlight w:val="none"/>
        </w:rPr>
        <w:t>第二部分 合同一般条款</w:t>
      </w:r>
    </w:p>
    <w:p w14:paraId="0DB51FDB">
      <w:pPr>
        <w:spacing w:line="560" w:lineRule="exact"/>
        <w:ind w:firstLine="482" w:firstLineChars="200"/>
        <w:outlineLvl w:val="0"/>
        <w:rPr>
          <w:rFonts w:ascii="宋体" w:hAnsi="宋体" w:cs="宋体"/>
          <w:b/>
          <w:sz w:val="24"/>
          <w:highlight w:val="none"/>
        </w:rPr>
      </w:pPr>
      <w:bookmarkStart w:id="419" w:name="_Ref467378499"/>
      <w:bookmarkStart w:id="420" w:name="_Ref467379225"/>
      <w:bookmarkStart w:id="421" w:name="_Ref467379195"/>
      <w:bookmarkStart w:id="422" w:name="_Toc28763"/>
      <w:bookmarkStart w:id="423" w:name="_Ref467379094"/>
      <w:bookmarkStart w:id="424" w:name="_Ref467379205"/>
      <w:bookmarkStart w:id="425" w:name="_Toc19614"/>
      <w:bookmarkStart w:id="426" w:name="_Ref467379214"/>
      <w:bookmarkStart w:id="427" w:name="_Ref467378404"/>
      <w:bookmarkStart w:id="428" w:name="_Toc16917"/>
      <w:bookmarkStart w:id="429" w:name="_Toc259093669"/>
      <w:bookmarkStart w:id="430" w:name="_Toc487900349"/>
      <w:bookmarkStart w:id="431" w:name="_Ref467378463"/>
      <w:bookmarkStart w:id="432" w:name="_Ref467379101"/>
      <w:bookmarkStart w:id="433" w:name="_Ref467379109"/>
      <w:bookmarkStart w:id="434" w:name="_Toc279701240"/>
      <w:r>
        <w:rPr>
          <w:rFonts w:hint="eastAsia" w:ascii="宋体" w:hAnsi="宋体" w:cs="宋体"/>
          <w:b/>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34D659ED">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本合同中的下列词语应按以下内容进行解释：</w:t>
      </w:r>
    </w:p>
    <w:p w14:paraId="2CAAC14A">
      <w:pPr>
        <w:spacing w:line="560" w:lineRule="exact"/>
        <w:ind w:firstLine="480" w:firstLineChars="200"/>
        <w:rPr>
          <w:rFonts w:ascii="宋体" w:hAnsi="宋体" w:cs="宋体"/>
          <w:sz w:val="24"/>
          <w:highlight w:val="none"/>
        </w:rPr>
      </w:pPr>
      <w:r>
        <w:rPr>
          <w:rFonts w:hint="eastAsia" w:ascii="宋体" w:hAnsi="宋体" w:cs="宋体"/>
          <w:sz w:val="24"/>
          <w:highlight w:val="none"/>
        </w:rPr>
        <w:t>2.1.1 “合同”系指采购人和中标或成交供应商签订的载明双方当事人所达成的协议，并包括所有的附件、附录和构成合同的其他文件。</w:t>
      </w:r>
    </w:p>
    <w:p w14:paraId="4F4FA71C">
      <w:pPr>
        <w:spacing w:line="560" w:lineRule="exact"/>
        <w:ind w:firstLine="480" w:firstLineChars="200"/>
        <w:rPr>
          <w:rFonts w:ascii="宋体" w:hAnsi="宋体" w:cs="宋体"/>
          <w:sz w:val="24"/>
          <w:highlight w:val="none"/>
        </w:rPr>
      </w:pPr>
      <w:r>
        <w:rPr>
          <w:rFonts w:hint="eastAsia" w:ascii="宋体" w:hAnsi="宋体" w:cs="宋体"/>
          <w:sz w:val="24"/>
          <w:highlight w:val="none"/>
        </w:rPr>
        <w:t>2.1.2 “合同价”系指根据合同约定，中标或成交供应商在完全履行合同义务后，采购人应支付给中标或成交供应商的价格。</w:t>
      </w:r>
    </w:p>
    <w:p w14:paraId="16EB432A">
      <w:pPr>
        <w:spacing w:line="560" w:lineRule="exact"/>
        <w:ind w:firstLine="480" w:firstLineChars="200"/>
        <w:rPr>
          <w:rFonts w:ascii="宋体" w:hAnsi="宋体" w:cs="宋体"/>
          <w:sz w:val="24"/>
          <w:highlight w:val="none"/>
        </w:rPr>
      </w:pPr>
      <w:r>
        <w:rPr>
          <w:rFonts w:hint="eastAsia" w:ascii="宋体" w:hAnsi="宋体" w:cs="宋体"/>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14CBCE6B">
      <w:pPr>
        <w:spacing w:line="560" w:lineRule="exact"/>
        <w:ind w:firstLine="480" w:firstLineChars="200"/>
        <w:rPr>
          <w:rFonts w:ascii="宋体" w:hAnsi="宋体" w:cs="宋体"/>
          <w:sz w:val="24"/>
          <w:highlight w:val="none"/>
        </w:rPr>
      </w:pPr>
      <w:bookmarkStart w:id="435" w:name="_Ref467378840"/>
      <w:r>
        <w:rPr>
          <w:rFonts w:hint="eastAsia" w:ascii="宋体" w:hAnsi="宋体" w:cs="宋体"/>
          <w:sz w:val="24"/>
          <w:highlight w:val="none"/>
        </w:rPr>
        <w:t>2.1.4 “甲方”系指与中标或成交供应商签署合同的采购人</w:t>
      </w:r>
      <w:bookmarkEnd w:id="435"/>
      <w:r>
        <w:rPr>
          <w:rFonts w:hint="eastAsia" w:ascii="宋体" w:hAnsi="宋体" w:cs="宋体"/>
          <w:sz w:val="24"/>
          <w:highlight w:val="none"/>
        </w:rPr>
        <w:t>；采购人委托采购代理机构代表其与乙方签订合同的，采购人的授权委托书作为合同附件。</w:t>
      </w:r>
    </w:p>
    <w:p w14:paraId="31D3019F">
      <w:pPr>
        <w:spacing w:line="560" w:lineRule="exact"/>
        <w:ind w:firstLine="480" w:firstLineChars="200"/>
        <w:rPr>
          <w:rFonts w:ascii="宋体" w:hAnsi="宋体" w:cs="宋体"/>
          <w:sz w:val="24"/>
          <w:highlight w:val="none"/>
        </w:rPr>
      </w:pPr>
      <w:bookmarkStart w:id="436" w:name="_Ref467379400"/>
      <w:r>
        <w:rPr>
          <w:rFonts w:hint="eastAsia" w:ascii="宋体" w:hAnsi="宋体" w:cs="宋体"/>
          <w:sz w:val="24"/>
          <w:highlight w:val="none"/>
        </w:rPr>
        <w:t>2.1.5 “乙方”系指根据合同约定交付货物的中标或成交供应商</w:t>
      </w:r>
      <w:bookmarkEnd w:id="436"/>
      <w:r>
        <w:rPr>
          <w:rFonts w:hint="eastAsia" w:ascii="宋体" w:hAnsi="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4FDED21">
      <w:pPr>
        <w:spacing w:line="560" w:lineRule="exact"/>
        <w:ind w:firstLine="480" w:firstLineChars="200"/>
        <w:rPr>
          <w:rFonts w:ascii="宋体" w:hAnsi="宋体" w:cs="宋体"/>
          <w:sz w:val="24"/>
          <w:highlight w:val="none"/>
        </w:rPr>
      </w:pPr>
      <w:bookmarkStart w:id="437" w:name="_Ref467379436"/>
      <w:r>
        <w:rPr>
          <w:rFonts w:hint="eastAsia" w:ascii="宋体" w:hAnsi="宋体" w:cs="宋体"/>
          <w:sz w:val="24"/>
          <w:highlight w:val="none"/>
        </w:rPr>
        <w:t>2.1.6 “现场”系指合同约定货物将要运至或者安装的地点。</w:t>
      </w:r>
      <w:bookmarkEnd w:id="437"/>
    </w:p>
    <w:p w14:paraId="11AE7257">
      <w:pPr>
        <w:spacing w:line="560" w:lineRule="exact"/>
        <w:ind w:firstLine="482" w:firstLineChars="200"/>
        <w:outlineLvl w:val="0"/>
        <w:rPr>
          <w:rFonts w:ascii="宋体" w:hAnsi="宋体" w:cs="宋体"/>
          <w:b/>
          <w:sz w:val="24"/>
          <w:highlight w:val="none"/>
        </w:rPr>
      </w:pPr>
      <w:bookmarkStart w:id="438" w:name="_Toc27635"/>
      <w:bookmarkStart w:id="439" w:name="_Toc259093670"/>
      <w:bookmarkStart w:id="440" w:name="_Toc279701241"/>
      <w:bookmarkStart w:id="441" w:name="_Toc487900350"/>
      <w:bookmarkStart w:id="442" w:name="_Toc13336"/>
      <w:bookmarkStart w:id="443" w:name="_Toc32504"/>
      <w:r>
        <w:rPr>
          <w:rFonts w:hint="eastAsia" w:ascii="宋体" w:hAnsi="宋体" w:cs="宋体"/>
          <w:b/>
          <w:sz w:val="24"/>
          <w:highlight w:val="none"/>
        </w:rPr>
        <w:t>2.2 技术规范</w:t>
      </w:r>
      <w:bookmarkEnd w:id="438"/>
      <w:bookmarkEnd w:id="439"/>
      <w:bookmarkEnd w:id="440"/>
      <w:bookmarkEnd w:id="441"/>
      <w:bookmarkEnd w:id="442"/>
      <w:bookmarkEnd w:id="443"/>
    </w:p>
    <w:p w14:paraId="649293F3">
      <w:pPr>
        <w:spacing w:line="560" w:lineRule="exact"/>
        <w:ind w:firstLine="480" w:firstLineChars="200"/>
        <w:rPr>
          <w:rFonts w:ascii="宋体" w:hAnsi="宋体" w:cs="宋体"/>
          <w:sz w:val="24"/>
          <w:highlight w:val="none"/>
        </w:rPr>
      </w:pPr>
      <w:r>
        <w:rPr>
          <w:rFonts w:hint="eastAsia" w:ascii="宋体" w:hAnsi="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A163F4C">
      <w:pPr>
        <w:spacing w:line="560" w:lineRule="exact"/>
        <w:ind w:firstLine="482" w:firstLineChars="200"/>
        <w:outlineLvl w:val="0"/>
        <w:rPr>
          <w:rFonts w:ascii="宋体" w:hAnsi="宋体" w:cs="宋体"/>
          <w:b/>
          <w:sz w:val="24"/>
          <w:highlight w:val="none"/>
        </w:rPr>
      </w:pPr>
      <w:bookmarkStart w:id="444" w:name="_Toc259093671"/>
      <w:bookmarkStart w:id="445" w:name="_Toc9829"/>
      <w:bookmarkStart w:id="446" w:name="_Toc31634"/>
      <w:bookmarkStart w:id="447" w:name="_Toc487900351"/>
      <w:bookmarkStart w:id="448" w:name="_Toc279701242"/>
      <w:bookmarkStart w:id="449" w:name="_Toc27853"/>
      <w:r>
        <w:rPr>
          <w:rFonts w:hint="eastAsia" w:ascii="宋体" w:hAnsi="宋体" w:cs="宋体"/>
          <w:b/>
          <w:sz w:val="24"/>
          <w:highlight w:val="none"/>
        </w:rPr>
        <w:t>2.3 知识产权</w:t>
      </w:r>
      <w:bookmarkEnd w:id="444"/>
      <w:bookmarkEnd w:id="445"/>
      <w:bookmarkEnd w:id="446"/>
      <w:bookmarkEnd w:id="447"/>
      <w:bookmarkEnd w:id="448"/>
      <w:bookmarkEnd w:id="449"/>
    </w:p>
    <w:p w14:paraId="1AA7B499">
      <w:pPr>
        <w:spacing w:line="560" w:lineRule="exact"/>
        <w:ind w:firstLine="480" w:firstLineChars="200"/>
        <w:rPr>
          <w:rFonts w:ascii="宋体" w:hAnsi="宋体" w:cs="宋体"/>
          <w:sz w:val="24"/>
          <w:highlight w:val="none"/>
        </w:rPr>
      </w:pPr>
      <w:r>
        <w:rPr>
          <w:rFonts w:hint="eastAsia" w:ascii="宋体" w:hAnsi="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7B502D33">
      <w:pPr>
        <w:spacing w:line="560" w:lineRule="exact"/>
        <w:ind w:firstLine="480" w:firstLineChars="200"/>
        <w:rPr>
          <w:rFonts w:ascii="宋体" w:hAnsi="宋体" w:cs="宋体"/>
          <w:sz w:val="24"/>
          <w:highlight w:val="none"/>
        </w:rPr>
      </w:pPr>
      <w:r>
        <w:rPr>
          <w:rFonts w:hint="eastAsia" w:ascii="宋体" w:hAnsi="宋体" w:cs="宋体"/>
          <w:sz w:val="24"/>
          <w:highlight w:val="none"/>
        </w:rPr>
        <w:t>2.3.2具有知识产权的计算机软件等货物的知识产权归属，详见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70EC045E">
      <w:pPr>
        <w:spacing w:line="560" w:lineRule="exact"/>
        <w:ind w:firstLine="482" w:firstLineChars="200"/>
        <w:outlineLvl w:val="0"/>
        <w:rPr>
          <w:rFonts w:ascii="宋体" w:hAnsi="宋体" w:cs="宋体"/>
          <w:b/>
          <w:sz w:val="24"/>
          <w:highlight w:val="none"/>
        </w:rPr>
      </w:pPr>
      <w:bookmarkStart w:id="450" w:name="_Toc4194"/>
      <w:bookmarkStart w:id="451" w:name="_Toc29149"/>
      <w:bookmarkStart w:id="452" w:name="_Toc11932"/>
      <w:r>
        <w:rPr>
          <w:rFonts w:hint="eastAsia" w:ascii="宋体" w:hAnsi="宋体" w:cs="宋体"/>
          <w:b/>
          <w:sz w:val="24"/>
          <w:highlight w:val="none"/>
        </w:rPr>
        <w:t>2.4 包装和装运</w:t>
      </w:r>
      <w:bookmarkEnd w:id="450"/>
      <w:bookmarkEnd w:id="451"/>
      <w:bookmarkEnd w:id="452"/>
    </w:p>
    <w:p w14:paraId="6EE92468">
      <w:pPr>
        <w:spacing w:line="560" w:lineRule="exact"/>
        <w:ind w:firstLine="480" w:firstLineChars="200"/>
        <w:rPr>
          <w:rFonts w:ascii="宋体" w:hAnsi="宋体" w:cs="宋体"/>
          <w:sz w:val="24"/>
          <w:highlight w:val="none"/>
        </w:rPr>
      </w:pPr>
      <w:r>
        <w:rPr>
          <w:rFonts w:hint="eastAsia" w:ascii="宋体" w:hAnsi="宋体" w:cs="宋体"/>
          <w:sz w:val="24"/>
          <w:highlight w:val="none"/>
        </w:rPr>
        <w:t>2.4.1除</w:t>
      </w:r>
      <w:r>
        <w:rPr>
          <w:rFonts w:hint="eastAsia" w:ascii="宋体" w:hAnsi="宋体" w:cs="宋体"/>
          <w:b/>
          <w:i/>
          <w:sz w:val="24"/>
          <w:highlight w:val="none"/>
          <w:u w:val="single"/>
        </w:rPr>
        <w:t>合同专用条款</w:t>
      </w:r>
      <w:r>
        <w:rPr>
          <w:rFonts w:hint="eastAsia" w:ascii="宋体" w:hAnsi="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3D7BBC9">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B97CD60">
      <w:pPr>
        <w:spacing w:line="560" w:lineRule="exact"/>
        <w:ind w:firstLine="480" w:firstLineChars="200"/>
        <w:rPr>
          <w:rFonts w:ascii="宋体" w:hAnsi="宋体" w:cs="宋体"/>
          <w:sz w:val="24"/>
          <w:highlight w:val="none"/>
        </w:rPr>
      </w:pPr>
      <w:r>
        <w:rPr>
          <w:rFonts w:hint="eastAsia" w:ascii="宋体" w:hAnsi="宋体" w:cs="宋体"/>
          <w:sz w:val="24"/>
          <w:highlight w:val="none"/>
        </w:rPr>
        <w:t>2.4.3 装运货物的要求和通知，详见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2FC93336">
      <w:pPr>
        <w:spacing w:line="560" w:lineRule="exact"/>
        <w:ind w:firstLine="482" w:firstLineChars="200"/>
        <w:outlineLvl w:val="0"/>
        <w:rPr>
          <w:rFonts w:ascii="宋体" w:hAnsi="宋体" w:cs="宋体"/>
          <w:b/>
          <w:sz w:val="24"/>
          <w:highlight w:val="none"/>
        </w:rPr>
      </w:pPr>
      <w:bookmarkStart w:id="453" w:name="_Ref467379527"/>
      <w:bookmarkStart w:id="454" w:name="_Toc259093674"/>
      <w:bookmarkStart w:id="455" w:name="_Ref467379536"/>
      <w:bookmarkStart w:id="456" w:name="_Ref467378541"/>
      <w:bookmarkStart w:id="457" w:name="_Ref467379542"/>
      <w:bookmarkStart w:id="458" w:name="_Toc279701245"/>
      <w:bookmarkStart w:id="459" w:name="_Ref467378591"/>
      <w:bookmarkStart w:id="460" w:name="_Toc487900354"/>
      <w:bookmarkStart w:id="461" w:name="_Toc19074"/>
      <w:bookmarkStart w:id="462" w:name="_Toc26182"/>
      <w:bookmarkStart w:id="463" w:name="_Toc30272"/>
      <w:r>
        <w:rPr>
          <w:rFonts w:hint="eastAsia" w:ascii="宋体" w:hAnsi="宋体" w:cs="宋体"/>
          <w:b/>
          <w:sz w:val="24"/>
          <w:highlight w:val="none"/>
        </w:rPr>
        <w:t>2.</w:t>
      </w:r>
      <w:bookmarkEnd w:id="453"/>
      <w:bookmarkEnd w:id="454"/>
      <w:bookmarkEnd w:id="455"/>
      <w:bookmarkEnd w:id="456"/>
      <w:bookmarkEnd w:id="457"/>
      <w:bookmarkEnd w:id="458"/>
      <w:bookmarkEnd w:id="459"/>
      <w:bookmarkEnd w:id="460"/>
      <w:r>
        <w:rPr>
          <w:rFonts w:hint="eastAsia" w:ascii="宋体" w:hAnsi="宋体" w:cs="宋体"/>
          <w:b/>
          <w:sz w:val="24"/>
          <w:highlight w:val="none"/>
        </w:rPr>
        <w:t>5 履约检查和问题反馈</w:t>
      </w:r>
      <w:bookmarkEnd w:id="461"/>
      <w:bookmarkEnd w:id="462"/>
      <w:bookmarkEnd w:id="463"/>
    </w:p>
    <w:p w14:paraId="50B0CF2F">
      <w:pPr>
        <w:spacing w:line="560" w:lineRule="exact"/>
        <w:ind w:firstLine="480" w:firstLineChars="200"/>
        <w:rPr>
          <w:rFonts w:ascii="宋体" w:hAnsi="宋体" w:cs="宋体"/>
          <w:sz w:val="24"/>
          <w:highlight w:val="none"/>
        </w:rPr>
      </w:pPr>
      <w:bookmarkStart w:id="464" w:name="_Ref467379657"/>
      <w:r>
        <w:rPr>
          <w:rFonts w:hint="eastAsia" w:ascii="宋体" w:hAnsi="宋体" w:cs="宋体"/>
          <w:sz w:val="24"/>
          <w:highlight w:val="none"/>
        </w:rPr>
        <w:t>2.5.1</w:t>
      </w:r>
      <w:bookmarkEnd w:id="464"/>
      <w:bookmarkStart w:id="465" w:name="_Toc186431854"/>
      <w:bookmarkStart w:id="466" w:name="_Ref467379807"/>
      <w:bookmarkStart w:id="467" w:name="_Toc259093676"/>
      <w:bookmarkStart w:id="468" w:name="_Toc487900357"/>
      <w:bookmarkStart w:id="469" w:name="_Ref467379793"/>
      <w:bookmarkStart w:id="470" w:name="_Toc279701247"/>
      <w:r>
        <w:rPr>
          <w:rFonts w:hint="eastAsia" w:ascii="宋体" w:hAnsi="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18677AD8">
      <w:pPr>
        <w:spacing w:line="560" w:lineRule="exact"/>
        <w:ind w:firstLine="480" w:firstLineChars="200"/>
        <w:rPr>
          <w:rFonts w:ascii="宋体" w:hAnsi="宋体" w:cs="宋体"/>
          <w:sz w:val="24"/>
          <w:highlight w:val="none"/>
        </w:rPr>
      </w:pPr>
      <w:r>
        <w:rPr>
          <w:rFonts w:hint="eastAsia" w:ascii="宋体" w:hAnsi="宋体" w:cs="宋体"/>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sz w:val="24"/>
          <w:highlight w:val="none"/>
        </w:rPr>
        <w:t>。</w:t>
      </w:r>
    </w:p>
    <w:bookmarkEnd w:id="466"/>
    <w:bookmarkEnd w:id="467"/>
    <w:bookmarkEnd w:id="468"/>
    <w:bookmarkEnd w:id="469"/>
    <w:bookmarkEnd w:id="470"/>
    <w:bookmarkEnd w:id="471"/>
    <w:p w14:paraId="1803F7A6">
      <w:pPr>
        <w:spacing w:line="560" w:lineRule="exact"/>
        <w:ind w:firstLine="482" w:firstLineChars="200"/>
        <w:outlineLvl w:val="0"/>
        <w:rPr>
          <w:rFonts w:ascii="宋体" w:hAnsi="宋体" w:cs="宋体"/>
          <w:b/>
          <w:sz w:val="24"/>
          <w:highlight w:val="none"/>
        </w:rPr>
      </w:pPr>
      <w:bookmarkStart w:id="472" w:name="_Toc279701248"/>
      <w:bookmarkStart w:id="473" w:name="_Toc487900358"/>
      <w:bookmarkStart w:id="474" w:name="_Ref467379923"/>
      <w:bookmarkStart w:id="475" w:name="_Toc259093677"/>
      <w:bookmarkStart w:id="476" w:name="_Ref467379863"/>
      <w:bookmarkStart w:id="477" w:name="_Ref467379852"/>
      <w:bookmarkStart w:id="478" w:name="_Toc3225"/>
      <w:bookmarkStart w:id="479" w:name="_Toc774"/>
      <w:bookmarkStart w:id="480" w:name="_Toc16110"/>
      <w:r>
        <w:rPr>
          <w:rFonts w:hint="eastAsia" w:ascii="宋体" w:hAnsi="宋体" w:cs="宋体"/>
          <w:b/>
          <w:sz w:val="24"/>
          <w:highlight w:val="none"/>
        </w:rPr>
        <w:t>2.6 技术资料</w:t>
      </w:r>
      <w:bookmarkEnd w:id="472"/>
      <w:bookmarkEnd w:id="473"/>
      <w:bookmarkEnd w:id="474"/>
      <w:bookmarkEnd w:id="475"/>
      <w:bookmarkEnd w:id="476"/>
      <w:bookmarkEnd w:id="477"/>
      <w:r>
        <w:rPr>
          <w:rFonts w:hint="eastAsia" w:ascii="宋体" w:hAnsi="宋体" w:cs="宋体"/>
          <w:b/>
          <w:sz w:val="24"/>
          <w:highlight w:val="none"/>
        </w:rPr>
        <w:t>和保密义务</w:t>
      </w:r>
      <w:bookmarkEnd w:id="478"/>
      <w:bookmarkEnd w:id="479"/>
      <w:bookmarkEnd w:id="480"/>
    </w:p>
    <w:p w14:paraId="6A61AA03">
      <w:pPr>
        <w:spacing w:line="560" w:lineRule="exact"/>
        <w:ind w:firstLine="480" w:firstLineChars="200"/>
        <w:rPr>
          <w:rFonts w:ascii="宋体" w:hAnsi="宋体" w:cs="宋体"/>
          <w:sz w:val="24"/>
          <w:highlight w:val="none"/>
        </w:rPr>
      </w:pPr>
      <w:r>
        <w:rPr>
          <w:rFonts w:hint="eastAsia" w:ascii="宋体" w:hAnsi="宋体" w:cs="宋体"/>
          <w:sz w:val="24"/>
          <w:highlight w:val="none"/>
        </w:rPr>
        <w:t>2.6.1 乙方有权依据合同约定和项目需要，向甲方了解有关情况，调阅有关资料等，甲方应予积极配合；</w:t>
      </w:r>
    </w:p>
    <w:p w14:paraId="587D0F24">
      <w:pPr>
        <w:spacing w:line="560" w:lineRule="exact"/>
        <w:ind w:firstLine="480" w:firstLineChars="200"/>
        <w:rPr>
          <w:rFonts w:ascii="宋体" w:hAnsi="宋体" w:cs="宋体"/>
          <w:sz w:val="24"/>
          <w:highlight w:val="none"/>
        </w:rPr>
      </w:pPr>
      <w:r>
        <w:rPr>
          <w:rFonts w:hint="eastAsia" w:ascii="宋体" w:hAnsi="宋体" w:cs="宋体"/>
          <w:sz w:val="24"/>
          <w:highlight w:val="none"/>
        </w:rPr>
        <w:t>2.6.2 乙方有义务妥善保管和保护由甲方提供的前款信息和资料等；</w:t>
      </w:r>
    </w:p>
    <w:p w14:paraId="276853DC">
      <w:pPr>
        <w:spacing w:line="560" w:lineRule="exact"/>
        <w:ind w:firstLine="480" w:firstLineChars="200"/>
        <w:rPr>
          <w:rFonts w:ascii="宋体" w:hAnsi="宋体" w:cs="宋体"/>
          <w:sz w:val="24"/>
          <w:highlight w:val="none"/>
        </w:rPr>
      </w:pPr>
      <w:r>
        <w:rPr>
          <w:rFonts w:hint="eastAsia" w:ascii="宋体" w:hAnsi="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0B7BD45">
      <w:pPr>
        <w:spacing w:line="560" w:lineRule="exact"/>
        <w:ind w:firstLine="482" w:firstLineChars="200"/>
        <w:outlineLvl w:val="0"/>
        <w:rPr>
          <w:rFonts w:ascii="宋体" w:hAnsi="宋体" w:cs="宋体"/>
          <w:b/>
          <w:sz w:val="24"/>
          <w:highlight w:val="none"/>
        </w:rPr>
      </w:pPr>
      <w:bookmarkStart w:id="481" w:name="_Toc7860"/>
      <w:r>
        <w:rPr>
          <w:rFonts w:hint="eastAsia" w:ascii="宋体" w:hAnsi="宋体" w:cs="宋体"/>
          <w:b/>
          <w:sz w:val="24"/>
          <w:highlight w:val="none"/>
        </w:rPr>
        <w:t>2.7 质量保证</w:t>
      </w:r>
      <w:bookmarkEnd w:id="481"/>
    </w:p>
    <w:p w14:paraId="4CFBEBEA">
      <w:pPr>
        <w:spacing w:line="560" w:lineRule="exact"/>
        <w:ind w:firstLine="480" w:firstLineChars="200"/>
        <w:rPr>
          <w:rFonts w:ascii="宋体" w:hAnsi="宋体" w:cs="宋体"/>
          <w:sz w:val="24"/>
          <w:highlight w:val="none"/>
        </w:rPr>
      </w:pPr>
      <w:r>
        <w:rPr>
          <w:rFonts w:hint="eastAsia" w:ascii="宋体" w:hAnsi="宋体" w:cs="宋体"/>
          <w:sz w:val="24"/>
          <w:highlight w:val="none"/>
        </w:rPr>
        <w:t>2.7.1 乙方应建立和完善履行合同的内部质量保证体系，并提供相关内部规章制度给甲方，以便甲方进行监督检查；</w:t>
      </w:r>
    </w:p>
    <w:p w14:paraId="2157ADB5">
      <w:pPr>
        <w:spacing w:line="560" w:lineRule="exact"/>
        <w:ind w:firstLine="480" w:firstLineChars="200"/>
        <w:rPr>
          <w:rFonts w:ascii="宋体" w:hAnsi="宋体" w:cs="宋体"/>
          <w:sz w:val="24"/>
          <w:highlight w:val="none"/>
        </w:rPr>
      </w:pPr>
      <w:r>
        <w:rPr>
          <w:rFonts w:hint="eastAsia" w:ascii="宋体" w:hAnsi="宋体" w:cs="宋体"/>
          <w:sz w:val="24"/>
          <w:highlight w:val="none"/>
        </w:rPr>
        <w:t>2.7.2 乙方应保证履行合同的人员数量和素质、软件和硬件设备的配置、场地、环境和设施等满足全面履行合同的要求，并应接受甲方的监督检查。</w:t>
      </w:r>
    </w:p>
    <w:p w14:paraId="420046BF">
      <w:pPr>
        <w:spacing w:line="560" w:lineRule="exact"/>
        <w:ind w:firstLine="482" w:firstLineChars="200"/>
        <w:outlineLvl w:val="0"/>
        <w:rPr>
          <w:rFonts w:ascii="宋体" w:hAnsi="宋体" w:cs="宋体"/>
          <w:b/>
          <w:sz w:val="24"/>
          <w:highlight w:val="none"/>
        </w:rPr>
      </w:pPr>
      <w:bookmarkStart w:id="482" w:name="_Toc17244"/>
      <w:bookmarkStart w:id="483" w:name="_Toc279701252"/>
      <w:bookmarkStart w:id="484" w:name="_Toc259093681"/>
      <w:bookmarkStart w:id="485" w:name="_Toc487900362"/>
      <w:r>
        <w:rPr>
          <w:rFonts w:hint="eastAsia" w:ascii="宋体" w:hAnsi="宋体" w:cs="宋体"/>
          <w:b/>
          <w:sz w:val="24"/>
          <w:highlight w:val="none"/>
        </w:rPr>
        <w:t>2.8 货物的风险负担</w:t>
      </w:r>
      <w:bookmarkEnd w:id="482"/>
    </w:p>
    <w:p w14:paraId="3E303D76">
      <w:pPr>
        <w:spacing w:line="560" w:lineRule="exact"/>
        <w:ind w:firstLine="480" w:firstLineChars="200"/>
        <w:rPr>
          <w:rFonts w:ascii="宋体" w:hAnsi="宋体" w:cs="宋体"/>
          <w:b/>
          <w:sz w:val="24"/>
          <w:highlight w:val="none"/>
        </w:rPr>
      </w:pPr>
      <w:r>
        <w:rPr>
          <w:rFonts w:hint="eastAsia" w:ascii="宋体" w:hAnsi="宋体" w:cs="宋体"/>
          <w:sz w:val="24"/>
          <w:highlight w:val="none"/>
        </w:rPr>
        <w:t>货物或者在途货物或者交付给第一承运人后的货物毁损、灭失的风险负担详见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2112B184">
      <w:pPr>
        <w:spacing w:line="560" w:lineRule="exact"/>
        <w:ind w:firstLine="482" w:firstLineChars="200"/>
        <w:outlineLvl w:val="0"/>
        <w:rPr>
          <w:rFonts w:ascii="宋体" w:hAnsi="宋体" w:cs="宋体"/>
          <w:b/>
          <w:sz w:val="24"/>
          <w:highlight w:val="none"/>
        </w:rPr>
      </w:pPr>
      <w:bookmarkStart w:id="486" w:name="_Toc14055"/>
      <w:r>
        <w:rPr>
          <w:rFonts w:hint="eastAsia" w:ascii="宋体" w:hAnsi="宋体" w:cs="宋体"/>
          <w:b/>
          <w:sz w:val="24"/>
          <w:highlight w:val="none"/>
        </w:rPr>
        <w:t>2.9 延迟交货</w:t>
      </w:r>
      <w:bookmarkEnd w:id="483"/>
      <w:bookmarkEnd w:id="484"/>
      <w:bookmarkEnd w:id="485"/>
      <w:bookmarkEnd w:id="486"/>
    </w:p>
    <w:p w14:paraId="55A85F9E">
      <w:pPr>
        <w:spacing w:line="560" w:lineRule="exact"/>
        <w:ind w:firstLine="480" w:firstLineChars="200"/>
        <w:rPr>
          <w:rFonts w:ascii="宋体" w:hAnsi="宋体" w:cs="宋体"/>
          <w:sz w:val="24"/>
          <w:highlight w:val="none"/>
        </w:rPr>
      </w:pPr>
      <w:r>
        <w:rPr>
          <w:rFonts w:hint="eastAsia" w:ascii="宋体" w:hAnsi="宋体"/>
          <w:sz w:val="24"/>
          <w:highlight w:val="none"/>
        </w:rPr>
        <w:t>甲乙双方签订合同后，乙方应按照合同约定履行合同义务，除不可抗力外，乙方不得延迟交货。</w:t>
      </w:r>
      <w:r>
        <w:rPr>
          <w:rFonts w:hint="eastAsia" w:ascii="宋体" w:hAnsi="宋体" w:cs="宋体"/>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698229E">
      <w:pPr>
        <w:spacing w:line="560" w:lineRule="exact"/>
        <w:ind w:firstLine="482" w:firstLineChars="200"/>
        <w:outlineLvl w:val="0"/>
        <w:rPr>
          <w:rFonts w:ascii="宋体" w:hAnsi="宋体" w:cs="宋体"/>
          <w:b/>
          <w:sz w:val="24"/>
          <w:highlight w:val="none"/>
        </w:rPr>
      </w:pPr>
      <w:bookmarkStart w:id="487" w:name="_Toc7502"/>
      <w:bookmarkStart w:id="488" w:name="_Ref467378121"/>
      <w:bookmarkStart w:id="489" w:name="_Toc279701254"/>
      <w:bookmarkStart w:id="490" w:name="_Toc487900364"/>
      <w:bookmarkStart w:id="491" w:name="_Toc259093683"/>
      <w:r>
        <w:rPr>
          <w:rFonts w:hint="eastAsia" w:ascii="宋体" w:hAnsi="宋体" w:cs="宋体"/>
          <w:b/>
          <w:sz w:val="24"/>
          <w:highlight w:val="none"/>
        </w:rPr>
        <w:t>2.10 合同变更</w:t>
      </w:r>
      <w:bookmarkEnd w:id="487"/>
    </w:p>
    <w:p w14:paraId="0E99E94F">
      <w:pPr>
        <w:spacing w:line="560" w:lineRule="exact"/>
        <w:ind w:firstLine="480" w:firstLineChars="200"/>
        <w:rPr>
          <w:rFonts w:ascii="宋体" w:hAnsi="宋体" w:cs="宋体"/>
          <w:sz w:val="24"/>
          <w:highlight w:val="none"/>
        </w:rPr>
      </w:pPr>
      <w:r>
        <w:rPr>
          <w:rFonts w:hint="eastAsia" w:ascii="宋体" w:hAnsi="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487900369"/>
      <w:bookmarkStart w:id="493" w:name="_Toc279701259"/>
      <w:bookmarkStart w:id="494" w:name="_Toc259093688"/>
    </w:p>
    <w:p w14:paraId="13D05461">
      <w:pPr>
        <w:spacing w:line="560" w:lineRule="exact"/>
        <w:ind w:firstLine="482" w:firstLineChars="200"/>
        <w:outlineLvl w:val="0"/>
        <w:rPr>
          <w:rFonts w:ascii="宋体" w:hAnsi="宋体" w:cs="宋体"/>
          <w:b/>
          <w:sz w:val="24"/>
          <w:highlight w:val="none"/>
        </w:rPr>
      </w:pPr>
      <w:bookmarkStart w:id="495" w:name="_Toc15237"/>
      <w:bookmarkStart w:id="496" w:name="_Toc22955"/>
      <w:bookmarkStart w:id="497" w:name="_Toc10366"/>
      <w:r>
        <w:rPr>
          <w:rFonts w:hint="eastAsia" w:ascii="宋体" w:hAnsi="宋体" w:cs="宋体"/>
          <w:b/>
          <w:sz w:val="24"/>
          <w:highlight w:val="none"/>
        </w:rPr>
        <w:t>2.11 合同转让</w:t>
      </w:r>
      <w:bookmarkEnd w:id="492"/>
      <w:bookmarkEnd w:id="493"/>
      <w:bookmarkEnd w:id="494"/>
      <w:r>
        <w:rPr>
          <w:rFonts w:hint="eastAsia" w:ascii="宋体" w:hAnsi="宋体" w:cs="宋体"/>
          <w:b/>
          <w:sz w:val="24"/>
          <w:highlight w:val="none"/>
        </w:rPr>
        <w:t>和分包</w:t>
      </w:r>
      <w:bookmarkEnd w:id="495"/>
      <w:bookmarkEnd w:id="496"/>
      <w:bookmarkEnd w:id="497"/>
    </w:p>
    <w:p w14:paraId="6F7A1467">
      <w:pPr>
        <w:spacing w:line="560" w:lineRule="exact"/>
        <w:ind w:firstLine="480" w:firstLineChars="200"/>
        <w:rPr>
          <w:rFonts w:ascii="宋体" w:hAnsi="宋体" w:cs="宋体"/>
          <w:sz w:val="24"/>
          <w:highlight w:val="none"/>
        </w:rPr>
      </w:pPr>
      <w:r>
        <w:rPr>
          <w:rFonts w:hint="eastAsia" w:ascii="宋体" w:hAnsi="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4711042">
      <w:pPr>
        <w:spacing w:line="560" w:lineRule="exact"/>
        <w:ind w:firstLine="480" w:firstLineChars="200"/>
        <w:rPr>
          <w:rFonts w:ascii="宋体" w:hAnsi="宋体" w:cs="宋体"/>
          <w:sz w:val="24"/>
          <w:highlight w:val="none"/>
        </w:rPr>
      </w:pPr>
      <w:r>
        <w:rPr>
          <w:rFonts w:hint="eastAsia" w:ascii="宋体" w:hAnsi="宋体" w:cs="宋体"/>
          <w:sz w:val="24"/>
          <w:highlight w:val="none"/>
        </w:rPr>
        <w:t>2.11.2乙方采取分包方式履行合同的，甲方可直接向分包供应商支付款项。</w:t>
      </w:r>
    </w:p>
    <w:p w14:paraId="4B81262B">
      <w:pPr>
        <w:spacing w:line="560" w:lineRule="exact"/>
        <w:ind w:firstLine="482" w:firstLineChars="200"/>
        <w:outlineLvl w:val="0"/>
        <w:rPr>
          <w:rFonts w:ascii="宋体" w:hAnsi="宋体" w:cs="宋体"/>
          <w:b/>
          <w:sz w:val="24"/>
          <w:highlight w:val="none"/>
        </w:rPr>
      </w:pPr>
      <w:bookmarkStart w:id="498" w:name="_Toc13566"/>
      <w:bookmarkStart w:id="499" w:name="_Toc14066"/>
      <w:bookmarkStart w:id="500" w:name="_Toc16508"/>
      <w:r>
        <w:rPr>
          <w:rFonts w:hint="eastAsia" w:ascii="宋体" w:hAnsi="宋体" w:cs="宋体"/>
          <w:b/>
          <w:sz w:val="24"/>
          <w:highlight w:val="none"/>
        </w:rPr>
        <w:t>2.12 不可抗力</w:t>
      </w:r>
      <w:bookmarkEnd w:id="498"/>
      <w:bookmarkEnd w:id="499"/>
      <w:bookmarkEnd w:id="500"/>
    </w:p>
    <w:p w14:paraId="5BC9B005">
      <w:pPr>
        <w:spacing w:line="560" w:lineRule="exact"/>
        <w:ind w:firstLine="480" w:firstLineChars="200"/>
        <w:rPr>
          <w:rFonts w:ascii="宋体" w:hAnsi="宋体" w:cs="宋体"/>
          <w:sz w:val="24"/>
          <w:highlight w:val="none"/>
        </w:rPr>
      </w:pPr>
      <w:r>
        <w:rPr>
          <w:rFonts w:hint="eastAsia" w:ascii="宋体" w:hAnsi="宋体" w:cs="宋体"/>
          <w:sz w:val="24"/>
          <w:highlight w:val="none"/>
        </w:rPr>
        <w:t>2.12.1如果任何一方遭遇法律规定的不可抗力，致使合同履行受阻时，履行合同的期限应予延长，延长的期限应相当于不可抗力所影响的时间；</w:t>
      </w:r>
    </w:p>
    <w:p w14:paraId="41C248BA">
      <w:pPr>
        <w:spacing w:line="560" w:lineRule="exact"/>
        <w:ind w:firstLine="480" w:firstLineChars="200"/>
        <w:rPr>
          <w:rFonts w:ascii="宋体" w:hAnsi="宋体" w:cs="宋体"/>
          <w:sz w:val="24"/>
          <w:highlight w:val="none"/>
        </w:rPr>
      </w:pPr>
      <w:r>
        <w:rPr>
          <w:rFonts w:hint="eastAsia" w:ascii="宋体" w:hAnsi="宋体" w:cs="宋体"/>
          <w:sz w:val="24"/>
          <w:highlight w:val="none"/>
        </w:rPr>
        <w:t>2.12.2 因不可抗力致使不能实现合同目的的，当事人可以解除合同；</w:t>
      </w:r>
    </w:p>
    <w:p w14:paraId="0BF85797">
      <w:pPr>
        <w:spacing w:line="560" w:lineRule="exact"/>
        <w:ind w:firstLine="480" w:firstLineChars="200"/>
        <w:rPr>
          <w:rFonts w:ascii="宋体" w:hAnsi="宋体" w:cs="宋体"/>
          <w:sz w:val="24"/>
          <w:highlight w:val="none"/>
        </w:rPr>
      </w:pPr>
      <w:r>
        <w:rPr>
          <w:rFonts w:hint="eastAsia" w:ascii="宋体" w:hAnsi="宋体" w:cs="宋体"/>
          <w:sz w:val="24"/>
          <w:highlight w:val="none"/>
        </w:rPr>
        <w:t>2.12.3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14:paraId="66677CAE">
      <w:pPr>
        <w:spacing w:line="560" w:lineRule="exact"/>
        <w:ind w:firstLine="480" w:firstLineChars="200"/>
        <w:rPr>
          <w:rFonts w:ascii="宋体" w:hAnsi="宋体" w:cs="宋体"/>
          <w:sz w:val="24"/>
          <w:highlight w:val="none"/>
        </w:rPr>
      </w:pPr>
      <w:r>
        <w:rPr>
          <w:rFonts w:hint="eastAsia" w:ascii="宋体" w:hAnsi="宋体" w:cs="宋体"/>
          <w:sz w:val="24"/>
          <w:highlight w:val="none"/>
        </w:rPr>
        <w:t>2.12.4受不可抗力影响的一方在不可抗力发生后，应在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14:paraId="30B02885">
      <w:pPr>
        <w:spacing w:line="560" w:lineRule="exact"/>
        <w:ind w:firstLine="482" w:firstLineChars="200"/>
        <w:outlineLvl w:val="0"/>
        <w:rPr>
          <w:rFonts w:ascii="宋体" w:hAnsi="宋体" w:cs="宋体"/>
          <w:b/>
          <w:sz w:val="24"/>
          <w:highlight w:val="none"/>
        </w:rPr>
      </w:pPr>
      <w:bookmarkStart w:id="501" w:name="_Toc487900365"/>
      <w:bookmarkStart w:id="502" w:name="_Toc279701255"/>
      <w:bookmarkStart w:id="503" w:name="_Toc6969"/>
      <w:bookmarkStart w:id="504" w:name="_Toc259093684"/>
      <w:bookmarkStart w:id="505" w:name="_Toc30676"/>
      <w:bookmarkStart w:id="506" w:name="_Toc689"/>
      <w:r>
        <w:rPr>
          <w:rFonts w:hint="eastAsia" w:ascii="宋体" w:hAnsi="宋体" w:cs="宋体"/>
          <w:b/>
          <w:sz w:val="24"/>
          <w:highlight w:val="none"/>
        </w:rPr>
        <w:t>2.13 税费</w:t>
      </w:r>
      <w:bookmarkEnd w:id="501"/>
      <w:bookmarkEnd w:id="502"/>
      <w:bookmarkEnd w:id="503"/>
      <w:bookmarkEnd w:id="504"/>
      <w:bookmarkEnd w:id="505"/>
      <w:bookmarkEnd w:id="506"/>
    </w:p>
    <w:p w14:paraId="4AE77740">
      <w:pPr>
        <w:spacing w:line="560" w:lineRule="exact"/>
        <w:ind w:firstLine="480" w:firstLineChars="200"/>
        <w:rPr>
          <w:rFonts w:ascii="宋体" w:hAnsi="宋体" w:cs="宋体"/>
          <w:sz w:val="24"/>
          <w:highlight w:val="none"/>
        </w:rPr>
      </w:pPr>
      <w:r>
        <w:rPr>
          <w:rFonts w:hint="eastAsia" w:ascii="宋体" w:hAnsi="宋体" w:cs="宋体"/>
          <w:sz w:val="24"/>
          <w:highlight w:val="none"/>
        </w:rPr>
        <w:t>与合同有关的一切税费，均按照中华人民共和国法律的相关规定。</w:t>
      </w:r>
    </w:p>
    <w:p w14:paraId="41796144">
      <w:pPr>
        <w:spacing w:line="560" w:lineRule="exact"/>
        <w:ind w:firstLine="482" w:firstLineChars="200"/>
        <w:outlineLvl w:val="0"/>
        <w:rPr>
          <w:rFonts w:ascii="宋体" w:hAnsi="宋体" w:cs="宋体"/>
          <w:b/>
          <w:sz w:val="24"/>
          <w:highlight w:val="none"/>
        </w:rPr>
      </w:pPr>
      <w:bookmarkStart w:id="507" w:name="_Toc7102"/>
      <w:bookmarkStart w:id="508" w:name="_Toc279701258"/>
      <w:bookmarkStart w:id="509" w:name="_Toc8298"/>
      <w:bookmarkStart w:id="510" w:name="_Toc16959"/>
      <w:bookmarkStart w:id="511" w:name="_Toc259093687"/>
      <w:bookmarkStart w:id="512" w:name="_Toc487900368"/>
      <w:r>
        <w:rPr>
          <w:rFonts w:hint="eastAsia" w:ascii="宋体" w:hAnsi="宋体" w:cs="宋体"/>
          <w:b/>
          <w:sz w:val="24"/>
          <w:highlight w:val="none"/>
        </w:rPr>
        <w:t>2.14乙方破产</w:t>
      </w:r>
      <w:bookmarkEnd w:id="507"/>
      <w:bookmarkEnd w:id="508"/>
      <w:bookmarkEnd w:id="509"/>
      <w:bookmarkEnd w:id="510"/>
      <w:bookmarkEnd w:id="511"/>
      <w:bookmarkEnd w:id="512"/>
    </w:p>
    <w:p w14:paraId="10102616">
      <w:pPr>
        <w:spacing w:line="560" w:lineRule="exact"/>
        <w:ind w:firstLine="480" w:firstLineChars="200"/>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F29B135">
      <w:pPr>
        <w:spacing w:line="560" w:lineRule="exact"/>
        <w:ind w:firstLine="482" w:firstLineChars="200"/>
        <w:outlineLvl w:val="0"/>
        <w:rPr>
          <w:rFonts w:ascii="宋体" w:hAnsi="宋体" w:cs="宋体"/>
          <w:b/>
          <w:sz w:val="24"/>
          <w:highlight w:val="none"/>
        </w:rPr>
      </w:pPr>
      <w:bookmarkStart w:id="513" w:name="_Toc6134"/>
      <w:bookmarkStart w:id="514" w:name="_Toc15387"/>
      <w:bookmarkStart w:id="515" w:name="_Toc29333"/>
      <w:r>
        <w:rPr>
          <w:rFonts w:hint="eastAsia" w:ascii="宋体" w:hAnsi="宋体" w:cs="宋体"/>
          <w:b/>
          <w:sz w:val="24"/>
          <w:highlight w:val="none"/>
        </w:rPr>
        <w:t>2.15 合同中止、终止</w:t>
      </w:r>
      <w:bookmarkEnd w:id="513"/>
      <w:bookmarkEnd w:id="514"/>
      <w:bookmarkEnd w:id="515"/>
    </w:p>
    <w:p w14:paraId="54FFD99A">
      <w:pPr>
        <w:spacing w:line="560" w:lineRule="exact"/>
        <w:ind w:firstLine="480" w:firstLineChars="200"/>
        <w:rPr>
          <w:rFonts w:ascii="宋体" w:hAnsi="宋体" w:cs="宋体"/>
          <w:sz w:val="24"/>
          <w:highlight w:val="none"/>
        </w:rPr>
      </w:pPr>
      <w:r>
        <w:rPr>
          <w:rFonts w:hint="eastAsia" w:ascii="宋体" w:hAnsi="宋体" w:cs="宋体"/>
          <w:sz w:val="24"/>
          <w:highlight w:val="none"/>
        </w:rPr>
        <w:t>2.15.1 双方当事人不得擅自中止或者终止合同；</w:t>
      </w:r>
    </w:p>
    <w:p w14:paraId="73D0BFA2">
      <w:pPr>
        <w:spacing w:line="560" w:lineRule="exact"/>
        <w:ind w:firstLine="480" w:firstLineChars="200"/>
        <w:rPr>
          <w:rFonts w:ascii="宋体" w:hAnsi="宋体" w:cs="宋体"/>
          <w:sz w:val="24"/>
          <w:highlight w:val="none"/>
        </w:rPr>
      </w:pPr>
      <w:r>
        <w:rPr>
          <w:rFonts w:hint="eastAsia" w:ascii="宋体" w:hAnsi="宋体" w:cs="宋体"/>
          <w:sz w:val="24"/>
          <w:highlight w:val="none"/>
        </w:rPr>
        <w:t>2.15.2合同继续履行将损害国家利益和社会公共利益的，双方当事人应当中止或者终止合同。有过错的一方应当承担赔偿责任，双方当事人都有过错的，各自承担相应的责任。</w:t>
      </w:r>
    </w:p>
    <w:p w14:paraId="6002D3F3">
      <w:pPr>
        <w:spacing w:line="560" w:lineRule="exact"/>
        <w:ind w:firstLine="482" w:firstLineChars="200"/>
        <w:outlineLvl w:val="0"/>
        <w:rPr>
          <w:rFonts w:ascii="宋体" w:hAnsi="宋体" w:cs="宋体"/>
          <w:b/>
          <w:sz w:val="24"/>
          <w:highlight w:val="none"/>
        </w:rPr>
      </w:pPr>
      <w:bookmarkStart w:id="516" w:name="_Toc1125"/>
      <w:bookmarkStart w:id="517" w:name="_Toc14563"/>
      <w:bookmarkStart w:id="518" w:name="_Toc6596"/>
      <w:r>
        <w:rPr>
          <w:rFonts w:hint="eastAsia" w:ascii="宋体" w:hAnsi="宋体" w:cs="宋体"/>
          <w:b/>
          <w:sz w:val="24"/>
          <w:highlight w:val="none"/>
        </w:rPr>
        <w:t>2.16检验和验收</w:t>
      </w:r>
      <w:bookmarkEnd w:id="516"/>
      <w:bookmarkEnd w:id="517"/>
      <w:bookmarkEnd w:id="518"/>
    </w:p>
    <w:p w14:paraId="4DB258FD">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sz w:val="24"/>
          <w:highlight w:val="none"/>
          <w:u w:val="single"/>
        </w:rPr>
        <w:t>合同专用条款</w:t>
      </w:r>
      <w:r>
        <w:rPr>
          <w:rFonts w:hint="eastAsia" w:ascii="宋体" w:hAnsi="宋体" w:cs="宋体"/>
          <w:sz w:val="24"/>
          <w:highlight w:val="none"/>
        </w:rPr>
        <w:t>约定时间内组织验收，并可依法邀请相关方参加，验收应出具验收书。</w:t>
      </w:r>
    </w:p>
    <w:p w14:paraId="7D3D05DE">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10770EB">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bookmarkEnd w:id="488"/>
    <w:bookmarkEnd w:id="489"/>
    <w:bookmarkEnd w:id="490"/>
    <w:bookmarkEnd w:id="491"/>
    <w:p w14:paraId="5F74A9CB">
      <w:pPr>
        <w:spacing w:line="560" w:lineRule="exact"/>
        <w:ind w:firstLine="482" w:firstLineChars="200"/>
        <w:outlineLvl w:val="0"/>
        <w:rPr>
          <w:rFonts w:ascii="宋体" w:hAnsi="宋体" w:cs="宋体"/>
          <w:b/>
          <w:sz w:val="24"/>
          <w:highlight w:val="none"/>
        </w:rPr>
      </w:pPr>
      <w:bookmarkStart w:id="519" w:name="_Toc279701261"/>
      <w:bookmarkStart w:id="520" w:name="_Toc487900371"/>
      <w:bookmarkStart w:id="521" w:name="_Toc259093690"/>
      <w:bookmarkStart w:id="522" w:name="_Toc19604"/>
      <w:bookmarkStart w:id="523" w:name="_Toc11284"/>
      <w:bookmarkStart w:id="524" w:name="_Toc25182"/>
      <w:r>
        <w:rPr>
          <w:rFonts w:hint="eastAsia" w:ascii="宋体" w:hAnsi="宋体" w:cs="宋体"/>
          <w:b/>
          <w:sz w:val="24"/>
          <w:highlight w:val="none"/>
        </w:rPr>
        <w:t>2.17 通知</w:t>
      </w:r>
      <w:bookmarkEnd w:id="519"/>
      <w:bookmarkEnd w:id="520"/>
      <w:bookmarkEnd w:id="521"/>
      <w:r>
        <w:rPr>
          <w:rFonts w:hint="eastAsia" w:ascii="宋体" w:hAnsi="宋体" w:cs="宋体"/>
          <w:b/>
          <w:sz w:val="24"/>
          <w:highlight w:val="none"/>
        </w:rPr>
        <w:t>和送达</w:t>
      </w:r>
      <w:bookmarkEnd w:id="522"/>
      <w:bookmarkEnd w:id="523"/>
      <w:bookmarkEnd w:id="524"/>
    </w:p>
    <w:p w14:paraId="2B5A1F29">
      <w:pPr>
        <w:spacing w:line="560" w:lineRule="exact"/>
        <w:ind w:firstLine="480" w:firstLineChars="200"/>
        <w:rPr>
          <w:rFonts w:ascii="宋体" w:hAnsi="宋体" w:cs="宋体"/>
          <w:sz w:val="24"/>
          <w:highlight w:val="none"/>
        </w:rPr>
      </w:pPr>
      <w:bookmarkStart w:id="525" w:name="_Toc6698"/>
      <w:bookmarkStart w:id="526" w:name="_Toc3135"/>
      <w:bookmarkStart w:id="527" w:name="_Toc279701262"/>
      <w:bookmarkStart w:id="528" w:name="_Toc487900372"/>
      <w:bookmarkStart w:id="529" w:name="_Toc259093691"/>
      <w:r>
        <w:rPr>
          <w:rFonts w:hint="eastAsia" w:ascii="宋体" w:hAnsi="宋体" w:cs="宋体"/>
          <w:sz w:val="24"/>
          <w:highlight w:val="none"/>
        </w:rPr>
        <w:t xml:space="preserve">2.17.1任何一方因履行合同而以合同第一部分尾部所列明的传真或电子邮件 </w:t>
      </w:r>
      <w:r>
        <w:rPr>
          <w:rFonts w:hint="eastAsia" w:ascii="宋体" w:hAnsi="宋体" w:cs="宋体"/>
          <w:sz w:val="24"/>
          <w:highlight w:val="none"/>
          <w:u w:val="single"/>
        </w:rPr>
        <w:t xml:space="preserve">       </w:t>
      </w:r>
      <w:r>
        <w:rPr>
          <w:rFonts w:hint="eastAsia" w:ascii="宋体" w:hAnsi="宋体" w:cs="宋体"/>
          <w:sz w:val="24"/>
          <w:highlight w:val="none"/>
        </w:rPr>
        <w:t>发出的所有通知、文件、材料，均视为已向对方当事人送达；任何一方变更上述送达方式或者地址的，应于</w:t>
      </w:r>
      <w:r>
        <w:rPr>
          <w:rFonts w:hint="eastAsia" w:ascii="宋体" w:hAnsi="宋体" w:cs="宋体"/>
          <w:sz w:val="24"/>
          <w:highlight w:val="none"/>
          <w:u w:val="single"/>
        </w:rPr>
        <w:t>3</w:t>
      </w:r>
      <w:r>
        <w:rPr>
          <w:rFonts w:hint="eastAsia" w:ascii="宋体" w:hAnsi="宋体" w:cs="宋体"/>
          <w:sz w:val="24"/>
          <w:highlight w:val="none"/>
        </w:rPr>
        <w:t>个工作日内书面通知对方当事人，在对方当事人收到有关变更通知之前，变更前的约定送达方式或者地址仍视为有效。</w:t>
      </w:r>
      <w:bookmarkEnd w:id="525"/>
      <w:bookmarkEnd w:id="526"/>
    </w:p>
    <w:p w14:paraId="2C79677D">
      <w:pPr>
        <w:spacing w:line="560" w:lineRule="exact"/>
        <w:ind w:firstLine="480" w:firstLineChars="200"/>
        <w:rPr>
          <w:rFonts w:ascii="宋体" w:hAnsi="宋体" w:cs="宋体"/>
          <w:sz w:val="24"/>
          <w:highlight w:val="none"/>
        </w:rPr>
      </w:pPr>
      <w:bookmarkStart w:id="530" w:name="_Toc23128"/>
      <w:bookmarkStart w:id="531" w:name="_Toc23294"/>
      <w:r>
        <w:rPr>
          <w:rFonts w:hint="eastAsia" w:ascii="宋体" w:hAnsi="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6F9AA6FA">
      <w:pPr>
        <w:spacing w:line="560" w:lineRule="exact"/>
        <w:ind w:firstLine="482" w:firstLineChars="200"/>
        <w:outlineLvl w:val="0"/>
        <w:rPr>
          <w:rFonts w:ascii="宋体" w:hAnsi="宋体" w:cs="宋体"/>
          <w:b/>
          <w:sz w:val="24"/>
          <w:highlight w:val="none"/>
        </w:rPr>
      </w:pPr>
      <w:bookmarkStart w:id="532" w:name="_Toc30599"/>
      <w:bookmarkStart w:id="533" w:name="_Toc4355"/>
      <w:bookmarkStart w:id="534" w:name="_Toc18540"/>
      <w:r>
        <w:rPr>
          <w:rFonts w:hint="eastAsia" w:ascii="宋体" w:hAnsi="宋体" w:cs="宋体"/>
          <w:b/>
          <w:sz w:val="24"/>
          <w:highlight w:val="none"/>
        </w:rPr>
        <w:t>2.18 计量单位</w:t>
      </w:r>
      <w:bookmarkEnd w:id="527"/>
      <w:bookmarkEnd w:id="528"/>
      <w:bookmarkEnd w:id="529"/>
      <w:bookmarkEnd w:id="532"/>
      <w:bookmarkEnd w:id="533"/>
      <w:bookmarkEnd w:id="534"/>
    </w:p>
    <w:p w14:paraId="58EA1244">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5D9BCA88">
      <w:pPr>
        <w:spacing w:line="560" w:lineRule="exact"/>
        <w:ind w:firstLine="482" w:firstLineChars="200"/>
        <w:outlineLvl w:val="0"/>
        <w:rPr>
          <w:rFonts w:ascii="宋体" w:hAnsi="宋体" w:cs="宋体"/>
          <w:b/>
          <w:sz w:val="24"/>
          <w:highlight w:val="none"/>
        </w:rPr>
      </w:pPr>
      <w:bookmarkStart w:id="535" w:name="_Toc12773"/>
      <w:bookmarkStart w:id="536" w:name="_Toc18567"/>
      <w:bookmarkStart w:id="537" w:name="_Toc10330"/>
      <w:bookmarkStart w:id="538" w:name="_Toc259093692"/>
      <w:bookmarkStart w:id="539" w:name="_Toc279701263"/>
      <w:bookmarkStart w:id="540" w:name="_Toc487900373"/>
      <w:r>
        <w:rPr>
          <w:rFonts w:hint="eastAsia" w:ascii="宋体" w:hAnsi="宋体" w:cs="宋体"/>
          <w:b/>
          <w:sz w:val="24"/>
          <w:highlight w:val="none"/>
        </w:rPr>
        <w:t>2.19 合同使用的文字和适用的法律</w:t>
      </w:r>
      <w:bookmarkEnd w:id="535"/>
      <w:bookmarkEnd w:id="536"/>
      <w:bookmarkEnd w:id="537"/>
      <w:bookmarkEnd w:id="538"/>
      <w:bookmarkEnd w:id="539"/>
      <w:bookmarkEnd w:id="540"/>
    </w:p>
    <w:p w14:paraId="12180C54">
      <w:pPr>
        <w:spacing w:line="560" w:lineRule="exact"/>
        <w:ind w:firstLine="480" w:firstLineChars="200"/>
        <w:rPr>
          <w:rFonts w:ascii="宋体" w:hAnsi="宋体" w:cs="宋体"/>
          <w:sz w:val="24"/>
          <w:highlight w:val="none"/>
        </w:rPr>
      </w:pPr>
      <w:r>
        <w:rPr>
          <w:rFonts w:hint="eastAsia" w:ascii="宋体" w:hAnsi="宋体" w:cs="宋体"/>
          <w:sz w:val="24"/>
          <w:highlight w:val="none"/>
        </w:rPr>
        <w:t>2.19.1 合同使用汉语书就、变更和解释；</w:t>
      </w:r>
    </w:p>
    <w:p w14:paraId="6D40B0EC">
      <w:pPr>
        <w:spacing w:line="560" w:lineRule="exact"/>
        <w:ind w:firstLine="480" w:firstLineChars="200"/>
        <w:rPr>
          <w:rFonts w:ascii="宋体" w:hAnsi="宋体" w:cs="宋体"/>
          <w:sz w:val="24"/>
          <w:highlight w:val="none"/>
        </w:rPr>
      </w:pPr>
      <w:r>
        <w:rPr>
          <w:rFonts w:hint="eastAsia" w:ascii="宋体" w:hAnsi="宋体" w:cs="宋体"/>
          <w:sz w:val="24"/>
          <w:highlight w:val="none"/>
        </w:rPr>
        <w:t>2.19.2 合同适用中华人民共和国法律。</w:t>
      </w:r>
    </w:p>
    <w:p w14:paraId="59898FEE">
      <w:pPr>
        <w:spacing w:line="560" w:lineRule="exact"/>
        <w:ind w:firstLine="482" w:firstLineChars="200"/>
        <w:outlineLvl w:val="0"/>
        <w:rPr>
          <w:rFonts w:ascii="宋体" w:hAnsi="宋体" w:cs="宋体"/>
          <w:b/>
          <w:sz w:val="24"/>
          <w:highlight w:val="none"/>
        </w:rPr>
      </w:pPr>
      <w:bookmarkStart w:id="541" w:name="_Toc19890"/>
      <w:bookmarkStart w:id="542" w:name="_Toc14001"/>
      <w:bookmarkStart w:id="543" w:name="_Toc6885"/>
      <w:r>
        <w:rPr>
          <w:rFonts w:hint="eastAsia" w:ascii="宋体" w:hAnsi="宋体" w:cs="宋体"/>
          <w:b/>
          <w:sz w:val="24"/>
          <w:highlight w:val="none"/>
        </w:rPr>
        <w:t>2.20 合同份数</w:t>
      </w:r>
      <w:bookmarkEnd w:id="541"/>
      <w:bookmarkEnd w:id="542"/>
      <w:bookmarkEnd w:id="543"/>
    </w:p>
    <w:p w14:paraId="11CC260D">
      <w:pPr>
        <w:spacing w:line="560" w:lineRule="exact"/>
        <w:ind w:firstLine="480" w:firstLineChars="200"/>
        <w:rPr>
          <w:rFonts w:hint="eastAsia" w:ascii="宋体" w:hAnsi="宋体" w:eastAsia="宋体" w:cs="宋体"/>
          <w:sz w:val="24"/>
          <w:highlight w:val="none"/>
        </w:rPr>
      </w:pPr>
      <w:r>
        <w:rPr>
          <w:rFonts w:hint="eastAsia" w:ascii="宋体" w:hAnsi="宋体" w:cs="宋体"/>
          <w:sz w:val="24"/>
          <w:highlight w:val="none"/>
        </w:rPr>
        <w:t>合同份数按</w:t>
      </w:r>
      <w:r>
        <w:rPr>
          <w:rFonts w:hint="eastAsia" w:ascii="宋体" w:hAnsi="宋体" w:cs="宋体"/>
          <w:b/>
          <w:i/>
          <w:sz w:val="24"/>
          <w:highlight w:val="none"/>
          <w:u w:val="single"/>
        </w:rPr>
        <w:t>合同专用条款</w:t>
      </w:r>
      <w:r>
        <w:rPr>
          <w:rFonts w:hint="eastAsia" w:ascii="宋体" w:hAnsi="宋体" w:cs="宋体"/>
          <w:sz w:val="24"/>
          <w:highlight w:val="none"/>
        </w:rPr>
        <w:t>规定，每份均具有同等法律效力。</w:t>
      </w:r>
    </w:p>
    <w:p w14:paraId="564AA2F4">
      <w:pPr>
        <w:spacing w:line="360" w:lineRule="auto"/>
        <w:jc w:val="center"/>
        <w:outlineLvl w:val="0"/>
        <w:rPr>
          <w:rFonts w:hint="eastAsia" w:ascii="宋体" w:hAnsi="宋体" w:eastAsia="宋体" w:cs="宋体"/>
          <w:b/>
          <w:sz w:val="24"/>
          <w:highlight w:val="none"/>
        </w:rPr>
      </w:pPr>
      <w:r>
        <w:rPr>
          <w:rFonts w:hint="eastAsia" w:ascii="宋体" w:hAnsi="宋体" w:eastAsia="宋体" w:cs="宋体"/>
          <w:kern w:val="0"/>
          <w:highlight w:val="none"/>
        </w:rPr>
        <w:br w:type="page"/>
      </w:r>
      <w:bookmarkStart w:id="544" w:name="_Toc331685784"/>
      <w:r>
        <w:rPr>
          <w:rFonts w:hint="eastAsia" w:ascii="宋体" w:hAnsi="宋体" w:eastAsia="宋体" w:cs="宋体"/>
          <w:b/>
          <w:sz w:val="24"/>
          <w:highlight w:val="none"/>
        </w:rPr>
        <w:t xml:space="preserve"> </w:t>
      </w:r>
      <w:bookmarkEnd w:id="544"/>
      <w:r>
        <w:rPr>
          <w:rFonts w:hint="eastAsia" w:ascii="宋体" w:hAnsi="宋体" w:eastAsia="宋体" w:cs="宋体"/>
          <w:b/>
          <w:sz w:val="24"/>
          <w:highlight w:val="none"/>
        </w:rPr>
        <w:t>第三部分  合同专用条款</w:t>
      </w:r>
    </w:p>
    <w:p w14:paraId="59AEAF9B">
      <w:pPr>
        <w:spacing w:line="560" w:lineRule="exact"/>
        <w:ind w:left="-420" w:leftChars="-200" w:right="-420" w:rightChars="-200" w:firstLine="480" w:firstLineChars="200"/>
        <w:rPr>
          <w:rFonts w:hint="eastAsia" w:ascii="宋体" w:hAnsi="宋体" w:eastAsia="宋体" w:cs="宋体"/>
          <w:highlight w:val="none"/>
        </w:rPr>
      </w:pPr>
      <w:r>
        <w:rPr>
          <w:rFonts w:hint="eastAsia" w:ascii="宋体" w:hAnsi="宋体" w:eastAsia="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D25F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977" w:type="dxa"/>
            <w:tcBorders>
              <w:left w:val="single" w:color="auto" w:sz="4" w:space="0"/>
            </w:tcBorders>
            <w:vAlign w:val="center"/>
          </w:tcPr>
          <w:p w14:paraId="35D941A1">
            <w:pPr>
              <w:jc w:val="center"/>
              <w:rPr>
                <w:rFonts w:hint="eastAsia"/>
                <w:b/>
                <w:bCs/>
                <w:highlight w:val="none"/>
              </w:rPr>
            </w:pPr>
            <w:r>
              <w:rPr>
                <w:rFonts w:hint="eastAsia"/>
                <w:b/>
                <w:bCs/>
                <w:highlight w:val="none"/>
              </w:rPr>
              <w:t>条款号</w:t>
            </w:r>
          </w:p>
        </w:tc>
        <w:tc>
          <w:tcPr>
            <w:tcW w:w="8149" w:type="dxa"/>
            <w:vAlign w:val="center"/>
          </w:tcPr>
          <w:p w14:paraId="360E66C6">
            <w:pPr>
              <w:jc w:val="center"/>
              <w:rPr>
                <w:rFonts w:hint="eastAsia"/>
                <w:b/>
                <w:bCs/>
                <w:highlight w:val="none"/>
              </w:rPr>
            </w:pPr>
            <w:r>
              <w:rPr>
                <w:rFonts w:hint="eastAsia"/>
                <w:b/>
                <w:bCs/>
                <w:highlight w:val="none"/>
              </w:rPr>
              <w:t>约定内容</w:t>
            </w:r>
          </w:p>
        </w:tc>
      </w:tr>
      <w:tr w14:paraId="2329A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EDA87D1">
            <w:pPr>
              <w:spacing w:line="360" w:lineRule="auto"/>
              <w:rPr>
                <w:rFonts w:hint="eastAsia" w:ascii="宋体" w:hAnsi="宋体" w:eastAsia="宋体" w:cs="宋体"/>
                <w:sz w:val="24"/>
                <w:highlight w:val="none"/>
              </w:rPr>
            </w:pPr>
            <w:r>
              <w:rPr>
                <w:rFonts w:hint="eastAsia" w:ascii="宋体" w:hAnsi="宋体" w:eastAsia="宋体" w:cs="宋体"/>
                <w:sz w:val="24"/>
                <w:highlight w:val="none"/>
              </w:rPr>
              <w:t>1.3.2</w:t>
            </w:r>
          </w:p>
        </w:tc>
        <w:tc>
          <w:tcPr>
            <w:tcW w:w="8149" w:type="dxa"/>
            <w:vAlign w:val="center"/>
          </w:tcPr>
          <w:p w14:paraId="4DD5A632">
            <w:pPr>
              <w:spacing w:line="360" w:lineRule="auto"/>
              <w:rPr>
                <w:rFonts w:hint="eastAsia" w:ascii="宋体" w:hAnsi="宋体" w:eastAsia="宋体" w:cs="宋体"/>
                <w:sz w:val="24"/>
                <w:highlight w:val="none"/>
              </w:rPr>
            </w:pPr>
          </w:p>
        </w:tc>
      </w:tr>
      <w:tr w14:paraId="61D2D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727A9BE">
            <w:pPr>
              <w:spacing w:line="360" w:lineRule="auto"/>
              <w:rPr>
                <w:rFonts w:hint="eastAsia" w:ascii="宋体" w:hAnsi="宋体" w:eastAsia="宋体" w:cs="宋体"/>
                <w:sz w:val="24"/>
                <w:highlight w:val="none"/>
              </w:rPr>
            </w:pPr>
            <w:r>
              <w:rPr>
                <w:rFonts w:hint="eastAsia" w:ascii="宋体" w:hAnsi="宋体" w:eastAsia="宋体" w:cs="宋体"/>
                <w:sz w:val="24"/>
                <w:highlight w:val="none"/>
              </w:rPr>
              <w:t>1.4.2</w:t>
            </w:r>
          </w:p>
        </w:tc>
        <w:tc>
          <w:tcPr>
            <w:tcW w:w="8149" w:type="dxa"/>
            <w:vAlign w:val="center"/>
          </w:tcPr>
          <w:p w14:paraId="2C83D5E3">
            <w:pPr>
              <w:spacing w:line="360" w:lineRule="auto"/>
              <w:rPr>
                <w:rFonts w:hint="eastAsia" w:ascii="宋体" w:hAnsi="宋体" w:eastAsia="宋体" w:cs="宋体"/>
                <w:sz w:val="24"/>
                <w:highlight w:val="none"/>
              </w:rPr>
            </w:pPr>
          </w:p>
        </w:tc>
      </w:tr>
      <w:tr w14:paraId="3EB2C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C0AA735">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1.5.1 </w:t>
            </w:r>
          </w:p>
        </w:tc>
        <w:tc>
          <w:tcPr>
            <w:tcW w:w="8149" w:type="dxa"/>
            <w:vAlign w:val="center"/>
          </w:tcPr>
          <w:p w14:paraId="40272557">
            <w:pPr>
              <w:spacing w:line="360" w:lineRule="auto"/>
              <w:rPr>
                <w:rFonts w:hint="eastAsia" w:ascii="宋体" w:hAnsi="宋体" w:eastAsia="宋体" w:cs="宋体"/>
                <w:sz w:val="24"/>
                <w:highlight w:val="none"/>
              </w:rPr>
            </w:pPr>
          </w:p>
        </w:tc>
      </w:tr>
      <w:tr w14:paraId="46F4A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571B208">
            <w:pPr>
              <w:spacing w:line="360" w:lineRule="auto"/>
              <w:rPr>
                <w:rFonts w:hint="eastAsia" w:ascii="宋体" w:hAnsi="宋体" w:eastAsia="宋体" w:cs="宋体"/>
                <w:sz w:val="24"/>
                <w:highlight w:val="none"/>
              </w:rPr>
            </w:pPr>
            <w:r>
              <w:rPr>
                <w:rFonts w:hint="eastAsia" w:ascii="宋体" w:hAnsi="宋体" w:eastAsia="宋体" w:cs="宋体"/>
                <w:sz w:val="24"/>
                <w:highlight w:val="none"/>
              </w:rPr>
              <w:t>1.5.2</w:t>
            </w:r>
          </w:p>
        </w:tc>
        <w:tc>
          <w:tcPr>
            <w:tcW w:w="8149" w:type="dxa"/>
            <w:vAlign w:val="center"/>
          </w:tcPr>
          <w:p w14:paraId="6721189D">
            <w:pPr>
              <w:spacing w:line="360" w:lineRule="auto"/>
              <w:rPr>
                <w:rFonts w:hint="eastAsia" w:ascii="宋体" w:hAnsi="宋体" w:eastAsia="宋体" w:cs="宋体"/>
                <w:sz w:val="24"/>
                <w:highlight w:val="none"/>
              </w:rPr>
            </w:pPr>
          </w:p>
        </w:tc>
      </w:tr>
      <w:tr w14:paraId="4C2F3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1055456">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1.5.3 </w:t>
            </w:r>
          </w:p>
        </w:tc>
        <w:tc>
          <w:tcPr>
            <w:tcW w:w="8149" w:type="dxa"/>
            <w:vAlign w:val="center"/>
          </w:tcPr>
          <w:p w14:paraId="1F18BF44">
            <w:pPr>
              <w:spacing w:line="360" w:lineRule="auto"/>
              <w:rPr>
                <w:rFonts w:hint="eastAsia" w:ascii="宋体" w:hAnsi="宋体" w:eastAsia="宋体" w:cs="宋体"/>
                <w:sz w:val="24"/>
                <w:highlight w:val="none"/>
              </w:rPr>
            </w:pPr>
          </w:p>
        </w:tc>
      </w:tr>
      <w:tr w14:paraId="12BE8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113D257">
            <w:pPr>
              <w:spacing w:line="360" w:lineRule="auto"/>
              <w:rPr>
                <w:rFonts w:hint="eastAsia" w:ascii="宋体" w:hAnsi="宋体" w:eastAsia="宋体" w:cs="宋体"/>
                <w:sz w:val="24"/>
                <w:highlight w:val="none"/>
              </w:rPr>
            </w:pPr>
            <w:r>
              <w:rPr>
                <w:rFonts w:hint="eastAsia" w:ascii="宋体" w:hAnsi="宋体" w:eastAsia="宋体" w:cs="宋体"/>
                <w:sz w:val="24"/>
                <w:highlight w:val="none"/>
              </w:rPr>
              <w:t>1.6.2</w:t>
            </w:r>
          </w:p>
        </w:tc>
        <w:tc>
          <w:tcPr>
            <w:tcW w:w="8149" w:type="dxa"/>
            <w:vAlign w:val="center"/>
          </w:tcPr>
          <w:p w14:paraId="1295B20A">
            <w:pPr>
              <w:spacing w:line="360" w:lineRule="auto"/>
              <w:rPr>
                <w:rFonts w:hint="eastAsia" w:ascii="宋体" w:hAnsi="宋体" w:eastAsia="宋体" w:cs="宋体"/>
                <w:sz w:val="24"/>
                <w:highlight w:val="none"/>
              </w:rPr>
            </w:pPr>
          </w:p>
        </w:tc>
      </w:tr>
      <w:tr w14:paraId="11511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6668AA2">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1.7.1</w:t>
            </w:r>
          </w:p>
        </w:tc>
        <w:tc>
          <w:tcPr>
            <w:tcW w:w="8149" w:type="dxa"/>
            <w:vAlign w:val="center"/>
          </w:tcPr>
          <w:p w14:paraId="6AF823D9">
            <w:pPr>
              <w:spacing w:line="360" w:lineRule="auto"/>
              <w:rPr>
                <w:rFonts w:hint="eastAsia" w:ascii="宋体" w:hAnsi="宋体" w:eastAsia="宋体" w:cs="宋体"/>
                <w:sz w:val="24"/>
                <w:highlight w:val="none"/>
              </w:rPr>
            </w:pPr>
          </w:p>
        </w:tc>
      </w:tr>
      <w:tr w14:paraId="1CF1F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1DBE1F1">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1.7.2</w:t>
            </w:r>
          </w:p>
        </w:tc>
        <w:tc>
          <w:tcPr>
            <w:tcW w:w="8149" w:type="dxa"/>
            <w:vAlign w:val="center"/>
          </w:tcPr>
          <w:p w14:paraId="347A74FE">
            <w:pPr>
              <w:spacing w:line="360" w:lineRule="auto"/>
              <w:rPr>
                <w:rFonts w:hint="eastAsia" w:ascii="宋体" w:hAnsi="宋体" w:eastAsia="宋体" w:cs="宋体"/>
                <w:sz w:val="24"/>
                <w:highlight w:val="none"/>
              </w:rPr>
            </w:pPr>
          </w:p>
        </w:tc>
      </w:tr>
      <w:tr w14:paraId="07021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0B1A97A">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1.7.3</w:t>
            </w:r>
          </w:p>
        </w:tc>
        <w:tc>
          <w:tcPr>
            <w:tcW w:w="8149" w:type="dxa"/>
            <w:vAlign w:val="center"/>
          </w:tcPr>
          <w:p w14:paraId="5FC8B5B9">
            <w:pPr>
              <w:spacing w:line="360" w:lineRule="auto"/>
              <w:rPr>
                <w:rFonts w:hint="eastAsia" w:ascii="宋体" w:hAnsi="宋体" w:eastAsia="宋体" w:cs="宋体"/>
                <w:sz w:val="24"/>
                <w:highlight w:val="none"/>
              </w:rPr>
            </w:pPr>
          </w:p>
        </w:tc>
      </w:tr>
      <w:tr w14:paraId="737EC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72EAA38">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1.7.4.1</w:t>
            </w:r>
          </w:p>
        </w:tc>
        <w:tc>
          <w:tcPr>
            <w:tcW w:w="8149" w:type="dxa"/>
            <w:vAlign w:val="center"/>
          </w:tcPr>
          <w:p w14:paraId="46AC3494">
            <w:pPr>
              <w:spacing w:line="360" w:lineRule="auto"/>
              <w:rPr>
                <w:rFonts w:hint="eastAsia" w:ascii="宋体" w:hAnsi="宋体" w:eastAsia="宋体" w:cs="宋体"/>
                <w:sz w:val="24"/>
                <w:highlight w:val="none"/>
              </w:rPr>
            </w:pPr>
          </w:p>
        </w:tc>
      </w:tr>
      <w:tr w14:paraId="4F2E6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E69AC37">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1.7.4.2</w:t>
            </w:r>
          </w:p>
        </w:tc>
        <w:tc>
          <w:tcPr>
            <w:tcW w:w="8149" w:type="dxa"/>
            <w:vAlign w:val="center"/>
          </w:tcPr>
          <w:p w14:paraId="5144E72D">
            <w:pPr>
              <w:spacing w:line="360" w:lineRule="auto"/>
              <w:rPr>
                <w:rFonts w:hint="eastAsia" w:ascii="宋体" w:hAnsi="宋体" w:eastAsia="宋体" w:cs="宋体"/>
                <w:sz w:val="24"/>
                <w:highlight w:val="none"/>
              </w:rPr>
            </w:pPr>
          </w:p>
        </w:tc>
      </w:tr>
      <w:tr w14:paraId="074E4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2484E0A">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1.7.4.3</w:t>
            </w:r>
          </w:p>
        </w:tc>
        <w:tc>
          <w:tcPr>
            <w:tcW w:w="8149" w:type="dxa"/>
            <w:vAlign w:val="center"/>
          </w:tcPr>
          <w:p w14:paraId="75B73AB2">
            <w:pPr>
              <w:spacing w:line="360" w:lineRule="auto"/>
              <w:rPr>
                <w:rFonts w:hint="eastAsia" w:ascii="宋体" w:hAnsi="宋体" w:eastAsia="宋体" w:cs="宋体"/>
                <w:sz w:val="24"/>
                <w:highlight w:val="none"/>
              </w:rPr>
            </w:pPr>
          </w:p>
        </w:tc>
      </w:tr>
      <w:tr w14:paraId="5514D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D93F7E9">
            <w:pPr>
              <w:spacing w:line="360" w:lineRule="auto"/>
              <w:rPr>
                <w:rFonts w:hint="eastAsia" w:ascii="宋体" w:hAnsi="宋体" w:eastAsia="宋体" w:cs="宋体"/>
                <w:sz w:val="24"/>
                <w:highlight w:val="none"/>
              </w:rPr>
            </w:pPr>
            <w:r>
              <w:rPr>
                <w:rFonts w:hint="eastAsia" w:ascii="宋体" w:hAnsi="宋体" w:eastAsia="宋体" w:cs="宋体"/>
                <w:sz w:val="24"/>
                <w:highlight w:val="none"/>
              </w:rPr>
              <w:t>1.8.7</w:t>
            </w:r>
          </w:p>
        </w:tc>
        <w:tc>
          <w:tcPr>
            <w:tcW w:w="8149" w:type="dxa"/>
            <w:vAlign w:val="center"/>
          </w:tcPr>
          <w:p w14:paraId="1FB6106F">
            <w:pPr>
              <w:spacing w:line="360" w:lineRule="auto"/>
              <w:rPr>
                <w:rFonts w:hint="eastAsia" w:ascii="宋体" w:hAnsi="宋体" w:eastAsia="宋体" w:cs="宋体"/>
                <w:sz w:val="24"/>
                <w:highlight w:val="none"/>
              </w:rPr>
            </w:pPr>
          </w:p>
        </w:tc>
      </w:tr>
      <w:tr w14:paraId="72ACF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5D19D97">
            <w:pPr>
              <w:spacing w:line="360" w:lineRule="auto"/>
              <w:rPr>
                <w:rFonts w:hint="eastAsia" w:ascii="宋体" w:hAnsi="宋体" w:eastAsia="宋体" w:cs="宋体"/>
                <w:sz w:val="24"/>
                <w:highlight w:val="none"/>
              </w:rPr>
            </w:pPr>
            <w:r>
              <w:rPr>
                <w:rFonts w:hint="eastAsia" w:ascii="宋体" w:hAnsi="宋体" w:eastAsia="宋体" w:cs="宋体"/>
                <w:sz w:val="24"/>
                <w:highlight w:val="none"/>
              </w:rPr>
              <w:t>1.9.1</w:t>
            </w:r>
          </w:p>
        </w:tc>
        <w:tc>
          <w:tcPr>
            <w:tcW w:w="8149" w:type="dxa"/>
            <w:vAlign w:val="center"/>
          </w:tcPr>
          <w:p w14:paraId="192B321B">
            <w:pPr>
              <w:spacing w:line="360" w:lineRule="auto"/>
              <w:rPr>
                <w:rFonts w:hint="eastAsia" w:ascii="宋体" w:hAnsi="宋体" w:eastAsia="宋体" w:cs="宋体"/>
                <w:sz w:val="24"/>
                <w:highlight w:val="none"/>
              </w:rPr>
            </w:pPr>
          </w:p>
        </w:tc>
      </w:tr>
      <w:tr w14:paraId="47F34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EFFEFE1">
            <w:pPr>
              <w:spacing w:line="360" w:lineRule="auto"/>
              <w:rPr>
                <w:rFonts w:hint="eastAsia" w:ascii="宋体" w:hAnsi="宋体" w:eastAsia="宋体" w:cs="宋体"/>
                <w:sz w:val="24"/>
                <w:highlight w:val="none"/>
              </w:rPr>
            </w:pPr>
            <w:r>
              <w:rPr>
                <w:rFonts w:hint="eastAsia" w:ascii="宋体" w:hAnsi="宋体" w:eastAsia="宋体" w:cs="宋体"/>
                <w:sz w:val="24"/>
                <w:highlight w:val="none"/>
              </w:rPr>
              <w:t>1.9.2</w:t>
            </w:r>
          </w:p>
        </w:tc>
        <w:tc>
          <w:tcPr>
            <w:tcW w:w="8149" w:type="dxa"/>
            <w:vAlign w:val="center"/>
          </w:tcPr>
          <w:p w14:paraId="3FB4B8A0">
            <w:pPr>
              <w:spacing w:line="360" w:lineRule="auto"/>
              <w:rPr>
                <w:rFonts w:hint="eastAsia" w:ascii="宋体" w:hAnsi="宋体" w:eastAsia="宋体" w:cs="宋体"/>
                <w:sz w:val="24"/>
                <w:highlight w:val="none"/>
              </w:rPr>
            </w:pPr>
          </w:p>
        </w:tc>
      </w:tr>
      <w:tr w14:paraId="3B568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985502C">
            <w:pPr>
              <w:spacing w:line="360" w:lineRule="auto"/>
              <w:rPr>
                <w:rFonts w:hint="eastAsia" w:ascii="宋体" w:hAnsi="宋体" w:eastAsia="宋体" w:cs="宋体"/>
                <w:sz w:val="24"/>
                <w:highlight w:val="none"/>
              </w:rPr>
            </w:pPr>
            <w:r>
              <w:rPr>
                <w:rFonts w:hint="eastAsia" w:ascii="宋体" w:hAnsi="宋体" w:eastAsia="宋体" w:cs="宋体"/>
                <w:sz w:val="24"/>
                <w:highlight w:val="none"/>
              </w:rPr>
              <w:t>2.3.2</w:t>
            </w:r>
          </w:p>
        </w:tc>
        <w:tc>
          <w:tcPr>
            <w:tcW w:w="8149" w:type="dxa"/>
            <w:vAlign w:val="center"/>
          </w:tcPr>
          <w:p w14:paraId="7AB29759">
            <w:pPr>
              <w:spacing w:line="360" w:lineRule="auto"/>
              <w:ind w:left="-420" w:leftChars="-200" w:right="-420" w:rightChars="-200" w:firstLine="480" w:firstLineChars="200"/>
              <w:rPr>
                <w:rFonts w:hint="eastAsia" w:ascii="宋体" w:hAnsi="宋体" w:eastAsia="宋体" w:cs="宋体"/>
                <w:sz w:val="24"/>
                <w:highlight w:val="none"/>
              </w:rPr>
            </w:pPr>
          </w:p>
        </w:tc>
      </w:tr>
      <w:tr w14:paraId="738DE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D88C5B8">
            <w:pPr>
              <w:spacing w:line="360" w:lineRule="auto"/>
              <w:rPr>
                <w:rFonts w:hint="eastAsia" w:ascii="宋体" w:hAnsi="宋体" w:eastAsia="宋体" w:cs="宋体"/>
                <w:sz w:val="24"/>
                <w:highlight w:val="none"/>
              </w:rPr>
            </w:pPr>
            <w:r>
              <w:rPr>
                <w:rFonts w:hint="eastAsia" w:ascii="宋体" w:hAnsi="宋体" w:eastAsia="宋体" w:cs="宋体"/>
                <w:sz w:val="24"/>
                <w:highlight w:val="none"/>
              </w:rPr>
              <w:t>2.5</w:t>
            </w:r>
          </w:p>
        </w:tc>
        <w:tc>
          <w:tcPr>
            <w:tcW w:w="8149" w:type="dxa"/>
            <w:vAlign w:val="center"/>
          </w:tcPr>
          <w:p w14:paraId="5BE27D2D">
            <w:pPr>
              <w:spacing w:line="360" w:lineRule="auto"/>
              <w:ind w:left="-420" w:leftChars="-200" w:right="-420" w:rightChars="-200" w:firstLine="480" w:firstLineChars="200"/>
              <w:rPr>
                <w:rFonts w:hint="eastAsia" w:ascii="宋体" w:hAnsi="宋体" w:eastAsia="宋体" w:cs="宋体"/>
                <w:sz w:val="24"/>
                <w:highlight w:val="none"/>
              </w:rPr>
            </w:pPr>
          </w:p>
        </w:tc>
      </w:tr>
      <w:tr w14:paraId="2C6C0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CC13AFE">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2.11.3</w:t>
            </w:r>
          </w:p>
        </w:tc>
        <w:tc>
          <w:tcPr>
            <w:tcW w:w="8149" w:type="dxa"/>
            <w:vAlign w:val="center"/>
          </w:tcPr>
          <w:p w14:paraId="5CD2FFD3">
            <w:pPr>
              <w:spacing w:line="360" w:lineRule="auto"/>
              <w:rPr>
                <w:rFonts w:hint="eastAsia" w:ascii="宋体" w:hAnsi="宋体" w:eastAsia="宋体" w:cs="宋体"/>
                <w:sz w:val="24"/>
                <w:highlight w:val="none"/>
              </w:rPr>
            </w:pPr>
          </w:p>
        </w:tc>
      </w:tr>
      <w:tr w14:paraId="72B90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top"/>
          </w:tcPr>
          <w:p w14:paraId="664E3DEA">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2.11.4 </w:t>
            </w:r>
          </w:p>
        </w:tc>
        <w:tc>
          <w:tcPr>
            <w:tcW w:w="8149" w:type="dxa"/>
            <w:vAlign w:val="top"/>
          </w:tcPr>
          <w:p w14:paraId="7AA47CBB">
            <w:pPr>
              <w:spacing w:line="360" w:lineRule="auto"/>
              <w:rPr>
                <w:rFonts w:hint="eastAsia" w:ascii="宋体" w:hAnsi="宋体" w:eastAsia="宋体" w:cs="宋体"/>
                <w:sz w:val="24"/>
                <w:highlight w:val="none"/>
              </w:rPr>
            </w:pPr>
          </w:p>
        </w:tc>
      </w:tr>
      <w:tr w14:paraId="0B77C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7424765">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2.15.1</w:t>
            </w:r>
          </w:p>
        </w:tc>
        <w:tc>
          <w:tcPr>
            <w:tcW w:w="8149" w:type="dxa"/>
            <w:vAlign w:val="center"/>
          </w:tcPr>
          <w:p w14:paraId="2C1AE835">
            <w:pPr>
              <w:spacing w:line="360" w:lineRule="auto"/>
              <w:rPr>
                <w:rFonts w:hint="eastAsia" w:ascii="宋体" w:hAnsi="宋体" w:eastAsia="宋体" w:cs="宋体"/>
                <w:sz w:val="24"/>
                <w:highlight w:val="none"/>
              </w:rPr>
            </w:pPr>
          </w:p>
        </w:tc>
      </w:tr>
      <w:tr w14:paraId="2B9E5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AE93642">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2.15.3</w:t>
            </w:r>
          </w:p>
        </w:tc>
        <w:tc>
          <w:tcPr>
            <w:tcW w:w="8149" w:type="dxa"/>
            <w:vAlign w:val="center"/>
          </w:tcPr>
          <w:p w14:paraId="3E309DEF">
            <w:pPr>
              <w:spacing w:line="360" w:lineRule="auto"/>
              <w:rPr>
                <w:rFonts w:hint="eastAsia" w:ascii="宋体" w:hAnsi="宋体" w:eastAsia="宋体" w:cs="宋体"/>
                <w:sz w:val="24"/>
                <w:highlight w:val="none"/>
              </w:rPr>
            </w:pPr>
          </w:p>
        </w:tc>
      </w:tr>
      <w:tr w14:paraId="2410B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77" w:type="dxa"/>
            <w:tcBorders>
              <w:left w:val="single" w:color="auto" w:sz="4" w:space="0"/>
            </w:tcBorders>
            <w:vAlign w:val="top"/>
          </w:tcPr>
          <w:p w14:paraId="39AFB07F">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2.19</w:t>
            </w:r>
          </w:p>
        </w:tc>
        <w:tc>
          <w:tcPr>
            <w:tcW w:w="8149" w:type="dxa"/>
            <w:vAlign w:val="top"/>
          </w:tcPr>
          <w:p w14:paraId="64F766D0">
            <w:pPr>
              <w:spacing w:line="360" w:lineRule="auto"/>
              <w:rPr>
                <w:rFonts w:hint="eastAsia" w:ascii="宋体" w:hAnsi="宋体" w:eastAsia="宋体" w:cs="宋体"/>
                <w:sz w:val="24"/>
                <w:highlight w:val="none"/>
              </w:rPr>
            </w:pPr>
          </w:p>
        </w:tc>
      </w:tr>
    </w:tbl>
    <w:p w14:paraId="2A19AD1C">
      <w:pPr>
        <w:spacing w:line="360" w:lineRule="auto"/>
        <w:ind w:left="-420" w:leftChars="-200" w:right="-420" w:rightChars="-200" w:firstLine="480" w:firstLineChars="200"/>
        <w:rPr>
          <w:rFonts w:hint="eastAsia" w:ascii="宋体" w:hAnsi="宋体" w:eastAsia="宋体" w:cs="宋体"/>
          <w:sz w:val="24"/>
          <w:highlight w:val="none"/>
        </w:rPr>
      </w:pPr>
    </w:p>
    <w:p w14:paraId="6557ECB8">
      <w:pPr>
        <w:spacing w:line="360" w:lineRule="auto"/>
        <w:ind w:left="-420" w:leftChars="-200" w:right="-420" w:rightChars="-200" w:firstLine="480" w:firstLineChars="200"/>
        <w:jc w:val="center"/>
        <w:outlineLvl w:val="0"/>
        <w:rPr>
          <w:rFonts w:hint="eastAsia" w:ascii="宋体" w:hAnsi="宋体" w:eastAsia="宋体" w:cs="宋体"/>
          <w:sz w:val="24"/>
          <w:highlight w:val="none"/>
        </w:rPr>
      </w:pPr>
    </w:p>
    <w:p w14:paraId="154E8B95">
      <w:pPr>
        <w:widowControl/>
        <w:adjustRightInd/>
        <w:jc w:val="center"/>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w:t>
      </w:r>
      <w:bookmarkEnd w:id="393"/>
      <w:r>
        <w:rPr>
          <w:rFonts w:hint="eastAsia" w:ascii="宋体" w:hAnsi="宋体" w:eastAsia="宋体" w:cs="宋体"/>
          <w:b/>
          <w:sz w:val="36"/>
          <w:szCs w:val="20"/>
          <w:highlight w:val="none"/>
        </w:rPr>
        <w:t xml:space="preserve"> </w:t>
      </w:r>
      <w:bookmarkEnd w:id="394"/>
      <w:r>
        <w:rPr>
          <w:rFonts w:hint="eastAsia" w:ascii="宋体" w:hAnsi="宋体" w:eastAsia="宋体" w:cs="宋体"/>
          <w:b/>
          <w:sz w:val="36"/>
          <w:szCs w:val="20"/>
          <w:highlight w:val="none"/>
        </w:rPr>
        <w:t>应提交的有关格式范例</w:t>
      </w:r>
    </w:p>
    <w:p w14:paraId="6F0350C8">
      <w:pPr>
        <w:spacing w:line="360" w:lineRule="auto"/>
        <w:jc w:val="center"/>
        <w:outlineLvl w:val="0"/>
        <w:rPr>
          <w:rFonts w:hint="eastAsia" w:ascii="宋体" w:hAnsi="宋体" w:eastAsia="宋体" w:cs="宋体"/>
          <w:b/>
          <w:kern w:val="0"/>
          <w:sz w:val="36"/>
          <w:szCs w:val="36"/>
          <w:highlight w:val="none"/>
        </w:rPr>
      </w:pPr>
    </w:p>
    <w:p w14:paraId="44E47A55">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14:paraId="39AFA28A">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26554799">
      <w:pPr>
        <w:spacing w:line="360" w:lineRule="auto"/>
        <w:jc w:val="center"/>
        <w:outlineLvl w:val="0"/>
        <w:rPr>
          <w:rFonts w:hint="eastAsia" w:ascii="宋体" w:hAnsi="宋体" w:eastAsia="宋体" w:cs="宋体"/>
          <w:b/>
          <w:kern w:val="0"/>
          <w:sz w:val="36"/>
          <w:szCs w:val="36"/>
          <w:highlight w:val="none"/>
        </w:rPr>
      </w:pPr>
    </w:p>
    <w:p w14:paraId="33ADB126">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14:paraId="52CDBD7B">
      <w:pPr>
        <w:snapToGrid w:val="0"/>
        <w:spacing w:line="360" w:lineRule="auto"/>
        <w:rPr>
          <w:rFonts w:hint="eastAsia" w:ascii="宋体" w:hAnsi="宋体" w:eastAsia="宋体" w:cs="宋体"/>
          <w:sz w:val="24"/>
          <w:highlight w:val="none"/>
        </w:rPr>
      </w:pPr>
      <w:r>
        <w:rPr>
          <w:rFonts w:hint="eastAsia" w:ascii="宋体" w:hAnsi="宋体" w:eastAsia="宋体" w:cs="宋体"/>
          <w:snapToGrid w:val="0"/>
          <w:kern w:val="28"/>
          <w:sz w:val="24"/>
          <w:szCs w:val="20"/>
          <w:highlight w:val="none"/>
        </w:rPr>
        <w:t>（2）联合协议</w:t>
      </w:r>
      <w:r>
        <w:rPr>
          <w:rFonts w:hint="eastAsia" w:ascii="宋体" w:hAnsi="宋体" w:eastAsia="宋体" w:cs="宋体"/>
          <w:sz w:val="24"/>
          <w:highlight w:val="none"/>
        </w:rPr>
        <w:t>………………………………………………………………（页码）</w:t>
      </w:r>
    </w:p>
    <w:p w14:paraId="31930C95">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（3）落实政府采购政策需满足的资格要求………………………………（页码）</w:t>
      </w:r>
    </w:p>
    <w:p w14:paraId="2BFE96EA">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（4）本项目的特定资格要求………………………………………………（页码）</w:t>
      </w:r>
    </w:p>
    <w:p w14:paraId="2E8BB0C1">
      <w:pPr>
        <w:snapToGrid w:val="0"/>
        <w:spacing w:line="360" w:lineRule="auto"/>
        <w:ind w:firstLine="480" w:firstLineChars="200"/>
        <w:rPr>
          <w:rFonts w:hint="eastAsia" w:ascii="宋体" w:hAnsi="宋体" w:eastAsia="宋体" w:cs="宋体"/>
          <w:sz w:val="24"/>
          <w:highlight w:val="none"/>
        </w:rPr>
      </w:pPr>
    </w:p>
    <w:p w14:paraId="2EA237BA">
      <w:pPr>
        <w:spacing w:line="360" w:lineRule="auto"/>
        <w:ind w:firstLine="480" w:firstLineChars="200"/>
        <w:rPr>
          <w:rFonts w:hint="eastAsia" w:ascii="宋体" w:hAnsi="宋体" w:eastAsia="宋体" w:cs="宋体"/>
          <w:sz w:val="24"/>
          <w:highlight w:val="none"/>
        </w:rPr>
      </w:pPr>
    </w:p>
    <w:p w14:paraId="1B8AFE34">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kern w:val="0"/>
          <w:sz w:val="24"/>
          <w:highlight w:val="none"/>
        </w:rPr>
        <w:br w:type="page"/>
      </w:r>
      <w:r>
        <w:rPr>
          <w:rFonts w:hint="eastAsia" w:ascii="宋体" w:hAnsi="宋体" w:eastAsia="宋体" w:cs="宋体"/>
          <w:b/>
          <w:kern w:val="0"/>
          <w:sz w:val="32"/>
          <w:szCs w:val="32"/>
          <w:highlight w:val="none"/>
        </w:rPr>
        <w:t xml:space="preserve">  一、</w:t>
      </w:r>
      <w:r>
        <w:rPr>
          <w:rFonts w:hint="eastAsia" w:ascii="宋体" w:hAnsi="宋体" w:eastAsia="宋体" w:cs="宋体"/>
          <w:b/>
          <w:color w:val="auto"/>
          <w:kern w:val="0"/>
          <w:sz w:val="32"/>
          <w:szCs w:val="32"/>
          <w:highlight w:val="none"/>
        </w:rPr>
        <w:t xml:space="preserve"> 符合参加政府采购活动应当具备的一般条件的承诺函</w:t>
      </w:r>
    </w:p>
    <w:p w14:paraId="4234817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6F0D9F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2024年临平区运河街道高标准农田示范区建设-农田数字化、灌排数字化项目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RTZFCG-2024-074-1</w:t>
      </w:r>
      <w:r>
        <w:rPr>
          <w:rFonts w:hint="eastAsia" w:ascii="宋体" w:hAnsi="宋体" w:eastAsia="宋体" w:cs="宋体"/>
          <w:color w:val="auto"/>
          <w:sz w:val="24"/>
          <w:highlight w:val="none"/>
        </w:rPr>
        <w:t>】政府采购活动，郑重承诺：</w:t>
      </w:r>
    </w:p>
    <w:p w14:paraId="6905FC71">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6873943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4AE3312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2B4551B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AF1A3C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A9E1FE0">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02C9D55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204BF72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14:paraId="5C5DC1D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14:paraId="7637CFB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14:paraId="50EE8B4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14:paraId="72C8610D">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718AC6D0">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67216900">
      <w:pPr>
        <w:snapToGrid w:val="0"/>
        <w:spacing w:line="360" w:lineRule="auto"/>
        <w:ind w:right="480"/>
        <w:jc w:val="center"/>
        <w:rPr>
          <w:rFonts w:hint="eastAsia" w:ascii="宋体" w:hAnsi="宋体" w:eastAsia="宋体" w:cs="宋体"/>
          <w:b/>
          <w:kern w:val="0"/>
          <w:sz w:val="32"/>
          <w:szCs w:val="32"/>
          <w:highlight w:val="none"/>
        </w:rPr>
      </w:pPr>
    </w:p>
    <w:p w14:paraId="62AE940D">
      <w:pPr>
        <w:snapToGrid w:val="0"/>
        <w:spacing w:line="360" w:lineRule="auto"/>
        <w:ind w:right="480"/>
        <w:jc w:val="center"/>
        <w:rPr>
          <w:rFonts w:hint="eastAsia" w:ascii="宋体" w:hAnsi="宋体" w:eastAsia="宋体" w:cs="宋体"/>
          <w:b/>
          <w:kern w:val="0"/>
          <w:sz w:val="32"/>
          <w:szCs w:val="32"/>
          <w:highlight w:val="none"/>
        </w:rPr>
      </w:pPr>
    </w:p>
    <w:p w14:paraId="5A131159">
      <w:pPr>
        <w:snapToGrid w:val="0"/>
        <w:spacing w:line="360" w:lineRule="auto"/>
        <w:ind w:right="480"/>
        <w:jc w:val="center"/>
        <w:rPr>
          <w:rFonts w:hint="eastAsia" w:ascii="宋体" w:hAnsi="宋体" w:eastAsia="宋体" w:cs="宋体"/>
          <w:b/>
          <w:kern w:val="0"/>
          <w:sz w:val="32"/>
          <w:szCs w:val="32"/>
          <w:highlight w:val="none"/>
        </w:rPr>
      </w:pPr>
    </w:p>
    <w:p w14:paraId="55B893D1">
      <w:pPr>
        <w:rPr>
          <w:rFonts w:hint="eastAsia" w:ascii="宋体" w:hAnsi="宋体" w:eastAsia="宋体" w:cs="宋体"/>
          <w:highlight w:val="none"/>
        </w:rPr>
      </w:pPr>
    </w:p>
    <w:p w14:paraId="400B0B51">
      <w:pPr>
        <w:snapToGrid w:val="0"/>
        <w:spacing w:line="360" w:lineRule="auto"/>
        <w:ind w:right="480"/>
        <w:jc w:val="center"/>
        <w:rPr>
          <w:rFonts w:hint="eastAsia" w:ascii="宋体" w:hAnsi="宋体" w:eastAsia="宋体" w:cs="宋体"/>
          <w:b/>
          <w:kern w:val="0"/>
          <w:sz w:val="32"/>
          <w:szCs w:val="32"/>
          <w:highlight w:val="none"/>
        </w:rPr>
      </w:pPr>
    </w:p>
    <w:p w14:paraId="0DCD5D55">
      <w:pPr>
        <w:snapToGrid w:val="0"/>
        <w:spacing w:line="360" w:lineRule="auto"/>
        <w:ind w:right="480"/>
        <w:jc w:val="center"/>
        <w:rPr>
          <w:rFonts w:hint="eastAsia" w:ascii="宋体" w:hAnsi="宋体" w:eastAsia="宋体" w:cs="宋体"/>
          <w:b/>
          <w:kern w:val="0"/>
          <w:sz w:val="32"/>
          <w:szCs w:val="32"/>
          <w:highlight w:val="none"/>
        </w:rPr>
      </w:pPr>
    </w:p>
    <w:p w14:paraId="5D76813D">
      <w:pPr>
        <w:snapToGrid w:val="0"/>
        <w:spacing w:line="360" w:lineRule="auto"/>
        <w:ind w:right="480"/>
        <w:jc w:val="center"/>
        <w:rPr>
          <w:rFonts w:hint="eastAsia" w:ascii="宋体" w:hAnsi="宋体" w:eastAsia="宋体" w:cs="宋体"/>
          <w:b/>
          <w:kern w:val="0"/>
          <w:sz w:val="32"/>
          <w:szCs w:val="32"/>
          <w:highlight w:val="none"/>
        </w:rPr>
      </w:pPr>
    </w:p>
    <w:p w14:paraId="5D745182">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359648B9">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3FE1B7C4">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13FD51F7">
      <w:pPr>
        <w:snapToGrid w:val="0"/>
        <w:spacing w:line="360" w:lineRule="auto"/>
        <w:ind w:right="480"/>
        <w:jc w:val="center"/>
        <w:rPr>
          <w:rFonts w:hint="eastAsia" w:ascii="宋体" w:hAnsi="宋体" w:eastAsia="宋体" w:cs="宋体"/>
          <w:b/>
          <w:color w:val="auto"/>
          <w:kern w:val="0"/>
          <w:sz w:val="32"/>
          <w:szCs w:val="32"/>
          <w:highlight w:val="none"/>
        </w:rPr>
      </w:pPr>
    </w:p>
    <w:p w14:paraId="2C72DB07">
      <w:pPr>
        <w:snapToGrid w:val="0"/>
        <w:spacing w:line="360" w:lineRule="auto"/>
        <w:ind w:right="480"/>
        <w:jc w:val="center"/>
        <w:rPr>
          <w:rFonts w:hint="eastAsia" w:ascii="宋体" w:hAnsi="宋体" w:eastAsia="宋体" w:cs="宋体"/>
          <w:b/>
          <w:color w:val="auto"/>
          <w:kern w:val="0"/>
          <w:sz w:val="32"/>
          <w:szCs w:val="32"/>
          <w:highlight w:val="none"/>
        </w:rPr>
      </w:pPr>
    </w:p>
    <w:p w14:paraId="5A33ACC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5219D9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2FF47605">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085D0E39">
      <w:pPr>
        <w:widowControl/>
        <w:spacing w:line="360" w:lineRule="auto"/>
        <w:ind w:firstLine="480"/>
        <w:jc w:val="left"/>
        <w:rPr>
          <w:rFonts w:hint="eastAsia" w:ascii="宋体" w:hAnsi="宋体" w:eastAsia="宋体" w:cs="宋体"/>
          <w:color w:val="auto"/>
          <w:sz w:val="24"/>
          <w:highlight w:val="none"/>
        </w:rPr>
      </w:pPr>
    </w:p>
    <w:p w14:paraId="17D70DB3">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405D0D7">
      <w:pPr>
        <w:snapToGrid w:val="0"/>
        <w:spacing w:before="50" w:after="50" w:line="360" w:lineRule="auto"/>
        <w:jc w:val="center"/>
        <w:rPr>
          <w:rFonts w:hint="eastAsia" w:ascii="宋体" w:hAnsi="宋体" w:eastAsia="宋体" w:cs="宋体"/>
          <w:sz w:val="24"/>
          <w:highlight w:val="none"/>
        </w:rPr>
      </w:pPr>
      <w:r>
        <w:rPr>
          <w:rFonts w:hint="eastAsia" w:ascii="宋体" w:hAnsi="宋体" w:eastAsia="宋体" w:cs="宋体"/>
          <w:b/>
          <w:sz w:val="24"/>
          <w:highlight w:val="none"/>
        </w:rPr>
        <w:t xml:space="preserve">    </w:t>
      </w:r>
    </w:p>
    <w:p w14:paraId="208C86EA">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C、</w:t>
      </w:r>
      <w:r>
        <w:rPr>
          <w:rFonts w:hint="eastAsia" w:ascii="宋体" w:hAnsi="宋体" w:eastAsia="宋体" w:cs="宋体"/>
          <w:sz w:val="24"/>
          <w:highlight w:val="none"/>
        </w:rPr>
        <w:t>要求合同分包的，提</w:t>
      </w:r>
      <w:r>
        <w:rPr>
          <w:rFonts w:hint="eastAsia" w:ascii="宋体" w:hAnsi="宋体" w:eastAsia="宋体" w:cs="宋体"/>
          <w:color w:val="auto"/>
          <w:sz w:val="24"/>
          <w:highlight w:val="none"/>
        </w:rPr>
        <w:t>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03D136A6">
      <w:pPr>
        <w:widowControl/>
        <w:spacing w:line="360" w:lineRule="auto"/>
        <w:ind w:left="150"/>
        <w:jc w:val="center"/>
        <w:rPr>
          <w:rFonts w:hint="eastAsia" w:ascii="宋体" w:hAnsi="宋体" w:eastAsia="宋体" w:cs="宋体"/>
          <w:b/>
          <w:kern w:val="0"/>
          <w:sz w:val="32"/>
          <w:szCs w:val="32"/>
          <w:highlight w:val="none"/>
        </w:rPr>
      </w:pPr>
    </w:p>
    <w:p w14:paraId="3456ECF0">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四、本项目的特定资格要求</w:t>
      </w:r>
    </w:p>
    <w:p w14:paraId="64ABBB0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14:paraId="6033A5A7">
      <w:pPr>
        <w:rPr>
          <w:rFonts w:hint="eastAsia" w:ascii="宋体" w:hAnsi="宋体" w:eastAsia="宋体" w:cs="宋体"/>
          <w:highlight w:val="none"/>
        </w:rPr>
      </w:pPr>
    </w:p>
    <w:p w14:paraId="6D90EBB1">
      <w:pPr>
        <w:snapToGrid w:val="0"/>
        <w:spacing w:line="360" w:lineRule="auto"/>
        <w:ind w:right="480"/>
        <w:jc w:val="center"/>
        <w:rPr>
          <w:rFonts w:hint="eastAsia" w:ascii="宋体" w:hAnsi="宋体" w:eastAsia="宋体" w:cs="宋体"/>
          <w:b/>
          <w:kern w:val="0"/>
          <w:sz w:val="32"/>
          <w:szCs w:val="32"/>
          <w:highlight w:val="none"/>
        </w:rPr>
      </w:pPr>
    </w:p>
    <w:p w14:paraId="5B15CEA2">
      <w:pPr>
        <w:widowControl/>
        <w:adjustRightInd/>
        <w:jc w:val="left"/>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br w:type="page"/>
      </w:r>
    </w:p>
    <w:p w14:paraId="508CE6B8">
      <w:pPr>
        <w:spacing w:line="360" w:lineRule="auto"/>
        <w:ind w:right="420" w:firstLine="3614" w:firstLineChars="100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14:paraId="03170877">
      <w:pPr>
        <w:spacing w:line="360" w:lineRule="auto"/>
        <w:jc w:val="center"/>
        <w:outlineLvl w:val="0"/>
        <w:rPr>
          <w:rFonts w:hint="eastAsia" w:ascii="宋体" w:hAnsi="宋体" w:eastAsia="宋体" w:cs="宋体"/>
          <w:b/>
          <w:kern w:val="0"/>
          <w:sz w:val="24"/>
          <w:highlight w:val="none"/>
        </w:rPr>
      </w:pPr>
    </w:p>
    <w:p w14:paraId="6F416780">
      <w:pPr>
        <w:spacing w:line="360" w:lineRule="auto"/>
        <w:jc w:val="center"/>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14:paraId="39C567E8">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（1）投标函</w:t>
      </w:r>
      <w:r>
        <w:rPr>
          <w:rFonts w:hint="eastAsia" w:ascii="宋体" w:hAnsi="宋体" w:eastAsia="宋体" w:cs="宋体"/>
          <w:highlight w:val="none"/>
        </w:rPr>
        <w:t>…………………………………………………………………………………（页码）</w:t>
      </w:r>
      <w:r>
        <w:rPr>
          <w:rFonts w:hint="eastAsia" w:ascii="宋体" w:hAnsi="宋体" w:eastAsia="宋体" w:cs="宋体"/>
          <w:sz w:val="24"/>
          <w:highlight w:val="none"/>
        </w:rPr>
        <w:t>（2）授权委托书或法定代表人（单位负责人、自然人本人）身份证明</w:t>
      </w:r>
      <w:r>
        <w:rPr>
          <w:rFonts w:hint="eastAsia" w:ascii="宋体" w:hAnsi="宋体" w:eastAsia="宋体" w:cs="宋体"/>
          <w:highlight w:val="none"/>
        </w:rPr>
        <w:t>………（页码）</w:t>
      </w:r>
    </w:p>
    <w:p w14:paraId="2C7EFE0E">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（3）分包意向协议</w:t>
      </w:r>
      <w:r>
        <w:rPr>
          <w:rFonts w:hint="eastAsia" w:ascii="宋体" w:hAnsi="宋体" w:eastAsia="宋体" w:cs="宋体"/>
          <w:highlight w:val="none"/>
        </w:rPr>
        <w:t>…………………………………………………………………………（页码）</w:t>
      </w:r>
    </w:p>
    <w:p w14:paraId="1BB07FB1">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（4）符合性审查资料</w:t>
      </w:r>
      <w:r>
        <w:rPr>
          <w:rFonts w:hint="eastAsia" w:ascii="宋体" w:hAnsi="宋体" w:eastAsia="宋体" w:cs="宋体"/>
          <w:highlight w:val="none"/>
        </w:rPr>
        <w:t>………………………………………………………………………（页码）</w:t>
      </w:r>
    </w:p>
    <w:p w14:paraId="0E905F3C">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（5）评标标准相应的商务技术资料</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r>
        <w:rPr>
          <w:rFonts w:hint="eastAsia" w:ascii="宋体" w:hAnsi="宋体" w:eastAsia="宋体" w:cs="宋体"/>
          <w:sz w:val="24"/>
          <w:highlight w:val="none"/>
        </w:rPr>
        <w:t>（6）投标标的清单</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r>
        <w:rPr>
          <w:rFonts w:hint="eastAsia" w:ascii="宋体" w:hAnsi="宋体" w:eastAsia="宋体" w:cs="宋体"/>
          <w:sz w:val="24"/>
          <w:highlight w:val="none"/>
        </w:rPr>
        <w:t>（7）</w:t>
      </w:r>
      <w:r>
        <w:rPr>
          <w:rFonts w:hint="eastAsia" w:ascii="宋体" w:hAnsi="宋体" w:eastAsia="宋体" w:cs="宋体"/>
          <w:sz w:val="24"/>
          <w:highlight w:val="none"/>
          <w:lang w:val="zh-CN"/>
        </w:rPr>
        <w:t>（</w:t>
      </w:r>
      <w:r>
        <w:rPr>
          <w:rFonts w:hint="eastAsia" w:ascii="宋体" w:hAnsi="宋体" w:cs="宋体"/>
          <w:sz w:val="24"/>
          <w:highlight w:val="none"/>
          <w:lang w:val="en-US" w:eastAsia="zh-CN"/>
        </w:rPr>
        <w:t>7</w:t>
      </w:r>
      <w:r>
        <w:rPr>
          <w:rFonts w:hint="eastAsia" w:ascii="宋体" w:hAnsi="宋体" w:eastAsia="宋体" w:cs="宋体"/>
          <w:sz w:val="24"/>
          <w:highlight w:val="none"/>
          <w:lang w:val="zh-CN"/>
        </w:rPr>
        <w:t>）</w:t>
      </w:r>
      <w:r>
        <w:rPr>
          <w:rFonts w:hint="eastAsia" w:ascii="宋体" w:hAnsi="宋体" w:eastAsia="宋体" w:cs="宋体"/>
          <w:sz w:val="24"/>
          <w:highlight w:val="none"/>
        </w:rPr>
        <w:t>商务技术偏离表</w:t>
      </w:r>
      <w:r>
        <w:rPr>
          <w:rFonts w:hint="eastAsia" w:ascii="宋体" w:hAnsi="宋体" w:eastAsia="宋体" w:cs="宋体"/>
          <w:highlight w:val="none"/>
        </w:rPr>
        <w:t>………………………………………………………………………（页码）</w:t>
      </w:r>
    </w:p>
    <w:p w14:paraId="290AB4AB">
      <w:pPr>
        <w:snapToGrid w:val="0"/>
        <w:spacing w:line="360" w:lineRule="auto"/>
        <w:ind w:left="479" w:leftChars="228"/>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）所投产品具体配置表</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r>
        <w:rPr>
          <w:rFonts w:hint="eastAsia" w:ascii="宋体" w:hAnsi="宋体" w:eastAsia="宋体" w:cs="宋体"/>
          <w:sz w:val="24"/>
          <w:highlight w:val="none"/>
          <w:lang w:val="zh-CN"/>
        </w:rPr>
        <w:t xml:space="preserve"> </w:t>
      </w:r>
    </w:p>
    <w:p w14:paraId="375B4CAA">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lang w:val="zh-CN"/>
        </w:rPr>
        <w:t>（</w:t>
      </w:r>
      <w:r>
        <w:rPr>
          <w:rFonts w:hint="eastAsia" w:ascii="宋体" w:hAnsi="宋体" w:cs="宋体"/>
          <w:sz w:val="24"/>
          <w:highlight w:val="none"/>
          <w:lang w:val="en-US" w:eastAsia="zh-CN"/>
        </w:rPr>
        <w:t>9</w:t>
      </w:r>
      <w:r>
        <w:rPr>
          <w:rFonts w:hint="eastAsia" w:ascii="宋体" w:hAnsi="宋体" w:eastAsia="宋体" w:cs="宋体"/>
          <w:sz w:val="24"/>
          <w:highlight w:val="none"/>
          <w:lang w:val="zh-CN"/>
        </w:rPr>
        <w:t>）政府采购供应商廉洁自律承诺书</w:t>
      </w:r>
      <w:r>
        <w:rPr>
          <w:rFonts w:hint="eastAsia" w:ascii="宋体" w:hAnsi="宋体" w:eastAsia="宋体" w:cs="宋体"/>
          <w:highlight w:val="none"/>
        </w:rPr>
        <w:t>……………………………………………（页码）</w:t>
      </w:r>
    </w:p>
    <w:p w14:paraId="337CA634">
      <w:pPr>
        <w:snapToGrid w:val="0"/>
        <w:spacing w:line="360" w:lineRule="auto"/>
        <w:jc w:val="center"/>
        <w:rPr>
          <w:rFonts w:hint="eastAsia" w:ascii="宋体" w:hAnsi="宋体" w:eastAsia="宋体" w:cs="宋体"/>
          <w:b/>
          <w:kern w:val="0"/>
          <w:sz w:val="32"/>
          <w:szCs w:val="32"/>
          <w:highlight w:val="none"/>
          <w:lang w:val="zh-CN"/>
        </w:rPr>
      </w:pPr>
    </w:p>
    <w:p w14:paraId="4588291A">
      <w:pPr>
        <w:snapToGrid w:val="0"/>
        <w:spacing w:line="360" w:lineRule="auto"/>
        <w:jc w:val="center"/>
        <w:rPr>
          <w:rFonts w:hint="eastAsia" w:ascii="宋体" w:hAnsi="宋体" w:eastAsia="宋体" w:cs="宋体"/>
          <w:b/>
          <w:kern w:val="0"/>
          <w:sz w:val="32"/>
          <w:szCs w:val="32"/>
          <w:highlight w:val="none"/>
          <w:lang w:val="zh-CN"/>
        </w:rPr>
      </w:pPr>
    </w:p>
    <w:p w14:paraId="3FDCDA22">
      <w:pPr>
        <w:snapToGrid w:val="0"/>
        <w:spacing w:line="360" w:lineRule="auto"/>
        <w:jc w:val="center"/>
        <w:rPr>
          <w:rFonts w:hint="eastAsia" w:ascii="宋体" w:hAnsi="宋体" w:eastAsia="宋体" w:cs="宋体"/>
          <w:b/>
          <w:kern w:val="0"/>
          <w:sz w:val="32"/>
          <w:szCs w:val="32"/>
          <w:highlight w:val="none"/>
          <w:lang w:val="zh-CN"/>
        </w:rPr>
      </w:pPr>
    </w:p>
    <w:p w14:paraId="1213DE18">
      <w:pPr>
        <w:snapToGrid w:val="0"/>
        <w:spacing w:line="360" w:lineRule="auto"/>
        <w:jc w:val="center"/>
        <w:rPr>
          <w:rFonts w:hint="eastAsia" w:ascii="宋体" w:hAnsi="宋体" w:eastAsia="宋体" w:cs="宋体"/>
          <w:b/>
          <w:kern w:val="0"/>
          <w:sz w:val="32"/>
          <w:szCs w:val="32"/>
          <w:highlight w:val="none"/>
          <w:lang w:val="zh-CN"/>
        </w:rPr>
      </w:pPr>
    </w:p>
    <w:p w14:paraId="6DF6FA82">
      <w:pPr>
        <w:snapToGrid w:val="0"/>
        <w:spacing w:line="360" w:lineRule="auto"/>
        <w:jc w:val="center"/>
        <w:rPr>
          <w:rFonts w:hint="eastAsia" w:ascii="宋体" w:hAnsi="宋体" w:eastAsia="宋体" w:cs="宋体"/>
          <w:b/>
          <w:kern w:val="0"/>
          <w:sz w:val="32"/>
          <w:szCs w:val="32"/>
          <w:highlight w:val="none"/>
          <w:lang w:val="zh-CN"/>
        </w:rPr>
      </w:pPr>
    </w:p>
    <w:p w14:paraId="01F6B41A">
      <w:pPr>
        <w:snapToGrid w:val="0"/>
        <w:spacing w:line="360" w:lineRule="auto"/>
        <w:jc w:val="center"/>
        <w:rPr>
          <w:rFonts w:hint="eastAsia" w:ascii="宋体" w:hAnsi="宋体" w:eastAsia="宋体" w:cs="宋体"/>
          <w:b/>
          <w:kern w:val="0"/>
          <w:sz w:val="32"/>
          <w:szCs w:val="32"/>
          <w:highlight w:val="none"/>
          <w:lang w:val="zh-CN"/>
        </w:rPr>
      </w:pPr>
    </w:p>
    <w:p w14:paraId="18B0C18C">
      <w:pPr>
        <w:snapToGrid w:val="0"/>
        <w:spacing w:line="360" w:lineRule="auto"/>
        <w:jc w:val="center"/>
        <w:rPr>
          <w:rFonts w:hint="eastAsia" w:ascii="宋体" w:hAnsi="宋体" w:eastAsia="宋体" w:cs="宋体"/>
          <w:b/>
          <w:kern w:val="0"/>
          <w:sz w:val="32"/>
          <w:szCs w:val="32"/>
          <w:highlight w:val="none"/>
          <w:lang w:val="zh-CN"/>
        </w:rPr>
      </w:pPr>
    </w:p>
    <w:p w14:paraId="5B0F75A6">
      <w:pPr>
        <w:snapToGrid w:val="0"/>
        <w:spacing w:line="360" w:lineRule="auto"/>
        <w:jc w:val="center"/>
        <w:rPr>
          <w:rFonts w:hint="eastAsia" w:ascii="宋体" w:hAnsi="宋体" w:eastAsia="宋体" w:cs="宋体"/>
          <w:b/>
          <w:kern w:val="0"/>
          <w:sz w:val="32"/>
          <w:szCs w:val="32"/>
          <w:highlight w:val="none"/>
          <w:lang w:val="zh-CN"/>
        </w:rPr>
      </w:pPr>
    </w:p>
    <w:p w14:paraId="2CFA0D3A">
      <w:pPr>
        <w:snapToGrid w:val="0"/>
        <w:spacing w:line="360" w:lineRule="auto"/>
        <w:jc w:val="center"/>
        <w:rPr>
          <w:rFonts w:hint="eastAsia" w:ascii="宋体" w:hAnsi="宋体" w:eastAsia="宋体" w:cs="宋体"/>
          <w:b/>
          <w:kern w:val="0"/>
          <w:sz w:val="32"/>
          <w:szCs w:val="32"/>
          <w:highlight w:val="none"/>
          <w:lang w:val="zh-CN"/>
        </w:rPr>
      </w:pPr>
    </w:p>
    <w:p w14:paraId="3514B5F3">
      <w:pPr>
        <w:snapToGrid w:val="0"/>
        <w:spacing w:line="360" w:lineRule="auto"/>
        <w:jc w:val="center"/>
        <w:rPr>
          <w:rFonts w:hint="eastAsia" w:ascii="宋体" w:hAnsi="宋体" w:eastAsia="宋体" w:cs="宋体"/>
          <w:b/>
          <w:kern w:val="0"/>
          <w:sz w:val="32"/>
          <w:szCs w:val="32"/>
          <w:highlight w:val="none"/>
          <w:lang w:val="zh-CN"/>
        </w:rPr>
      </w:pPr>
    </w:p>
    <w:p w14:paraId="00B88CE0">
      <w:pPr>
        <w:snapToGrid w:val="0"/>
        <w:spacing w:line="360" w:lineRule="auto"/>
        <w:jc w:val="center"/>
        <w:rPr>
          <w:rFonts w:hint="eastAsia" w:ascii="宋体" w:hAnsi="宋体" w:eastAsia="宋体" w:cs="宋体"/>
          <w:b/>
          <w:kern w:val="0"/>
          <w:sz w:val="32"/>
          <w:szCs w:val="32"/>
          <w:highlight w:val="none"/>
          <w:lang w:val="zh-CN"/>
        </w:rPr>
      </w:pPr>
    </w:p>
    <w:p w14:paraId="33F3A287">
      <w:pPr>
        <w:snapToGrid w:val="0"/>
        <w:spacing w:line="360" w:lineRule="auto"/>
        <w:jc w:val="center"/>
        <w:rPr>
          <w:rFonts w:hint="eastAsia" w:ascii="宋体" w:hAnsi="宋体" w:eastAsia="宋体" w:cs="宋体"/>
          <w:b/>
          <w:kern w:val="0"/>
          <w:sz w:val="32"/>
          <w:szCs w:val="32"/>
          <w:highlight w:val="none"/>
          <w:lang w:val="zh-CN"/>
        </w:rPr>
      </w:pPr>
    </w:p>
    <w:p w14:paraId="78E47E57">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426D46A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2875C58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2024年临平区运河街道高标准农田示范区建设-农田数字化、灌排数字化项目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RTZFCG-2024-074-1</w:t>
      </w:r>
      <w:r>
        <w:rPr>
          <w:rFonts w:hint="eastAsia" w:ascii="宋体" w:hAnsi="宋体" w:eastAsia="宋体" w:cs="宋体"/>
          <w:color w:val="auto"/>
          <w:sz w:val="24"/>
          <w:highlight w:val="none"/>
        </w:rPr>
        <w:t>】招标的有关活动，并对此项目进行投标。为此：</w:t>
      </w:r>
    </w:p>
    <w:p w14:paraId="7295DC8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4AACA21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2926D4A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41FC472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4F9F96F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45" w:name="_Hlk101257010"/>
      <w:r>
        <w:rPr>
          <w:rFonts w:hint="eastAsia" w:ascii="宋体" w:hAnsi="宋体" w:eastAsia="宋体" w:cs="宋体"/>
          <w:color w:val="auto"/>
          <w:sz w:val="24"/>
          <w:highlight w:val="none"/>
        </w:rPr>
        <w:t>（如果有)</w:t>
      </w:r>
      <w:bookmarkEnd w:id="545"/>
      <w:r>
        <w:rPr>
          <w:rFonts w:hint="eastAsia" w:ascii="宋体" w:hAnsi="宋体" w:eastAsia="宋体" w:cs="宋体"/>
          <w:snapToGrid w:val="0"/>
          <w:color w:val="auto"/>
          <w:kern w:val="28"/>
          <w:sz w:val="24"/>
          <w:szCs w:val="20"/>
          <w:highlight w:val="none"/>
        </w:rPr>
        <w:t>；</w:t>
      </w:r>
    </w:p>
    <w:p w14:paraId="64FE71A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24BA48A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249B52D4">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BF53E6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4FDF15F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4BE46AC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6D029E6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1D82F9B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10EE3DB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289FBF0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31133D9F">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zh-CN"/>
        </w:rPr>
        <w:t>所投产品具体配置表</w:t>
      </w:r>
      <w:r>
        <w:rPr>
          <w:rFonts w:hint="eastAsia" w:ascii="宋体" w:hAnsi="宋体" w:cs="宋体"/>
          <w:color w:val="auto"/>
          <w:sz w:val="24"/>
          <w:highlight w:val="none"/>
          <w:lang w:val="zh-CN"/>
        </w:rPr>
        <w:t>；</w:t>
      </w:r>
    </w:p>
    <w:p w14:paraId="6736A8E0">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zh-CN"/>
        </w:rPr>
        <w:t>技术偏离表：投标人必须针对招标文件要求的技术参数逐个做出响应</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 xml:space="preserve">  </w:t>
      </w:r>
    </w:p>
    <w:p w14:paraId="7462F535">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zh-CN"/>
        </w:rPr>
        <w:t>政府采购供应商廉洁自律承诺书</w:t>
      </w:r>
      <w:r>
        <w:rPr>
          <w:rFonts w:hint="eastAsia" w:ascii="宋体" w:hAnsi="宋体" w:cs="宋体"/>
          <w:color w:val="auto"/>
          <w:sz w:val="24"/>
          <w:highlight w:val="none"/>
          <w:lang w:val="zh-CN"/>
        </w:rPr>
        <w:t>；</w:t>
      </w:r>
    </w:p>
    <w:p w14:paraId="3F67631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4965DF8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1335DDD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0A297BE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762AB5D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2D6F369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2BB2E38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67A6828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4743B53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19448C2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C2901C4">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1409977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176FBB8">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3F47BC3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BF832F9">
      <w:pPr>
        <w:snapToGrid w:val="0"/>
        <w:spacing w:line="360" w:lineRule="auto"/>
        <w:jc w:val="center"/>
        <w:rPr>
          <w:rFonts w:hint="eastAsia" w:ascii="宋体" w:hAnsi="宋体" w:eastAsia="宋体" w:cs="宋体"/>
          <w:b/>
          <w:color w:val="auto"/>
          <w:kern w:val="0"/>
          <w:sz w:val="32"/>
          <w:szCs w:val="32"/>
          <w:highlight w:val="none"/>
        </w:rPr>
      </w:pPr>
    </w:p>
    <w:p w14:paraId="65CFB669">
      <w:pPr>
        <w:snapToGrid w:val="0"/>
        <w:spacing w:line="360" w:lineRule="auto"/>
        <w:rPr>
          <w:rFonts w:hint="eastAsia" w:ascii="宋体" w:hAnsi="宋体" w:eastAsia="宋体" w:cs="宋体"/>
          <w:color w:val="auto"/>
          <w:sz w:val="24"/>
          <w:highlight w:val="none"/>
        </w:rPr>
      </w:pPr>
    </w:p>
    <w:p w14:paraId="54C6F948">
      <w:pPr>
        <w:jc w:val="center"/>
        <w:rPr>
          <w:rFonts w:hint="eastAsia" w:ascii="宋体" w:hAnsi="宋体" w:eastAsia="宋体" w:cs="宋体"/>
          <w:b/>
          <w:color w:val="auto"/>
          <w:kern w:val="0"/>
          <w:sz w:val="32"/>
          <w:szCs w:val="32"/>
          <w:highlight w:val="none"/>
        </w:rPr>
      </w:pPr>
    </w:p>
    <w:p w14:paraId="179F85F0">
      <w:pPr>
        <w:jc w:val="center"/>
        <w:rPr>
          <w:rFonts w:hint="eastAsia" w:ascii="宋体" w:hAnsi="宋体" w:eastAsia="宋体" w:cs="宋体"/>
          <w:b/>
          <w:color w:val="auto"/>
          <w:kern w:val="0"/>
          <w:sz w:val="32"/>
          <w:szCs w:val="32"/>
          <w:highlight w:val="none"/>
        </w:rPr>
      </w:pPr>
    </w:p>
    <w:p w14:paraId="635C5BA9">
      <w:pPr>
        <w:jc w:val="center"/>
        <w:rPr>
          <w:rFonts w:hint="eastAsia" w:ascii="宋体" w:hAnsi="宋体" w:eastAsia="宋体" w:cs="宋体"/>
          <w:b/>
          <w:kern w:val="0"/>
          <w:sz w:val="32"/>
          <w:szCs w:val="32"/>
          <w:highlight w:val="none"/>
        </w:rPr>
      </w:pPr>
    </w:p>
    <w:p w14:paraId="0E818956">
      <w:pPr>
        <w:jc w:val="center"/>
        <w:rPr>
          <w:rFonts w:hint="eastAsia" w:ascii="宋体" w:hAnsi="宋体" w:eastAsia="宋体" w:cs="宋体"/>
          <w:b/>
          <w:kern w:val="0"/>
          <w:sz w:val="32"/>
          <w:szCs w:val="32"/>
          <w:highlight w:val="none"/>
        </w:rPr>
      </w:pPr>
    </w:p>
    <w:p w14:paraId="651B1BC9">
      <w:pPr>
        <w:jc w:val="center"/>
        <w:rPr>
          <w:rFonts w:hint="eastAsia" w:ascii="宋体" w:hAnsi="宋体" w:eastAsia="宋体" w:cs="宋体"/>
          <w:b/>
          <w:kern w:val="0"/>
          <w:sz w:val="32"/>
          <w:szCs w:val="32"/>
          <w:highlight w:val="none"/>
        </w:rPr>
      </w:pPr>
    </w:p>
    <w:p w14:paraId="2A44C923">
      <w:pPr>
        <w:jc w:val="center"/>
        <w:rPr>
          <w:rFonts w:hint="eastAsia" w:ascii="宋体" w:hAnsi="宋体" w:eastAsia="宋体" w:cs="宋体"/>
          <w:b/>
          <w:kern w:val="0"/>
          <w:sz w:val="32"/>
          <w:szCs w:val="32"/>
          <w:highlight w:val="none"/>
        </w:rPr>
      </w:pPr>
    </w:p>
    <w:p w14:paraId="7BC47A6E">
      <w:pPr>
        <w:jc w:val="center"/>
        <w:rPr>
          <w:rFonts w:hint="eastAsia" w:ascii="宋体" w:hAnsi="宋体" w:eastAsia="宋体" w:cs="宋体"/>
          <w:b/>
          <w:kern w:val="0"/>
          <w:sz w:val="32"/>
          <w:szCs w:val="32"/>
          <w:highlight w:val="none"/>
        </w:rPr>
      </w:pPr>
    </w:p>
    <w:p w14:paraId="5C02032A">
      <w:pPr>
        <w:jc w:val="center"/>
        <w:rPr>
          <w:rFonts w:hint="eastAsia" w:ascii="宋体" w:hAnsi="宋体" w:eastAsia="宋体" w:cs="宋体"/>
          <w:b/>
          <w:kern w:val="0"/>
          <w:sz w:val="32"/>
          <w:szCs w:val="32"/>
          <w:highlight w:val="none"/>
        </w:rPr>
      </w:pPr>
    </w:p>
    <w:p w14:paraId="16576B94">
      <w:pPr>
        <w:jc w:val="center"/>
        <w:rPr>
          <w:rFonts w:hint="eastAsia" w:ascii="宋体" w:hAnsi="宋体" w:eastAsia="宋体" w:cs="宋体"/>
          <w:b/>
          <w:kern w:val="0"/>
          <w:sz w:val="32"/>
          <w:szCs w:val="32"/>
          <w:highlight w:val="none"/>
        </w:rPr>
      </w:pPr>
    </w:p>
    <w:p w14:paraId="4E0489AA">
      <w:pPr>
        <w:jc w:val="center"/>
        <w:rPr>
          <w:rFonts w:hint="eastAsia" w:ascii="宋体" w:hAnsi="宋体" w:eastAsia="宋体" w:cs="宋体"/>
          <w:b/>
          <w:kern w:val="0"/>
          <w:sz w:val="32"/>
          <w:szCs w:val="32"/>
          <w:highlight w:val="none"/>
        </w:rPr>
      </w:pPr>
    </w:p>
    <w:p w14:paraId="553ACEB3">
      <w:pPr>
        <w:jc w:val="center"/>
        <w:rPr>
          <w:rFonts w:hint="eastAsia" w:ascii="宋体" w:hAnsi="宋体" w:eastAsia="宋体" w:cs="宋体"/>
          <w:b/>
          <w:kern w:val="0"/>
          <w:sz w:val="32"/>
          <w:szCs w:val="32"/>
          <w:highlight w:val="none"/>
        </w:rPr>
      </w:pPr>
    </w:p>
    <w:p w14:paraId="5D6B85B2">
      <w:pPr>
        <w:jc w:val="center"/>
        <w:rPr>
          <w:rFonts w:hint="eastAsia" w:ascii="宋体" w:hAnsi="宋体" w:eastAsia="宋体" w:cs="宋体"/>
          <w:b/>
          <w:kern w:val="0"/>
          <w:sz w:val="32"/>
          <w:szCs w:val="32"/>
          <w:highlight w:val="none"/>
        </w:rPr>
      </w:pPr>
    </w:p>
    <w:p w14:paraId="62187448">
      <w:pPr>
        <w:jc w:val="center"/>
        <w:rPr>
          <w:rFonts w:hint="eastAsia" w:ascii="宋体" w:hAnsi="宋体" w:eastAsia="宋体" w:cs="宋体"/>
          <w:b/>
          <w:kern w:val="0"/>
          <w:sz w:val="32"/>
          <w:szCs w:val="32"/>
          <w:highlight w:val="none"/>
        </w:rPr>
      </w:pPr>
    </w:p>
    <w:p w14:paraId="1F71E0A8">
      <w:pPr>
        <w:jc w:val="center"/>
        <w:rPr>
          <w:rFonts w:hint="eastAsia" w:ascii="宋体" w:hAnsi="宋体" w:eastAsia="宋体" w:cs="宋体"/>
          <w:b/>
          <w:kern w:val="0"/>
          <w:sz w:val="32"/>
          <w:szCs w:val="32"/>
          <w:highlight w:val="none"/>
        </w:rPr>
      </w:pPr>
    </w:p>
    <w:p w14:paraId="4BE0859F">
      <w:pPr>
        <w:jc w:val="center"/>
        <w:rPr>
          <w:rFonts w:hint="eastAsia" w:ascii="宋体" w:hAnsi="宋体" w:eastAsia="宋体" w:cs="宋体"/>
          <w:b/>
          <w:kern w:val="0"/>
          <w:sz w:val="32"/>
          <w:szCs w:val="32"/>
          <w:highlight w:val="none"/>
        </w:rPr>
      </w:pPr>
    </w:p>
    <w:p w14:paraId="4AB05693">
      <w:pPr>
        <w:jc w:val="center"/>
        <w:rPr>
          <w:rFonts w:hint="eastAsia" w:ascii="宋体" w:hAnsi="宋体" w:eastAsia="宋体" w:cs="宋体"/>
          <w:b/>
          <w:kern w:val="0"/>
          <w:sz w:val="32"/>
          <w:szCs w:val="32"/>
          <w:highlight w:val="none"/>
        </w:rPr>
      </w:pPr>
    </w:p>
    <w:p w14:paraId="342CB745">
      <w:pPr>
        <w:jc w:val="center"/>
        <w:rPr>
          <w:rFonts w:hint="eastAsia" w:ascii="宋体" w:hAnsi="宋体" w:eastAsia="宋体" w:cs="宋体"/>
          <w:b/>
          <w:kern w:val="0"/>
          <w:sz w:val="32"/>
          <w:szCs w:val="32"/>
          <w:highlight w:val="none"/>
        </w:rPr>
      </w:pPr>
    </w:p>
    <w:p w14:paraId="243E8198">
      <w:pPr>
        <w:jc w:val="center"/>
        <w:rPr>
          <w:rFonts w:hint="eastAsia" w:ascii="宋体" w:hAnsi="宋体" w:eastAsia="宋体" w:cs="宋体"/>
          <w:b/>
          <w:kern w:val="0"/>
          <w:sz w:val="32"/>
          <w:szCs w:val="32"/>
          <w:highlight w:val="none"/>
        </w:rPr>
      </w:pPr>
    </w:p>
    <w:p w14:paraId="33FF984D">
      <w:pPr>
        <w:jc w:val="center"/>
        <w:rPr>
          <w:rFonts w:hint="eastAsia" w:ascii="宋体" w:hAnsi="宋体" w:eastAsia="宋体" w:cs="宋体"/>
          <w:b/>
          <w:kern w:val="0"/>
          <w:sz w:val="32"/>
          <w:szCs w:val="32"/>
          <w:highlight w:val="none"/>
        </w:rPr>
      </w:pPr>
    </w:p>
    <w:p w14:paraId="31D34324">
      <w:pPr>
        <w:jc w:val="center"/>
        <w:rPr>
          <w:rFonts w:hint="eastAsia" w:ascii="宋体" w:hAnsi="宋体" w:eastAsia="宋体" w:cs="宋体"/>
          <w:b/>
          <w:kern w:val="0"/>
          <w:sz w:val="32"/>
          <w:szCs w:val="32"/>
          <w:highlight w:val="none"/>
        </w:rPr>
      </w:pPr>
    </w:p>
    <w:p w14:paraId="1D4652E8">
      <w:pPr>
        <w:jc w:val="center"/>
        <w:rPr>
          <w:rFonts w:hint="eastAsia" w:ascii="宋体" w:hAnsi="宋体" w:eastAsia="宋体" w:cs="宋体"/>
          <w:b/>
          <w:kern w:val="0"/>
          <w:sz w:val="32"/>
          <w:szCs w:val="32"/>
          <w:highlight w:val="none"/>
          <w:lang w:val="zh-CN"/>
        </w:rPr>
      </w:pPr>
    </w:p>
    <w:p w14:paraId="433B206B">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kern w:val="0"/>
          <w:sz w:val="32"/>
          <w:szCs w:val="32"/>
          <w:highlight w:val="none"/>
          <w:lang w:val="zh-CN"/>
        </w:rPr>
        <w:t>二、授权委托书或法定代表人（单位负责人、自然人本人）身份</w:t>
      </w:r>
      <w:r>
        <w:rPr>
          <w:rFonts w:hint="eastAsia" w:ascii="宋体" w:hAnsi="宋体" w:eastAsia="宋体" w:cs="宋体"/>
          <w:b/>
          <w:color w:val="auto"/>
          <w:kern w:val="0"/>
          <w:sz w:val="32"/>
          <w:szCs w:val="32"/>
          <w:highlight w:val="none"/>
          <w:lang w:val="zh-CN"/>
        </w:rPr>
        <w:t>证明</w:t>
      </w:r>
    </w:p>
    <w:p w14:paraId="4ACFFF6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2596868">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3389B5C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9EAFFA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2024年临平区运河街道高标准农田示范区建设-农田数字化、灌排数字化项目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RTZFCG-2024-074-1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298FB07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A2B4F1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4FC2C4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3551D632">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4654C9A2">
      <w:pPr>
        <w:snapToGrid w:val="0"/>
        <w:spacing w:line="360" w:lineRule="auto"/>
        <w:rPr>
          <w:rFonts w:hint="eastAsia" w:ascii="宋体" w:hAnsi="宋体" w:eastAsia="宋体" w:cs="宋体"/>
          <w:color w:val="auto"/>
          <w:sz w:val="24"/>
          <w:highlight w:val="none"/>
        </w:rPr>
      </w:pPr>
    </w:p>
    <w:p w14:paraId="68890F9C">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05D76BF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A10DDE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2024年临平区运河街道高标准农田示范区建设-农田数字化、灌排数字化项目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RTZFCG-2024-074-1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4215B9B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062206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4882B8E">
      <w:pPr>
        <w:jc w:val="center"/>
        <w:rPr>
          <w:rFonts w:hint="eastAsia" w:ascii="宋体" w:hAnsi="宋体" w:eastAsia="宋体" w:cs="宋体"/>
          <w:b/>
          <w:color w:val="auto"/>
          <w:kern w:val="0"/>
          <w:sz w:val="32"/>
          <w:szCs w:val="32"/>
          <w:highlight w:val="none"/>
        </w:rPr>
      </w:pPr>
    </w:p>
    <w:p w14:paraId="21C50D33">
      <w:pPr>
        <w:rPr>
          <w:rFonts w:hint="eastAsia" w:ascii="宋体" w:hAnsi="宋体" w:eastAsia="宋体" w:cs="宋体"/>
          <w:color w:val="auto"/>
          <w:highlight w:val="none"/>
        </w:rPr>
      </w:pPr>
    </w:p>
    <w:p w14:paraId="247121B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BE28A2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C7FA97F">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78DF748">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1945E980">
      <w:pPr>
        <w:autoSpaceDE w:val="0"/>
        <w:autoSpaceDN w:val="0"/>
        <w:spacing w:line="360" w:lineRule="auto"/>
        <w:jc w:val="center"/>
        <w:rPr>
          <w:rFonts w:hint="eastAsia" w:ascii="宋体" w:hAnsi="宋体" w:eastAsia="宋体" w:cs="宋体"/>
          <w:b/>
          <w:kern w:val="0"/>
          <w:sz w:val="32"/>
          <w:szCs w:val="32"/>
          <w:highlight w:val="none"/>
          <w:lang w:val="zh-CN"/>
        </w:rPr>
      </w:pPr>
    </w:p>
    <w:p w14:paraId="53977D1C">
      <w:pPr>
        <w:autoSpaceDE w:val="0"/>
        <w:autoSpaceDN w:val="0"/>
        <w:spacing w:line="360" w:lineRule="auto"/>
        <w:jc w:val="center"/>
        <w:rPr>
          <w:rFonts w:hint="eastAsia" w:ascii="宋体" w:hAnsi="宋体" w:eastAsia="宋体" w:cs="宋体"/>
          <w:b/>
          <w:kern w:val="0"/>
          <w:sz w:val="32"/>
          <w:szCs w:val="32"/>
          <w:highlight w:val="none"/>
          <w:lang w:val="zh-CN"/>
        </w:rPr>
      </w:pPr>
    </w:p>
    <w:p w14:paraId="23D2ACB5">
      <w:pPr>
        <w:autoSpaceDE w:val="0"/>
        <w:autoSpaceDN w:val="0"/>
        <w:spacing w:line="360" w:lineRule="auto"/>
        <w:jc w:val="center"/>
        <w:rPr>
          <w:rFonts w:hint="eastAsia" w:ascii="宋体" w:hAnsi="宋体" w:eastAsia="宋体" w:cs="宋体"/>
          <w:b/>
          <w:kern w:val="0"/>
          <w:sz w:val="32"/>
          <w:szCs w:val="32"/>
          <w:highlight w:val="none"/>
          <w:lang w:val="zh-CN"/>
        </w:rPr>
      </w:pPr>
    </w:p>
    <w:p w14:paraId="51C69CC2">
      <w:pPr>
        <w:autoSpaceDE w:val="0"/>
        <w:autoSpaceDN w:val="0"/>
        <w:spacing w:line="360" w:lineRule="auto"/>
        <w:jc w:val="center"/>
        <w:rPr>
          <w:rFonts w:hint="eastAsia" w:ascii="宋体" w:hAnsi="宋体" w:eastAsia="宋体" w:cs="宋体"/>
          <w:b/>
          <w:kern w:val="0"/>
          <w:sz w:val="32"/>
          <w:szCs w:val="32"/>
          <w:highlight w:val="none"/>
          <w:lang w:val="zh-CN"/>
        </w:rPr>
      </w:pPr>
    </w:p>
    <w:p w14:paraId="24944D2C">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的身份证明（适用于法定代表人、单位负责人或者自然人本人代表投标人参加投标）</w:t>
      </w:r>
    </w:p>
    <w:p w14:paraId="49950946">
      <w:pPr>
        <w:pStyle w:val="88"/>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56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B0DB40E">
            <w:pPr>
              <w:pStyle w:val="88"/>
              <w:adjustRightIn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14:paraId="1998EFF5">
            <w:pPr>
              <w:pStyle w:val="88"/>
              <w:adjustRightInd w:val="0"/>
              <w:spacing w:line="360" w:lineRule="auto"/>
              <w:rPr>
                <w:rFonts w:hint="eastAsia" w:ascii="宋体" w:hAnsi="宋体" w:eastAsia="宋体" w:cs="宋体"/>
                <w:bCs/>
                <w:sz w:val="24"/>
                <w:highlight w:val="none"/>
              </w:rPr>
            </w:pPr>
          </w:p>
        </w:tc>
      </w:tr>
    </w:tbl>
    <w:p w14:paraId="0035FA04">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2D7137EC">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14:paraId="646E83FB">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27B00EB1">
      <w:pPr>
        <w:jc w:val="center"/>
        <w:rPr>
          <w:rFonts w:hint="eastAsia" w:ascii="宋体" w:hAnsi="宋体" w:eastAsia="宋体" w:cs="宋体"/>
          <w:b/>
          <w:kern w:val="0"/>
          <w:sz w:val="32"/>
          <w:szCs w:val="32"/>
          <w:highlight w:val="none"/>
        </w:rPr>
      </w:pPr>
    </w:p>
    <w:p w14:paraId="63EE3A9E">
      <w:pPr>
        <w:jc w:val="center"/>
        <w:rPr>
          <w:rFonts w:hint="eastAsia" w:ascii="宋体" w:hAnsi="宋体" w:eastAsia="宋体" w:cs="宋体"/>
          <w:b/>
          <w:kern w:val="0"/>
          <w:sz w:val="32"/>
          <w:szCs w:val="32"/>
          <w:highlight w:val="none"/>
        </w:rPr>
      </w:pPr>
    </w:p>
    <w:p w14:paraId="441E2FD0">
      <w:pPr>
        <w:jc w:val="center"/>
        <w:rPr>
          <w:rFonts w:hint="eastAsia" w:ascii="宋体" w:hAnsi="宋体" w:eastAsia="宋体" w:cs="宋体"/>
          <w:b/>
          <w:kern w:val="0"/>
          <w:sz w:val="32"/>
          <w:szCs w:val="32"/>
          <w:highlight w:val="none"/>
        </w:rPr>
      </w:pPr>
    </w:p>
    <w:p w14:paraId="55A4515D">
      <w:pPr>
        <w:jc w:val="center"/>
        <w:rPr>
          <w:rFonts w:hint="eastAsia" w:ascii="宋体" w:hAnsi="宋体" w:eastAsia="宋体" w:cs="宋体"/>
          <w:b/>
          <w:kern w:val="0"/>
          <w:sz w:val="32"/>
          <w:szCs w:val="32"/>
          <w:highlight w:val="none"/>
        </w:rPr>
      </w:pPr>
    </w:p>
    <w:p w14:paraId="6A9FA0C8">
      <w:pPr>
        <w:jc w:val="center"/>
        <w:rPr>
          <w:rFonts w:hint="eastAsia" w:ascii="宋体" w:hAnsi="宋体" w:eastAsia="宋体" w:cs="宋体"/>
          <w:b/>
          <w:kern w:val="0"/>
          <w:sz w:val="32"/>
          <w:szCs w:val="32"/>
          <w:highlight w:val="none"/>
        </w:rPr>
      </w:pPr>
    </w:p>
    <w:p w14:paraId="0B979659">
      <w:pPr>
        <w:jc w:val="center"/>
        <w:rPr>
          <w:rFonts w:hint="eastAsia" w:ascii="宋体" w:hAnsi="宋体" w:eastAsia="宋体" w:cs="宋体"/>
          <w:b/>
          <w:kern w:val="0"/>
          <w:sz w:val="32"/>
          <w:szCs w:val="32"/>
          <w:highlight w:val="none"/>
        </w:rPr>
      </w:pPr>
    </w:p>
    <w:p w14:paraId="150CD4D9">
      <w:pPr>
        <w:jc w:val="center"/>
        <w:rPr>
          <w:rFonts w:hint="eastAsia" w:ascii="宋体" w:hAnsi="宋体" w:eastAsia="宋体" w:cs="宋体"/>
          <w:b/>
          <w:kern w:val="0"/>
          <w:sz w:val="32"/>
          <w:szCs w:val="32"/>
          <w:highlight w:val="none"/>
        </w:rPr>
      </w:pPr>
    </w:p>
    <w:p w14:paraId="63AB3C46">
      <w:pPr>
        <w:jc w:val="center"/>
        <w:rPr>
          <w:rFonts w:hint="eastAsia" w:ascii="宋体" w:hAnsi="宋体" w:eastAsia="宋体" w:cs="宋体"/>
          <w:b/>
          <w:kern w:val="0"/>
          <w:sz w:val="32"/>
          <w:szCs w:val="32"/>
          <w:highlight w:val="none"/>
        </w:rPr>
      </w:pPr>
    </w:p>
    <w:p w14:paraId="29D63698">
      <w:pPr>
        <w:jc w:val="center"/>
        <w:rPr>
          <w:rFonts w:hint="eastAsia" w:ascii="宋体" w:hAnsi="宋体" w:eastAsia="宋体" w:cs="宋体"/>
          <w:b/>
          <w:kern w:val="0"/>
          <w:sz w:val="32"/>
          <w:szCs w:val="32"/>
          <w:highlight w:val="none"/>
        </w:rPr>
      </w:pPr>
    </w:p>
    <w:p w14:paraId="04663C0E">
      <w:pPr>
        <w:jc w:val="center"/>
        <w:rPr>
          <w:rFonts w:hint="eastAsia" w:ascii="宋体" w:hAnsi="宋体" w:eastAsia="宋体" w:cs="宋体"/>
          <w:b/>
          <w:kern w:val="0"/>
          <w:sz w:val="32"/>
          <w:szCs w:val="32"/>
          <w:highlight w:val="none"/>
        </w:rPr>
      </w:pPr>
    </w:p>
    <w:p w14:paraId="63D95CB5">
      <w:pPr>
        <w:snapToGrid w:val="0"/>
        <w:spacing w:line="360" w:lineRule="auto"/>
        <w:ind w:right="480"/>
        <w:rPr>
          <w:rFonts w:hint="eastAsia" w:ascii="宋体" w:hAnsi="宋体" w:eastAsia="宋体" w:cs="宋体"/>
          <w:b/>
          <w:kern w:val="0"/>
          <w:sz w:val="32"/>
          <w:szCs w:val="32"/>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782A3FF9">
      <w:pPr>
        <w:snapToGrid w:val="0"/>
        <w:spacing w:line="360" w:lineRule="auto"/>
        <w:ind w:firstLine="3534" w:firstLineChars="11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三、分</w:t>
      </w:r>
      <w:r>
        <w:rPr>
          <w:rFonts w:hint="eastAsia" w:ascii="宋体" w:hAnsi="宋体" w:eastAsia="宋体" w:cs="宋体"/>
          <w:b/>
          <w:color w:val="auto"/>
          <w:kern w:val="0"/>
          <w:sz w:val="32"/>
          <w:szCs w:val="32"/>
          <w:highlight w:val="none"/>
        </w:rPr>
        <w:t>包意向协议（如果有）</w:t>
      </w:r>
    </w:p>
    <w:p w14:paraId="53BB9B53">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sz w:val="24"/>
          <w:highlight w:val="none"/>
        </w:rPr>
        <w:t>]</w:t>
      </w:r>
    </w:p>
    <w:p w14:paraId="243DE7D5">
      <w:pPr>
        <w:snapToGrid w:val="0"/>
        <w:spacing w:line="360" w:lineRule="auto"/>
        <w:rPr>
          <w:rFonts w:hint="eastAsia" w:ascii="宋体" w:hAnsi="宋体" w:eastAsia="宋体" w:cs="宋体"/>
          <w:kern w:val="0"/>
          <w:sz w:val="24"/>
          <w:highlight w:val="none"/>
        </w:rPr>
      </w:pPr>
    </w:p>
    <w:p w14:paraId="20D22734">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四、符合性审查资料</w:t>
      </w:r>
    </w:p>
    <w:p w14:paraId="70C80CBE">
      <w:pPr>
        <w:jc w:val="center"/>
        <w:rPr>
          <w:rFonts w:hint="eastAsia" w:ascii="宋体" w:hAnsi="宋体" w:eastAsia="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587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AD481B3">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991" w:type="dxa"/>
            <w:vAlign w:val="center"/>
          </w:tcPr>
          <w:p w14:paraId="114B6257">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551" w:type="dxa"/>
            <w:vAlign w:val="center"/>
          </w:tcPr>
          <w:p w14:paraId="23DADD3F">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14:paraId="58244E62">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投标文件中的</w:t>
            </w:r>
          </w:p>
          <w:p w14:paraId="5DD0F0AA">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14:paraId="2D6B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774B84">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991" w:type="dxa"/>
            <w:vAlign w:val="top"/>
          </w:tcPr>
          <w:p w14:paraId="30E3D245">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投标文件按照招标文件要求签署、盖章。</w:t>
            </w:r>
          </w:p>
        </w:tc>
        <w:tc>
          <w:tcPr>
            <w:tcW w:w="2551" w:type="dxa"/>
            <w:vAlign w:val="center"/>
          </w:tcPr>
          <w:p w14:paraId="2ACD22DC">
            <w:pPr>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需要使用电子签名或者签字盖章的投标文件的组成部分</w:t>
            </w:r>
          </w:p>
        </w:tc>
        <w:tc>
          <w:tcPr>
            <w:tcW w:w="1418" w:type="dxa"/>
            <w:vAlign w:val="top"/>
          </w:tcPr>
          <w:p w14:paraId="43C1A070">
            <w:pPr>
              <w:rPr>
                <w:rFonts w:hint="eastAsia" w:ascii="宋体" w:hAnsi="宋体" w:eastAsia="宋体" w:cs="宋体"/>
                <w:sz w:val="24"/>
                <w:highlight w:val="none"/>
              </w:rPr>
            </w:pPr>
          </w:p>
          <w:p w14:paraId="4CB692E1">
            <w:pPr>
              <w:rPr>
                <w:rFonts w:hint="eastAsia" w:ascii="宋体" w:hAnsi="宋体" w:eastAsia="宋体" w:cs="宋体"/>
                <w:sz w:val="24"/>
                <w:highlight w:val="none"/>
              </w:rPr>
            </w:pPr>
            <w:r>
              <w:rPr>
                <w:rFonts w:hint="eastAsia" w:ascii="宋体" w:hAnsi="宋体" w:eastAsia="宋体" w:cs="宋体"/>
                <w:sz w:val="24"/>
                <w:highlight w:val="none"/>
              </w:rPr>
              <w:t>见投标文件</w:t>
            </w:r>
          </w:p>
          <w:p w14:paraId="603A509F">
            <w:pPr>
              <w:rPr>
                <w:rFonts w:hint="eastAsia" w:ascii="宋体" w:hAnsi="宋体" w:eastAsia="宋体" w:cs="宋体"/>
                <w:highlight w:val="none"/>
              </w:rPr>
            </w:pPr>
            <w:r>
              <w:rPr>
                <w:rFonts w:hint="eastAsia" w:ascii="宋体" w:hAnsi="宋体" w:eastAsia="宋体" w:cs="宋体"/>
                <w:sz w:val="24"/>
                <w:highlight w:val="none"/>
              </w:rPr>
              <w:t>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4997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CCA405">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991" w:type="dxa"/>
            <w:vAlign w:val="top"/>
          </w:tcPr>
          <w:p w14:paraId="4FFBABA7">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投标文件中承诺的投标有效期不少于招标文件中载明的投标有效期。</w:t>
            </w:r>
          </w:p>
        </w:tc>
        <w:tc>
          <w:tcPr>
            <w:tcW w:w="2551" w:type="dxa"/>
            <w:vAlign w:val="center"/>
          </w:tcPr>
          <w:p w14:paraId="772BF58E">
            <w:pPr>
              <w:rPr>
                <w:rFonts w:hint="eastAsia" w:ascii="宋体" w:hAnsi="宋体" w:eastAsia="宋体" w:cs="宋体"/>
                <w:sz w:val="24"/>
                <w:highlight w:val="none"/>
              </w:rPr>
            </w:pPr>
            <w:r>
              <w:rPr>
                <w:rFonts w:hint="eastAsia" w:ascii="宋体" w:hAnsi="宋体" w:eastAsia="宋体" w:cs="宋体"/>
                <w:sz w:val="24"/>
                <w:highlight w:val="none"/>
              </w:rPr>
              <w:t>投标函</w:t>
            </w:r>
          </w:p>
        </w:tc>
        <w:tc>
          <w:tcPr>
            <w:tcW w:w="1418" w:type="dxa"/>
            <w:vAlign w:val="top"/>
          </w:tcPr>
          <w:p w14:paraId="23FBCC17">
            <w:pPr>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5093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B3B475">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4991" w:type="dxa"/>
            <w:vAlign w:val="top"/>
          </w:tcPr>
          <w:p w14:paraId="106E6841">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投标文件满足招标文件的其它实质性要求。</w:t>
            </w:r>
          </w:p>
        </w:tc>
        <w:tc>
          <w:tcPr>
            <w:tcW w:w="2551" w:type="dxa"/>
            <w:vAlign w:val="center"/>
          </w:tcPr>
          <w:p w14:paraId="5AC32E2E">
            <w:pPr>
              <w:rPr>
                <w:rFonts w:hint="eastAsia" w:ascii="宋体" w:hAnsi="宋体" w:eastAsia="宋体" w:cs="宋体"/>
                <w:sz w:val="24"/>
                <w:highlight w:val="none"/>
              </w:rPr>
            </w:pPr>
            <w:r>
              <w:rPr>
                <w:rFonts w:hint="eastAsia" w:ascii="宋体" w:hAnsi="宋体" w:eastAsia="宋体" w:cs="宋体"/>
                <w:kern w:val="0"/>
                <w:sz w:val="24"/>
                <w:highlight w:val="none"/>
              </w:rPr>
              <w:t>招标文件其它实质性要求相应的材料（“</w:t>
            </w:r>
            <w:r>
              <w:rPr>
                <w:rFonts w:hint="eastAsia" w:ascii="宋体" w:hAnsi="宋体" w:eastAsia="宋体" w:cs="宋体"/>
                <w:b/>
                <w:bCs/>
                <w:sz w:val="24"/>
                <w:szCs w:val="24"/>
                <w:highlight w:val="none"/>
              </w:rPr>
              <w:t>●</w:t>
            </w:r>
            <w:r>
              <w:rPr>
                <w:rFonts w:hint="eastAsia" w:ascii="宋体" w:hAnsi="宋体" w:eastAsia="宋体" w:cs="宋体"/>
                <w:kern w:val="0"/>
                <w:sz w:val="24"/>
                <w:highlight w:val="none"/>
              </w:rPr>
              <w:t>” 系指实质性要求条款，招标文件无其它实质性要求的，无需提供）</w:t>
            </w:r>
          </w:p>
        </w:tc>
        <w:tc>
          <w:tcPr>
            <w:tcW w:w="1418" w:type="dxa"/>
            <w:vAlign w:val="top"/>
          </w:tcPr>
          <w:p w14:paraId="792339C7">
            <w:pPr>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bl>
    <w:p w14:paraId="1C7D68B6">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1C464550">
      <w:pPr>
        <w:jc w:val="center"/>
        <w:rPr>
          <w:rFonts w:hint="eastAsia" w:ascii="宋体" w:hAnsi="宋体" w:eastAsia="宋体" w:cs="宋体"/>
          <w:b/>
          <w:kern w:val="0"/>
          <w:sz w:val="32"/>
          <w:szCs w:val="32"/>
          <w:highlight w:val="none"/>
        </w:rPr>
      </w:pPr>
    </w:p>
    <w:p w14:paraId="3A479722">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 xml:space="preserve">            </w:t>
      </w:r>
    </w:p>
    <w:p w14:paraId="17A205E6">
      <w:pPr>
        <w:jc w:val="center"/>
        <w:rPr>
          <w:rFonts w:hint="eastAsia" w:ascii="宋体" w:hAnsi="宋体" w:eastAsia="宋体" w:cs="宋体"/>
          <w:b/>
          <w:kern w:val="0"/>
          <w:sz w:val="32"/>
          <w:szCs w:val="32"/>
          <w:highlight w:val="none"/>
        </w:rPr>
      </w:pPr>
    </w:p>
    <w:p w14:paraId="58F68C14">
      <w:pPr>
        <w:jc w:val="center"/>
        <w:rPr>
          <w:rFonts w:hint="eastAsia" w:ascii="宋体" w:hAnsi="宋体" w:eastAsia="宋体" w:cs="宋体"/>
          <w:b/>
          <w:kern w:val="0"/>
          <w:sz w:val="32"/>
          <w:szCs w:val="32"/>
          <w:highlight w:val="none"/>
        </w:rPr>
      </w:pPr>
    </w:p>
    <w:p w14:paraId="72EBD485">
      <w:pPr>
        <w:jc w:val="center"/>
        <w:rPr>
          <w:rFonts w:hint="eastAsia" w:ascii="宋体" w:hAnsi="宋体" w:eastAsia="宋体" w:cs="宋体"/>
          <w:b/>
          <w:kern w:val="0"/>
          <w:sz w:val="32"/>
          <w:szCs w:val="32"/>
          <w:highlight w:val="none"/>
        </w:rPr>
      </w:pPr>
    </w:p>
    <w:p w14:paraId="5BBA558A">
      <w:pPr>
        <w:jc w:val="center"/>
        <w:rPr>
          <w:rFonts w:hint="eastAsia" w:ascii="宋体" w:hAnsi="宋体" w:eastAsia="宋体" w:cs="宋体"/>
          <w:b/>
          <w:kern w:val="0"/>
          <w:sz w:val="32"/>
          <w:szCs w:val="32"/>
          <w:highlight w:val="none"/>
        </w:rPr>
      </w:pPr>
    </w:p>
    <w:p w14:paraId="11A7469E">
      <w:pPr>
        <w:jc w:val="center"/>
        <w:rPr>
          <w:rFonts w:hint="eastAsia" w:ascii="宋体" w:hAnsi="宋体" w:eastAsia="宋体" w:cs="宋体"/>
          <w:b/>
          <w:kern w:val="0"/>
          <w:sz w:val="32"/>
          <w:szCs w:val="32"/>
          <w:highlight w:val="none"/>
        </w:rPr>
      </w:pPr>
    </w:p>
    <w:p w14:paraId="15DB36D6">
      <w:pPr>
        <w:jc w:val="center"/>
        <w:rPr>
          <w:rFonts w:hint="eastAsia" w:ascii="宋体" w:hAnsi="宋体" w:eastAsia="宋体" w:cs="宋体"/>
          <w:b/>
          <w:kern w:val="0"/>
          <w:sz w:val="32"/>
          <w:szCs w:val="32"/>
          <w:highlight w:val="none"/>
        </w:rPr>
      </w:pPr>
    </w:p>
    <w:p w14:paraId="470FD371">
      <w:pPr>
        <w:jc w:val="center"/>
        <w:rPr>
          <w:rFonts w:hint="eastAsia" w:ascii="宋体" w:hAnsi="宋体" w:eastAsia="宋体" w:cs="宋体"/>
          <w:b/>
          <w:kern w:val="0"/>
          <w:sz w:val="32"/>
          <w:szCs w:val="32"/>
          <w:highlight w:val="none"/>
        </w:rPr>
      </w:pPr>
    </w:p>
    <w:p w14:paraId="79F90997">
      <w:pPr>
        <w:jc w:val="center"/>
        <w:rPr>
          <w:rFonts w:hint="eastAsia" w:ascii="宋体" w:hAnsi="宋体" w:eastAsia="宋体" w:cs="宋体"/>
          <w:b/>
          <w:kern w:val="0"/>
          <w:sz w:val="32"/>
          <w:szCs w:val="32"/>
          <w:highlight w:val="none"/>
        </w:rPr>
      </w:pPr>
    </w:p>
    <w:p w14:paraId="3FB9CAFD">
      <w:pPr>
        <w:jc w:val="center"/>
        <w:rPr>
          <w:rFonts w:hint="eastAsia" w:ascii="宋体" w:hAnsi="宋体" w:eastAsia="宋体" w:cs="宋体"/>
          <w:b/>
          <w:kern w:val="0"/>
          <w:sz w:val="32"/>
          <w:szCs w:val="32"/>
          <w:highlight w:val="none"/>
        </w:rPr>
      </w:pPr>
    </w:p>
    <w:p w14:paraId="16A2FD1F">
      <w:pPr>
        <w:jc w:val="center"/>
        <w:rPr>
          <w:rFonts w:hint="eastAsia" w:ascii="宋体" w:hAnsi="宋体" w:eastAsia="宋体" w:cs="宋体"/>
          <w:b/>
          <w:kern w:val="0"/>
          <w:sz w:val="32"/>
          <w:szCs w:val="32"/>
          <w:highlight w:val="none"/>
        </w:rPr>
      </w:pPr>
    </w:p>
    <w:p w14:paraId="2064A418">
      <w:pPr>
        <w:jc w:val="center"/>
        <w:rPr>
          <w:rFonts w:hint="eastAsia" w:ascii="宋体" w:hAnsi="宋体" w:eastAsia="宋体" w:cs="宋体"/>
          <w:b/>
          <w:kern w:val="0"/>
          <w:sz w:val="32"/>
          <w:szCs w:val="32"/>
          <w:highlight w:val="none"/>
        </w:rPr>
      </w:pPr>
    </w:p>
    <w:p w14:paraId="45AFDE10">
      <w:pPr>
        <w:jc w:val="center"/>
        <w:rPr>
          <w:rFonts w:hint="eastAsia" w:ascii="宋体" w:hAnsi="宋体" w:eastAsia="宋体" w:cs="宋体"/>
          <w:b/>
          <w:kern w:val="0"/>
          <w:sz w:val="32"/>
          <w:szCs w:val="32"/>
          <w:highlight w:val="none"/>
        </w:rPr>
      </w:pPr>
    </w:p>
    <w:p w14:paraId="6D423DB1">
      <w:pPr>
        <w:jc w:val="center"/>
        <w:rPr>
          <w:rFonts w:hint="eastAsia" w:ascii="宋体" w:hAnsi="宋体" w:eastAsia="宋体" w:cs="宋体"/>
          <w:highlight w:val="none"/>
        </w:rPr>
      </w:pPr>
      <w:r>
        <w:rPr>
          <w:rFonts w:hint="eastAsia" w:ascii="宋体" w:hAnsi="宋体" w:eastAsia="宋体" w:cs="宋体"/>
          <w:b/>
          <w:kern w:val="0"/>
          <w:sz w:val="32"/>
          <w:szCs w:val="32"/>
          <w:highlight w:val="none"/>
        </w:rPr>
        <w:t>五、评标标准相应的商务技术资料</w:t>
      </w:r>
    </w:p>
    <w:p w14:paraId="6F9DFE02">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p w14:paraId="1A181386">
      <w:pPr>
        <w:jc w:val="center"/>
        <w:rPr>
          <w:rFonts w:hint="eastAsia" w:ascii="宋体" w:hAnsi="宋体" w:eastAsia="宋体" w:cs="宋体"/>
          <w:b/>
          <w:kern w:val="0"/>
          <w:sz w:val="32"/>
          <w:szCs w:val="32"/>
          <w:highlight w:val="none"/>
        </w:rPr>
      </w:pPr>
    </w:p>
    <w:p w14:paraId="2BB99D4F">
      <w:pPr>
        <w:jc w:val="center"/>
        <w:rPr>
          <w:rFonts w:hint="eastAsia" w:ascii="宋体" w:hAnsi="宋体" w:eastAsia="宋体" w:cs="宋体"/>
          <w:b/>
          <w:kern w:val="0"/>
          <w:sz w:val="32"/>
          <w:szCs w:val="32"/>
          <w:highlight w:val="none"/>
        </w:rPr>
      </w:pPr>
    </w:p>
    <w:p w14:paraId="21C09CDB">
      <w:pPr>
        <w:jc w:val="center"/>
        <w:rPr>
          <w:rFonts w:hint="eastAsia" w:ascii="宋体" w:hAnsi="宋体" w:eastAsia="宋体" w:cs="宋体"/>
          <w:b/>
          <w:kern w:val="0"/>
          <w:sz w:val="32"/>
          <w:szCs w:val="32"/>
          <w:highlight w:val="none"/>
        </w:rPr>
      </w:pPr>
    </w:p>
    <w:p w14:paraId="1C18B5AB">
      <w:pPr>
        <w:ind w:firstLine="2891" w:firstLineChars="9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CEE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AB111C">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C18E1E1">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E91AA0C">
            <w:pPr>
              <w:spacing w:line="360" w:lineRule="auto"/>
              <w:jc w:val="center"/>
              <w:rPr>
                <w:rFonts w:hint="eastAsia" w:ascii="宋体" w:hAnsi="宋体" w:eastAsia="宋体" w:cs="宋体"/>
                <w:b/>
                <w:sz w:val="24"/>
                <w:highlight w:val="none"/>
              </w:rPr>
            </w:pPr>
          </w:p>
          <w:p w14:paraId="35F5FD4F">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1E06AE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6BC9DFB">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8AF1A3D">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F68BEAF">
            <w:pPr>
              <w:spacing w:line="360" w:lineRule="auto"/>
              <w:jc w:val="center"/>
              <w:rPr>
                <w:rFonts w:hint="eastAsia" w:ascii="宋体" w:hAnsi="宋体" w:eastAsia="宋体" w:cs="宋体"/>
                <w:b/>
                <w:sz w:val="24"/>
                <w:highlight w:val="none"/>
              </w:rPr>
            </w:pPr>
          </w:p>
          <w:p w14:paraId="1C49E3C9">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备注（如果有）</w:t>
            </w:r>
          </w:p>
          <w:p w14:paraId="5CF163DC">
            <w:pPr>
              <w:spacing w:line="360" w:lineRule="auto"/>
              <w:jc w:val="center"/>
              <w:rPr>
                <w:rFonts w:hint="eastAsia" w:ascii="宋体" w:hAnsi="宋体" w:eastAsia="宋体" w:cs="宋体"/>
                <w:b/>
                <w:sz w:val="24"/>
                <w:highlight w:val="none"/>
              </w:rPr>
            </w:pPr>
          </w:p>
        </w:tc>
      </w:tr>
      <w:tr w14:paraId="2D22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5AF5EC">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FDA93E6">
            <w:pPr>
              <w:snapToGrid w:val="0"/>
              <w:spacing w:line="360" w:lineRule="auto"/>
              <w:jc w:val="center"/>
              <w:rPr>
                <w:rFonts w:hint="eastAsia" w:ascii="宋体" w:hAnsi="宋体" w:eastAsia="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27EA820">
            <w:pPr>
              <w:snapToGrid w:val="0"/>
              <w:spacing w:line="360" w:lineRule="auto"/>
              <w:jc w:val="center"/>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534AF1">
            <w:pPr>
              <w:snapToGrid w:val="0"/>
              <w:spacing w:line="360" w:lineRule="auto"/>
              <w:jc w:val="center"/>
              <w:rPr>
                <w:rFonts w:hint="eastAsia" w:ascii="宋体" w:hAnsi="宋体" w:eastAsia="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19806E2">
            <w:pPr>
              <w:spacing w:line="360" w:lineRule="auto"/>
              <w:jc w:val="center"/>
              <w:rPr>
                <w:rFonts w:hint="eastAsia" w:ascii="宋体" w:hAnsi="宋体" w:eastAsia="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BBEE811">
            <w:pPr>
              <w:spacing w:line="360" w:lineRule="auto"/>
              <w:jc w:val="center"/>
              <w:rPr>
                <w:rFonts w:hint="eastAsia" w:ascii="宋体" w:hAnsi="宋体" w:eastAsia="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81AD4E2">
            <w:pPr>
              <w:spacing w:line="360" w:lineRule="auto"/>
              <w:jc w:val="center"/>
              <w:rPr>
                <w:rFonts w:hint="eastAsia" w:ascii="宋体" w:hAnsi="宋体" w:eastAsia="宋体" w:cs="宋体"/>
                <w:sz w:val="24"/>
                <w:highlight w:val="none"/>
              </w:rPr>
            </w:pPr>
          </w:p>
        </w:tc>
      </w:tr>
      <w:tr w14:paraId="18F4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2B89B0">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80278AF">
            <w:pPr>
              <w:snapToGrid w:val="0"/>
              <w:spacing w:line="360" w:lineRule="auto"/>
              <w:jc w:val="center"/>
              <w:rPr>
                <w:rFonts w:hint="eastAsia" w:ascii="宋体" w:hAnsi="宋体" w:eastAsia="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8266F4">
            <w:pPr>
              <w:snapToGrid w:val="0"/>
              <w:spacing w:line="360" w:lineRule="auto"/>
              <w:jc w:val="center"/>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56BC82">
            <w:pPr>
              <w:snapToGrid w:val="0"/>
              <w:spacing w:line="360" w:lineRule="auto"/>
              <w:jc w:val="center"/>
              <w:rPr>
                <w:rFonts w:hint="eastAsia" w:ascii="宋体" w:hAnsi="宋体" w:eastAsia="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EBB7C2">
            <w:pPr>
              <w:spacing w:line="360" w:lineRule="auto"/>
              <w:jc w:val="center"/>
              <w:rPr>
                <w:rFonts w:hint="eastAsia" w:ascii="宋体" w:hAnsi="宋体" w:eastAsia="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E3818EF">
            <w:pPr>
              <w:spacing w:line="360" w:lineRule="auto"/>
              <w:jc w:val="center"/>
              <w:rPr>
                <w:rFonts w:hint="eastAsia" w:ascii="宋体" w:hAnsi="宋体" w:eastAsia="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5F911AE">
            <w:pPr>
              <w:spacing w:line="360" w:lineRule="auto"/>
              <w:jc w:val="center"/>
              <w:rPr>
                <w:rFonts w:hint="eastAsia" w:ascii="宋体" w:hAnsi="宋体" w:eastAsia="宋体" w:cs="宋体"/>
                <w:sz w:val="24"/>
                <w:highlight w:val="none"/>
              </w:rPr>
            </w:pPr>
          </w:p>
        </w:tc>
      </w:tr>
      <w:tr w14:paraId="599B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11908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7FB699F">
            <w:pPr>
              <w:snapToGrid w:val="0"/>
              <w:spacing w:line="360" w:lineRule="auto"/>
              <w:jc w:val="center"/>
              <w:rPr>
                <w:rFonts w:hint="eastAsia" w:ascii="宋体" w:hAnsi="宋体" w:eastAsia="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4671C30">
            <w:pPr>
              <w:snapToGrid w:val="0"/>
              <w:spacing w:line="360" w:lineRule="auto"/>
              <w:jc w:val="center"/>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E90C7F9">
            <w:pPr>
              <w:snapToGrid w:val="0"/>
              <w:spacing w:line="360" w:lineRule="auto"/>
              <w:jc w:val="center"/>
              <w:rPr>
                <w:rFonts w:hint="eastAsia" w:ascii="宋体" w:hAnsi="宋体" w:eastAsia="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2121B47">
            <w:pPr>
              <w:spacing w:line="360" w:lineRule="auto"/>
              <w:jc w:val="center"/>
              <w:rPr>
                <w:rFonts w:hint="eastAsia" w:ascii="宋体" w:hAnsi="宋体" w:eastAsia="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E1A5D3B">
            <w:pPr>
              <w:spacing w:line="360" w:lineRule="auto"/>
              <w:jc w:val="center"/>
              <w:rPr>
                <w:rFonts w:hint="eastAsia" w:ascii="宋体" w:hAnsi="宋体" w:eastAsia="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1D4682F">
            <w:pPr>
              <w:spacing w:line="360" w:lineRule="auto"/>
              <w:jc w:val="center"/>
              <w:rPr>
                <w:rFonts w:hint="eastAsia" w:ascii="宋体" w:hAnsi="宋体" w:eastAsia="宋体" w:cs="宋体"/>
                <w:sz w:val="24"/>
                <w:highlight w:val="none"/>
              </w:rPr>
            </w:pPr>
          </w:p>
        </w:tc>
      </w:tr>
    </w:tbl>
    <w:p w14:paraId="571F2C23">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44848684">
      <w:pPr>
        <w:jc w:val="center"/>
        <w:rPr>
          <w:rFonts w:hint="eastAsia" w:ascii="宋体" w:hAnsi="宋体" w:eastAsia="宋体" w:cs="宋体"/>
          <w:b/>
          <w:kern w:val="0"/>
          <w:sz w:val="32"/>
          <w:szCs w:val="32"/>
          <w:highlight w:val="none"/>
        </w:rPr>
      </w:pPr>
    </w:p>
    <w:p w14:paraId="27FB3C8D">
      <w:pPr>
        <w:jc w:val="center"/>
        <w:rPr>
          <w:rFonts w:hint="eastAsia" w:ascii="宋体" w:hAnsi="宋体" w:eastAsia="宋体" w:cs="宋体"/>
          <w:b/>
          <w:kern w:val="0"/>
          <w:sz w:val="32"/>
          <w:szCs w:val="32"/>
          <w:highlight w:val="none"/>
        </w:rPr>
      </w:pPr>
    </w:p>
    <w:p w14:paraId="290AC689">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31E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88CE852">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vAlign w:val="top"/>
          </w:tcPr>
          <w:p w14:paraId="5FE1B443">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vAlign w:val="top"/>
          </w:tcPr>
          <w:p w14:paraId="43EAF77E">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vAlign w:val="top"/>
          </w:tcPr>
          <w:p w14:paraId="226614E0">
            <w:pPr>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14:paraId="7085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8F812F2">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vAlign w:val="top"/>
          </w:tcPr>
          <w:p w14:paraId="19168410">
            <w:pPr>
              <w:jc w:val="center"/>
              <w:rPr>
                <w:rFonts w:hint="eastAsia" w:ascii="宋体" w:hAnsi="宋体" w:eastAsia="宋体" w:cs="宋体"/>
                <w:b/>
                <w:kern w:val="0"/>
                <w:sz w:val="32"/>
                <w:szCs w:val="32"/>
                <w:highlight w:val="none"/>
              </w:rPr>
            </w:pPr>
          </w:p>
        </w:tc>
        <w:tc>
          <w:tcPr>
            <w:tcW w:w="3546" w:type="dxa"/>
            <w:vAlign w:val="top"/>
          </w:tcPr>
          <w:p w14:paraId="5EBD304D">
            <w:pPr>
              <w:jc w:val="center"/>
              <w:rPr>
                <w:rFonts w:hint="eastAsia" w:ascii="宋体" w:hAnsi="宋体" w:eastAsia="宋体" w:cs="宋体"/>
                <w:b/>
                <w:kern w:val="0"/>
                <w:sz w:val="32"/>
                <w:szCs w:val="32"/>
                <w:highlight w:val="none"/>
              </w:rPr>
            </w:pPr>
          </w:p>
        </w:tc>
        <w:tc>
          <w:tcPr>
            <w:tcW w:w="1276" w:type="dxa"/>
            <w:vAlign w:val="top"/>
          </w:tcPr>
          <w:p w14:paraId="48871728">
            <w:pPr>
              <w:jc w:val="center"/>
              <w:rPr>
                <w:rFonts w:hint="eastAsia" w:ascii="宋体" w:hAnsi="宋体" w:eastAsia="宋体" w:cs="宋体"/>
                <w:b/>
                <w:kern w:val="0"/>
                <w:sz w:val="32"/>
                <w:szCs w:val="32"/>
                <w:highlight w:val="none"/>
              </w:rPr>
            </w:pPr>
          </w:p>
        </w:tc>
      </w:tr>
      <w:tr w14:paraId="0897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339A41C">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vAlign w:val="top"/>
          </w:tcPr>
          <w:p w14:paraId="34BC27F0">
            <w:pPr>
              <w:jc w:val="center"/>
              <w:rPr>
                <w:rFonts w:hint="eastAsia" w:ascii="宋体" w:hAnsi="宋体" w:eastAsia="宋体" w:cs="宋体"/>
                <w:b/>
                <w:kern w:val="0"/>
                <w:sz w:val="32"/>
                <w:szCs w:val="32"/>
                <w:highlight w:val="none"/>
              </w:rPr>
            </w:pPr>
          </w:p>
        </w:tc>
        <w:tc>
          <w:tcPr>
            <w:tcW w:w="3546" w:type="dxa"/>
            <w:vAlign w:val="top"/>
          </w:tcPr>
          <w:p w14:paraId="6D663D3E">
            <w:pPr>
              <w:jc w:val="center"/>
              <w:rPr>
                <w:rFonts w:hint="eastAsia" w:ascii="宋体" w:hAnsi="宋体" w:eastAsia="宋体" w:cs="宋体"/>
                <w:b/>
                <w:kern w:val="0"/>
                <w:sz w:val="32"/>
                <w:szCs w:val="32"/>
                <w:highlight w:val="none"/>
              </w:rPr>
            </w:pPr>
          </w:p>
        </w:tc>
        <w:tc>
          <w:tcPr>
            <w:tcW w:w="1276" w:type="dxa"/>
            <w:vAlign w:val="top"/>
          </w:tcPr>
          <w:p w14:paraId="33FADE63">
            <w:pPr>
              <w:jc w:val="center"/>
              <w:rPr>
                <w:rFonts w:hint="eastAsia" w:ascii="宋体" w:hAnsi="宋体" w:eastAsia="宋体" w:cs="宋体"/>
                <w:b/>
                <w:kern w:val="0"/>
                <w:sz w:val="32"/>
                <w:szCs w:val="32"/>
                <w:highlight w:val="none"/>
              </w:rPr>
            </w:pPr>
          </w:p>
        </w:tc>
      </w:tr>
      <w:tr w14:paraId="63C1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71F3C6D">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vAlign w:val="top"/>
          </w:tcPr>
          <w:p w14:paraId="485319BA">
            <w:pPr>
              <w:jc w:val="center"/>
              <w:rPr>
                <w:rFonts w:hint="eastAsia" w:ascii="宋体" w:hAnsi="宋体" w:eastAsia="宋体" w:cs="宋体"/>
                <w:b/>
                <w:kern w:val="0"/>
                <w:sz w:val="32"/>
                <w:szCs w:val="32"/>
                <w:highlight w:val="none"/>
              </w:rPr>
            </w:pPr>
          </w:p>
        </w:tc>
        <w:tc>
          <w:tcPr>
            <w:tcW w:w="3546" w:type="dxa"/>
            <w:vAlign w:val="top"/>
          </w:tcPr>
          <w:p w14:paraId="0DFDF807">
            <w:pPr>
              <w:jc w:val="center"/>
              <w:rPr>
                <w:rFonts w:hint="eastAsia" w:ascii="宋体" w:hAnsi="宋体" w:eastAsia="宋体" w:cs="宋体"/>
                <w:b/>
                <w:kern w:val="0"/>
                <w:sz w:val="32"/>
                <w:szCs w:val="32"/>
                <w:highlight w:val="none"/>
              </w:rPr>
            </w:pPr>
          </w:p>
        </w:tc>
        <w:tc>
          <w:tcPr>
            <w:tcW w:w="1276" w:type="dxa"/>
            <w:vAlign w:val="top"/>
          </w:tcPr>
          <w:p w14:paraId="36407681">
            <w:pPr>
              <w:jc w:val="center"/>
              <w:rPr>
                <w:rFonts w:hint="eastAsia" w:ascii="宋体" w:hAnsi="宋体" w:eastAsia="宋体" w:cs="宋体"/>
                <w:b/>
                <w:kern w:val="0"/>
                <w:sz w:val="32"/>
                <w:szCs w:val="32"/>
                <w:highlight w:val="none"/>
              </w:rPr>
            </w:pPr>
          </w:p>
        </w:tc>
      </w:tr>
    </w:tbl>
    <w:p w14:paraId="69BE1214">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14:paraId="5E010F6D">
      <w:pPr>
        <w:jc w:val="center"/>
        <w:rPr>
          <w:rFonts w:hint="eastAsia" w:ascii="宋体" w:hAnsi="宋体" w:eastAsia="宋体" w:cs="宋体"/>
          <w:b/>
          <w:kern w:val="0"/>
          <w:sz w:val="32"/>
          <w:szCs w:val="32"/>
          <w:highlight w:val="none"/>
        </w:rPr>
      </w:pPr>
    </w:p>
    <w:p w14:paraId="529711BE">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63EF775C">
      <w:pPr>
        <w:ind w:firstLine="1911" w:firstLineChars="595"/>
        <w:rPr>
          <w:rFonts w:hint="eastAsia" w:ascii="宋体" w:hAnsi="宋体" w:eastAsia="宋体" w:cs="宋体"/>
          <w:b/>
          <w:bCs/>
          <w:sz w:val="32"/>
          <w:szCs w:val="32"/>
          <w:highlight w:val="none"/>
        </w:rPr>
      </w:pPr>
    </w:p>
    <w:p w14:paraId="0A2A576F">
      <w:pPr>
        <w:ind w:firstLine="1911" w:firstLineChars="595"/>
        <w:rPr>
          <w:rFonts w:hint="eastAsia" w:ascii="宋体" w:hAnsi="宋体" w:eastAsia="宋体" w:cs="宋体"/>
          <w:b/>
          <w:bCs/>
          <w:sz w:val="32"/>
          <w:szCs w:val="32"/>
          <w:highlight w:val="none"/>
        </w:rPr>
      </w:pPr>
    </w:p>
    <w:p w14:paraId="21235D7D">
      <w:pPr>
        <w:ind w:firstLine="1911" w:firstLineChars="595"/>
        <w:rPr>
          <w:rFonts w:hint="eastAsia" w:ascii="宋体" w:hAnsi="宋体" w:eastAsia="宋体" w:cs="宋体"/>
          <w:b/>
          <w:bCs/>
          <w:sz w:val="32"/>
          <w:szCs w:val="32"/>
          <w:highlight w:val="none"/>
        </w:rPr>
      </w:pPr>
    </w:p>
    <w:p w14:paraId="248A0BB2">
      <w:pPr>
        <w:ind w:firstLine="0" w:firstLineChars="0"/>
        <w:jc w:val="center"/>
        <w:rPr>
          <w:rFonts w:hint="eastAsia" w:ascii="宋体" w:hAnsi="宋体" w:eastAsia="宋体" w:cs="宋体"/>
          <w:b/>
          <w:bCs/>
          <w:color w:val="auto"/>
          <w:sz w:val="32"/>
          <w:szCs w:val="32"/>
          <w:highlight w:val="none"/>
        </w:rPr>
      </w:pPr>
      <w:r>
        <w:rPr>
          <w:rFonts w:hint="eastAsia" w:ascii="宋体" w:hAnsi="宋体" w:eastAsia="宋体" w:cs="宋体"/>
          <w:b/>
          <w:bCs/>
          <w:sz w:val="32"/>
          <w:szCs w:val="32"/>
          <w:highlight w:val="none"/>
        </w:rPr>
        <w:br w:type="page"/>
      </w: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cs="宋体"/>
          <w:b/>
          <w:color w:val="auto"/>
          <w:kern w:val="0"/>
          <w:sz w:val="32"/>
          <w:szCs w:val="32"/>
          <w:highlight w:val="none"/>
          <w:lang w:val="zh-CN"/>
        </w:rPr>
        <w:t>所投产品配置表</w:t>
      </w:r>
    </w:p>
    <w:p w14:paraId="11B5C5A0">
      <w:pPr>
        <w:ind w:firstLine="1911" w:firstLineChars="595"/>
        <w:rPr>
          <w:rFonts w:hint="eastAsia" w:ascii="宋体" w:hAnsi="宋体" w:eastAsia="宋体" w:cs="宋体"/>
          <w:b/>
          <w:bCs/>
          <w:color w:val="auto"/>
          <w:sz w:val="32"/>
          <w:szCs w:val="32"/>
          <w:highlight w:val="none"/>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783"/>
        <w:gridCol w:w="1884"/>
        <w:gridCol w:w="1482"/>
        <w:gridCol w:w="1673"/>
      </w:tblGrid>
      <w:tr w14:paraId="7D44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04BE65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8C4338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3E80CE1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884" w:type="dxa"/>
            <w:tcBorders>
              <w:top w:val="single" w:color="auto" w:sz="4" w:space="0"/>
              <w:left w:val="single" w:color="auto" w:sz="4" w:space="0"/>
              <w:bottom w:val="single" w:color="auto" w:sz="4" w:space="0"/>
              <w:right w:val="single" w:color="auto" w:sz="4" w:space="0"/>
            </w:tcBorders>
            <w:noWrap w:val="0"/>
            <w:vAlign w:val="center"/>
          </w:tcPr>
          <w:p w14:paraId="2A5F335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10AA523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9DD5C2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06A6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1A8152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7A215DD">
            <w:pPr>
              <w:snapToGrid w:val="0"/>
              <w:spacing w:line="360" w:lineRule="auto"/>
              <w:jc w:val="center"/>
              <w:rPr>
                <w:rFonts w:hint="eastAsia" w:ascii="宋体" w:hAnsi="宋体" w:eastAsia="宋体" w:cs="宋体"/>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0AAC03F9">
            <w:pPr>
              <w:snapToGrid w:val="0"/>
              <w:spacing w:line="360" w:lineRule="auto"/>
              <w:jc w:val="center"/>
              <w:rPr>
                <w:rFonts w:hint="eastAsia" w:ascii="宋体" w:hAnsi="宋体" w:eastAsia="宋体" w:cs="宋体"/>
                <w:color w:val="auto"/>
                <w:sz w:val="24"/>
                <w:highlight w:val="none"/>
              </w:rPr>
            </w:pPr>
          </w:p>
        </w:tc>
        <w:tc>
          <w:tcPr>
            <w:tcW w:w="1884" w:type="dxa"/>
            <w:tcBorders>
              <w:top w:val="single" w:color="auto" w:sz="4" w:space="0"/>
              <w:left w:val="single" w:color="auto" w:sz="4" w:space="0"/>
              <w:bottom w:val="single" w:color="auto" w:sz="4" w:space="0"/>
              <w:right w:val="single" w:color="auto" w:sz="4" w:space="0"/>
            </w:tcBorders>
            <w:noWrap w:val="0"/>
            <w:vAlign w:val="center"/>
          </w:tcPr>
          <w:p w14:paraId="2A3D3EAF">
            <w:pPr>
              <w:snapToGrid w:val="0"/>
              <w:spacing w:line="360" w:lineRule="auto"/>
              <w:jc w:val="center"/>
              <w:rPr>
                <w:rFonts w:hint="eastAsia" w:ascii="宋体" w:hAnsi="宋体" w:eastAsia="宋体" w:cs="宋体"/>
                <w:color w:val="auto"/>
                <w:sz w:val="24"/>
                <w:highlight w:val="none"/>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14:paraId="2CE5E93F">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1944A9A0">
            <w:pPr>
              <w:spacing w:line="360" w:lineRule="auto"/>
              <w:jc w:val="center"/>
              <w:rPr>
                <w:rFonts w:hint="eastAsia" w:ascii="宋体" w:hAnsi="宋体" w:eastAsia="宋体" w:cs="宋体"/>
                <w:color w:val="auto"/>
                <w:sz w:val="24"/>
                <w:highlight w:val="none"/>
              </w:rPr>
            </w:pPr>
          </w:p>
        </w:tc>
      </w:tr>
      <w:tr w14:paraId="4A03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168F8A2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7A1D0CC">
            <w:pPr>
              <w:snapToGrid w:val="0"/>
              <w:spacing w:line="360" w:lineRule="auto"/>
              <w:jc w:val="center"/>
              <w:rPr>
                <w:rFonts w:hint="eastAsia" w:ascii="宋体" w:hAnsi="宋体" w:eastAsia="宋体" w:cs="宋体"/>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664D7382">
            <w:pPr>
              <w:snapToGrid w:val="0"/>
              <w:spacing w:line="360" w:lineRule="auto"/>
              <w:jc w:val="center"/>
              <w:rPr>
                <w:rFonts w:hint="eastAsia" w:ascii="宋体" w:hAnsi="宋体" w:eastAsia="宋体" w:cs="宋体"/>
                <w:color w:val="auto"/>
                <w:sz w:val="24"/>
                <w:highlight w:val="none"/>
              </w:rPr>
            </w:pPr>
          </w:p>
        </w:tc>
        <w:tc>
          <w:tcPr>
            <w:tcW w:w="1884" w:type="dxa"/>
            <w:tcBorders>
              <w:top w:val="single" w:color="auto" w:sz="4" w:space="0"/>
              <w:left w:val="single" w:color="auto" w:sz="4" w:space="0"/>
              <w:bottom w:val="single" w:color="auto" w:sz="4" w:space="0"/>
              <w:right w:val="single" w:color="auto" w:sz="4" w:space="0"/>
            </w:tcBorders>
            <w:noWrap w:val="0"/>
            <w:vAlign w:val="center"/>
          </w:tcPr>
          <w:p w14:paraId="0946F27F">
            <w:pPr>
              <w:snapToGrid w:val="0"/>
              <w:spacing w:line="360" w:lineRule="auto"/>
              <w:jc w:val="center"/>
              <w:rPr>
                <w:rFonts w:hint="eastAsia" w:ascii="宋体" w:hAnsi="宋体" w:eastAsia="宋体" w:cs="宋体"/>
                <w:color w:val="auto"/>
                <w:sz w:val="24"/>
                <w:highlight w:val="none"/>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14:paraId="69E6DFCF">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4AF5E3B9">
            <w:pPr>
              <w:spacing w:line="360" w:lineRule="auto"/>
              <w:jc w:val="center"/>
              <w:rPr>
                <w:rFonts w:hint="eastAsia" w:ascii="宋体" w:hAnsi="宋体" w:eastAsia="宋体" w:cs="宋体"/>
                <w:color w:val="auto"/>
                <w:sz w:val="24"/>
                <w:highlight w:val="none"/>
              </w:rPr>
            </w:pPr>
          </w:p>
        </w:tc>
      </w:tr>
      <w:tr w14:paraId="5838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09BBE64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1356E488">
            <w:pPr>
              <w:snapToGrid w:val="0"/>
              <w:spacing w:line="360" w:lineRule="auto"/>
              <w:jc w:val="center"/>
              <w:rPr>
                <w:rFonts w:hint="eastAsia" w:ascii="宋体" w:hAnsi="宋体" w:eastAsia="宋体" w:cs="宋体"/>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6FDA927D">
            <w:pPr>
              <w:snapToGrid w:val="0"/>
              <w:spacing w:line="360" w:lineRule="auto"/>
              <w:jc w:val="center"/>
              <w:rPr>
                <w:rFonts w:hint="eastAsia" w:ascii="宋体" w:hAnsi="宋体" w:eastAsia="宋体" w:cs="宋体"/>
                <w:color w:val="auto"/>
                <w:sz w:val="24"/>
                <w:highlight w:val="none"/>
              </w:rPr>
            </w:pPr>
          </w:p>
        </w:tc>
        <w:tc>
          <w:tcPr>
            <w:tcW w:w="1884" w:type="dxa"/>
            <w:tcBorders>
              <w:top w:val="single" w:color="auto" w:sz="4" w:space="0"/>
              <w:left w:val="single" w:color="auto" w:sz="4" w:space="0"/>
              <w:bottom w:val="single" w:color="auto" w:sz="4" w:space="0"/>
              <w:right w:val="single" w:color="auto" w:sz="4" w:space="0"/>
            </w:tcBorders>
            <w:noWrap w:val="0"/>
            <w:vAlign w:val="center"/>
          </w:tcPr>
          <w:p w14:paraId="55EA099B">
            <w:pPr>
              <w:snapToGrid w:val="0"/>
              <w:spacing w:line="360" w:lineRule="auto"/>
              <w:jc w:val="center"/>
              <w:rPr>
                <w:rFonts w:hint="eastAsia" w:ascii="宋体" w:hAnsi="宋体" w:eastAsia="宋体" w:cs="宋体"/>
                <w:color w:val="auto"/>
                <w:sz w:val="24"/>
                <w:highlight w:val="none"/>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14:paraId="007E777B">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3A979230">
            <w:pPr>
              <w:spacing w:line="360" w:lineRule="auto"/>
              <w:jc w:val="center"/>
              <w:rPr>
                <w:rFonts w:hint="eastAsia" w:ascii="宋体" w:hAnsi="宋体" w:eastAsia="宋体" w:cs="宋体"/>
                <w:color w:val="auto"/>
                <w:sz w:val="24"/>
                <w:highlight w:val="none"/>
              </w:rPr>
            </w:pPr>
          </w:p>
        </w:tc>
      </w:tr>
    </w:tbl>
    <w:p w14:paraId="797D0E99">
      <w:pPr>
        <w:widowControl/>
        <w:adjustRightInd/>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137104C5">
      <w:pPr>
        <w:pStyle w:val="3"/>
        <w:ind w:left="0" w:firstLine="0"/>
        <w:rPr>
          <w:rFonts w:hint="eastAsia"/>
          <w:highlight w:val="none"/>
        </w:rPr>
      </w:pPr>
    </w:p>
    <w:p w14:paraId="1B9CBE73">
      <w:pPr>
        <w:ind w:firstLine="1911" w:firstLineChars="595"/>
        <w:rPr>
          <w:rFonts w:hint="eastAsia" w:ascii="宋体" w:hAnsi="宋体" w:eastAsia="宋体" w:cs="宋体"/>
          <w:b/>
          <w:kern w:val="0"/>
          <w:sz w:val="32"/>
          <w:szCs w:val="32"/>
          <w:highlight w:val="none"/>
        </w:rPr>
      </w:pPr>
      <w:r>
        <w:rPr>
          <w:rFonts w:hint="eastAsia" w:ascii="宋体" w:hAnsi="宋体" w:cs="宋体"/>
          <w:b/>
          <w:bCs/>
          <w:sz w:val="32"/>
          <w:szCs w:val="32"/>
          <w:highlight w:val="none"/>
          <w:lang w:val="en-US" w:eastAsia="zh-CN"/>
        </w:rPr>
        <w:t>九</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val="zh-CN"/>
        </w:rPr>
        <w:t>政府采购供应商廉洁自律承诺书</w:t>
      </w:r>
    </w:p>
    <w:p w14:paraId="51249B0A">
      <w:pPr>
        <w:snapToGrid w:val="0"/>
        <w:spacing w:line="360" w:lineRule="auto"/>
        <w:rPr>
          <w:rFonts w:hint="eastAsia" w:ascii="宋体" w:hAnsi="宋体" w:eastAsia="宋体" w:cs="宋体"/>
          <w:sz w:val="24"/>
          <w:highlight w:val="none"/>
        </w:rPr>
      </w:pPr>
    </w:p>
    <w:p w14:paraId="74601BEB">
      <w:pPr>
        <w:snapToGrid w:val="0"/>
        <w:spacing w:line="360" w:lineRule="auto"/>
        <w:rPr>
          <w:rFonts w:hint="eastAsia" w:ascii="宋体" w:hAnsi="宋体" w:eastAsia="宋体" w:cs="宋体"/>
          <w:kern w:val="0"/>
          <w:sz w:val="24"/>
          <w:highlight w:val="none"/>
        </w:rPr>
      </w:pPr>
      <w:r>
        <w:rPr>
          <w:rFonts w:hint="eastAsia" w:ascii="宋体" w:hAnsi="宋体" w:eastAsia="宋体" w:cs="宋体"/>
          <w:color w:val="auto"/>
          <w:sz w:val="24"/>
          <w:highlight w:val="none"/>
        </w:rPr>
        <w:t>（采购人）、（采</w:t>
      </w:r>
      <w:r>
        <w:rPr>
          <w:rFonts w:hint="eastAsia" w:ascii="宋体" w:hAnsi="宋体" w:eastAsia="宋体" w:cs="宋体"/>
          <w:sz w:val="24"/>
          <w:highlight w:val="none"/>
        </w:rPr>
        <w:t>购代理机构）</w:t>
      </w:r>
      <w:r>
        <w:rPr>
          <w:rFonts w:hint="eastAsia" w:ascii="宋体" w:hAnsi="宋体" w:eastAsia="宋体" w:cs="宋体"/>
          <w:kern w:val="0"/>
          <w:sz w:val="24"/>
          <w:highlight w:val="none"/>
          <w:lang w:val="zh-CN"/>
        </w:rPr>
        <w:t>：</w:t>
      </w:r>
    </w:p>
    <w:p w14:paraId="4215DD8F">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14:paraId="1EC33373">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14:paraId="572FA4D3">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14:paraId="7BA32B4F">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14:paraId="212E816A">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14:paraId="4FB86D93">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14:paraId="2B7C0736">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14:paraId="1913D56B">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14:paraId="530A5F28">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14:paraId="1902E801">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14:paraId="660A1511">
      <w:pPr>
        <w:autoSpaceDE w:val="0"/>
        <w:autoSpaceDN w:val="0"/>
        <w:spacing w:line="360" w:lineRule="auto"/>
        <w:ind w:left="2"/>
        <w:jc w:val="left"/>
        <w:rPr>
          <w:rFonts w:hint="eastAsia" w:ascii="宋体" w:hAnsi="宋体" w:eastAsia="宋体" w:cs="宋体"/>
          <w:kern w:val="0"/>
          <w:sz w:val="24"/>
          <w:highlight w:val="none"/>
          <w:lang w:val="zh-CN"/>
        </w:rPr>
      </w:pPr>
    </w:p>
    <w:p w14:paraId="2BE92821">
      <w:pPr>
        <w:autoSpaceDE w:val="0"/>
        <w:autoSpaceDN w:val="0"/>
        <w:spacing w:line="360" w:lineRule="auto"/>
        <w:ind w:left="2"/>
        <w:jc w:val="left"/>
        <w:rPr>
          <w:rFonts w:hint="eastAsia" w:ascii="宋体" w:hAnsi="宋体" w:eastAsia="宋体" w:cs="宋体"/>
          <w:kern w:val="0"/>
          <w:sz w:val="24"/>
          <w:highlight w:val="none"/>
          <w:lang w:val="zh-CN"/>
        </w:rPr>
      </w:pPr>
    </w:p>
    <w:p w14:paraId="2FC9DEA9">
      <w:pPr>
        <w:autoSpaceDE w:val="0"/>
        <w:autoSpaceDN w:val="0"/>
        <w:spacing w:line="360" w:lineRule="auto"/>
        <w:ind w:left="2"/>
        <w:jc w:val="left"/>
        <w:rPr>
          <w:rFonts w:hint="eastAsia" w:ascii="宋体" w:hAnsi="宋体" w:eastAsia="宋体" w:cs="宋体"/>
          <w:kern w:val="0"/>
          <w:sz w:val="24"/>
          <w:highlight w:val="none"/>
          <w:lang w:val="zh-CN"/>
        </w:rPr>
      </w:pPr>
    </w:p>
    <w:p w14:paraId="10D1A8D5">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6297B580">
      <w:pPr>
        <w:spacing w:line="360" w:lineRule="auto"/>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3176F474">
      <w:pPr>
        <w:spacing w:line="360" w:lineRule="auto"/>
        <w:jc w:val="center"/>
        <w:rPr>
          <w:rFonts w:hint="eastAsia" w:ascii="宋体" w:hAnsi="宋体" w:eastAsia="宋体" w:cs="宋体"/>
          <w:b/>
          <w:bCs/>
          <w:sz w:val="24"/>
          <w:highlight w:val="none"/>
        </w:rPr>
      </w:pPr>
    </w:p>
    <w:p w14:paraId="546BB2AB">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623667D6">
      <w:pPr>
        <w:spacing w:line="360" w:lineRule="auto"/>
        <w:jc w:val="center"/>
        <w:rPr>
          <w:rFonts w:hint="eastAsia" w:ascii="宋体" w:hAnsi="宋体" w:eastAsia="宋体" w:cs="宋体"/>
          <w:b/>
          <w:bCs/>
          <w:sz w:val="24"/>
          <w:highlight w:val="none"/>
        </w:rPr>
        <w:sectPr>
          <w:headerReference r:id="rId11" w:type="first"/>
          <w:footerReference r:id="rId13" w:type="first"/>
          <w:headerReference r:id="rId10" w:type="default"/>
          <w:footerReference r:id="rId12" w:type="default"/>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306BE5C0">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14:paraId="1180C827">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29A3B9B4">
      <w:pPr>
        <w:spacing w:line="360" w:lineRule="auto"/>
        <w:jc w:val="center"/>
        <w:outlineLvl w:val="0"/>
        <w:rPr>
          <w:rFonts w:hint="eastAsia" w:ascii="宋体" w:hAnsi="宋体" w:eastAsia="宋体" w:cs="宋体"/>
          <w:b/>
          <w:kern w:val="0"/>
          <w:sz w:val="36"/>
          <w:szCs w:val="36"/>
          <w:highlight w:val="none"/>
        </w:rPr>
      </w:pPr>
    </w:p>
    <w:p w14:paraId="29B40A2E">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（1）开标一览表（报价表）………………………………………………………（页码）</w:t>
      </w:r>
    </w:p>
    <w:p w14:paraId="41AD73DA">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（2）中小企业声明函………………………………………………………………（页码）</w:t>
      </w:r>
    </w:p>
    <w:p w14:paraId="03E20ACD">
      <w:pPr>
        <w:snapToGrid w:val="0"/>
        <w:spacing w:line="360" w:lineRule="auto"/>
        <w:ind w:right="480"/>
        <w:jc w:val="center"/>
        <w:rPr>
          <w:rFonts w:hint="eastAsia" w:ascii="宋体" w:hAnsi="宋体" w:eastAsia="宋体" w:cs="宋体"/>
          <w:b/>
          <w:kern w:val="0"/>
          <w:sz w:val="32"/>
          <w:szCs w:val="32"/>
          <w:highlight w:val="none"/>
        </w:rPr>
      </w:pPr>
    </w:p>
    <w:p w14:paraId="1FC01E35">
      <w:pPr>
        <w:snapToGrid w:val="0"/>
        <w:spacing w:line="360" w:lineRule="auto"/>
        <w:ind w:right="480"/>
        <w:jc w:val="center"/>
        <w:rPr>
          <w:rFonts w:hint="eastAsia" w:ascii="宋体" w:hAnsi="宋体" w:eastAsia="宋体" w:cs="宋体"/>
          <w:b/>
          <w:kern w:val="0"/>
          <w:sz w:val="32"/>
          <w:szCs w:val="32"/>
          <w:highlight w:val="none"/>
        </w:rPr>
      </w:pPr>
    </w:p>
    <w:p w14:paraId="4CC2E862">
      <w:pPr>
        <w:snapToGrid w:val="0"/>
        <w:spacing w:line="360" w:lineRule="auto"/>
        <w:ind w:right="480"/>
        <w:jc w:val="center"/>
        <w:rPr>
          <w:rFonts w:hint="eastAsia" w:ascii="宋体" w:hAnsi="宋体" w:eastAsia="宋体" w:cs="宋体"/>
          <w:b/>
          <w:kern w:val="0"/>
          <w:sz w:val="32"/>
          <w:szCs w:val="32"/>
          <w:highlight w:val="none"/>
        </w:rPr>
      </w:pPr>
    </w:p>
    <w:p w14:paraId="5EB7602E">
      <w:pPr>
        <w:pStyle w:val="377"/>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4E991A32">
      <w:pPr>
        <w:pStyle w:val="377"/>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25D728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C4D5DB7">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2024年临平区运河街道高标准农田示范区建设-农田数字化、灌排数字化项目</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RTZFCG-2024-074-1</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6B24555C">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4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2584"/>
      </w:tblGrid>
      <w:tr w14:paraId="332C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8730946">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17" w:type="dxa"/>
            <w:vAlign w:val="center"/>
          </w:tcPr>
          <w:p w14:paraId="607D8FE0">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843" w:type="dxa"/>
          </w:tcPr>
          <w:p w14:paraId="4E658A26">
            <w:pPr>
              <w:spacing w:line="360" w:lineRule="auto"/>
              <w:jc w:val="center"/>
              <w:rPr>
                <w:rFonts w:ascii="宋体" w:hAnsi="宋体" w:cs="宋体"/>
                <w:b/>
                <w:sz w:val="24"/>
                <w:highlight w:val="none"/>
              </w:rPr>
            </w:pPr>
          </w:p>
          <w:p w14:paraId="06BB8E72">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3118" w:type="dxa"/>
            <w:vAlign w:val="center"/>
          </w:tcPr>
          <w:p w14:paraId="039226F3">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993" w:type="dxa"/>
            <w:vAlign w:val="center"/>
          </w:tcPr>
          <w:p w14:paraId="6A232CD8">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559" w:type="dxa"/>
            <w:vAlign w:val="center"/>
          </w:tcPr>
          <w:p w14:paraId="186279F7">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1984" w:type="dxa"/>
            <w:vAlign w:val="center"/>
          </w:tcPr>
          <w:p w14:paraId="37CDB8ED">
            <w:pPr>
              <w:spacing w:line="360" w:lineRule="auto"/>
              <w:jc w:val="center"/>
              <w:rPr>
                <w:rFonts w:ascii="宋体" w:hAnsi="宋体" w:cs="宋体"/>
                <w:b/>
                <w:sz w:val="24"/>
                <w:highlight w:val="none"/>
              </w:rPr>
            </w:pPr>
            <w:r>
              <w:rPr>
                <w:rFonts w:hint="eastAsia" w:ascii="宋体" w:hAnsi="宋体" w:cs="宋体"/>
                <w:b/>
                <w:sz w:val="24"/>
                <w:highlight w:val="none"/>
              </w:rPr>
              <w:t>合计</w:t>
            </w:r>
          </w:p>
        </w:tc>
        <w:tc>
          <w:tcPr>
            <w:tcW w:w="2584" w:type="dxa"/>
            <w:vAlign w:val="center"/>
          </w:tcPr>
          <w:p w14:paraId="30579862">
            <w:pPr>
              <w:spacing w:line="360" w:lineRule="auto"/>
              <w:jc w:val="center"/>
              <w:rPr>
                <w:rFonts w:ascii="宋体" w:hAnsi="宋体" w:cs="宋体"/>
                <w:b/>
                <w:sz w:val="24"/>
                <w:highlight w:val="none"/>
              </w:rPr>
            </w:pPr>
          </w:p>
          <w:p w14:paraId="5DE735BE">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6EE2B9D0">
            <w:pPr>
              <w:spacing w:line="360" w:lineRule="auto"/>
              <w:jc w:val="center"/>
              <w:rPr>
                <w:rFonts w:ascii="宋体" w:hAnsi="宋体" w:cs="宋体"/>
                <w:b/>
                <w:sz w:val="24"/>
                <w:highlight w:val="none"/>
              </w:rPr>
            </w:pPr>
          </w:p>
        </w:tc>
      </w:tr>
      <w:tr w14:paraId="1DBF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606D3F1">
            <w:pPr>
              <w:spacing w:line="360" w:lineRule="auto"/>
              <w:jc w:val="center"/>
              <w:rPr>
                <w:rFonts w:ascii="宋体" w:hAnsi="宋体" w:cs="宋体"/>
                <w:color w:val="0000FF"/>
                <w:sz w:val="24"/>
                <w:highlight w:val="none"/>
              </w:rPr>
            </w:pPr>
            <w:r>
              <w:rPr>
                <w:rFonts w:hint="eastAsia" w:ascii="宋体" w:hAnsi="宋体" w:cs="宋体"/>
                <w:color w:val="0000FF"/>
                <w:sz w:val="24"/>
                <w:highlight w:val="none"/>
              </w:rPr>
              <w:t>1</w:t>
            </w:r>
          </w:p>
        </w:tc>
        <w:tc>
          <w:tcPr>
            <w:tcW w:w="1417" w:type="dxa"/>
            <w:vAlign w:val="center"/>
          </w:tcPr>
          <w:p w14:paraId="4F9F9ED5">
            <w:pPr>
              <w:snapToGrid w:val="0"/>
              <w:spacing w:line="360" w:lineRule="auto"/>
              <w:jc w:val="center"/>
              <w:rPr>
                <w:rFonts w:ascii="宋体" w:hAnsi="宋体" w:cs="宋体"/>
                <w:color w:val="0000FF"/>
                <w:sz w:val="24"/>
                <w:highlight w:val="none"/>
              </w:rPr>
            </w:pPr>
            <w:r>
              <w:rPr>
                <w:rFonts w:hint="eastAsia" w:ascii="宋体" w:hAnsi="宋体" w:cs="宋体"/>
                <w:color w:val="0000FF"/>
                <w:sz w:val="24"/>
                <w:highlight w:val="none"/>
              </w:rPr>
              <w:t>X</w:t>
            </w:r>
            <w:r>
              <w:rPr>
                <w:rFonts w:ascii="宋体" w:hAnsi="宋体" w:cs="宋体"/>
                <w:color w:val="0000FF"/>
                <w:sz w:val="24"/>
                <w:highlight w:val="none"/>
              </w:rPr>
              <w:t>X</w:t>
            </w:r>
          </w:p>
        </w:tc>
        <w:tc>
          <w:tcPr>
            <w:tcW w:w="1843" w:type="dxa"/>
            <w:vAlign w:val="center"/>
          </w:tcPr>
          <w:p w14:paraId="3A22C9F7">
            <w:pPr>
              <w:snapToGrid w:val="0"/>
              <w:spacing w:line="360" w:lineRule="auto"/>
              <w:jc w:val="center"/>
              <w:rPr>
                <w:rFonts w:ascii="宋体" w:hAnsi="宋体" w:cs="宋体"/>
                <w:color w:val="0000FF"/>
                <w:sz w:val="24"/>
                <w:highlight w:val="none"/>
              </w:rPr>
            </w:pPr>
          </w:p>
        </w:tc>
        <w:tc>
          <w:tcPr>
            <w:tcW w:w="3118" w:type="dxa"/>
            <w:vAlign w:val="center"/>
          </w:tcPr>
          <w:p w14:paraId="5C75A3EF">
            <w:pPr>
              <w:snapToGrid w:val="0"/>
              <w:spacing w:line="360" w:lineRule="auto"/>
              <w:jc w:val="center"/>
              <w:rPr>
                <w:rFonts w:ascii="宋体" w:hAnsi="宋体" w:cs="宋体"/>
                <w:color w:val="0000FF"/>
                <w:sz w:val="24"/>
                <w:highlight w:val="none"/>
              </w:rPr>
            </w:pPr>
          </w:p>
        </w:tc>
        <w:tc>
          <w:tcPr>
            <w:tcW w:w="993" w:type="dxa"/>
            <w:vAlign w:val="center"/>
          </w:tcPr>
          <w:p w14:paraId="3BE8CD10">
            <w:pPr>
              <w:snapToGrid w:val="0"/>
              <w:spacing w:line="360" w:lineRule="auto"/>
              <w:jc w:val="center"/>
              <w:rPr>
                <w:rFonts w:ascii="宋体" w:hAnsi="宋体" w:cs="宋体"/>
                <w:color w:val="0000FF"/>
                <w:sz w:val="24"/>
                <w:highlight w:val="none"/>
              </w:rPr>
            </w:pPr>
          </w:p>
        </w:tc>
        <w:tc>
          <w:tcPr>
            <w:tcW w:w="1559" w:type="dxa"/>
            <w:vAlign w:val="center"/>
          </w:tcPr>
          <w:p w14:paraId="25248722">
            <w:pPr>
              <w:spacing w:line="360" w:lineRule="auto"/>
              <w:jc w:val="center"/>
              <w:rPr>
                <w:rFonts w:ascii="宋体" w:hAnsi="宋体" w:cs="宋体"/>
                <w:color w:val="0000FF"/>
                <w:sz w:val="24"/>
                <w:highlight w:val="none"/>
              </w:rPr>
            </w:pPr>
          </w:p>
        </w:tc>
        <w:tc>
          <w:tcPr>
            <w:tcW w:w="1984" w:type="dxa"/>
            <w:vAlign w:val="center"/>
          </w:tcPr>
          <w:p w14:paraId="1A3B68D7">
            <w:pPr>
              <w:spacing w:line="360" w:lineRule="auto"/>
              <w:jc w:val="center"/>
              <w:rPr>
                <w:rFonts w:ascii="宋体" w:hAnsi="宋体" w:cs="宋体"/>
                <w:color w:val="0000FF"/>
                <w:sz w:val="24"/>
                <w:highlight w:val="none"/>
              </w:rPr>
            </w:pPr>
          </w:p>
        </w:tc>
        <w:tc>
          <w:tcPr>
            <w:tcW w:w="2584" w:type="dxa"/>
            <w:vAlign w:val="center"/>
          </w:tcPr>
          <w:p w14:paraId="36549BC1">
            <w:pPr>
              <w:spacing w:line="360" w:lineRule="auto"/>
              <w:jc w:val="center"/>
              <w:rPr>
                <w:rFonts w:ascii="宋体" w:hAnsi="宋体" w:cs="宋体"/>
                <w:color w:val="0000FF"/>
                <w:sz w:val="24"/>
                <w:highlight w:val="none"/>
              </w:rPr>
            </w:pPr>
          </w:p>
        </w:tc>
      </w:tr>
      <w:tr w14:paraId="021D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E18BDDF">
            <w:pPr>
              <w:spacing w:line="360" w:lineRule="auto"/>
              <w:jc w:val="center"/>
              <w:rPr>
                <w:rFonts w:ascii="宋体" w:hAnsi="宋体" w:cs="宋体"/>
                <w:color w:val="0000FF"/>
                <w:sz w:val="24"/>
                <w:highlight w:val="none"/>
              </w:rPr>
            </w:pPr>
            <w:r>
              <w:rPr>
                <w:rFonts w:hint="eastAsia" w:ascii="宋体" w:hAnsi="宋体" w:cs="宋体"/>
                <w:color w:val="0000FF"/>
                <w:sz w:val="24"/>
                <w:highlight w:val="none"/>
              </w:rPr>
              <w:t>2</w:t>
            </w:r>
          </w:p>
        </w:tc>
        <w:tc>
          <w:tcPr>
            <w:tcW w:w="1417" w:type="dxa"/>
            <w:vAlign w:val="center"/>
          </w:tcPr>
          <w:p w14:paraId="4E1E8F5E">
            <w:pPr>
              <w:snapToGrid w:val="0"/>
              <w:spacing w:line="360" w:lineRule="auto"/>
              <w:jc w:val="center"/>
              <w:rPr>
                <w:rFonts w:ascii="宋体" w:hAnsi="宋体" w:cs="宋体"/>
                <w:color w:val="0000FF"/>
                <w:sz w:val="24"/>
                <w:highlight w:val="none"/>
              </w:rPr>
            </w:pPr>
            <w:r>
              <w:rPr>
                <w:rFonts w:hint="eastAsia" w:ascii="宋体" w:hAnsi="宋体" w:cs="宋体"/>
                <w:color w:val="0000FF"/>
                <w:sz w:val="24"/>
                <w:highlight w:val="none"/>
              </w:rPr>
              <w:t>X</w:t>
            </w:r>
            <w:r>
              <w:rPr>
                <w:rFonts w:ascii="宋体" w:hAnsi="宋体" w:cs="宋体"/>
                <w:color w:val="0000FF"/>
                <w:sz w:val="24"/>
                <w:highlight w:val="none"/>
              </w:rPr>
              <w:t>X</w:t>
            </w:r>
          </w:p>
        </w:tc>
        <w:tc>
          <w:tcPr>
            <w:tcW w:w="1843" w:type="dxa"/>
            <w:vAlign w:val="center"/>
          </w:tcPr>
          <w:p w14:paraId="0BDEAEE0">
            <w:pPr>
              <w:snapToGrid w:val="0"/>
              <w:spacing w:line="360" w:lineRule="auto"/>
              <w:jc w:val="center"/>
              <w:rPr>
                <w:rFonts w:ascii="宋体" w:hAnsi="宋体" w:cs="宋体"/>
                <w:color w:val="0000FF"/>
                <w:sz w:val="24"/>
                <w:highlight w:val="none"/>
              </w:rPr>
            </w:pPr>
          </w:p>
        </w:tc>
        <w:tc>
          <w:tcPr>
            <w:tcW w:w="3118" w:type="dxa"/>
            <w:vAlign w:val="center"/>
          </w:tcPr>
          <w:p w14:paraId="0402F774">
            <w:pPr>
              <w:snapToGrid w:val="0"/>
              <w:spacing w:line="360" w:lineRule="auto"/>
              <w:jc w:val="center"/>
              <w:rPr>
                <w:rFonts w:ascii="宋体" w:hAnsi="宋体" w:cs="宋体"/>
                <w:color w:val="0000FF"/>
                <w:sz w:val="24"/>
                <w:highlight w:val="none"/>
              </w:rPr>
            </w:pPr>
          </w:p>
        </w:tc>
        <w:tc>
          <w:tcPr>
            <w:tcW w:w="993" w:type="dxa"/>
            <w:vAlign w:val="center"/>
          </w:tcPr>
          <w:p w14:paraId="68C99C4D">
            <w:pPr>
              <w:snapToGrid w:val="0"/>
              <w:spacing w:line="360" w:lineRule="auto"/>
              <w:jc w:val="center"/>
              <w:rPr>
                <w:rFonts w:ascii="宋体" w:hAnsi="宋体" w:cs="宋体"/>
                <w:color w:val="0000FF"/>
                <w:sz w:val="24"/>
                <w:highlight w:val="none"/>
              </w:rPr>
            </w:pPr>
          </w:p>
        </w:tc>
        <w:tc>
          <w:tcPr>
            <w:tcW w:w="1559" w:type="dxa"/>
            <w:vAlign w:val="center"/>
          </w:tcPr>
          <w:p w14:paraId="53365512">
            <w:pPr>
              <w:spacing w:line="360" w:lineRule="auto"/>
              <w:jc w:val="center"/>
              <w:rPr>
                <w:rFonts w:ascii="宋体" w:hAnsi="宋体" w:cs="宋体"/>
                <w:color w:val="0000FF"/>
                <w:sz w:val="24"/>
                <w:highlight w:val="none"/>
              </w:rPr>
            </w:pPr>
          </w:p>
        </w:tc>
        <w:tc>
          <w:tcPr>
            <w:tcW w:w="1984" w:type="dxa"/>
            <w:vAlign w:val="center"/>
          </w:tcPr>
          <w:p w14:paraId="3F3BFCDD">
            <w:pPr>
              <w:spacing w:line="360" w:lineRule="auto"/>
              <w:jc w:val="center"/>
              <w:rPr>
                <w:rFonts w:ascii="宋体" w:hAnsi="宋体" w:cs="宋体"/>
                <w:color w:val="0000FF"/>
                <w:sz w:val="24"/>
                <w:highlight w:val="none"/>
              </w:rPr>
            </w:pPr>
          </w:p>
        </w:tc>
        <w:tc>
          <w:tcPr>
            <w:tcW w:w="2584" w:type="dxa"/>
            <w:vAlign w:val="center"/>
          </w:tcPr>
          <w:p w14:paraId="355B45B9">
            <w:pPr>
              <w:spacing w:line="360" w:lineRule="auto"/>
              <w:jc w:val="center"/>
              <w:rPr>
                <w:rFonts w:ascii="宋体" w:hAnsi="宋体" w:cs="宋体"/>
                <w:color w:val="0000FF"/>
                <w:sz w:val="24"/>
                <w:highlight w:val="none"/>
              </w:rPr>
            </w:pPr>
          </w:p>
        </w:tc>
      </w:tr>
      <w:tr w14:paraId="498B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83FAE59">
            <w:pPr>
              <w:spacing w:line="360" w:lineRule="auto"/>
              <w:jc w:val="center"/>
              <w:rPr>
                <w:rFonts w:ascii="宋体" w:hAnsi="宋体" w:cs="宋体"/>
                <w:color w:val="0000FF"/>
                <w:sz w:val="24"/>
                <w:highlight w:val="none"/>
              </w:rPr>
            </w:pPr>
            <w:r>
              <w:rPr>
                <w:rFonts w:hint="eastAsia" w:ascii="宋体" w:hAnsi="宋体" w:cs="宋体"/>
                <w:color w:val="0000FF"/>
                <w:sz w:val="24"/>
                <w:highlight w:val="none"/>
              </w:rPr>
              <w:t>…</w:t>
            </w:r>
          </w:p>
        </w:tc>
        <w:tc>
          <w:tcPr>
            <w:tcW w:w="1417" w:type="dxa"/>
            <w:vAlign w:val="center"/>
          </w:tcPr>
          <w:p w14:paraId="7B987F6C">
            <w:pPr>
              <w:snapToGrid w:val="0"/>
              <w:spacing w:line="360" w:lineRule="auto"/>
              <w:jc w:val="center"/>
              <w:rPr>
                <w:rFonts w:ascii="宋体" w:hAnsi="宋体" w:cs="宋体"/>
                <w:color w:val="0000FF"/>
                <w:sz w:val="24"/>
                <w:highlight w:val="none"/>
              </w:rPr>
            </w:pPr>
          </w:p>
        </w:tc>
        <w:tc>
          <w:tcPr>
            <w:tcW w:w="1843" w:type="dxa"/>
            <w:vAlign w:val="center"/>
          </w:tcPr>
          <w:p w14:paraId="2B3D836A">
            <w:pPr>
              <w:snapToGrid w:val="0"/>
              <w:spacing w:line="360" w:lineRule="auto"/>
              <w:jc w:val="center"/>
              <w:rPr>
                <w:rFonts w:ascii="宋体" w:hAnsi="宋体" w:cs="宋体"/>
                <w:color w:val="0000FF"/>
                <w:sz w:val="24"/>
                <w:highlight w:val="none"/>
              </w:rPr>
            </w:pPr>
          </w:p>
        </w:tc>
        <w:tc>
          <w:tcPr>
            <w:tcW w:w="3118" w:type="dxa"/>
            <w:vAlign w:val="center"/>
          </w:tcPr>
          <w:p w14:paraId="15B6FD43">
            <w:pPr>
              <w:snapToGrid w:val="0"/>
              <w:spacing w:line="360" w:lineRule="auto"/>
              <w:jc w:val="center"/>
              <w:rPr>
                <w:rFonts w:ascii="宋体" w:hAnsi="宋体" w:cs="宋体"/>
                <w:color w:val="0000FF"/>
                <w:sz w:val="24"/>
                <w:highlight w:val="none"/>
              </w:rPr>
            </w:pPr>
          </w:p>
        </w:tc>
        <w:tc>
          <w:tcPr>
            <w:tcW w:w="993" w:type="dxa"/>
            <w:vAlign w:val="center"/>
          </w:tcPr>
          <w:p w14:paraId="09912F0E">
            <w:pPr>
              <w:snapToGrid w:val="0"/>
              <w:spacing w:line="360" w:lineRule="auto"/>
              <w:jc w:val="center"/>
              <w:rPr>
                <w:rFonts w:ascii="宋体" w:hAnsi="宋体" w:cs="宋体"/>
                <w:color w:val="0000FF"/>
                <w:sz w:val="24"/>
                <w:highlight w:val="none"/>
              </w:rPr>
            </w:pPr>
          </w:p>
        </w:tc>
        <w:tc>
          <w:tcPr>
            <w:tcW w:w="1559" w:type="dxa"/>
            <w:vAlign w:val="center"/>
          </w:tcPr>
          <w:p w14:paraId="58D954AB">
            <w:pPr>
              <w:spacing w:line="360" w:lineRule="auto"/>
              <w:jc w:val="center"/>
              <w:rPr>
                <w:rFonts w:ascii="宋体" w:hAnsi="宋体" w:cs="宋体"/>
                <w:color w:val="0000FF"/>
                <w:sz w:val="24"/>
                <w:highlight w:val="none"/>
              </w:rPr>
            </w:pPr>
          </w:p>
        </w:tc>
        <w:tc>
          <w:tcPr>
            <w:tcW w:w="1984" w:type="dxa"/>
            <w:vAlign w:val="center"/>
          </w:tcPr>
          <w:p w14:paraId="31E71EDC">
            <w:pPr>
              <w:spacing w:line="360" w:lineRule="auto"/>
              <w:jc w:val="center"/>
              <w:rPr>
                <w:rFonts w:ascii="宋体" w:hAnsi="宋体" w:cs="宋体"/>
                <w:color w:val="0000FF"/>
                <w:sz w:val="24"/>
                <w:highlight w:val="none"/>
              </w:rPr>
            </w:pPr>
          </w:p>
        </w:tc>
        <w:tc>
          <w:tcPr>
            <w:tcW w:w="2584" w:type="dxa"/>
            <w:vAlign w:val="center"/>
          </w:tcPr>
          <w:p w14:paraId="1F6CC21E">
            <w:pPr>
              <w:spacing w:line="360" w:lineRule="auto"/>
              <w:jc w:val="center"/>
              <w:rPr>
                <w:rFonts w:ascii="宋体" w:hAnsi="宋体" w:cs="宋体"/>
                <w:color w:val="0000FF"/>
                <w:sz w:val="24"/>
                <w:highlight w:val="none"/>
              </w:rPr>
            </w:pPr>
          </w:p>
        </w:tc>
      </w:tr>
      <w:tr w14:paraId="5E0C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4D1919D">
            <w:pPr>
              <w:spacing w:line="360" w:lineRule="auto"/>
              <w:jc w:val="center"/>
              <w:rPr>
                <w:rFonts w:ascii="宋体" w:hAnsi="宋体" w:cs="宋体"/>
                <w:sz w:val="24"/>
                <w:highlight w:val="none"/>
              </w:rPr>
            </w:pPr>
          </w:p>
        </w:tc>
        <w:tc>
          <w:tcPr>
            <w:tcW w:w="1417" w:type="dxa"/>
            <w:vAlign w:val="center"/>
          </w:tcPr>
          <w:p w14:paraId="77765C81">
            <w:pPr>
              <w:snapToGrid w:val="0"/>
              <w:spacing w:line="360" w:lineRule="auto"/>
              <w:jc w:val="center"/>
              <w:rPr>
                <w:rFonts w:ascii="宋体" w:hAnsi="宋体" w:cs="宋体"/>
                <w:sz w:val="24"/>
                <w:highlight w:val="none"/>
              </w:rPr>
            </w:pPr>
          </w:p>
        </w:tc>
        <w:tc>
          <w:tcPr>
            <w:tcW w:w="1843" w:type="dxa"/>
            <w:vAlign w:val="center"/>
          </w:tcPr>
          <w:p w14:paraId="0C914BB4">
            <w:pPr>
              <w:snapToGrid w:val="0"/>
              <w:spacing w:line="360" w:lineRule="auto"/>
              <w:jc w:val="center"/>
              <w:rPr>
                <w:rFonts w:ascii="宋体" w:hAnsi="宋体" w:cs="宋体"/>
                <w:sz w:val="24"/>
                <w:highlight w:val="none"/>
              </w:rPr>
            </w:pPr>
          </w:p>
        </w:tc>
        <w:tc>
          <w:tcPr>
            <w:tcW w:w="3118" w:type="dxa"/>
            <w:vAlign w:val="center"/>
          </w:tcPr>
          <w:p w14:paraId="46F09451">
            <w:pPr>
              <w:snapToGrid w:val="0"/>
              <w:spacing w:line="360" w:lineRule="auto"/>
              <w:jc w:val="center"/>
              <w:rPr>
                <w:rFonts w:ascii="宋体" w:hAnsi="宋体" w:cs="宋体"/>
                <w:sz w:val="24"/>
                <w:highlight w:val="none"/>
              </w:rPr>
            </w:pPr>
          </w:p>
        </w:tc>
        <w:tc>
          <w:tcPr>
            <w:tcW w:w="993" w:type="dxa"/>
            <w:vAlign w:val="center"/>
          </w:tcPr>
          <w:p w14:paraId="3A70C5BE">
            <w:pPr>
              <w:snapToGrid w:val="0"/>
              <w:spacing w:line="360" w:lineRule="auto"/>
              <w:jc w:val="center"/>
              <w:rPr>
                <w:rFonts w:ascii="宋体" w:hAnsi="宋体" w:cs="宋体"/>
                <w:sz w:val="24"/>
                <w:highlight w:val="none"/>
              </w:rPr>
            </w:pPr>
          </w:p>
        </w:tc>
        <w:tc>
          <w:tcPr>
            <w:tcW w:w="1559" w:type="dxa"/>
            <w:vAlign w:val="center"/>
          </w:tcPr>
          <w:p w14:paraId="72C57203">
            <w:pPr>
              <w:spacing w:line="360" w:lineRule="auto"/>
              <w:jc w:val="center"/>
              <w:rPr>
                <w:rFonts w:ascii="宋体" w:hAnsi="宋体" w:cs="宋体"/>
                <w:sz w:val="24"/>
                <w:highlight w:val="none"/>
              </w:rPr>
            </w:pPr>
          </w:p>
        </w:tc>
        <w:tc>
          <w:tcPr>
            <w:tcW w:w="1984" w:type="dxa"/>
            <w:vAlign w:val="center"/>
          </w:tcPr>
          <w:p w14:paraId="3127305E">
            <w:pPr>
              <w:spacing w:line="360" w:lineRule="auto"/>
              <w:jc w:val="center"/>
              <w:rPr>
                <w:rFonts w:ascii="宋体" w:hAnsi="宋体" w:cs="宋体"/>
                <w:sz w:val="24"/>
                <w:highlight w:val="none"/>
              </w:rPr>
            </w:pPr>
          </w:p>
        </w:tc>
        <w:tc>
          <w:tcPr>
            <w:tcW w:w="2584" w:type="dxa"/>
            <w:vAlign w:val="center"/>
          </w:tcPr>
          <w:p w14:paraId="33C6A37F">
            <w:pPr>
              <w:spacing w:line="360" w:lineRule="auto"/>
              <w:jc w:val="center"/>
              <w:rPr>
                <w:rFonts w:ascii="宋体" w:hAnsi="宋体" w:cs="宋体"/>
                <w:sz w:val="24"/>
                <w:highlight w:val="none"/>
              </w:rPr>
            </w:pPr>
          </w:p>
        </w:tc>
      </w:tr>
      <w:tr w14:paraId="625F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99CE31D">
            <w:pPr>
              <w:spacing w:line="360" w:lineRule="auto"/>
              <w:jc w:val="center"/>
              <w:rPr>
                <w:rFonts w:ascii="宋体" w:hAnsi="宋体" w:cs="宋体"/>
                <w:sz w:val="24"/>
                <w:highlight w:val="none"/>
              </w:rPr>
            </w:pPr>
          </w:p>
        </w:tc>
        <w:tc>
          <w:tcPr>
            <w:tcW w:w="1417" w:type="dxa"/>
            <w:vAlign w:val="center"/>
          </w:tcPr>
          <w:p w14:paraId="573636EC">
            <w:pPr>
              <w:snapToGrid w:val="0"/>
              <w:spacing w:line="360" w:lineRule="auto"/>
              <w:jc w:val="center"/>
              <w:rPr>
                <w:rFonts w:ascii="宋体" w:hAnsi="宋体" w:cs="宋体"/>
                <w:sz w:val="24"/>
                <w:highlight w:val="none"/>
              </w:rPr>
            </w:pPr>
          </w:p>
        </w:tc>
        <w:tc>
          <w:tcPr>
            <w:tcW w:w="1843" w:type="dxa"/>
            <w:vAlign w:val="center"/>
          </w:tcPr>
          <w:p w14:paraId="25D03724">
            <w:pPr>
              <w:snapToGrid w:val="0"/>
              <w:spacing w:line="360" w:lineRule="auto"/>
              <w:jc w:val="center"/>
              <w:rPr>
                <w:rFonts w:ascii="宋体" w:hAnsi="宋体" w:cs="宋体"/>
                <w:sz w:val="24"/>
                <w:highlight w:val="none"/>
              </w:rPr>
            </w:pPr>
          </w:p>
        </w:tc>
        <w:tc>
          <w:tcPr>
            <w:tcW w:w="3118" w:type="dxa"/>
            <w:vAlign w:val="center"/>
          </w:tcPr>
          <w:p w14:paraId="74499F31">
            <w:pPr>
              <w:snapToGrid w:val="0"/>
              <w:spacing w:line="360" w:lineRule="auto"/>
              <w:jc w:val="center"/>
              <w:rPr>
                <w:rFonts w:ascii="宋体" w:hAnsi="宋体" w:cs="宋体"/>
                <w:sz w:val="24"/>
                <w:highlight w:val="none"/>
              </w:rPr>
            </w:pPr>
          </w:p>
        </w:tc>
        <w:tc>
          <w:tcPr>
            <w:tcW w:w="993" w:type="dxa"/>
            <w:vAlign w:val="center"/>
          </w:tcPr>
          <w:p w14:paraId="6FF80582">
            <w:pPr>
              <w:snapToGrid w:val="0"/>
              <w:spacing w:line="360" w:lineRule="auto"/>
              <w:jc w:val="center"/>
              <w:rPr>
                <w:rFonts w:ascii="宋体" w:hAnsi="宋体" w:cs="宋体"/>
                <w:sz w:val="24"/>
                <w:highlight w:val="none"/>
              </w:rPr>
            </w:pPr>
          </w:p>
        </w:tc>
        <w:tc>
          <w:tcPr>
            <w:tcW w:w="1559" w:type="dxa"/>
            <w:vAlign w:val="center"/>
          </w:tcPr>
          <w:p w14:paraId="05021C2B">
            <w:pPr>
              <w:spacing w:line="360" w:lineRule="auto"/>
              <w:jc w:val="center"/>
              <w:rPr>
                <w:rFonts w:ascii="宋体" w:hAnsi="宋体" w:cs="宋体"/>
                <w:sz w:val="24"/>
                <w:highlight w:val="none"/>
              </w:rPr>
            </w:pPr>
          </w:p>
        </w:tc>
        <w:tc>
          <w:tcPr>
            <w:tcW w:w="1984" w:type="dxa"/>
            <w:vAlign w:val="center"/>
          </w:tcPr>
          <w:p w14:paraId="249D6555">
            <w:pPr>
              <w:spacing w:line="360" w:lineRule="auto"/>
              <w:jc w:val="center"/>
              <w:rPr>
                <w:rFonts w:ascii="宋体" w:hAnsi="宋体" w:cs="宋体"/>
                <w:sz w:val="24"/>
                <w:highlight w:val="none"/>
              </w:rPr>
            </w:pPr>
          </w:p>
        </w:tc>
        <w:tc>
          <w:tcPr>
            <w:tcW w:w="2584" w:type="dxa"/>
            <w:vAlign w:val="center"/>
          </w:tcPr>
          <w:p w14:paraId="15EACC41">
            <w:pPr>
              <w:spacing w:line="360" w:lineRule="auto"/>
              <w:jc w:val="center"/>
              <w:rPr>
                <w:rFonts w:ascii="宋体" w:hAnsi="宋体" w:cs="宋体"/>
                <w:sz w:val="24"/>
                <w:highlight w:val="none"/>
              </w:rPr>
            </w:pPr>
          </w:p>
        </w:tc>
      </w:tr>
      <w:tr w14:paraId="753F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236B1C4">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7120" w:type="dxa"/>
            <w:gridSpan w:val="4"/>
            <w:vAlign w:val="center"/>
          </w:tcPr>
          <w:p w14:paraId="003934AC">
            <w:pPr>
              <w:spacing w:line="360" w:lineRule="auto"/>
              <w:jc w:val="center"/>
              <w:rPr>
                <w:rFonts w:ascii="宋体" w:hAnsi="宋体" w:cs="宋体"/>
                <w:sz w:val="24"/>
                <w:highlight w:val="none"/>
              </w:rPr>
            </w:pPr>
          </w:p>
        </w:tc>
      </w:tr>
      <w:tr w14:paraId="2976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29627DE">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7120" w:type="dxa"/>
            <w:gridSpan w:val="4"/>
            <w:vAlign w:val="center"/>
          </w:tcPr>
          <w:p w14:paraId="694ADC04">
            <w:pPr>
              <w:spacing w:line="360" w:lineRule="auto"/>
              <w:jc w:val="center"/>
              <w:rPr>
                <w:rFonts w:ascii="宋体" w:hAnsi="宋体" w:cs="宋体"/>
                <w:sz w:val="24"/>
                <w:highlight w:val="none"/>
              </w:rPr>
            </w:pPr>
          </w:p>
        </w:tc>
      </w:tr>
    </w:tbl>
    <w:p w14:paraId="5ACD81EC">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7A246AB6">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42A777A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7EDA0D13">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657172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D0FFA5F">
      <w:pPr>
        <w:spacing w:line="360" w:lineRule="auto"/>
        <w:ind w:firstLine="482" w:firstLineChars="200"/>
        <w:rPr>
          <w:rFonts w:hint="eastAsia" w:ascii="宋体" w:hAnsi="宋体" w:eastAsia="宋体" w:cs="宋体"/>
          <w:b/>
          <w:color w:val="auto"/>
          <w:kern w:val="0"/>
          <w:sz w:val="24"/>
          <w:highlight w:val="none"/>
        </w:rPr>
      </w:pPr>
    </w:p>
    <w:p w14:paraId="740E545B">
      <w:pPr>
        <w:pStyle w:val="377"/>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5" w:orient="landscape"/>
          <w:pgMar w:top="1361" w:right="1531" w:bottom="1304" w:left="153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605C4A17">
      <w:pPr>
        <w:pStyle w:val="377"/>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50138977">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E4F1FC8">
      <w:pPr>
        <w:spacing w:line="360" w:lineRule="auto"/>
        <w:ind w:right="420" w:firstLine="3614" w:firstLineChars="1000"/>
        <w:rPr>
          <w:rFonts w:hint="eastAsia" w:ascii="宋体" w:hAnsi="宋体" w:eastAsia="宋体" w:cs="宋体"/>
          <w:b/>
          <w:color w:val="auto"/>
          <w:kern w:val="0"/>
          <w:sz w:val="36"/>
          <w:szCs w:val="36"/>
          <w:highlight w:val="none"/>
        </w:rPr>
      </w:pPr>
    </w:p>
    <w:p w14:paraId="2EF5FBC8">
      <w:pPr>
        <w:spacing w:line="360" w:lineRule="auto"/>
        <w:ind w:right="420" w:firstLine="3614" w:firstLineChars="1000"/>
        <w:rPr>
          <w:rFonts w:hint="eastAsia" w:ascii="宋体" w:hAnsi="宋体" w:eastAsia="宋体" w:cs="宋体"/>
          <w:b/>
          <w:color w:val="auto"/>
          <w:kern w:val="0"/>
          <w:sz w:val="36"/>
          <w:szCs w:val="36"/>
          <w:highlight w:val="none"/>
        </w:rPr>
      </w:pPr>
    </w:p>
    <w:p w14:paraId="59C30230">
      <w:pPr>
        <w:spacing w:line="360" w:lineRule="auto"/>
        <w:ind w:right="420" w:firstLine="3614" w:firstLineChars="1000"/>
        <w:rPr>
          <w:rFonts w:hint="eastAsia" w:ascii="宋体" w:hAnsi="宋体" w:eastAsia="宋体" w:cs="宋体"/>
          <w:b/>
          <w:kern w:val="0"/>
          <w:sz w:val="36"/>
          <w:szCs w:val="36"/>
          <w:highlight w:val="none"/>
        </w:rPr>
      </w:pPr>
    </w:p>
    <w:p w14:paraId="4D57B0BC">
      <w:pPr>
        <w:spacing w:line="360" w:lineRule="auto"/>
        <w:ind w:right="420" w:firstLine="3614" w:firstLineChars="1000"/>
        <w:rPr>
          <w:rFonts w:hint="eastAsia" w:ascii="宋体" w:hAnsi="宋体" w:eastAsia="宋体" w:cs="宋体"/>
          <w:b/>
          <w:kern w:val="0"/>
          <w:sz w:val="36"/>
          <w:szCs w:val="36"/>
          <w:highlight w:val="none"/>
        </w:rPr>
      </w:pPr>
    </w:p>
    <w:p w14:paraId="338946A3">
      <w:pPr>
        <w:spacing w:line="360" w:lineRule="auto"/>
        <w:ind w:right="420" w:firstLine="3614" w:firstLineChars="1000"/>
        <w:rPr>
          <w:rFonts w:hint="eastAsia" w:ascii="宋体" w:hAnsi="宋体" w:eastAsia="宋体" w:cs="宋体"/>
          <w:b/>
          <w:kern w:val="0"/>
          <w:sz w:val="36"/>
          <w:szCs w:val="36"/>
          <w:highlight w:val="none"/>
        </w:rPr>
      </w:pPr>
    </w:p>
    <w:p w14:paraId="3774F036">
      <w:pPr>
        <w:spacing w:line="360" w:lineRule="auto"/>
        <w:ind w:right="420" w:firstLine="3614" w:firstLineChars="1000"/>
        <w:rPr>
          <w:rFonts w:hint="eastAsia" w:ascii="宋体" w:hAnsi="宋体" w:eastAsia="宋体" w:cs="宋体"/>
          <w:b/>
          <w:kern w:val="0"/>
          <w:sz w:val="36"/>
          <w:szCs w:val="36"/>
          <w:highlight w:val="none"/>
        </w:rPr>
      </w:pPr>
    </w:p>
    <w:p w14:paraId="313ED471">
      <w:pPr>
        <w:spacing w:line="360" w:lineRule="auto"/>
        <w:ind w:right="420" w:firstLine="3614" w:firstLineChars="1000"/>
        <w:rPr>
          <w:rFonts w:hint="eastAsia" w:ascii="宋体" w:hAnsi="宋体" w:eastAsia="宋体" w:cs="宋体"/>
          <w:b/>
          <w:kern w:val="0"/>
          <w:sz w:val="36"/>
          <w:szCs w:val="36"/>
          <w:highlight w:val="none"/>
        </w:rPr>
      </w:pPr>
    </w:p>
    <w:p w14:paraId="0E26DE4E">
      <w:pPr>
        <w:spacing w:line="360" w:lineRule="auto"/>
        <w:ind w:right="420" w:firstLine="3614" w:firstLineChars="1000"/>
        <w:rPr>
          <w:rFonts w:hint="eastAsia" w:ascii="宋体" w:hAnsi="宋体" w:eastAsia="宋体" w:cs="宋体"/>
          <w:b/>
          <w:kern w:val="0"/>
          <w:sz w:val="36"/>
          <w:szCs w:val="36"/>
          <w:highlight w:val="none"/>
        </w:rPr>
      </w:pPr>
    </w:p>
    <w:p w14:paraId="57B7961C">
      <w:pPr>
        <w:spacing w:line="360" w:lineRule="auto"/>
        <w:ind w:right="420" w:firstLine="3614" w:firstLineChars="1000"/>
        <w:rPr>
          <w:rFonts w:hint="eastAsia" w:ascii="宋体" w:hAnsi="宋体" w:eastAsia="宋体" w:cs="宋体"/>
          <w:b/>
          <w:kern w:val="0"/>
          <w:sz w:val="36"/>
          <w:szCs w:val="36"/>
          <w:highlight w:val="none"/>
        </w:rPr>
      </w:pPr>
    </w:p>
    <w:p w14:paraId="400AD4EA">
      <w:pPr>
        <w:spacing w:line="360" w:lineRule="auto"/>
        <w:ind w:right="420" w:firstLine="3614" w:firstLineChars="1000"/>
        <w:rPr>
          <w:rFonts w:hint="eastAsia" w:ascii="宋体" w:hAnsi="宋体" w:eastAsia="宋体" w:cs="宋体"/>
          <w:b/>
          <w:kern w:val="0"/>
          <w:sz w:val="36"/>
          <w:szCs w:val="36"/>
          <w:highlight w:val="none"/>
        </w:rPr>
      </w:pPr>
    </w:p>
    <w:p w14:paraId="5CBBC4A6">
      <w:pPr>
        <w:spacing w:line="360" w:lineRule="auto"/>
        <w:ind w:right="420" w:firstLine="3614" w:firstLineChars="1000"/>
        <w:rPr>
          <w:rFonts w:hint="eastAsia" w:ascii="宋体" w:hAnsi="宋体" w:eastAsia="宋体" w:cs="宋体"/>
          <w:b/>
          <w:kern w:val="0"/>
          <w:sz w:val="36"/>
          <w:szCs w:val="36"/>
          <w:highlight w:val="none"/>
        </w:rPr>
      </w:pPr>
    </w:p>
    <w:p w14:paraId="042297F1">
      <w:pPr>
        <w:spacing w:line="360" w:lineRule="auto"/>
        <w:ind w:right="420" w:firstLine="3614" w:firstLineChars="1000"/>
        <w:rPr>
          <w:rFonts w:hint="eastAsia" w:ascii="宋体" w:hAnsi="宋体" w:eastAsia="宋体" w:cs="宋体"/>
          <w:b/>
          <w:kern w:val="0"/>
          <w:sz w:val="36"/>
          <w:szCs w:val="36"/>
          <w:highlight w:val="none"/>
        </w:rPr>
      </w:pPr>
    </w:p>
    <w:p w14:paraId="1BD90765">
      <w:pPr>
        <w:spacing w:line="360" w:lineRule="auto"/>
        <w:ind w:right="420" w:firstLine="3614" w:firstLineChars="1000"/>
        <w:rPr>
          <w:rFonts w:hint="eastAsia" w:ascii="宋体" w:hAnsi="宋体" w:eastAsia="宋体" w:cs="宋体"/>
          <w:b/>
          <w:kern w:val="0"/>
          <w:sz w:val="36"/>
          <w:szCs w:val="36"/>
          <w:highlight w:val="none"/>
        </w:rPr>
      </w:pPr>
    </w:p>
    <w:p w14:paraId="1B2D852D">
      <w:pPr>
        <w:spacing w:line="360" w:lineRule="auto"/>
        <w:ind w:right="420" w:firstLine="3614" w:firstLineChars="1000"/>
        <w:rPr>
          <w:rFonts w:hint="eastAsia" w:ascii="宋体" w:hAnsi="宋体" w:eastAsia="宋体" w:cs="宋体"/>
          <w:b/>
          <w:kern w:val="0"/>
          <w:sz w:val="36"/>
          <w:szCs w:val="36"/>
          <w:highlight w:val="none"/>
        </w:rPr>
      </w:pPr>
    </w:p>
    <w:p w14:paraId="23B06611">
      <w:pPr>
        <w:spacing w:line="360" w:lineRule="auto"/>
        <w:ind w:right="420" w:firstLine="3614" w:firstLineChars="1000"/>
        <w:rPr>
          <w:rFonts w:hint="eastAsia" w:ascii="宋体" w:hAnsi="宋体" w:eastAsia="宋体" w:cs="宋体"/>
          <w:b/>
          <w:kern w:val="0"/>
          <w:sz w:val="36"/>
          <w:szCs w:val="36"/>
          <w:highlight w:val="none"/>
        </w:rPr>
      </w:pPr>
    </w:p>
    <w:p w14:paraId="56B12F15">
      <w:pPr>
        <w:spacing w:line="360" w:lineRule="auto"/>
        <w:ind w:right="420" w:firstLine="3614" w:firstLineChars="1000"/>
        <w:rPr>
          <w:rFonts w:hint="eastAsia" w:ascii="宋体" w:hAnsi="宋体" w:eastAsia="宋体" w:cs="宋体"/>
          <w:b/>
          <w:kern w:val="0"/>
          <w:sz w:val="36"/>
          <w:szCs w:val="36"/>
          <w:highlight w:val="none"/>
        </w:rPr>
      </w:pPr>
    </w:p>
    <w:p w14:paraId="5E372A30">
      <w:pPr>
        <w:pStyle w:val="2"/>
        <w:pageBreakBefore/>
        <w:widowControl/>
        <w:spacing w:before="100" w:beforeAutospacing="1" w:after="100" w:afterAutospacing="1" w:line="360" w:lineRule="auto"/>
        <w:ind w:left="1290" w:firstLine="3092" w:firstLineChars="700"/>
        <w:rPr>
          <w:rFonts w:hint="eastAsia" w:ascii="宋体" w:hAnsi="宋体" w:eastAsia="宋体" w:cs="宋体"/>
          <w:highlight w:val="none"/>
        </w:rPr>
      </w:pPr>
      <w:r>
        <w:rPr>
          <w:rFonts w:hint="eastAsia" w:ascii="宋体" w:hAnsi="宋体" w:eastAsia="宋体" w:cs="宋体"/>
          <w:highlight w:val="none"/>
        </w:rPr>
        <w:t>附件</w:t>
      </w:r>
    </w:p>
    <w:p w14:paraId="28FF636C">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spacing w:val="6"/>
          <w:sz w:val="32"/>
          <w:szCs w:val="32"/>
          <w:highlight w:val="none"/>
        </w:rPr>
        <w:t>附件1：</w:t>
      </w:r>
    </w:p>
    <w:p w14:paraId="66F511E7">
      <w:pPr>
        <w:spacing w:line="360" w:lineRule="auto"/>
        <w:jc w:val="center"/>
        <w:rPr>
          <w:rFonts w:hint="eastAsia" w:ascii="宋体" w:hAnsi="宋体" w:eastAsia="宋体" w:cs="宋体"/>
          <w:b/>
          <w:color w:val="auto"/>
          <w:spacing w:val="6"/>
          <w:sz w:val="32"/>
          <w:szCs w:val="32"/>
          <w:highlight w:val="none"/>
        </w:rPr>
      </w:pPr>
      <w:bookmarkStart w:id="546" w:name="OLE_LINK14"/>
      <w:bookmarkStart w:id="547" w:name="OLE_LINK13"/>
      <w:r>
        <w:rPr>
          <w:rFonts w:hint="eastAsia" w:ascii="宋体" w:hAnsi="宋体" w:eastAsia="宋体" w:cs="宋体"/>
          <w:b/>
          <w:color w:val="auto"/>
          <w:spacing w:val="6"/>
          <w:sz w:val="32"/>
          <w:szCs w:val="32"/>
          <w:highlight w:val="none"/>
        </w:rPr>
        <w:t>残疾人福利性单位声明函</w:t>
      </w:r>
    </w:p>
    <w:bookmarkEnd w:id="546"/>
    <w:bookmarkEnd w:id="547"/>
    <w:p w14:paraId="38D7A996">
      <w:pPr>
        <w:spacing w:line="360" w:lineRule="auto"/>
        <w:rPr>
          <w:rFonts w:hint="eastAsia" w:ascii="宋体" w:hAnsi="宋体" w:eastAsia="宋体" w:cs="宋体"/>
          <w:b/>
          <w:color w:val="auto"/>
          <w:spacing w:val="6"/>
          <w:sz w:val="30"/>
          <w:szCs w:val="30"/>
          <w:highlight w:val="none"/>
        </w:rPr>
      </w:pPr>
    </w:p>
    <w:p w14:paraId="5A2BD6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color="auto"/>
          <w:lang w:eastAsia="zh-CN"/>
        </w:rPr>
        <w:t>2024年临平区运河街道高标准农田示范区建设-农田数字化、灌排数字化项目</w:t>
      </w:r>
      <w:r>
        <w:rPr>
          <w:rFonts w:hint="eastAsia" w:ascii="宋体" w:hAnsi="宋体" w:eastAsia="宋体" w:cs="宋体"/>
          <w:color w:val="auto"/>
          <w:sz w:val="24"/>
          <w:highlight w:val="none"/>
          <w:u w:val="single" w:color="auto"/>
        </w:rPr>
        <w:t>_</w:t>
      </w:r>
      <w:r>
        <w:rPr>
          <w:rFonts w:hint="eastAsia" w:ascii="宋体" w:hAnsi="宋体" w:eastAsia="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016CB5B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14:paraId="34E1FD8B">
      <w:pPr>
        <w:spacing w:line="360" w:lineRule="auto"/>
        <w:ind w:firstLine="480" w:firstLineChars="200"/>
        <w:rPr>
          <w:rFonts w:hint="eastAsia" w:ascii="宋体" w:hAnsi="宋体" w:eastAsia="宋体" w:cs="宋体"/>
          <w:sz w:val="24"/>
          <w:highlight w:val="none"/>
        </w:rPr>
      </w:pPr>
    </w:p>
    <w:p w14:paraId="27F8165B">
      <w:pPr>
        <w:spacing w:line="360" w:lineRule="auto"/>
        <w:ind w:firstLine="480" w:firstLineChars="200"/>
        <w:rPr>
          <w:rFonts w:hint="eastAsia" w:ascii="宋体" w:hAnsi="宋体" w:eastAsia="宋体" w:cs="宋体"/>
          <w:sz w:val="24"/>
          <w:highlight w:val="none"/>
        </w:rPr>
      </w:pPr>
    </w:p>
    <w:p w14:paraId="71557456">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投标人名称（电子签名）</w:t>
      </w:r>
      <w:r>
        <w:rPr>
          <w:rFonts w:hint="eastAsia" w:ascii="宋体" w:hAnsi="宋体" w:eastAsia="宋体" w:cs="宋体"/>
          <w:sz w:val="24"/>
          <w:highlight w:val="none"/>
        </w:rPr>
        <w:t>：</w:t>
      </w:r>
    </w:p>
    <w:p w14:paraId="55851044">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14:paraId="511DBF7D">
      <w:pPr>
        <w:spacing w:line="360" w:lineRule="auto"/>
        <w:ind w:firstLine="480" w:firstLineChars="200"/>
        <w:rPr>
          <w:rFonts w:hint="eastAsia" w:ascii="宋体" w:hAnsi="宋体" w:eastAsia="宋体" w:cs="宋体"/>
          <w:sz w:val="24"/>
          <w:highlight w:val="none"/>
        </w:rPr>
      </w:pPr>
    </w:p>
    <w:p w14:paraId="4C59BB68">
      <w:pPr>
        <w:spacing w:line="360" w:lineRule="auto"/>
        <w:ind w:firstLine="420" w:firstLineChars="200"/>
        <w:rPr>
          <w:rFonts w:hint="eastAsia" w:ascii="宋体" w:hAnsi="宋体" w:eastAsia="宋体" w:cs="宋体"/>
          <w:highlight w:val="none"/>
        </w:rPr>
      </w:pPr>
    </w:p>
    <w:p w14:paraId="6CB60C81">
      <w:pPr>
        <w:spacing w:line="360" w:lineRule="auto"/>
        <w:ind w:firstLine="420" w:firstLineChars="200"/>
        <w:rPr>
          <w:rFonts w:hint="eastAsia" w:ascii="宋体" w:hAnsi="宋体" w:eastAsia="宋体" w:cs="宋体"/>
          <w:highlight w:val="none"/>
        </w:rPr>
      </w:pPr>
    </w:p>
    <w:p w14:paraId="4D4DF81B">
      <w:pPr>
        <w:spacing w:line="360" w:lineRule="auto"/>
        <w:ind w:firstLine="420" w:firstLineChars="200"/>
        <w:rPr>
          <w:rFonts w:hint="eastAsia" w:ascii="宋体" w:hAnsi="宋体" w:eastAsia="宋体" w:cs="宋体"/>
          <w:highlight w:val="none"/>
        </w:rPr>
      </w:pPr>
    </w:p>
    <w:p w14:paraId="0996FF14">
      <w:pPr>
        <w:spacing w:line="360" w:lineRule="auto"/>
        <w:ind w:firstLine="420" w:firstLineChars="200"/>
        <w:rPr>
          <w:rFonts w:hint="eastAsia" w:ascii="宋体" w:hAnsi="宋体" w:eastAsia="宋体" w:cs="宋体"/>
          <w:highlight w:val="none"/>
        </w:rPr>
      </w:pPr>
    </w:p>
    <w:p w14:paraId="530424F1">
      <w:pPr>
        <w:spacing w:line="360" w:lineRule="auto"/>
        <w:rPr>
          <w:rFonts w:hint="eastAsia" w:ascii="宋体" w:hAnsi="宋体" w:eastAsia="宋体" w:cs="宋体"/>
          <w:b/>
          <w:sz w:val="24"/>
          <w:highlight w:val="none"/>
        </w:rPr>
      </w:pPr>
    </w:p>
    <w:p w14:paraId="59CAC8B8">
      <w:pPr>
        <w:spacing w:line="360" w:lineRule="auto"/>
        <w:rPr>
          <w:rFonts w:hint="eastAsia" w:ascii="宋体" w:hAnsi="宋体" w:eastAsia="宋体" w:cs="宋体"/>
          <w:b/>
          <w:sz w:val="24"/>
          <w:highlight w:val="none"/>
        </w:rPr>
      </w:pPr>
    </w:p>
    <w:p w14:paraId="03283E9D">
      <w:pPr>
        <w:spacing w:line="360" w:lineRule="auto"/>
        <w:rPr>
          <w:rFonts w:hint="eastAsia" w:ascii="宋体" w:hAnsi="宋体" w:eastAsia="宋体" w:cs="宋体"/>
          <w:b/>
          <w:sz w:val="24"/>
          <w:highlight w:val="none"/>
        </w:rPr>
      </w:pPr>
    </w:p>
    <w:p w14:paraId="56618EE8">
      <w:pPr>
        <w:spacing w:line="360" w:lineRule="auto"/>
        <w:rPr>
          <w:rFonts w:hint="eastAsia" w:ascii="宋体" w:hAnsi="宋体" w:eastAsia="宋体" w:cs="宋体"/>
          <w:b/>
          <w:sz w:val="24"/>
          <w:highlight w:val="none"/>
        </w:rPr>
      </w:pPr>
    </w:p>
    <w:p w14:paraId="1AAE67B5">
      <w:pPr>
        <w:spacing w:line="360" w:lineRule="auto"/>
        <w:rPr>
          <w:rFonts w:hint="eastAsia" w:ascii="宋体" w:hAnsi="宋体" w:eastAsia="宋体" w:cs="宋体"/>
          <w:b/>
          <w:sz w:val="24"/>
          <w:highlight w:val="none"/>
        </w:rPr>
      </w:pPr>
    </w:p>
    <w:p w14:paraId="2664F761">
      <w:pPr>
        <w:spacing w:line="360" w:lineRule="auto"/>
        <w:rPr>
          <w:rFonts w:hint="eastAsia" w:ascii="宋体" w:hAnsi="宋体" w:eastAsia="宋体" w:cs="宋体"/>
          <w:b/>
          <w:sz w:val="24"/>
          <w:highlight w:val="none"/>
        </w:rPr>
      </w:pPr>
    </w:p>
    <w:p w14:paraId="33166F6C">
      <w:pPr>
        <w:spacing w:line="360" w:lineRule="auto"/>
        <w:rPr>
          <w:rFonts w:hint="eastAsia" w:ascii="宋体" w:hAnsi="宋体" w:eastAsia="宋体" w:cs="宋体"/>
          <w:b/>
          <w:sz w:val="24"/>
          <w:highlight w:val="none"/>
        </w:rPr>
      </w:pPr>
    </w:p>
    <w:p w14:paraId="551EDD3D">
      <w:pPr>
        <w:spacing w:line="360" w:lineRule="auto"/>
        <w:rPr>
          <w:rFonts w:hint="eastAsia" w:ascii="宋体" w:hAnsi="宋体" w:eastAsia="宋体" w:cs="宋体"/>
          <w:b/>
          <w:sz w:val="24"/>
          <w:highlight w:val="none"/>
        </w:rPr>
      </w:pPr>
    </w:p>
    <w:p w14:paraId="06765132">
      <w:pPr>
        <w:spacing w:line="360" w:lineRule="auto"/>
        <w:rPr>
          <w:rFonts w:hint="eastAsia" w:ascii="宋体" w:hAnsi="宋体" w:eastAsia="宋体" w:cs="宋体"/>
          <w:b/>
          <w:sz w:val="24"/>
          <w:highlight w:val="none"/>
        </w:rPr>
      </w:pPr>
    </w:p>
    <w:p w14:paraId="7333D94D">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附件2：质疑函范本及制作说明</w:t>
      </w:r>
    </w:p>
    <w:p w14:paraId="095992B2">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14:paraId="189CC46C">
      <w:pPr>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14:paraId="13DBB68E">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r>
        <w:rPr>
          <w:rFonts w:hint="eastAsia" w:ascii="宋体" w:hAnsi="宋体" w:eastAsia="宋体" w:cs="宋体"/>
          <w:sz w:val="24"/>
          <w:highlight w:val="none"/>
          <w:u w:val="dotted"/>
        </w:rPr>
        <w:t xml:space="preserve">                                        </w:t>
      </w:r>
    </w:p>
    <w:p w14:paraId="1F4331E3">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6B31CCBA">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1AA7037A">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p>
    <w:p w14:paraId="76A9C664">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22A3F4DE">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地址： </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2FC5D5C6">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14:paraId="7CB9A99C">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r>
        <w:rPr>
          <w:rFonts w:hint="eastAsia" w:ascii="宋体" w:hAnsi="宋体" w:eastAsia="宋体" w:cs="宋体"/>
          <w:sz w:val="24"/>
          <w:highlight w:val="none"/>
          <w:u w:val="dotted"/>
        </w:rPr>
        <w:t xml:space="preserve">                                      </w:t>
      </w:r>
    </w:p>
    <w:p w14:paraId="0EB0212C">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14:paraId="20312DF3">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p>
    <w:p w14:paraId="06DDBFB2">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r>
        <w:rPr>
          <w:rFonts w:hint="eastAsia" w:ascii="宋体" w:hAnsi="宋体" w:eastAsia="宋体" w:cs="宋体"/>
          <w:sz w:val="24"/>
          <w:highlight w:val="none"/>
          <w:u w:val="dotted"/>
        </w:rPr>
        <w:t xml:space="preserve">                                           </w:t>
      </w:r>
    </w:p>
    <w:p w14:paraId="20374B4A">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14:paraId="34D18A79">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r>
        <w:rPr>
          <w:rFonts w:hint="eastAsia" w:ascii="宋体" w:hAnsi="宋体" w:eastAsia="宋体" w:cs="宋体"/>
          <w:sz w:val="24"/>
          <w:highlight w:val="none"/>
          <w:u w:val="dotted"/>
        </w:rPr>
        <w:t xml:space="preserve">                                         </w:t>
      </w:r>
    </w:p>
    <w:p w14:paraId="6EA75384">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066320AA">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u w:val="dotted"/>
        </w:rPr>
        <w:t xml:space="preserve">                                                       </w:t>
      </w:r>
    </w:p>
    <w:p w14:paraId="41D8B825">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2E46BBE8">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494579D3">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14:paraId="5A3867D1">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14:paraId="48E6B2D0">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14:paraId="759F2D52">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p>
    <w:p w14:paraId="76F15AB0">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6099725D">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5479FE31">
      <w:pPr>
        <w:spacing w:line="360" w:lineRule="auto"/>
        <w:jc w:val="center"/>
        <w:rPr>
          <w:rFonts w:hint="eastAsia" w:ascii="宋体" w:hAnsi="宋体" w:eastAsia="宋体" w:cs="宋体"/>
          <w:b/>
          <w:bCs/>
          <w:sz w:val="24"/>
          <w:highlight w:val="none"/>
        </w:rPr>
      </w:pPr>
    </w:p>
    <w:p w14:paraId="6FCA458A">
      <w:pPr>
        <w:spacing w:line="360" w:lineRule="auto"/>
        <w:rPr>
          <w:rFonts w:hint="eastAsia" w:ascii="宋体" w:hAnsi="宋体" w:eastAsia="宋体" w:cs="宋体"/>
          <w:b/>
          <w:sz w:val="24"/>
          <w:highlight w:val="none"/>
        </w:rPr>
      </w:pPr>
    </w:p>
    <w:p w14:paraId="217D6290">
      <w:pPr>
        <w:spacing w:line="360" w:lineRule="auto"/>
        <w:rPr>
          <w:rFonts w:hint="eastAsia" w:ascii="宋体" w:hAnsi="宋体" w:eastAsia="宋体" w:cs="宋体"/>
          <w:b/>
          <w:sz w:val="24"/>
          <w:highlight w:val="none"/>
        </w:rPr>
      </w:pPr>
    </w:p>
    <w:p w14:paraId="045BA9D9">
      <w:pPr>
        <w:spacing w:line="360" w:lineRule="auto"/>
        <w:rPr>
          <w:rFonts w:hint="eastAsia" w:ascii="宋体" w:hAnsi="宋体" w:eastAsia="宋体" w:cs="宋体"/>
          <w:b/>
          <w:sz w:val="24"/>
          <w:highlight w:val="none"/>
        </w:rPr>
      </w:pPr>
    </w:p>
    <w:p w14:paraId="21440E0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14:paraId="3C921841">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5B742A22">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14:paraId="064394C6">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5F071781">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33DFA810">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33B67CA8">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2DDAC60B">
      <w:pPr>
        <w:widowControl/>
        <w:spacing w:line="360" w:lineRule="auto"/>
        <w:ind w:firstLine="600" w:firstLineChars="200"/>
        <w:jc w:val="left"/>
        <w:rPr>
          <w:rFonts w:hint="eastAsia" w:ascii="宋体" w:hAnsi="宋体" w:eastAsia="宋体" w:cs="宋体"/>
          <w:sz w:val="30"/>
          <w:szCs w:val="30"/>
          <w:highlight w:val="none"/>
        </w:rPr>
      </w:pPr>
    </w:p>
    <w:p w14:paraId="71F7182D">
      <w:pPr>
        <w:spacing w:line="360" w:lineRule="auto"/>
        <w:jc w:val="center"/>
        <w:rPr>
          <w:rFonts w:hint="eastAsia" w:ascii="宋体" w:hAnsi="宋体" w:eastAsia="宋体" w:cs="宋体"/>
          <w:b/>
          <w:spacing w:val="6"/>
          <w:sz w:val="32"/>
          <w:szCs w:val="32"/>
          <w:highlight w:val="none"/>
        </w:rPr>
      </w:pPr>
    </w:p>
    <w:p w14:paraId="25D18E25">
      <w:pPr>
        <w:spacing w:line="360" w:lineRule="auto"/>
        <w:jc w:val="center"/>
        <w:rPr>
          <w:rFonts w:hint="eastAsia" w:ascii="宋体" w:hAnsi="宋体" w:eastAsia="宋体" w:cs="宋体"/>
          <w:b/>
          <w:spacing w:val="6"/>
          <w:sz w:val="32"/>
          <w:szCs w:val="32"/>
          <w:highlight w:val="none"/>
        </w:rPr>
      </w:pPr>
    </w:p>
    <w:p w14:paraId="3383FAA3">
      <w:pPr>
        <w:spacing w:line="360" w:lineRule="auto"/>
        <w:jc w:val="center"/>
        <w:rPr>
          <w:rFonts w:hint="eastAsia" w:ascii="宋体" w:hAnsi="宋体" w:eastAsia="宋体" w:cs="宋体"/>
          <w:b/>
          <w:spacing w:val="6"/>
          <w:sz w:val="32"/>
          <w:szCs w:val="32"/>
          <w:highlight w:val="none"/>
        </w:rPr>
      </w:pPr>
    </w:p>
    <w:p w14:paraId="01CEDFCD">
      <w:pPr>
        <w:spacing w:line="360" w:lineRule="auto"/>
        <w:jc w:val="center"/>
        <w:rPr>
          <w:rFonts w:hint="eastAsia" w:ascii="宋体" w:hAnsi="宋体" w:eastAsia="宋体" w:cs="宋体"/>
          <w:b/>
          <w:spacing w:val="6"/>
          <w:sz w:val="32"/>
          <w:szCs w:val="32"/>
          <w:highlight w:val="none"/>
        </w:rPr>
      </w:pPr>
    </w:p>
    <w:p w14:paraId="7114218F">
      <w:pPr>
        <w:spacing w:line="360" w:lineRule="auto"/>
        <w:jc w:val="center"/>
        <w:rPr>
          <w:rFonts w:hint="eastAsia" w:ascii="宋体" w:hAnsi="宋体" w:eastAsia="宋体" w:cs="宋体"/>
          <w:b/>
          <w:spacing w:val="6"/>
          <w:sz w:val="32"/>
          <w:szCs w:val="32"/>
          <w:highlight w:val="none"/>
        </w:rPr>
      </w:pPr>
    </w:p>
    <w:p w14:paraId="6305AF10">
      <w:pPr>
        <w:spacing w:line="360" w:lineRule="auto"/>
        <w:jc w:val="center"/>
        <w:rPr>
          <w:rFonts w:hint="eastAsia" w:ascii="宋体" w:hAnsi="宋体" w:eastAsia="宋体" w:cs="宋体"/>
          <w:b/>
          <w:spacing w:val="6"/>
          <w:sz w:val="32"/>
          <w:szCs w:val="32"/>
          <w:highlight w:val="none"/>
        </w:rPr>
      </w:pPr>
    </w:p>
    <w:p w14:paraId="66D6B202">
      <w:pPr>
        <w:spacing w:line="360" w:lineRule="auto"/>
        <w:jc w:val="center"/>
        <w:rPr>
          <w:rFonts w:hint="eastAsia" w:ascii="宋体" w:hAnsi="宋体" w:eastAsia="宋体" w:cs="宋体"/>
          <w:b/>
          <w:spacing w:val="6"/>
          <w:sz w:val="32"/>
          <w:szCs w:val="32"/>
          <w:highlight w:val="none"/>
        </w:rPr>
      </w:pPr>
    </w:p>
    <w:p w14:paraId="6212D60C">
      <w:pPr>
        <w:spacing w:line="360" w:lineRule="auto"/>
        <w:jc w:val="center"/>
        <w:rPr>
          <w:rFonts w:hint="eastAsia" w:ascii="宋体" w:hAnsi="宋体" w:eastAsia="宋体" w:cs="宋体"/>
          <w:b/>
          <w:spacing w:val="6"/>
          <w:sz w:val="32"/>
          <w:szCs w:val="32"/>
          <w:highlight w:val="none"/>
        </w:rPr>
      </w:pPr>
    </w:p>
    <w:p w14:paraId="4389FBEF">
      <w:pPr>
        <w:spacing w:line="360" w:lineRule="auto"/>
        <w:jc w:val="center"/>
        <w:rPr>
          <w:rFonts w:hint="eastAsia" w:ascii="宋体" w:hAnsi="宋体" w:eastAsia="宋体" w:cs="宋体"/>
          <w:b/>
          <w:spacing w:val="6"/>
          <w:sz w:val="32"/>
          <w:szCs w:val="32"/>
          <w:highlight w:val="none"/>
        </w:rPr>
      </w:pPr>
    </w:p>
    <w:p w14:paraId="2BC10248">
      <w:pPr>
        <w:spacing w:line="360" w:lineRule="auto"/>
        <w:jc w:val="center"/>
        <w:rPr>
          <w:rFonts w:hint="eastAsia" w:ascii="宋体" w:hAnsi="宋体" w:eastAsia="宋体" w:cs="宋体"/>
          <w:b/>
          <w:spacing w:val="6"/>
          <w:sz w:val="32"/>
          <w:szCs w:val="32"/>
          <w:highlight w:val="none"/>
        </w:rPr>
      </w:pPr>
    </w:p>
    <w:p w14:paraId="48124879">
      <w:pPr>
        <w:spacing w:line="360" w:lineRule="auto"/>
        <w:jc w:val="center"/>
        <w:rPr>
          <w:rFonts w:hint="eastAsia" w:ascii="宋体" w:hAnsi="宋体" w:eastAsia="宋体" w:cs="宋体"/>
          <w:b/>
          <w:spacing w:val="6"/>
          <w:sz w:val="32"/>
          <w:szCs w:val="32"/>
          <w:highlight w:val="none"/>
        </w:rPr>
      </w:pPr>
    </w:p>
    <w:p w14:paraId="75CB557E">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附件3：投诉书范本及制作说明</w:t>
      </w:r>
    </w:p>
    <w:p w14:paraId="3E68C5FD">
      <w:pPr>
        <w:spacing w:line="360" w:lineRule="auto"/>
        <w:jc w:val="center"/>
        <w:rPr>
          <w:rFonts w:hint="eastAsia" w:ascii="宋体" w:hAnsi="宋体" w:eastAsia="宋体" w:cs="宋体"/>
          <w:b/>
          <w:sz w:val="24"/>
          <w:highlight w:val="none"/>
        </w:rPr>
      </w:pPr>
    </w:p>
    <w:p w14:paraId="279E8CAB">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14:paraId="0D2930BE">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14:paraId="7FCC340C">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r>
        <w:rPr>
          <w:rFonts w:hint="eastAsia" w:ascii="宋体" w:hAnsi="宋体" w:eastAsia="宋体" w:cs="宋体"/>
          <w:sz w:val="24"/>
          <w:highlight w:val="none"/>
          <w:u w:val="dotted"/>
        </w:rPr>
        <w:t xml:space="preserve">                                               </w:t>
      </w:r>
    </w:p>
    <w:p w14:paraId="0F79B2C7">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22893C2E">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4A2C2AE2">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08540893">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5005AAC0">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dotted"/>
        </w:rPr>
        <w:t xml:space="preserve">                   </w:t>
      </w:r>
    </w:p>
    <w:p w14:paraId="3C836273">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5689F7A2">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71094533">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7BD98F77">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14:paraId="18FAEB04">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58AA7EAF">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08A9097B">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36585C0A">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63F8858C">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14:paraId="6BEAAB05">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r>
        <w:rPr>
          <w:rFonts w:hint="eastAsia" w:ascii="宋体" w:hAnsi="宋体" w:eastAsia="宋体" w:cs="宋体"/>
          <w:sz w:val="24"/>
          <w:highlight w:val="none"/>
          <w:u w:val="dotted"/>
        </w:rPr>
        <w:t xml:space="preserve">                                        </w:t>
      </w:r>
    </w:p>
    <w:p w14:paraId="34869119">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14:paraId="7B728D06">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74EB9B81">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r>
        <w:rPr>
          <w:rFonts w:hint="eastAsia" w:ascii="宋体" w:hAnsi="宋体" w:eastAsia="宋体" w:cs="宋体"/>
          <w:sz w:val="24"/>
          <w:highlight w:val="none"/>
          <w:u w:val="dotted"/>
        </w:rPr>
        <w:t xml:space="preserve">                                         </w:t>
      </w:r>
    </w:p>
    <w:p w14:paraId="46FB9A32">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18D6DDD9">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6E3E62CB">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14:paraId="39CD6A85">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日,向</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提出质疑，质疑事项为：</w:t>
      </w:r>
      <w:r>
        <w:rPr>
          <w:rFonts w:hint="eastAsia" w:ascii="宋体" w:hAnsi="宋体" w:eastAsia="宋体" w:cs="宋体"/>
          <w:sz w:val="24"/>
          <w:highlight w:val="none"/>
          <w:u w:val="dotted"/>
        </w:rPr>
        <w:t xml:space="preserve">                                </w:t>
      </w:r>
    </w:p>
    <w:p w14:paraId="2553FA23">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74D12627">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日,就质疑事项作出了答复/没有在法定期限内作出答复。</w:t>
      </w:r>
    </w:p>
    <w:p w14:paraId="0DBE78F2">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14:paraId="383A7788">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r>
        <w:rPr>
          <w:rFonts w:hint="eastAsia" w:ascii="宋体" w:hAnsi="宋体" w:eastAsia="宋体" w:cs="宋体"/>
          <w:sz w:val="24"/>
          <w:highlight w:val="none"/>
          <w:u w:val="dotted"/>
        </w:rPr>
        <w:t xml:space="preserve">                                       </w:t>
      </w:r>
    </w:p>
    <w:p w14:paraId="7034F084">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56E86E1D">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07829F63">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5628103D">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31767D05">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14:paraId="6B23A4E6">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0659A879">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14:paraId="418D089C">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2FCB50C6">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14:paraId="386479F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60B51834">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6AEA09CF">
      <w:pPr>
        <w:spacing w:line="360" w:lineRule="auto"/>
        <w:rPr>
          <w:rFonts w:hint="eastAsia" w:ascii="宋体" w:hAnsi="宋体" w:eastAsia="宋体" w:cs="宋体"/>
          <w:b/>
          <w:sz w:val="24"/>
          <w:highlight w:val="none"/>
        </w:rPr>
      </w:pPr>
    </w:p>
    <w:p w14:paraId="4488C379">
      <w:pPr>
        <w:spacing w:line="360" w:lineRule="auto"/>
        <w:rPr>
          <w:rFonts w:hint="eastAsia" w:ascii="宋体" w:hAnsi="宋体" w:eastAsia="宋体" w:cs="宋体"/>
          <w:b/>
          <w:sz w:val="24"/>
          <w:highlight w:val="none"/>
        </w:rPr>
      </w:pPr>
    </w:p>
    <w:p w14:paraId="5E52D069">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14:paraId="5A7A6474">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14:paraId="65A8FA89">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14:paraId="7AC99D47">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14:paraId="7099C800">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14:paraId="0EB3E384">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14:paraId="453CD68A">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14:paraId="66619B83">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14:paraId="72619CCA">
      <w:pPr>
        <w:spacing w:line="360" w:lineRule="auto"/>
        <w:rPr>
          <w:rFonts w:hint="eastAsia" w:ascii="宋体" w:hAnsi="宋体" w:eastAsia="宋体" w:cs="宋体"/>
          <w:b/>
          <w:sz w:val="24"/>
          <w:highlight w:val="none"/>
        </w:rPr>
      </w:pPr>
    </w:p>
    <w:p w14:paraId="3E2399BC">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05380E1F">
      <w:pPr>
        <w:spacing w:line="360" w:lineRule="auto"/>
        <w:rPr>
          <w:rFonts w:hint="eastAsia" w:ascii="宋体" w:hAnsi="宋体" w:eastAsia="宋体" w:cs="宋体"/>
          <w:color w:val="auto"/>
          <w:sz w:val="24"/>
          <w:highlight w:val="none"/>
          <w:u w:val="single"/>
        </w:rPr>
      </w:pPr>
    </w:p>
    <w:p w14:paraId="38FCBBA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1DF58B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2024年临平区运河街道高标准农田示范区建设-农田数字化、灌排数字化项目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RTZFCG-2024-074-1</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AAE5E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3CE0DC9B">
      <w:pPr>
        <w:spacing w:line="360" w:lineRule="auto"/>
        <w:ind w:firstLine="494"/>
        <w:rPr>
          <w:rFonts w:hint="eastAsia" w:ascii="宋体" w:hAnsi="宋体" w:eastAsia="宋体" w:cs="宋体"/>
          <w:color w:val="auto"/>
          <w:sz w:val="24"/>
          <w:highlight w:val="none"/>
        </w:rPr>
      </w:pPr>
    </w:p>
    <w:p w14:paraId="6FFA4A99">
      <w:pPr>
        <w:spacing w:line="360" w:lineRule="auto"/>
        <w:ind w:firstLine="494"/>
        <w:rPr>
          <w:rFonts w:hint="eastAsia" w:ascii="宋体" w:hAnsi="宋体" w:eastAsia="宋体" w:cs="宋体"/>
          <w:color w:val="auto"/>
          <w:sz w:val="24"/>
          <w:highlight w:val="none"/>
        </w:rPr>
      </w:pPr>
    </w:p>
    <w:p w14:paraId="0F3228D2">
      <w:pPr>
        <w:spacing w:line="360" w:lineRule="auto"/>
        <w:ind w:firstLine="494"/>
        <w:rPr>
          <w:rFonts w:hint="eastAsia" w:ascii="宋体" w:hAnsi="宋体" w:eastAsia="宋体" w:cs="宋体"/>
          <w:color w:val="auto"/>
          <w:sz w:val="24"/>
          <w:highlight w:val="none"/>
        </w:rPr>
      </w:pPr>
    </w:p>
    <w:p w14:paraId="68641AAC">
      <w:pPr>
        <w:spacing w:line="360" w:lineRule="auto"/>
        <w:ind w:firstLine="494"/>
        <w:rPr>
          <w:rFonts w:hint="eastAsia" w:ascii="宋体" w:hAnsi="宋体" w:eastAsia="宋体" w:cs="宋体"/>
          <w:sz w:val="24"/>
          <w:highlight w:val="none"/>
        </w:rPr>
      </w:pPr>
    </w:p>
    <w:p w14:paraId="25124FC3">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14:paraId="7BB264BC">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2433CAB0">
      <w:pPr>
        <w:rPr>
          <w:rFonts w:hint="eastAsia" w:ascii="宋体" w:hAnsi="宋体" w:eastAsia="宋体" w:cs="宋体"/>
          <w:sz w:val="24"/>
          <w:highlight w:val="none"/>
        </w:rPr>
      </w:pPr>
      <w:r>
        <w:rPr>
          <w:rFonts w:hint="eastAsia" w:ascii="宋体" w:hAnsi="宋体" w:eastAsia="宋体" w:cs="宋体"/>
          <w:b/>
          <w:bCs/>
          <w:sz w:val="24"/>
          <w:highlight w:val="none"/>
        </w:rPr>
        <w:t>附：</w:t>
      </w:r>
    </w:p>
    <w:p w14:paraId="47053737">
      <w:pPr>
        <w:spacing w:line="360" w:lineRule="auto"/>
        <w:rPr>
          <w:rFonts w:hint="eastAsia" w:ascii="宋体" w:hAnsi="宋体" w:eastAsia="宋体" w:cs="宋体"/>
          <w:bCs/>
          <w:sz w:val="24"/>
          <w:highlight w:val="none"/>
        </w:rPr>
      </w:pP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sz w:val="24"/>
          <w:highlight w:val="none"/>
        </w:rPr>
        <w:t>投标单位法定名称章（印模）                投标单位“XX专用章”（印模）</w:t>
      </w:r>
    </w:p>
    <w:p w14:paraId="1CF7C62D">
      <w:pPr>
        <w:autoSpaceDE w:val="0"/>
        <w:autoSpaceDN w:val="0"/>
        <w:jc w:val="center"/>
        <w:rPr>
          <w:rFonts w:hint="eastAsia" w:ascii="宋体" w:hAnsi="宋体" w:eastAsia="宋体" w:cs="宋体"/>
          <w:b/>
          <w:spacing w:val="6"/>
          <w:sz w:val="32"/>
          <w:szCs w:val="32"/>
          <w:highlight w:val="none"/>
        </w:rPr>
      </w:pPr>
    </w:p>
    <w:p w14:paraId="0DE52626">
      <w:pPr>
        <w:autoSpaceDE w:val="0"/>
        <w:autoSpaceDN w:val="0"/>
        <w:jc w:val="center"/>
        <w:rPr>
          <w:rFonts w:hint="eastAsia" w:ascii="宋体" w:hAnsi="宋体" w:eastAsia="宋体" w:cs="宋体"/>
          <w:b/>
          <w:spacing w:val="6"/>
          <w:sz w:val="32"/>
          <w:szCs w:val="32"/>
          <w:highlight w:val="none"/>
        </w:rPr>
      </w:pPr>
    </w:p>
    <w:p w14:paraId="4538EA7A">
      <w:pPr>
        <w:autoSpaceDE w:val="0"/>
        <w:autoSpaceDN w:val="0"/>
        <w:jc w:val="center"/>
        <w:rPr>
          <w:rFonts w:hint="eastAsia" w:ascii="宋体" w:hAnsi="宋体" w:eastAsia="宋体" w:cs="宋体"/>
          <w:b/>
          <w:spacing w:val="6"/>
          <w:sz w:val="32"/>
          <w:szCs w:val="32"/>
          <w:highlight w:val="none"/>
        </w:rPr>
      </w:pPr>
    </w:p>
    <w:p w14:paraId="0FA89501">
      <w:pPr>
        <w:autoSpaceDE w:val="0"/>
        <w:autoSpaceDN w:val="0"/>
        <w:jc w:val="center"/>
        <w:rPr>
          <w:rFonts w:hint="eastAsia" w:ascii="宋体" w:hAnsi="宋体" w:eastAsia="宋体" w:cs="宋体"/>
          <w:b/>
          <w:spacing w:val="6"/>
          <w:sz w:val="32"/>
          <w:szCs w:val="32"/>
          <w:highlight w:val="none"/>
        </w:rPr>
      </w:pPr>
    </w:p>
    <w:p w14:paraId="2AA18337">
      <w:pPr>
        <w:autoSpaceDE w:val="0"/>
        <w:autoSpaceDN w:val="0"/>
        <w:jc w:val="center"/>
        <w:rPr>
          <w:rFonts w:hint="eastAsia" w:ascii="宋体" w:hAnsi="宋体" w:eastAsia="宋体" w:cs="宋体"/>
          <w:b/>
          <w:spacing w:val="6"/>
          <w:sz w:val="32"/>
          <w:szCs w:val="32"/>
          <w:highlight w:val="none"/>
        </w:rPr>
      </w:pPr>
    </w:p>
    <w:p w14:paraId="51BFF209">
      <w:pPr>
        <w:autoSpaceDE w:val="0"/>
        <w:autoSpaceDN w:val="0"/>
        <w:jc w:val="center"/>
        <w:rPr>
          <w:rFonts w:hint="eastAsia" w:ascii="宋体" w:hAnsi="宋体" w:eastAsia="宋体" w:cs="宋体"/>
          <w:b/>
          <w:spacing w:val="6"/>
          <w:sz w:val="32"/>
          <w:szCs w:val="32"/>
          <w:highlight w:val="none"/>
        </w:rPr>
      </w:pPr>
    </w:p>
    <w:p w14:paraId="5E93D0DD">
      <w:pPr>
        <w:autoSpaceDE w:val="0"/>
        <w:autoSpaceDN w:val="0"/>
        <w:jc w:val="center"/>
        <w:rPr>
          <w:rFonts w:hint="eastAsia" w:ascii="宋体" w:hAnsi="宋体" w:eastAsia="宋体" w:cs="宋体"/>
          <w:b/>
          <w:spacing w:val="6"/>
          <w:sz w:val="32"/>
          <w:szCs w:val="32"/>
          <w:highlight w:val="none"/>
        </w:rPr>
      </w:pPr>
    </w:p>
    <w:p w14:paraId="2946CAB9">
      <w:pPr>
        <w:autoSpaceDE w:val="0"/>
        <w:autoSpaceDN w:val="0"/>
        <w:jc w:val="center"/>
        <w:rPr>
          <w:rFonts w:hint="eastAsia" w:ascii="宋体" w:hAnsi="宋体" w:eastAsia="宋体" w:cs="宋体"/>
          <w:b/>
          <w:spacing w:val="6"/>
          <w:sz w:val="32"/>
          <w:szCs w:val="32"/>
          <w:highlight w:val="none"/>
        </w:rPr>
      </w:pPr>
    </w:p>
    <w:p w14:paraId="5CA699DB">
      <w:pPr>
        <w:autoSpaceDE w:val="0"/>
        <w:autoSpaceDN w:val="0"/>
        <w:jc w:val="center"/>
        <w:rPr>
          <w:rFonts w:hint="eastAsia" w:ascii="宋体" w:hAnsi="宋体" w:eastAsia="宋体" w:cs="宋体"/>
          <w:b/>
          <w:spacing w:val="6"/>
          <w:sz w:val="32"/>
          <w:szCs w:val="32"/>
          <w:highlight w:val="none"/>
        </w:rPr>
      </w:pPr>
    </w:p>
    <w:p w14:paraId="5BC9185E">
      <w:pPr>
        <w:autoSpaceDE w:val="0"/>
        <w:autoSpaceDN w:val="0"/>
        <w:jc w:val="center"/>
        <w:rPr>
          <w:rFonts w:hint="eastAsia" w:ascii="宋体" w:hAnsi="宋体" w:eastAsia="宋体" w:cs="宋体"/>
          <w:b/>
          <w:spacing w:val="6"/>
          <w:sz w:val="32"/>
          <w:szCs w:val="32"/>
          <w:highlight w:val="none"/>
        </w:rPr>
      </w:pPr>
    </w:p>
    <w:p w14:paraId="78DDEA71">
      <w:pPr>
        <w:autoSpaceDE w:val="0"/>
        <w:autoSpaceDN w:val="0"/>
        <w:jc w:val="center"/>
        <w:rPr>
          <w:rFonts w:hint="eastAsia" w:ascii="宋体" w:hAnsi="宋体" w:eastAsia="宋体" w:cs="宋体"/>
          <w:b/>
          <w:spacing w:val="6"/>
          <w:sz w:val="32"/>
          <w:szCs w:val="32"/>
          <w:highlight w:val="none"/>
        </w:rPr>
      </w:pPr>
    </w:p>
    <w:p w14:paraId="7D279749">
      <w:pPr>
        <w:autoSpaceDE w:val="0"/>
        <w:autoSpaceDN w:val="0"/>
        <w:jc w:val="center"/>
        <w:rPr>
          <w:rFonts w:hint="eastAsia" w:ascii="宋体" w:hAnsi="宋体" w:eastAsia="宋体" w:cs="宋体"/>
          <w:b/>
          <w:spacing w:val="6"/>
          <w:sz w:val="32"/>
          <w:szCs w:val="32"/>
          <w:highlight w:val="none"/>
        </w:rPr>
      </w:pPr>
    </w:p>
    <w:p w14:paraId="136D15EC">
      <w:pPr>
        <w:autoSpaceDE w:val="0"/>
        <w:autoSpaceDN w:val="0"/>
        <w:jc w:val="center"/>
        <w:rPr>
          <w:rFonts w:hint="eastAsia" w:ascii="宋体" w:hAnsi="宋体" w:eastAsia="宋体" w:cs="宋体"/>
          <w:b/>
          <w:spacing w:val="6"/>
          <w:sz w:val="32"/>
          <w:szCs w:val="32"/>
          <w:highlight w:val="none"/>
        </w:rPr>
      </w:pPr>
    </w:p>
    <w:p w14:paraId="78074F6C">
      <w:pPr>
        <w:autoSpaceDE w:val="0"/>
        <w:autoSpaceDN w:val="0"/>
        <w:jc w:val="center"/>
        <w:rPr>
          <w:rFonts w:hint="eastAsia" w:ascii="宋体" w:hAnsi="宋体" w:eastAsia="宋体" w:cs="宋体"/>
          <w:b/>
          <w:spacing w:val="6"/>
          <w:sz w:val="32"/>
          <w:szCs w:val="32"/>
          <w:highlight w:val="none"/>
        </w:rPr>
      </w:pPr>
    </w:p>
    <w:p w14:paraId="4824221A">
      <w:pPr>
        <w:autoSpaceDE w:val="0"/>
        <w:autoSpaceDN w:val="0"/>
        <w:jc w:val="center"/>
        <w:rPr>
          <w:rFonts w:hint="eastAsia" w:ascii="宋体" w:hAnsi="宋体" w:eastAsia="宋体" w:cs="宋体"/>
          <w:b/>
          <w:spacing w:val="6"/>
          <w:sz w:val="32"/>
          <w:szCs w:val="32"/>
          <w:highlight w:val="none"/>
        </w:rPr>
      </w:pPr>
    </w:p>
    <w:p w14:paraId="764AAAC8">
      <w:pPr>
        <w:autoSpaceDE w:val="0"/>
        <w:autoSpaceDN w:val="0"/>
        <w:jc w:val="center"/>
        <w:rPr>
          <w:rFonts w:hint="eastAsia" w:ascii="宋体" w:hAnsi="宋体" w:eastAsia="宋体" w:cs="宋体"/>
          <w:b/>
          <w:spacing w:val="6"/>
          <w:sz w:val="32"/>
          <w:szCs w:val="32"/>
          <w:highlight w:val="none"/>
        </w:rPr>
      </w:pPr>
    </w:p>
    <w:p w14:paraId="2A901938">
      <w:pPr>
        <w:autoSpaceDE w:val="0"/>
        <w:autoSpaceDN w:val="0"/>
        <w:jc w:val="center"/>
        <w:rPr>
          <w:rFonts w:hint="eastAsia" w:ascii="宋体" w:hAnsi="宋体" w:eastAsia="宋体" w:cs="宋体"/>
          <w:b/>
          <w:spacing w:val="6"/>
          <w:sz w:val="32"/>
          <w:szCs w:val="32"/>
          <w:highlight w:val="none"/>
        </w:rPr>
      </w:pPr>
    </w:p>
    <w:p w14:paraId="2309CA67">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408D2B63">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6C1F6C9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2024年临平区运河街道高标准农田示范区建设-农田数字化、灌排数字化项目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RTZFCG-2024-074-1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7E920C9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4BC487B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732A14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p>
    <w:p w14:paraId="6B453DA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（联合体成员1）</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14:paraId="5516CB38">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（联合体成员2）</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14:paraId="1993581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p>
    <w:p w14:paraId="7B47D71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四、联合体成员中小企业合同份额。</w:t>
      </w:r>
    </w:p>
    <w:p w14:paraId="63EEFB7D">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u w:val="single"/>
        </w:rPr>
        <w:t>（</w:t>
      </w:r>
      <w:bookmarkStart w:id="548" w:name="_Hlk101131882"/>
      <w:r>
        <w:rPr>
          <w:rFonts w:hint="eastAsia" w:ascii="宋体" w:hAnsi="宋体" w:eastAsia="宋体" w:cs="宋体"/>
          <w:kern w:val="0"/>
          <w:sz w:val="24"/>
          <w:highlight w:val="none"/>
          <w:u w:val="single"/>
        </w:rPr>
        <w:t>联合体成员X,……</w:t>
      </w:r>
      <w:bookmarkEnd w:id="548"/>
      <w:r>
        <w:rPr>
          <w:rFonts w:hint="eastAsia" w:ascii="宋体" w:hAnsi="宋体" w:eastAsia="宋体" w:cs="宋体"/>
          <w:kern w:val="0"/>
          <w:sz w:val="24"/>
          <w:highlight w:val="none"/>
          <w:u w:val="single"/>
        </w:rPr>
        <w:t>）</w:t>
      </w:r>
      <w:r>
        <w:rPr>
          <w:rFonts w:hint="eastAsia" w:ascii="宋体" w:hAnsi="宋体" w:eastAsia="宋体" w:cs="宋体"/>
          <w:kern w:val="0"/>
          <w:sz w:val="24"/>
          <w:highlight w:val="none"/>
        </w:rPr>
        <w:t>提供的服务由小微企业承接，其合同份额占到合同总金额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w:t>
      </w:r>
      <w:bookmarkStart w:id="549" w:name="_Hlk101133598"/>
      <w:r>
        <w:rPr>
          <w:rFonts w:hint="eastAsia" w:ascii="宋体" w:hAnsi="宋体" w:eastAsia="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highlight w:val="none"/>
        </w:rPr>
        <w:t>拟享受以上价格扣除政策的，填写有关内容。</w:t>
      </w:r>
      <w:bookmarkEnd w:id="549"/>
      <w:r>
        <w:rPr>
          <w:rFonts w:hint="eastAsia" w:ascii="宋体" w:hAnsi="宋体" w:eastAsia="宋体" w:cs="宋体"/>
          <w:b/>
          <w:kern w:val="0"/>
          <w:sz w:val="24"/>
          <w:highlight w:val="none"/>
          <w:lang w:val="zh-CN"/>
        </w:rPr>
        <w:t>）</w:t>
      </w:r>
    </w:p>
    <w:p w14:paraId="53C19307">
      <w:pPr>
        <w:spacing w:line="360" w:lineRule="auto"/>
        <w:ind w:firstLine="480" w:firstLineChars="200"/>
        <w:rPr>
          <w:rFonts w:hint="eastAsia" w:ascii="宋体" w:hAnsi="宋体" w:eastAsia="宋体" w:cs="宋体"/>
          <w:b/>
          <w:bCs/>
          <w:kern w:val="0"/>
          <w:sz w:val="24"/>
          <w:highlight w:val="none"/>
          <w:lang w:val="zh-CN"/>
        </w:rPr>
      </w:pPr>
      <w:r>
        <w:rPr>
          <w:rFonts w:hint="eastAsia" w:ascii="宋体" w:hAnsi="宋体" w:eastAsia="宋体" w:cs="宋体"/>
          <w:sz w:val="24"/>
          <w:highlight w:val="none"/>
        </w:rPr>
        <w:t>2、</w:t>
      </w:r>
      <w:bookmarkStart w:id="550" w:name="_Hlk101133173"/>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highlight w:val="none"/>
          <w:lang w:val="zh-CN"/>
        </w:rPr>
        <w:t>）</w:t>
      </w:r>
      <w:bookmarkEnd w:id="550"/>
    </w:p>
    <w:p w14:paraId="5926BAAC">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14:paraId="24D16C1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14:paraId="29C45C68">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14:paraId="2847457D">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14:paraId="03AF6113">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3、本协议提交采购人、采购代理机构后，联合体各方不得以任何形式对上述内容进行修改或撤销。</w:t>
      </w:r>
    </w:p>
    <w:p w14:paraId="0D94C995">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06FFE482">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48C76D33">
      <w:pPr>
        <w:snapToGrid w:val="0"/>
        <w:spacing w:line="360" w:lineRule="auto"/>
        <w:ind w:right="96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32A93FA0">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14:paraId="22218E18">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621C94C4">
      <w:pPr>
        <w:autoSpaceDE w:val="0"/>
        <w:autoSpaceDN w:val="0"/>
        <w:jc w:val="center"/>
        <w:rPr>
          <w:rFonts w:hint="eastAsia" w:ascii="宋体" w:hAnsi="宋体" w:eastAsia="宋体" w:cs="宋体"/>
          <w:b/>
          <w:spacing w:val="6"/>
          <w:sz w:val="32"/>
          <w:szCs w:val="32"/>
          <w:highlight w:val="none"/>
        </w:rPr>
      </w:pPr>
    </w:p>
    <w:p w14:paraId="497F1C1E">
      <w:pPr>
        <w:autoSpaceDE w:val="0"/>
        <w:autoSpaceDN w:val="0"/>
        <w:jc w:val="center"/>
        <w:rPr>
          <w:rFonts w:hint="eastAsia" w:ascii="宋体" w:hAnsi="宋体" w:eastAsia="宋体" w:cs="宋体"/>
          <w:b/>
          <w:spacing w:val="6"/>
          <w:sz w:val="32"/>
          <w:szCs w:val="32"/>
          <w:highlight w:val="none"/>
        </w:rPr>
      </w:pPr>
    </w:p>
    <w:p w14:paraId="3EB29E36">
      <w:pPr>
        <w:autoSpaceDE w:val="0"/>
        <w:autoSpaceDN w:val="0"/>
        <w:jc w:val="center"/>
        <w:rPr>
          <w:rFonts w:hint="eastAsia" w:ascii="宋体" w:hAnsi="宋体" w:eastAsia="宋体" w:cs="宋体"/>
          <w:b/>
          <w:spacing w:val="6"/>
          <w:sz w:val="32"/>
          <w:szCs w:val="32"/>
          <w:highlight w:val="none"/>
        </w:rPr>
      </w:pPr>
    </w:p>
    <w:p w14:paraId="60493997">
      <w:pPr>
        <w:autoSpaceDE w:val="0"/>
        <w:autoSpaceDN w:val="0"/>
        <w:jc w:val="center"/>
        <w:rPr>
          <w:rFonts w:hint="eastAsia" w:ascii="宋体" w:hAnsi="宋体" w:eastAsia="宋体" w:cs="宋体"/>
          <w:b/>
          <w:spacing w:val="6"/>
          <w:sz w:val="32"/>
          <w:szCs w:val="32"/>
          <w:highlight w:val="none"/>
        </w:rPr>
      </w:pPr>
    </w:p>
    <w:p w14:paraId="6173367C">
      <w:pPr>
        <w:autoSpaceDE w:val="0"/>
        <w:autoSpaceDN w:val="0"/>
        <w:jc w:val="center"/>
        <w:rPr>
          <w:rFonts w:hint="eastAsia" w:ascii="宋体" w:hAnsi="宋体" w:eastAsia="宋体" w:cs="宋体"/>
          <w:b/>
          <w:spacing w:val="6"/>
          <w:sz w:val="32"/>
          <w:szCs w:val="32"/>
          <w:highlight w:val="none"/>
        </w:rPr>
      </w:pPr>
    </w:p>
    <w:p w14:paraId="659C2E38">
      <w:pPr>
        <w:autoSpaceDE w:val="0"/>
        <w:autoSpaceDN w:val="0"/>
        <w:jc w:val="center"/>
        <w:rPr>
          <w:rFonts w:hint="eastAsia" w:ascii="宋体" w:hAnsi="宋体" w:eastAsia="宋体" w:cs="宋体"/>
          <w:b/>
          <w:spacing w:val="6"/>
          <w:sz w:val="32"/>
          <w:szCs w:val="32"/>
          <w:highlight w:val="none"/>
        </w:rPr>
      </w:pPr>
    </w:p>
    <w:p w14:paraId="2E4A9001">
      <w:pPr>
        <w:autoSpaceDE w:val="0"/>
        <w:autoSpaceDN w:val="0"/>
        <w:jc w:val="center"/>
        <w:rPr>
          <w:rFonts w:hint="eastAsia" w:ascii="宋体" w:hAnsi="宋体" w:eastAsia="宋体" w:cs="宋体"/>
          <w:b/>
          <w:spacing w:val="6"/>
          <w:sz w:val="32"/>
          <w:szCs w:val="32"/>
          <w:highlight w:val="none"/>
        </w:rPr>
      </w:pPr>
    </w:p>
    <w:p w14:paraId="4833E4F1">
      <w:pPr>
        <w:autoSpaceDE w:val="0"/>
        <w:autoSpaceDN w:val="0"/>
        <w:jc w:val="center"/>
        <w:rPr>
          <w:rFonts w:hint="eastAsia" w:ascii="宋体" w:hAnsi="宋体" w:eastAsia="宋体" w:cs="宋体"/>
          <w:b/>
          <w:spacing w:val="6"/>
          <w:sz w:val="32"/>
          <w:szCs w:val="32"/>
          <w:highlight w:val="none"/>
        </w:rPr>
      </w:pPr>
    </w:p>
    <w:p w14:paraId="445B3501">
      <w:pPr>
        <w:autoSpaceDE w:val="0"/>
        <w:autoSpaceDN w:val="0"/>
        <w:jc w:val="center"/>
        <w:rPr>
          <w:rFonts w:hint="eastAsia" w:ascii="宋体" w:hAnsi="宋体" w:eastAsia="宋体" w:cs="宋体"/>
          <w:b/>
          <w:spacing w:val="6"/>
          <w:sz w:val="32"/>
          <w:szCs w:val="32"/>
          <w:highlight w:val="none"/>
        </w:rPr>
      </w:pPr>
    </w:p>
    <w:p w14:paraId="27888B3D">
      <w:pPr>
        <w:autoSpaceDE w:val="0"/>
        <w:autoSpaceDN w:val="0"/>
        <w:jc w:val="center"/>
        <w:rPr>
          <w:rFonts w:hint="eastAsia" w:ascii="宋体" w:hAnsi="宋体" w:eastAsia="宋体" w:cs="宋体"/>
          <w:b/>
          <w:spacing w:val="6"/>
          <w:sz w:val="32"/>
          <w:szCs w:val="32"/>
          <w:highlight w:val="none"/>
        </w:rPr>
      </w:pPr>
    </w:p>
    <w:p w14:paraId="760EC9D6">
      <w:pPr>
        <w:autoSpaceDE w:val="0"/>
        <w:autoSpaceDN w:val="0"/>
        <w:jc w:val="center"/>
        <w:rPr>
          <w:rFonts w:hint="eastAsia" w:ascii="宋体" w:hAnsi="宋体" w:eastAsia="宋体" w:cs="宋体"/>
          <w:b/>
          <w:spacing w:val="6"/>
          <w:sz w:val="32"/>
          <w:szCs w:val="32"/>
          <w:highlight w:val="none"/>
        </w:rPr>
      </w:pPr>
    </w:p>
    <w:p w14:paraId="0C56BF98">
      <w:pPr>
        <w:autoSpaceDE w:val="0"/>
        <w:autoSpaceDN w:val="0"/>
        <w:jc w:val="center"/>
        <w:rPr>
          <w:rFonts w:hint="eastAsia" w:ascii="宋体" w:hAnsi="宋体" w:eastAsia="宋体" w:cs="宋体"/>
          <w:b/>
          <w:spacing w:val="6"/>
          <w:sz w:val="32"/>
          <w:szCs w:val="32"/>
          <w:highlight w:val="none"/>
        </w:rPr>
      </w:pPr>
    </w:p>
    <w:p w14:paraId="62492C75">
      <w:pPr>
        <w:autoSpaceDE w:val="0"/>
        <w:autoSpaceDN w:val="0"/>
        <w:jc w:val="center"/>
        <w:rPr>
          <w:rFonts w:hint="eastAsia" w:ascii="宋体" w:hAnsi="宋体" w:eastAsia="宋体" w:cs="宋体"/>
          <w:b/>
          <w:spacing w:val="6"/>
          <w:sz w:val="32"/>
          <w:szCs w:val="32"/>
          <w:highlight w:val="none"/>
        </w:rPr>
      </w:pPr>
    </w:p>
    <w:p w14:paraId="53F697D9">
      <w:pPr>
        <w:autoSpaceDE w:val="0"/>
        <w:autoSpaceDN w:val="0"/>
        <w:jc w:val="center"/>
        <w:rPr>
          <w:rFonts w:hint="eastAsia" w:ascii="宋体" w:hAnsi="宋体" w:eastAsia="宋体" w:cs="宋体"/>
          <w:b/>
          <w:spacing w:val="6"/>
          <w:sz w:val="32"/>
          <w:szCs w:val="32"/>
          <w:highlight w:val="none"/>
        </w:rPr>
      </w:pPr>
    </w:p>
    <w:p w14:paraId="43E207E9">
      <w:pPr>
        <w:autoSpaceDE w:val="0"/>
        <w:autoSpaceDN w:val="0"/>
        <w:jc w:val="center"/>
        <w:rPr>
          <w:rFonts w:hint="eastAsia" w:ascii="宋体" w:hAnsi="宋体" w:eastAsia="宋体" w:cs="宋体"/>
          <w:b/>
          <w:spacing w:val="6"/>
          <w:sz w:val="32"/>
          <w:szCs w:val="32"/>
          <w:highlight w:val="none"/>
        </w:rPr>
      </w:pPr>
    </w:p>
    <w:p w14:paraId="2DBC5EF0">
      <w:pPr>
        <w:autoSpaceDE w:val="0"/>
        <w:autoSpaceDN w:val="0"/>
        <w:jc w:val="center"/>
        <w:rPr>
          <w:rFonts w:hint="eastAsia" w:ascii="宋体" w:hAnsi="宋体" w:eastAsia="宋体" w:cs="宋体"/>
          <w:b/>
          <w:spacing w:val="6"/>
          <w:sz w:val="32"/>
          <w:szCs w:val="32"/>
          <w:highlight w:val="none"/>
        </w:rPr>
      </w:pPr>
    </w:p>
    <w:p w14:paraId="6481F117">
      <w:pPr>
        <w:autoSpaceDE w:val="0"/>
        <w:autoSpaceDN w:val="0"/>
        <w:jc w:val="center"/>
        <w:rPr>
          <w:rFonts w:hint="eastAsia" w:ascii="宋体" w:hAnsi="宋体" w:eastAsia="宋体" w:cs="宋体"/>
          <w:b/>
          <w:spacing w:val="6"/>
          <w:sz w:val="32"/>
          <w:szCs w:val="32"/>
          <w:highlight w:val="none"/>
        </w:rPr>
      </w:pPr>
    </w:p>
    <w:p w14:paraId="2E2088E0">
      <w:pPr>
        <w:autoSpaceDE w:val="0"/>
        <w:autoSpaceDN w:val="0"/>
        <w:jc w:val="center"/>
        <w:rPr>
          <w:rFonts w:hint="eastAsia" w:ascii="宋体" w:hAnsi="宋体" w:eastAsia="宋体" w:cs="宋体"/>
          <w:b/>
          <w:spacing w:val="6"/>
          <w:sz w:val="32"/>
          <w:szCs w:val="32"/>
          <w:highlight w:val="none"/>
        </w:rPr>
      </w:pPr>
    </w:p>
    <w:p w14:paraId="4E5470B0">
      <w:pPr>
        <w:autoSpaceDE w:val="0"/>
        <w:autoSpaceDN w:val="0"/>
        <w:jc w:val="center"/>
        <w:rPr>
          <w:rFonts w:hint="eastAsia" w:ascii="宋体" w:hAnsi="宋体" w:eastAsia="宋体" w:cs="宋体"/>
          <w:b/>
          <w:spacing w:val="6"/>
          <w:sz w:val="32"/>
          <w:szCs w:val="32"/>
          <w:highlight w:val="none"/>
        </w:rPr>
      </w:pPr>
    </w:p>
    <w:p w14:paraId="3A117FF7">
      <w:pPr>
        <w:autoSpaceDE w:val="0"/>
        <w:autoSpaceDN w:val="0"/>
        <w:jc w:val="center"/>
        <w:rPr>
          <w:rFonts w:hint="eastAsia" w:ascii="宋体" w:hAnsi="宋体" w:eastAsia="宋体" w:cs="宋体"/>
          <w:b/>
          <w:spacing w:val="6"/>
          <w:sz w:val="32"/>
          <w:szCs w:val="32"/>
          <w:highlight w:val="none"/>
        </w:rPr>
      </w:pPr>
    </w:p>
    <w:p w14:paraId="66D97215">
      <w:pPr>
        <w:autoSpaceDE w:val="0"/>
        <w:autoSpaceDN w:val="0"/>
        <w:jc w:val="center"/>
        <w:rPr>
          <w:rFonts w:hint="eastAsia" w:ascii="宋体" w:hAnsi="宋体" w:eastAsia="宋体" w:cs="宋体"/>
          <w:b/>
          <w:spacing w:val="6"/>
          <w:sz w:val="32"/>
          <w:szCs w:val="32"/>
          <w:highlight w:val="none"/>
        </w:rPr>
      </w:pPr>
    </w:p>
    <w:p w14:paraId="429C7DFB">
      <w:pPr>
        <w:autoSpaceDE w:val="0"/>
        <w:autoSpaceDN w:val="0"/>
        <w:jc w:val="center"/>
        <w:rPr>
          <w:rFonts w:hint="eastAsia" w:ascii="宋体" w:hAnsi="宋体" w:eastAsia="宋体" w:cs="宋体"/>
          <w:b/>
          <w:spacing w:val="6"/>
          <w:sz w:val="32"/>
          <w:szCs w:val="32"/>
          <w:highlight w:val="none"/>
        </w:rPr>
      </w:pPr>
    </w:p>
    <w:p w14:paraId="7A2A459C">
      <w:pPr>
        <w:autoSpaceDE w:val="0"/>
        <w:autoSpaceDN w:val="0"/>
        <w:jc w:val="center"/>
        <w:rPr>
          <w:rFonts w:hint="eastAsia" w:ascii="宋体" w:hAnsi="宋体" w:eastAsia="宋体" w:cs="宋体"/>
          <w:b/>
          <w:spacing w:val="6"/>
          <w:sz w:val="32"/>
          <w:szCs w:val="32"/>
          <w:highlight w:val="none"/>
        </w:rPr>
      </w:pPr>
    </w:p>
    <w:p w14:paraId="6A2DCE8E">
      <w:pPr>
        <w:snapToGrid w:val="0"/>
        <w:spacing w:line="360" w:lineRule="auto"/>
        <w:ind w:firstLine="3666" w:firstLineChars="1100"/>
        <w:rPr>
          <w:rFonts w:hint="eastAsia" w:ascii="宋体" w:hAnsi="宋体" w:eastAsia="宋体" w:cs="宋体"/>
          <w:b/>
          <w:spacing w:val="6"/>
          <w:sz w:val="32"/>
          <w:szCs w:val="32"/>
          <w:highlight w:val="none"/>
        </w:rPr>
      </w:pPr>
    </w:p>
    <w:p w14:paraId="7D12D026">
      <w:pPr>
        <w:snapToGrid w:val="0"/>
        <w:spacing w:line="360" w:lineRule="auto"/>
        <w:ind w:firstLine="3666" w:firstLineChars="1100"/>
        <w:rPr>
          <w:rFonts w:hint="eastAsia" w:ascii="宋体" w:hAnsi="宋体" w:eastAsia="宋体" w:cs="宋体"/>
          <w:b/>
          <w:kern w:val="0"/>
          <w:sz w:val="32"/>
          <w:szCs w:val="32"/>
          <w:highlight w:val="none"/>
        </w:rPr>
      </w:pPr>
      <w:r>
        <w:rPr>
          <w:rFonts w:hint="eastAsia" w:ascii="宋体" w:hAnsi="宋体" w:eastAsia="宋体" w:cs="宋体"/>
          <w:b/>
          <w:spacing w:val="6"/>
          <w:sz w:val="32"/>
          <w:szCs w:val="32"/>
          <w:highlight w:val="none"/>
        </w:rPr>
        <w:t>附件6：</w:t>
      </w:r>
      <w:r>
        <w:rPr>
          <w:rFonts w:hint="eastAsia" w:ascii="宋体" w:hAnsi="宋体" w:eastAsia="宋体" w:cs="宋体"/>
          <w:b/>
          <w:kern w:val="0"/>
          <w:sz w:val="32"/>
          <w:szCs w:val="32"/>
          <w:highlight w:val="none"/>
        </w:rPr>
        <w:t>分包意向协议</w:t>
      </w:r>
    </w:p>
    <w:p w14:paraId="1B29F33B">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w:t>
      </w:r>
      <w:r>
        <w:rPr>
          <w:rFonts w:hint="eastAsia" w:ascii="宋体" w:hAnsi="宋体" w:eastAsia="宋体" w:cs="宋体"/>
          <w:b/>
          <w:color w:val="auto"/>
          <w:sz w:val="24"/>
          <w:highlight w:val="none"/>
        </w:rPr>
        <w:t>，提供分包意向协议；采购人不同意分包或者投标人中标后不以分包方式履行合同的，则不需要提供。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2CA1717D">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2024年临平区运河街道高标准农田示范区建设-农田数字化、灌排数字化项目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RTZFCG-2024-074-1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w:t>
      </w:r>
      <w:r>
        <w:rPr>
          <w:rFonts w:hint="eastAsia" w:ascii="宋体" w:hAnsi="宋体" w:eastAsia="宋体" w:cs="宋体"/>
          <w:kern w:val="0"/>
          <w:sz w:val="24"/>
          <w:highlight w:val="none"/>
        </w:rPr>
        <w:t>向协议</w:t>
      </w:r>
      <w:r>
        <w:rPr>
          <w:rFonts w:hint="eastAsia" w:ascii="宋体" w:hAnsi="宋体" w:eastAsia="宋体" w:cs="宋体"/>
          <w:kern w:val="0"/>
          <w:sz w:val="24"/>
          <w:highlight w:val="none"/>
          <w:lang w:val="zh-CN"/>
        </w:rPr>
        <w:t xml:space="preserve">。 </w:t>
      </w:r>
    </w:p>
    <w:p w14:paraId="32179A1D">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14:paraId="6AFABA6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w:t>
      </w:r>
      <w:r>
        <w:rPr>
          <w:rFonts w:hint="eastAsia" w:ascii="宋体" w:hAnsi="宋体" w:eastAsia="宋体" w:cs="宋体"/>
          <w:kern w:val="0"/>
          <w:sz w:val="24"/>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（分包供应商1名称）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（分包供应商2名称），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14:paraId="62A438DD">
      <w:pPr>
        <w:pStyle w:val="3"/>
        <w:ind w:left="664" w:leftChars="316" w:firstLine="229" w:firstLineChars="95"/>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6E34C121">
      <w:pPr>
        <w:rPr>
          <w:rFonts w:hint="eastAsia" w:ascii="宋体" w:hAnsi="宋体" w:eastAsia="宋体" w:cs="宋体"/>
          <w:highlight w:val="none"/>
        </w:rPr>
      </w:pPr>
      <w:r>
        <w:rPr>
          <w:rFonts w:hint="eastAsia" w:ascii="宋体" w:hAnsi="宋体" w:eastAsia="宋体" w:cs="宋体"/>
          <w:highlight w:val="none"/>
          <w:lang w:val="zh-CN"/>
        </w:rPr>
        <w:t xml:space="preserve"> </w:t>
      </w:r>
    </w:p>
    <w:p w14:paraId="26E915A7">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二、分包供应商中小企业合同份额</w:t>
      </w:r>
    </w:p>
    <w:p w14:paraId="3BE360E5">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1、</w:t>
      </w:r>
      <w:r>
        <w:rPr>
          <w:rFonts w:hint="eastAsia" w:ascii="宋体" w:hAnsi="宋体" w:eastAsia="宋体" w:cs="宋体"/>
          <w:kern w:val="0"/>
          <w:sz w:val="24"/>
          <w:highlight w:val="none"/>
          <w:u w:val="single"/>
        </w:rPr>
        <w:t>（分包供应商X,……）提供的服务全部由小微企业承接，</w:t>
      </w:r>
      <w:r>
        <w:rPr>
          <w:rFonts w:hint="eastAsia" w:ascii="宋体" w:hAnsi="宋体" w:eastAsia="宋体" w:cs="宋体"/>
          <w:kern w:val="0"/>
          <w:sz w:val="24"/>
          <w:highlight w:val="none"/>
        </w:rPr>
        <w:t>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14:paraId="7A969A32">
      <w:pPr>
        <w:spacing w:line="360" w:lineRule="auto"/>
        <w:ind w:firstLine="480" w:firstLineChars="200"/>
        <w:rPr>
          <w:rFonts w:hint="eastAsia" w:ascii="宋体" w:hAnsi="宋体" w:eastAsia="宋体" w:cs="宋体"/>
          <w:b/>
          <w:bCs/>
          <w:kern w:val="0"/>
          <w:sz w:val="24"/>
          <w:highlight w:val="none"/>
          <w:lang w:val="zh-CN"/>
        </w:rPr>
      </w:pPr>
      <w:r>
        <w:rPr>
          <w:rFonts w:hint="eastAsia" w:ascii="宋体" w:hAnsi="宋体" w:eastAsia="宋体" w:cs="宋体"/>
          <w:sz w:val="24"/>
          <w:highlight w:val="none"/>
        </w:rPr>
        <w:t>2、中小企业合同金额达到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要求合同分包形式参加的项目或采购包，供应商按招标文件第一部分招标公告申请人的资格要求中规定的</w:t>
      </w:r>
      <w:r>
        <w:rPr>
          <w:rFonts w:hint="eastAsia" w:ascii="宋体" w:hAnsi="宋体" w:eastAsia="宋体" w:cs="宋体"/>
          <w:b/>
          <w:kern w:val="0"/>
          <w:sz w:val="24"/>
          <w:highlight w:val="none"/>
          <w:lang w:val="zh-CN"/>
        </w:rPr>
        <w:t>分包意向协议</w:t>
      </w:r>
      <w:r>
        <w:rPr>
          <w:rFonts w:hint="eastAsia" w:ascii="宋体" w:hAnsi="宋体" w:eastAsia="宋体" w:cs="宋体"/>
          <w:b/>
          <w:bCs/>
          <w:sz w:val="24"/>
          <w:highlight w:val="none"/>
        </w:rPr>
        <w:t>中中小企业、小微企业合同金额应当达到的比例要求填写。</w:t>
      </w:r>
      <w:r>
        <w:rPr>
          <w:rFonts w:hint="eastAsia" w:ascii="宋体" w:hAnsi="宋体" w:eastAsia="宋体" w:cs="宋体"/>
          <w:b/>
          <w:bCs/>
          <w:kern w:val="0"/>
          <w:sz w:val="24"/>
          <w:highlight w:val="none"/>
          <w:lang w:val="zh-CN"/>
        </w:rPr>
        <w:t>）</w:t>
      </w:r>
    </w:p>
    <w:p w14:paraId="41CCE918">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三、分包工作履行期限、地点、方式</w:t>
      </w:r>
    </w:p>
    <w:p w14:paraId="60BE645D">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12DD577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四、质量</w:t>
      </w:r>
    </w:p>
    <w:p w14:paraId="0F1A046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15F00A25">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五、价款或者报酬</w:t>
      </w:r>
    </w:p>
    <w:p w14:paraId="643C7FBF">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4CDC8389">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六、违约责任</w:t>
      </w:r>
    </w:p>
    <w:p w14:paraId="19C1E5D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0F8CB9F0">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七、争议解决的办法</w:t>
      </w:r>
    </w:p>
    <w:p w14:paraId="6E72BCAD">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721F6517">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八、其他</w:t>
      </w:r>
    </w:p>
    <w:p w14:paraId="1849B5B7">
      <w:pPr>
        <w:snapToGrid w:val="0"/>
        <w:spacing w:line="360" w:lineRule="auto"/>
        <w:ind w:left="5758" w:leftChars="342" w:hanging="5040" w:hangingChars="2100"/>
        <w:rPr>
          <w:rFonts w:hint="eastAsia" w:ascii="宋体" w:hAnsi="宋体" w:eastAsia="宋体" w:cs="宋体"/>
          <w:kern w:val="0"/>
          <w:sz w:val="24"/>
          <w:highlight w:val="none"/>
          <w:lang w:val="zh-CN"/>
        </w:rPr>
      </w:pP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 xml:space="preserve">  。                                           投标人名称(电子签名)：</w:t>
      </w:r>
    </w:p>
    <w:p w14:paraId="5836B2F8">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分包供应商名称(电子签名/公章)：</w:t>
      </w:r>
    </w:p>
    <w:p w14:paraId="13CC5E17">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425C07D8">
      <w:pPr>
        <w:snapToGrid w:val="0"/>
        <w:spacing w:line="360" w:lineRule="auto"/>
        <w:ind w:left="5758" w:leftChars="342" w:hanging="5040" w:hanging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32D7562C">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2E8BAAF2">
      <w:pPr>
        <w:autoSpaceDE w:val="0"/>
        <w:autoSpaceDN w:val="0"/>
        <w:jc w:val="center"/>
        <w:rPr>
          <w:rFonts w:hint="eastAsia" w:ascii="宋体" w:hAnsi="宋体" w:eastAsia="宋体" w:cs="宋体"/>
          <w:b/>
          <w:spacing w:val="6"/>
          <w:sz w:val="32"/>
          <w:szCs w:val="32"/>
          <w:highlight w:val="none"/>
        </w:rPr>
      </w:pPr>
    </w:p>
    <w:p w14:paraId="53537493">
      <w:pPr>
        <w:autoSpaceDE w:val="0"/>
        <w:autoSpaceDN w:val="0"/>
        <w:jc w:val="center"/>
        <w:rPr>
          <w:rFonts w:hint="eastAsia" w:ascii="宋体" w:hAnsi="宋体" w:eastAsia="宋体" w:cs="宋体"/>
          <w:b/>
          <w:spacing w:val="6"/>
          <w:sz w:val="32"/>
          <w:szCs w:val="32"/>
          <w:highlight w:val="none"/>
        </w:rPr>
      </w:pPr>
    </w:p>
    <w:p w14:paraId="2FBB3E68">
      <w:pPr>
        <w:autoSpaceDE w:val="0"/>
        <w:autoSpaceDN w:val="0"/>
        <w:jc w:val="center"/>
        <w:rPr>
          <w:rFonts w:hint="eastAsia" w:ascii="宋体" w:hAnsi="宋体" w:eastAsia="宋体" w:cs="宋体"/>
          <w:b/>
          <w:spacing w:val="6"/>
          <w:sz w:val="32"/>
          <w:szCs w:val="32"/>
          <w:highlight w:val="none"/>
        </w:rPr>
      </w:pPr>
    </w:p>
    <w:p w14:paraId="6AE291A0">
      <w:pPr>
        <w:autoSpaceDE w:val="0"/>
        <w:autoSpaceDN w:val="0"/>
        <w:jc w:val="center"/>
        <w:rPr>
          <w:rFonts w:hint="eastAsia" w:ascii="宋体" w:hAnsi="宋体" w:eastAsia="宋体" w:cs="宋体"/>
          <w:b/>
          <w:spacing w:val="6"/>
          <w:sz w:val="32"/>
          <w:szCs w:val="32"/>
          <w:highlight w:val="none"/>
        </w:rPr>
      </w:pPr>
    </w:p>
    <w:p w14:paraId="58460E91">
      <w:pPr>
        <w:autoSpaceDE w:val="0"/>
        <w:autoSpaceDN w:val="0"/>
        <w:jc w:val="center"/>
        <w:rPr>
          <w:rFonts w:hint="eastAsia" w:ascii="宋体" w:hAnsi="宋体" w:eastAsia="宋体" w:cs="宋体"/>
          <w:b/>
          <w:spacing w:val="6"/>
          <w:sz w:val="32"/>
          <w:szCs w:val="32"/>
          <w:highlight w:val="none"/>
        </w:rPr>
      </w:pPr>
    </w:p>
    <w:p w14:paraId="4C753241">
      <w:pPr>
        <w:autoSpaceDE w:val="0"/>
        <w:autoSpaceDN w:val="0"/>
        <w:jc w:val="center"/>
        <w:rPr>
          <w:rFonts w:hint="eastAsia" w:ascii="宋体" w:hAnsi="宋体" w:eastAsia="宋体" w:cs="宋体"/>
          <w:b/>
          <w:spacing w:val="6"/>
          <w:sz w:val="32"/>
          <w:szCs w:val="32"/>
          <w:highlight w:val="none"/>
        </w:rPr>
      </w:pPr>
    </w:p>
    <w:p w14:paraId="02514E70">
      <w:pPr>
        <w:autoSpaceDE w:val="0"/>
        <w:autoSpaceDN w:val="0"/>
        <w:jc w:val="center"/>
        <w:rPr>
          <w:rFonts w:hint="eastAsia" w:ascii="宋体" w:hAnsi="宋体" w:eastAsia="宋体" w:cs="宋体"/>
          <w:b/>
          <w:spacing w:val="6"/>
          <w:sz w:val="32"/>
          <w:szCs w:val="32"/>
          <w:highlight w:val="none"/>
        </w:rPr>
      </w:pPr>
    </w:p>
    <w:p w14:paraId="0F596B05">
      <w:pPr>
        <w:autoSpaceDE w:val="0"/>
        <w:autoSpaceDN w:val="0"/>
        <w:jc w:val="center"/>
        <w:rPr>
          <w:rFonts w:hint="eastAsia" w:ascii="宋体" w:hAnsi="宋体" w:eastAsia="宋体" w:cs="宋体"/>
          <w:b/>
          <w:spacing w:val="6"/>
          <w:sz w:val="32"/>
          <w:szCs w:val="32"/>
          <w:highlight w:val="none"/>
        </w:rPr>
      </w:pPr>
    </w:p>
    <w:p w14:paraId="2C34C583">
      <w:pPr>
        <w:autoSpaceDE w:val="0"/>
        <w:autoSpaceDN w:val="0"/>
        <w:jc w:val="center"/>
        <w:rPr>
          <w:rFonts w:hint="eastAsia" w:ascii="宋体" w:hAnsi="宋体" w:eastAsia="宋体" w:cs="宋体"/>
          <w:b/>
          <w:spacing w:val="6"/>
          <w:sz w:val="32"/>
          <w:szCs w:val="32"/>
          <w:highlight w:val="none"/>
        </w:rPr>
      </w:pPr>
    </w:p>
    <w:p w14:paraId="4E807F09">
      <w:pPr>
        <w:autoSpaceDE w:val="0"/>
        <w:autoSpaceDN w:val="0"/>
        <w:jc w:val="center"/>
        <w:rPr>
          <w:rFonts w:hint="eastAsia" w:ascii="宋体" w:hAnsi="宋体" w:eastAsia="宋体" w:cs="宋体"/>
          <w:b/>
          <w:spacing w:val="6"/>
          <w:sz w:val="32"/>
          <w:szCs w:val="32"/>
          <w:highlight w:val="none"/>
        </w:rPr>
      </w:pPr>
    </w:p>
    <w:p w14:paraId="1EA408FC">
      <w:pPr>
        <w:autoSpaceDE w:val="0"/>
        <w:autoSpaceDN w:val="0"/>
        <w:jc w:val="center"/>
        <w:rPr>
          <w:rFonts w:hint="eastAsia" w:ascii="宋体" w:hAnsi="宋体" w:eastAsia="宋体" w:cs="宋体"/>
          <w:b/>
          <w:spacing w:val="6"/>
          <w:sz w:val="32"/>
          <w:szCs w:val="32"/>
          <w:highlight w:val="none"/>
        </w:rPr>
      </w:pPr>
    </w:p>
    <w:p w14:paraId="004F49FC">
      <w:pPr>
        <w:autoSpaceDE w:val="0"/>
        <w:autoSpaceDN w:val="0"/>
        <w:jc w:val="center"/>
        <w:rPr>
          <w:rFonts w:hint="eastAsia" w:ascii="宋体" w:hAnsi="宋体" w:eastAsia="宋体" w:cs="宋体"/>
          <w:b/>
          <w:spacing w:val="6"/>
          <w:sz w:val="32"/>
          <w:szCs w:val="32"/>
          <w:highlight w:val="none"/>
        </w:rPr>
      </w:pPr>
    </w:p>
    <w:p w14:paraId="1FA3ED5E">
      <w:pPr>
        <w:autoSpaceDE w:val="0"/>
        <w:autoSpaceDN w:val="0"/>
        <w:jc w:val="center"/>
        <w:rPr>
          <w:rFonts w:hint="eastAsia" w:ascii="宋体" w:hAnsi="宋体" w:eastAsia="宋体" w:cs="宋体"/>
          <w:b/>
          <w:spacing w:val="6"/>
          <w:sz w:val="32"/>
          <w:szCs w:val="32"/>
          <w:highlight w:val="none"/>
        </w:rPr>
      </w:pPr>
    </w:p>
    <w:p w14:paraId="038BAB05">
      <w:pPr>
        <w:autoSpaceDE w:val="0"/>
        <w:autoSpaceDN w:val="0"/>
        <w:jc w:val="center"/>
        <w:rPr>
          <w:rFonts w:hint="eastAsia" w:ascii="宋体" w:hAnsi="宋体" w:eastAsia="宋体" w:cs="宋体"/>
          <w:b/>
          <w:spacing w:val="6"/>
          <w:sz w:val="32"/>
          <w:szCs w:val="32"/>
          <w:highlight w:val="none"/>
        </w:rPr>
      </w:pPr>
    </w:p>
    <w:p w14:paraId="4E2A73E0">
      <w:pPr>
        <w:autoSpaceDE w:val="0"/>
        <w:autoSpaceDN w:val="0"/>
        <w:jc w:val="center"/>
        <w:rPr>
          <w:rFonts w:hint="eastAsia" w:ascii="宋体" w:hAnsi="宋体" w:eastAsia="宋体" w:cs="宋体"/>
          <w:b/>
          <w:spacing w:val="6"/>
          <w:sz w:val="32"/>
          <w:szCs w:val="32"/>
          <w:highlight w:val="none"/>
        </w:rPr>
      </w:pPr>
    </w:p>
    <w:p w14:paraId="33B6A81E">
      <w:pPr>
        <w:autoSpaceDE w:val="0"/>
        <w:autoSpaceDN w:val="0"/>
        <w:jc w:val="center"/>
        <w:rPr>
          <w:rFonts w:hint="eastAsia" w:ascii="宋体" w:hAnsi="宋体" w:eastAsia="宋体" w:cs="宋体"/>
          <w:b/>
          <w:spacing w:val="6"/>
          <w:sz w:val="32"/>
          <w:szCs w:val="32"/>
          <w:highlight w:val="none"/>
        </w:rPr>
      </w:pPr>
    </w:p>
    <w:p w14:paraId="28E13C70">
      <w:pPr>
        <w:autoSpaceDE w:val="0"/>
        <w:autoSpaceDN w:val="0"/>
        <w:jc w:val="center"/>
        <w:rPr>
          <w:rFonts w:hint="eastAsia" w:ascii="宋体" w:hAnsi="宋体" w:eastAsia="宋体" w:cs="宋体"/>
          <w:b/>
          <w:spacing w:val="6"/>
          <w:sz w:val="32"/>
          <w:szCs w:val="32"/>
          <w:highlight w:val="none"/>
        </w:rPr>
      </w:pPr>
    </w:p>
    <w:p w14:paraId="56B01D14">
      <w:pPr>
        <w:autoSpaceDE w:val="0"/>
        <w:autoSpaceDN w:val="0"/>
        <w:jc w:val="center"/>
        <w:rPr>
          <w:rFonts w:hint="eastAsia" w:ascii="宋体" w:hAnsi="宋体" w:eastAsia="宋体" w:cs="宋体"/>
          <w:b/>
          <w:spacing w:val="6"/>
          <w:sz w:val="32"/>
          <w:szCs w:val="32"/>
          <w:highlight w:val="none"/>
        </w:rPr>
      </w:pPr>
    </w:p>
    <w:p w14:paraId="3C9209F9">
      <w:pPr>
        <w:autoSpaceDE w:val="0"/>
        <w:autoSpaceDN w:val="0"/>
        <w:jc w:val="center"/>
        <w:rPr>
          <w:rFonts w:hint="eastAsia" w:ascii="宋体" w:hAnsi="宋体" w:eastAsia="宋体" w:cs="宋体"/>
          <w:b/>
          <w:spacing w:val="6"/>
          <w:sz w:val="32"/>
          <w:szCs w:val="32"/>
          <w:highlight w:val="none"/>
        </w:rPr>
      </w:pPr>
    </w:p>
    <w:p w14:paraId="2D77B20C">
      <w:pPr>
        <w:autoSpaceDE w:val="0"/>
        <w:autoSpaceDN w:val="0"/>
        <w:jc w:val="center"/>
        <w:rPr>
          <w:rFonts w:hint="eastAsia" w:ascii="宋体" w:hAnsi="宋体" w:eastAsia="宋体" w:cs="宋体"/>
          <w:b/>
          <w:spacing w:val="6"/>
          <w:sz w:val="32"/>
          <w:szCs w:val="32"/>
          <w:highlight w:val="none"/>
        </w:rPr>
      </w:pPr>
    </w:p>
    <w:p w14:paraId="7234674B">
      <w:pPr>
        <w:autoSpaceDE w:val="0"/>
        <w:autoSpaceDN w:val="0"/>
        <w:jc w:val="center"/>
        <w:rPr>
          <w:rFonts w:hint="eastAsia" w:ascii="宋体" w:hAnsi="宋体" w:eastAsia="宋体" w:cs="宋体"/>
          <w:b/>
          <w:spacing w:val="6"/>
          <w:sz w:val="32"/>
          <w:szCs w:val="32"/>
          <w:highlight w:val="none"/>
        </w:rPr>
      </w:pPr>
    </w:p>
    <w:p w14:paraId="22483230">
      <w:pPr>
        <w:autoSpaceDE w:val="0"/>
        <w:autoSpaceDN w:val="0"/>
        <w:jc w:val="center"/>
        <w:rPr>
          <w:rFonts w:hint="eastAsia" w:ascii="宋体" w:hAnsi="宋体" w:eastAsia="宋体" w:cs="宋体"/>
          <w:b/>
          <w:spacing w:val="6"/>
          <w:sz w:val="32"/>
          <w:szCs w:val="32"/>
          <w:highlight w:val="none"/>
        </w:rPr>
      </w:pPr>
    </w:p>
    <w:p w14:paraId="5C293017">
      <w:pPr>
        <w:autoSpaceDE w:val="0"/>
        <w:autoSpaceDN w:val="0"/>
        <w:jc w:val="center"/>
        <w:rPr>
          <w:rFonts w:hint="eastAsia" w:ascii="宋体" w:hAnsi="宋体" w:eastAsia="宋体" w:cs="宋体"/>
          <w:b/>
          <w:spacing w:val="6"/>
          <w:sz w:val="32"/>
          <w:szCs w:val="32"/>
          <w:highlight w:val="none"/>
        </w:rPr>
      </w:pPr>
    </w:p>
    <w:p w14:paraId="707F7BFC">
      <w:pPr>
        <w:autoSpaceDE w:val="0"/>
        <w:autoSpaceDN w:val="0"/>
        <w:jc w:val="center"/>
        <w:rPr>
          <w:rFonts w:hint="eastAsia" w:ascii="宋体" w:hAnsi="宋体" w:eastAsia="宋体" w:cs="宋体"/>
          <w:b/>
          <w:spacing w:val="6"/>
          <w:sz w:val="32"/>
          <w:szCs w:val="32"/>
          <w:highlight w:val="none"/>
        </w:rPr>
      </w:pPr>
    </w:p>
    <w:p w14:paraId="6F17F04A">
      <w:pPr>
        <w:autoSpaceDE w:val="0"/>
        <w:autoSpaceDN w:val="0"/>
        <w:jc w:val="center"/>
        <w:rPr>
          <w:rFonts w:hint="eastAsia" w:ascii="宋体" w:hAnsi="宋体" w:eastAsia="宋体" w:cs="宋体"/>
          <w:b/>
          <w:spacing w:val="6"/>
          <w:sz w:val="32"/>
          <w:szCs w:val="32"/>
          <w:highlight w:val="none"/>
        </w:rPr>
      </w:pPr>
    </w:p>
    <w:p w14:paraId="341882FD">
      <w:pPr>
        <w:spacing w:line="360" w:lineRule="auto"/>
        <w:jc w:val="left"/>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附件7：中小企业声明函</w:t>
      </w:r>
    </w:p>
    <w:p w14:paraId="57DFB137">
      <w:pPr>
        <w:spacing w:line="360" w:lineRule="auto"/>
        <w:jc w:val="center"/>
        <w:rPr>
          <w:rFonts w:hint="eastAsia" w:ascii="宋体" w:hAnsi="宋体" w:eastAsia="宋体" w:cs="宋体"/>
          <w:color w:val="auto"/>
          <w:sz w:val="24"/>
          <w:highlight w:val="none"/>
          <w:u w:val="single"/>
        </w:rPr>
      </w:pPr>
    </w:p>
    <w:p w14:paraId="3791F5B4">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14:paraId="7656CED3">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color w:val="0000FF"/>
          <w:sz w:val="24"/>
          <w:highlight w:val="none"/>
          <w:u w:val="single"/>
        </w:rPr>
        <w:t>（采购人）</w:t>
      </w:r>
      <w:r>
        <w:rPr>
          <w:rFonts w:hint="eastAsia" w:ascii="宋体" w:hAnsi="宋体" w:cs="宋体"/>
          <w:sz w:val="24"/>
          <w:highlight w:val="none"/>
          <w:u w:val="single"/>
        </w:rPr>
        <w:t xml:space="preserve"> </w:t>
      </w:r>
      <w:r>
        <w:rPr>
          <w:rFonts w:hint="eastAsia" w:ascii="宋体" w:hAnsi="宋体" w:cs="宋体"/>
          <w:sz w:val="24"/>
          <w:highlight w:val="none"/>
        </w:rPr>
        <w:t xml:space="preserve">的 </w:t>
      </w:r>
      <w:r>
        <w:rPr>
          <w:rFonts w:hint="eastAsia" w:ascii="宋体" w:hAnsi="宋体" w:cs="宋体"/>
          <w:color w:val="0000FF"/>
          <w:sz w:val="24"/>
          <w:highlight w:val="none"/>
          <w:u w:val="single"/>
        </w:rPr>
        <w:t>（项目名称）</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14:paraId="3DABBF43">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color w:val="0000FF"/>
          <w:sz w:val="24"/>
          <w:highlight w:val="none"/>
          <w:u w:val="single"/>
        </w:rPr>
        <w:t>（标的名称）</w:t>
      </w:r>
      <w:r>
        <w:rPr>
          <w:rFonts w:hint="eastAsia" w:ascii="宋体" w:hAnsi="宋体" w:cs="宋体"/>
          <w:sz w:val="24"/>
          <w:highlight w:val="none"/>
        </w:rPr>
        <w:t xml:space="preserve"> ，属于</w:t>
      </w:r>
      <w:r>
        <w:rPr>
          <w:rFonts w:hint="eastAsia" w:ascii="宋体" w:hAnsi="宋体" w:cs="宋体"/>
          <w:color w:val="0000FF"/>
          <w:sz w:val="24"/>
          <w:highlight w:val="none"/>
        </w:rPr>
        <w:t xml:space="preserve"> </w:t>
      </w:r>
      <w:r>
        <w:rPr>
          <w:rFonts w:hint="eastAsia" w:ascii="宋体" w:hAnsi="宋体" w:cs="宋体"/>
          <w:color w:val="0000FF"/>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666A0F18">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color w:val="0000FF"/>
          <w:sz w:val="24"/>
          <w:highlight w:val="none"/>
          <w:u w:val="single"/>
        </w:rPr>
        <w:t>（标的名称）</w:t>
      </w:r>
      <w:r>
        <w:rPr>
          <w:rFonts w:hint="eastAsia" w:ascii="宋体" w:hAnsi="宋体" w:cs="宋体"/>
          <w:sz w:val="24"/>
          <w:highlight w:val="none"/>
        </w:rPr>
        <w:t xml:space="preserve"> ，属于 </w:t>
      </w:r>
      <w:r>
        <w:rPr>
          <w:rFonts w:hint="eastAsia" w:ascii="宋体" w:hAnsi="宋体" w:cs="宋体"/>
          <w:color w:val="0000FF"/>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548AD2C5">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14:paraId="1C14995E">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68AAA0C0">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1B399582">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7BC9F613">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6D8DD36">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2839E8D7">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7E29D7C6">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47FBBFF">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DF6E8F8">
      <w:pPr>
        <w:spacing w:line="360" w:lineRule="auto"/>
        <w:ind w:right="420" w:firstLine="720" w:firstLineChars="300"/>
        <w:rPr>
          <w:rFonts w:hint="eastAsia" w:ascii="宋体" w:hAnsi="宋体" w:eastAsia="宋体" w:cs="宋体"/>
          <w:sz w:val="24"/>
          <w:highlight w:val="none"/>
        </w:rPr>
      </w:pPr>
    </w:p>
    <w:p w14:paraId="0AFCEA5B">
      <w:pPr>
        <w:pStyle w:val="3"/>
        <w:rPr>
          <w:rFonts w:hint="eastAsia" w:ascii="宋体" w:hAnsi="宋体" w:eastAsia="宋体" w:cs="宋体"/>
          <w:highlight w:val="none"/>
          <w:lang w:val="en-US"/>
        </w:rPr>
      </w:pPr>
    </w:p>
    <w:p w14:paraId="66479AF5">
      <w:pPr>
        <w:spacing w:line="360" w:lineRule="auto"/>
        <w:ind w:right="420"/>
        <w:rPr>
          <w:rFonts w:hint="eastAsia" w:ascii="宋体" w:hAnsi="宋体" w:eastAsia="宋体" w:cs="宋体"/>
          <w:highlight w:val="none"/>
        </w:rPr>
      </w:pPr>
    </w:p>
    <w:p w14:paraId="45408848">
      <w:pPr>
        <w:spacing w:line="360" w:lineRule="auto"/>
        <w:rPr>
          <w:rFonts w:hint="eastAsia" w:ascii="宋体" w:hAnsi="宋体" w:eastAsia="宋体" w:cs="宋体"/>
          <w:bCs/>
          <w:sz w:val="24"/>
          <w:highlight w:val="none"/>
        </w:rPr>
      </w:pPr>
    </w:p>
    <w:sectPr>
      <w:headerReference r:id="rId19" w:type="first"/>
      <w:footerReference r:id="rId22" w:type="first"/>
      <w:headerReference r:id="rId18" w:type="default"/>
      <w:footerReference r:id="rId20" w:type="default"/>
      <w:footerReference r:id="rId21" w:type="even"/>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59E8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E97E5">
    <w:pPr>
      <w:pStyle w:val="40"/>
      <w:framePr w:wrap="around" w:vAnchor="text" w:hAnchor="margin" w:xAlign="right" w:y="1"/>
      <w:rPr>
        <w:rStyle w:val="73"/>
      </w:rPr>
    </w:pPr>
    <w:r>
      <w:fldChar w:fldCharType="begin"/>
    </w:r>
    <w:r>
      <w:rPr>
        <w:rStyle w:val="73"/>
      </w:rPr>
      <w:instrText xml:space="preserve">PAGE  </w:instrText>
    </w:r>
    <w:r>
      <w:fldChar w:fldCharType="end"/>
    </w:r>
  </w:p>
  <w:p w14:paraId="1E765CC6">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3EE20">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51" w:name="_Toc36110187"/>
    <w:bookmarkStart w:id="552" w:name="_Toc164085800"/>
    <w:bookmarkStart w:id="553" w:name="_Toc131845147"/>
    <w:bookmarkStart w:id="554" w:name="_Toc91899912"/>
    <w:r>
      <w:rPr>
        <w:rFonts w:hint="eastAsia" w:ascii="仿宋_GB2312" w:eastAsia="仿宋_GB2312"/>
        <w:kern w:val="0"/>
        <w:szCs w:val="21"/>
      </w:rPr>
      <w:t xml:space="preserve"> 页</w:t>
    </w:r>
    <w:bookmarkEnd w:id="551"/>
    <w:bookmarkEnd w:id="552"/>
    <w:bookmarkEnd w:id="553"/>
    <w:bookmarkEnd w:id="55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0CC4C">
    <w:pPr>
      <w:pStyle w:val="40"/>
      <w:framePr w:wrap="around" w:vAnchor="text" w:hAnchor="margin" w:xAlign="right" w:y="1"/>
      <w:rPr>
        <w:rStyle w:val="73"/>
      </w:rPr>
    </w:pPr>
    <w:r>
      <w:fldChar w:fldCharType="begin"/>
    </w:r>
    <w:r>
      <w:rPr>
        <w:rStyle w:val="73"/>
      </w:rPr>
      <w:instrText xml:space="preserve">PAGE  </w:instrText>
    </w:r>
    <w:r>
      <w:fldChar w:fldCharType="end"/>
    </w:r>
  </w:p>
  <w:p w14:paraId="0E420B5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6948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A146">
    <w:pPr>
      <w:pStyle w:val="4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A86B37C">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t>28</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1a7ZLE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1a7ZLEAQAAjwMAAA4AAAAAAAAAAQAgAAAAHwEAAGRycy9lMm9Eb2MueG1s&#10;UEsFBgAAAAAGAAYAWQEAAFUFAAAAAA==&#10;">
              <v:fill on="f" focussize="0,0"/>
              <v:stroke on="f"/>
              <v:imagedata o:title=""/>
              <o:lock v:ext="edit" aspectratio="f"/>
              <v:textbox inset="0mm,0mm,0mm,0mm" style="mso-fit-shape-to-text:t;">
                <w:txbxContent>
                  <w:p w14:paraId="0A86B37C">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t>28</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0C0C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9FE4CD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A33E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3FDFC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0731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BA1B74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5ED8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6B3758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DCAF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358EB">
    <w:pPr>
      <w:pStyle w:val="41"/>
      <w:pBdr>
        <w:bottom w:val="single" w:color="auto" w:sz="6" w:space="4"/>
      </w:pBdr>
      <w:jc w:val="right"/>
    </w:pPr>
    <w:r>
      <w:t></w:t>
    </w:r>
    <w:r>
      <w:rPr>
        <w:rFonts w:hint="eastAsia"/>
      </w:rPr>
      <w:t xml:space="preserve">             </w:t>
    </w:r>
    <w:r>
      <w:t>杭州市政府采购公开招标文件</w:t>
    </w:r>
  </w:p>
  <w:p w14:paraId="06A6F53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32FF0">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F5F32">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6E380">
    <w:pPr>
      <w:pStyle w:val="41"/>
      <w:rPr>
        <w:rFonts w:ascii="仿宋_GB2312" w:eastAsia="仿宋_GB2312"/>
        <w:b/>
        <w:i/>
        <w:u w:val="single"/>
      </w:rPr>
    </w:pPr>
    <w:r>
      <w:t></w:t>
    </w:r>
    <w:r>
      <w:rPr>
        <w:rFonts w:hint="eastAsia"/>
      </w:rPr>
      <w:t xml:space="preserve">                                                  </w:t>
    </w:r>
    <w:r>
      <w:t>杭州市政府采购公开招标文件</w:t>
    </w:r>
  </w:p>
  <w:p w14:paraId="425EC05D">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40911">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B1A1F">
    <w:pPr>
      <w:pStyle w:val="41"/>
      <w:jc w:val="right"/>
      <w:rPr>
        <w:rFonts w:ascii="仿宋_GB2312" w:eastAsia="仿宋_GB2312"/>
        <w:b/>
        <w:i/>
        <w:u w:val="single"/>
      </w:rPr>
    </w:pPr>
    <w:r>
      <w:rPr>
        <w:rFonts w:hint="eastAsia"/>
      </w:rPr>
      <w:t xml:space="preserve">                                  </w:t>
    </w:r>
    <w:r>
      <w:t>杭州市政府采购公开招标文件</w:t>
    </w:r>
  </w:p>
  <w:p w14:paraId="6CC426FC">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6B68A">
    <w:pPr>
      <w:pStyle w:val="41"/>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D3CB7">
    <w:pPr>
      <w:pStyle w:val="41"/>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203A1">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F4EEB"/>
    <w:multiLevelType w:val="multilevel"/>
    <w:tmpl w:val="376F4EEB"/>
    <w:lvl w:ilvl="0" w:tentative="0">
      <w:start w:val="3"/>
      <w:numFmt w:val="decimal"/>
      <w:lvlText w:val="%1"/>
      <w:lvlJc w:val="left"/>
      <w:pPr>
        <w:ind w:left="360" w:hanging="360"/>
      </w:pPr>
      <w:rPr>
        <w:rFonts w:hint="default"/>
      </w:rPr>
    </w:lvl>
    <w:lvl w:ilvl="1" w:tentative="0">
      <w:start w:val="1"/>
      <w:numFmt w:val="decimal"/>
      <w:lvlText w:val="%1.%2"/>
      <w:lvlJc w:val="left"/>
      <w:pPr>
        <w:ind w:left="644" w:hanging="360"/>
      </w:pPr>
      <w:rPr>
        <w:rFonts w:hint="default" w:ascii="Times New Roman" w:hAnsi="Times New Roman" w:cs="Times New Roman"/>
        <w:b w:val="0"/>
      </w:rPr>
    </w:lvl>
    <w:lvl w:ilvl="2" w:tentative="0">
      <w:start w:val="1"/>
      <w:numFmt w:val="decimal"/>
      <w:pStyle w:val="623"/>
      <w:lvlText w:val="%1.%2.%3"/>
      <w:lvlJc w:val="left"/>
      <w:pPr>
        <w:ind w:left="720" w:hanging="720"/>
      </w:pPr>
      <w:rPr>
        <w:rFonts w:hint="default"/>
        <w:b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ZTQ5YTIzMWFmNzczOGY2ZTY5N2JhZGJlZWNmZm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C86"/>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91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438E6"/>
    <w:rsid w:val="019F7441"/>
    <w:rsid w:val="01B37585"/>
    <w:rsid w:val="01D55165"/>
    <w:rsid w:val="01DF6BF8"/>
    <w:rsid w:val="01EC2C57"/>
    <w:rsid w:val="021D6602"/>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C579CE"/>
    <w:rsid w:val="04CE1F73"/>
    <w:rsid w:val="04F66F48"/>
    <w:rsid w:val="05251E14"/>
    <w:rsid w:val="056B5393"/>
    <w:rsid w:val="057E12A3"/>
    <w:rsid w:val="05A16594"/>
    <w:rsid w:val="05A7762D"/>
    <w:rsid w:val="060E5941"/>
    <w:rsid w:val="06110FAF"/>
    <w:rsid w:val="06277B8D"/>
    <w:rsid w:val="06493CA7"/>
    <w:rsid w:val="065A6178"/>
    <w:rsid w:val="066F1CF3"/>
    <w:rsid w:val="06930BB8"/>
    <w:rsid w:val="07245D42"/>
    <w:rsid w:val="07264C62"/>
    <w:rsid w:val="0779354C"/>
    <w:rsid w:val="08061376"/>
    <w:rsid w:val="081628B5"/>
    <w:rsid w:val="08452D77"/>
    <w:rsid w:val="086401F8"/>
    <w:rsid w:val="08751CAA"/>
    <w:rsid w:val="087E4C40"/>
    <w:rsid w:val="08A871D0"/>
    <w:rsid w:val="08CE6C75"/>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13A95"/>
    <w:rsid w:val="0CFE707A"/>
    <w:rsid w:val="0D063BDA"/>
    <w:rsid w:val="0D08375F"/>
    <w:rsid w:val="0D184CFB"/>
    <w:rsid w:val="0D4A7419"/>
    <w:rsid w:val="0D827401"/>
    <w:rsid w:val="0D84094E"/>
    <w:rsid w:val="0D8A00E9"/>
    <w:rsid w:val="0D8D589E"/>
    <w:rsid w:val="0DA01C73"/>
    <w:rsid w:val="0DCF37E2"/>
    <w:rsid w:val="0DD63300"/>
    <w:rsid w:val="0DF50604"/>
    <w:rsid w:val="0DF702FE"/>
    <w:rsid w:val="0E060E51"/>
    <w:rsid w:val="0E5604B2"/>
    <w:rsid w:val="0E6D5D79"/>
    <w:rsid w:val="0E9D0089"/>
    <w:rsid w:val="0EB803EE"/>
    <w:rsid w:val="0EC32302"/>
    <w:rsid w:val="0EF94D4B"/>
    <w:rsid w:val="0F4958DC"/>
    <w:rsid w:val="0F515DF7"/>
    <w:rsid w:val="0F596BA8"/>
    <w:rsid w:val="0F6248D2"/>
    <w:rsid w:val="0F693536"/>
    <w:rsid w:val="0F7B0511"/>
    <w:rsid w:val="0F7B76D9"/>
    <w:rsid w:val="0F816ACD"/>
    <w:rsid w:val="0F9832DB"/>
    <w:rsid w:val="0FBF3FD2"/>
    <w:rsid w:val="0FBF7FF3"/>
    <w:rsid w:val="10515BB4"/>
    <w:rsid w:val="10646583"/>
    <w:rsid w:val="107D4B15"/>
    <w:rsid w:val="108A3C80"/>
    <w:rsid w:val="10C26171"/>
    <w:rsid w:val="10F33360"/>
    <w:rsid w:val="10FC16EA"/>
    <w:rsid w:val="110F1D40"/>
    <w:rsid w:val="11266F33"/>
    <w:rsid w:val="112C7CBB"/>
    <w:rsid w:val="113B666C"/>
    <w:rsid w:val="118963A1"/>
    <w:rsid w:val="11C6522A"/>
    <w:rsid w:val="11E104CC"/>
    <w:rsid w:val="11E20309"/>
    <w:rsid w:val="12255233"/>
    <w:rsid w:val="124A70F7"/>
    <w:rsid w:val="12530213"/>
    <w:rsid w:val="127723A9"/>
    <w:rsid w:val="12862074"/>
    <w:rsid w:val="12883966"/>
    <w:rsid w:val="129E45B4"/>
    <w:rsid w:val="12D81596"/>
    <w:rsid w:val="13072A44"/>
    <w:rsid w:val="13570330"/>
    <w:rsid w:val="135F4BE2"/>
    <w:rsid w:val="139B1A0A"/>
    <w:rsid w:val="139D25C7"/>
    <w:rsid w:val="13BF3CE4"/>
    <w:rsid w:val="13D236CD"/>
    <w:rsid w:val="141008D8"/>
    <w:rsid w:val="14125FE6"/>
    <w:rsid w:val="146D271E"/>
    <w:rsid w:val="14982588"/>
    <w:rsid w:val="149A5AD9"/>
    <w:rsid w:val="14A7619D"/>
    <w:rsid w:val="150536C3"/>
    <w:rsid w:val="150C1963"/>
    <w:rsid w:val="151447A0"/>
    <w:rsid w:val="154A6454"/>
    <w:rsid w:val="15762120"/>
    <w:rsid w:val="164F0D17"/>
    <w:rsid w:val="16A8729C"/>
    <w:rsid w:val="16B33777"/>
    <w:rsid w:val="16BC70A7"/>
    <w:rsid w:val="16C6339E"/>
    <w:rsid w:val="172F2D79"/>
    <w:rsid w:val="17557BEF"/>
    <w:rsid w:val="17D349C1"/>
    <w:rsid w:val="1830729E"/>
    <w:rsid w:val="18366553"/>
    <w:rsid w:val="1870062C"/>
    <w:rsid w:val="18817102"/>
    <w:rsid w:val="18830A15"/>
    <w:rsid w:val="18852B28"/>
    <w:rsid w:val="188970DA"/>
    <w:rsid w:val="188B5321"/>
    <w:rsid w:val="19932372"/>
    <w:rsid w:val="19A20DD5"/>
    <w:rsid w:val="19AE03F1"/>
    <w:rsid w:val="1A071A03"/>
    <w:rsid w:val="1A1F16AE"/>
    <w:rsid w:val="1A2E4BEE"/>
    <w:rsid w:val="1A3B5C77"/>
    <w:rsid w:val="1A984BAD"/>
    <w:rsid w:val="1AB8220E"/>
    <w:rsid w:val="1AE4166C"/>
    <w:rsid w:val="1AF06CFB"/>
    <w:rsid w:val="1AF11B8D"/>
    <w:rsid w:val="1B11359C"/>
    <w:rsid w:val="1B2A271F"/>
    <w:rsid w:val="1B530544"/>
    <w:rsid w:val="1B713184"/>
    <w:rsid w:val="1B88172B"/>
    <w:rsid w:val="1BA209CF"/>
    <w:rsid w:val="1BB4777D"/>
    <w:rsid w:val="1BD75AB8"/>
    <w:rsid w:val="1BEE70CA"/>
    <w:rsid w:val="1C0459C2"/>
    <w:rsid w:val="1C1B3B4A"/>
    <w:rsid w:val="1C3E1334"/>
    <w:rsid w:val="1C88086E"/>
    <w:rsid w:val="1D266CE1"/>
    <w:rsid w:val="1D3963AF"/>
    <w:rsid w:val="1D435A60"/>
    <w:rsid w:val="1D6A673C"/>
    <w:rsid w:val="1D9247AE"/>
    <w:rsid w:val="1DB567EC"/>
    <w:rsid w:val="1DF51A98"/>
    <w:rsid w:val="1E114F52"/>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450C89"/>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044D4"/>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C2844"/>
    <w:rsid w:val="29345E77"/>
    <w:rsid w:val="294C65AD"/>
    <w:rsid w:val="29806583"/>
    <w:rsid w:val="298B3C4C"/>
    <w:rsid w:val="29F26D24"/>
    <w:rsid w:val="2A15033F"/>
    <w:rsid w:val="2A1662C1"/>
    <w:rsid w:val="2A1C7367"/>
    <w:rsid w:val="2A24600D"/>
    <w:rsid w:val="2A2815FA"/>
    <w:rsid w:val="2A6D6092"/>
    <w:rsid w:val="2A7D76B4"/>
    <w:rsid w:val="2B437463"/>
    <w:rsid w:val="2B7807EE"/>
    <w:rsid w:val="2BA50BF7"/>
    <w:rsid w:val="2BBF00EC"/>
    <w:rsid w:val="2BC37CFD"/>
    <w:rsid w:val="2BD5237F"/>
    <w:rsid w:val="2BDB4153"/>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C70941"/>
    <w:rsid w:val="2F0A6B38"/>
    <w:rsid w:val="2F946CCB"/>
    <w:rsid w:val="2FD25781"/>
    <w:rsid w:val="2FDC745C"/>
    <w:rsid w:val="2FFD7934"/>
    <w:rsid w:val="30733ACD"/>
    <w:rsid w:val="308C3862"/>
    <w:rsid w:val="309379D8"/>
    <w:rsid w:val="30A270F7"/>
    <w:rsid w:val="30DF1478"/>
    <w:rsid w:val="30EC586F"/>
    <w:rsid w:val="31266965"/>
    <w:rsid w:val="314550B7"/>
    <w:rsid w:val="317E0462"/>
    <w:rsid w:val="319C6071"/>
    <w:rsid w:val="31AC537E"/>
    <w:rsid w:val="31E3679B"/>
    <w:rsid w:val="31E732FD"/>
    <w:rsid w:val="32517576"/>
    <w:rsid w:val="326C3EBC"/>
    <w:rsid w:val="32882466"/>
    <w:rsid w:val="32BE5C2C"/>
    <w:rsid w:val="32DA5F65"/>
    <w:rsid w:val="32E13866"/>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06A1C"/>
    <w:rsid w:val="36A74ADA"/>
    <w:rsid w:val="36AD60D5"/>
    <w:rsid w:val="36B224F9"/>
    <w:rsid w:val="36EC0CC9"/>
    <w:rsid w:val="373F410B"/>
    <w:rsid w:val="37EE7094"/>
    <w:rsid w:val="38296C89"/>
    <w:rsid w:val="383002EB"/>
    <w:rsid w:val="38586797"/>
    <w:rsid w:val="38BC0149"/>
    <w:rsid w:val="38D87D1C"/>
    <w:rsid w:val="38FE79CA"/>
    <w:rsid w:val="39636459"/>
    <w:rsid w:val="396B7F6C"/>
    <w:rsid w:val="39B417A9"/>
    <w:rsid w:val="39B75D5C"/>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B4A18"/>
    <w:rsid w:val="44DE1391"/>
    <w:rsid w:val="451B225C"/>
    <w:rsid w:val="452410C9"/>
    <w:rsid w:val="45317DFB"/>
    <w:rsid w:val="456D3CE4"/>
    <w:rsid w:val="4579042C"/>
    <w:rsid w:val="457F0571"/>
    <w:rsid w:val="45851176"/>
    <w:rsid w:val="4598127D"/>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46DF9"/>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FC1430"/>
    <w:rsid w:val="4D077F3C"/>
    <w:rsid w:val="4D123355"/>
    <w:rsid w:val="4D2A3B31"/>
    <w:rsid w:val="4D312C52"/>
    <w:rsid w:val="4D905305"/>
    <w:rsid w:val="4D964A72"/>
    <w:rsid w:val="4D9C1254"/>
    <w:rsid w:val="4E793892"/>
    <w:rsid w:val="4E800872"/>
    <w:rsid w:val="4EC569ED"/>
    <w:rsid w:val="4ED50EA1"/>
    <w:rsid w:val="4EEC050C"/>
    <w:rsid w:val="4F104EC3"/>
    <w:rsid w:val="4F256095"/>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8049B"/>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71C0"/>
    <w:rsid w:val="53544462"/>
    <w:rsid w:val="5397158E"/>
    <w:rsid w:val="53BD36C9"/>
    <w:rsid w:val="54013861"/>
    <w:rsid w:val="54487265"/>
    <w:rsid w:val="544D6070"/>
    <w:rsid w:val="54605E1E"/>
    <w:rsid w:val="54B3506A"/>
    <w:rsid w:val="54CA0D16"/>
    <w:rsid w:val="54DD4057"/>
    <w:rsid w:val="54E12066"/>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979C3"/>
    <w:rsid w:val="58917D2F"/>
    <w:rsid w:val="5894085C"/>
    <w:rsid w:val="58AE4F0C"/>
    <w:rsid w:val="58B85899"/>
    <w:rsid w:val="58E278E3"/>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A649A"/>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C033E9"/>
    <w:rsid w:val="5DCE7AE9"/>
    <w:rsid w:val="5DDC2E5E"/>
    <w:rsid w:val="5E006862"/>
    <w:rsid w:val="5E0207B9"/>
    <w:rsid w:val="5E1834A1"/>
    <w:rsid w:val="5E261785"/>
    <w:rsid w:val="5E3E6FDA"/>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7C2944"/>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FD15E9"/>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0284"/>
    <w:rsid w:val="67E55852"/>
    <w:rsid w:val="67EB1AB4"/>
    <w:rsid w:val="67FA1285"/>
    <w:rsid w:val="68551F4F"/>
    <w:rsid w:val="687C10C9"/>
    <w:rsid w:val="68840C16"/>
    <w:rsid w:val="68872541"/>
    <w:rsid w:val="68876EFB"/>
    <w:rsid w:val="68884654"/>
    <w:rsid w:val="689F444F"/>
    <w:rsid w:val="68B96DBB"/>
    <w:rsid w:val="68CA2805"/>
    <w:rsid w:val="68E937A3"/>
    <w:rsid w:val="691664E5"/>
    <w:rsid w:val="692B4A4B"/>
    <w:rsid w:val="693E15D3"/>
    <w:rsid w:val="69627681"/>
    <w:rsid w:val="6977531D"/>
    <w:rsid w:val="69995D70"/>
    <w:rsid w:val="69CC2BFF"/>
    <w:rsid w:val="69FD55B8"/>
    <w:rsid w:val="6A0B1C62"/>
    <w:rsid w:val="6A2406C8"/>
    <w:rsid w:val="6ADE0BD1"/>
    <w:rsid w:val="6AE96859"/>
    <w:rsid w:val="6B147746"/>
    <w:rsid w:val="6B24787C"/>
    <w:rsid w:val="6B573233"/>
    <w:rsid w:val="6B5B6274"/>
    <w:rsid w:val="6B935D53"/>
    <w:rsid w:val="6B941424"/>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70BDE"/>
    <w:rsid w:val="6DF43C2E"/>
    <w:rsid w:val="6DF51CA3"/>
    <w:rsid w:val="6E8335BD"/>
    <w:rsid w:val="6E8E12EF"/>
    <w:rsid w:val="6E972936"/>
    <w:rsid w:val="6ED446C5"/>
    <w:rsid w:val="6F2A7D94"/>
    <w:rsid w:val="6F5B5D98"/>
    <w:rsid w:val="6F8331F1"/>
    <w:rsid w:val="6FAE1A09"/>
    <w:rsid w:val="6FD75BF8"/>
    <w:rsid w:val="707723D0"/>
    <w:rsid w:val="70F5661B"/>
    <w:rsid w:val="71360107"/>
    <w:rsid w:val="713B688E"/>
    <w:rsid w:val="71AF2175"/>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3C7F10"/>
    <w:rsid w:val="78775729"/>
    <w:rsid w:val="78A42DB0"/>
    <w:rsid w:val="78A656AB"/>
    <w:rsid w:val="78B2245C"/>
    <w:rsid w:val="78E172CC"/>
    <w:rsid w:val="78EA1D1F"/>
    <w:rsid w:val="7904172F"/>
    <w:rsid w:val="790F7E27"/>
    <w:rsid w:val="792A231A"/>
    <w:rsid w:val="79316829"/>
    <w:rsid w:val="797E66A9"/>
    <w:rsid w:val="798518A4"/>
    <w:rsid w:val="79A97383"/>
    <w:rsid w:val="79D23D01"/>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link w:val="72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0"/>
    <w:qFormat/>
    <w:uiPriority w:val="0"/>
    <w:pPr>
      <w:shd w:val="clear" w:color="auto" w:fill="000080"/>
    </w:pPr>
  </w:style>
  <w:style w:type="paragraph" w:styleId="19">
    <w:name w:val="annotation text"/>
    <w:basedOn w:val="1"/>
    <w:link w:val="858"/>
    <w:qFormat/>
    <w:uiPriority w:val="99"/>
    <w:pPr>
      <w:jc w:val="left"/>
    </w:pPr>
  </w:style>
  <w:style w:type="paragraph" w:styleId="20">
    <w:name w:val="Salutation"/>
    <w:basedOn w:val="1"/>
    <w:next w:val="1"/>
    <w:link w:val="818"/>
    <w:qFormat/>
    <w:uiPriority w:val="0"/>
    <w:rPr>
      <w:rFonts w:ascii="仿宋_GB2312" w:eastAsia="仿宋_GB2312"/>
      <w:sz w:val="28"/>
      <w:szCs w:val="20"/>
    </w:rPr>
  </w:style>
  <w:style w:type="paragraph" w:styleId="21">
    <w:name w:val="Body Text 3"/>
    <w:basedOn w:val="1"/>
    <w:link w:val="846"/>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35"/>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86"/>
    <w:qFormat/>
    <w:uiPriority w:val="0"/>
    <w:pPr>
      <w:spacing w:line="480" w:lineRule="exact"/>
      <w:ind w:firstLine="480" w:firstLineChars="200"/>
    </w:pPr>
    <w:rPr>
      <w:rFonts w:ascii="宋体" w:hAnsi="宋体"/>
      <w:sz w:val="24"/>
    </w:rPr>
  </w:style>
  <w:style w:type="paragraph" w:customStyle="1" w:styleId="25">
    <w:name w:val="正文文本首行缩进 2"/>
    <w:basedOn w:val="24"/>
    <w:qFormat/>
    <w:uiPriority w:val="99"/>
    <w:pPr>
      <w:spacing w:line="200" w:lineRule="atLeast"/>
      <w:ind w:firstLine="420"/>
    </w:pPr>
    <w:rPr>
      <w:rFonts w:ascii="宋体" w:hAnsi="Courier New"/>
      <w:spacing w:val="-4"/>
      <w:sz w:val="18"/>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6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2"/>
    <w:qFormat/>
    <w:uiPriority w:val="0"/>
    <w:pPr>
      <w:ind w:left="100" w:leftChars="2500"/>
    </w:pPr>
    <w:rPr>
      <w:rFonts w:ascii="宋体"/>
      <w:sz w:val="24"/>
      <w:szCs w:val="21"/>
      <w:lang w:val="zh-CN"/>
    </w:rPr>
  </w:style>
  <w:style w:type="paragraph" w:styleId="37">
    <w:name w:val="Body Text Indent 2"/>
    <w:basedOn w:val="1"/>
    <w:link w:val="826"/>
    <w:qFormat/>
    <w:uiPriority w:val="0"/>
    <w:pPr>
      <w:spacing w:line="360" w:lineRule="auto"/>
      <w:ind w:firstLine="601"/>
      <w:textAlignment w:val="baseline"/>
    </w:pPr>
    <w:rPr>
      <w:rFonts w:ascii="宋体"/>
      <w:kern w:val="0"/>
      <w:sz w:val="28"/>
      <w:szCs w:val="20"/>
    </w:rPr>
  </w:style>
  <w:style w:type="paragraph" w:styleId="38">
    <w:name w:val="endnote text"/>
    <w:basedOn w:val="1"/>
    <w:link w:val="943"/>
    <w:qFormat/>
    <w:uiPriority w:val="0"/>
    <w:rPr>
      <w:lang w:val="zh-CN"/>
    </w:rPr>
  </w:style>
  <w:style w:type="paragraph" w:styleId="39">
    <w:name w:val="Balloon Text"/>
    <w:basedOn w:val="1"/>
    <w:link w:val="719"/>
    <w:qFormat/>
    <w:uiPriority w:val="0"/>
    <w:rPr>
      <w:sz w:val="18"/>
      <w:szCs w:val="18"/>
    </w:rPr>
  </w:style>
  <w:style w:type="paragraph" w:styleId="40">
    <w:name w:val="footer"/>
    <w:basedOn w:val="1"/>
    <w:link w:val="894"/>
    <w:qFormat/>
    <w:uiPriority w:val="99"/>
    <w:pPr>
      <w:tabs>
        <w:tab w:val="center" w:pos="4153"/>
        <w:tab w:val="right" w:pos="8306"/>
      </w:tabs>
      <w:snapToGrid w:val="0"/>
      <w:jc w:val="left"/>
    </w:pPr>
    <w:rPr>
      <w:sz w:val="18"/>
      <w:szCs w:val="18"/>
    </w:rPr>
  </w:style>
  <w:style w:type="paragraph" w:styleId="41">
    <w:name w:val="header"/>
    <w:basedOn w:val="1"/>
    <w:link w:val="90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828"/>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2"/>
    <w:qFormat/>
    <w:uiPriority w:val="0"/>
    <w:pPr>
      <w:spacing w:after="120" w:line="480" w:lineRule="auto"/>
    </w:pPr>
  </w:style>
  <w:style w:type="paragraph" w:styleId="57">
    <w:name w:val="HTML Preformatted"/>
    <w:basedOn w:val="1"/>
    <w:link w:val="8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6"/>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5"/>
    <w:qFormat/>
    <w:uiPriority w:val="0"/>
    <w:rPr>
      <w:b/>
      <w:bCs/>
    </w:rPr>
  </w:style>
  <w:style w:type="paragraph" w:styleId="61">
    <w:name w:val="Body Text First Indent"/>
    <w:basedOn w:val="23"/>
    <w:next w:val="1"/>
    <w:link w:val="837"/>
    <w:qFormat/>
    <w:uiPriority w:val="0"/>
    <w:pPr>
      <w:ind w:firstLine="420"/>
    </w:pPr>
    <w:rPr>
      <w:rFonts w:hAnsi="Calibri" w:cs="Times New Roman"/>
      <w:szCs w:val="20"/>
    </w:rPr>
  </w:style>
  <w:style w:type="paragraph" w:styleId="62">
    <w:name w:val="Body Text First Indent 2"/>
    <w:basedOn w:val="24"/>
    <w:next w:val="61"/>
    <w:link w:val="658"/>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1"/>
    <w:basedOn w:val="18"/>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1">
    <w:name w:val="表格非标题文字"/>
    <w:link w:val="62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5"/>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3"/>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40"/>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7"/>
    <w:qFormat/>
    <w:uiPriority w:val="0"/>
    <w:pPr>
      <w:spacing w:before="156" w:line="360" w:lineRule="auto"/>
      <w:ind w:firstLine="510" w:firstLineChars="200"/>
    </w:pPr>
    <w:rPr>
      <w:sz w:val="24"/>
      <w:szCs w:val="20"/>
    </w:rPr>
  </w:style>
  <w:style w:type="paragraph" w:customStyle="1" w:styleId="87">
    <w:name w:val="无间隔1"/>
    <w:link w:val="675"/>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3"/>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3"/>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3"/>
    <w:link w:val="70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22"/>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8"/>
    <w:qFormat/>
    <w:uiPriority w:val="0"/>
    <w:pPr>
      <w:ind w:left="0" w:right="466" w:firstLine="288"/>
    </w:pPr>
    <w:rPr>
      <w:rFonts w:hAnsi="宋体"/>
    </w:rPr>
  </w:style>
  <w:style w:type="paragraph" w:customStyle="1" w:styleId="9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6"/>
    <w:link w:val="7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52"/>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6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70"/>
    <w:qFormat/>
    <w:uiPriority w:val="0"/>
    <w:pPr>
      <w:adjustRightInd/>
      <w:spacing w:line="360" w:lineRule="auto"/>
      <w:ind w:firstLine="480" w:firstLineChars="200"/>
    </w:pPr>
    <w:rPr>
      <w:kern w:val="0"/>
      <w:sz w:val="24"/>
    </w:rPr>
  </w:style>
  <w:style w:type="paragraph" w:customStyle="1" w:styleId="99">
    <w:name w:val="gf正文1"/>
    <w:basedOn w:val="1"/>
    <w:link w:val="77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801"/>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3"/>
    <w:qFormat/>
    <w:uiPriority w:val="0"/>
    <w:pPr>
      <w:tabs>
        <w:tab w:val="left" w:pos="2356"/>
      </w:tabs>
    </w:pPr>
  </w:style>
  <w:style w:type="paragraph" w:customStyle="1" w:styleId="104">
    <w:name w:val="样式 标题 4h4H4Fab-4T5Ref Heading 1rh1Heading sqlsect 1.2.3...."/>
    <w:basedOn w:val="6"/>
    <w:link w:val="9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6"/>
    <w:qFormat/>
    <w:uiPriority w:val="0"/>
    <w:pPr>
      <w:adjustRightInd/>
    </w:pPr>
    <w:rPr>
      <w:rFonts w:ascii="宋体" w:hAnsi="Courier New"/>
      <w:kern w:val="0"/>
      <w:sz w:val="20"/>
      <w:szCs w:val="20"/>
    </w:rPr>
  </w:style>
  <w:style w:type="paragraph" w:customStyle="1" w:styleId="107">
    <w:name w:val="正文说明"/>
    <w:basedOn w:val="1"/>
    <w:link w:val="848"/>
    <w:qFormat/>
    <w:uiPriority w:val="0"/>
    <w:pPr>
      <w:adjustRightInd/>
      <w:spacing w:line="360" w:lineRule="auto"/>
    </w:pPr>
    <w:rPr>
      <w:kern w:val="0"/>
      <w:sz w:val="24"/>
    </w:rPr>
  </w:style>
  <w:style w:type="paragraph" w:customStyle="1" w:styleId="108">
    <w:name w:val="Table Text"/>
    <w:basedOn w:val="1"/>
    <w:link w:val="854"/>
    <w:qFormat/>
    <w:uiPriority w:val="0"/>
    <w:pPr>
      <w:widowControl/>
      <w:spacing w:before="60" w:after="60"/>
      <w:jc w:val="left"/>
    </w:pPr>
    <w:rPr>
      <w:kern w:val="0"/>
      <w:sz w:val="24"/>
    </w:rPr>
  </w:style>
  <w:style w:type="paragraph" w:customStyle="1" w:styleId="109">
    <w:name w:val="公文正文"/>
    <w:basedOn w:val="1"/>
    <w:link w:val="866"/>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9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9"/>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6"/>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9"/>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5"/>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2"/>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5"/>
    <w:link w:val="93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6"/>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4"/>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4"/>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7"/>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4"/>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6"/>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6"/>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2"/>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6"/>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7"/>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3"/>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8"/>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6"/>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2"/>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3"/>
    <w:qFormat/>
    <w:uiPriority w:val="0"/>
    <w:rPr>
      <w:b w:val="0"/>
      <w:sz w:val="20"/>
    </w:rPr>
  </w:style>
  <w:style w:type="paragraph" w:customStyle="1" w:styleId="57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2"/>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7"/>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6"/>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5"/>
    <w:qFormat/>
    <w:uiPriority w:val="0"/>
    <w:pPr>
      <w:adjustRightInd/>
      <w:spacing w:line="360" w:lineRule="auto"/>
      <w:ind w:firstLine="480" w:firstLineChars="200"/>
    </w:pPr>
    <w:rPr>
      <w:rFonts w:cs="宋体"/>
      <w:sz w:val="24"/>
      <w:szCs w:val="20"/>
    </w:rPr>
  </w:style>
  <w:style w:type="paragraph" w:customStyle="1" w:styleId="606">
    <w:name w:val="_Style 947"/>
    <w:basedOn w:val="1"/>
    <w:next w:val="101"/>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_正文"/>
    <w:basedOn w:val="1"/>
    <w:qFormat/>
    <w:uiPriority w:val="0"/>
    <w:pPr>
      <w:tabs>
        <w:tab w:val="left" w:pos="840"/>
      </w:tabs>
      <w:adjustRightInd/>
      <w:spacing w:line="360" w:lineRule="auto"/>
      <w:ind w:firstLine="200" w:firstLineChars="200"/>
    </w:pPr>
    <w:rPr>
      <w:sz w:val="24"/>
    </w:rPr>
  </w:style>
  <w:style w:type="paragraph" w:customStyle="1" w:styleId="620">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21">
    <w:name w:val="[Normal]"/>
    <w:qFormat/>
    <w:uiPriority w:val="0"/>
    <w:rPr>
      <w:rFonts w:ascii="宋体" w:hAnsi="宋体" w:eastAsia="宋体" w:cs="Times New Roman"/>
      <w:sz w:val="24"/>
      <w:szCs w:val="22"/>
      <w:lang w:val="zh-CN" w:eastAsia="zh-CN" w:bidi="ar-SA"/>
    </w:rPr>
  </w:style>
  <w:style w:type="paragraph" w:customStyle="1" w:styleId="622">
    <w:name w:val="_Style 621"/>
    <w:basedOn w:val="1"/>
    <w:qFormat/>
    <w:uiPriority w:val="34"/>
    <w:pPr>
      <w:ind w:firstLine="420" w:firstLineChars="200"/>
    </w:pPr>
  </w:style>
  <w:style w:type="paragraph" w:customStyle="1" w:styleId="623">
    <w:name w:val="head 1.1.1"/>
    <w:basedOn w:val="622"/>
    <w:qFormat/>
    <w:uiPriority w:val="0"/>
    <w:pPr>
      <w:numPr>
        <w:ilvl w:val="2"/>
        <w:numId w:val="1"/>
      </w:numPr>
      <w:ind w:firstLine="0" w:firstLineChars="0"/>
    </w:pPr>
    <w:rPr>
      <w:bCs/>
    </w:rPr>
  </w:style>
  <w:style w:type="character" w:customStyle="1" w:styleId="624">
    <w:name w:val="表格非标题文字 Char"/>
    <w:link w:val="81"/>
    <w:qFormat/>
    <w:uiPriority w:val="0"/>
    <w:rPr>
      <w:rFonts w:ascii="Futura Bk" w:hAnsi="Futura Bk"/>
      <w:kern w:val="2"/>
      <w:sz w:val="18"/>
      <w:szCs w:val="21"/>
      <w:lang w:val="en-US" w:eastAsia="zh-CN" w:bidi="ar-SA"/>
    </w:rPr>
  </w:style>
  <w:style w:type="character" w:customStyle="1" w:styleId="625">
    <w:name w:val="*正文 Char"/>
    <w:link w:val="82"/>
    <w:qFormat/>
    <w:locked/>
    <w:uiPriority w:val="0"/>
    <w:rPr>
      <w:rFonts w:ascii="宋体" w:hAnsi="宋体"/>
      <w:sz w:val="24"/>
    </w:rPr>
  </w:style>
  <w:style w:type="character" w:customStyle="1" w:styleId="626">
    <w:name w:val="Char Char71"/>
    <w:semiHidden/>
    <w:qFormat/>
    <w:uiPriority w:val="0"/>
    <w:rPr>
      <w:rFonts w:eastAsia="宋体"/>
      <w:kern w:val="2"/>
      <w:sz w:val="21"/>
      <w:szCs w:val="24"/>
      <w:lang w:val="en-US" w:eastAsia="zh-CN" w:bidi="ar-SA"/>
    </w:rPr>
  </w:style>
  <w:style w:type="character" w:customStyle="1" w:styleId="627">
    <w:name w:val="Char Char6"/>
    <w:qFormat/>
    <w:uiPriority w:val="0"/>
    <w:rPr>
      <w:rFonts w:eastAsia="宋体"/>
      <w:kern w:val="2"/>
      <w:sz w:val="21"/>
      <w:szCs w:val="24"/>
      <w:lang w:val="en-US" w:eastAsia="zh-CN" w:bidi="ar-SA"/>
    </w:rPr>
  </w:style>
  <w:style w:type="character" w:customStyle="1" w:styleId="628">
    <w:name w:val="正文缩进 Char"/>
    <w:qFormat/>
    <w:uiPriority w:val="0"/>
    <w:rPr>
      <w:rFonts w:eastAsia="宋体"/>
      <w:kern w:val="2"/>
      <w:sz w:val="21"/>
      <w:lang w:val="en-US" w:eastAsia="zh-CN"/>
    </w:rPr>
  </w:style>
  <w:style w:type="character" w:customStyle="1" w:styleId="629">
    <w:name w:val="正文首行缩进 Char1"/>
    <w:qFormat/>
    <w:uiPriority w:val="0"/>
    <w:rPr>
      <w:rFonts w:ascii="宋体" w:hAnsi="Times New Roman" w:eastAsia="宋体" w:cs="Times New Roman"/>
      <w:snapToGrid w:val="0"/>
      <w:kern w:val="2"/>
      <w:sz w:val="24"/>
      <w:szCs w:val="21"/>
      <w:lang w:val="zh-CN"/>
    </w:rPr>
  </w:style>
  <w:style w:type="character" w:customStyle="1" w:styleId="630">
    <w:name w:val="Char Char28"/>
    <w:qFormat/>
    <w:uiPriority w:val="6"/>
    <w:rPr>
      <w:rFonts w:ascii="仿宋_GB2312" w:hAnsi="仿宋_GB2312" w:eastAsia="仿宋_GB2312"/>
      <w:kern w:val="1"/>
      <w:sz w:val="28"/>
    </w:rPr>
  </w:style>
  <w:style w:type="character" w:customStyle="1" w:styleId="6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qFormat/>
    <w:uiPriority w:val="6"/>
    <w:rPr>
      <w:rFonts w:ascii="Times New Roman" w:hAnsi="Times New Roman" w:eastAsia="黑体" w:cs="Times New Roman"/>
      <w:b/>
      <w:kern w:val="0"/>
      <w:sz w:val="24"/>
      <w:szCs w:val="24"/>
    </w:rPr>
  </w:style>
  <w:style w:type="character" w:customStyle="1" w:styleId="633">
    <w:name w:val="U_正文 Char"/>
    <w:link w:val="83"/>
    <w:qFormat/>
    <w:uiPriority w:val="0"/>
    <w:rPr>
      <w:sz w:val="24"/>
      <w:szCs w:val="24"/>
    </w:rPr>
  </w:style>
  <w:style w:type="character" w:customStyle="1" w:styleId="634">
    <w:name w:val="HTML 地址 Char1"/>
    <w:qFormat/>
    <w:uiPriority w:val="0"/>
    <w:rPr>
      <w:rFonts w:ascii="Times New Roman" w:hAnsi="Times New Roman" w:eastAsia="宋体" w:cs="Times New Roman"/>
      <w:i/>
      <w:iCs/>
      <w:szCs w:val="24"/>
    </w:rPr>
  </w:style>
  <w:style w:type="character" w:customStyle="1" w:styleId="635">
    <w:name w:val="批注主题 Char1"/>
    <w:link w:val="60"/>
    <w:qFormat/>
    <w:uiPriority w:val="0"/>
    <w:rPr>
      <w:b/>
      <w:bCs/>
      <w:kern w:val="2"/>
      <w:sz w:val="21"/>
      <w:szCs w:val="24"/>
    </w:rPr>
  </w:style>
  <w:style w:type="character" w:customStyle="1" w:styleId="636">
    <w:name w:val="Char Char51"/>
    <w:qFormat/>
    <w:uiPriority w:val="0"/>
    <w:rPr>
      <w:rFonts w:ascii="宋体" w:hAnsi="Courier New" w:eastAsia="宋体"/>
      <w:kern w:val="2"/>
      <w:sz w:val="21"/>
      <w:lang w:val="en-US" w:eastAsia="zh-CN"/>
    </w:rPr>
  </w:style>
  <w:style w:type="character" w:customStyle="1" w:styleId="637">
    <w:name w:val="表正文 Char"/>
    <w:qFormat/>
    <w:uiPriority w:val="0"/>
    <w:rPr>
      <w:rFonts w:ascii="宋体" w:eastAsia="宋体"/>
      <w:snapToGrid w:val="0"/>
      <w:color w:val="000000"/>
      <w:kern w:val="28"/>
      <w:sz w:val="28"/>
      <w:lang w:val="en-US" w:eastAsia="zh-CN" w:bidi="ar-SA"/>
    </w:rPr>
  </w:style>
  <w:style w:type="character" w:customStyle="1" w:styleId="638">
    <w:name w:val="Char Char34"/>
    <w:qFormat/>
    <w:uiPriority w:val="6"/>
    <w:rPr>
      <w:b/>
      <w:kern w:val="1"/>
      <w:sz w:val="28"/>
      <w:szCs w:val="28"/>
    </w:rPr>
  </w:style>
  <w:style w:type="character" w:customStyle="1" w:styleId="63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84"/>
    <w:qFormat/>
    <w:uiPriority w:val="0"/>
    <w:rPr>
      <w:rFonts w:ascii="宋体" w:hAnsi="宋体" w:eastAsia="宋体"/>
      <w:kern w:val="2"/>
      <w:sz w:val="24"/>
      <w:lang w:bidi="ar-SA"/>
    </w:rPr>
  </w:style>
  <w:style w:type="character" w:customStyle="1" w:styleId="641">
    <w:name w:val="未处理的提及1"/>
    <w:qFormat/>
    <w:uiPriority w:val="0"/>
    <w:rPr>
      <w:color w:val="808080"/>
      <w:shd w:val="clear" w:color="auto" w:fill="E6E6E6"/>
    </w:rPr>
  </w:style>
  <w:style w:type="character" w:customStyle="1" w:styleId="642">
    <w:name w:val="txt"/>
    <w:qFormat/>
    <w:uiPriority w:val="0"/>
    <w:rPr>
      <w:rFonts w:ascii="仿宋_GB2312" w:eastAsia="微软雅黑"/>
      <w:b/>
      <w:kern w:val="2"/>
      <w:sz w:val="32"/>
      <w:szCs w:val="32"/>
      <w:lang w:val="en-US" w:eastAsia="zh-CN" w:bidi="ar-SA"/>
    </w:rPr>
  </w:style>
  <w:style w:type="character" w:customStyle="1" w:styleId="643">
    <w:name w:val="二级标题 Char Char"/>
    <w:qFormat/>
    <w:uiPriority w:val="0"/>
    <w:rPr>
      <w:rFonts w:ascii="宋体" w:hAnsi="宋体" w:eastAsia="宋体"/>
      <w:b/>
      <w:snapToGrid w:val="0"/>
      <w:kern w:val="2"/>
      <w:sz w:val="24"/>
      <w:szCs w:val="24"/>
      <w:lang w:val="en-US" w:eastAsia="zh-CN" w:bidi="ar-SA"/>
    </w:rPr>
  </w:style>
  <w:style w:type="character" w:customStyle="1" w:styleId="644">
    <w:name w:val="Char Char32"/>
    <w:qFormat/>
    <w:uiPriority w:val="6"/>
    <w:rPr>
      <w:b/>
      <w:kern w:val="1"/>
      <w:sz w:val="24"/>
      <w:szCs w:val="24"/>
    </w:rPr>
  </w:style>
  <w:style w:type="character" w:customStyle="1" w:styleId="645">
    <w:name w:val="PI Char1"/>
    <w:qFormat/>
    <w:uiPriority w:val="0"/>
    <w:rPr>
      <w:rFonts w:ascii="宋体" w:hAnsi="宋体"/>
      <w:kern w:val="2"/>
      <w:sz w:val="24"/>
      <w:szCs w:val="24"/>
    </w:rPr>
  </w:style>
  <w:style w:type="character" w:customStyle="1" w:styleId="646">
    <w:name w:val="tw4winTerm"/>
    <w:qFormat/>
    <w:uiPriority w:val="0"/>
    <w:rPr>
      <w:color w:val="0000FF"/>
    </w:rPr>
  </w:style>
  <w:style w:type="character" w:customStyle="1" w:styleId="647">
    <w:name w:val="Footer Char"/>
    <w:qFormat/>
    <w:locked/>
    <w:uiPriority w:val="0"/>
    <w:rPr>
      <w:rFonts w:eastAsia="宋体"/>
      <w:kern w:val="2"/>
      <w:sz w:val="18"/>
      <w:lang w:val="en-US" w:eastAsia="zh-CN" w:bidi="ar-SA"/>
    </w:rPr>
  </w:style>
  <w:style w:type="character" w:customStyle="1" w:styleId="648">
    <w:name w:val="普通文字 Char Char1"/>
    <w:qFormat/>
    <w:uiPriority w:val="0"/>
    <w:rPr>
      <w:rFonts w:ascii="宋体" w:hAnsi="Courier New"/>
      <w:kern w:val="2"/>
      <w:sz w:val="21"/>
    </w:rPr>
  </w:style>
  <w:style w:type="character" w:customStyle="1" w:styleId="649">
    <w:name w:val="Char Char101"/>
    <w:qFormat/>
    <w:uiPriority w:val="6"/>
    <w:rPr>
      <w:rFonts w:ascii="宋体" w:hAnsi="宋体"/>
      <w:kern w:val="2"/>
      <w:sz w:val="21"/>
      <w:szCs w:val="24"/>
      <w:lang w:val="en-US" w:eastAsia="zh-CN"/>
    </w:rPr>
  </w:style>
  <w:style w:type="character" w:customStyle="1" w:styleId="650">
    <w:name w:val="标题 4 Char"/>
    <w:qFormat/>
    <w:uiPriority w:val="0"/>
    <w:rPr>
      <w:rFonts w:ascii="Arial" w:hAnsi="Arial" w:eastAsia="黑体"/>
      <w:b/>
      <w:kern w:val="2"/>
      <w:sz w:val="28"/>
    </w:rPr>
  </w:style>
  <w:style w:type="character" w:customStyle="1" w:styleId="651">
    <w:name w:val="链接"/>
    <w:qFormat/>
    <w:uiPriority w:val="0"/>
    <w:rPr>
      <w:color w:val="0000FF"/>
      <w:sz w:val="21"/>
      <w:szCs w:val="21"/>
      <w:u w:val="single"/>
    </w:rPr>
  </w:style>
  <w:style w:type="character" w:customStyle="1" w:styleId="652">
    <w:name w:val="h4 Char"/>
    <w:qFormat/>
    <w:uiPriority w:val="0"/>
    <w:rPr>
      <w:rFonts w:ascii="Arial" w:hAnsi="Arial" w:eastAsia="黑体"/>
      <w:b/>
      <w:bCs/>
      <w:kern w:val="2"/>
      <w:sz w:val="28"/>
      <w:szCs w:val="28"/>
      <w:lang w:val="zh-CN" w:eastAsia="zh-CN" w:bidi="ar-SA"/>
    </w:rPr>
  </w:style>
  <w:style w:type="character" w:customStyle="1" w:styleId="653">
    <w:name w:val="5正文 Char"/>
    <w:link w:val="85"/>
    <w:qFormat/>
    <w:uiPriority w:val="0"/>
    <w:rPr>
      <w:rFonts w:ascii="仿宋_GB2312" w:hAnsi="微软雅黑" w:eastAsia="仿宋_GB2312"/>
      <w:sz w:val="28"/>
      <w:szCs w:val="21"/>
    </w:rPr>
  </w:style>
  <w:style w:type="character" w:customStyle="1" w:styleId="654">
    <w:name w:val="标题 3 字符"/>
    <w:qFormat/>
    <w:uiPriority w:val="9"/>
    <w:rPr>
      <w:b/>
      <w:bCs/>
      <w:kern w:val="2"/>
      <w:sz w:val="32"/>
      <w:szCs w:val="32"/>
    </w:rPr>
  </w:style>
  <w:style w:type="character" w:customStyle="1" w:styleId="655">
    <w:name w:val="样式6 Char"/>
    <w:qFormat/>
    <w:uiPriority w:val="0"/>
    <w:rPr>
      <w:rFonts w:ascii="仿宋_GB2312" w:hAnsi="宋体" w:eastAsia="仿宋_GB2312"/>
      <w:b/>
      <w:bCs/>
      <w:kern w:val="2"/>
      <w:sz w:val="24"/>
      <w:szCs w:val="24"/>
      <w:lang w:val="en-US" w:eastAsia="zh-CN" w:bidi="ar-SA"/>
    </w:rPr>
  </w:style>
  <w:style w:type="character" w:customStyle="1" w:styleId="656">
    <w:name w:val="Char Char14"/>
    <w:qFormat/>
    <w:uiPriority w:val="6"/>
    <w:rPr>
      <w:rFonts w:ascii="黑体" w:hAnsi="黑体" w:eastAsia="黑体"/>
    </w:rPr>
  </w:style>
  <w:style w:type="character" w:customStyle="1" w:styleId="657">
    <w:name w:val="Heading 2 Hidden Char"/>
    <w:qFormat/>
    <w:uiPriority w:val="0"/>
    <w:rPr>
      <w:rFonts w:ascii="仿宋_GB2312" w:eastAsia="仿宋_GB2312"/>
      <w:b/>
      <w:bCs/>
      <w:kern w:val="2"/>
      <w:sz w:val="24"/>
      <w:szCs w:val="24"/>
      <w:lang w:val="zh-CN" w:eastAsia="zh-CN" w:bidi="ar-SA"/>
    </w:rPr>
  </w:style>
  <w:style w:type="character" w:customStyle="1" w:styleId="658">
    <w:name w:val="正文首行缩进 2 Char"/>
    <w:link w:val="62"/>
    <w:qFormat/>
    <w:uiPriority w:val="0"/>
    <w:rPr>
      <w:rFonts w:ascii="宋体" w:hAnsi="宋体"/>
      <w:kern w:val="2"/>
      <w:sz w:val="21"/>
      <w:szCs w:val="24"/>
    </w:rPr>
  </w:style>
  <w:style w:type="character" w:customStyle="1" w:styleId="659">
    <w:name w:val="font11"/>
    <w:qFormat/>
    <w:uiPriority w:val="0"/>
    <w:rPr>
      <w:rFonts w:hint="default" w:ascii="Times New Roman" w:hAnsi="Times New Roman" w:cs="Times New Roman"/>
      <w:color w:val="000000"/>
      <w:sz w:val="22"/>
      <w:szCs w:val="22"/>
      <w:u w:val="none"/>
    </w:rPr>
  </w:style>
  <w:style w:type="character" w:customStyle="1" w:styleId="660">
    <w:name w:val="表正文 Char1"/>
    <w:qFormat/>
    <w:uiPriority w:val="0"/>
    <w:rPr>
      <w:rFonts w:ascii="宋体" w:eastAsia="宋体"/>
      <w:snapToGrid w:val="0"/>
      <w:color w:val="000000"/>
      <w:kern w:val="28"/>
      <w:sz w:val="28"/>
    </w:rPr>
  </w:style>
  <w:style w:type="character" w:customStyle="1" w:styleId="661">
    <w:name w:val="blue1"/>
    <w:basedOn w:val="70"/>
    <w:qFormat/>
    <w:uiPriority w:val="0"/>
    <w:rPr>
      <w:rFonts w:ascii="Arial" w:hAnsi="Arial" w:eastAsia="黑体" w:cs="Arial"/>
      <w:snapToGrid w:val="0"/>
      <w:kern w:val="0"/>
      <w:szCs w:val="21"/>
    </w:rPr>
  </w:style>
  <w:style w:type="character" w:customStyle="1" w:styleId="66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3">
    <w:name w:val="标书1 Char"/>
    <w:qFormat/>
    <w:uiPriority w:val="0"/>
    <w:rPr>
      <w:rFonts w:eastAsia="宋体"/>
      <w:b/>
      <w:bCs/>
      <w:kern w:val="44"/>
      <w:sz w:val="44"/>
      <w:szCs w:val="44"/>
      <w:lang w:val="en-US" w:eastAsia="zh-CN" w:bidi="ar-SA"/>
    </w:rPr>
  </w:style>
  <w:style w:type="character" w:customStyle="1" w:styleId="664">
    <w:name w:val="样式5 Char"/>
    <w:qFormat/>
    <w:uiPriority w:val="0"/>
    <w:rPr>
      <w:rFonts w:ascii="仿宋_GB2312" w:hAnsi="仿宋" w:eastAsia="仿宋_GB2312"/>
      <w:kern w:val="2"/>
      <w:sz w:val="24"/>
      <w:szCs w:val="24"/>
    </w:rPr>
  </w:style>
  <w:style w:type="character" w:customStyle="1" w:styleId="665">
    <w:name w:val="样式4 Char"/>
    <w:qFormat/>
    <w:uiPriority w:val="0"/>
    <w:rPr>
      <w:rFonts w:ascii="仿宋_GB2312" w:hAnsi="仿宋" w:eastAsia="仿宋_GB2312"/>
      <w:b/>
      <w:kern w:val="2"/>
      <w:sz w:val="32"/>
      <w:szCs w:val="32"/>
      <w:lang w:bidi="ar-SA"/>
    </w:rPr>
  </w:style>
  <w:style w:type="character" w:customStyle="1" w:styleId="666">
    <w:name w:val="插图说明 Char"/>
    <w:qFormat/>
    <w:uiPriority w:val="0"/>
    <w:rPr>
      <w:rFonts w:eastAsia="黑体"/>
      <w:sz w:val="24"/>
      <w:lang w:val="en-US" w:eastAsia="zh-CN"/>
    </w:rPr>
  </w:style>
  <w:style w:type="character" w:customStyle="1" w:styleId="667">
    <w:name w:val="正文2 Char Char"/>
    <w:link w:val="86"/>
    <w:qFormat/>
    <w:uiPriority w:val="0"/>
    <w:rPr>
      <w:rFonts w:eastAsia="宋体"/>
      <w:kern w:val="2"/>
      <w:sz w:val="24"/>
      <w:lang w:val="en-US" w:eastAsia="zh-CN" w:bidi="ar-SA"/>
    </w:rPr>
  </w:style>
  <w:style w:type="character" w:customStyle="1" w:styleId="668">
    <w:name w:val="Char Char24"/>
    <w:qFormat/>
    <w:uiPriority w:val="6"/>
    <w:rPr>
      <w:kern w:val="1"/>
      <w:sz w:val="21"/>
    </w:rPr>
  </w:style>
  <w:style w:type="character" w:customStyle="1" w:styleId="669">
    <w:name w:val="副标题 Char"/>
    <w:link w:val="47"/>
    <w:qFormat/>
    <w:uiPriority w:val="0"/>
    <w:rPr>
      <w:rFonts w:ascii="Arial" w:hAnsi="Arial" w:eastAsia="隶书"/>
      <w:b/>
      <w:bCs/>
      <w:kern w:val="28"/>
      <w:sz w:val="44"/>
      <w:szCs w:val="32"/>
      <w:lang w:val="en-US" w:eastAsia="zh-CN" w:bidi="ar-SA"/>
    </w:rPr>
  </w:style>
  <w:style w:type="character" w:customStyle="1" w:styleId="670">
    <w:name w:val="普通文字 Char1 Char"/>
    <w:qFormat/>
    <w:uiPriority w:val="0"/>
    <w:rPr>
      <w:rFonts w:ascii="宋体" w:hAnsi="Courier New" w:eastAsia="宋体"/>
      <w:kern w:val="2"/>
      <w:sz w:val="21"/>
      <w:szCs w:val="24"/>
      <w:lang w:val="en-US" w:eastAsia="zh-CN" w:bidi="ar-SA"/>
    </w:rPr>
  </w:style>
  <w:style w:type="character" w:customStyle="1" w:styleId="671">
    <w:name w:val="h3 Char1"/>
    <w:qFormat/>
    <w:uiPriority w:val="0"/>
    <w:rPr>
      <w:rFonts w:eastAsia="宋体"/>
      <w:b/>
      <w:bCs/>
      <w:kern w:val="2"/>
      <w:sz w:val="32"/>
      <w:szCs w:val="32"/>
      <w:lang w:bidi="ar-SA"/>
    </w:rPr>
  </w:style>
  <w:style w:type="character" w:customStyle="1" w:styleId="672">
    <w:name w:val="标题 Char1"/>
    <w:qFormat/>
    <w:uiPriority w:val="0"/>
    <w:rPr>
      <w:rFonts w:ascii="Cambria" w:hAnsi="Cambria" w:eastAsia="宋体" w:cs="Times New Roman"/>
      <w:b/>
      <w:bCs/>
      <w:sz w:val="32"/>
      <w:szCs w:val="32"/>
      <w:lang w:bidi="ar-SA"/>
    </w:rPr>
  </w:style>
  <w:style w:type="character" w:customStyle="1" w:styleId="673">
    <w:name w:val="gf正文1 Char"/>
    <w:qFormat/>
    <w:uiPriority w:val="0"/>
    <w:rPr>
      <w:rFonts w:ascii="宋体" w:hAnsi="宋体" w:eastAsia="宋体" w:cs="宋体"/>
      <w:kern w:val="2"/>
      <w:sz w:val="24"/>
      <w:szCs w:val="24"/>
      <w:lang w:val="en-US" w:eastAsia="zh-CN" w:bidi="ar-SA"/>
    </w:rPr>
  </w:style>
  <w:style w:type="character" w:customStyle="1" w:styleId="674">
    <w:name w:val="正文文本缩进 Char1"/>
    <w:qFormat/>
    <w:uiPriority w:val="0"/>
    <w:rPr>
      <w:rFonts w:ascii="Calibri" w:hAnsi="Calibri"/>
      <w:sz w:val="28"/>
    </w:rPr>
  </w:style>
  <w:style w:type="character" w:customStyle="1" w:styleId="675">
    <w:name w:val="No Spacing Char"/>
    <w:link w:val="87"/>
    <w:qFormat/>
    <w:uiPriority w:val="1"/>
    <w:rPr>
      <w:sz w:val="22"/>
      <w:szCs w:val="22"/>
      <w:lang w:val="en-US" w:eastAsia="zh-CN" w:bidi="ar-SA"/>
    </w:rPr>
  </w:style>
  <w:style w:type="character" w:customStyle="1" w:styleId="676">
    <w:name w:val="样式7 Char"/>
    <w:qFormat/>
    <w:uiPriority w:val="0"/>
    <w:rPr>
      <w:rFonts w:ascii="仿宋_GB2312" w:hAnsi="仿宋" w:eastAsia="仿宋_GB2312"/>
      <w:b/>
      <w:kern w:val="2"/>
      <w:sz w:val="24"/>
      <w:szCs w:val="24"/>
    </w:rPr>
  </w:style>
  <w:style w:type="character" w:customStyle="1" w:styleId="677">
    <w:name w:val="font12gray1"/>
    <w:qFormat/>
    <w:uiPriority w:val="0"/>
    <w:rPr>
      <w:rFonts w:ascii="仿宋_GB2312" w:eastAsia="微软雅黑"/>
      <w:b/>
      <w:spacing w:val="300"/>
      <w:kern w:val="2"/>
      <w:sz w:val="18"/>
      <w:szCs w:val="18"/>
      <w:lang w:val="en-US" w:eastAsia="zh-CN" w:bidi="ar-SA"/>
    </w:rPr>
  </w:style>
  <w:style w:type="character" w:customStyle="1" w:styleId="678">
    <w:name w:val="Char Char7"/>
    <w:semiHidden/>
    <w:qFormat/>
    <w:uiPriority w:val="0"/>
    <w:rPr>
      <w:rFonts w:eastAsia="宋体"/>
      <w:kern w:val="2"/>
      <w:sz w:val="21"/>
      <w:szCs w:val="24"/>
      <w:lang w:val="en-US" w:eastAsia="zh-CN" w:bidi="ar-SA"/>
    </w:rPr>
  </w:style>
  <w:style w:type="character" w:customStyle="1" w:styleId="679">
    <w:name w:val="表名 Char"/>
    <w:qFormat/>
    <w:uiPriority w:val="0"/>
    <w:rPr>
      <w:rFonts w:eastAsia="宋体"/>
      <w:b/>
      <w:bCs/>
      <w:kern w:val="2"/>
      <w:sz w:val="24"/>
      <w:szCs w:val="24"/>
      <w:lang w:val="en-US" w:eastAsia="zh-CN" w:bidi="ar-SA"/>
    </w:rPr>
  </w:style>
  <w:style w:type="character" w:customStyle="1" w:styleId="680">
    <w:name w:val="Document Map Char"/>
    <w:qFormat/>
    <w:locked/>
    <w:uiPriority w:val="0"/>
    <w:rPr>
      <w:rFonts w:eastAsia="宋体"/>
      <w:kern w:val="2"/>
      <w:sz w:val="21"/>
      <w:szCs w:val="24"/>
      <w:lang w:val="en-US" w:eastAsia="zh-CN" w:bidi="ar-SA"/>
    </w:rPr>
  </w:style>
  <w:style w:type="character" w:customStyle="1" w:styleId="681">
    <w:name w:val="font41"/>
    <w:qFormat/>
    <w:uiPriority w:val="0"/>
    <w:rPr>
      <w:rFonts w:hint="eastAsia" w:ascii="仿宋_GB2312" w:eastAsia="仿宋_GB2312" w:cs="仿宋_GB2312"/>
      <w:color w:val="000000"/>
      <w:sz w:val="22"/>
      <w:szCs w:val="22"/>
      <w:u w:val="none"/>
    </w:rPr>
  </w:style>
  <w:style w:type="character" w:customStyle="1" w:styleId="682">
    <w:name w:val="标题 6 Char"/>
    <w:link w:val="8"/>
    <w:qFormat/>
    <w:uiPriority w:val="0"/>
    <w:rPr>
      <w:rFonts w:ascii="Arial" w:hAnsi="Arial" w:eastAsia="黑体"/>
      <w:b/>
      <w:bCs/>
      <w:kern w:val="2"/>
      <w:sz w:val="24"/>
      <w:szCs w:val="24"/>
    </w:rPr>
  </w:style>
  <w:style w:type="character" w:customStyle="1" w:styleId="683">
    <w:name w:val="纯文本 Char_0"/>
    <w:link w:val="88"/>
    <w:qFormat/>
    <w:uiPriority w:val="0"/>
    <w:rPr>
      <w:rFonts w:ascii="宋体" w:hAnsi="Courier New"/>
      <w:kern w:val="2"/>
      <w:sz w:val="21"/>
      <w:szCs w:val="21"/>
      <w:lang w:val="en-US" w:eastAsia="zh-CN"/>
    </w:rPr>
  </w:style>
  <w:style w:type="character" w:customStyle="1" w:styleId="684">
    <w:name w:val="Balloon Text Char"/>
    <w:qFormat/>
    <w:locked/>
    <w:uiPriority w:val="0"/>
    <w:rPr>
      <w:rFonts w:eastAsia="宋体"/>
      <w:kern w:val="2"/>
      <w:sz w:val="18"/>
      <w:szCs w:val="18"/>
      <w:lang w:val="en-US" w:eastAsia="zh-CN" w:bidi="ar-SA"/>
    </w:rPr>
  </w:style>
  <w:style w:type="character" w:customStyle="1" w:styleId="685">
    <w:name w:val="正文 项目2 Char"/>
    <w:basedOn w:val="686"/>
    <w:qFormat/>
    <w:uiPriority w:val="0"/>
    <w:rPr>
      <w:rFonts w:ascii="仿宋_GB2312" w:hAnsi="仿宋_GB2312" w:eastAsia="仿宋_GB2312"/>
      <w:kern w:val="2"/>
      <w:sz w:val="24"/>
      <w:lang w:bidi="ar-SA"/>
    </w:rPr>
  </w:style>
  <w:style w:type="character" w:customStyle="1" w:styleId="686">
    <w:name w:val="正文 项目 Char"/>
    <w:qFormat/>
    <w:uiPriority w:val="0"/>
    <w:rPr>
      <w:rFonts w:ascii="仿宋_GB2312" w:hAnsi="仿宋_GB2312" w:eastAsia="仿宋_GB2312"/>
      <w:kern w:val="2"/>
      <w:sz w:val="24"/>
      <w:lang w:bidi="ar-SA"/>
    </w:rPr>
  </w:style>
  <w:style w:type="character" w:customStyle="1" w:styleId="687">
    <w:name w:val="h Char Char1"/>
    <w:qFormat/>
    <w:uiPriority w:val="0"/>
    <w:rPr>
      <w:rFonts w:eastAsia="宋体"/>
      <w:kern w:val="2"/>
      <w:sz w:val="18"/>
      <w:szCs w:val="18"/>
      <w:lang w:val="en-US" w:eastAsia="zh-CN" w:bidi="ar-SA"/>
    </w:rPr>
  </w:style>
  <w:style w:type="character" w:customStyle="1" w:styleId="688">
    <w:name w:val="Char Char27"/>
    <w:qFormat/>
    <w:uiPriority w:val="6"/>
    <w:rPr>
      <w:rFonts w:ascii="宋体" w:hAnsi="宋体" w:eastAsia="宋体"/>
      <w:color w:val="000000"/>
      <w:kern w:val="1"/>
      <w:sz w:val="28"/>
      <w:lang w:val="en-US" w:eastAsia="zh-CN" w:bidi="ar-SA"/>
    </w:rPr>
  </w:style>
  <w:style w:type="character" w:customStyle="1" w:styleId="689">
    <w:name w:val="px14"/>
    <w:qFormat/>
    <w:uiPriority w:val="0"/>
    <w:rPr>
      <w:rFonts w:ascii="仿宋_GB2312" w:eastAsia="微软雅黑" w:cs="Times New Roman"/>
      <w:b/>
      <w:kern w:val="2"/>
      <w:sz w:val="32"/>
      <w:szCs w:val="32"/>
      <w:lang w:val="en-US" w:eastAsia="zh-CN" w:bidi="ar-SA"/>
    </w:rPr>
  </w:style>
  <w:style w:type="character" w:customStyle="1" w:styleId="690">
    <w:name w:val="HTML 预设格式 Char1"/>
    <w:qFormat/>
    <w:uiPriority w:val="0"/>
    <w:rPr>
      <w:rFonts w:ascii="Courier New" w:hAnsi="Courier New" w:eastAsia="宋体" w:cs="Courier New"/>
      <w:sz w:val="20"/>
      <w:szCs w:val="20"/>
    </w:rPr>
  </w:style>
  <w:style w:type="character" w:customStyle="1" w:styleId="691">
    <w:name w:val="普通文字 Char1"/>
    <w:qFormat/>
    <w:uiPriority w:val="0"/>
    <w:rPr>
      <w:rFonts w:ascii="宋体" w:hAnsi="Courier New" w:eastAsia="宋体"/>
      <w:kern w:val="2"/>
      <w:sz w:val="21"/>
      <w:lang w:val="en-US" w:eastAsia="zh-CN"/>
    </w:rPr>
  </w:style>
  <w:style w:type="character" w:customStyle="1" w:styleId="692">
    <w:name w:val="hei16b1"/>
    <w:qFormat/>
    <w:uiPriority w:val="0"/>
    <w:rPr>
      <w:rFonts w:hint="default" w:ascii="Arial" w:hAnsi="Arial" w:cs="Arial"/>
      <w:b/>
      <w:bCs/>
      <w:color w:val="000000"/>
      <w:sz w:val="24"/>
      <w:szCs w:val="24"/>
    </w:rPr>
  </w:style>
  <w:style w:type="character" w:customStyle="1" w:styleId="693">
    <w:name w:val="正文（绿盟科技） Char"/>
    <w:link w:val="90"/>
    <w:qFormat/>
    <w:uiPriority w:val="0"/>
    <w:rPr>
      <w:rFonts w:ascii="Arial" w:hAnsi="Arial"/>
      <w:sz w:val="21"/>
      <w:szCs w:val="21"/>
    </w:rPr>
  </w:style>
  <w:style w:type="character" w:customStyle="1" w:styleId="694">
    <w:name w:val="Char Char19"/>
    <w:qFormat/>
    <w:uiPriority w:val="6"/>
    <w:rPr>
      <w:rFonts w:ascii="宋体" w:hAnsi="宋体"/>
      <w:i/>
      <w:sz w:val="24"/>
      <w:szCs w:val="24"/>
    </w:rPr>
  </w:style>
  <w:style w:type="character" w:customStyle="1" w:styleId="695">
    <w:name w:val="页脚 Char"/>
    <w:qFormat/>
    <w:uiPriority w:val="0"/>
    <w:rPr>
      <w:rFonts w:eastAsia="仿宋_GB2312"/>
      <w:kern w:val="2"/>
      <w:sz w:val="18"/>
      <w:lang w:val="en-US" w:eastAsia="zh-CN"/>
    </w:rPr>
  </w:style>
  <w:style w:type="character" w:customStyle="1" w:styleId="696">
    <w:name w:val="批注主题 Char"/>
    <w:qFormat/>
    <w:uiPriority w:val="0"/>
    <w:rPr>
      <w:rFonts w:eastAsia="宋体"/>
      <w:b/>
      <w:bCs/>
      <w:kern w:val="2"/>
      <w:sz w:val="21"/>
      <w:szCs w:val="24"/>
      <w:lang w:val="en-US" w:eastAsia="zh-CN" w:bidi="ar-SA"/>
    </w:rPr>
  </w:style>
  <w:style w:type="character" w:customStyle="1" w:styleId="697">
    <w:name w:val="Comment Text Char"/>
    <w:qFormat/>
    <w:locked/>
    <w:uiPriority w:val="0"/>
    <w:rPr>
      <w:rFonts w:ascii="宋体" w:hAnsi="宋体" w:eastAsia="宋体"/>
      <w:kern w:val="2"/>
      <w:sz w:val="24"/>
      <w:lang w:val="en-US" w:eastAsia="zh-CN" w:bidi="ar-SA"/>
    </w:rPr>
  </w:style>
  <w:style w:type="character" w:customStyle="1" w:styleId="698">
    <w:name w:val="标题 2 字符"/>
    <w:qFormat/>
    <w:uiPriority w:val="1"/>
    <w:rPr>
      <w:rFonts w:ascii="仿宋_GB2312" w:hAnsi="Times New Roman" w:eastAsia="仿宋_GB2312" w:cs="Times New Roman"/>
      <w:b/>
      <w:kern w:val="2"/>
      <w:sz w:val="24"/>
      <w:lang w:val="zh-CN"/>
    </w:rPr>
  </w:style>
  <w:style w:type="character" w:customStyle="1" w:styleId="699">
    <w:name w:val="Char Char72"/>
    <w:qFormat/>
    <w:uiPriority w:val="0"/>
    <w:rPr>
      <w:rFonts w:eastAsia="宋体"/>
      <w:kern w:val="2"/>
      <w:sz w:val="21"/>
      <w:szCs w:val="24"/>
      <w:lang w:val="en-US" w:eastAsia="zh-CN" w:bidi="ar-SA"/>
    </w:rPr>
  </w:style>
  <w:style w:type="character" w:customStyle="1" w:styleId="700">
    <w:name w:val="正文文本缩进 Char2"/>
    <w:qFormat/>
    <w:uiPriority w:val="0"/>
    <w:rPr>
      <w:rFonts w:ascii="Times New Roman" w:hAnsi="Times New Roman" w:eastAsia="宋体" w:cs="Times New Roman"/>
      <w:snapToGrid w:val="0"/>
      <w:kern w:val="0"/>
      <w:szCs w:val="24"/>
    </w:rPr>
  </w:style>
  <w:style w:type="character" w:customStyle="1" w:styleId="701">
    <w:name w:val="样式2 Char"/>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1"/>
    <w:qFormat/>
    <w:uiPriority w:val="0"/>
    <w:rPr>
      <w:sz w:val="32"/>
    </w:rPr>
  </w:style>
  <w:style w:type="character" w:customStyle="1" w:styleId="703">
    <w:name w:val="Char Char4"/>
    <w:qFormat/>
    <w:uiPriority w:val="0"/>
    <w:rPr>
      <w:rFonts w:eastAsia="宋体"/>
      <w:b/>
      <w:sz w:val="24"/>
      <w:lang w:eastAsia="zh-CN" w:bidi="ar-SA"/>
    </w:rPr>
  </w:style>
  <w:style w:type="character" w:customStyle="1" w:styleId="704">
    <w:name w:val="c7 style3"/>
    <w:qFormat/>
    <w:uiPriority w:val="0"/>
  </w:style>
  <w:style w:type="character" w:customStyle="1" w:styleId="705">
    <w:name w:val="正文文本 3 Char1"/>
    <w:semiHidden/>
    <w:qFormat/>
    <w:uiPriority w:val="99"/>
    <w:rPr>
      <w:rFonts w:ascii="Times New Roman" w:hAnsi="Times New Roman" w:eastAsia="宋体" w:cs="Times New Roman"/>
      <w:sz w:val="16"/>
      <w:szCs w:val="16"/>
    </w:rPr>
  </w:style>
  <w:style w:type="character" w:customStyle="1" w:styleId="706">
    <w:name w:val="tw4winInternal"/>
    <w:qFormat/>
    <w:uiPriority w:val="0"/>
    <w:rPr>
      <w:rFonts w:ascii="Courier New" w:hAnsi="Courier New" w:cs="Courier New"/>
      <w:color w:val="FF0000"/>
      <w:lang w:val="en-US" w:eastAsia="zh-CN"/>
    </w:rPr>
  </w:style>
  <w:style w:type="character" w:customStyle="1" w:styleId="707">
    <w:name w:val="Char Char10"/>
    <w:semiHidden/>
    <w:qFormat/>
    <w:uiPriority w:val="0"/>
    <w:rPr>
      <w:rFonts w:ascii="宋体" w:hAnsi="宋体"/>
      <w:kern w:val="2"/>
      <w:sz w:val="21"/>
      <w:szCs w:val="24"/>
      <w:lang w:val="en-US" w:eastAsia="zh-CN"/>
    </w:rPr>
  </w:style>
  <w:style w:type="character" w:customStyle="1" w:styleId="708">
    <w:name w:val="shadow11"/>
    <w:qFormat/>
    <w:uiPriority w:val="0"/>
    <w:rPr>
      <w:color w:val="000000"/>
      <w:sz w:val="21"/>
    </w:rPr>
  </w:style>
  <w:style w:type="character" w:customStyle="1" w:styleId="709">
    <w:name w:val="正文非缩进 Char3"/>
    <w:qFormat/>
    <w:uiPriority w:val="0"/>
    <w:rPr>
      <w:rFonts w:ascii="宋体" w:eastAsia="宋体"/>
      <w:snapToGrid w:val="0"/>
      <w:color w:val="000000"/>
      <w:kern w:val="28"/>
      <w:sz w:val="28"/>
      <w:lang w:val="en-US" w:eastAsia="zh-CN" w:bidi="ar-SA"/>
    </w:rPr>
  </w:style>
  <w:style w:type="character" w:customStyle="1" w:styleId="710">
    <w:name w:val="Char Char"/>
    <w:qFormat/>
    <w:uiPriority w:val="0"/>
    <w:rPr>
      <w:rFonts w:ascii="宋体" w:hAnsi="Courier New" w:eastAsia="宋体"/>
      <w:kern w:val="2"/>
      <w:sz w:val="21"/>
      <w:lang w:val="en-US" w:eastAsia="zh-CN" w:bidi="ar-SA"/>
    </w:rPr>
  </w:style>
  <w:style w:type="character" w:customStyle="1" w:styleId="711">
    <w:name w:val="签名 Char1"/>
    <w:qFormat/>
    <w:uiPriority w:val="0"/>
    <w:rPr>
      <w:rFonts w:ascii="Times New Roman" w:hAnsi="Times New Roman" w:eastAsia="宋体" w:cs="Times New Roman"/>
      <w:szCs w:val="24"/>
    </w:rPr>
  </w:style>
  <w:style w:type="character" w:customStyle="1" w:styleId="712">
    <w:name w:val="日期 Char"/>
    <w:link w:val="36"/>
    <w:qFormat/>
    <w:uiPriority w:val="0"/>
    <w:rPr>
      <w:rFonts w:ascii="宋体"/>
      <w:kern w:val="2"/>
      <w:sz w:val="24"/>
      <w:szCs w:val="21"/>
      <w:lang w:val="zh-CN"/>
    </w:rPr>
  </w:style>
  <w:style w:type="character" w:customStyle="1" w:styleId="713">
    <w:name w:val="标题 9 Char"/>
    <w:link w:val="11"/>
    <w:qFormat/>
    <w:uiPriority w:val="0"/>
    <w:rPr>
      <w:rFonts w:ascii="Arial" w:hAnsi="Arial" w:eastAsia="黑体"/>
      <w:kern w:val="2"/>
      <w:sz w:val="21"/>
      <w:szCs w:val="21"/>
    </w:rPr>
  </w:style>
  <w:style w:type="character" w:customStyle="1" w:styleId="714">
    <w:name w:val="Char Char18"/>
    <w:qFormat/>
    <w:uiPriority w:val="6"/>
    <w:rPr>
      <w:rFonts w:ascii="宋体" w:hAnsi="宋体"/>
      <w:sz w:val="28"/>
    </w:rPr>
  </w:style>
  <w:style w:type="character" w:customStyle="1" w:styleId="715">
    <w:name w:val="批注文字 Char"/>
    <w:qFormat/>
    <w:uiPriority w:val="99"/>
    <w:rPr>
      <w:kern w:val="2"/>
      <w:sz w:val="21"/>
      <w:szCs w:val="24"/>
    </w:rPr>
  </w:style>
  <w:style w:type="character" w:customStyle="1" w:styleId="716">
    <w:name w:val="Char Char22"/>
    <w:qFormat/>
    <w:uiPriority w:val="6"/>
    <w:rPr>
      <w:rFonts w:ascii="宋体" w:hAnsi="宋体"/>
      <w:kern w:val="1"/>
      <w:sz w:val="24"/>
      <w:szCs w:val="24"/>
    </w:rPr>
  </w:style>
  <w:style w:type="character" w:customStyle="1" w:styleId="717">
    <w:name w:val="pt141"/>
    <w:qFormat/>
    <w:uiPriority w:val="0"/>
    <w:rPr>
      <w:color w:val="330066"/>
      <w:sz w:val="22"/>
      <w:szCs w:val="22"/>
    </w:rPr>
  </w:style>
  <w:style w:type="character" w:customStyle="1" w:styleId="718">
    <w:name w:val="正文文本缩进 2 Char1"/>
    <w:semiHidden/>
    <w:qFormat/>
    <w:uiPriority w:val="99"/>
    <w:rPr>
      <w:rFonts w:ascii="Times New Roman" w:hAnsi="Times New Roman" w:eastAsia="宋体" w:cs="Times New Roman"/>
      <w:szCs w:val="24"/>
    </w:rPr>
  </w:style>
  <w:style w:type="character" w:customStyle="1" w:styleId="719">
    <w:name w:val="批注框文本 Char"/>
    <w:link w:val="39"/>
    <w:qFormat/>
    <w:uiPriority w:val="0"/>
    <w:rPr>
      <w:kern w:val="2"/>
      <w:sz w:val="18"/>
      <w:szCs w:val="18"/>
    </w:rPr>
  </w:style>
  <w:style w:type="character" w:customStyle="1" w:styleId="720">
    <w:name w:val="Char Char611"/>
    <w:qFormat/>
    <w:uiPriority w:val="0"/>
    <w:rPr>
      <w:rFonts w:eastAsia="宋体"/>
      <w:kern w:val="2"/>
      <w:sz w:val="21"/>
      <w:szCs w:val="24"/>
      <w:lang w:val="en-US" w:eastAsia="zh-CN" w:bidi="ar-SA"/>
    </w:rPr>
  </w:style>
  <w:style w:type="character" w:customStyle="1" w:styleId="721">
    <w:name w:val="highlight1"/>
    <w:qFormat/>
    <w:uiPriority w:val="0"/>
    <w:rPr>
      <w:rFonts w:ascii="仿宋_GB2312" w:eastAsia="微软雅黑"/>
      <w:b/>
      <w:kern w:val="2"/>
      <w:sz w:val="23"/>
      <w:szCs w:val="23"/>
      <w:lang w:val="en-US" w:eastAsia="zh-CN" w:bidi="ar-SA"/>
    </w:rPr>
  </w:style>
  <w:style w:type="character" w:customStyle="1" w:styleId="722">
    <w:name w:val="my正文 Char"/>
    <w:link w:val="92"/>
    <w:qFormat/>
    <w:locked/>
    <w:uiPriority w:val="0"/>
    <w:rPr>
      <w:rFonts w:ascii="Tahoma" w:hAnsi="Tahoma"/>
      <w:sz w:val="24"/>
      <w:szCs w:val="24"/>
    </w:rPr>
  </w:style>
  <w:style w:type="character" w:customStyle="1" w:styleId="723">
    <w:name w:val="正文缩进 Char2"/>
    <w:link w:val="5"/>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qFormat/>
    <w:uiPriority w:val="0"/>
    <w:rPr>
      <w:color w:val="0000FF"/>
      <w:sz w:val="21"/>
    </w:rPr>
  </w:style>
  <w:style w:type="character" w:customStyle="1" w:styleId="725">
    <w:name w:val="页眉 Char"/>
    <w:qFormat/>
    <w:uiPriority w:val="0"/>
    <w:rPr>
      <w:rFonts w:eastAsia="仿宋_GB2312"/>
      <w:kern w:val="2"/>
      <w:sz w:val="18"/>
      <w:lang w:val="en-US" w:eastAsia="zh-CN"/>
    </w:rPr>
  </w:style>
  <w:style w:type="character" w:customStyle="1" w:styleId="726">
    <w:name w:val="FA正文 Char Char"/>
    <w:qFormat/>
    <w:uiPriority w:val="0"/>
    <w:rPr>
      <w:rFonts w:hAnsi="宋体"/>
      <w:kern w:val="2"/>
      <w:sz w:val="24"/>
      <w:lang w:bidi="ar-SA"/>
    </w:rPr>
  </w:style>
  <w:style w:type="character" w:customStyle="1" w:styleId="727">
    <w:name w:val="纯文本 字符"/>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93"/>
    <w:qFormat/>
    <w:uiPriority w:val="0"/>
    <w:rPr>
      <w:rFonts w:ascii="宋体" w:hAnsi="宋体"/>
      <w:b/>
      <w:bCs/>
      <w:sz w:val="28"/>
    </w:rPr>
  </w:style>
  <w:style w:type="character" w:customStyle="1" w:styleId="729">
    <w:name w:val="myp11"/>
    <w:qFormat/>
    <w:uiPriority w:val="0"/>
    <w:rPr>
      <w:rFonts w:ascii="仿宋_GB2312" w:eastAsia="微软雅黑"/>
      <w:b/>
      <w:kern w:val="2"/>
      <w:sz w:val="32"/>
      <w:szCs w:val="32"/>
      <w:lang w:val="en-US" w:eastAsia="zh-CN" w:bidi="ar-SA"/>
    </w:rPr>
  </w:style>
  <w:style w:type="character" w:customStyle="1" w:styleId="730">
    <w:name w:val="文档结构图 Char1"/>
    <w:link w:val="18"/>
    <w:qFormat/>
    <w:uiPriority w:val="0"/>
    <w:rPr>
      <w:kern w:val="2"/>
      <w:sz w:val="21"/>
      <w:szCs w:val="24"/>
      <w:shd w:val="clear" w:color="auto" w:fill="000080"/>
    </w:rPr>
  </w:style>
  <w:style w:type="character" w:customStyle="1" w:styleId="731">
    <w:name w:val="H6 Char"/>
    <w:qFormat/>
    <w:uiPriority w:val="0"/>
    <w:rPr>
      <w:rFonts w:ascii="Arial" w:hAnsi="Arial" w:eastAsia="黑体"/>
      <w:b/>
      <w:bCs/>
      <w:kern w:val="2"/>
      <w:sz w:val="24"/>
      <w:szCs w:val="24"/>
    </w:rPr>
  </w:style>
  <w:style w:type="character" w:customStyle="1" w:styleId="732">
    <w:name w:val="Char Char91"/>
    <w:qFormat/>
    <w:uiPriority w:val="0"/>
    <w:rPr>
      <w:rFonts w:eastAsia="宋体"/>
      <w:kern w:val="2"/>
      <w:sz w:val="18"/>
      <w:szCs w:val="18"/>
      <w:lang w:val="en-US" w:eastAsia="zh-CN" w:bidi="ar-SA"/>
    </w:rPr>
  </w:style>
  <w:style w:type="character" w:customStyle="1" w:styleId="733">
    <w:name w:val="副标题 Char1"/>
    <w:qFormat/>
    <w:uiPriority w:val="0"/>
    <w:rPr>
      <w:rFonts w:ascii="Cambria" w:hAnsi="Cambria" w:eastAsia="宋体" w:cs="Times New Roman"/>
      <w:b/>
      <w:bCs/>
      <w:snapToGrid w:val="0"/>
      <w:kern w:val="28"/>
      <w:sz w:val="32"/>
      <w:szCs w:val="32"/>
    </w:rPr>
  </w:style>
  <w:style w:type="character" w:customStyle="1" w:styleId="734">
    <w:name w:val="font61"/>
    <w:qFormat/>
    <w:uiPriority w:val="0"/>
    <w:rPr>
      <w:rFonts w:hint="eastAsia" w:ascii="仿宋" w:hAnsi="仿宋" w:eastAsia="仿宋" w:cs="仿宋"/>
      <w:color w:val="000000"/>
      <w:sz w:val="20"/>
      <w:szCs w:val="20"/>
      <w:u w:val="none"/>
    </w:rPr>
  </w:style>
  <w:style w:type="character" w:customStyle="1" w:styleId="7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qFormat/>
    <w:uiPriority w:val="0"/>
    <w:rPr>
      <w:rFonts w:eastAsia="宋体"/>
      <w:b/>
      <w:bCs/>
      <w:kern w:val="2"/>
      <w:sz w:val="21"/>
      <w:szCs w:val="24"/>
      <w:lang w:val="en-US" w:eastAsia="zh-CN" w:bidi="ar-SA"/>
    </w:rPr>
  </w:style>
  <w:style w:type="character" w:customStyle="1" w:styleId="737">
    <w:name w:val="标题 2 Char"/>
    <w:qFormat/>
    <w:uiPriority w:val="0"/>
    <w:rPr>
      <w:rFonts w:ascii="Arial" w:hAnsi="Arial" w:eastAsia="黑体"/>
      <w:b/>
      <w:kern w:val="2"/>
      <w:sz w:val="32"/>
      <w:lang w:val="en-US" w:eastAsia="zh-CN"/>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70"/>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1"/>
    <w:qFormat/>
    <w:uiPriority w:val="0"/>
    <w:rPr>
      <w:rFonts w:ascii="仿宋_GB2312" w:hAnsi="仿宋" w:eastAsia="仿宋_GB2312" w:cs="仿宋_GB2312"/>
      <w:sz w:val="32"/>
      <w:szCs w:val="30"/>
      <w:lang w:val="zh-CN"/>
    </w:rPr>
  </w:style>
  <w:style w:type="character" w:customStyle="1" w:styleId="747">
    <w:name w:val="HTML 地址 Char"/>
    <w:link w:val="30"/>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95"/>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96"/>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Char"/>
    <w:link w:val="16"/>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97"/>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98"/>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99"/>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100"/>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Char3"/>
    <w:link w:val="24"/>
    <w:qFormat/>
    <w:uiPriority w:val="0"/>
    <w:rPr>
      <w:rFonts w:ascii="宋体" w:hAnsi="宋体"/>
      <w:kern w:val="2"/>
      <w:sz w:val="24"/>
      <w:szCs w:val="24"/>
    </w:rPr>
  </w:style>
  <w:style w:type="character" w:customStyle="1" w:styleId="787">
    <w:name w:val="font01"/>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qFormat/>
    <w:uiPriority w:val="6"/>
    <w:rPr>
      <w:color w:val="0000FF"/>
      <w:sz w:val="21"/>
    </w:rPr>
  </w:style>
  <w:style w:type="character" w:customStyle="1" w:styleId="796">
    <w:name w:val="批注框文本 字符"/>
    <w:qFormat/>
    <w:uiPriority w:val="0"/>
    <w:rPr>
      <w:rFonts w:ascii="Arial" w:hAnsi="Arial" w:eastAsia="黑体" w:cs="Arial"/>
      <w:snapToGrid w:val="0"/>
      <w:kern w:val="0"/>
      <w:sz w:val="18"/>
      <w:szCs w:val="18"/>
    </w:rPr>
  </w:style>
  <w:style w:type="character" w:customStyle="1" w:styleId="797">
    <w:name w:val="纯文本 Char2"/>
    <w:semiHidden/>
    <w:qFormat/>
    <w:uiPriority w:val="99"/>
    <w:rPr>
      <w:rFonts w:ascii="宋体" w:hAnsi="Courier New" w:eastAsia="宋体" w:cs="Courier New"/>
    </w:rPr>
  </w:style>
  <w:style w:type="character" w:customStyle="1" w:styleId="798">
    <w:name w:val="Char Char25"/>
    <w:qFormat/>
    <w:uiPriority w:val="6"/>
    <w:rPr>
      <w:rFonts w:ascii="宋体" w:hAnsi="宋体"/>
      <w:kern w:val="1"/>
      <w:sz w:val="24"/>
      <w:lang w:val="zh-CN"/>
    </w:rPr>
  </w:style>
  <w:style w:type="character" w:customStyle="1" w:styleId="799">
    <w:name w:val="Char Char411"/>
    <w:qFormat/>
    <w:uiPriority w:val="0"/>
    <w:rPr>
      <w:rFonts w:eastAsia="宋体"/>
      <w:b/>
      <w:sz w:val="24"/>
      <w:lang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此正文 Char"/>
    <w:link w:val="102"/>
    <w:qFormat/>
    <w:uiPriority w:val="0"/>
    <w:rPr>
      <w:kern w:val="2"/>
      <w:sz w:val="24"/>
      <w:szCs w:val="24"/>
    </w:rPr>
  </w:style>
  <w:style w:type="character" w:customStyle="1" w:styleId="802">
    <w:name w:val="Char Char2"/>
    <w:qFormat/>
    <w:uiPriority w:val="0"/>
    <w:rPr>
      <w:rFonts w:eastAsia="宋体"/>
      <w:b/>
      <w:bCs/>
      <w:kern w:val="2"/>
      <w:sz w:val="21"/>
      <w:szCs w:val="24"/>
      <w:lang w:val="en-US" w:eastAsia="zh-CN" w:bidi="ar-SA"/>
    </w:rPr>
  </w:style>
  <w:style w:type="character" w:customStyle="1" w:styleId="803">
    <w:name w:val="标题 1 Char"/>
    <w:link w:val="2"/>
    <w:qFormat/>
    <w:uiPriority w:val="9"/>
    <w:rPr>
      <w:b/>
      <w:bCs/>
      <w:kern w:val="44"/>
      <w:sz w:val="44"/>
      <w:szCs w:val="44"/>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Char2"/>
    <w:link w:val="59"/>
    <w:qFormat/>
    <w:uiPriority w:val="10"/>
    <w:rPr>
      <w:b/>
      <w:sz w:val="24"/>
    </w:rPr>
  </w:style>
  <w:style w:type="character" w:customStyle="1" w:styleId="807">
    <w:name w:val="font81"/>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Char"/>
    <w:link w:val="7"/>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Char"/>
    <w:link w:val="20"/>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Char"/>
    <w:link w:val="57"/>
    <w:qFormat/>
    <w:uiPriority w:val="0"/>
    <w:rPr>
      <w:rFonts w:ascii="黑体" w:hAnsi="Courier New" w:eastAsia="黑体"/>
    </w:rPr>
  </w:style>
  <w:style w:type="character" w:customStyle="1" w:styleId="822">
    <w:name w:val="正文文本 2 Char1"/>
    <w:link w:val="56"/>
    <w:qFormat/>
    <w:uiPriority w:val="0"/>
    <w:rPr>
      <w:kern w:val="2"/>
      <w:sz w:val="21"/>
      <w:szCs w:val="24"/>
    </w:rPr>
  </w:style>
  <w:style w:type="character" w:customStyle="1" w:styleId="823">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Char"/>
    <w:link w:val="9"/>
    <w:qFormat/>
    <w:uiPriority w:val="0"/>
    <w:rPr>
      <w:b/>
      <w:bCs/>
      <w:kern w:val="2"/>
      <w:sz w:val="24"/>
      <w:szCs w:val="24"/>
    </w:rPr>
  </w:style>
  <w:style w:type="character" w:customStyle="1" w:styleId="826">
    <w:name w:val="正文文本缩进 2 Char"/>
    <w:link w:val="37"/>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Char"/>
    <w:link w:val="50"/>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basedOn w:val="70"/>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05"/>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06"/>
    <w:qFormat/>
    <w:uiPriority w:val="0"/>
    <w:rPr>
      <w:rFonts w:ascii="宋体" w:hAnsi="Courier New"/>
    </w:rPr>
  </w:style>
  <w:style w:type="character" w:customStyle="1" w:styleId="837">
    <w:name w:val="正文首行缩进 Char"/>
    <w:link w:val="61"/>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Char2"/>
    <w:link w:val="6"/>
    <w:qFormat/>
    <w:uiPriority w:val="9"/>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Char"/>
    <w:link w:val="21"/>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07"/>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08"/>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Char1"/>
    <w:link w:val="19"/>
    <w:qFormat/>
    <w:uiPriority w:val="99"/>
    <w:rPr>
      <w:kern w:val="2"/>
      <w:sz w:val="21"/>
      <w:szCs w:val="24"/>
    </w:rPr>
  </w:style>
  <w:style w:type="character" w:customStyle="1" w:styleId="859">
    <w:name w:val="签名 Char"/>
    <w:link w:val="42"/>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标题 4 字符"/>
    <w:qFormat/>
    <w:uiPriority w:val="9"/>
    <w:rPr>
      <w:rFonts w:ascii="等线 Light" w:hAnsi="等线 Light" w:eastAsia="等线 Light" w:cs="Times New Roman"/>
      <w:b/>
      <w:bCs/>
      <w:snapToGrid w:val="0"/>
      <w:kern w:val="0"/>
      <w:sz w:val="28"/>
      <w:szCs w:val="28"/>
    </w:rPr>
  </w:style>
  <w:style w:type="character" w:customStyle="1" w:styleId="863">
    <w:name w:val="Char Char37"/>
    <w:qFormat/>
    <w:uiPriority w:val="6"/>
    <w:rPr>
      <w:b/>
      <w:kern w:val="1"/>
      <w:sz w:val="44"/>
      <w:szCs w:val="44"/>
    </w:rPr>
  </w:style>
  <w:style w:type="character" w:customStyle="1" w:styleId="864">
    <w:name w:val="列出段落 Char"/>
    <w:qFormat/>
    <w:uiPriority w:val="0"/>
    <w:rPr>
      <w:rFonts w:eastAsia="楷体_GB2312" w:cs="Lucida Sans"/>
      <w:kern w:val="2"/>
      <w:sz w:val="24"/>
      <w:szCs w:val="24"/>
      <w:lang w:val="en-US" w:eastAsia="zh-CN" w:bidi="ar-SA"/>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09"/>
    <w:qFormat/>
    <w:uiPriority w:val="0"/>
    <w:rPr>
      <w:rFonts w:ascii="仿宋_GB2312" w:eastAsia="仿宋_GB2312"/>
      <w:kern w:val="2"/>
      <w:sz w:val="24"/>
      <w:szCs w:val="24"/>
    </w:rPr>
  </w:style>
  <w:style w:type="character" w:customStyle="1" w:styleId="867">
    <w:name w:val="Table Text Char1"/>
    <w:qFormat/>
    <w:uiPriority w:val="0"/>
    <w:rPr>
      <w:rFonts w:eastAsia="宋体"/>
      <w:sz w:val="24"/>
      <w:szCs w:val="24"/>
      <w:lang w:val="en-US" w:eastAsia="zh-CN" w:bidi="ar-SA"/>
    </w:rPr>
  </w:style>
  <w:style w:type="character" w:customStyle="1" w:styleId="868">
    <w:name w:val="标题 1 Char Char"/>
    <w:qFormat/>
    <w:uiPriority w:val="0"/>
    <w:rPr>
      <w:rFonts w:hint="eastAsia" w:ascii="宋体" w:hAnsi="宋体" w:eastAsia="宋体"/>
      <w:b/>
      <w:spacing w:val="-2"/>
      <w:sz w:val="24"/>
      <w:lang w:val="en-US" w:eastAsia="zh-CN" w:bidi="ar-SA"/>
    </w:rPr>
  </w:style>
  <w:style w:type="character" w:customStyle="1" w:styleId="869">
    <w:name w:val="正文（缩进2汉字） Char"/>
    <w:link w:val="110"/>
    <w:qFormat/>
    <w:uiPriority w:val="0"/>
    <w:rPr>
      <w:rFonts w:ascii="宋体"/>
    </w:rPr>
  </w:style>
  <w:style w:type="character" w:customStyle="1" w:styleId="870">
    <w:name w:val="标题 8 Char"/>
    <w:link w:val="10"/>
    <w:qFormat/>
    <w:uiPriority w:val="0"/>
    <w:rPr>
      <w:rFonts w:ascii="Arial" w:hAnsi="Arial" w:eastAsia="黑体"/>
      <w:kern w:val="2"/>
      <w:sz w:val="24"/>
      <w:szCs w:val="24"/>
    </w:rPr>
  </w:style>
  <w:style w:type="character" w:customStyle="1" w:styleId="871">
    <w:name w:val="标书表格字体格式 Char"/>
    <w:qFormat/>
    <w:uiPriority w:val="0"/>
    <w:rPr>
      <w:kern w:val="2"/>
      <w:sz w:val="21"/>
      <w:szCs w:val="24"/>
      <w:lang w:bidi="ar-SA"/>
    </w:rPr>
  </w:style>
  <w:style w:type="character" w:customStyle="1" w:styleId="872">
    <w:name w:val="tw4winError"/>
    <w:qFormat/>
    <w:uiPriority w:val="0"/>
    <w:rPr>
      <w:rFonts w:ascii="Courier New" w:hAnsi="Courier New" w:cs="Courier New"/>
      <w:color w:val="00FF00"/>
      <w:sz w:val="40"/>
      <w:szCs w:val="40"/>
    </w:rPr>
  </w:style>
  <w:style w:type="character" w:customStyle="1" w:styleId="873">
    <w:name w:val="Body Text(ch) Char Char"/>
    <w:qFormat/>
    <w:uiPriority w:val="0"/>
    <w:rPr>
      <w:rFonts w:ascii="宋体"/>
      <w:kern w:val="2"/>
      <w:sz w:val="24"/>
      <w:szCs w:val="21"/>
      <w:lang w:val="zh-CN"/>
    </w:rPr>
  </w:style>
  <w:style w:type="character" w:customStyle="1" w:styleId="874">
    <w:name w:val="正文首行缩进两字 Char"/>
    <w:qFormat/>
    <w:uiPriority w:val="0"/>
    <w:rPr>
      <w:sz w:val="24"/>
      <w:szCs w:val="24"/>
      <w:lang w:val="en-US" w:eastAsia="zh-CN" w:bidi="ar-SA"/>
    </w:rPr>
  </w:style>
  <w:style w:type="character" w:customStyle="1" w:styleId="875">
    <w:name w:val="正文文本 Char"/>
    <w:qFormat/>
    <w:uiPriority w:val="0"/>
    <w:rPr>
      <w:rFonts w:eastAsia="宋体"/>
      <w:kern w:val="2"/>
      <w:sz w:val="24"/>
      <w:szCs w:val="24"/>
      <w:lang w:val="en-US" w:eastAsia="zh-CN" w:bidi="ar-SA"/>
    </w:rPr>
  </w:style>
  <w:style w:type="character" w:customStyle="1" w:styleId="876">
    <w:name w:val="文档结构图 字符1"/>
    <w:qFormat/>
    <w:uiPriority w:val="0"/>
    <w:rPr>
      <w:rFonts w:ascii="宋体" w:hAnsi="Calibri" w:eastAsia="黑体" w:cs="Arial"/>
      <w:snapToGrid w:val="0"/>
      <w:kern w:val="2"/>
      <w:sz w:val="18"/>
      <w:szCs w:val="18"/>
    </w:rPr>
  </w:style>
  <w:style w:type="character" w:customStyle="1" w:styleId="877">
    <w:name w:val="content"/>
    <w:qFormat/>
    <w:uiPriority w:val="0"/>
  </w:style>
  <w:style w:type="character" w:customStyle="1" w:styleId="878">
    <w:name w:val="tw4winPopup"/>
    <w:qFormat/>
    <w:uiPriority w:val="0"/>
    <w:rPr>
      <w:rFonts w:ascii="Courier New" w:hAnsi="Courier New" w:cs="Courier New"/>
      <w:color w:val="008000"/>
      <w:lang w:val="en-US" w:eastAsia="zh-CN"/>
    </w:rPr>
  </w:style>
  <w:style w:type="character" w:customStyle="1" w:styleId="879">
    <w:name w:val="param-name"/>
    <w:qFormat/>
    <w:uiPriority w:val="99"/>
    <w:rPr>
      <w:rFonts w:ascii="Arial" w:hAnsi="Arial" w:eastAsia="黑体" w:cs="Arial"/>
      <w:snapToGrid w:val="0"/>
      <w:kern w:val="0"/>
      <w:szCs w:val="21"/>
    </w:rPr>
  </w:style>
  <w:style w:type="character" w:customStyle="1" w:styleId="880">
    <w:name w:val="标准正文格式 Char"/>
    <w:qFormat/>
    <w:uiPriority w:val="0"/>
    <w:rPr>
      <w:rFonts w:ascii="宋体" w:eastAsia="仿宋_GB2312" w:cs="宋体"/>
      <w:color w:val="000000"/>
      <w:sz w:val="24"/>
      <w:lang w:val="en-US" w:eastAsia="zh-CN" w:bidi="ar-SA"/>
    </w:rPr>
  </w:style>
  <w:style w:type="character" w:customStyle="1" w:styleId="881">
    <w:name w:val="Char Char212"/>
    <w:qFormat/>
    <w:uiPriority w:val="0"/>
    <w:rPr>
      <w:rFonts w:eastAsia="宋体"/>
      <w:b/>
      <w:bCs/>
      <w:kern w:val="2"/>
      <w:sz w:val="21"/>
      <w:szCs w:val="24"/>
      <w:lang w:val="en-US" w:eastAsia="zh-CN" w:bidi="ar-SA"/>
    </w:rPr>
  </w:style>
  <w:style w:type="character" w:customStyle="1" w:styleId="882">
    <w:name w:val="文档结构图 Char"/>
    <w:qFormat/>
    <w:uiPriority w:val="0"/>
    <w:rPr>
      <w:rFonts w:eastAsia="宋体"/>
      <w:kern w:val="2"/>
      <w:sz w:val="21"/>
      <w:szCs w:val="24"/>
      <w:lang w:val="en-US" w:eastAsia="zh-CN" w:bidi="ar-SA"/>
    </w:rPr>
  </w:style>
  <w:style w:type="character" w:customStyle="1" w:styleId="883">
    <w:name w:val="zbggmain style9"/>
    <w:qFormat/>
    <w:uiPriority w:val="0"/>
  </w:style>
  <w:style w:type="character" w:customStyle="1" w:styleId="884">
    <w:name w:val="Char Char16"/>
    <w:qFormat/>
    <w:uiPriority w:val="6"/>
    <w:rPr>
      <w:kern w:val="1"/>
      <w:sz w:val="18"/>
      <w:szCs w:val="18"/>
    </w:rPr>
  </w:style>
  <w:style w:type="character" w:customStyle="1" w:styleId="885">
    <w:name w:val="font51"/>
    <w:qFormat/>
    <w:uiPriority w:val="0"/>
    <w:rPr>
      <w:rFonts w:hint="eastAsia" w:ascii="仿宋" w:hAnsi="仿宋" w:eastAsia="仿宋" w:cs="仿宋"/>
      <w:color w:val="000000"/>
      <w:sz w:val="20"/>
      <w:szCs w:val="20"/>
      <w:u w:val="none"/>
    </w:rPr>
  </w:style>
  <w:style w:type="character" w:customStyle="1" w:styleId="886">
    <w:name w:val="Char Char82"/>
    <w:qFormat/>
    <w:uiPriority w:val="0"/>
    <w:rPr>
      <w:rFonts w:eastAsia="宋体"/>
      <w:b/>
      <w:sz w:val="24"/>
      <w:lang w:eastAsia="zh-CN"/>
    </w:rPr>
  </w:style>
  <w:style w:type="character" w:customStyle="1" w:styleId="887">
    <w:name w:val="正文文本缩进 3 Char"/>
    <w:link w:val="53"/>
    <w:qFormat/>
    <w:uiPriority w:val="0"/>
    <w:rPr>
      <w:kern w:val="2"/>
      <w:sz w:val="24"/>
    </w:rPr>
  </w:style>
  <w:style w:type="character" w:customStyle="1" w:styleId="888">
    <w:name w:val="日期 Char1"/>
    <w:semiHidden/>
    <w:qFormat/>
    <w:uiPriority w:val="99"/>
    <w:rPr>
      <w:rFonts w:ascii="Times New Roman" w:hAnsi="Times New Roman" w:eastAsia="宋体" w:cs="Times New Roman"/>
      <w:szCs w:val="24"/>
    </w:rPr>
  </w:style>
  <w:style w:type="character" w:customStyle="1" w:styleId="889">
    <w:name w:val="页眉 字符"/>
    <w:qFormat/>
    <w:uiPriority w:val="99"/>
    <w:rPr>
      <w:kern w:val="2"/>
      <w:sz w:val="18"/>
      <w:szCs w:val="18"/>
    </w:rPr>
  </w:style>
  <w:style w:type="character" w:customStyle="1" w:styleId="890">
    <w:name w:val="Char Char33"/>
    <w:qFormat/>
    <w:uiPriority w:val="6"/>
    <w:rPr>
      <w:rFonts w:ascii="Arial" w:hAnsi="Arial" w:eastAsia="黑体"/>
      <w:b/>
      <w:kern w:val="1"/>
      <w:sz w:val="24"/>
      <w:szCs w:val="24"/>
    </w:rPr>
  </w:style>
  <w:style w:type="character" w:customStyle="1" w:styleId="891">
    <w:name w:val="b11_01b Char"/>
    <w:link w:val="111"/>
    <w:qFormat/>
    <w:uiPriority w:val="0"/>
    <w:rPr>
      <w:rFonts w:ascii="Verdana" w:hAnsi="Verdana"/>
      <w:b/>
      <w:bCs/>
      <w:color w:val="4A82CA"/>
      <w:sz w:val="17"/>
      <w:szCs w:val="17"/>
    </w:rPr>
  </w:style>
  <w:style w:type="character" w:customStyle="1" w:styleId="892">
    <w:name w:val="Char Char121"/>
    <w:qFormat/>
    <w:uiPriority w:val="6"/>
    <w:rPr>
      <w:rFonts w:ascii="仿宋_GB2312" w:eastAsia="仿宋_GB2312"/>
      <w:b/>
      <w:bCs/>
      <w:kern w:val="2"/>
      <w:sz w:val="24"/>
      <w:szCs w:val="24"/>
      <w:lang w:val="zh-CN" w:eastAsia="zh-CN" w:bidi="ar-SA"/>
    </w:rPr>
  </w:style>
  <w:style w:type="character" w:customStyle="1" w:styleId="893">
    <w:name w:val="Footer-Even Char"/>
    <w:qFormat/>
    <w:uiPriority w:val="0"/>
    <w:rPr>
      <w:rFonts w:eastAsia="宋体"/>
      <w:kern w:val="2"/>
      <w:sz w:val="18"/>
      <w:lang w:val="en-US" w:eastAsia="zh-CN" w:bidi="ar-SA"/>
    </w:rPr>
  </w:style>
  <w:style w:type="character" w:customStyle="1" w:styleId="894">
    <w:name w:val="页脚 Char2"/>
    <w:link w:val="40"/>
    <w:qFormat/>
    <w:locked/>
    <w:uiPriority w:val="99"/>
    <w:rPr>
      <w:kern w:val="2"/>
      <w:sz w:val="18"/>
      <w:szCs w:val="18"/>
    </w:rPr>
  </w:style>
  <w:style w:type="character" w:customStyle="1" w:styleId="895">
    <w:name w:val="Char Char36"/>
    <w:qFormat/>
    <w:uiPriority w:val="6"/>
    <w:rPr>
      <w:rFonts w:ascii="仿宋_GB2312" w:hAnsi="仿宋_GB2312" w:eastAsia="仿宋_GB2312" w:cs="Arial"/>
      <w:b/>
      <w:kern w:val="1"/>
      <w:sz w:val="32"/>
      <w:szCs w:val="32"/>
      <w:lang w:val="zh-CN" w:eastAsia="zh-CN" w:bidi="ar-SA"/>
    </w:rPr>
  </w:style>
  <w:style w:type="character" w:customStyle="1" w:styleId="896">
    <w:name w:val="Char Char61"/>
    <w:qFormat/>
    <w:uiPriority w:val="6"/>
    <w:rPr>
      <w:rFonts w:eastAsia="宋体"/>
      <w:kern w:val="2"/>
      <w:sz w:val="21"/>
      <w:szCs w:val="24"/>
      <w:lang w:val="en-US" w:eastAsia="zh-CN" w:bidi="ar-SA"/>
    </w:rPr>
  </w:style>
  <w:style w:type="character" w:customStyle="1" w:styleId="897">
    <w:name w:val="正文文字缩进 2 Char Char"/>
    <w:qFormat/>
    <w:uiPriority w:val="0"/>
    <w:rPr>
      <w:rFonts w:ascii="宋体"/>
      <w:sz w:val="28"/>
    </w:rPr>
  </w:style>
  <w:style w:type="character" w:customStyle="1" w:styleId="898">
    <w:name w:val="f141"/>
    <w:qFormat/>
    <w:uiPriority w:val="0"/>
    <w:rPr>
      <w:rFonts w:ascii="Tahoma" w:hAnsi="Tahoma" w:eastAsia="宋体"/>
      <w:b/>
      <w:kern w:val="2"/>
      <w:sz w:val="21"/>
      <w:szCs w:val="21"/>
      <w:lang w:val="en-US" w:eastAsia="zh-CN" w:bidi="ar-SA"/>
    </w:rPr>
  </w:style>
  <w:style w:type="character" w:customStyle="1" w:styleId="899">
    <w:name w:val="段落 Char Char"/>
    <w:link w:val="112"/>
    <w:qFormat/>
    <w:uiPriority w:val="0"/>
    <w:rPr>
      <w:rFonts w:ascii="宋体" w:hAnsi="宋体"/>
      <w:sz w:val="24"/>
    </w:rPr>
  </w:style>
  <w:style w:type="character" w:customStyle="1" w:styleId="900">
    <w:name w:val="标题 3 Char2"/>
    <w:qFormat/>
    <w:uiPriority w:val="0"/>
    <w:rPr>
      <w:rFonts w:eastAsia="宋体"/>
      <w:b/>
      <w:bCs/>
      <w:kern w:val="2"/>
      <w:sz w:val="32"/>
      <w:szCs w:val="32"/>
      <w:lang w:val="en-US" w:eastAsia="zh-CN" w:bidi="ar-SA"/>
    </w:rPr>
  </w:style>
  <w:style w:type="character" w:customStyle="1" w:styleId="901">
    <w:name w:val="apple-converted-space"/>
    <w:qFormat/>
    <w:uiPriority w:val="0"/>
  </w:style>
  <w:style w:type="character" w:customStyle="1" w:styleId="902">
    <w:name w:val="页眉 Char2"/>
    <w:link w:val="41"/>
    <w:qFormat/>
    <w:uiPriority w:val="99"/>
    <w:rPr>
      <w:kern w:val="2"/>
      <w:sz w:val="18"/>
      <w:szCs w:val="18"/>
    </w:rPr>
  </w:style>
  <w:style w:type="character" w:customStyle="1" w:styleId="903">
    <w:name w:val="Char Char9"/>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qFormat/>
    <w:uiPriority w:val="0"/>
    <w:rPr>
      <w:rFonts w:hint="eastAsia" w:ascii="宋体" w:hAnsi="宋体" w:eastAsia="宋体"/>
      <w:sz w:val="21"/>
      <w:szCs w:val="21"/>
    </w:rPr>
  </w:style>
  <w:style w:type="character" w:customStyle="1" w:styleId="906">
    <w:name w:val="正文段 Char"/>
    <w:link w:val="113"/>
    <w:qFormat/>
    <w:uiPriority w:val="0"/>
    <w:rPr>
      <w:sz w:val="24"/>
    </w:rPr>
  </w:style>
  <w:style w:type="character" w:customStyle="1" w:styleId="907">
    <w:name w:val="Char Char13"/>
    <w:qFormat/>
    <w:uiPriority w:val="6"/>
    <w:rPr>
      <w:rFonts w:ascii="宋体" w:hAnsi="宋体"/>
      <w:kern w:val="1"/>
      <w:sz w:val="21"/>
      <w:szCs w:val="24"/>
    </w:rPr>
  </w:style>
  <w:style w:type="character" w:customStyle="1" w:styleId="9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14"/>
    <w:qFormat/>
    <w:uiPriority w:val="0"/>
    <w:rPr>
      <w:rFonts w:ascii="宋体" w:hAnsi="宋体"/>
      <w:kern w:val="2"/>
      <w:sz w:val="24"/>
      <w:szCs w:val="22"/>
    </w:rPr>
  </w:style>
  <w:style w:type="character" w:customStyle="1" w:styleId="910">
    <w:name w:val="批注文字 字符"/>
    <w:qFormat/>
    <w:uiPriority w:val="0"/>
    <w:rPr>
      <w:rFonts w:ascii="Arial" w:hAnsi="Arial" w:eastAsia="黑体" w:cs="Arial"/>
      <w:snapToGrid w:val="0"/>
      <w:kern w:val="0"/>
      <w:szCs w:val="21"/>
    </w:rPr>
  </w:style>
  <w:style w:type="character" w:customStyle="1" w:styleId="911">
    <w:name w:val="Char Char161"/>
    <w:qFormat/>
    <w:uiPriority w:val="0"/>
    <w:rPr>
      <w:rFonts w:eastAsia="宋体"/>
      <w:b/>
      <w:kern w:val="2"/>
      <w:sz w:val="32"/>
      <w:lang w:val="en-US" w:eastAsia="zh-CN"/>
    </w:rPr>
  </w:style>
  <w:style w:type="character" w:customStyle="1" w:styleId="912">
    <w:name w:val="javascript"/>
    <w:qFormat/>
    <w:uiPriority w:val="0"/>
  </w:style>
  <w:style w:type="character" w:customStyle="1" w:styleId="913">
    <w:name w:val="图名 Char"/>
    <w:qFormat/>
    <w:uiPriority w:val="0"/>
    <w:rPr>
      <w:rFonts w:ascii="Arial" w:hAnsi="Arial" w:eastAsia="黑体"/>
      <w:kern w:val="2"/>
      <w:sz w:val="24"/>
      <w:szCs w:val="24"/>
      <w:lang w:val="en-US" w:eastAsia="zh-CN" w:bidi="ar-SA"/>
    </w:rPr>
  </w:style>
  <w:style w:type="character" w:customStyle="1" w:styleId="914">
    <w:name w:val="Used by Word for text of Help footnotes Char Char"/>
    <w:qFormat/>
    <w:uiPriority w:val="0"/>
    <w:rPr>
      <w:rFonts w:ascii="Times New Roman" w:hAnsi="Times New Roman" w:eastAsia="宋体" w:cs="Times New Roman"/>
      <w:sz w:val="20"/>
      <w:szCs w:val="20"/>
    </w:rPr>
  </w:style>
  <w:style w:type="character" w:customStyle="1" w:styleId="915">
    <w:name w:val="编号，小四 Char"/>
    <w:link w:val="115"/>
    <w:qFormat/>
    <w:uiPriority w:val="0"/>
    <w:rPr>
      <w:rFonts w:ascii="Arial" w:hAnsi="Arial"/>
      <w:sz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qFormat/>
    <w:uiPriority w:val="0"/>
    <w:rPr>
      <w:rFonts w:ascii="Arial" w:hAnsi="Arial" w:eastAsia="黑体"/>
      <w:kern w:val="2"/>
      <w:sz w:val="21"/>
      <w:szCs w:val="21"/>
      <w:lang w:val="en-US" w:eastAsia="zh-CN" w:bidi="ar-SA"/>
    </w:rPr>
  </w:style>
  <w:style w:type="character" w:customStyle="1" w:styleId="919">
    <w:name w:val="myp1111"/>
    <w:qFormat/>
    <w:uiPriority w:val="0"/>
    <w:rPr>
      <w:rFonts w:hint="default" w:ascii="ˎ̥" w:hAnsi="ˎ̥"/>
      <w:color w:val="000000"/>
      <w:sz w:val="20"/>
      <w:szCs w:val="20"/>
      <w:u w:val="none"/>
    </w:rPr>
  </w:style>
  <w:style w:type="character" w:customStyle="1" w:styleId="920">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21">
    <w:name w:val="h Char Char"/>
    <w:qFormat/>
    <w:uiPriority w:val="0"/>
    <w:rPr>
      <w:rFonts w:eastAsia="宋体"/>
      <w:kern w:val="2"/>
      <w:sz w:val="18"/>
      <w:lang w:val="en-US" w:eastAsia="zh-CN" w:bidi="ar-SA"/>
    </w:rPr>
  </w:style>
  <w:style w:type="character" w:customStyle="1" w:styleId="922">
    <w:name w:val="仿宋正文 Char"/>
    <w:link w:val="116"/>
    <w:qFormat/>
    <w:uiPriority w:val="0"/>
    <w:rPr>
      <w:rFonts w:ascii="仿宋_GB2312" w:eastAsia="仿宋_GB2312"/>
      <w:kern w:val="2"/>
      <w:sz w:val="24"/>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basedOn w:val="70"/>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页脚 字符"/>
    <w:qFormat/>
    <w:uiPriority w:val="99"/>
    <w:rPr>
      <w:kern w:val="2"/>
      <w:sz w:val="18"/>
      <w:szCs w:val="18"/>
    </w:rPr>
  </w:style>
  <w:style w:type="character" w:customStyle="1" w:styleId="932">
    <w:name w:val="正文2 Char"/>
    <w:qFormat/>
    <w:uiPriority w:val="0"/>
    <w:rPr>
      <w:rFonts w:eastAsia="宋体"/>
      <w:kern w:val="2"/>
      <w:sz w:val="24"/>
      <w:lang w:val="en-US" w:eastAsia="zh-CN" w:bidi="ar-SA"/>
    </w:rPr>
  </w:style>
  <w:style w:type="character" w:customStyle="1" w:styleId="933">
    <w:name w:val="Char Char21"/>
    <w:qFormat/>
    <w:uiPriority w:val="6"/>
    <w:rPr>
      <w:rFonts w:ascii="宋体" w:hAnsi="宋体"/>
      <w:kern w:val="1"/>
      <w:sz w:val="24"/>
      <w:szCs w:val="21"/>
      <w:lang w:val="zh-CN"/>
    </w:rPr>
  </w:style>
  <w:style w:type="character" w:customStyle="1" w:styleId="934">
    <w:name w:val="样式 正文缩进 + 首行缩进:  2 字符 Char Char"/>
    <w:link w:val="117"/>
    <w:qFormat/>
    <w:uiPriority w:val="0"/>
    <w:rPr>
      <w:rFonts w:cs="宋体"/>
      <w:kern w:val="2"/>
      <w:sz w:val="24"/>
    </w:rPr>
  </w:style>
  <w:style w:type="character" w:customStyle="1" w:styleId="935">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6">
    <w:name w:val="gray6"/>
    <w:basedOn w:val="70"/>
    <w:qFormat/>
    <w:uiPriority w:val="0"/>
    <w:rPr>
      <w:rFonts w:ascii="Arial" w:hAnsi="Arial" w:eastAsia="黑体" w:cs="Arial"/>
      <w:snapToGrid w:val="0"/>
      <w:kern w:val="0"/>
      <w:szCs w:val="21"/>
    </w:rPr>
  </w:style>
  <w:style w:type="character" w:customStyle="1" w:styleId="937">
    <w:name w:val="hui"/>
    <w:basedOn w:val="70"/>
    <w:qFormat/>
    <w:uiPriority w:val="0"/>
    <w:rPr>
      <w:rFonts w:ascii="Arial" w:hAnsi="Arial" w:eastAsia="黑体" w:cs="Arial"/>
      <w:snapToGrid w:val="0"/>
      <w:kern w:val="0"/>
      <w:szCs w:val="21"/>
    </w:rPr>
  </w:style>
  <w:style w:type="character" w:customStyle="1" w:styleId="938">
    <w:name w:val="哈哈正文 Char Char"/>
    <w:qFormat/>
    <w:uiPriority w:val="0"/>
    <w:rPr>
      <w:rFonts w:ascii="宋体" w:hAnsi="宋体" w:eastAsia="宋体" w:cs="宋体"/>
      <w:kern w:val="2"/>
      <w:sz w:val="24"/>
      <w:lang w:val="en-US" w:eastAsia="zh-CN" w:bidi="ar-SA"/>
    </w:r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尾注文本 Char"/>
    <w:link w:val="38"/>
    <w:qFormat/>
    <w:uiPriority w:val="0"/>
    <w:rPr>
      <w:kern w:val="2"/>
      <w:sz w:val="21"/>
      <w:szCs w:val="24"/>
      <w:lang w:val="zh-CN"/>
    </w:rPr>
  </w:style>
  <w:style w:type="character" w:customStyle="1" w:styleId="944">
    <w:name w:val="无间隔 Char"/>
    <w:link w:val="167"/>
    <w:qFormat/>
    <w:uiPriority w:val="99"/>
    <w:rPr>
      <w:kern w:val="2"/>
      <w:sz w:val="21"/>
      <w:szCs w:val="22"/>
    </w:rPr>
  </w:style>
  <w:style w:type="character" w:customStyle="1" w:styleId="945">
    <w:name w:val="标准文本 Char Char"/>
    <w:link w:val="605"/>
    <w:qFormat/>
    <w:uiPriority w:val="0"/>
    <w:rPr>
      <w:rFonts w:cs="宋体"/>
      <w:kern w:val="2"/>
      <w:sz w:val="24"/>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table" w:customStyle="1" w:styleId="96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8">
    <w:name w:val="正文空2字"/>
    <w:basedOn w:val="96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9">
    <w:name w:val="左对齐正文"/>
    <w:qFormat/>
    <w:uiPriority w:val="99"/>
    <w:rPr>
      <w:rFonts w:ascii="Calibri" w:hAnsi="Calibri" w:eastAsia="仿宋_GB2312" w:cs="Calibri"/>
      <w:kern w:val="2"/>
      <w:sz w:val="32"/>
      <w:szCs w:val="32"/>
      <w:lang w:val="en-US" w:eastAsia="zh-CN" w:bidi="ar-SA"/>
    </w:rPr>
  </w:style>
  <w:style w:type="paragraph" w:customStyle="1" w:styleId="970">
    <w:name w:val="Normal Indent1"/>
    <w:basedOn w:val="1"/>
    <w:next w:val="23"/>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95</Pages>
  <Words>159</Words>
  <Characters>176</Characters>
  <Lines>281</Lines>
  <Paragraphs>79</Paragraphs>
  <TotalTime>42</TotalTime>
  <ScaleCrop>false</ScaleCrop>
  <LinksUpToDate>false</LinksUpToDate>
  <CharactersWithSpaces>214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深夜草莓冰激凌</cp:lastModifiedBy>
  <cp:lastPrinted>2024-11-08T06:06:00Z</cp:lastPrinted>
  <dcterms:modified xsi:type="dcterms:W3CDTF">2024-12-18T09:43:03Z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21C043C58604454A9B925107BE01D02B_13</vt:lpwstr>
  </property>
</Properties>
</file>