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hint="eastAsia" w:cs="仿宋_GB2312" w:asciiTheme="minorEastAsia" w:hAnsiTheme="minorEastAsia" w:eastAsiaTheme="minorEastAsia"/>
          <w:b/>
          <w:bCs/>
          <w:color w:val="auto"/>
          <w:w w:val="95"/>
          <w:sz w:val="48"/>
          <w:szCs w:val="48"/>
          <w:highlight w:val="none"/>
          <w:lang w:val="zh-CN"/>
        </w:rPr>
      </w:pPr>
      <w:r>
        <w:rPr>
          <w:rFonts w:hint="eastAsia" w:cs="仿宋_GB2312" w:asciiTheme="minorEastAsia" w:hAnsiTheme="minorEastAsia" w:eastAsiaTheme="minorEastAsia"/>
          <w:b/>
          <w:bCs/>
          <w:color w:val="auto"/>
          <w:w w:val="95"/>
          <w:sz w:val="48"/>
          <w:szCs w:val="48"/>
          <w:highlight w:val="none"/>
          <w:lang w:val="zh-CN"/>
        </w:rPr>
        <w:t>临安区裸露采矿用地生态修复现状调查项目</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项目编号:[2024]2202号</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6"/>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6"/>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p>
    <w:p>
      <w:pPr>
        <w:rPr>
          <w:rFonts w:hint="eastAsia" w:cs="仿宋_GB2312" w:asciiTheme="minorEastAsia" w:hAnsiTheme="minorEastAsia" w:eastAsiaTheme="minorEastAsia"/>
          <w:color w:val="auto"/>
          <w:sz w:val="24"/>
          <w:highlight w:val="none"/>
        </w:rPr>
      </w:pPr>
    </w:p>
    <w:p>
      <w:pPr>
        <w:pStyle w:val="2"/>
        <w:numPr>
          <w:ilvl w:val="0"/>
          <w:numId w:val="0"/>
        </w:numPr>
        <w:ind w:leftChars="0"/>
      </w:pPr>
    </w:p>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杭州市规划和自然资源局临安分局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杭州建设工程造价咨询有限公司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八</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二十九</w:t>
      </w:r>
      <w:bookmarkStart w:id="180" w:name="_GoBack"/>
      <w:bookmarkEnd w:id="180"/>
      <w:r>
        <w:rPr>
          <w:rFonts w:hint="eastAsia" w:cs="仿宋_GB2312" w:asciiTheme="minorEastAsia" w:hAnsiTheme="minorEastAsia" w:eastAsiaTheme="minorEastAsia"/>
          <w:bCs/>
          <w:color w:val="auto"/>
          <w:sz w:val="32"/>
          <w:szCs w:val="32"/>
          <w:highlight w:val="none"/>
        </w:rPr>
        <w:t>日</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zh-CN"/>
        </w:rPr>
        <w:t>临安区裸露采矿用地生态修复现状调查项目</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2"/>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798"/>
      <w:bookmarkStart w:id="13" w:name="_Toc28359012"/>
      <w:bookmarkStart w:id="14" w:name="_Toc3539362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color w:val="auto"/>
          <w:sz w:val="24"/>
          <w:highlight w:val="none"/>
          <w:lang w:eastAsia="zh-CN"/>
        </w:rPr>
        <w:t>：[2024]2202号</w:t>
      </w:r>
    </w:p>
    <w:p>
      <w:pPr>
        <w:spacing w:line="360" w:lineRule="auto"/>
        <w:ind w:firstLine="482"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val="zh-CN"/>
        </w:rPr>
        <w:t>临安区裸露采矿用地生态修复现状调查项目</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885200</w:t>
      </w:r>
      <w:r>
        <w:rPr>
          <w:rFonts w:asciiTheme="minorEastAsia" w:hAnsiTheme="minorEastAsia" w:eastAsiaTheme="minorEastAsia"/>
          <w:b/>
          <w:color w:val="auto"/>
          <w:sz w:val="24"/>
          <w:highlight w:val="none"/>
        </w:rPr>
        <w:t xml:space="preserve"> </w:t>
      </w:r>
    </w:p>
    <w:p>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885200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zh-CN"/>
        </w:rPr>
        <w:t>临安区裸露采矿用地生态修复现状调查项目，主要包括：全面摸清临安区裸露采矿用地(含持证矿山、废弃矿山、其他裸露)底数和现状，为盘活利用采矿废弃土地、分区分类实施矿山生态修复提供基础支撑。</w:t>
      </w:r>
      <w:r>
        <w:rPr>
          <w:rFonts w:hint="eastAsia" w:cs="仿宋_GB2312" w:asciiTheme="minorEastAsia" w:hAnsiTheme="minorEastAsia" w:eastAsiaTheme="minorEastAsia"/>
          <w:b/>
          <w:color w:val="auto"/>
          <w:sz w:val="24"/>
          <w:highlight w:val="none"/>
          <w:lang w:val="en-US" w:eastAsia="zh-CN"/>
        </w:rPr>
        <w:t>具体</w:t>
      </w:r>
      <w:r>
        <w:rPr>
          <w:rFonts w:hint="eastAsia" w:cs="仿宋_GB2312" w:asciiTheme="minorEastAsia" w:hAnsiTheme="minorEastAsia" w:eastAsiaTheme="minorEastAsia"/>
          <w:b/>
          <w:color w:val="auto"/>
          <w:sz w:val="24"/>
          <w:highlight w:val="none"/>
        </w:rPr>
        <w:t>详见磋商文件。</w:t>
      </w:r>
    </w:p>
    <w:p>
      <w:pPr>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：自合同签订之日起至2024年12月31日前完成全部工作内容，提交报告和数据库。</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28359013"/>
      <w:bookmarkStart w:id="16" w:name="_Toc35393799"/>
      <w:bookmarkStart w:id="17" w:name="_Toc28359090"/>
      <w:bookmarkStart w:id="18" w:name="_Toc3539363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企业声明函；</w:t>
      </w:r>
    </w:p>
    <w:p>
      <w:pPr>
        <w:spacing w:line="360" w:lineRule="auto"/>
        <w:ind w:firstLine="897" w:firstLineChars="374"/>
        <w:rPr>
          <w:rFonts w:hint="eastAsia" w:ascii="MS Gothic" w:hAnsi="MS Gothic" w:eastAsia="MS Gothic" w:cs="宋体"/>
          <w:color w:val="auto"/>
          <w:kern w:val="0"/>
          <w:sz w:val="24"/>
          <w:szCs w:val="24"/>
          <w:highlight w:val="none"/>
          <w:lang w:val="en-US" w:eastAsia="zh-CN" w:bidi="ar-SA"/>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ascii="MS Gothic" w:hAnsi="MS Gothic" w:eastAsia="MS Gothic" w:cs="宋体"/>
            <w:color w:val="auto"/>
            <w:kern w:val="0"/>
            <w:sz w:val="24"/>
            <w:szCs w:val="24"/>
            <w:highlight w:val="none"/>
            <w:lang w:val="en-US" w:eastAsia="zh-CN" w:bidi="ar-SA"/>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MS Gothic" w:hAnsi="MS Gothic" w:eastAsia="MS Gothic" w:cs="宋体"/>
          <w:color w:val="auto"/>
          <w:kern w:val="0"/>
          <w:sz w:val="24"/>
          <w:szCs w:val="24"/>
          <w:highlight w:val="none"/>
          <w:lang w:val="en-US" w:eastAsia="zh-CN" w:bidi="ar-SA"/>
        </w:rPr>
        <w:t>服务全部由符合政策要求的小微企业承接，提供中小企业声明函；</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236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426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35393631"/>
      <w:bookmarkStart w:id="20" w:name="_Toc28359014"/>
      <w:bookmarkStart w:id="21" w:name="_Toc28359091"/>
      <w:bookmarkStart w:id="22" w:name="_Toc35393800"/>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2"/>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28359015"/>
      <w:bookmarkStart w:id="25" w:name="_Toc35393632"/>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2"/>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93"/>
      <w:bookmarkStart w:id="29" w:name="_Toc28359016"/>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杭州建设工程造价咨询有限公司临安分公司评标室1号（杭州市临安区锦北街道马溪路667号1号楼2楼），政采云平台（https://www.zcygov.cn/）。</w:t>
      </w:r>
    </w:p>
    <w:p>
      <w:pPr>
        <w:pStyle w:val="2"/>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28359094"/>
      <w:bookmarkStart w:id="33" w:name="_Toc3539363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2"/>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pPr>
        <w:pStyle w:val="2"/>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18"/>
      <w:bookmarkStart w:id="39" w:name="_Toc35393636"/>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color w:val="auto"/>
          <w:sz w:val="24"/>
          <w:szCs w:val="24"/>
          <w:highlight w:val="none"/>
        </w:rPr>
      </w:pPr>
      <w:bookmarkStart w:id="41" w:name="_Toc28359096"/>
      <w:bookmarkStart w:id="42" w:name="_Toc35393806"/>
      <w:bookmarkStart w:id="43" w:name="_Toc28359019"/>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napToGrid w:val="0"/>
        <w:spacing w:line="360" w:lineRule="auto"/>
        <w:ind w:firstLine="480" w:firstLineChars="200"/>
        <w:rPr>
          <w:rFonts w:hint="eastAsia" w:ascii="宋体" w:hAnsi="宋体" w:cs="宋体"/>
          <w:sz w:val="24"/>
        </w:rPr>
      </w:pPr>
      <w:bookmarkStart w:id="45" w:name="_Toc35393638"/>
      <w:bookmarkStart w:id="46" w:name="_Toc28359097"/>
      <w:bookmarkStart w:id="47" w:name="_Toc35393807"/>
      <w:bookmarkStart w:id="48" w:name="_Toc28359020"/>
      <w:r>
        <w:rPr>
          <w:rFonts w:hint="eastAsia" w:ascii="宋体" w:hAnsi="宋体" w:cs="宋体"/>
          <w:sz w:val="24"/>
        </w:rPr>
        <w:t>名    称：</w:t>
      </w:r>
      <w:r>
        <w:rPr>
          <w:rFonts w:hint="eastAsia" w:ascii="宋体" w:hAnsi="宋体" w:cs="宋体"/>
          <w:sz w:val="24"/>
          <w:lang w:eastAsia="zh-CN"/>
        </w:rPr>
        <w:t xml:space="preserve">杭州市规划和自然资源局临安分局 </w:t>
      </w:r>
      <w:r>
        <w:rPr>
          <w:rFonts w:hint="eastAsia" w:ascii="宋体" w:hAnsi="宋体" w:cs="宋体"/>
          <w:sz w:val="24"/>
        </w:rPr>
        <w:t xml:space="preserve">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地    址：杭州市临安区科技大道4398号3号楼</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pPr>
        <w:spacing w:line="360" w:lineRule="auto"/>
        <w:ind w:left="0" w:leftChars="0" w:firstLine="0" w:firstLineChars="0"/>
        <w:rPr>
          <w:rFonts w:asciiTheme="minorEastAsia" w:hAnsiTheme="minorEastAsia" w:eastAsiaTheme="minorEastAsia"/>
          <w:sz w:val="24"/>
          <w:highlight w:val="none"/>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Theme="minorEastAsia" w:hAnsiTheme="minorEastAsia" w:eastAsiaTheme="minorEastAsia"/>
          <w:sz w:val="24"/>
          <w:highlight w:val="none"/>
        </w:rPr>
        <w:t>项目联系人（询问）：王俊</w:t>
      </w:r>
      <w:r>
        <w:rPr>
          <w:rFonts w:asciiTheme="minorEastAsia" w:hAnsiTheme="minorEastAsia" w:eastAsiaTheme="minorEastAsia"/>
          <w:sz w:val="24"/>
          <w:highlight w:val="none"/>
        </w:rPr>
        <w:t xml:space="preserve"> </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项目联系方式（询问）：0571-89541197</w:t>
      </w:r>
      <w:r>
        <w:rPr>
          <w:rFonts w:asciiTheme="minorEastAsia" w:hAnsiTheme="minorEastAsia" w:eastAsiaTheme="minorEastAsia"/>
          <w:sz w:val="24"/>
          <w:highlight w:val="none"/>
        </w:rPr>
        <w:t xml:space="preserve"> </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叶文艳</w:t>
      </w:r>
    </w:p>
    <w:p>
      <w:pPr>
        <w:spacing w:line="360" w:lineRule="auto"/>
        <w:ind w:firstLine="480" w:firstLineChars="200"/>
        <w:rPr>
          <w:rFonts w:hint="eastAsia" w:ascii="宋体" w:hAnsi="宋体" w:eastAsia="宋体" w:cs="宋体"/>
          <w:sz w:val="24"/>
          <w:szCs w:val="24"/>
          <w:highlight w:val="none"/>
        </w:rPr>
      </w:pPr>
      <w:r>
        <w:rPr>
          <w:rFonts w:hint="eastAsia" w:asciiTheme="minorEastAsia" w:hAnsiTheme="minorEastAsia" w:eastAsiaTheme="minorEastAsia"/>
          <w:sz w:val="24"/>
          <w:highlight w:val="none"/>
        </w:rPr>
        <w:t>质疑联系方式：0571-8954119</w:t>
      </w:r>
      <w:r>
        <w:rPr>
          <w:rFonts w:hint="eastAsia" w:asciiTheme="minorEastAsia" w:hAnsiTheme="minorEastAsia" w:eastAsiaTheme="minorEastAsia"/>
          <w:sz w:val="24"/>
          <w:highlight w:val="none"/>
          <w:lang w:val="en-US" w:eastAsia="zh-CN"/>
        </w:rPr>
        <w:t>8</w:t>
      </w:r>
    </w:p>
    <w:p>
      <w:pPr>
        <w:pStyle w:val="2"/>
        <w:numPr>
          <w:ilvl w:val="0"/>
          <w:numId w:val="0"/>
        </w:numP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left="420" w:leftChars="200"/>
        <w:rPr>
          <w:rFonts w:ascii="宋体" w:hAnsi="宋体" w:cs="宋体"/>
          <w:sz w:val="24"/>
        </w:rPr>
      </w:pPr>
      <w:bookmarkStart w:id="49" w:name="_Toc35393808"/>
      <w:bookmarkStart w:id="50" w:name="_Toc28359098"/>
      <w:bookmarkStart w:id="51" w:name="_Toc35393639"/>
      <w:bookmarkStart w:id="52" w:name="_Toc28359021"/>
      <w:r>
        <w:rPr>
          <w:rFonts w:hint="eastAsia" w:ascii="宋体" w:hAnsi="宋体" w:cs="宋体"/>
          <w:sz w:val="24"/>
        </w:rPr>
        <w:t>名    称：杭州建设工程造价咨询有限公司</w:t>
      </w:r>
    </w:p>
    <w:p>
      <w:pPr>
        <w:spacing w:line="360" w:lineRule="auto"/>
        <w:ind w:left="420" w:leftChars="200"/>
        <w:rPr>
          <w:rFonts w:ascii="宋体" w:hAnsi="宋体" w:cs="宋体"/>
          <w:sz w:val="24"/>
        </w:rPr>
      </w:pPr>
      <w:r>
        <w:rPr>
          <w:rFonts w:hint="eastAsia" w:ascii="宋体" w:hAnsi="宋体" w:cs="宋体"/>
          <w:sz w:val="24"/>
        </w:rPr>
        <w:t xml:space="preserve">地    址：杭州市临安区锦北街道马溪路667号1号楼2楼  </w:t>
      </w:r>
    </w:p>
    <w:p>
      <w:pPr>
        <w:spacing w:line="360" w:lineRule="auto"/>
        <w:ind w:left="420" w:leftChars="200"/>
        <w:rPr>
          <w:rFonts w:ascii="宋体" w:hAnsi="宋体" w:cs="宋体"/>
          <w:sz w:val="24"/>
        </w:rPr>
      </w:pPr>
      <w:r>
        <w:rPr>
          <w:rFonts w:hint="eastAsia" w:ascii="宋体" w:hAnsi="宋体" w:cs="宋体"/>
          <w:sz w:val="24"/>
        </w:rPr>
        <w:t>传    真：/</w:t>
      </w:r>
    </w:p>
    <w:p>
      <w:pPr>
        <w:spacing w:line="360" w:lineRule="auto"/>
        <w:ind w:left="420" w:leftChars="200"/>
        <w:rPr>
          <w:rFonts w:ascii="宋体" w:hAnsi="宋体" w:cs="宋体"/>
          <w:sz w:val="24"/>
        </w:rPr>
      </w:pPr>
      <w:r>
        <w:rPr>
          <w:rFonts w:hint="eastAsia" w:ascii="宋体" w:hAnsi="宋体" w:cs="宋体"/>
          <w:sz w:val="24"/>
        </w:rPr>
        <w:t>项目联系人（询问）：马丽</w:t>
      </w:r>
    </w:p>
    <w:p>
      <w:pPr>
        <w:spacing w:line="360" w:lineRule="auto"/>
        <w:ind w:left="420" w:leftChars="200"/>
        <w:rPr>
          <w:rFonts w:ascii="宋体" w:hAnsi="宋体" w:cs="宋体"/>
          <w:sz w:val="24"/>
        </w:rPr>
      </w:pPr>
      <w:r>
        <w:rPr>
          <w:rFonts w:hint="eastAsia" w:ascii="宋体" w:hAnsi="宋体" w:cs="宋体"/>
          <w:sz w:val="24"/>
        </w:rPr>
        <w:t>项目联系方式（询问）：0571-61091202</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质疑联系人：陈浩伟  </w:t>
      </w:r>
    </w:p>
    <w:p>
      <w:pPr>
        <w:snapToGrid w:val="0"/>
        <w:spacing w:line="360" w:lineRule="auto"/>
        <w:ind w:firstLine="480" w:firstLineChars="200"/>
        <w:rPr>
          <w:rFonts w:hint="default" w:ascii="宋体" w:hAnsi="宋体" w:eastAsia="宋体" w:cs="宋体"/>
          <w:sz w:val="24"/>
          <w:highlight w:val="none"/>
          <w:lang w:val="en-US"/>
        </w:rPr>
      </w:pPr>
      <w:r>
        <w:rPr>
          <w:rFonts w:hint="eastAsia" w:ascii="宋体" w:hAnsi="宋体" w:eastAsia="宋体" w:cs="宋体"/>
          <w:sz w:val="24"/>
          <w:highlight w:val="none"/>
        </w:rPr>
        <w:t xml:space="preserve">质疑联系方式：0571-63806616    </w:t>
      </w:r>
    </w:p>
    <w:p>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pPr>
        <w:spacing w:line="360" w:lineRule="auto"/>
        <w:ind w:firstLine="480"/>
        <w:rPr>
          <w:rFonts w:ascii="宋体" w:hAnsi="宋体" w:cs="宋体"/>
          <w:sz w:val="24"/>
        </w:rPr>
      </w:pPr>
      <w:r>
        <w:rPr>
          <w:rFonts w:hint="eastAsia" w:ascii="宋体" w:hAnsi="宋体" w:cs="宋体"/>
          <w:sz w:val="24"/>
        </w:rPr>
        <w:t xml:space="preserve">名    称：杭州市临安区财政局政府采购监督管理科 </w:t>
      </w:r>
    </w:p>
    <w:p>
      <w:pPr>
        <w:spacing w:line="360" w:lineRule="auto"/>
        <w:ind w:firstLine="480"/>
        <w:rPr>
          <w:rFonts w:ascii="宋体" w:hAnsi="宋体" w:cs="宋体"/>
          <w:sz w:val="24"/>
        </w:rPr>
      </w:pPr>
      <w:r>
        <w:rPr>
          <w:rFonts w:hint="eastAsia" w:ascii="宋体" w:hAnsi="宋体" w:cs="宋体"/>
          <w:sz w:val="24"/>
        </w:rPr>
        <w:t xml:space="preserve">地    址：杭州市临安区锦城街道临天路1950号财政大楼411室 </w:t>
      </w:r>
    </w:p>
    <w:p>
      <w:pPr>
        <w:spacing w:line="360" w:lineRule="auto"/>
        <w:ind w:firstLine="480"/>
        <w:rPr>
          <w:rFonts w:ascii="宋体" w:hAnsi="宋体" w:cs="宋体"/>
          <w:sz w:val="24"/>
        </w:rPr>
      </w:pPr>
      <w:r>
        <w:rPr>
          <w:rFonts w:hint="eastAsia" w:ascii="宋体" w:hAnsi="宋体" w:cs="宋体"/>
          <w:sz w:val="24"/>
        </w:rPr>
        <w:t>传    真：0571-89541600</w:t>
      </w:r>
    </w:p>
    <w:p>
      <w:pPr>
        <w:spacing w:line="360" w:lineRule="auto"/>
        <w:ind w:firstLine="480"/>
        <w:rPr>
          <w:rFonts w:ascii="宋体" w:hAnsi="宋体" w:cs="宋体"/>
          <w:sz w:val="24"/>
        </w:rPr>
      </w:pPr>
      <w:r>
        <w:rPr>
          <w:rFonts w:hint="eastAsia" w:ascii="宋体" w:hAnsi="宋体" w:cs="宋体"/>
          <w:sz w:val="24"/>
        </w:rPr>
        <w:t xml:space="preserve">联系人：赵女士    </w:t>
      </w:r>
    </w:p>
    <w:p>
      <w:pPr>
        <w:spacing w:line="360" w:lineRule="auto"/>
        <w:ind w:firstLine="480"/>
        <w:rPr>
          <w:rFonts w:hint="eastAsia" w:ascii="宋体" w:hAnsi="宋体" w:cs="宋体"/>
          <w:sz w:val="24"/>
        </w:rPr>
      </w:pPr>
      <w:r>
        <w:rPr>
          <w:rFonts w:hint="eastAsia" w:ascii="宋体" w:hAnsi="宋体" w:cs="宋体"/>
          <w:sz w:val="24"/>
        </w:rPr>
        <w:t xml:space="preserve">监督投诉电话：0571-89541692、89541691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pPr>
        <w:pStyle w:val="396"/>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6"/>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b/>
          <w:bCs/>
          <w:color w:val="auto"/>
          <w:szCs w:val="24"/>
          <w:highlight w:val="none"/>
          <w:lang w:val="en-US" w:eastAsia="zh-CN"/>
        </w:rPr>
        <w:t>2.2开标记录开启后，请将附件6《政府采购活动现场确认声明书》填写完整发送至邮箱：1211282946@qq.com。</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交易中心</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w:t>
      </w:r>
      <w:r>
        <w:rPr>
          <w:rFonts w:hint="eastAsia" w:asciiTheme="minorEastAsia" w:hAnsiTheme="minorEastAsia" w:eastAsiaTheme="minorEastAsia"/>
          <w:color w:val="auto"/>
          <w:szCs w:val="24"/>
          <w:highlight w:val="none"/>
          <w:lang w:eastAsia="zh-CN"/>
        </w:rPr>
        <w:t>询标</w:t>
      </w:r>
      <w:r>
        <w:rPr>
          <w:rFonts w:hint="eastAsia" w:asciiTheme="minorEastAsia" w:hAnsiTheme="minorEastAsia" w:eastAsiaTheme="minorEastAsia"/>
          <w:color w:val="auto"/>
          <w:szCs w:val="24"/>
          <w:highlight w:val="none"/>
        </w:rPr>
        <w:t>室通过</w:t>
      </w:r>
      <w:r>
        <w:rPr>
          <w:rFonts w:hint="eastAsia" w:asciiTheme="minorEastAsia" w:hAnsiTheme="minorEastAsia" w:eastAsiaTheme="minorEastAsia"/>
          <w:color w:val="auto"/>
          <w:szCs w:val="24"/>
          <w:highlight w:val="none"/>
          <w:lang w:eastAsia="zh-CN"/>
        </w:rPr>
        <w:t>线下</w:t>
      </w:r>
      <w:r>
        <w:rPr>
          <w:rFonts w:hint="eastAsia" w:asciiTheme="minorEastAsia" w:hAnsiTheme="minorEastAsia" w:eastAsiaTheme="minorEastAsia"/>
          <w:color w:val="auto"/>
          <w:szCs w:val="24"/>
          <w:highlight w:val="none"/>
        </w:rPr>
        <w:t>或自备CA数字证书、笔记本电脑等开展磋商活动。</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6"/>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6"/>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6"/>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pStyle w:val="396"/>
        <w:spacing w:before="0"/>
        <w:ind w:firstLine="0" w:firstLineChars="0"/>
        <w:rPr>
          <w:rFonts w:asciiTheme="minorEastAsia" w:hAnsiTheme="minorEastAsia" w:eastAsiaTheme="minorEastAsia"/>
          <w:b/>
          <w:color w:val="auto"/>
          <w:highlight w:val="none"/>
        </w:rPr>
      </w:pPr>
    </w:p>
    <w:p>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b/>
                <w:bCs/>
                <w:color w:val="auto"/>
                <w:kern w:val="0"/>
                <w:sz w:val="24"/>
                <w:highlight w:val="none"/>
                <w:u w:val="single"/>
                <w:lang w:eastAsia="zh-CN"/>
              </w:rPr>
              <w:t>临安区裸露采矿用地生态修复现状调查项目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b/>
                <w:bCs/>
                <w:color w:val="auto"/>
                <w:kern w:val="0"/>
                <w:sz w:val="24"/>
                <w:highlight w:val="none"/>
                <w:u w:val="single"/>
                <w:lang w:eastAsia="zh-CN"/>
              </w:rPr>
              <w:t xml:space="preserve"> 其他未列明</w:t>
            </w:r>
            <w:r>
              <w:rPr>
                <w:rFonts w:hint="eastAsia" w:cs="宋体" w:asciiTheme="minorEastAsia" w:hAnsiTheme="minorEastAsia" w:eastAsiaTheme="minorEastAsia"/>
                <w:b/>
                <w:bCs/>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669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eastAsia="zh-CN"/>
              </w:rPr>
              <w:t>采购</w:t>
            </w:r>
            <w:r>
              <w:rPr>
                <w:rFonts w:hint="eastAsia" w:cs="宋体" w:asciiTheme="minorEastAsia" w:hAnsiTheme="minorEastAsia" w:eastAsiaTheme="minorEastAsia"/>
                <w:color w:val="auto"/>
                <w:sz w:val="24"/>
                <w:highlight w:val="none"/>
              </w:rPr>
              <w:t>文件第二部分六、响应文件的编制2. 响应文件的组成。</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备份投标文件送达地点：杭州市临安区马溪路667号一号楼二楼杭建咨询二楼代理部；备份投标文件签收人员联系电话：0571-61091202。采购人、采购机构不强制或变相强制投标人提交备份投标文件。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w:t>
            </w:r>
            <w:r>
              <w:rPr>
                <w:rFonts w:hint="eastAsia" w:ascii="宋体" w:hAnsi="宋体" w:cs="宋体"/>
                <w:snapToGrid w:val="0"/>
                <w:color w:val="auto"/>
                <w:kern w:val="28"/>
                <w:sz w:val="24"/>
                <w:highlight w:val="none"/>
                <w:lang w:eastAsia="zh-CN"/>
              </w:rPr>
              <w:t>同类</w:t>
            </w:r>
            <w:r>
              <w:rPr>
                <w:rFonts w:hint="eastAsia" w:ascii="宋体" w:hAnsi="宋体" w:cs="宋体"/>
                <w:snapToGrid w:val="0"/>
                <w:color w:val="auto"/>
                <w:kern w:val="28"/>
                <w:sz w:val="24"/>
                <w:highlight w:val="none"/>
              </w:rPr>
              <w:t>业绩数量以提供材料较少的一方为准。评分标准有其他规定的，从其规定。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pStyle w:val="24"/>
              <w:ind w:firstLine="0"/>
            </w:pPr>
            <w:r>
              <w:rPr>
                <w:rFonts w:hint="eastAsia"/>
              </w:rPr>
              <w:t>代理服务费参照发改价格〔2011〕534号文件、国家发改委计价格〔2002〕1980号文件规定八折收费,单个采购项目代理服务费不足肆仟元可按肆仟元收取，代理服务收费按差额定率累进法计算。</w:t>
            </w:r>
          </w:p>
          <w:p>
            <w:pPr>
              <w:spacing w:line="360" w:lineRule="auto"/>
            </w:pPr>
            <w:r>
              <w:rPr>
                <w:rFonts w:hint="eastAsia"/>
              </w:rPr>
              <w:drawing>
                <wp:inline distT="0" distB="0" distL="114300" distR="114300">
                  <wp:extent cx="3526790" cy="1605280"/>
                  <wp:effectExtent l="0" t="0" r="16510" b="13970"/>
                  <wp:docPr id="24" name="图片 2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收费标准"/>
                          <pic:cNvPicPr>
                            <a:picLocks noChangeAspect="1"/>
                          </pic:cNvPicPr>
                        </pic:nvPicPr>
                        <pic:blipFill>
                          <a:blip r:embed="rId18" cstate="print"/>
                          <a:stretch>
                            <a:fillRect/>
                          </a:stretch>
                        </pic:blipFill>
                        <pic:spPr>
                          <a:xfrm>
                            <a:off x="0" y="0"/>
                            <a:ext cx="3526790" cy="1605280"/>
                          </a:xfrm>
                          <a:prstGeom prst="rect">
                            <a:avLst/>
                          </a:prstGeom>
                          <a:noFill/>
                          <a:ln>
                            <a:noFill/>
                          </a:ln>
                        </pic:spPr>
                      </pic:pic>
                    </a:graphicData>
                  </a:graphic>
                </wp:inline>
              </w:drawing>
            </w:r>
          </w:p>
          <w:p>
            <w:pPr>
              <w:pStyle w:val="23"/>
              <w:rPr>
                <w:rFonts w:hAnsi="宋体" w:cs="宋体"/>
                <w:szCs w:val="24"/>
              </w:rPr>
            </w:pPr>
            <w:r>
              <w:rPr>
                <w:rFonts w:hint="eastAsia" w:hAnsi="宋体" w:cs="宋体"/>
                <w:szCs w:val="24"/>
              </w:rPr>
              <w:t>收费对象：本项目代理服务费向中标人收取</w:t>
            </w:r>
          </w:p>
          <w:p>
            <w:pPr>
              <w:pStyle w:val="23"/>
              <w:rPr>
                <w:rFonts w:hAnsi="宋体" w:cs="宋体"/>
                <w:szCs w:val="24"/>
              </w:rPr>
            </w:pPr>
            <w:r>
              <w:rPr>
                <w:rFonts w:hint="eastAsia" w:hAnsi="宋体" w:cs="宋体"/>
                <w:szCs w:val="24"/>
              </w:rPr>
              <w:t>缴纳时间：中标(成交)结果公示后5个工作日内一次性付清</w:t>
            </w:r>
          </w:p>
          <w:p>
            <w:pPr>
              <w:pStyle w:val="23"/>
              <w:rPr>
                <w:rFonts w:hAnsi="宋体" w:cs="宋体"/>
                <w:szCs w:val="24"/>
              </w:rPr>
            </w:pPr>
            <w:r>
              <w:rPr>
                <w:rFonts w:hint="eastAsia" w:hAnsi="宋体" w:cs="宋体"/>
                <w:szCs w:val="24"/>
              </w:rPr>
              <w:t>缴纳形式：汇票/支票/电汇/现金</w:t>
            </w:r>
          </w:p>
          <w:p>
            <w:pPr>
              <w:pStyle w:val="23"/>
              <w:rPr>
                <w:rFonts w:hAnsi="宋体" w:cs="宋体"/>
                <w:szCs w:val="24"/>
              </w:rPr>
            </w:pPr>
            <w:r>
              <w:rPr>
                <w:rFonts w:hint="eastAsia" w:hAnsi="宋体" w:cs="宋体"/>
                <w:szCs w:val="24"/>
              </w:rPr>
              <w:t>收款单位：杭州建设工程造价咨询有限公司临安分公司</w:t>
            </w:r>
          </w:p>
          <w:p>
            <w:pPr>
              <w:pStyle w:val="23"/>
              <w:rPr>
                <w:rFonts w:hAnsi="宋体" w:cs="宋体"/>
                <w:szCs w:val="24"/>
              </w:rPr>
            </w:pPr>
            <w:r>
              <w:rPr>
                <w:rFonts w:hint="eastAsia" w:hAnsi="宋体" w:cs="宋体"/>
                <w:szCs w:val="24"/>
              </w:rPr>
              <w:t>开户银行：杭州银行临安支行</w:t>
            </w:r>
          </w:p>
          <w:p>
            <w:pPr>
              <w:spacing w:line="360" w:lineRule="auto"/>
              <w:rPr>
                <w:rFonts w:hint="eastAsia" w:cs="Arial" w:asciiTheme="minorEastAsia" w:hAnsiTheme="minorEastAsia" w:eastAsiaTheme="minorEastAsia"/>
                <w:color w:val="auto"/>
                <w:kern w:val="0"/>
                <w:sz w:val="24"/>
                <w:highlight w:val="none"/>
              </w:rPr>
            </w:pPr>
            <w:r>
              <w:rPr>
                <w:rFonts w:hint="eastAsia" w:hAnsi="宋体" w:cs="宋体"/>
                <w:szCs w:val="24"/>
              </w:rPr>
              <w:t>银行账号：3301040160003448324</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6"/>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highlight w:val="none"/>
        </w:rPr>
      </w:pPr>
    </w:p>
    <w:p>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3"/>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color w:val="auto"/>
          <w:sz w:val="24"/>
          <w:szCs w:val="24"/>
          <w:highlight w:val="none"/>
        </w:rPr>
        <w:t>G03</w:t>
      </w:r>
      <w:r>
        <w:rPr>
          <w:rFonts w:hint="eastAsia" w:ascii="宋体" w:hAnsi="Courier New"/>
          <w:color w:val="auto"/>
          <w:sz w:val="24"/>
          <w:szCs w:val="24"/>
          <w:highlight w:val="none"/>
        </w:rPr>
        <w:t>办公室，收件人：朱女士、王女士，电话：</w:t>
      </w:r>
      <w:r>
        <w:rPr>
          <w:rFonts w:ascii="宋体" w:hAnsi="Courier New"/>
          <w:color w:val="auto"/>
          <w:sz w:val="24"/>
          <w:szCs w:val="24"/>
          <w:highlight w:val="none"/>
        </w:rPr>
        <w:t>0571-85252453</w:t>
      </w:r>
      <w:r>
        <w:rPr>
          <w:rFonts w:hint="eastAsia" w:ascii="宋体" w:hAnsi="Courier New"/>
          <w:color w:val="auto"/>
          <w:sz w:val="24"/>
          <w:szCs w:val="24"/>
          <w:highlight w:val="none"/>
        </w:rPr>
        <w:t>。</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6"/>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6"/>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6"/>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snapToGrid w:val="0"/>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评标标准相应的商务技术资料；</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7</w:t>
      </w:r>
      <w:r>
        <w:rPr>
          <w:rFonts w:hint="eastAsia" w:hAnsi="宋体" w:cs="宋体"/>
          <w:color w:val="auto"/>
          <w:sz w:val="24"/>
          <w:highlight w:val="none"/>
          <w:lang w:eastAsia="zh-CN"/>
        </w:rPr>
        <w:t>）</w:t>
      </w:r>
      <w:r>
        <w:rPr>
          <w:rFonts w:hint="eastAsia" w:hAnsi="宋体" w:cs="宋体"/>
          <w:color w:val="auto"/>
          <w:sz w:val="24"/>
          <w:highlight w:val="none"/>
          <w:lang w:val="zh-CN" w:eastAsia="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ascii="宋体" w:hAnsi="宋体" w:cs="宋体"/>
          <w:color w:val="auto"/>
          <w:sz w:val="24"/>
          <w:highlight w:val="none"/>
        </w:rPr>
        <w:t>；</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8</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6"/>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6"/>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6"/>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3"/>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6"/>
        <w:spacing w:before="0"/>
        <w:ind w:firstLine="0" w:firstLineChars="0"/>
        <w:rPr>
          <w:rFonts w:cs="仿宋_GB2312" w:asciiTheme="minorEastAsia" w:hAnsiTheme="minorEastAsia" w:eastAsiaTheme="minorEastAsia"/>
          <w:b/>
          <w:color w:val="auto"/>
          <w:szCs w:val="24"/>
          <w:highlight w:val="none"/>
        </w:rPr>
      </w:pP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6"/>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6"/>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6"/>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6"/>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6"/>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6"/>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6"/>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4714665"/>
      <w:bookmarkEnd w:id="55"/>
      <w:bookmarkStart w:id="56" w:name="_Hlt68072990"/>
      <w:bookmarkEnd w:id="56"/>
      <w:bookmarkStart w:id="57" w:name="_Hlt74729768"/>
      <w:bookmarkEnd w:id="57"/>
      <w:bookmarkStart w:id="58" w:name="_Hlt75236011"/>
      <w:bookmarkEnd w:id="58"/>
      <w:bookmarkStart w:id="59" w:name="_Hlt68057669"/>
      <w:bookmarkEnd w:id="59"/>
      <w:bookmarkStart w:id="60" w:name="_Hlt74707468"/>
      <w:bookmarkEnd w:id="60"/>
      <w:bookmarkStart w:id="61" w:name="_Hlt74730295"/>
      <w:bookmarkEnd w:id="61"/>
      <w:bookmarkStart w:id="62" w:name="_Hlt75236101"/>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keepNext w:val="0"/>
        <w:keepLines w:val="0"/>
        <w:pageBreakBefore w:val="0"/>
        <w:kinsoku/>
        <w:wordWrap/>
        <w:overflowPunct/>
        <w:topLinePunct w:val="0"/>
        <w:bidi w:val="0"/>
        <w:adjustRightInd w:val="0"/>
        <w:snapToGrid/>
        <w:spacing w:line="500" w:lineRule="exact"/>
        <w:ind w:firstLine="441"/>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一、项目背景</w:t>
      </w:r>
    </w:p>
    <w:p>
      <w:pPr>
        <w:keepNext w:val="0"/>
        <w:keepLines w:val="0"/>
        <w:pageBreakBefore w:val="0"/>
        <w:widowControl/>
        <w:kinsoku/>
        <w:wordWrap/>
        <w:overflowPunct/>
        <w:topLinePunct w:val="0"/>
        <w:bidi w:val="0"/>
        <w:adjustRightInd w:val="0"/>
        <w:snapToGrid/>
        <w:spacing w:line="500" w:lineRule="exact"/>
        <w:ind w:firstLine="480" w:firstLineChars="200"/>
        <w:jc w:val="both"/>
        <w:textAlignment w:val="auto"/>
        <w:rPr>
          <w:rFonts w:hint="eastAsia" w:ascii="宋体" w:hAnsi="宋体" w:eastAsia="宋体" w:cs="宋体"/>
          <w:color w:val="auto"/>
          <w:kern w:val="0"/>
          <w:sz w:val="24"/>
          <w:szCs w:val="24"/>
          <w:lang w:eastAsia="zh-CN" w:bidi="ar"/>
        </w:rPr>
      </w:pPr>
      <w:r>
        <w:rPr>
          <w:rFonts w:hint="eastAsia" w:ascii="宋体" w:hAnsi="宋体" w:eastAsia="宋体" w:cs="宋体"/>
          <w:i w:val="0"/>
          <w:iCs w:val="0"/>
          <w:caps w:val="0"/>
          <w:color w:val="auto"/>
          <w:spacing w:val="0"/>
          <w:sz w:val="24"/>
          <w:szCs w:val="24"/>
          <w:shd w:val="clear" w:fill="FFFFFF"/>
          <w:lang w:val="en-US" w:eastAsia="zh-CN"/>
        </w:rPr>
        <w:t>为深入贯彻习近平新时代中国特色社会主义生态文明思想，牢固树立和践行绿水青山就是金山银山的理念，以“八八战略”为指引，围绕打造“吴越名城·幸福临安”的目标，不断深化推进生态文明建设，为建设共同富裕示范区夯实绿色根基，以高品质生态环境支撑高质量发展，根据第三轮环保督察反馈问题和省委巡视组要求，</w:t>
      </w:r>
      <w:r>
        <w:rPr>
          <w:rFonts w:hint="eastAsia" w:ascii="宋体" w:hAnsi="宋体" w:cs="宋体"/>
          <w:i w:val="0"/>
          <w:iCs w:val="0"/>
          <w:caps w:val="0"/>
          <w:color w:val="auto"/>
          <w:spacing w:val="0"/>
          <w:sz w:val="24"/>
          <w:szCs w:val="24"/>
          <w:shd w:val="clear" w:fill="FFFFFF"/>
          <w:lang w:val="en-US" w:eastAsia="zh-CN"/>
        </w:rPr>
        <w:t>结合《自然资源部办公厅关于开展全国采矿损毁土地状况调查试点工作的通知》（自然资办发</w:t>
      </w:r>
      <w:r>
        <w:rPr>
          <w:rFonts w:hint="eastAsia" w:ascii="宋体" w:hAnsi="宋体" w:eastAsia="宋体" w:cs="宋体"/>
          <w:i w:val="0"/>
          <w:iCs w:val="0"/>
          <w:caps w:val="0"/>
          <w:color w:val="auto"/>
          <w:spacing w:val="0"/>
          <w:sz w:val="24"/>
          <w:szCs w:val="24"/>
          <w:shd w:val="clear" w:fill="FFFFFF"/>
          <w:lang w:val="en-US" w:eastAsia="zh-CN"/>
        </w:rPr>
        <w:t>〔2024〕34号</w:t>
      </w:r>
      <w:r>
        <w:rPr>
          <w:rFonts w:hint="eastAsia" w:ascii="宋体" w:hAnsi="宋体" w:cs="宋体"/>
          <w:i w:val="0"/>
          <w:iCs w:val="0"/>
          <w:caps w:val="0"/>
          <w:color w:val="auto"/>
          <w:spacing w:val="0"/>
          <w:sz w:val="24"/>
          <w:szCs w:val="24"/>
          <w:shd w:val="clear" w:fill="FFFFFF"/>
          <w:lang w:val="en-US" w:eastAsia="zh-CN"/>
        </w:rPr>
        <w:t>）等文件的任务要求，</w:t>
      </w:r>
      <w:r>
        <w:rPr>
          <w:rFonts w:hint="eastAsia" w:ascii="宋体" w:hAnsi="宋体" w:eastAsia="宋体" w:cs="宋体"/>
          <w:i w:val="0"/>
          <w:iCs w:val="0"/>
          <w:caps w:val="0"/>
          <w:color w:val="auto"/>
          <w:spacing w:val="0"/>
          <w:sz w:val="24"/>
          <w:szCs w:val="24"/>
          <w:shd w:val="clear" w:fill="FFFFFF"/>
          <w:lang w:val="en-US" w:eastAsia="zh-CN"/>
        </w:rPr>
        <w:t>临安区开展裸露采矿用地生态修复现状调查工作，为</w:t>
      </w:r>
      <w:r>
        <w:rPr>
          <w:rFonts w:hint="eastAsia" w:ascii="宋体" w:hAnsi="宋体" w:eastAsia="宋体" w:cs="宋体"/>
          <w:color w:val="auto"/>
          <w:kern w:val="0"/>
          <w:sz w:val="24"/>
          <w:szCs w:val="24"/>
          <w:lang w:bidi="ar"/>
        </w:rPr>
        <w:t>下一步开展生态环境治理工作提供依据</w:t>
      </w:r>
      <w:r>
        <w:rPr>
          <w:rFonts w:hint="eastAsia" w:ascii="宋体" w:hAnsi="宋体" w:eastAsia="宋体" w:cs="宋体"/>
          <w:color w:val="auto"/>
          <w:kern w:val="0"/>
          <w:sz w:val="24"/>
          <w:szCs w:val="24"/>
          <w:lang w:eastAsia="zh-CN" w:bidi="ar"/>
        </w:rPr>
        <w:t>。</w:t>
      </w:r>
    </w:p>
    <w:p>
      <w:pPr>
        <w:pStyle w:val="102"/>
        <w:keepNext w:val="0"/>
        <w:keepLines w:val="0"/>
        <w:pageBreakBefore w:val="0"/>
        <w:kinsoku/>
        <w:wordWrap/>
        <w:overflowPunct/>
        <w:topLinePunct w:val="0"/>
        <w:bidi w:val="0"/>
        <w:adjustRightInd w:val="0"/>
        <w:snapToGrid/>
        <w:spacing w:line="500" w:lineRule="exact"/>
        <w:ind w:firstLine="482" w:firstLineChars="200"/>
        <w:textAlignment w:val="auto"/>
        <w:rPr>
          <w:rFonts w:hint="eastAsia" w:ascii="宋体" w:hAnsi="宋体" w:eastAsia="宋体" w:cs="宋体"/>
          <w:b/>
          <w:bCs/>
          <w:color w:val="auto"/>
          <w:kern w:val="2"/>
          <w:sz w:val="24"/>
          <w:szCs w:val="24"/>
          <w:lang w:val="en-US" w:eastAsia="zh-CN" w:bidi="ar-SA"/>
          <w14:ligatures w14:val="standardContextual"/>
        </w:rPr>
      </w:pPr>
      <w:r>
        <w:rPr>
          <w:rFonts w:hint="eastAsia" w:ascii="宋体" w:hAnsi="宋体" w:eastAsia="宋体" w:cs="宋体"/>
          <w:b/>
          <w:bCs/>
          <w:color w:val="auto"/>
          <w:kern w:val="2"/>
          <w:sz w:val="24"/>
          <w:szCs w:val="24"/>
          <w:lang w:val="en-US" w:eastAsia="zh-CN" w:bidi="ar-SA"/>
          <w14:ligatures w14:val="standardContextual"/>
        </w:rPr>
        <w:t>二、总体目标</w:t>
      </w:r>
    </w:p>
    <w:p>
      <w:pPr>
        <w:pStyle w:val="102"/>
        <w:keepNext w:val="0"/>
        <w:keepLines w:val="0"/>
        <w:pageBreakBefore w:val="0"/>
        <w:kinsoku/>
        <w:wordWrap/>
        <w:overflowPunct/>
        <w:topLinePunct w:val="0"/>
        <w:bidi w:val="0"/>
        <w:adjustRightInd w:val="0"/>
        <w:snapToGrid/>
        <w:spacing w:line="500" w:lineRule="exact"/>
        <w:ind w:firstLine="480" w:firstLineChars="200"/>
        <w:textAlignment w:val="auto"/>
        <w:rPr>
          <w:rFonts w:hint="eastAsia" w:ascii="宋体" w:hAnsi="宋体" w:eastAsia="宋体" w:cs="宋体"/>
          <w:i w:val="0"/>
          <w:iCs w:val="0"/>
          <w:caps w:val="0"/>
          <w:color w:val="auto"/>
          <w:spacing w:val="0"/>
          <w:kern w:val="2"/>
          <w:sz w:val="24"/>
          <w:szCs w:val="24"/>
          <w:shd w:val="clear" w:fill="FFFFFF"/>
          <w:lang w:val="en-US" w:eastAsia="zh-CN" w:bidi="ar-SA"/>
          <w14:ligatures w14:val="standardContextual"/>
        </w:rPr>
      </w:pPr>
      <w:r>
        <w:rPr>
          <w:rFonts w:hint="eastAsia" w:ascii="宋体" w:hAnsi="宋体" w:eastAsia="宋体" w:cs="宋体"/>
          <w:i w:val="0"/>
          <w:iCs w:val="0"/>
          <w:caps w:val="0"/>
          <w:color w:val="auto"/>
          <w:spacing w:val="0"/>
          <w:kern w:val="2"/>
          <w:sz w:val="24"/>
          <w:szCs w:val="24"/>
          <w:shd w:val="clear" w:fill="FFFFFF"/>
          <w:lang w:val="en-US" w:eastAsia="zh-CN" w:bidi="ar-SA"/>
          <w14:ligatures w14:val="standardContextual"/>
        </w:rPr>
        <w:t>全面摸清临安区裸露采矿用地(含持证矿山、废弃矿山、其他采矿裸露)底数和现状，为盘活利用采矿废弃土地、分区分类实施矿山生态修复提供基础支撑。</w:t>
      </w:r>
    </w:p>
    <w:p>
      <w:pPr>
        <w:pStyle w:val="102"/>
        <w:keepNext w:val="0"/>
        <w:keepLines w:val="0"/>
        <w:pageBreakBefore w:val="0"/>
        <w:kinsoku/>
        <w:wordWrap/>
        <w:overflowPunct/>
        <w:topLinePunct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主要</w:t>
      </w:r>
      <w:r>
        <w:rPr>
          <w:rFonts w:hint="eastAsia" w:ascii="宋体" w:hAnsi="宋体" w:eastAsia="宋体" w:cs="宋体"/>
          <w:b/>
          <w:bCs/>
          <w:color w:val="auto"/>
          <w:sz w:val="24"/>
          <w:szCs w:val="24"/>
        </w:rPr>
        <w:t>工作</w:t>
      </w:r>
      <w:r>
        <w:rPr>
          <w:rFonts w:hint="eastAsia" w:ascii="宋体" w:hAnsi="宋体" w:eastAsia="宋体" w:cs="宋体"/>
          <w:b/>
          <w:bCs/>
          <w:color w:val="auto"/>
          <w:sz w:val="24"/>
          <w:szCs w:val="24"/>
          <w:lang w:val="en-US" w:eastAsia="zh-CN"/>
        </w:rPr>
        <w:t>内容</w:t>
      </w:r>
    </w:p>
    <w:p>
      <w:pPr>
        <w:keepNext w:val="0"/>
        <w:keepLines w:val="0"/>
        <w:pageBreakBefore w:val="0"/>
        <w:widowControl/>
        <w:kinsoku/>
        <w:wordWrap/>
        <w:overflowPunct/>
        <w:topLinePunct w:val="0"/>
        <w:bidi w:val="0"/>
        <w:adjustRightInd w:val="0"/>
        <w:snapToGrid/>
        <w:spacing w:line="500" w:lineRule="exact"/>
        <w:ind w:firstLine="480" w:firstLineChars="20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1、通过收集二调、三调等资料和最新遥感影像图解译等途径，全面厘清临安区裸露采矿用地数量、位置、范围及前期修复工作等内容，预估采矿用地数量在250处以上。</w:t>
      </w:r>
    </w:p>
    <w:p>
      <w:pPr>
        <w:keepNext w:val="0"/>
        <w:keepLines w:val="0"/>
        <w:pageBreakBefore w:val="0"/>
        <w:widowControl/>
        <w:kinsoku/>
        <w:wordWrap/>
        <w:overflowPunct/>
        <w:topLinePunct w:val="0"/>
        <w:bidi w:val="0"/>
        <w:adjustRightInd w:val="0"/>
        <w:snapToGrid/>
        <w:spacing w:line="500" w:lineRule="exact"/>
        <w:ind w:firstLine="480" w:firstLineChars="20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2、对裸露采矿用地进行实地核查，包括位置、范围和拐点坐标、开采和修复历史等基本概况；生态修复现状、土地利用现状等；并有针对性的提出后续治理建议。</w:t>
      </w:r>
    </w:p>
    <w:p>
      <w:pPr>
        <w:keepNext w:val="0"/>
        <w:keepLines w:val="0"/>
        <w:pageBreakBefore w:val="0"/>
        <w:widowControl/>
        <w:kinsoku/>
        <w:wordWrap/>
        <w:overflowPunct/>
        <w:topLinePunct w:val="0"/>
        <w:bidi w:val="0"/>
        <w:adjustRightInd w:val="0"/>
        <w:snapToGrid/>
        <w:spacing w:line="5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lang w:val="en-US" w:eastAsia="zh-CN"/>
        </w:rPr>
        <w:t>3、在全面调查的基础上，整理和综合分析，编制《临安区裸露采矿用地生态修复现状调查报告》，建设</w:t>
      </w:r>
      <w:r>
        <w:rPr>
          <w:rFonts w:hint="eastAsia" w:ascii="宋体" w:hAnsi="宋体" w:cs="宋体"/>
          <w:i w:val="0"/>
          <w:iCs w:val="0"/>
          <w:caps w:val="0"/>
          <w:color w:val="auto"/>
          <w:spacing w:val="0"/>
          <w:sz w:val="24"/>
          <w:szCs w:val="24"/>
          <w:shd w:val="clear" w:fill="FFFFFF"/>
          <w:lang w:val="en-US" w:eastAsia="zh-CN"/>
        </w:rPr>
        <w:t>临安区</w:t>
      </w:r>
      <w:r>
        <w:rPr>
          <w:rFonts w:hint="eastAsia" w:ascii="宋体" w:hAnsi="宋体" w:eastAsia="宋体" w:cs="宋体"/>
          <w:i w:val="0"/>
          <w:iCs w:val="0"/>
          <w:caps w:val="0"/>
          <w:color w:val="auto"/>
          <w:spacing w:val="0"/>
          <w:kern w:val="2"/>
          <w:sz w:val="24"/>
          <w:szCs w:val="24"/>
          <w:shd w:val="clear" w:fill="FFFFFF"/>
          <w:lang w:val="en-US" w:eastAsia="zh-CN" w:bidi="ar-SA"/>
          <w14:ligatures w14:val="standardContextual"/>
        </w:rPr>
        <w:t>裸露采矿用地</w:t>
      </w:r>
      <w:r>
        <w:rPr>
          <w:rFonts w:hint="eastAsia" w:ascii="宋体" w:hAnsi="宋体" w:cs="宋体"/>
          <w:i w:val="0"/>
          <w:iCs w:val="0"/>
          <w:caps w:val="0"/>
          <w:color w:val="auto"/>
          <w:spacing w:val="0"/>
          <w:kern w:val="2"/>
          <w:sz w:val="24"/>
          <w:szCs w:val="24"/>
          <w:shd w:val="clear" w:fill="FFFFFF"/>
          <w:lang w:val="en-US" w:eastAsia="zh-CN" w:bidi="ar-SA"/>
          <w14:ligatures w14:val="standardContextual"/>
        </w:rPr>
        <w:t>信息</w:t>
      </w:r>
      <w:r>
        <w:rPr>
          <w:rFonts w:hint="eastAsia" w:ascii="宋体" w:hAnsi="宋体" w:eastAsia="宋体" w:cs="宋体"/>
          <w:i w:val="0"/>
          <w:iCs w:val="0"/>
          <w:caps w:val="0"/>
          <w:color w:val="auto"/>
          <w:spacing w:val="0"/>
          <w:sz w:val="24"/>
          <w:szCs w:val="24"/>
          <w:shd w:val="clear" w:fill="FFFFFF"/>
          <w:lang w:val="en-US" w:eastAsia="zh-CN"/>
        </w:rPr>
        <w:t>数据库，为后续全区开展裸露采矿用地生态环境治理工作提供依据。</w:t>
      </w:r>
    </w:p>
    <w:p>
      <w:pPr>
        <w:keepNext w:val="0"/>
        <w:keepLines w:val="0"/>
        <w:pageBreakBefore w:val="0"/>
        <w:kinsoku/>
        <w:wordWrap/>
        <w:overflowPunct/>
        <w:topLinePunct w:val="0"/>
        <w:bidi w:val="0"/>
        <w:adjustRightInd w:val="0"/>
        <w:snapToGrid/>
        <w:spacing w:line="500" w:lineRule="exact"/>
        <w:ind w:firstLine="441"/>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四、预期成果</w:t>
      </w:r>
    </w:p>
    <w:p>
      <w:pPr>
        <w:keepNext w:val="0"/>
        <w:keepLines w:val="0"/>
        <w:pageBreakBefore w:val="0"/>
        <w:widowControl/>
        <w:kinsoku/>
        <w:wordWrap/>
        <w:overflowPunct/>
        <w:topLinePunct w:val="0"/>
        <w:bidi w:val="0"/>
        <w:adjustRightInd w:val="0"/>
        <w:snapToGrid/>
        <w:spacing w:line="500" w:lineRule="exact"/>
        <w:ind w:firstLine="480" w:firstLineChars="20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1、《临安区裸露采矿用地生态修复现状调查报告》；</w:t>
      </w:r>
    </w:p>
    <w:p>
      <w:pPr>
        <w:keepNext w:val="0"/>
        <w:keepLines w:val="0"/>
        <w:pageBreakBefore w:val="0"/>
        <w:widowControl/>
        <w:kinsoku/>
        <w:wordWrap/>
        <w:overflowPunct/>
        <w:topLinePunct w:val="0"/>
        <w:bidi w:val="0"/>
        <w:adjustRightInd w:val="0"/>
        <w:snapToGrid/>
        <w:spacing w:line="500" w:lineRule="exact"/>
        <w:ind w:firstLine="480" w:firstLineChars="20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2、临安区裸露采矿用地现状调查数据库；</w:t>
      </w:r>
    </w:p>
    <w:p>
      <w:pPr>
        <w:keepNext w:val="0"/>
        <w:keepLines w:val="0"/>
        <w:pageBreakBefore w:val="0"/>
        <w:kinsoku/>
        <w:wordWrap/>
        <w:overflowPunct/>
        <w:topLinePunct w:val="0"/>
        <w:bidi w:val="0"/>
        <w:adjustRightInd w:val="0"/>
        <w:snapToGrid/>
        <w:spacing w:line="500" w:lineRule="exact"/>
        <w:ind w:firstLine="441"/>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五、服务费用</w:t>
      </w:r>
    </w:p>
    <w:p>
      <w:pPr>
        <w:keepNext w:val="0"/>
        <w:keepLines w:val="0"/>
        <w:pageBreakBefore w:val="0"/>
        <w:widowControl/>
        <w:kinsoku/>
        <w:wordWrap/>
        <w:overflowPunct/>
        <w:topLinePunct w:val="0"/>
        <w:bidi w:val="0"/>
        <w:adjustRightInd w:val="0"/>
        <w:snapToGrid/>
        <w:spacing w:line="500" w:lineRule="exact"/>
        <w:ind w:firstLine="480" w:firstLineChars="200"/>
        <w:jc w:val="lef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本次临安区裸露采矿用地生态修复现状调查项目总费用为88.52万元。</w:t>
      </w:r>
    </w:p>
    <w:p>
      <w:pPr>
        <w:keepNext w:val="0"/>
        <w:keepLines w:val="0"/>
        <w:pageBreakBefore w:val="0"/>
        <w:kinsoku/>
        <w:wordWrap/>
        <w:overflowPunct/>
        <w:topLinePunct w:val="0"/>
        <w:bidi w:val="0"/>
        <w:adjustRightInd w:val="0"/>
        <w:snapToGrid/>
        <w:spacing w:line="500" w:lineRule="exact"/>
        <w:ind w:firstLine="441"/>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六、付款方式</w:t>
      </w:r>
    </w:p>
    <w:p>
      <w:pPr>
        <w:keepNext w:val="0"/>
        <w:keepLines w:val="0"/>
        <w:pageBreakBefore w:val="0"/>
        <w:kinsoku/>
        <w:wordWrap/>
        <w:overflowPunct/>
        <w:topLinePunct w:val="0"/>
        <w:bidi w:val="0"/>
        <w:adjustRightInd w:val="0"/>
        <w:snapToGrid/>
        <w:spacing w:line="500" w:lineRule="exact"/>
        <w:ind w:firstLine="441"/>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在合同生效以及具备实施条件后5个工作日内，甲方向乙方支付合同总金额的</w:t>
      </w:r>
      <w:r>
        <w:rPr>
          <w:rFonts w:hint="eastAsia" w:ascii="宋体"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val="zh-CN" w:eastAsia="zh-CN"/>
        </w:rPr>
        <w:t>0%预付款。完成</w:t>
      </w:r>
      <w:r>
        <w:rPr>
          <w:rFonts w:hint="eastAsia" w:ascii="宋体" w:hAnsi="宋体" w:cs="宋体"/>
          <w:i w:val="0"/>
          <w:iCs w:val="0"/>
          <w:caps w:val="0"/>
          <w:color w:val="auto"/>
          <w:spacing w:val="0"/>
          <w:sz w:val="24"/>
          <w:szCs w:val="24"/>
          <w:shd w:val="clear" w:fill="FFFFFF"/>
          <w:lang w:val="en-US" w:eastAsia="zh-CN"/>
        </w:rPr>
        <w:t>调查报告和数据库通过专家评审后</w:t>
      </w:r>
      <w:r>
        <w:rPr>
          <w:rFonts w:hint="eastAsia" w:ascii="宋体" w:hAnsi="宋体" w:eastAsia="宋体" w:cs="宋体"/>
          <w:i w:val="0"/>
          <w:iCs w:val="0"/>
          <w:caps w:val="0"/>
          <w:color w:val="auto"/>
          <w:spacing w:val="0"/>
          <w:sz w:val="24"/>
          <w:szCs w:val="24"/>
          <w:shd w:val="clear" w:fill="FFFFFF"/>
          <w:lang w:val="zh-CN" w:eastAsia="zh-CN"/>
        </w:rPr>
        <w:t>支付合同金额的</w:t>
      </w:r>
      <w:r>
        <w:rPr>
          <w:rFonts w:hint="eastAsia" w:ascii="宋体" w:hAnsi="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0%；成果报告和数据库提交</w:t>
      </w:r>
      <w:r>
        <w:rPr>
          <w:rFonts w:hint="eastAsia" w:ascii="宋体" w:hAnsi="宋体" w:cs="宋体"/>
          <w:i w:val="0"/>
          <w:iCs w:val="0"/>
          <w:caps w:val="0"/>
          <w:color w:val="auto"/>
          <w:spacing w:val="0"/>
          <w:sz w:val="24"/>
          <w:szCs w:val="24"/>
          <w:shd w:val="clear" w:fill="FFFFFF"/>
          <w:lang w:val="en-US" w:eastAsia="zh-CN"/>
        </w:rPr>
        <w:t>业主验收</w:t>
      </w:r>
      <w:r>
        <w:rPr>
          <w:rFonts w:hint="eastAsia" w:ascii="宋体" w:hAnsi="宋体" w:eastAsia="宋体" w:cs="宋体"/>
          <w:i w:val="0"/>
          <w:iCs w:val="0"/>
          <w:caps w:val="0"/>
          <w:color w:val="auto"/>
          <w:spacing w:val="0"/>
          <w:sz w:val="24"/>
          <w:szCs w:val="24"/>
          <w:shd w:val="clear" w:fill="FFFFFF"/>
          <w:lang w:val="zh-CN" w:eastAsia="zh-CN"/>
        </w:rPr>
        <w:t>后支付剩余的10%。</w:t>
      </w:r>
    </w:p>
    <w:p>
      <w:pPr>
        <w:keepNext w:val="0"/>
        <w:keepLines w:val="0"/>
        <w:pageBreakBefore w:val="0"/>
        <w:kinsoku/>
        <w:wordWrap/>
        <w:overflowPunct/>
        <w:topLinePunct w:val="0"/>
        <w:bidi w:val="0"/>
        <w:adjustRightInd w:val="0"/>
        <w:snapToGrid/>
        <w:spacing w:line="500" w:lineRule="exact"/>
        <w:ind w:firstLine="441"/>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七、其他要求</w:t>
      </w:r>
    </w:p>
    <w:tbl>
      <w:tblPr>
        <w:tblStyle w:val="62"/>
        <w:tblW w:w="920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9"/>
        <w:gridCol w:w="72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合同履行期限</w:t>
            </w:r>
          </w:p>
        </w:tc>
        <w:tc>
          <w:tcPr>
            <w:tcW w:w="7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自合同签订之日起至202</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lang w:eastAsia="zh-CN"/>
              </w:rPr>
              <w:t>年1</w:t>
            </w: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lang w:eastAsia="zh-CN"/>
              </w:rPr>
              <w:t>月31日前完成全部工作内容，</w:t>
            </w:r>
            <w:r>
              <w:rPr>
                <w:rFonts w:hint="eastAsia" w:ascii="宋体" w:hAnsi="宋体" w:eastAsia="宋体" w:cs="宋体"/>
                <w:color w:val="auto"/>
                <w:spacing w:val="-6"/>
                <w:sz w:val="24"/>
                <w:szCs w:val="24"/>
                <w:highlight w:val="none"/>
                <w:lang w:val="en-US" w:eastAsia="zh-CN"/>
              </w:rPr>
              <w:t>提交报告和数据库</w:t>
            </w:r>
            <w:r>
              <w:rPr>
                <w:rFonts w:hint="eastAsia" w:ascii="宋体" w:hAnsi="宋体" w:eastAsia="宋体" w:cs="宋体"/>
                <w:color w:val="auto"/>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服务时间和地点</w:t>
            </w:r>
          </w:p>
        </w:tc>
        <w:tc>
          <w:tcPr>
            <w:tcW w:w="7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服务时间：按采购人要求开展服务之日起</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服务效率</w:t>
            </w:r>
          </w:p>
        </w:tc>
        <w:tc>
          <w:tcPr>
            <w:tcW w:w="7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接到采购人通知应在不超过2小时内做出响应，不超过2个工作日内解决</w:t>
            </w:r>
            <w:r>
              <w:rPr>
                <w:rFonts w:hint="eastAsia" w:ascii="宋体" w:hAnsi="宋体" w:eastAsia="宋体" w:cs="宋体"/>
                <w:color w:val="auto"/>
                <w:sz w:val="24"/>
                <w:szCs w:val="24"/>
                <w:highlight w:val="none"/>
                <w:lang w:val="en-US" w:eastAsia="zh-CN"/>
              </w:rPr>
              <w:t>问题</w:t>
            </w:r>
            <w:r>
              <w:rPr>
                <w:rFonts w:hint="eastAsia" w:ascii="宋体" w:hAnsi="宋体" w:eastAsia="宋体" w:cs="宋体"/>
                <w:color w:val="auto"/>
                <w:sz w:val="24"/>
                <w:szCs w:val="24"/>
                <w:highlight w:val="none"/>
              </w:rPr>
              <w:t>。</w:t>
            </w:r>
          </w:p>
        </w:tc>
      </w:tr>
    </w:tbl>
    <w:p>
      <w:pPr>
        <w:keepNext w:val="0"/>
        <w:keepLines w:val="0"/>
        <w:pageBreakBefore w:val="0"/>
        <w:kinsoku/>
        <w:wordWrap/>
        <w:overflowPunct/>
        <w:topLinePunct w:val="0"/>
        <w:bidi w:val="0"/>
        <w:adjustRightInd w:val="0"/>
        <w:snapToGrid/>
        <w:spacing w:line="500" w:lineRule="exact"/>
        <w:textAlignment w:val="auto"/>
        <w:rPr>
          <w:rFonts w:hint="eastAsia" w:ascii="宋体" w:hAnsi="宋体" w:eastAsia="宋体" w:cs="宋体"/>
          <w:sz w:val="24"/>
          <w:szCs w:val="24"/>
          <w:lang w:val="en-US" w:eastAsia="zh-CN"/>
        </w:rPr>
      </w:pPr>
    </w:p>
    <w:p>
      <w:pPr>
        <w:pStyle w:val="24"/>
        <w:spacing w:line="360" w:lineRule="auto"/>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pPr>
        <w:pStyle w:val="396"/>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535"/>
        <w:gridCol w:w="818"/>
        <w:gridCol w:w="99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5535" w:type="dxa"/>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sz w:val="24"/>
                <w:highlight w:val="none"/>
              </w:rPr>
              <w:t>评标标准</w:t>
            </w:r>
          </w:p>
        </w:tc>
        <w:tc>
          <w:tcPr>
            <w:tcW w:w="818" w:type="dxa"/>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权重</w:t>
            </w:r>
          </w:p>
        </w:tc>
        <w:tc>
          <w:tcPr>
            <w:tcW w:w="997" w:type="dxa"/>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sz w:val="24"/>
                <w:highlight w:val="none"/>
              </w:rPr>
              <w:t>主观分/客观分属性</w:t>
            </w:r>
          </w:p>
        </w:tc>
        <w:tc>
          <w:tcPr>
            <w:tcW w:w="1252" w:type="dxa"/>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文件中评审标准相应的商务技术资料目录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39" w:type="dxa"/>
            <w:vMerge w:val="restart"/>
            <w:vAlign w:val="center"/>
          </w:tcPr>
          <w:p>
            <w:pPr>
              <w:widowControl/>
              <w:numPr>
                <w:ilvl w:val="0"/>
                <w:numId w:val="9"/>
              </w:numPr>
              <w:jc w:val="center"/>
              <w:rPr>
                <w:rFonts w:hint="eastAsia" w:ascii="宋体" w:hAnsi="宋体" w:cs="宋体"/>
                <w:color w:val="auto"/>
                <w:kern w:val="0"/>
                <w:sz w:val="24"/>
                <w:highlight w:val="none"/>
              </w:rPr>
            </w:pPr>
          </w:p>
        </w:tc>
        <w:tc>
          <w:tcPr>
            <w:tcW w:w="5535" w:type="dxa"/>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投标人具有有效的质量管理体系认证证书、环境管理体系认证证书、职业健康安全管理体系认证证书，每证1分，最高得3分。</w:t>
            </w:r>
          </w:p>
          <w:p>
            <w:pPr>
              <w:widowControl/>
              <w:jc w:val="left"/>
              <w:rPr>
                <w:rFonts w:eastAsia="仿宋"/>
                <w:color w:val="auto"/>
                <w:highlight w:val="none"/>
              </w:rPr>
            </w:pPr>
            <w:r>
              <w:rPr>
                <w:rFonts w:hint="eastAsia" w:ascii="宋体" w:hAnsi="宋体" w:cs="宋体"/>
                <w:color w:val="auto"/>
                <w:kern w:val="0"/>
                <w:sz w:val="24"/>
                <w:highlight w:val="none"/>
              </w:rPr>
              <w:t>（注：投标人须提供相关证书清晰复印件并加盖公章，且证书必须在有效期内，不提供或不符合要求的不得分）。</w:t>
            </w:r>
          </w:p>
        </w:tc>
        <w:tc>
          <w:tcPr>
            <w:tcW w:w="818"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99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25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9" w:type="dxa"/>
            <w:vMerge w:val="continue"/>
            <w:vAlign w:val="center"/>
          </w:tcPr>
          <w:p>
            <w:pPr>
              <w:widowControl/>
              <w:jc w:val="center"/>
              <w:rPr>
                <w:rFonts w:hint="eastAsia" w:ascii="宋体" w:hAnsi="宋体" w:cs="宋体"/>
                <w:color w:val="auto"/>
                <w:kern w:val="0"/>
                <w:sz w:val="24"/>
                <w:highlight w:val="none"/>
              </w:rPr>
            </w:pPr>
          </w:p>
        </w:tc>
        <w:tc>
          <w:tcPr>
            <w:tcW w:w="5535" w:type="dxa"/>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投标人自2019年1月1日起至今获得过生态修复或地质灾害类市级及以上政府表彰的得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p>
        </w:tc>
        <w:tc>
          <w:tcPr>
            <w:tcW w:w="818"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99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252" w:type="dxa"/>
            <w:vMerge w:val="continue"/>
            <w:vAlign w:val="center"/>
          </w:tcPr>
          <w:p>
            <w:pPr>
              <w:widowControl/>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39" w:type="dxa"/>
            <w:vAlign w:val="center"/>
          </w:tcPr>
          <w:p>
            <w:pPr>
              <w:widowControl/>
              <w:numPr>
                <w:ilvl w:val="0"/>
                <w:numId w:val="9"/>
              </w:numPr>
              <w:jc w:val="center"/>
              <w:rPr>
                <w:rFonts w:hint="eastAsia" w:ascii="宋体" w:hAnsi="宋体" w:cs="宋体"/>
                <w:color w:val="auto"/>
                <w:kern w:val="0"/>
                <w:sz w:val="24"/>
                <w:highlight w:val="none"/>
              </w:rPr>
            </w:pPr>
          </w:p>
        </w:tc>
        <w:tc>
          <w:tcPr>
            <w:tcW w:w="5535" w:type="dxa"/>
            <w:vAlign w:val="center"/>
          </w:tcPr>
          <w:p>
            <w:pPr>
              <w:widowControl/>
              <w:tabs>
                <w:tab w:val="left" w:pos="1002"/>
              </w:tabs>
              <w:rPr>
                <w:rFonts w:hint="eastAsia" w:ascii="宋体" w:hAnsi="宋体" w:cs="宋体"/>
                <w:color w:val="auto"/>
                <w:kern w:val="0"/>
                <w:sz w:val="24"/>
                <w:highlight w:val="none"/>
              </w:rPr>
            </w:pPr>
            <w:r>
              <w:rPr>
                <w:rFonts w:hint="eastAsia" w:ascii="宋体" w:hAnsi="宋体" w:cs="宋体"/>
                <w:color w:val="auto"/>
                <w:kern w:val="0"/>
                <w:sz w:val="24"/>
                <w:highlight w:val="none"/>
              </w:rPr>
              <w:t>投标人自2019年1月1日起至今（以合同签订时间为准），承接过废弃矿山生态修复技术服务、历史遗留矿山核查等类似项目业绩的，每个得0.5分，最高1分。</w:t>
            </w:r>
          </w:p>
          <w:p>
            <w:pPr>
              <w:widowControl/>
              <w:tabs>
                <w:tab w:val="left" w:pos="1002"/>
              </w:tabs>
              <w:rPr>
                <w:rFonts w:hint="eastAsia" w:ascii="宋体" w:hAnsi="宋体" w:cs="宋体"/>
                <w:color w:val="auto"/>
                <w:kern w:val="0"/>
                <w:sz w:val="24"/>
                <w:highlight w:val="none"/>
              </w:rPr>
            </w:pPr>
            <w:r>
              <w:rPr>
                <w:rFonts w:hint="eastAsia" w:ascii="宋体" w:hAnsi="宋体" w:cs="宋体"/>
                <w:color w:val="auto"/>
                <w:kern w:val="0"/>
                <w:sz w:val="24"/>
                <w:highlight w:val="none"/>
              </w:rPr>
              <w:t>（注：投标人需提供合同复印件并加盖单位公章）</w:t>
            </w:r>
          </w:p>
        </w:tc>
        <w:tc>
          <w:tcPr>
            <w:tcW w:w="818"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w:t>
            </w:r>
          </w:p>
        </w:tc>
        <w:tc>
          <w:tcPr>
            <w:tcW w:w="99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25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Merge w:val="restart"/>
            <w:vAlign w:val="center"/>
          </w:tcPr>
          <w:p>
            <w:pPr>
              <w:widowControl/>
              <w:numPr>
                <w:ilvl w:val="0"/>
                <w:numId w:val="9"/>
              </w:numPr>
              <w:jc w:val="center"/>
              <w:rPr>
                <w:rFonts w:hint="eastAsia" w:ascii="宋体" w:hAnsi="宋体" w:cs="宋体"/>
                <w:color w:val="auto"/>
                <w:kern w:val="0"/>
                <w:sz w:val="24"/>
                <w:highlight w:val="none"/>
              </w:rPr>
            </w:pPr>
          </w:p>
        </w:tc>
        <w:tc>
          <w:tcPr>
            <w:tcW w:w="5535" w:type="dxa"/>
            <w:vAlign w:val="bottom"/>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根据投标人对本项目背景、概况等情况的剖析全面、清晰、合理性，进行综合打分。解析合理完整清晰、理解深刻的，得</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分；解析相对合理清晰、理解相对深刻的，得4分；解析模糊、理解较差的，得2分；未提供相关内容得0分。</w:t>
            </w:r>
          </w:p>
        </w:tc>
        <w:tc>
          <w:tcPr>
            <w:tcW w:w="818"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997"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25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项目的理解分析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39" w:type="dxa"/>
            <w:vMerge w:val="continue"/>
            <w:vAlign w:val="center"/>
          </w:tcPr>
          <w:p>
            <w:pPr>
              <w:widowControl/>
              <w:jc w:val="left"/>
              <w:rPr>
                <w:color w:val="auto"/>
                <w:highlight w:val="none"/>
              </w:rPr>
            </w:pPr>
          </w:p>
        </w:tc>
        <w:tc>
          <w:tcPr>
            <w:tcW w:w="5535" w:type="dxa"/>
            <w:vAlign w:val="bottom"/>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根据投标人对本区采矿用地（持证矿山、废弃矿山</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其他裸露采矿用地</w:t>
            </w:r>
            <w:r>
              <w:rPr>
                <w:rFonts w:hint="eastAsia" w:ascii="宋体" w:hAnsi="宋体" w:cs="宋体"/>
                <w:color w:val="auto"/>
                <w:kern w:val="0"/>
                <w:sz w:val="24"/>
                <w:highlight w:val="none"/>
              </w:rPr>
              <w:t>）现状掌握程度和情况分析的合理性，进行综合打分。掌握程度高、合理的得</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分；掌握度较高、比较合理的得4分；掌握度不高、不够合理的得2分；未提供相关内容得0分。</w:t>
            </w:r>
          </w:p>
        </w:tc>
        <w:tc>
          <w:tcPr>
            <w:tcW w:w="818"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997" w:type="dxa"/>
            <w:vMerge w:val="continue"/>
            <w:vAlign w:val="center"/>
          </w:tcPr>
          <w:p>
            <w:pPr>
              <w:widowControl/>
              <w:jc w:val="left"/>
              <w:rPr>
                <w:rFonts w:hint="eastAsia" w:ascii="宋体" w:hAnsi="宋体" w:cs="宋体"/>
                <w:color w:val="auto"/>
                <w:kern w:val="0"/>
                <w:sz w:val="24"/>
                <w:highlight w:val="none"/>
              </w:rPr>
            </w:pPr>
          </w:p>
        </w:tc>
        <w:tc>
          <w:tcPr>
            <w:tcW w:w="1252" w:type="dxa"/>
            <w:vMerge w:val="continue"/>
            <w:vAlign w:val="center"/>
          </w:tcPr>
          <w:p>
            <w:pPr>
              <w:widowControl/>
              <w:jc w:val="left"/>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39" w:type="dxa"/>
            <w:vAlign w:val="center"/>
          </w:tcPr>
          <w:p>
            <w:pPr>
              <w:widowControl/>
              <w:numPr>
                <w:ilvl w:val="0"/>
                <w:numId w:val="9"/>
              </w:numPr>
              <w:jc w:val="center"/>
              <w:rPr>
                <w:rFonts w:hint="eastAsia" w:ascii="宋体" w:hAnsi="宋体" w:cs="宋体"/>
                <w:color w:val="auto"/>
                <w:kern w:val="0"/>
                <w:sz w:val="24"/>
                <w:highlight w:val="none"/>
              </w:rPr>
            </w:pPr>
          </w:p>
        </w:tc>
        <w:tc>
          <w:tcPr>
            <w:tcW w:w="5535" w:type="dxa"/>
            <w:vAlign w:val="center"/>
          </w:tcPr>
          <w:p>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投标人根据本项目采购需求，提出重点难点的分析及解决方案，包括①重点、难点分析；②重点、难点解决方案，每满足一项得3分，基本满足得1分，否则不得分。</w:t>
            </w:r>
          </w:p>
        </w:tc>
        <w:tc>
          <w:tcPr>
            <w:tcW w:w="818"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99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25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重点难点的分析及解决方案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39" w:type="dxa"/>
            <w:vMerge w:val="restart"/>
            <w:vAlign w:val="center"/>
          </w:tcPr>
          <w:p>
            <w:pPr>
              <w:widowControl/>
              <w:numPr>
                <w:ilvl w:val="0"/>
                <w:numId w:val="9"/>
              </w:numPr>
              <w:jc w:val="center"/>
              <w:rPr>
                <w:rFonts w:hint="eastAsia" w:ascii="宋体" w:hAnsi="宋体" w:cs="宋体"/>
                <w:color w:val="auto"/>
                <w:kern w:val="0"/>
                <w:sz w:val="24"/>
                <w:highlight w:val="none"/>
              </w:rPr>
            </w:pPr>
          </w:p>
        </w:tc>
        <w:tc>
          <w:tcPr>
            <w:tcW w:w="5535" w:type="dxa"/>
            <w:vAlign w:val="bottom"/>
          </w:tcPr>
          <w:p>
            <w:pPr>
              <w:widowControl/>
              <w:rPr>
                <w:rFonts w:hint="eastAsia" w:ascii="宋体" w:hAnsi="宋体" w:cs="宋体"/>
                <w:color w:val="auto"/>
                <w:kern w:val="0"/>
                <w:sz w:val="24"/>
                <w:highlight w:val="none"/>
              </w:rPr>
            </w:pPr>
            <w:r>
              <w:rPr>
                <w:rFonts w:ascii="宋体" w:hAnsi="宋体" w:cs="宋体"/>
                <w:color w:val="auto"/>
                <w:kern w:val="0"/>
                <w:sz w:val="24"/>
                <w:highlight w:val="none"/>
              </w:rPr>
              <w:t>根据整体实施方案详实，针对性，内容完整等，由评委相应打分。实施方案详实，针对性强、内容完整的，得</w:t>
            </w:r>
            <w:r>
              <w:rPr>
                <w:rFonts w:hint="eastAsia" w:ascii="宋体" w:hAnsi="宋体" w:cs="宋体"/>
                <w:color w:val="auto"/>
                <w:kern w:val="0"/>
                <w:sz w:val="24"/>
                <w:highlight w:val="none"/>
                <w:lang w:val="en-US" w:eastAsia="zh-CN"/>
              </w:rPr>
              <w:t>6</w:t>
            </w:r>
            <w:r>
              <w:rPr>
                <w:rFonts w:ascii="宋体" w:hAnsi="宋体" w:cs="宋体"/>
                <w:color w:val="auto"/>
                <w:kern w:val="0"/>
                <w:sz w:val="24"/>
                <w:highlight w:val="none"/>
              </w:rPr>
              <w:t>分；方案较好，基本满足项目要求的，得</w:t>
            </w:r>
            <w:r>
              <w:rPr>
                <w:rFonts w:hint="eastAsia" w:ascii="宋体" w:hAnsi="宋体" w:cs="宋体"/>
                <w:color w:val="auto"/>
                <w:kern w:val="0"/>
                <w:sz w:val="24"/>
                <w:highlight w:val="none"/>
              </w:rPr>
              <w:t>4</w:t>
            </w:r>
            <w:r>
              <w:rPr>
                <w:rFonts w:ascii="宋体" w:hAnsi="宋体" w:cs="宋体"/>
                <w:color w:val="auto"/>
                <w:kern w:val="0"/>
                <w:sz w:val="24"/>
                <w:highlight w:val="none"/>
              </w:rPr>
              <w:t>分；方案较差的，得</w:t>
            </w:r>
            <w:r>
              <w:rPr>
                <w:rFonts w:hint="eastAsia" w:ascii="宋体" w:hAnsi="宋体" w:cs="宋体"/>
                <w:color w:val="auto"/>
                <w:kern w:val="0"/>
                <w:sz w:val="24"/>
                <w:highlight w:val="none"/>
              </w:rPr>
              <w:t>2</w:t>
            </w:r>
            <w:r>
              <w:rPr>
                <w:rFonts w:ascii="宋体" w:hAnsi="宋体" w:cs="宋体"/>
                <w:color w:val="auto"/>
                <w:kern w:val="0"/>
                <w:sz w:val="24"/>
                <w:highlight w:val="none"/>
              </w:rPr>
              <w:t>分；未提供相关内容得0分。</w:t>
            </w:r>
          </w:p>
        </w:tc>
        <w:tc>
          <w:tcPr>
            <w:tcW w:w="818"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997"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25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39" w:type="dxa"/>
            <w:vMerge w:val="continue"/>
            <w:vAlign w:val="center"/>
          </w:tcPr>
          <w:p>
            <w:pPr>
              <w:widowControl/>
              <w:rPr>
                <w:color w:val="auto"/>
                <w:highlight w:val="none"/>
              </w:rPr>
            </w:pPr>
          </w:p>
        </w:tc>
        <w:tc>
          <w:tcPr>
            <w:tcW w:w="5535" w:type="dxa"/>
            <w:vAlign w:val="bottom"/>
          </w:tcPr>
          <w:p>
            <w:pPr>
              <w:widowControl/>
              <w:rPr>
                <w:rFonts w:hint="eastAsia" w:ascii="宋体" w:hAnsi="宋体" w:cs="宋体"/>
                <w:color w:val="auto"/>
                <w:kern w:val="0"/>
                <w:sz w:val="24"/>
                <w:highlight w:val="none"/>
              </w:rPr>
            </w:pPr>
            <w:r>
              <w:rPr>
                <w:rFonts w:ascii="宋体" w:hAnsi="宋体" w:cs="宋体"/>
                <w:color w:val="auto"/>
                <w:kern w:val="0"/>
                <w:sz w:val="24"/>
                <w:highlight w:val="none"/>
              </w:rPr>
              <w:t>根据工作部署的科学性、合理性和经济性等情况进行打分。科学合理经济的得</w:t>
            </w:r>
            <w:r>
              <w:rPr>
                <w:rFonts w:hint="eastAsia" w:ascii="宋体" w:hAnsi="宋体" w:cs="宋体"/>
                <w:color w:val="auto"/>
                <w:kern w:val="0"/>
                <w:sz w:val="24"/>
                <w:highlight w:val="none"/>
              </w:rPr>
              <w:t>6</w:t>
            </w:r>
            <w:r>
              <w:rPr>
                <w:rFonts w:ascii="宋体" w:hAnsi="宋体" w:cs="宋体"/>
                <w:color w:val="auto"/>
                <w:kern w:val="0"/>
                <w:sz w:val="24"/>
                <w:highlight w:val="none"/>
              </w:rPr>
              <w:t>分</w:t>
            </w:r>
            <w:r>
              <w:rPr>
                <w:rFonts w:hint="eastAsia" w:ascii="宋体" w:hAnsi="宋体" w:cs="宋体"/>
                <w:color w:val="auto"/>
                <w:kern w:val="0"/>
                <w:sz w:val="24"/>
                <w:highlight w:val="none"/>
              </w:rPr>
              <w:t>；</w:t>
            </w:r>
            <w:r>
              <w:rPr>
                <w:rFonts w:ascii="宋体" w:hAnsi="宋体" w:cs="宋体"/>
                <w:color w:val="auto"/>
                <w:kern w:val="0"/>
                <w:sz w:val="24"/>
                <w:highlight w:val="none"/>
              </w:rPr>
              <w:t>基本满足项目要求的得</w:t>
            </w:r>
            <w:r>
              <w:rPr>
                <w:rFonts w:hint="eastAsia" w:ascii="宋体" w:hAnsi="宋体" w:cs="宋体"/>
                <w:color w:val="auto"/>
                <w:kern w:val="0"/>
                <w:sz w:val="24"/>
                <w:highlight w:val="none"/>
              </w:rPr>
              <w:t>4</w:t>
            </w:r>
            <w:r>
              <w:rPr>
                <w:rFonts w:ascii="宋体" w:hAnsi="宋体" w:cs="宋体"/>
                <w:color w:val="auto"/>
                <w:kern w:val="0"/>
                <w:sz w:val="24"/>
                <w:highlight w:val="none"/>
              </w:rPr>
              <w:t>分</w:t>
            </w:r>
            <w:r>
              <w:rPr>
                <w:rFonts w:hint="eastAsia" w:ascii="宋体" w:hAnsi="宋体" w:cs="宋体"/>
                <w:color w:val="auto"/>
                <w:kern w:val="0"/>
                <w:sz w:val="24"/>
                <w:highlight w:val="none"/>
              </w:rPr>
              <w:t>；</w:t>
            </w:r>
            <w:r>
              <w:rPr>
                <w:rFonts w:ascii="宋体" w:hAnsi="宋体" w:cs="宋体"/>
                <w:color w:val="auto"/>
                <w:kern w:val="0"/>
                <w:sz w:val="24"/>
                <w:highlight w:val="none"/>
              </w:rPr>
              <w:t>较差的的</w:t>
            </w:r>
            <w:r>
              <w:rPr>
                <w:rFonts w:hint="eastAsia" w:ascii="宋体" w:hAnsi="宋体" w:cs="宋体"/>
                <w:color w:val="auto"/>
                <w:kern w:val="0"/>
                <w:sz w:val="24"/>
                <w:highlight w:val="none"/>
              </w:rPr>
              <w:t>2</w:t>
            </w:r>
            <w:r>
              <w:rPr>
                <w:rFonts w:ascii="宋体" w:hAnsi="宋体" w:cs="宋体"/>
                <w:color w:val="auto"/>
                <w:kern w:val="0"/>
                <w:sz w:val="24"/>
                <w:highlight w:val="none"/>
              </w:rPr>
              <w:t>分；未提供相关内容得0分。</w:t>
            </w:r>
          </w:p>
        </w:tc>
        <w:tc>
          <w:tcPr>
            <w:tcW w:w="818"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997" w:type="dxa"/>
            <w:vMerge w:val="continue"/>
            <w:vAlign w:val="center"/>
          </w:tcPr>
          <w:p>
            <w:pPr>
              <w:widowControl/>
              <w:rPr>
                <w:rFonts w:hint="eastAsia" w:ascii="宋体" w:hAnsi="宋体" w:cs="宋体"/>
                <w:color w:val="auto"/>
                <w:kern w:val="0"/>
                <w:sz w:val="24"/>
                <w:highlight w:val="none"/>
              </w:rPr>
            </w:pPr>
          </w:p>
        </w:tc>
        <w:tc>
          <w:tcPr>
            <w:tcW w:w="1252" w:type="dxa"/>
            <w:vMerge w:val="continue"/>
            <w:vAlign w:val="center"/>
          </w:tcPr>
          <w:p>
            <w:pPr>
              <w:widowControl/>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9" w:type="dxa"/>
            <w:vMerge w:val="continue"/>
            <w:vAlign w:val="center"/>
          </w:tcPr>
          <w:p>
            <w:pPr>
              <w:widowControl/>
              <w:rPr>
                <w:color w:val="auto"/>
                <w:highlight w:val="none"/>
              </w:rPr>
            </w:pPr>
          </w:p>
        </w:tc>
        <w:tc>
          <w:tcPr>
            <w:tcW w:w="5535" w:type="dxa"/>
            <w:vAlign w:val="bottom"/>
          </w:tcPr>
          <w:p>
            <w:pPr>
              <w:widowControl/>
              <w:rPr>
                <w:rFonts w:hint="eastAsia" w:ascii="宋体" w:hAnsi="宋体" w:cs="宋体"/>
                <w:color w:val="auto"/>
                <w:kern w:val="0"/>
                <w:sz w:val="24"/>
                <w:highlight w:val="none"/>
              </w:rPr>
            </w:pPr>
            <w:r>
              <w:rPr>
                <w:rFonts w:ascii="宋体" w:hAnsi="宋体" w:cs="宋体"/>
                <w:color w:val="auto"/>
                <w:kern w:val="0"/>
                <w:sz w:val="24"/>
                <w:highlight w:val="none"/>
              </w:rPr>
              <w:t>根据进度计划安排方案，从进度计划合理性、可行性、高效性进行打分。内容详实合理可行，高效的</w:t>
            </w:r>
            <w:r>
              <w:rPr>
                <w:rFonts w:hint="eastAsia" w:ascii="宋体" w:hAnsi="宋体" w:cs="宋体"/>
                <w:color w:val="auto"/>
                <w:kern w:val="0"/>
                <w:sz w:val="24"/>
                <w:highlight w:val="none"/>
              </w:rPr>
              <w:t>，</w:t>
            </w:r>
            <w:r>
              <w:rPr>
                <w:rFonts w:ascii="宋体" w:hAnsi="宋体" w:cs="宋体"/>
                <w:color w:val="auto"/>
                <w:kern w:val="0"/>
                <w:sz w:val="24"/>
                <w:highlight w:val="none"/>
              </w:rPr>
              <w:t>得</w:t>
            </w:r>
            <w:r>
              <w:rPr>
                <w:rFonts w:hint="eastAsia" w:ascii="宋体" w:hAnsi="宋体" w:cs="宋体"/>
                <w:color w:val="auto"/>
                <w:kern w:val="0"/>
                <w:sz w:val="24"/>
                <w:highlight w:val="none"/>
              </w:rPr>
              <w:t>6</w:t>
            </w:r>
            <w:r>
              <w:rPr>
                <w:rFonts w:ascii="宋体" w:hAnsi="宋体" w:cs="宋体"/>
                <w:color w:val="auto"/>
                <w:kern w:val="0"/>
                <w:sz w:val="24"/>
                <w:highlight w:val="none"/>
              </w:rPr>
              <w:t>分</w:t>
            </w:r>
            <w:r>
              <w:rPr>
                <w:rFonts w:hint="eastAsia" w:ascii="宋体" w:hAnsi="宋体" w:cs="宋体"/>
                <w:color w:val="auto"/>
                <w:kern w:val="0"/>
                <w:sz w:val="24"/>
                <w:highlight w:val="none"/>
              </w:rPr>
              <w:t>；</w:t>
            </w:r>
            <w:r>
              <w:rPr>
                <w:rFonts w:ascii="宋体" w:hAnsi="宋体" w:cs="宋体"/>
                <w:color w:val="auto"/>
                <w:kern w:val="0"/>
                <w:sz w:val="24"/>
                <w:highlight w:val="none"/>
              </w:rPr>
              <w:t>大部分符合得</w:t>
            </w:r>
            <w:r>
              <w:rPr>
                <w:rFonts w:hint="eastAsia" w:ascii="宋体" w:hAnsi="宋体" w:cs="宋体"/>
                <w:color w:val="auto"/>
                <w:kern w:val="0"/>
                <w:sz w:val="24"/>
                <w:highlight w:val="none"/>
              </w:rPr>
              <w:t>4</w:t>
            </w:r>
            <w:r>
              <w:rPr>
                <w:rFonts w:ascii="宋体" w:hAnsi="宋体" w:cs="宋体"/>
                <w:color w:val="auto"/>
                <w:kern w:val="0"/>
                <w:sz w:val="24"/>
                <w:highlight w:val="none"/>
              </w:rPr>
              <w:t>分</w:t>
            </w:r>
            <w:r>
              <w:rPr>
                <w:rFonts w:hint="eastAsia" w:ascii="宋体" w:hAnsi="宋体" w:cs="宋体"/>
                <w:color w:val="auto"/>
                <w:kern w:val="0"/>
                <w:sz w:val="24"/>
                <w:highlight w:val="none"/>
              </w:rPr>
              <w:t>；</w:t>
            </w:r>
            <w:r>
              <w:rPr>
                <w:rFonts w:ascii="宋体" w:hAnsi="宋体" w:cs="宋体"/>
                <w:color w:val="auto"/>
                <w:kern w:val="0"/>
                <w:sz w:val="24"/>
                <w:highlight w:val="none"/>
              </w:rPr>
              <w:t>部分符合得</w:t>
            </w:r>
            <w:r>
              <w:rPr>
                <w:rFonts w:hint="eastAsia" w:ascii="宋体" w:hAnsi="宋体" w:cs="宋体"/>
                <w:color w:val="auto"/>
                <w:kern w:val="0"/>
                <w:sz w:val="24"/>
                <w:highlight w:val="none"/>
              </w:rPr>
              <w:t>2</w:t>
            </w:r>
            <w:r>
              <w:rPr>
                <w:rFonts w:ascii="宋体" w:hAnsi="宋体" w:cs="宋体"/>
                <w:color w:val="auto"/>
                <w:kern w:val="0"/>
                <w:sz w:val="24"/>
                <w:highlight w:val="none"/>
              </w:rPr>
              <w:t>分</w:t>
            </w:r>
            <w:r>
              <w:rPr>
                <w:rFonts w:hint="eastAsia" w:ascii="宋体" w:hAnsi="宋体" w:cs="宋体"/>
                <w:color w:val="auto"/>
                <w:kern w:val="0"/>
                <w:sz w:val="24"/>
                <w:highlight w:val="none"/>
              </w:rPr>
              <w:t>；</w:t>
            </w:r>
            <w:r>
              <w:rPr>
                <w:rFonts w:ascii="宋体" w:hAnsi="宋体" w:cs="宋体"/>
                <w:color w:val="auto"/>
                <w:kern w:val="0"/>
                <w:sz w:val="24"/>
                <w:highlight w:val="none"/>
              </w:rPr>
              <w:t>未提供相关内容得0分。</w:t>
            </w:r>
          </w:p>
        </w:tc>
        <w:tc>
          <w:tcPr>
            <w:tcW w:w="818"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997" w:type="dxa"/>
            <w:vMerge w:val="continue"/>
            <w:vAlign w:val="center"/>
          </w:tcPr>
          <w:p>
            <w:pPr>
              <w:widowControl/>
              <w:rPr>
                <w:rFonts w:hint="eastAsia" w:ascii="宋体" w:hAnsi="宋体" w:cs="宋体"/>
                <w:color w:val="auto"/>
                <w:kern w:val="0"/>
                <w:sz w:val="24"/>
                <w:highlight w:val="none"/>
              </w:rPr>
            </w:pPr>
          </w:p>
        </w:tc>
        <w:tc>
          <w:tcPr>
            <w:tcW w:w="1252" w:type="dxa"/>
            <w:vMerge w:val="continue"/>
            <w:vAlign w:val="center"/>
          </w:tcPr>
          <w:p>
            <w:pPr>
              <w:widowControl/>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9" w:type="dxa"/>
            <w:vMerge w:val="continue"/>
            <w:vAlign w:val="center"/>
          </w:tcPr>
          <w:p>
            <w:pPr>
              <w:widowControl/>
              <w:rPr>
                <w:color w:val="auto"/>
                <w:highlight w:val="none"/>
              </w:rPr>
            </w:pPr>
          </w:p>
        </w:tc>
        <w:tc>
          <w:tcPr>
            <w:tcW w:w="5535" w:type="dxa"/>
            <w:vAlign w:val="bottom"/>
          </w:tcPr>
          <w:p>
            <w:pPr>
              <w:widowControl/>
              <w:rPr>
                <w:rFonts w:hint="eastAsia" w:ascii="宋体" w:hAnsi="宋体" w:cs="宋体"/>
                <w:color w:val="auto"/>
                <w:kern w:val="0"/>
                <w:sz w:val="24"/>
                <w:highlight w:val="none"/>
              </w:rPr>
            </w:pPr>
            <w:r>
              <w:rPr>
                <w:rFonts w:ascii="宋体" w:hAnsi="宋体" w:cs="宋体"/>
                <w:color w:val="auto"/>
                <w:kern w:val="0"/>
                <w:sz w:val="24"/>
                <w:highlight w:val="none"/>
              </w:rPr>
              <w:t>根据技术路线的科学、合理并且符合工作区实际可行进行打分。技术路线科学合理符合实际可行的得</w:t>
            </w:r>
            <w:r>
              <w:rPr>
                <w:rFonts w:hint="eastAsia" w:ascii="宋体" w:hAnsi="宋体" w:cs="宋体"/>
                <w:color w:val="auto"/>
                <w:kern w:val="0"/>
                <w:sz w:val="24"/>
                <w:highlight w:val="none"/>
              </w:rPr>
              <w:t>6</w:t>
            </w:r>
            <w:r>
              <w:rPr>
                <w:rFonts w:ascii="宋体" w:hAnsi="宋体" w:cs="宋体"/>
                <w:color w:val="auto"/>
                <w:kern w:val="0"/>
                <w:sz w:val="24"/>
                <w:highlight w:val="none"/>
              </w:rPr>
              <w:t>分</w:t>
            </w:r>
            <w:r>
              <w:rPr>
                <w:rFonts w:hint="eastAsia" w:ascii="宋体" w:hAnsi="宋体" w:cs="宋体"/>
                <w:color w:val="auto"/>
                <w:kern w:val="0"/>
                <w:sz w:val="24"/>
                <w:highlight w:val="none"/>
              </w:rPr>
              <w:t>；</w:t>
            </w:r>
            <w:r>
              <w:rPr>
                <w:rFonts w:ascii="宋体" w:hAnsi="宋体" w:cs="宋体"/>
                <w:color w:val="auto"/>
                <w:kern w:val="0"/>
                <w:sz w:val="24"/>
                <w:highlight w:val="none"/>
              </w:rPr>
              <w:t>较</w:t>
            </w:r>
            <w:r>
              <w:rPr>
                <w:rFonts w:hint="eastAsia" w:ascii="宋体" w:hAnsi="宋体" w:cs="宋体"/>
                <w:color w:val="auto"/>
                <w:kern w:val="0"/>
                <w:sz w:val="24"/>
                <w:highlight w:val="none"/>
              </w:rPr>
              <w:t>为</w:t>
            </w:r>
            <w:r>
              <w:rPr>
                <w:rFonts w:ascii="宋体" w:hAnsi="宋体" w:cs="宋体"/>
                <w:color w:val="auto"/>
                <w:kern w:val="0"/>
                <w:sz w:val="24"/>
                <w:highlight w:val="none"/>
              </w:rPr>
              <w:t>合理</w:t>
            </w:r>
            <w:r>
              <w:rPr>
                <w:rFonts w:hint="eastAsia" w:ascii="宋体" w:hAnsi="宋体" w:cs="宋体"/>
                <w:color w:val="auto"/>
                <w:kern w:val="0"/>
                <w:sz w:val="24"/>
                <w:highlight w:val="none"/>
              </w:rPr>
              <w:t>可行的</w:t>
            </w:r>
            <w:r>
              <w:rPr>
                <w:rFonts w:ascii="宋体" w:hAnsi="宋体" w:cs="宋体"/>
                <w:color w:val="auto"/>
                <w:kern w:val="0"/>
                <w:sz w:val="24"/>
                <w:highlight w:val="none"/>
              </w:rPr>
              <w:t>的得</w:t>
            </w:r>
            <w:r>
              <w:rPr>
                <w:rFonts w:hint="eastAsia" w:ascii="宋体" w:hAnsi="宋体" w:cs="宋体"/>
                <w:color w:val="auto"/>
                <w:kern w:val="0"/>
                <w:sz w:val="24"/>
                <w:highlight w:val="none"/>
              </w:rPr>
              <w:t>4</w:t>
            </w:r>
            <w:r>
              <w:rPr>
                <w:rFonts w:ascii="宋体" w:hAnsi="宋体" w:cs="宋体"/>
                <w:color w:val="auto"/>
                <w:kern w:val="0"/>
                <w:sz w:val="24"/>
                <w:highlight w:val="none"/>
              </w:rPr>
              <w:t>分</w:t>
            </w:r>
            <w:r>
              <w:rPr>
                <w:rFonts w:hint="eastAsia" w:ascii="宋体" w:hAnsi="宋体" w:cs="宋体"/>
                <w:color w:val="auto"/>
                <w:kern w:val="0"/>
                <w:sz w:val="24"/>
                <w:highlight w:val="none"/>
              </w:rPr>
              <w:t>；不够科学合理可行</w:t>
            </w:r>
            <w:r>
              <w:rPr>
                <w:rFonts w:ascii="宋体" w:hAnsi="宋体" w:cs="宋体"/>
                <w:color w:val="auto"/>
                <w:kern w:val="0"/>
                <w:sz w:val="24"/>
                <w:highlight w:val="none"/>
              </w:rPr>
              <w:t>的</w:t>
            </w:r>
            <w:r>
              <w:rPr>
                <w:rFonts w:hint="eastAsia" w:ascii="宋体" w:hAnsi="宋体" w:cs="宋体"/>
                <w:color w:val="auto"/>
                <w:kern w:val="0"/>
                <w:sz w:val="24"/>
                <w:highlight w:val="none"/>
              </w:rPr>
              <w:t>，</w:t>
            </w:r>
            <w:r>
              <w:rPr>
                <w:rFonts w:ascii="宋体" w:hAnsi="宋体" w:cs="宋体"/>
                <w:color w:val="auto"/>
                <w:kern w:val="0"/>
                <w:sz w:val="24"/>
                <w:highlight w:val="none"/>
              </w:rPr>
              <w:t>得</w:t>
            </w:r>
            <w:r>
              <w:rPr>
                <w:rFonts w:hint="eastAsia" w:ascii="宋体" w:hAnsi="宋体" w:cs="宋体"/>
                <w:color w:val="auto"/>
                <w:kern w:val="0"/>
                <w:sz w:val="24"/>
                <w:highlight w:val="none"/>
              </w:rPr>
              <w:t>2</w:t>
            </w:r>
            <w:r>
              <w:rPr>
                <w:rFonts w:ascii="宋体" w:hAnsi="宋体" w:cs="宋体"/>
                <w:color w:val="auto"/>
                <w:kern w:val="0"/>
                <w:sz w:val="24"/>
                <w:highlight w:val="none"/>
              </w:rPr>
              <w:t>分；未提供相关内容得0分。</w:t>
            </w:r>
          </w:p>
        </w:tc>
        <w:tc>
          <w:tcPr>
            <w:tcW w:w="818"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997" w:type="dxa"/>
            <w:vMerge w:val="continue"/>
            <w:vAlign w:val="center"/>
          </w:tcPr>
          <w:p>
            <w:pPr>
              <w:widowControl/>
              <w:rPr>
                <w:rFonts w:hint="eastAsia" w:ascii="宋体" w:hAnsi="宋体" w:cs="宋体"/>
                <w:color w:val="auto"/>
                <w:kern w:val="0"/>
                <w:sz w:val="24"/>
                <w:highlight w:val="none"/>
              </w:rPr>
            </w:pPr>
          </w:p>
        </w:tc>
        <w:tc>
          <w:tcPr>
            <w:tcW w:w="1252" w:type="dxa"/>
            <w:vMerge w:val="continue"/>
            <w:vAlign w:val="center"/>
          </w:tcPr>
          <w:p>
            <w:pPr>
              <w:widowControl/>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39" w:type="dxa"/>
            <w:vMerge w:val="restart"/>
            <w:vAlign w:val="center"/>
          </w:tcPr>
          <w:p>
            <w:pPr>
              <w:widowControl/>
              <w:numPr>
                <w:ilvl w:val="0"/>
                <w:numId w:val="9"/>
              </w:numPr>
              <w:jc w:val="center"/>
              <w:rPr>
                <w:rFonts w:hint="eastAsia" w:ascii="宋体" w:hAnsi="宋体" w:cs="宋体"/>
                <w:color w:val="auto"/>
                <w:kern w:val="0"/>
                <w:sz w:val="24"/>
                <w:highlight w:val="none"/>
              </w:rPr>
            </w:pPr>
          </w:p>
        </w:tc>
        <w:tc>
          <w:tcPr>
            <w:tcW w:w="5535" w:type="dxa"/>
            <w:vAlign w:val="bottom"/>
          </w:tcPr>
          <w:p>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项目负责人：</w:t>
            </w:r>
          </w:p>
          <w:p>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拟派项目负责人同时具有水工环地质和采矿专业高级职称及以上的得8分，同时具有水工环</w:t>
            </w:r>
            <w:r>
              <w:rPr>
                <w:rFonts w:hint="eastAsia" w:ascii="宋体" w:hAnsi="宋体" w:cs="宋体"/>
                <w:color w:val="auto"/>
                <w:kern w:val="0"/>
                <w:sz w:val="24"/>
                <w:highlight w:val="none"/>
                <w:lang w:val="en-US" w:eastAsia="zh-CN" w:bidi="ar"/>
              </w:rPr>
              <w:t>地质</w:t>
            </w:r>
            <w:r>
              <w:rPr>
                <w:rFonts w:hint="eastAsia" w:ascii="宋体" w:hAnsi="宋体" w:cs="宋体"/>
                <w:color w:val="auto"/>
                <w:kern w:val="0"/>
                <w:sz w:val="24"/>
                <w:highlight w:val="none"/>
                <w:lang w:bidi="ar"/>
              </w:rPr>
              <w:t>和采矿专业中级职称的得3分，其余不得分。</w:t>
            </w:r>
          </w:p>
          <w:p>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（注：需提供社保证明、证书加盖单位公章，不提供不得分）</w:t>
            </w:r>
          </w:p>
        </w:tc>
        <w:tc>
          <w:tcPr>
            <w:tcW w:w="818"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99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25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人员配置</w:t>
            </w:r>
          </w:p>
          <w:p>
            <w:pPr>
              <w:widowControl/>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39" w:type="dxa"/>
            <w:vMerge w:val="continue"/>
            <w:vAlign w:val="center"/>
          </w:tcPr>
          <w:p>
            <w:pPr>
              <w:widowControl/>
              <w:jc w:val="center"/>
              <w:rPr>
                <w:rFonts w:hint="eastAsia" w:ascii="宋体" w:hAnsi="宋体" w:cs="宋体"/>
                <w:color w:val="auto"/>
                <w:kern w:val="0"/>
                <w:sz w:val="24"/>
                <w:highlight w:val="none"/>
              </w:rPr>
            </w:pPr>
          </w:p>
        </w:tc>
        <w:tc>
          <w:tcPr>
            <w:tcW w:w="5535" w:type="dxa"/>
            <w:vAlign w:val="bottom"/>
          </w:tcPr>
          <w:p>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项目组技术成员(除项目负责人外):项目团队成员具有水工环地质、采矿、地质、测绘专业中级及以上职称，每类专业提供1人得1分，配备齐全的得4分，不齐全的不得分。项目团队成员每类专业增加一名高级及以上职称的，一个得1分，最高得4分。</w:t>
            </w:r>
          </w:p>
          <w:p>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(注:以人员上需提供相关人员证书、近期社保证明加盖单位公章，不提供不得分)</w:t>
            </w:r>
          </w:p>
        </w:tc>
        <w:tc>
          <w:tcPr>
            <w:tcW w:w="818"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99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252" w:type="dxa"/>
            <w:vMerge w:val="continue"/>
            <w:vAlign w:val="center"/>
          </w:tcPr>
          <w:p>
            <w:pPr>
              <w:widowControl/>
              <w:jc w:val="center"/>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39" w:type="dxa"/>
            <w:vAlign w:val="center"/>
          </w:tcPr>
          <w:p>
            <w:pPr>
              <w:widowControl/>
              <w:numPr>
                <w:ilvl w:val="0"/>
                <w:numId w:val="9"/>
              </w:numPr>
              <w:jc w:val="center"/>
              <w:rPr>
                <w:rFonts w:hint="eastAsia" w:ascii="宋体" w:hAnsi="宋体" w:cs="宋体"/>
                <w:color w:val="auto"/>
                <w:kern w:val="0"/>
                <w:sz w:val="24"/>
                <w:highlight w:val="none"/>
              </w:rPr>
            </w:pPr>
          </w:p>
        </w:tc>
        <w:tc>
          <w:tcPr>
            <w:tcW w:w="5535" w:type="dxa"/>
            <w:vAlign w:val="bottom"/>
          </w:tcPr>
          <w:p>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根据投标人针对本项目交通工具、仪器装备等满足工作要求，配置齐全合理性，状态完好性等情况进行综合评价。装备配置全面、合理、能够完全满足项目实施需求的，得</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分；装备配置相对完整、合理的，能够基本满足项目实施需求的，得</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分；装备配置相对较差、不够合理的得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ascii="宋体" w:hAnsi="宋体" w:cs="宋体"/>
                <w:color w:val="auto"/>
                <w:kern w:val="0"/>
                <w:sz w:val="24"/>
                <w:highlight w:val="none"/>
              </w:rPr>
              <w:t>未提供相关内容得0分。</w:t>
            </w:r>
          </w:p>
        </w:tc>
        <w:tc>
          <w:tcPr>
            <w:tcW w:w="818"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997"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252" w:type="dxa"/>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39" w:type="dxa"/>
            <w:vMerge w:val="restart"/>
            <w:vAlign w:val="center"/>
          </w:tcPr>
          <w:p>
            <w:pPr>
              <w:widowControl/>
              <w:numPr>
                <w:ilvl w:val="0"/>
                <w:numId w:val="9"/>
              </w:numPr>
              <w:jc w:val="center"/>
              <w:rPr>
                <w:rFonts w:hint="eastAsia" w:ascii="宋体" w:hAnsi="宋体" w:cs="宋体"/>
                <w:color w:val="auto"/>
                <w:kern w:val="0"/>
                <w:sz w:val="24"/>
                <w:highlight w:val="none"/>
              </w:rPr>
            </w:pPr>
          </w:p>
        </w:tc>
        <w:tc>
          <w:tcPr>
            <w:tcW w:w="5535" w:type="dxa"/>
            <w:vAlign w:val="bottom"/>
          </w:tcPr>
          <w:p>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投标人针对本项目制定的服务质量措施、安全技术措施等方案，根据方案措施的完整性和可实施性等进行打分。方案措施完整、可实施性强的得</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分；方案措施较完整、实施性较强的得</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分；方案措施一般，实施性一般的得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分；未提供相关内容得0分。</w:t>
            </w:r>
          </w:p>
        </w:tc>
        <w:tc>
          <w:tcPr>
            <w:tcW w:w="818" w:type="dxa"/>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997"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252" w:type="dxa"/>
            <w:vMerge w:val="restart"/>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39" w:type="dxa"/>
            <w:vMerge w:val="continue"/>
            <w:vAlign w:val="center"/>
          </w:tcPr>
          <w:p>
            <w:pPr>
              <w:rPr>
                <w:color w:val="auto"/>
                <w:highlight w:val="none"/>
              </w:rPr>
            </w:pPr>
          </w:p>
        </w:tc>
        <w:tc>
          <w:tcPr>
            <w:tcW w:w="5535" w:type="dxa"/>
            <w:vAlign w:val="bottom"/>
          </w:tcPr>
          <w:p>
            <w:pPr>
              <w:pStyle w:val="2"/>
              <w:numPr>
                <w:ilvl w:val="0"/>
                <w:numId w:val="0"/>
              </w:numPr>
              <w:spacing w:line="240" w:lineRule="auto"/>
              <w:rPr>
                <w:rFonts w:hint="eastAsia" w:ascii="宋体" w:hAnsi="宋体" w:cs="宋体"/>
                <w:b w:val="0"/>
                <w:bCs w:val="0"/>
                <w:color w:val="auto"/>
                <w:kern w:val="0"/>
                <w:sz w:val="24"/>
                <w:szCs w:val="24"/>
                <w:highlight w:val="none"/>
                <w:lang w:val="en-US" w:bidi="ar"/>
              </w:rPr>
            </w:pPr>
            <w:r>
              <w:rPr>
                <w:rFonts w:hint="eastAsia" w:ascii="宋体" w:hAnsi="宋体" w:eastAsia="宋体" w:cs="宋体"/>
                <w:b w:val="0"/>
                <w:bCs w:val="0"/>
                <w:color w:val="auto"/>
                <w:kern w:val="0"/>
                <w:sz w:val="24"/>
                <w:szCs w:val="24"/>
                <w:highlight w:val="none"/>
                <w:lang w:val="en-US" w:bidi="ar"/>
              </w:rPr>
              <w:t>投标人针对本项目提供详尽的售后技术服务方案，根据售后服务承诺的可行性、完整性，服务承诺落实的保障措施，维护期内外的后续技术支持和维护能力等情况进行打分。完整可行性强的得</w:t>
            </w:r>
            <w:r>
              <w:rPr>
                <w:rFonts w:hint="eastAsia" w:ascii="宋体" w:hAnsi="宋体" w:eastAsia="宋体" w:cs="宋体"/>
                <w:b w:val="0"/>
                <w:bCs w:val="0"/>
                <w:color w:val="auto"/>
                <w:kern w:val="0"/>
                <w:sz w:val="24"/>
                <w:szCs w:val="24"/>
                <w:highlight w:val="none"/>
                <w:lang w:val="en-US" w:eastAsia="zh-CN" w:bidi="ar"/>
              </w:rPr>
              <w:t>6</w:t>
            </w:r>
            <w:r>
              <w:rPr>
                <w:rFonts w:hint="eastAsia" w:ascii="宋体" w:hAnsi="宋体" w:eastAsia="宋体" w:cs="宋体"/>
                <w:b w:val="0"/>
                <w:bCs w:val="0"/>
                <w:color w:val="auto"/>
                <w:kern w:val="0"/>
                <w:sz w:val="24"/>
                <w:szCs w:val="24"/>
                <w:highlight w:val="none"/>
                <w:lang w:val="en-US" w:bidi="ar"/>
              </w:rPr>
              <w:t>分；可行性较强的得</w:t>
            </w:r>
            <w:r>
              <w:rPr>
                <w:rFonts w:hint="eastAsia" w:ascii="宋体" w:hAnsi="宋体" w:eastAsia="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bidi="ar"/>
              </w:rPr>
              <w:t>分；可行性一般的得</w:t>
            </w:r>
            <w:r>
              <w:rPr>
                <w:rFonts w:hint="eastAsia" w:ascii="宋体" w:hAnsi="宋体" w:eastAsia="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val="en-US" w:bidi="ar"/>
              </w:rPr>
              <w:t>分；未提供相关内容得0分。</w:t>
            </w:r>
          </w:p>
        </w:tc>
        <w:tc>
          <w:tcPr>
            <w:tcW w:w="818" w:type="dxa"/>
            <w:vAlign w:val="center"/>
          </w:tcPr>
          <w:p>
            <w:pPr>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6</w:t>
            </w:r>
          </w:p>
        </w:tc>
        <w:tc>
          <w:tcPr>
            <w:tcW w:w="997" w:type="dxa"/>
            <w:vMerge w:val="continue"/>
            <w:vAlign w:val="center"/>
          </w:tcPr>
          <w:p>
            <w:pPr>
              <w:rPr>
                <w:rFonts w:hint="eastAsia" w:ascii="宋体" w:hAnsi="宋体" w:cs="宋体"/>
                <w:color w:val="auto"/>
                <w:kern w:val="0"/>
                <w:sz w:val="24"/>
                <w:highlight w:val="none"/>
                <w:lang w:bidi="ar"/>
              </w:rPr>
            </w:pPr>
          </w:p>
        </w:tc>
        <w:tc>
          <w:tcPr>
            <w:tcW w:w="1252" w:type="dxa"/>
            <w:vMerge w:val="continue"/>
            <w:vAlign w:val="center"/>
          </w:tcPr>
          <w:p>
            <w:pPr>
              <w:rPr>
                <w:rFonts w:hint="eastAsia" w:ascii="宋体" w:hAnsi="宋体" w:cs="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39" w:type="dxa"/>
            <w:vMerge w:val="continue"/>
            <w:vAlign w:val="center"/>
          </w:tcPr>
          <w:p>
            <w:pPr>
              <w:rPr>
                <w:rFonts w:hint="eastAsia" w:ascii="宋体" w:hAnsi="宋体" w:cs="宋体"/>
                <w:color w:val="auto"/>
                <w:kern w:val="0"/>
                <w:sz w:val="24"/>
                <w:highlight w:val="none"/>
                <w:lang w:bidi="ar"/>
              </w:rPr>
            </w:pPr>
          </w:p>
        </w:tc>
        <w:tc>
          <w:tcPr>
            <w:tcW w:w="5535" w:type="dxa"/>
            <w:vAlign w:val="bottom"/>
          </w:tcPr>
          <w:p>
            <w:p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投标人针对本项目防汛抗台、防雪抗冻、突发事故、自然灾害等提出的应急预案，根据方案完整,科学，有针对性、可行性进行打分。完整可行性强的得</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分；可行性较强的得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分；可行性一般的得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分；未提供相关内容得0分。</w:t>
            </w:r>
          </w:p>
        </w:tc>
        <w:tc>
          <w:tcPr>
            <w:tcW w:w="818" w:type="dxa"/>
            <w:vAlign w:val="center"/>
          </w:tcPr>
          <w:p>
            <w:pPr>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5</w:t>
            </w:r>
          </w:p>
        </w:tc>
        <w:tc>
          <w:tcPr>
            <w:tcW w:w="997" w:type="dxa"/>
            <w:vMerge w:val="continue"/>
            <w:vAlign w:val="center"/>
          </w:tcPr>
          <w:p>
            <w:pPr>
              <w:rPr>
                <w:rFonts w:hint="eastAsia" w:ascii="宋体" w:hAnsi="宋体" w:cs="宋体"/>
                <w:color w:val="auto"/>
                <w:kern w:val="0"/>
                <w:sz w:val="24"/>
                <w:highlight w:val="none"/>
                <w:lang w:bidi="ar"/>
              </w:rPr>
            </w:pPr>
          </w:p>
        </w:tc>
        <w:tc>
          <w:tcPr>
            <w:tcW w:w="1252" w:type="dxa"/>
            <w:vMerge w:val="continue"/>
            <w:vAlign w:val="center"/>
          </w:tcPr>
          <w:p>
            <w:pPr>
              <w:rPr>
                <w:rFonts w:hint="eastAsia" w:ascii="宋体" w:hAnsi="宋体" w:cs="宋体"/>
                <w:color w:val="auto"/>
                <w:kern w:val="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9" w:type="dxa"/>
            <w:vAlign w:val="center"/>
          </w:tcPr>
          <w:p>
            <w:pPr>
              <w:widowControl/>
              <w:numPr>
                <w:ilvl w:val="0"/>
                <w:numId w:val="9"/>
              </w:numPr>
              <w:jc w:val="center"/>
              <w:rPr>
                <w:rFonts w:hint="eastAsia" w:ascii="宋体" w:hAnsi="宋体" w:cs="宋体"/>
                <w:color w:val="auto"/>
                <w:kern w:val="0"/>
                <w:sz w:val="24"/>
                <w:highlight w:val="none"/>
              </w:rPr>
            </w:pPr>
          </w:p>
        </w:tc>
        <w:tc>
          <w:tcPr>
            <w:tcW w:w="5535" w:type="dxa"/>
          </w:tcPr>
          <w:p>
            <w:pPr>
              <w:widowControl/>
              <w:shd w:val="clear" w:color="auto" w:fill="FFFFFF"/>
              <w:adjustRightInd/>
              <w:ind w:left="0" w:leftChars="0"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有效最后报价的最低价作为评标基准价，其最低报价为满分；按［投标报价得分=（评标基准价/投标报价）*</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］的计算公式计算。</w:t>
            </w:r>
          </w:p>
          <w:p>
            <w:pPr>
              <w:widowControl/>
              <w:shd w:val="clear" w:color="auto" w:fill="FFFFFF"/>
              <w:adjustRightInd/>
              <w:ind w:left="0" w:leftChars="0"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评标过程中，不得去掉报价中的最高报价和最低报价。评标过程中，不得去掉报价中的最高报价和最低报价。</w:t>
            </w:r>
          </w:p>
          <w:p>
            <w:pPr>
              <w:widowControl/>
              <w:shd w:val="clear" w:color="auto" w:fill="FFFFFF"/>
              <w:adjustRightInd/>
              <w:spacing w:after="225"/>
              <w:ind w:left="0" w:leftChars="0"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b/>
                <w:color w:val="auto"/>
                <w:sz w:val="24"/>
                <w:highlight w:val="none"/>
                <w:u w:val="single"/>
              </w:rPr>
              <w:t>10%</w:t>
            </w:r>
            <w:r>
              <w:rPr>
                <w:rFonts w:hint="eastAsia" w:ascii="宋体" w:hAnsi="宋体" w:cs="宋体"/>
                <w:color w:val="auto"/>
                <w:sz w:val="24"/>
                <w:highlight w:val="none"/>
              </w:rPr>
              <w:t>的扣除，用扣除后的价格参与评审。</w:t>
            </w:r>
          </w:p>
        </w:tc>
        <w:tc>
          <w:tcPr>
            <w:tcW w:w="818" w:type="dxa"/>
            <w:vAlign w:val="center"/>
          </w:tcPr>
          <w:p>
            <w:pPr>
              <w:widowControl/>
              <w:ind w:firstLine="240" w:firstLineChars="100"/>
              <w:outlineLvl w:val="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p>
        </w:tc>
        <w:tc>
          <w:tcPr>
            <w:tcW w:w="997" w:type="dxa"/>
            <w:vAlign w:val="center"/>
          </w:tcPr>
          <w:p>
            <w:pPr>
              <w:widowControl/>
              <w:outlineLvl w:val="0"/>
              <w:rPr>
                <w:rFonts w:hint="eastAsia" w:ascii="宋体" w:hAnsi="宋体" w:cs="宋体"/>
                <w:color w:val="auto"/>
                <w:sz w:val="24"/>
                <w:highlight w:val="none"/>
              </w:rPr>
            </w:pPr>
            <w:r>
              <w:rPr>
                <w:rFonts w:hint="eastAsia" w:ascii="宋体" w:hAnsi="宋体" w:cs="宋体"/>
                <w:color w:val="auto"/>
                <w:sz w:val="24"/>
                <w:highlight w:val="none"/>
              </w:rPr>
              <w:t>/</w:t>
            </w:r>
          </w:p>
        </w:tc>
        <w:tc>
          <w:tcPr>
            <w:tcW w:w="1252" w:type="dxa"/>
            <w:vAlign w:val="center"/>
          </w:tcPr>
          <w:p>
            <w:pPr>
              <w:widowControl/>
              <w:ind w:firstLine="480" w:firstLineChars="200"/>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pStyle w:val="396"/>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pPr>
        <w:pStyle w:val="396"/>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6"/>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6"/>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6"/>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6"/>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6"/>
        <w:spacing w:before="0"/>
        <w:ind w:firstLine="0" w:firstLineChars="0"/>
        <w:rPr>
          <w:rFonts w:asciiTheme="minorEastAsia" w:hAnsiTheme="minorEastAsia" w:eastAsiaTheme="minorEastAsia"/>
          <w:b/>
          <w:color w:val="auto"/>
          <w:highlight w:val="none"/>
        </w:rPr>
      </w:pPr>
    </w:p>
    <w:p>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6"/>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6"/>
        <w:spacing w:before="0"/>
        <w:ind w:firstLine="0" w:firstLineChars="0"/>
        <w:rPr>
          <w:rFonts w:asciiTheme="minorEastAsia" w:hAnsiTheme="minorEastAsia" w:eastAsiaTheme="minorEastAsia"/>
          <w:b/>
          <w:color w:val="auto"/>
          <w:highlight w:val="none"/>
        </w:rPr>
      </w:pPr>
    </w:p>
    <w:p>
      <w:pPr>
        <w:pStyle w:val="396"/>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6"/>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8"/>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8"/>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6"/>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6"/>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pPr>
        <w:spacing w:line="360" w:lineRule="auto"/>
        <w:rPr>
          <w:rFonts w:asciiTheme="minorEastAsia" w:hAnsiTheme="minorEastAsia" w:eastAsiaTheme="minorEastAsia"/>
          <w:color w:val="auto"/>
          <w:sz w:val="24"/>
          <w:highlight w:val="none"/>
        </w:rPr>
      </w:pPr>
      <w:bookmarkStart w:id="66" w:name="第五部分"/>
      <w:bookmarkStart w:id="67" w:name="_Toc86217003"/>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5"/>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5"/>
        <w:rPr>
          <w:rFonts w:asciiTheme="minorEastAsia" w:hAnsiTheme="minorEastAsia" w:eastAsiaTheme="minorEastAsia"/>
          <w:color w:val="auto"/>
          <w:szCs w:val="24"/>
          <w:highlight w:val="none"/>
        </w:rPr>
      </w:pPr>
    </w:p>
    <w:p>
      <w:pPr>
        <w:pStyle w:val="285"/>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临安区裸露采矿用地生态修复现状调查项目</w:t>
      </w:r>
    </w:p>
    <w:p>
      <w:pPr>
        <w:pStyle w:val="620"/>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杭州市规划和自然资源局临安分局</w:t>
      </w:r>
      <w:r>
        <w:rPr>
          <w:rFonts w:hint="eastAsia" w:asciiTheme="minorEastAsia" w:hAnsiTheme="minorEastAsia" w:eastAsiaTheme="minorEastAsia"/>
          <w:color w:val="auto"/>
          <w:sz w:val="24"/>
          <w:highlight w:val="none"/>
          <w:u w:val="single"/>
          <w:lang w:val="en-US" w:eastAsia="zh-CN"/>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临安区</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2024</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2024</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杭州市规划和自然资源局临安分局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竞争性磋商</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临安区裸露采矿用地生态修复现状调查项目  </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磋商小组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杭州市规划和自然资源局临安分局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68" w:name="_Toc20421"/>
      <w:bookmarkStart w:id="69" w:name="_Toc22967"/>
      <w:bookmarkStart w:id="70" w:name="_Toc28855"/>
      <w:bookmarkStart w:id="71" w:name="_Toc19273"/>
      <w:bookmarkStart w:id="72"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8"/>
      <w:bookmarkEnd w:id="69"/>
      <w:bookmarkEnd w:id="70"/>
      <w:bookmarkEnd w:id="71"/>
      <w:bookmarkEnd w:id="7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b/>
          <w:color w:val="auto"/>
          <w:sz w:val="24"/>
          <w:highlight w:val="none"/>
        </w:rPr>
      </w:pPr>
      <w:bookmarkStart w:id="73" w:name="_Toc6311"/>
      <w:bookmarkStart w:id="74" w:name="_Toc18585"/>
      <w:bookmarkStart w:id="75" w:name="_Toc22185"/>
      <w:bookmarkStart w:id="76" w:name="_Toc6773"/>
      <w:bookmarkStart w:id="77"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73"/>
      <w:bookmarkEnd w:id="74"/>
      <w:bookmarkEnd w:id="75"/>
      <w:bookmarkEnd w:id="76"/>
      <w:bookmarkEnd w:id="77"/>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rPr>
        <w:t>1、通过收集二调、三调等资料和最新遥感影像图解译等途径，全面厘清临安区裸露采矿用地数量、位置、范围及前期修复工作等内容，预估采矿用地数量在250处以上。</w:t>
      </w:r>
    </w:p>
    <w:p>
      <w:pPr>
        <w:spacing w:line="5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2、对裸露采矿用地进行实地核查，包括位置、范围和拐点坐标、开采和修复历史等基本概况；生态修复现状、土地利用现状等；并有针对性的提出后续治理建议。</w:t>
      </w:r>
    </w:p>
    <w:p>
      <w:pPr>
        <w:spacing w:line="56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3、在全面调查的基础上，整理和综合分析，编制《临安区裸露采矿用地生态修复现状调查报告》，建设临安区裸露采矿用地信息数据库，为后续全区开展裸露采矿用地生态环境治理工作提供依据。</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符合采购人及采购文件的服务标准</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keepNext w:val="0"/>
        <w:keepLines w:val="0"/>
        <w:pageBreakBefore w:val="0"/>
        <w:kinsoku/>
        <w:wordWrap/>
        <w:overflowPunct/>
        <w:topLinePunct w:val="0"/>
        <w:autoSpaceDE/>
        <w:autoSpaceDN/>
        <w:bidi w:val="0"/>
        <w:snapToGrid/>
        <w:spacing w:line="56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33"/>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u w:val="single"/>
        </w:rPr>
      </w:pPr>
      <w:bookmarkStart w:id="78" w:name="_Toc4929"/>
      <w:bookmarkStart w:id="79" w:name="_Toc5635"/>
      <w:bookmarkStart w:id="80" w:name="_Toc13918"/>
      <w:bookmarkStart w:id="81" w:name="_Toc21124"/>
      <w:bookmarkStart w:id="82"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8"/>
      <w:bookmarkEnd w:id="79"/>
      <w:bookmarkEnd w:id="80"/>
      <w:bookmarkEnd w:id="81"/>
      <w:bookmarkEnd w:id="82"/>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625"/>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625"/>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ind w:firstLine="200"/>
              <w:jc w:val="center"/>
              <w:rPr>
                <w:rFonts w:hAnsi="宋体"/>
                <w:color w:val="auto"/>
                <w:sz w:val="24"/>
                <w:szCs w:val="24"/>
                <w:highlight w:val="none"/>
              </w:rPr>
            </w:pPr>
          </w:p>
        </w:tc>
        <w:tc>
          <w:tcPr>
            <w:tcW w:w="3402" w:type="dxa"/>
            <w:vAlign w:val="center"/>
          </w:tcPr>
          <w:p>
            <w:pPr>
              <w:pStyle w:val="625"/>
              <w:spacing w:line="560" w:lineRule="exact"/>
              <w:ind w:firstLine="200"/>
              <w:jc w:val="center"/>
              <w:rPr>
                <w:rFonts w:hAnsi="宋体"/>
                <w:color w:val="auto"/>
                <w:sz w:val="24"/>
                <w:szCs w:val="24"/>
                <w:highlight w:val="none"/>
              </w:rPr>
            </w:pPr>
          </w:p>
        </w:tc>
        <w:tc>
          <w:tcPr>
            <w:tcW w:w="2552" w:type="dxa"/>
            <w:vAlign w:val="center"/>
          </w:tcPr>
          <w:p>
            <w:pPr>
              <w:pStyle w:val="62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ind w:firstLine="200"/>
              <w:jc w:val="center"/>
              <w:rPr>
                <w:rFonts w:hAnsi="宋体"/>
                <w:color w:val="auto"/>
                <w:sz w:val="24"/>
                <w:szCs w:val="24"/>
                <w:highlight w:val="none"/>
              </w:rPr>
            </w:pPr>
          </w:p>
        </w:tc>
        <w:tc>
          <w:tcPr>
            <w:tcW w:w="3402" w:type="dxa"/>
            <w:vAlign w:val="center"/>
          </w:tcPr>
          <w:p>
            <w:pPr>
              <w:pStyle w:val="625"/>
              <w:spacing w:line="560" w:lineRule="exact"/>
              <w:ind w:firstLine="200"/>
              <w:jc w:val="center"/>
              <w:rPr>
                <w:rFonts w:hAnsi="宋体"/>
                <w:color w:val="auto"/>
                <w:sz w:val="24"/>
                <w:szCs w:val="24"/>
                <w:highlight w:val="none"/>
              </w:rPr>
            </w:pPr>
          </w:p>
        </w:tc>
        <w:tc>
          <w:tcPr>
            <w:tcW w:w="2552" w:type="dxa"/>
            <w:vAlign w:val="center"/>
          </w:tcPr>
          <w:p>
            <w:pPr>
              <w:pStyle w:val="62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ind w:firstLine="200"/>
              <w:jc w:val="center"/>
              <w:rPr>
                <w:rFonts w:hAnsi="宋体"/>
                <w:color w:val="auto"/>
                <w:sz w:val="24"/>
                <w:szCs w:val="24"/>
                <w:highlight w:val="none"/>
              </w:rPr>
            </w:pPr>
          </w:p>
        </w:tc>
        <w:tc>
          <w:tcPr>
            <w:tcW w:w="3402" w:type="dxa"/>
            <w:vAlign w:val="center"/>
          </w:tcPr>
          <w:p>
            <w:pPr>
              <w:pStyle w:val="625"/>
              <w:spacing w:line="560" w:lineRule="exact"/>
              <w:ind w:firstLine="200"/>
              <w:jc w:val="center"/>
              <w:rPr>
                <w:rFonts w:hAnsi="宋体"/>
                <w:color w:val="auto"/>
                <w:sz w:val="24"/>
                <w:szCs w:val="24"/>
                <w:highlight w:val="none"/>
              </w:rPr>
            </w:pPr>
          </w:p>
        </w:tc>
        <w:tc>
          <w:tcPr>
            <w:tcW w:w="2552" w:type="dxa"/>
            <w:vAlign w:val="center"/>
          </w:tcPr>
          <w:p>
            <w:pPr>
              <w:pStyle w:val="62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5"/>
              <w:spacing w:line="560" w:lineRule="exact"/>
              <w:ind w:firstLine="200"/>
              <w:jc w:val="center"/>
              <w:rPr>
                <w:rFonts w:hAnsi="宋体"/>
                <w:color w:val="auto"/>
                <w:sz w:val="24"/>
                <w:szCs w:val="24"/>
                <w:highlight w:val="none"/>
              </w:rPr>
            </w:pPr>
          </w:p>
        </w:tc>
        <w:tc>
          <w:tcPr>
            <w:tcW w:w="3402" w:type="dxa"/>
            <w:vAlign w:val="center"/>
          </w:tcPr>
          <w:p>
            <w:pPr>
              <w:pStyle w:val="625"/>
              <w:spacing w:line="560" w:lineRule="exact"/>
              <w:ind w:firstLine="200"/>
              <w:jc w:val="center"/>
              <w:rPr>
                <w:rFonts w:hAnsi="宋体"/>
                <w:color w:val="auto"/>
                <w:sz w:val="24"/>
                <w:szCs w:val="24"/>
                <w:highlight w:val="none"/>
              </w:rPr>
            </w:pPr>
          </w:p>
        </w:tc>
        <w:tc>
          <w:tcPr>
            <w:tcW w:w="2552" w:type="dxa"/>
            <w:vAlign w:val="center"/>
          </w:tcPr>
          <w:p>
            <w:pPr>
              <w:pStyle w:val="625"/>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5"/>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625"/>
              <w:spacing w:line="560" w:lineRule="exact"/>
              <w:ind w:firstLine="200"/>
              <w:jc w:val="center"/>
              <w:rPr>
                <w:rFonts w:hAnsi="宋体"/>
                <w:color w:val="auto"/>
                <w:sz w:val="24"/>
                <w:szCs w:val="24"/>
                <w:highlight w:val="none"/>
              </w:rPr>
            </w:pPr>
          </w:p>
        </w:tc>
      </w:tr>
    </w:tbl>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bookmarkStart w:id="83" w:name="_Toc30158"/>
      <w:bookmarkStart w:id="84" w:name="_Toc14993"/>
      <w:bookmarkStart w:id="85" w:name="_Toc30506"/>
      <w:bookmarkStart w:id="86" w:name="_Toc26916"/>
      <w:bookmarkStart w:id="87"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pageBreakBefore w:val="0"/>
        <w:numPr>
          <w:ilvl w:val="0"/>
          <w:numId w:val="0"/>
        </w:numPr>
        <w:kinsoku/>
        <w:wordWrap/>
        <w:overflowPunct/>
        <w:topLinePunct w:val="0"/>
        <w:autoSpaceDE/>
        <w:autoSpaceDN/>
        <w:bidi w:val="0"/>
        <w:snapToGrid/>
        <w:spacing w:line="560" w:lineRule="exact"/>
        <w:ind w:leftChars="0"/>
        <w:textAlignment w:val="auto"/>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3"/>
    <w:bookmarkEnd w:id="84"/>
    <w:bookmarkEnd w:id="85"/>
    <w:bookmarkEnd w:id="86"/>
    <w:bookmarkEnd w:id="87"/>
    <w:p>
      <w:pPr>
        <w:pStyle w:val="633"/>
        <w:pageBreakBefore w:val="0"/>
        <w:kinsoku/>
        <w:wordWrap/>
        <w:overflowPunct/>
        <w:topLinePunct w:val="0"/>
        <w:autoSpaceDE/>
        <w:autoSpaceDN/>
        <w:bidi w:val="0"/>
        <w:snapToGrid/>
        <w:spacing w:before="0" w:beforeAutospacing="0" w:after="0" w:afterAutospacing="0" w:line="560" w:lineRule="exact"/>
        <w:ind w:firstLine="482" w:firstLineChars="200"/>
        <w:textAlignment w:val="auto"/>
        <w:rPr>
          <w:b/>
          <w:color w:val="auto"/>
          <w:highlight w:val="none"/>
        </w:rPr>
      </w:pPr>
      <w:bookmarkStart w:id="88" w:name="_Toc1814"/>
      <w:bookmarkStart w:id="89" w:name="_Toc22618"/>
      <w:bookmarkStart w:id="90" w:name="_Toc10340"/>
      <w:bookmarkStart w:id="91" w:name="_Toc31421"/>
      <w:bookmarkStart w:id="92" w:name="_Toc4760"/>
      <w:bookmarkStart w:id="93" w:name="_Toc3625"/>
      <w:bookmarkStart w:id="94" w:name="_Toc8772"/>
      <w:bookmarkStart w:id="95" w:name="_Toc11108"/>
      <w:r>
        <w:rPr>
          <w:rFonts w:hint="eastAsia"/>
          <w:b/>
          <w:color w:val="auto"/>
          <w:highlight w:val="none"/>
        </w:rPr>
        <w:t>1.4履约保证金</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pageBreakBefore w:val="0"/>
        <w:numPr>
          <w:ilvl w:val="0"/>
          <w:numId w:val="0"/>
        </w:numPr>
        <w:tabs>
          <w:tab w:val="left" w:pos="0"/>
          <w:tab w:val="clear" w:pos="432"/>
        </w:tabs>
        <w:kinsoku/>
        <w:wordWrap/>
        <w:overflowPunct/>
        <w:topLinePunct w:val="0"/>
        <w:autoSpaceDE/>
        <w:autoSpaceDN/>
        <w:bidi w:val="0"/>
        <w:snapToGrid/>
        <w:spacing w:line="560" w:lineRule="exact"/>
        <w:ind w:leftChars="200"/>
        <w:textAlignment w:val="auto"/>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88"/>
      <w:bookmarkEnd w:id="89"/>
      <w:bookmarkEnd w:id="90"/>
      <w:r>
        <w:rPr>
          <w:rFonts w:hint="eastAsia" w:ascii="宋体" w:hAnsi="宋体" w:cs="宋体"/>
          <w:b/>
          <w:color w:val="auto"/>
          <w:sz w:val="24"/>
          <w:highlight w:val="none"/>
        </w:rPr>
        <w:t>预付款</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b/>
          <w:bCs/>
          <w:color w:val="auto"/>
          <w:highlight w:val="none"/>
        </w:rPr>
      </w:pPr>
      <w:r>
        <w:rPr>
          <w:rFonts w:hint="eastAsia"/>
          <w:b/>
          <w:bCs/>
          <w:color w:val="auto"/>
          <w:highlight w:val="none"/>
        </w:rPr>
        <w:t>1.6资金支付</w:t>
      </w:r>
    </w:p>
    <w:p>
      <w:pPr>
        <w:pStyle w:val="633"/>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1"/>
      <w:bookmarkEnd w:id="92"/>
      <w:bookmarkEnd w:id="93"/>
      <w:bookmarkEnd w:id="94"/>
      <w:bookmarkEnd w:id="95"/>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bCs/>
          <w:color w:val="auto"/>
          <w:sz w:val="24"/>
          <w:highlight w:val="none"/>
        </w:rPr>
      </w:pPr>
      <w:bookmarkStart w:id="96" w:name="_Toc5698"/>
      <w:bookmarkStart w:id="97" w:name="_Toc24662"/>
      <w:bookmarkStart w:id="98" w:name="_Toc8586"/>
      <w:bookmarkStart w:id="99" w:name="_Toc2375"/>
      <w:bookmarkStart w:id="100"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6"/>
      <w:bookmarkEnd w:id="97"/>
      <w:bookmarkEnd w:id="98"/>
      <w:bookmarkEnd w:id="99"/>
      <w:bookmarkEnd w:id="100"/>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除不可抗力外，如果乙方没有按照本合同约定的期限、地点和方式交付服务成果或者实施服务，那么甲方可要求乙方支付违约金，截止2024年11月20日，乙方未能全面完成8000名培训任务的，</w:t>
      </w:r>
      <w:r>
        <w:rPr>
          <w:rFonts w:hint="eastAsia" w:ascii="宋体" w:hAnsi="宋体"/>
          <w:color w:val="auto"/>
          <w:sz w:val="24"/>
          <w:highlight w:val="none"/>
          <w:lang w:eastAsia="zh-CN"/>
        </w:rPr>
        <w:t>未完成部分</w:t>
      </w:r>
      <w:r>
        <w:rPr>
          <w:rFonts w:ascii="宋体" w:hAnsi="宋体"/>
          <w:color w:val="auto"/>
          <w:sz w:val="24"/>
          <w:highlight w:val="none"/>
        </w:rPr>
        <w:t>按照5元每人扣除违约金；</w:t>
      </w:r>
    </w:p>
    <w:p>
      <w:pPr>
        <w:pStyle w:val="2"/>
        <w:pageBreakBefore w:val="0"/>
        <w:numPr>
          <w:ilvl w:val="0"/>
          <w:numId w:val="0"/>
        </w:numPr>
        <w:kinsoku/>
        <w:wordWrap/>
        <w:overflowPunct/>
        <w:topLinePunct w:val="0"/>
        <w:autoSpaceDE/>
        <w:autoSpaceDN/>
        <w:bidi w:val="0"/>
        <w:snapToGrid/>
        <w:spacing w:line="560" w:lineRule="exact"/>
        <w:ind w:firstLine="480" w:firstLineChars="200"/>
        <w:textAlignment w:val="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bookmarkStart w:id="101" w:name="_Toc32454"/>
      <w:bookmarkStart w:id="102" w:name="_Toc9497"/>
      <w:bookmarkStart w:id="103" w:name="_Toc26807"/>
      <w:bookmarkStart w:id="104" w:name="_Toc30329"/>
      <w:bookmarkStart w:id="105"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1"/>
    <w:bookmarkEnd w:id="102"/>
    <w:bookmarkEnd w:id="103"/>
    <w:bookmarkEnd w:id="104"/>
    <w:bookmarkEnd w:id="105"/>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rPr>
          <w:rFonts w:hint="eastAsia" w:ascii="宋体" w:hAnsi="宋体"/>
          <w:b/>
          <w:color w:val="auto"/>
          <w:sz w:val="24"/>
          <w:highlight w:val="none"/>
          <w:lang w:val="zh-CN"/>
        </w:rPr>
      </w:pPr>
      <w:r>
        <w:rPr>
          <w:rFonts w:hint="eastAsia" w:ascii="宋体" w:hAnsi="宋体"/>
          <w:b/>
          <w:color w:val="auto"/>
          <w:sz w:val="24"/>
          <w:highlight w:val="none"/>
          <w:lang w:val="zh-CN"/>
        </w:rPr>
        <w:br w:type="page"/>
      </w: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85"/>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106" w:name="_Toc25079"/>
      <w:bookmarkStart w:id="107" w:name="_Toc14021"/>
      <w:bookmarkStart w:id="108" w:name="_Toc5228"/>
      <w:bookmarkStart w:id="109" w:name="_Toc31297"/>
      <w:bookmarkStart w:id="110" w:name="_Toc19680"/>
      <w:r>
        <w:rPr>
          <w:rFonts w:ascii="宋体" w:hAnsi="宋体"/>
          <w:b/>
          <w:color w:val="auto"/>
          <w:sz w:val="24"/>
          <w:highlight w:val="none"/>
        </w:rPr>
        <w:t>2.1 定义</w:t>
      </w:r>
      <w:bookmarkEnd w:id="106"/>
      <w:bookmarkEnd w:id="107"/>
      <w:bookmarkEnd w:id="108"/>
      <w:bookmarkEnd w:id="109"/>
      <w:bookmarkEnd w:id="110"/>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111" w:name="_Toc3769"/>
      <w:bookmarkStart w:id="112" w:name="_Toc31402"/>
      <w:bookmarkStart w:id="113" w:name="_Toc19539"/>
      <w:bookmarkStart w:id="114" w:name="_Toc16752"/>
      <w:bookmarkStart w:id="115" w:name="_Toc23289"/>
      <w:r>
        <w:rPr>
          <w:rFonts w:ascii="宋体" w:hAnsi="宋体"/>
          <w:b/>
          <w:color w:val="auto"/>
          <w:sz w:val="24"/>
          <w:highlight w:val="none"/>
        </w:rPr>
        <w:t>2.2 技术规范</w:t>
      </w:r>
      <w:bookmarkEnd w:id="111"/>
      <w:bookmarkEnd w:id="112"/>
      <w:bookmarkEnd w:id="113"/>
      <w:bookmarkEnd w:id="114"/>
      <w:bookmarkEnd w:id="11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116" w:name="_Toc9161"/>
      <w:bookmarkStart w:id="117" w:name="_Toc13673"/>
      <w:bookmarkStart w:id="118" w:name="_Toc4133"/>
      <w:bookmarkStart w:id="119" w:name="_Toc12412"/>
      <w:bookmarkStart w:id="120" w:name="_Toc27945"/>
      <w:r>
        <w:rPr>
          <w:rFonts w:ascii="宋体" w:hAnsi="宋体"/>
          <w:b/>
          <w:color w:val="auto"/>
          <w:sz w:val="24"/>
          <w:highlight w:val="none"/>
        </w:rPr>
        <w:t>2.3 知识产权</w:t>
      </w:r>
      <w:bookmarkEnd w:id="116"/>
      <w:bookmarkEnd w:id="117"/>
      <w:bookmarkEnd w:id="118"/>
      <w:bookmarkEnd w:id="119"/>
      <w:bookmarkEnd w:id="12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121" w:name="_Toc32670"/>
      <w:bookmarkStart w:id="122" w:name="_Toc26555"/>
      <w:bookmarkStart w:id="123" w:name="_Toc22011"/>
      <w:bookmarkStart w:id="124" w:name="_Toc31233"/>
      <w:bookmarkStart w:id="125" w:name="_Toc15447"/>
      <w:r>
        <w:rPr>
          <w:rFonts w:ascii="宋体" w:hAnsi="宋体"/>
          <w:b/>
          <w:color w:val="auto"/>
          <w:sz w:val="24"/>
          <w:highlight w:val="none"/>
        </w:rPr>
        <w:t>2.5 结算方式和付款条件</w:t>
      </w:r>
      <w:bookmarkEnd w:id="121"/>
      <w:bookmarkEnd w:id="122"/>
      <w:bookmarkEnd w:id="123"/>
      <w:bookmarkEnd w:id="124"/>
      <w:bookmarkEnd w:id="125"/>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26" w:name="_Toc16163"/>
      <w:bookmarkStart w:id="127" w:name="_Toc18990"/>
      <w:bookmarkStart w:id="128" w:name="_Toc13467"/>
      <w:bookmarkStart w:id="129" w:name="_Toc13154"/>
      <w:bookmarkStart w:id="130" w:name="_Toc30507"/>
      <w:r>
        <w:rPr>
          <w:rFonts w:ascii="宋体" w:hAnsi="宋体"/>
          <w:b/>
          <w:color w:val="auto"/>
          <w:sz w:val="24"/>
          <w:highlight w:val="none"/>
        </w:rPr>
        <w:t>2.6 技术资料和保密义务</w:t>
      </w:r>
      <w:bookmarkEnd w:id="126"/>
      <w:bookmarkEnd w:id="127"/>
      <w:bookmarkEnd w:id="128"/>
      <w:bookmarkEnd w:id="129"/>
      <w:bookmarkEnd w:id="130"/>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13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1"/>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13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13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34" w:name="_Toc26689"/>
      <w:bookmarkStart w:id="135" w:name="_Toc23368"/>
      <w:bookmarkStart w:id="136" w:name="_Toc10663"/>
      <w:bookmarkStart w:id="137" w:name="_Toc42"/>
      <w:bookmarkStart w:id="138" w:name="_Toc21830"/>
      <w:r>
        <w:rPr>
          <w:rFonts w:ascii="宋体" w:hAnsi="宋体"/>
          <w:b/>
          <w:color w:val="auto"/>
          <w:sz w:val="24"/>
          <w:highlight w:val="none"/>
        </w:rPr>
        <w:t>2.10 合同转让和分包</w:t>
      </w:r>
      <w:bookmarkEnd w:id="134"/>
      <w:bookmarkEnd w:id="135"/>
      <w:bookmarkEnd w:id="136"/>
      <w:bookmarkEnd w:id="137"/>
      <w:bookmarkEnd w:id="138"/>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139" w:name="_Toc4720"/>
      <w:bookmarkStart w:id="140" w:name="_Toc32494"/>
      <w:bookmarkStart w:id="141" w:name="_Toc14371"/>
      <w:bookmarkStart w:id="142" w:name="_Toc25571"/>
      <w:bookmarkStart w:id="143" w:name="_Toc26633"/>
      <w:r>
        <w:rPr>
          <w:rFonts w:ascii="宋体" w:hAnsi="宋体"/>
          <w:b/>
          <w:color w:val="auto"/>
          <w:sz w:val="24"/>
          <w:highlight w:val="none"/>
        </w:rPr>
        <w:t>2.11 不可抗力</w:t>
      </w:r>
      <w:bookmarkEnd w:id="139"/>
      <w:bookmarkEnd w:id="140"/>
      <w:bookmarkEnd w:id="141"/>
      <w:bookmarkEnd w:id="142"/>
      <w:bookmarkEnd w:id="143"/>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44" w:name="_Toc23854"/>
      <w:bookmarkStart w:id="145" w:name="_Toc25783"/>
      <w:bookmarkStart w:id="146" w:name="_Toc24465"/>
      <w:bookmarkStart w:id="147" w:name="_Toc3638"/>
      <w:bookmarkStart w:id="148" w:name="_Toc14115"/>
      <w:r>
        <w:rPr>
          <w:rFonts w:ascii="宋体" w:hAnsi="宋体"/>
          <w:b/>
          <w:color w:val="auto"/>
          <w:sz w:val="24"/>
          <w:highlight w:val="none"/>
        </w:rPr>
        <w:t>2.12 税费</w:t>
      </w:r>
      <w:bookmarkEnd w:id="144"/>
      <w:bookmarkEnd w:id="145"/>
      <w:bookmarkEnd w:id="146"/>
      <w:bookmarkEnd w:id="147"/>
      <w:bookmarkEnd w:id="148"/>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149" w:name="_Toc26883"/>
      <w:bookmarkStart w:id="150" w:name="_Toc25525"/>
      <w:bookmarkStart w:id="151" w:name="_Toc30105"/>
      <w:bookmarkStart w:id="152" w:name="_Toc7315"/>
      <w:bookmarkStart w:id="153" w:name="_Toc14814"/>
      <w:r>
        <w:rPr>
          <w:rFonts w:ascii="宋体" w:hAnsi="宋体"/>
          <w:b/>
          <w:color w:val="auto"/>
          <w:sz w:val="24"/>
          <w:highlight w:val="none"/>
        </w:rPr>
        <w:t>2.13 乙方破产</w:t>
      </w:r>
      <w:bookmarkEnd w:id="149"/>
      <w:bookmarkEnd w:id="150"/>
      <w:bookmarkEnd w:id="151"/>
      <w:bookmarkEnd w:id="152"/>
      <w:bookmarkEnd w:id="153"/>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54" w:name="_Toc1123"/>
      <w:bookmarkStart w:id="155" w:name="_Toc2016"/>
      <w:bookmarkStart w:id="156" w:name="_Toc23323"/>
      <w:r>
        <w:rPr>
          <w:rFonts w:ascii="宋体" w:hAnsi="宋体"/>
          <w:b/>
          <w:color w:val="auto"/>
          <w:sz w:val="24"/>
          <w:highlight w:val="none"/>
        </w:rPr>
        <w:t>2.14 合同中止、终止</w:t>
      </w:r>
      <w:bookmarkEnd w:id="154"/>
      <w:bookmarkEnd w:id="155"/>
      <w:bookmarkEnd w:id="15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57" w:name="_Toc1969"/>
      <w:bookmarkStart w:id="158" w:name="_Toc17363"/>
      <w:bookmarkStart w:id="159" w:name="_Toc14525"/>
      <w:r>
        <w:rPr>
          <w:rFonts w:ascii="宋体" w:hAnsi="宋体"/>
          <w:b/>
          <w:color w:val="auto"/>
          <w:sz w:val="24"/>
          <w:highlight w:val="none"/>
        </w:rPr>
        <w:t>2.15 检验和验收</w:t>
      </w:r>
      <w:bookmarkEnd w:id="157"/>
      <w:bookmarkEnd w:id="158"/>
      <w:bookmarkEnd w:id="159"/>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160" w:name="_Toc12666"/>
      <w:bookmarkStart w:id="161" w:name="_Toc31892"/>
      <w:bookmarkStart w:id="162" w:name="_Toc2308"/>
      <w:bookmarkStart w:id="163" w:name="_Toc25198"/>
      <w:bookmarkStart w:id="164" w:name="_Toc9808"/>
      <w:r>
        <w:rPr>
          <w:rFonts w:ascii="宋体" w:hAnsi="宋体"/>
          <w:b/>
          <w:color w:val="auto"/>
          <w:sz w:val="24"/>
          <w:highlight w:val="none"/>
        </w:rPr>
        <w:t>2.16 通知和送达</w:t>
      </w:r>
      <w:bookmarkEnd w:id="160"/>
      <w:bookmarkEnd w:id="161"/>
      <w:bookmarkEnd w:id="162"/>
      <w:bookmarkEnd w:id="163"/>
      <w:bookmarkEnd w:id="164"/>
    </w:p>
    <w:p>
      <w:pPr>
        <w:spacing w:line="560" w:lineRule="exact"/>
        <w:ind w:firstLine="480" w:firstLineChars="200"/>
        <w:rPr>
          <w:rFonts w:ascii="宋体" w:hAnsi="宋体"/>
          <w:color w:val="auto"/>
          <w:sz w:val="24"/>
          <w:highlight w:val="none"/>
        </w:rPr>
      </w:pPr>
      <w:bookmarkStart w:id="165" w:name="_Toc18401"/>
      <w:bookmarkStart w:id="166"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5"/>
      <w:bookmarkEnd w:id="166"/>
    </w:p>
    <w:p>
      <w:pPr>
        <w:spacing w:line="560" w:lineRule="exact"/>
        <w:ind w:firstLine="482" w:firstLineChars="200"/>
        <w:outlineLvl w:val="0"/>
        <w:rPr>
          <w:rFonts w:ascii="宋体" w:hAnsi="宋体"/>
          <w:b/>
          <w:color w:val="auto"/>
          <w:sz w:val="24"/>
          <w:highlight w:val="none"/>
        </w:rPr>
      </w:pPr>
      <w:bookmarkStart w:id="167" w:name="_Toc27644"/>
      <w:bookmarkStart w:id="168" w:name="_Toc28906"/>
      <w:bookmarkStart w:id="169" w:name="_Toc12254"/>
      <w:bookmarkStart w:id="170" w:name="_Toc5063"/>
      <w:bookmarkStart w:id="171"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7"/>
      <w:bookmarkEnd w:id="168"/>
      <w:bookmarkEnd w:id="169"/>
      <w:bookmarkEnd w:id="170"/>
      <w:bookmarkEnd w:id="171"/>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8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3"/>
        <w:gridCol w:w="89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3"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92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w:t>
            </w:r>
          </w:p>
        </w:tc>
        <w:tc>
          <w:tcPr>
            <w:tcW w:w="8925" w:type="dxa"/>
            <w:vAlign w:val="center"/>
          </w:tcPr>
          <w:p>
            <w:pPr>
              <w:spacing w:line="360" w:lineRule="auto"/>
              <w:rPr>
                <w:rFonts w:ascii="宋体" w:hAnsi="宋体" w:cs="宋体"/>
                <w:sz w:val="24"/>
              </w:rPr>
            </w:pPr>
            <w:r>
              <w:rPr>
                <w:rFonts w:hint="eastAsia" w:ascii="宋体" w:hAnsi="宋体" w:cs="宋体"/>
                <w:sz w:val="24"/>
              </w:rPr>
              <w:t>本项目采用总价合同的计价方式计价。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925" w:type="dxa"/>
            <w:vAlign w:val="center"/>
          </w:tcPr>
          <w:p>
            <w:pPr>
              <w:spacing w:line="360" w:lineRule="auto"/>
              <w:rPr>
                <w:rFonts w:hint="eastAsia" w:ascii="宋体" w:hAnsi="宋体" w:eastAsia="宋体" w:cs="宋体"/>
                <w:sz w:val="24"/>
                <w:lang w:eastAsia="zh-CN"/>
              </w:rPr>
            </w:pPr>
            <w:r>
              <w:rPr>
                <w:rFonts w:hint="eastAsia" w:ascii="宋体" w:hAnsi="宋体" w:cs="宋体"/>
                <w:sz w:val="24"/>
              </w:rPr>
              <w:t>履约保证金：</w:t>
            </w: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925" w:type="dxa"/>
            <w:vAlign w:val="center"/>
          </w:tcPr>
          <w:p>
            <w:pPr>
              <w:spacing w:line="360" w:lineRule="auto"/>
              <w:rPr>
                <w:rFonts w:ascii="宋体" w:hAnsi="宋体" w:cs="宋体"/>
                <w:sz w:val="24"/>
              </w:rPr>
            </w:pPr>
            <w:r>
              <w:rPr>
                <w:rFonts w:hint="eastAsia" w:ascii="宋体" w:hAnsi="宋体" w:cs="宋体"/>
                <w:sz w:val="24"/>
              </w:rPr>
              <w:t>预付款：在合同生效以及具备实施条件后5个工作日内，甲方向乙方支付合同总金额的</w:t>
            </w:r>
            <w:r>
              <w:rPr>
                <w:rFonts w:hint="eastAsia" w:ascii="宋体" w:hAnsi="宋体" w:cs="宋体"/>
                <w:sz w:val="24"/>
                <w:lang w:val="en-US" w:eastAsia="zh-CN"/>
              </w:rPr>
              <w:t>50</w:t>
            </w:r>
            <w:r>
              <w:rPr>
                <w:rFonts w:hint="eastAsia" w:ascii="宋体" w:hAnsi="宋体" w:cs="宋体"/>
                <w:sz w:val="24"/>
              </w:rPr>
              <w:t>%预付款。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92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92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925" w:type="dxa"/>
            <w:vAlign w:val="center"/>
          </w:tcPr>
          <w:p>
            <w:pPr>
              <w:spacing w:line="360" w:lineRule="auto"/>
              <w:rPr>
                <w:rFonts w:ascii="宋体" w:hAnsi="宋体" w:cs="宋体"/>
                <w:sz w:val="24"/>
              </w:rPr>
            </w:pPr>
            <w:r>
              <w:rPr>
                <w:rFonts w:hint="eastAsia" w:ascii="宋体" w:hAnsi="宋体" w:cs="宋体"/>
                <w:sz w:val="24"/>
              </w:rPr>
              <w:t>资金支付的方式、时间：合同签订后，分期支付。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925" w:type="dxa"/>
            <w:vAlign w:val="center"/>
          </w:tcPr>
          <w:p>
            <w:pPr>
              <w:spacing w:line="360" w:lineRule="auto"/>
              <w:rPr>
                <w:rFonts w:ascii="宋体" w:hAnsi="宋体" w:cs="宋体"/>
                <w:sz w:val="24"/>
              </w:rPr>
            </w:pPr>
            <w:r>
              <w:rPr>
                <w:rFonts w:hint="eastAsia" w:ascii="宋体" w:hAnsi="宋体" w:cs="宋体"/>
                <w:sz w:val="24"/>
              </w:rPr>
              <w:t>服务交付（实施）的时间（期限）：自合同签订之日起至2024年12月31日前完成全部工作内容，提交报告和数据库。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925" w:type="dxa"/>
            <w:vAlign w:val="center"/>
          </w:tcPr>
          <w:p>
            <w:pPr>
              <w:spacing w:line="360" w:lineRule="auto"/>
              <w:rPr>
                <w:rFonts w:ascii="宋体" w:hAnsi="宋体" w:cs="宋体"/>
                <w:sz w:val="24"/>
              </w:rPr>
            </w:pPr>
            <w:r>
              <w:rPr>
                <w:rFonts w:hint="eastAsia" w:ascii="宋体" w:hAnsi="宋体" w:cs="宋体"/>
                <w:sz w:val="24"/>
              </w:rPr>
              <w:t>服务交付（实施）的地点（地域范围）：根据甲方要求。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925" w:type="dxa"/>
            <w:vAlign w:val="center"/>
          </w:tcPr>
          <w:p>
            <w:pPr>
              <w:spacing w:line="360" w:lineRule="auto"/>
              <w:rPr>
                <w:rFonts w:ascii="宋体" w:hAnsi="宋体" w:cs="宋体"/>
                <w:sz w:val="24"/>
              </w:rPr>
            </w:pPr>
            <w:r>
              <w:rPr>
                <w:rFonts w:hint="eastAsia" w:ascii="宋体" w:hAnsi="宋体" w:cs="宋体"/>
                <w:sz w:val="24"/>
              </w:rPr>
              <w:t>服务交付（实施）的方式：按采购文件要求、响应文件承诺及合同约定交付。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92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92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92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925" w:type="dxa"/>
            <w:vAlign w:val="center"/>
          </w:tcPr>
          <w:p>
            <w:pPr>
              <w:spacing w:line="360" w:lineRule="auto"/>
              <w:rPr>
                <w:rFonts w:ascii="宋体" w:hAnsi="宋体" w:cs="宋体"/>
                <w:sz w:val="24"/>
              </w:rPr>
            </w:pPr>
            <w:r>
              <w:rPr>
                <w:rFonts w:hint="eastAsia" w:ascii="宋体" w:hAnsi="宋体" w:cs="宋体"/>
                <w:sz w:val="24"/>
              </w:rPr>
              <w:t>违约责任：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20%；迟延履行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92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925" w:type="dxa"/>
            <w:vAlign w:val="center"/>
          </w:tcPr>
          <w:p>
            <w:pPr>
              <w:spacing w:line="360" w:lineRule="auto"/>
              <w:rPr>
                <w:rFonts w:ascii="宋体" w:hAnsi="宋体" w:cs="宋体"/>
                <w:sz w:val="24"/>
              </w:rPr>
            </w:pPr>
            <w:r>
              <w:rPr>
                <w:rFonts w:hint="eastAsia" w:ascii="宋体" w:hAnsi="宋体" w:cs="宋体"/>
                <w:sz w:val="24"/>
              </w:rPr>
              <w:t>向甲方所地的人民法院进行诉讼。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925" w:type="dxa"/>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3"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925" w:type="dxa"/>
            <w:vAlign w:val="center"/>
          </w:tcPr>
          <w:p>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结算方式和付款条件：在合同生效以及具备实施条件后5个工作日内，</w:t>
            </w:r>
          </w:p>
          <w:p>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甲方向乙方支付合同总金额的50%预付款。</w:t>
            </w:r>
          </w:p>
          <w:p>
            <w:pPr>
              <w:spacing w:line="360" w:lineRule="auto"/>
              <w:ind w:left="-420" w:leftChars="-200" w:right="-420" w:rightChars="-200" w:firstLine="480" w:firstLineChars="200"/>
              <w:rPr>
                <w:rFonts w:hint="eastAsia" w:ascii="宋体" w:hAnsi="宋体" w:cs="宋体"/>
                <w:sz w:val="24"/>
              </w:rPr>
            </w:pPr>
            <w:r>
              <w:rPr>
                <w:rFonts w:hint="eastAsia" w:ascii="宋体" w:hAnsi="宋体" w:cs="宋体"/>
                <w:sz w:val="24"/>
              </w:rPr>
              <w:t>完成调查报告和数据库通过专家评审后支付合同金额的40%；</w:t>
            </w:r>
          </w:p>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成果报告和数据库提交业主验收后支付剩余的10%。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925" w:type="dxa"/>
            <w:vAlign w:val="center"/>
          </w:tcPr>
          <w:p>
            <w:pPr>
              <w:spacing w:line="360" w:lineRule="auto"/>
              <w:ind w:right="111" w:rightChars="53"/>
              <w:rPr>
                <w:rFonts w:ascii="宋体" w:hAnsi="宋体" w:cs="宋体"/>
                <w:sz w:val="24"/>
              </w:rPr>
            </w:pPr>
            <w:r>
              <w:rPr>
                <w:rFonts w:hint="eastAsia" w:ascii="宋体" w:hAnsi="宋体" w:cs="宋体"/>
                <w:sz w:val="24"/>
              </w:rPr>
              <w:t>因不可抗力致使合同有变更必要的，双方当事人应在15个工作日内以书面形式变更合同。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925" w:type="dxa"/>
          </w:tcPr>
          <w:p>
            <w:pPr>
              <w:spacing w:line="360" w:lineRule="auto"/>
              <w:rPr>
                <w:rFonts w:ascii="宋体" w:hAnsi="宋体" w:cs="宋体"/>
                <w:sz w:val="24"/>
              </w:rPr>
            </w:pPr>
            <w:r>
              <w:rPr>
                <w:rFonts w:hint="eastAsia" w:ascii="宋体" w:hAnsi="宋体" w:cs="宋体"/>
                <w:sz w:val="24"/>
              </w:rPr>
              <w:t>受不可抗力影响的一方在不可抗力发生后，应在15个工作日内以书面形式通知对方当事人，并在合同专用条款约定时间内，将有关部门出具的证明文件送达对方当事人。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925" w:type="dxa"/>
            <w:vAlign w:val="center"/>
          </w:tcPr>
          <w:p>
            <w:pPr>
              <w:spacing w:line="360" w:lineRule="auto"/>
              <w:rPr>
                <w:rFonts w:ascii="宋体" w:hAnsi="宋体" w:cs="宋体"/>
                <w:sz w:val="24"/>
              </w:rPr>
            </w:pPr>
            <w:r>
              <w:rPr>
                <w:rFonts w:hint="eastAsia" w:ascii="宋体" w:hAnsi="宋体" w:cs="宋体"/>
                <w:sz w:val="24"/>
              </w:rPr>
              <w:t>检验和验收标准：按照采购合同规定的相关条款以及成交供应商的响应文件、本项目采购文件完成履约。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03"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925" w:type="dxa"/>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03"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925" w:type="dxa"/>
          </w:tcPr>
          <w:p>
            <w:pPr>
              <w:spacing w:line="360" w:lineRule="auto"/>
              <w:rPr>
                <w:rFonts w:ascii="宋体" w:hAnsi="宋体" w:cs="宋体"/>
                <w:sz w:val="24"/>
              </w:rPr>
            </w:pPr>
            <w:r>
              <w:rPr>
                <w:rFonts w:hint="eastAsia" w:ascii="宋体" w:hAnsi="宋体" w:cs="宋体"/>
                <w:sz w:val="24"/>
              </w:rPr>
              <w:t>本合同一式陆份，甲方执肆份、乙方执贰份。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both"/>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pStyle w:val="2"/>
        <w:numPr>
          <w:ilvl w:val="0"/>
          <w:numId w:val="0"/>
        </w:numPr>
        <w:ind w:leftChars="0"/>
        <w:rPr>
          <w:rFonts w:hint="eastAsia"/>
        </w:rPr>
      </w:pP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pPr>
        <w:pStyle w:val="187"/>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杭州建设工程造价咨询有限公司</w:t>
      </w: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pPr>
        <w:pStyle w:val="108"/>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8"/>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8"/>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杭州建设工程造价咨询有限公司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rPr>
        <w:t>（项目名称）</w:t>
      </w:r>
      <w:r>
        <w:rPr>
          <w:rFonts w:hint="eastAsia" w:cs="仿宋_GB2312" w:asciiTheme="minorEastAsia" w:hAnsiTheme="minorEastAsia" w:eastAsiaTheme="minorEastAsia"/>
          <w:kern w:val="0"/>
          <w:sz w:val="24"/>
          <w:highlight w:val="none"/>
          <w:lang w:val="zh-CN"/>
        </w:rPr>
        <w:t>【项目编号：（采购编号）】响应</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172"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172"/>
      <w:r>
        <w:rPr>
          <w:rFonts w:hint="eastAsia" w:cs="宋体" w:asciiTheme="minorEastAsia" w:hAnsiTheme="minorEastAsia" w:eastAsiaTheme="minorEastAsia"/>
          <w:kern w:val="0"/>
          <w:sz w:val="24"/>
          <w:highlight w:val="none"/>
          <w:u w:val="single"/>
        </w:rPr>
        <w:t>）</w:t>
      </w:r>
      <w:r>
        <w:rPr>
          <w:rFonts w:hint="eastAsia" w:ascii="宋体" w:hAnsi="宋体" w:cs="宋体"/>
          <w:kern w:val="0"/>
          <w:sz w:val="24"/>
          <w:highlight w:val="none"/>
        </w:rPr>
        <w:t>提供的服务由小微企业承接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173"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173"/>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174"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174"/>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napToGrid w:val="0"/>
        <w:spacing w:line="360" w:lineRule="auto"/>
        <w:ind w:right="480"/>
        <w:jc w:val="center"/>
        <w:rPr>
          <w:rFonts w:cs="仿宋_GB2312" w:asciiTheme="minorEastAsia" w:hAnsiTheme="minorEastAsia" w:eastAsiaTheme="minorEastAsia"/>
          <w:b/>
          <w:sz w:val="32"/>
          <w:szCs w:val="32"/>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落实政府采购政策需满足的资格要求</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w:t>
      </w:r>
      <w:r>
        <w:rPr>
          <w:rFonts w:hint="eastAsia" w:cs="宋体" w:asciiTheme="minorEastAsia" w:hAnsiTheme="minorEastAsia" w:eastAsiaTheme="minorEastAsia"/>
          <w:sz w:val="24"/>
          <w:highlight w:val="none"/>
          <w:lang w:val="en-US" w:eastAsia="zh-CN"/>
        </w:rPr>
        <w:t>服务</w:t>
      </w:r>
      <w:r>
        <w:rPr>
          <w:rFonts w:hint="eastAsia" w:cs="宋体" w:asciiTheme="minorEastAsia" w:hAnsiTheme="minorEastAsia" w:eastAsiaTheme="minorEastAsia"/>
          <w:sz w:val="24"/>
          <w:highlight w:val="none"/>
        </w:rPr>
        <w:t>全部由符合政策要求的中小企业（或小微企业）承建（承接）的，提供相应的中小企业声明函（附件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pPr>
        <w:widowControl/>
        <w:spacing w:line="360" w:lineRule="auto"/>
        <w:ind w:firstLine="480"/>
        <w:jc w:val="left"/>
        <w:rPr>
          <w:rFonts w:cs="宋体" w:asciiTheme="minorEastAsia" w:hAnsiTheme="minorEastAsia" w:eastAsiaTheme="minorEastAsia"/>
          <w:sz w:val="24"/>
          <w:highlight w:val="none"/>
        </w:rPr>
      </w:pPr>
    </w:p>
    <w:p>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highlight w:val="none"/>
        </w:rPr>
      </w:pPr>
    </w:p>
    <w:p>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kern w:val="0"/>
          <w:sz w:val="24"/>
          <w:highlight w:val="none"/>
          <w:lang w:val="zh-CN"/>
        </w:rPr>
      </w:pPr>
    </w:p>
    <w:p>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杭州建设工程造价咨询有限公司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widowControl/>
        <w:adjustRightInd/>
        <w:jc w:val="center"/>
        <w:rPr>
          <w:rFonts w:hint="eastAsia" w:cs="仿宋_GB2312" w:asciiTheme="minorEastAsia" w:hAnsiTheme="minorEastAsia" w:eastAsiaTheme="minorEastAsia"/>
          <w:b/>
          <w:color w:val="auto"/>
          <w:kern w:val="0"/>
          <w:sz w:val="32"/>
          <w:szCs w:val="32"/>
          <w:highlight w:val="none"/>
          <w:lang w:val="zh-CN"/>
        </w:rPr>
      </w:pPr>
    </w:p>
    <w:p>
      <w:pPr>
        <w:widowControl/>
        <w:adjustRightInd/>
        <w:jc w:val="center"/>
        <w:rPr>
          <w:rFonts w:hint="eastAsia" w:cs="仿宋_GB2312" w:asciiTheme="minorEastAsia" w:hAnsiTheme="minorEastAsia" w:eastAsiaTheme="minorEastAsia"/>
          <w:b/>
          <w:color w:val="auto"/>
          <w:kern w:val="0"/>
          <w:sz w:val="32"/>
          <w:szCs w:val="32"/>
          <w:highlight w:val="none"/>
          <w:lang w:val="zh-CN"/>
        </w:rPr>
      </w:pPr>
    </w:p>
    <w:p>
      <w:pPr>
        <w:widowControl/>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杭州建设工程造价咨询有限公司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22"/>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2"/>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22"/>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rPr>
        <w:t>（项目名称）【项目编号：（采购编号）】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pPr>
        <w:pStyle w:val="2"/>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w:t>
      </w:r>
      <w:r>
        <w:rPr>
          <w:rFonts w:hint="eastAsia" w:cs="宋体" w:asciiTheme="minorEastAsia" w:hAnsiTheme="minorEastAsia" w:eastAsiaTheme="minorEastAsia"/>
          <w:kern w:val="0"/>
          <w:sz w:val="24"/>
          <w:highlight w:val="none"/>
          <w:u w:val="single"/>
          <w:lang w:eastAsia="zh-CN"/>
        </w:rPr>
        <w:t>服务</w:t>
      </w:r>
      <w:r>
        <w:rPr>
          <w:rFonts w:hint="eastAsia" w:cs="宋体" w:asciiTheme="minorEastAsia" w:hAnsiTheme="minorEastAsia" w:eastAsiaTheme="minorEastAsia"/>
          <w:kern w:val="0"/>
          <w:sz w:val="24"/>
          <w:highlight w:val="none"/>
          <w:u w:val="single"/>
        </w:rPr>
        <w:t>全部由小微企业</w:t>
      </w:r>
      <w:r>
        <w:rPr>
          <w:rFonts w:hint="eastAsia" w:cs="宋体" w:asciiTheme="minorEastAsia" w:hAnsiTheme="minorEastAsia" w:eastAsiaTheme="minorEastAsia"/>
          <w:kern w:val="0"/>
          <w:sz w:val="24"/>
          <w:highlight w:val="none"/>
          <w:u w:val="single"/>
          <w:lang w:eastAsia="zh-CN"/>
        </w:rPr>
        <w:t>承接</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文件中承诺的投标有效期不少于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p>
    <w:p>
      <w:pPr>
        <w:spacing w:line="360" w:lineRule="auto"/>
        <w:jc w:val="center"/>
        <w:rPr>
          <w:rFonts w:cs="仿宋_GB2312" w:asciiTheme="minorEastAsia" w:hAnsiTheme="minorEastAsia" w:eastAsiaTheme="minorEastAsia"/>
          <w:b/>
          <w:color w:val="auto"/>
          <w:kern w:val="0"/>
          <w:sz w:val="32"/>
          <w:szCs w:val="32"/>
          <w:highlight w:val="none"/>
        </w:rPr>
      </w:pPr>
    </w:p>
    <w:p>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文件中评标标准相应的商务技术资料目录”提供资料。）</w:t>
      </w:r>
    </w:p>
    <w:p>
      <w:pPr>
        <w:spacing w:line="360" w:lineRule="auto"/>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pPr>
        <w:spacing w:line="360" w:lineRule="auto"/>
        <w:ind w:firstLine="1333" w:firstLineChars="400"/>
        <w:jc w:val="left"/>
        <w:rPr>
          <w:rFonts w:asciiTheme="minorEastAsia" w:hAnsiTheme="minorEastAsia" w:eastAsiaTheme="minorEastAsia"/>
          <w:b/>
          <w:color w:val="auto"/>
          <w:spacing w:val="6"/>
          <w:sz w:val="32"/>
          <w:szCs w:val="32"/>
          <w:highlight w:val="none"/>
        </w:rPr>
      </w:pPr>
    </w:p>
    <w:p>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pPr>
        <w:autoSpaceDE w:val="0"/>
        <w:autoSpaceDN w:val="0"/>
        <w:spacing w:line="360" w:lineRule="auto"/>
        <w:rPr>
          <w:rFonts w:cs="仿宋_GB2312" w:asciiTheme="minorEastAsia" w:hAnsiTheme="minorEastAsia" w:eastAsiaTheme="minorEastAsia"/>
          <w:b/>
          <w:color w:val="auto"/>
          <w:kern w:val="0"/>
          <w:sz w:val="28"/>
          <w:szCs w:val="28"/>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pPr>
        <w:tabs>
          <w:tab w:val="left" w:pos="2790"/>
          <w:tab w:val="left" w:pos="4230"/>
        </w:tabs>
        <w:autoSpaceDE w:val="0"/>
        <w:autoSpaceDN w:val="0"/>
        <w:spacing w:line="360" w:lineRule="auto"/>
        <w:ind w:right="1400"/>
        <w:jc w:val="center"/>
        <w:rPr>
          <w:rFonts w:hint="eastAsia" w:asciiTheme="majorEastAsia" w:hAnsiTheme="majorEastAsia" w:eastAsiaTheme="majorEastAsia" w:cstheme="majorEastAsia"/>
          <w:b/>
          <w:bCs/>
          <w:color w:val="auto"/>
          <w:kern w:val="0"/>
          <w:sz w:val="32"/>
          <w:szCs w:val="32"/>
          <w:highlight w:val="none"/>
          <w:lang w:val="zh-CN"/>
        </w:rPr>
      </w:pPr>
    </w:p>
    <w:p>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八</w:t>
      </w:r>
      <w:r>
        <w:rPr>
          <w:rFonts w:hint="eastAsia" w:asciiTheme="majorEastAsia" w:hAnsiTheme="majorEastAsia" w:eastAsiaTheme="majorEastAsia" w:cstheme="majorEastAsia"/>
          <w:b/>
          <w:bCs/>
          <w:color w:val="auto"/>
          <w:sz w:val="32"/>
          <w:szCs w:val="32"/>
          <w:highlight w:val="none"/>
        </w:rPr>
        <w:t>、关于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pPr>
        <w:spacing w:line="360" w:lineRule="auto"/>
        <w:rPr>
          <w:rFonts w:hint="eastAsia" w:asciiTheme="majorEastAsia" w:hAnsiTheme="majorEastAsia" w:eastAsiaTheme="majorEastAsia" w:cstheme="majorEastAsia"/>
          <w:color w:val="auto"/>
          <w:sz w:val="24"/>
          <w:highlight w:val="none"/>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bCs/>
          <w:color w:val="auto"/>
          <w:sz w:val="32"/>
          <w:szCs w:val="32"/>
          <w:highlight w:val="none"/>
        </w:rPr>
      </w:pPr>
    </w:p>
    <w:p>
      <w:pPr>
        <w:spacing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lang w:eastAsia="zh-CN"/>
        </w:rPr>
        <w:t>九</w:t>
      </w:r>
      <w:r>
        <w:rPr>
          <w:rFonts w:hint="eastAsia" w:asciiTheme="majorEastAsia" w:hAnsiTheme="majorEastAsia" w:eastAsiaTheme="majorEastAsia" w:cstheme="majorEastAsia"/>
          <w:b/>
          <w:bCs/>
          <w:color w:val="auto"/>
          <w:sz w:val="32"/>
          <w:szCs w:val="32"/>
          <w:highlight w:val="none"/>
        </w:rPr>
        <w:t>、认为需要的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pPr>
        <w:spacing w:line="360" w:lineRule="auto"/>
        <w:jc w:val="center"/>
        <w:rPr>
          <w:rFonts w:hint="eastAsia" w:asciiTheme="majorEastAsia" w:hAnsiTheme="majorEastAsia" w:eastAsiaTheme="majorEastAsia" w:cstheme="majorEastAsia"/>
          <w:color w:val="auto"/>
          <w:sz w:val="24"/>
          <w:highlight w:val="none"/>
        </w:rPr>
      </w:pPr>
    </w:p>
    <w:p>
      <w:pPr>
        <w:spacing w:line="360" w:lineRule="auto"/>
        <w:rPr>
          <w:rFonts w:hint="eastAsia" w:asciiTheme="majorEastAsia" w:hAnsiTheme="majorEastAsia" w:eastAsiaTheme="majorEastAsia" w:cstheme="majorEastAsia"/>
          <w:color w:val="auto"/>
          <w:sz w:val="24"/>
          <w:highlight w:val="none"/>
        </w:rPr>
      </w:pPr>
    </w:p>
    <w:p>
      <w:pPr>
        <w:autoSpaceDE w:val="0"/>
        <w:autoSpaceDN w:val="0"/>
        <w:spacing w:line="360" w:lineRule="auto"/>
        <w:ind w:firstLine="4560" w:firstLineChars="19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pPr>
        <w:widowControl/>
        <w:adjustRightInd/>
        <w:jc w:val="left"/>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6"/>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杭州建设工程造价咨询有限公司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color w:val="auto"/>
          <w:kern w:val="0"/>
          <w:sz w:val="24"/>
          <w:highlight w:val="none"/>
          <w:lang w:val="zh-CN"/>
        </w:rPr>
        <w:sectPr>
          <w:headerReference r:id="rId14" w:type="first"/>
          <w:footerReference r:id="rId16" w:type="first"/>
          <w:headerReference r:id="rId13" w:type="default"/>
          <w:footerReference r:id="rId15" w:type="default"/>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5"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5"/>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b/>
          <w:bCs/>
          <w:color w:val="auto"/>
          <w:kern w:val="0"/>
          <w:sz w:val="24"/>
          <w:highlight w:val="none"/>
          <w:u w:val="single"/>
          <w:lang w:val="en-US" w:eastAsia="zh-CN"/>
        </w:rPr>
        <w:t xml:space="preserve"> 标的名称</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b/>
          <w:bCs/>
          <w:color w:val="auto"/>
          <w:kern w:val="0"/>
          <w:sz w:val="24"/>
          <w:highlight w:val="none"/>
          <w:u w:val="single"/>
          <w:lang w:val="en-US" w:eastAsia="zh-CN"/>
        </w:rPr>
        <w:t xml:space="preserve"> 其他未列明</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pStyle w:val="23"/>
        <w:jc w:val="both"/>
        <w:rPr>
          <w:rFonts w:hint="eastAsia" w:asciiTheme="minorEastAsia" w:hAnsiTheme="minorEastAsia" w:eastAsiaTheme="minorEastAsia" w:cstheme="minorEastAsia"/>
          <w:b/>
          <w:color w:val="auto"/>
          <w:sz w:val="32"/>
          <w:szCs w:val="32"/>
          <w:highlight w:val="none"/>
        </w:rPr>
      </w:pPr>
    </w:p>
    <w:p>
      <w:pP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pStyle w:val="23"/>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附件</w:t>
      </w:r>
      <w:r>
        <w:rPr>
          <w:rFonts w:hint="eastAsia" w:asciiTheme="minorEastAsia" w:hAnsiTheme="minorEastAsia" w:eastAsiaTheme="minorEastAsia" w:cstheme="minorEastAsia"/>
          <w:b/>
          <w:color w:val="auto"/>
          <w:sz w:val="32"/>
          <w:szCs w:val="32"/>
          <w:highlight w:val="none"/>
          <w:lang w:val="en-US" w:eastAsia="zh-CN"/>
        </w:rPr>
        <w:t>6:</w:t>
      </w:r>
      <w:r>
        <w:rPr>
          <w:rFonts w:hint="eastAsia" w:asciiTheme="minorEastAsia" w:hAnsiTheme="minorEastAsia" w:eastAsiaTheme="minorEastAsia" w:cstheme="minorEastAsia"/>
          <w:b/>
          <w:bCs/>
          <w:color w:val="auto"/>
          <w:sz w:val="32"/>
          <w:szCs w:val="32"/>
          <w:highlight w:val="none"/>
          <w:lang w:val="en-US" w:eastAsia="zh-CN"/>
        </w:rPr>
        <w:t>（开标记录开启后，请将此附件填写完整发送至邮箱：1211282946@qq.com）</w:t>
      </w:r>
    </w:p>
    <w:p>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政府采购活动现场确认声明书</w:t>
      </w:r>
    </w:p>
    <w:p>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杭州建设工程造价咨询有限公司：</w:t>
      </w:r>
      <w:r>
        <w:rPr>
          <w:rFonts w:hint="eastAsia" w:asciiTheme="minorEastAsia" w:hAnsiTheme="minorEastAsia" w:eastAsiaTheme="minorEastAsia" w:cstheme="minorEastAsia"/>
          <w:color w:val="auto"/>
          <w:sz w:val="24"/>
          <w:szCs w:val="24"/>
          <w:highlight w:val="none"/>
        </w:rPr>
        <w:t xml:space="preserve"> </w:t>
      </w:r>
    </w:p>
    <w:p>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）政府采购活动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经与本单位法人代表（负责人）联系确认，现就有关公平竞争事项郑重声明如下: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本单位与采购人之间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不存在利害关系</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存在下列利害关系:</w:t>
      </w:r>
    </w:p>
    <w:p>
      <w:pPr>
        <w:pStyle w:val="23"/>
        <w:keepNext w:val="0"/>
        <w:keepLines w:val="0"/>
        <w:pageBreakBefore w:val="0"/>
        <w:widowControl w:val="0"/>
        <w:numPr>
          <w:ilvl w:val="0"/>
          <w:numId w:val="1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投资关系 B．行政隶属关系 C．业务指导关系</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D．其他可能影响采购公正的利害关系（如有，请如实说明）。</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二、现己清楚知道参加本项目采购活动的其他所有供应商名称，本单位</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与其他所有供应商之间均不存在利害关系</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 xml:space="preserve">与______________（供应商名称）之间存在下列利害关系: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A．法定代表人或负责人或实际控制人是同一人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B．法定代表人或负责人或实际控制人是夫妻关系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C．法定代表人或负责人或实际控制人是直系血亲关系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D．法定代表人或负责人或实际控制人存在三代以内旁系血亲关系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E．法定代表人或负责人或实际控制人存在近姻亲关系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F．法定代表人或负责人或实际控制人存在股份控制或实际控制关系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G．存在共同直接或间接投资设立子公司、联营企业和合营企业情况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H．存在分级代理或代销关系、同一生产制造商关系、管理关系、重要业务（占主营业务收入 50 ％以上）或重要财务 往来关系（如融资）等其他实质性控制关系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I．其他利害关系情况 ________________________________________。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三、现己清楚知道并严格遵守政府采购法律法规。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四、我发现 ____________________供应商之间存在或可能存在上述第二条第 ____________项利害关系。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kern w:val="0"/>
          <w:sz w:val="24"/>
          <w:highlight w:val="none"/>
          <w:lang w:val="zh-CN"/>
        </w:rPr>
        <w:t>名称（签章）：</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供应商代表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签名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p>
    <w:p>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131845147"/>
    <w:bookmarkStart w:id="177" w:name="_Toc36110187"/>
    <w:bookmarkStart w:id="178" w:name="_Toc164085800"/>
    <w:bookmarkStart w:id="179" w:name="_Toc91899912"/>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A5AACD3"/>
    <w:multiLevelType w:val="singleLevel"/>
    <w:tmpl w:val="2A5AACD3"/>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A496926"/>
    <w:multiLevelType w:val="singleLevel"/>
    <w:tmpl w:val="4A496926"/>
    <w:lvl w:ilvl="0" w:tentative="0">
      <w:start w:val="1"/>
      <w:numFmt w:val="decimal"/>
      <w:lvlText w:val="%1."/>
      <w:lvlJc w:val="left"/>
      <w:pPr>
        <w:ind w:left="425" w:hanging="425"/>
      </w:pPr>
      <w:rPr>
        <w:rFonts w:hint="default"/>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5"/>
  </w:num>
  <w:num w:numId="5">
    <w:abstractNumId w:val="1"/>
  </w:num>
  <w:num w:numId="6">
    <w:abstractNumId w:val="9"/>
  </w:num>
  <w:num w:numId="7">
    <w:abstractNumId w:val="11"/>
  </w:num>
  <w:num w:numId="8">
    <w:abstractNumId w:val="12"/>
  </w:num>
  <w:num w:numId="9">
    <w:abstractNumId w:val="7"/>
  </w:num>
  <w:num w:numId="10">
    <w:abstractNumId w:val="6"/>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 w:name="KSO_WPS_MARK_KEY" w:val="316ba0a5-2fc8-4e40-8037-164a49f5810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7A0EC7"/>
    <w:rsid w:val="01A93B0A"/>
    <w:rsid w:val="02DA0C0E"/>
    <w:rsid w:val="031D2B58"/>
    <w:rsid w:val="03382E1C"/>
    <w:rsid w:val="033A41CB"/>
    <w:rsid w:val="039D4ABA"/>
    <w:rsid w:val="03DD35E4"/>
    <w:rsid w:val="043F1AC3"/>
    <w:rsid w:val="04433A5B"/>
    <w:rsid w:val="04983C03"/>
    <w:rsid w:val="04BF4814"/>
    <w:rsid w:val="04C27F80"/>
    <w:rsid w:val="053F563B"/>
    <w:rsid w:val="05436033"/>
    <w:rsid w:val="055C6826"/>
    <w:rsid w:val="05F0081D"/>
    <w:rsid w:val="05F834BB"/>
    <w:rsid w:val="063A2E9C"/>
    <w:rsid w:val="065A6178"/>
    <w:rsid w:val="068657BA"/>
    <w:rsid w:val="06B83447"/>
    <w:rsid w:val="075562B7"/>
    <w:rsid w:val="07F6164B"/>
    <w:rsid w:val="087A1B7A"/>
    <w:rsid w:val="08A22ED0"/>
    <w:rsid w:val="08DC35C4"/>
    <w:rsid w:val="095216D9"/>
    <w:rsid w:val="096B2097"/>
    <w:rsid w:val="0A077A73"/>
    <w:rsid w:val="0A251470"/>
    <w:rsid w:val="0A5B7E63"/>
    <w:rsid w:val="0A9122FC"/>
    <w:rsid w:val="0AF24DBE"/>
    <w:rsid w:val="0BB06F7D"/>
    <w:rsid w:val="0BF118D7"/>
    <w:rsid w:val="0C100564"/>
    <w:rsid w:val="0C7858E6"/>
    <w:rsid w:val="0C87121B"/>
    <w:rsid w:val="0C8A7206"/>
    <w:rsid w:val="0C9A1628"/>
    <w:rsid w:val="0CBA2338"/>
    <w:rsid w:val="0CBD7A94"/>
    <w:rsid w:val="0CD8083C"/>
    <w:rsid w:val="0D706EB3"/>
    <w:rsid w:val="0D764ED8"/>
    <w:rsid w:val="0DAA1870"/>
    <w:rsid w:val="0DF702FE"/>
    <w:rsid w:val="0E3F698B"/>
    <w:rsid w:val="0E5752C0"/>
    <w:rsid w:val="0ECC6F3C"/>
    <w:rsid w:val="0EDA4107"/>
    <w:rsid w:val="0EFB3043"/>
    <w:rsid w:val="0F21508F"/>
    <w:rsid w:val="0F27762D"/>
    <w:rsid w:val="0F4D01B7"/>
    <w:rsid w:val="0F816ACD"/>
    <w:rsid w:val="0FB94501"/>
    <w:rsid w:val="0FE87B4E"/>
    <w:rsid w:val="103F7986"/>
    <w:rsid w:val="109627FE"/>
    <w:rsid w:val="10B047CF"/>
    <w:rsid w:val="10FC16EA"/>
    <w:rsid w:val="117324EA"/>
    <w:rsid w:val="117D466F"/>
    <w:rsid w:val="11892B25"/>
    <w:rsid w:val="118963A1"/>
    <w:rsid w:val="11D23158"/>
    <w:rsid w:val="12525C9A"/>
    <w:rsid w:val="127723A9"/>
    <w:rsid w:val="12FF67D1"/>
    <w:rsid w:val="13072A44"/>
    <w:rsid w:val="137D6436"/>
    <w:rsid w:val="137F4BD8"/>
    <w:rsid w:val="145044FA"/>
    <w:rsid w:val="145D7102"/>
    <w:rsid w:val="147B592E"/>
    <w:rsid w:val="153A3EC7"/>
    <w:rsid w:val="157C293B"/>
    <w:rsid w:val="15972441"/>
    <w:rsid w:val="15B33873"/>
    <w:rsid w:val="15E07081"/>
    <w:rsid w:val="162C0264"/>
    <w:rsid w:val="16735D96"/>
    <w:rsid w:val="16972676"/>
    <w:rsid w:val="16E12EC0"/>
    <w:rsid w:val="170F56A3"/>
    <w:rsid w:val="186742B0"/>
    <w:rsid w:val="18765E9D"/>
    <w:rsid w:val="188D239B"/>
    <w:rsid w:val="18AE37F5"/>
    <w:rsid w:val="1A231A75"/>
    <w:rsid w:val="1A39650A"/>
    <w:rsid w:val="1A6A5ABB"/>
    <w:rsid w:val="1AA02CCA"/>
    <w:rsid w:val="1B093B7B"/>
    <w:rsid w:val="1B2A271F"/>
    <w:rsid w:val="1B890139"/>
    <w:rsid w:val="1B961B9F"/>
    <w:rsid w:val="1C30500C"/>
    <w:rsid w:val="1CAF0964"/>
    <w:rsid w:val="1D266CE1"/>
    <w:rsid w:val="1D3963AF"/>
    <w:rsid w:val="1D6D2518"/>
    <w:rsid w:val="1DE30E90"/>
    <w:rsid w:val="1E2E1CD6"/>
    <w:rsid w:val="1E714A66"/>
    <w:rsid w:val="1F321BBC"/>
    <w:rsid w:val="1F807EA1"/>
    <w:rsid w:val="1F962FEF"/>
    <w:rsid w:val="1FE868A9"/>
    <w:rsid w:val="1FF45AC8"/>
    <w:rsid w:val="20517888"/>
    <w:rsid w:val="211E26D6"/>
    <w:rsid w:val="21283D08"/>
    <w:rsid w:val="213D57A7"/>
    <w:rsid w:val="21C9572D"/>
    <w:rsid w:val="21CB39E1"/>
    <w:rsid w:val="21D767F0"/>
    <w:rsid w:val="21EB0E55"/>
    <w:rsid w:val="22403FDB"/>
    <w:rsid w:val="227261EA"/>
    <w:rsid w:val="230C1234"/>
    <w:rsid w:val="24386BE9"/>
    <w:rsid w:val="24D32EC8"/>
    <w:rsid w:val="2589111C"/>
    <w:rsid w:val="25B440B3"/>
    <w:rsid w:val="25C85F86"/>
    <w:rsid w:val="26020B40"/>
    <w:rsid w:val="26262FAD"/>
    <w:rsid w:val="26B54B18"/>
    <w:rsid w:val="26D90E1B"/>
    <w:rsid w:val="26E15BCA"/>
    <w:rsid w:val="26EB72DC"/>
    <w:rsid w:val="27626893"/>
    <w:rsid w:val="281C0DE4"/>
    <w:rsid w:val="288D0966"/>
    <w:rsid w:val="28C069BB"/>
    <w:rsid w:val="29352491"/>
    <w:rsid w:val="299E6187"/>
    <w:rsid w:val="2A0E755D"/>
    <w:rsid w:val="2A5A58B5"/>
    <w:rsid w:val="2AA1365A"/>
    <w:rsid w:val="2AD647EA"/>
    <w:rsid w:val="2B4806B1"/>
    <w:rsid w:val="2BBC4FD7"/>
    <w:rsid w:val="2CD8499A"/>
    <w:rsid w:val="2D3C0649"/>
    <w:rsid w:val="2D56496F"/>
    <w:rsid w:val="2D6514BF"/>
    <w:rsid w:val="2D6B1B0F"/>
    <w:rsid w:val="2DAD0CF7"/>
    <w:rsid w:val="2DCC7F48"/>
    <w:rsid w:val="2DD15014"/>
    <w:rsid w:val="2E047462"/>
    <w:rsid w:val="2E3914EB"/>
    <w:rsid w:val="2E501E9B"/>
    <w:rsid w:val="2E666A32"/>
    <w:rsid w:val="2EE86B58"/>
    <w:rsid w:val="2F5127FD"/>
    <w:rsid w:val="2FD25781"/>
    <w:rsid w:val="3019677C"/>
    <w:rsid w:val="30322CC4"/>
    <w:rsid w:val="305E6223"/>
    <w:rsid w:val="306772F9"/>
    <w:rsid w:val="30752864"/>
    <w:rsid w:val="30A92556"/>
    <w:rsid w:val="30BC3CB5"/>
    <w:rsid w:val="31582998"/>
    <w:rsid w:val="318239EB"/>
    <w:rsid w:val="319C6071"/>
    <w:rsid w:val="32DB45B9"/>
    <w:rsid w:val="32DB72BE"/>
    <w:rsid w:val="33C05D77"/>
    <w:rsid w:val="33D2072C"/>
    <w:rsid w:val="342E63AB"/>
    <w:rsid w:val="345D260B"/>
    <w:rsid w:val="34DB3342"/>
    <w:rsid w:val="352459A4"/>
    <w:rsid w:val="35542342"/>
    <w:rsid w:val="365302AE"/>
    <w:rsid w:val="36762BD6"/>
    <w:rsid w:val="36ED33DF"/>
    <w:rsid w:val="378144A7"/>
    <w:rsid w:val="379330A4"/>
    <w:rsid w:val="37CC69EB"/>
    <w:rsid w:val="37F142D2"/>
    <w:rsid w:val="37FA7F3E"/>
    <w:rsid w:val="38123FEB"/>
    <w:rsid w:val="38456684"/>
    <w:rsid w:val="385E47D8"/>
    <w:rsid w:val="39A13F14"/>
    <w:rsid w:val="3A0F015F"/>
    <w:rsid w:val="3A720CC7"/>
    <w:rsid w:val="3A893969"/>
    <w:rsid w:val="3A907120"/>
    <w:rsid w:val="3B36765C"/>
    <w:rsid w:val="3BC278CD"/>
    <w:rsid w:val="3BC677CF"/>
    <w:rsid w:val="3C1B147E"/>
    <w:rsid w:val="3C21388E"/>
    <w:rsid w:val="3C5A379F"/>
    <w:rsid w:val="3C5F759A"/>
    <w:rsid w:val="3C8F00A7"/>
    <w:rsid w:val="3CC354DB"/>
    <w:rsid w:val="3CE2670F"/>
    <w:rsid w:val="3D2178A7"/>
    <w:rsid w:val="3D345932"/>
    <w:rsid w:val="3D5C78D4"/>
    <w:rsid w:val="3D685974"/>
    <w:rsid w:val="3D6B34D6"/>
    <w:rsid w:val="3DCC0E77"/>
    <w:rsid w:val="3E790922"/>
    <w:rsid w:val="3EAD2662"/>
    <w:rsid w:val="3EC17C12"/>
    <w:rsid w:val="3EEA50EE"/>
    <w:rsid w:val="3F340657"/>
    <w:rsid w:val="3FB47B74"/>
    <w:rsid w:val="409459D0"/>
    <w:rsid w:val="40E020E8"/>
    <w:rsid w:val="41083405"/>
    <w:rsid w:val="41F2153C"/>
    <w:rsid w:val="42640ACD"/>
    <w:rsid w:val="429C084C"/>
    <w:rsid w:val="42E1381E"/>
    <w:rsid w:val="43293905"/>
    <w:rsid w:val="43354549"/>
    <w:rsid w:val="435401A2"/>
    <w:rsid w:val="438E386A"/>
    <w:rsid w:val="43BA5320"/>
    <w:rsid w:val="43FB717C"/>
    <w:rsid w:val="451E447A"/>
    <w:rsid w:val="45345B76"/>
    <w:rsid w:val="455734CB"/>
    <w:rsid w:val="45C04670"/>
    <w:rsid w:val="45DB017A"/>
    <w:rsid w:val="45F04E56"/>
    <w:rsid w:val="45F1117B"/>
    <w:rsid w:val="46A5543A"/>
    <w:rsid w:val="46A554CD"/>
    <w:rsid w:val="46C82D6F"/>
    <w:rsid w:val="46E0520C"/>
    <w:rsid w:val="46E14BDC"/>
    <w:rsid w:val="47307808"/>
    <w:rsid w:val="47C24C2D"/>
    <w:rsid w:val="47D9238D"/>
    <w:rsid w:val="486F747C"/>
    <w:rsid w:val="48B7443A"/>
    <w:rsid w:val="48D57303"/>
    <w:rsid w:val="48FC497B"/>
    <w:rsid w:val="490713EB"/>
    <w:rsid w:val="4923112F"/>
    <w:rsid w:val="4A8C2F6C"/>
    <w:rsid w:val="4A9F1B8D"/>
    <w:rsid w:val="4B060022"/>
    <w:rsid w:val="4C3A071A"/>
    <w:rsid w:val="4C8363D1"/>
    <w:rsid w:val="4C8F1BE3"/>
    <w:rsid w:val="4C9B05B0"/>
    <w:rsid w:val="4D070FB2"/>
    <w:rsid w:val="4D171E7F"/>
    <w:rsid w:val="4D436768"/>
    <w:rsid w:val="4D861CF6"/>
    <w:rsid w:val="4EAA0C1E"/>
    <w:rsid w:val="4EF07A0E"/>
    <w:rsid w:val="4F415CF2"/>
    <w:rsid w:val="4FC05180"/>
    <w:rsid w:val="50361150"/>
    <w:rsid w:val="503A7647"/>
    <w:rsid w:val="51100B2B"/>
    <w:rsid w:val="51A0432A"/>
    <w:rsid w:val="527140E5"/>
    <w:rsid w:val="5292508F"/>
    <w:rsid w:val="52A96B6F"/>
    <w:rsid w:val="52CB41AA"/>
    <w:rsid w:val="531E12B5"/>
    <w:rsid w:val="5346366A"/>
    <w:rsid w:val="53811204"/>
    <w:rsid w:val="542B3809"/>
    <w:rsid w:val="54401277"/>
    <w:rsid w:val="54694EF7"/>
    <w:rsid w:val="54AA2B89"/>
    <w:rsid w:val="54B957E0"/>
    <w:rsid w:val="550764A4"/>
    <w:rsid w:val="550B6548"/>
    <w:rsid w:val="551926E0"/>
    <w:rsid w:val="55711CE8"/>
    <w:rsid w:val="557517D2"/>
    <w:rsid w:val="561279B9"/>
    <w:rsid w:val="56515F3B"/>
    <w:rsid w:val="56683EEA"/>
    <w:rsid w:val="572B71CA"/>
    <w:rsid w:val="57C2588A"/>
    <w:rsid w:val="57F6570E"/>
    <w:rsid w:val="5864347D"/>
    <w:rsid w:val="589D28C2"/>
    <w:rsid w:val="58AE4F0C"/>
    <w:rsid w:val="59B079C6"/>
    <w:rsid w:val="5A053080"/>
    <w:rsid w:val="5A2A7C7B"/>
    <w:rsid w:val="5A2E7BBB"/>
    <w:rsid w:val="5A91285F"/>
    <w:rsid w:val="5AB924A3"/>
    <w:rsid w:val="5B9F2E80"/>
    <w:rsid w:val="5BE56C8E"/>
    <w:rsid w:val="5BE71B3F"/>
    <w:rsid w:val="5C80234E"/>
    <w:rsid w:val="5CDE6428"/>
    <w:rsid w:val="5CE850D7"/>
    <w:rsid w:val="5E261785"/>
    <w:rsid w:val="5F6968CE"/>
    <w:rsid w:val="5FCC5339"/>
    <w:rsid w:val="5FE70807"/>
    <w:rsid w:val="60CA6352"/>
    <w:rsid w:val="60E53485"/>
    <w:rsid w:val="61054A27"/>
    <w:rsid w:val="611D2366"/>
    <w:rsid w:val="6203566C"/>
    <w:rsid w:val="625B55B9"/>
    <w:rsid w:val="62885958"/>
    <w:rsid w:val="63141E0F"/>
    <w:rsid w:val="633D174F"/>
    <w:rsid w:val="6461136D"/>
    <w:rsid w:val="64641B74"/>
    <w:rsid w:val="64CE2EAA"/>
    <w:rsid w:val="64F317FF"/>
    <w:rsid w:val="651E5514"/>
    <w:rsid w:val="65297EE5"/>
    <w:rsid w:val="655D6078"/>
    <w:rsid w:val="65B3557E"/>
    <w:rsid w:val="65FB2FC1"/>
    <w:rsid w:val="66285292"/>
    <w:rsid w:val="662E75B1"/>
    <w:rsid w:val="66342C2E"/>
    <w:rsid w:val="663E784C"/>
    <w:rsid w:val="66CD03B4"/>
    <w:rsid w:val="66F348B2"/>
    <w:rsid w:val="67BF28F6"/>
    <w:rsid w:val="67F64CA5"/>
    <w:rsid w:val="684240D1"/>
    <w:rsid w:val="685867EC"/>
    <w:rsid w:val="686028F5"/>
    <w:rsid w:val="687C508C"/>
    <w:rsid w:val="68FB5EDA"/>
    <w:rsid w:val="6AD81593"/>
    <w:rsid w:val="6ADF7408"/>
    <w:rsid w:val="6CA156F6"/>
    <w:rsid w:val="6D320410"/>
    <w:rsid w:val="6D4B3469"/>
    <w:rsid w:val="6DAB411C"/>
    <w:rsid w:val="6E0C52FC"/>
    <w:rsid w:val="6E3E4CC7"/>
    <w:rsid w:val="6E8E12EF"/>
    <w:rsid w:val="6F6D194D"/>
    <w:rsid w:val="70306A09"/>
    <w:rsid w:val="71072C18"/>
    <w:rsid w:val="718349A1"/>
    <w:rsid w:val="71D43752"/>
    <w:rsid w:val="720B4718"/>
    <w:rsid w:val="72C448BA"/>
    <w:rsid w:val="72D93888"/>
    <w:rsid w:val="73444CFB"/>
    <w:rsid w:val="73DD6243"/>
    <w:rsid w:val="740E5F0E"/>
    <w:rsid w:val="749C4185"/>
    <w:rsid w:val="74D80B22"/>
    <w:rsid w:val="75166ABB"/>
    <w:rsid w:val="75A204DA"/>
    <w:rsid w:val="75DA2C18"/>
    <w:rsid w:val="763C5FCD"/>
    <w:rsid w:val="76B12507"/>
    <w:rsid w:val="775319EF"/>
    <w:rsid w:val="778B532C"/>
    <w:rsid w:val="77F2518C"/>
    <w:rsid w:val="78214E44"/>
    <w:rsid w:val="78FB656F"/>
    <w:rsid w:val="790F1C77"/>
    <w:rsid w:val="792D6247"/>
    <w:rsid w:val="7A2617DB"/>
    <w:rsid w:val="7A67303B"/>
    <w:rsid w:val="7AAB1D04"/>
    <w:rsid w:val="7ABA4368"/>
    <w:rsid w:val="7AD84BDD"/>
    <w:rsid w:val="7AFB41BC"/>
    <w:rsid w:val="7B0B4DD5"/>
    <w:rsid w:val="7B0F6004"/>
    <w:rsid w:val="7B257FFD"/>
    <w:rsid w:val="7B50314C"/>
    <w:rsid w:val="7B514742"/>
    <w:rsid w:val="7BCA7393"/>
    <w:rsid w:val="7BCE2CB0"/>
    <w:rsid w:val="7C2B1DA5"/>
    <w:rsid w:val="7C654594"/>
    <w:rsid w:val="7C655EEE"/>
    <w:rsid w:val="7D37101F"/>
    <w:rsid w:val="7D426187"/>
    <w:rsid w:val="7DF22B08"/>
    <w:rsid w:val="7DF4317E"/>
    <w:rsid w:val="7E3A7372"/>
    <w:rsid w:val="7E597E8E"/>
    <w:rsid w:val="7E62785A"/>
    <w:rsid w:val="7E64308B"/>
    <w:rsid w:val="7F480FCB"/>
    <w:rsid w:val="7FF3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6"/>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numPr>
        <w:ilvl w:val="0"/>
        <w:numId w:val="4"/>
      </w:numPr>
    </w:pPr>
  </w:style>
  <w:style w:type="paragraph" w:styleId="19">
    <w:name w:val="Document Map"/>
    <w:basedOn w:val="1"/>
    <w:semiHidden/>
    <w:qFormat/>
    <w:uiPriority w:val="0"/>
    <w:pPr>
      <w:shd w:val="clear" w:color="auto" w:fill="000080"/>
    </w:pPr>
  </w:style>
  <w:style w:type="paragraph" w:styleId="20">
    <w:name w:val="annotation text"/>
    <w:basedOn w:val="1"/>
    <w:link w:val="616"/>
    <w:qFormat/>
    <w:uiPriority w:val="99"/>
    <w:pPr>
      <w:jc w:val="left"/>
    </w:pPr>
  </w:style>
  <w:style w:type="paragraph" w:styleId="21">
    <w:name w:val="Salutation"/>
    <w:basedOn w:val="1"/>
    <w:next w:val="1"/>
    <w:link w:val="484"/>
    <w:qFormat/>
    <w:uiPriority w:val="0"/>
    <w:rPr>
      <w:rFonts w:ascii="仿宋_GB2312" w:eastAsia="仿宋_GB2312"/>
      <w:sz w:val="28"/>
      <w:szCs w:val="20"/>
    </w:rPr>
  </w:style>
  <w:style w:type="paragraph" w:styleId="22">
    <w:name w:val="Body Text 3"/>
    <w:basedOn w:val="1"/>
    <w:link w:val="583"/>
    <w:qFormat/>
    <w:uiPriority w:val="0"/>
    <w:pPr>
      <w:jc w:val="center"/>
    </w:pPr>
    <w:rPr>
      <w:szCs w:val="20"/>
    </w:rPr>
  </w:style>
  <w:style w:type="paragraph" w:styleId="23">
    <w:name w:val="Body Text"/>
    <w:basedOn w:val="1"/>
    <w:next w:val="24"/>
    <w:link w:val="514"/>
    <w:qFormat/>
    <w:uiPriority w:val="0"/>
    <w:pPr>
      <w:autoSpaceDE w:val="0"/>
      <w:autoSpaceDN w:val="0"/>
      <w:spacing w:line="360" w:lineRule="auto"/>
    </w:pPr>
    <w:rPr>
      <w:rFonts w:ascii="宋体"/>
      <w:sz w:val="24"/>
      <w:szCs w:val="21"/>
      <w:lang w:val="zh-CN"/>
    </w:rPr>
  </w:style>
  <w:style w:type="paragraph" w:styleId="24">
    <w:name w:val="Body Text First Indent"/>
    <w:basedOn w:val="23"/>
    <w:link w:val="547"/>
    <w:qFormat/>
    <w:uiPriority w:val="0"/>
    <w:pPr>
      <w:ind w:firstLine="420"/>
    </w:pPr>
    <w:rPr>
      <w:szCs w:val="20"/>
    </w:rPr>
  </w:style>
  <w:style w:type="paragraph" w:styleId="25">
    <w:name w:val="Body Text Indent"/>
    <w:basedOn w:val="1"/>
    <w:next w:val="1"/>
    <w:link w:val="47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1"/>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0"/>
    <w:qFormat/>
    <w:uiPriority w:val="0"/>
    <w:pPr>
      <w:ind w:left="100" w:leftChars="2500"/>
    </w:pPr>
    <w:rPr>
      <w:rFonts w:ascii="宋体"/>
      <w:sz w:val="24"/>
      <w:szCs w:val="21"/>
      <w:lang w:val="zh-CN"/>
    </w:rPr>
  </w:style>
  <w:style w:type="paragraph" w:styleId="37">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8">
    <w:name w:val="Balloon Text"/>
    <w:basedOn w:val="1"/>
    <w:link w:val="617"/>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next w:val="3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0"/>
    <w:qFormat/>
    <w:uiPriority w:val="0"/>
    <w:pPr>
      <w:spacing w:line="360" w:lineRule="auto"/>
      <w:ind w:firstLine="420"/>
    </w:pPr>
    <w:rPr>
      <w:sz w:val="24"/>
      <w:szCs w:val="20"/>
    </w:rPr>
  </w:style>
  <w:style w:type="paragraph" w:styleId="53">
    <w:name w:val="table of figures"/>
    <w:basedOn w:val="1"/>
    <w:next w:val="1"/>
    <w:unhideWhenUsed/>
    <w:qFormat/>
    <w:uiPriority w:val="99"/>
    <w:pPr>
      <w:ind w:left="200" w:leftChars="200" w:hanging="200" w:hangingChars="200"/>
    </w:pPr>
    <w:rPr>
      <w:szCs w:val="32"/>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paragraph" w:styleId="61">
    <w:name w:val="Body Text First Indent 2"/>
    <w:basedOn w:val="25"/>
    <w:link w:val="504"/>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Body Text First Indent1"/>
    <w:basedOn w:val="23"/>
    <w:next w:val="40"/>
    <w:qFormat/>
    <w:uiPriority w:val="0"/>
    <w:pPr>
      <w:ind w:firstLine="420" w:firstLineChars="100"/>
    </w:pPr>
    <w:rPr>
      <w:sz w:val="20"/>
    </w:rPr>
  </w:style>
  <w:style w:type="paragraph" w:customStyle="1" w:styleId="74">
    <w:name w:val="样式 正文首行缩进 + 首行缩进:  1 字符"/>
    <w:basedOn w:val="24"/>
    <w:next w:val="18"/>
    <w:qFormat/>
    <w:uiPriority w:val="0"/>
    <w:pPr>
      <w:spacing w:after="40"/>
      <w:ind w:firstLine="200" w:firstLineChars="200"/>
    </w:pPr>
    <w:rPr>
      <w:rFonts w:eastAsia="隶书" w:cs="宋体"/>
      <w:snapToGrid/>
      <w:kern w:val="2"/>
      <w:shd w:val="clear" w:color="auto" w:fill="FFFFFF"/>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5"/>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5"/>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5"/>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7"/>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4"/>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2"/>
    <w:next w:val="1"/>
    <w:qFormat/>
    <w:uiPriority w:val="0"/>
    <w:pPr>
      <w:numPr>
        <w:ilvl w:val="1"/>
        <w:numId w:val="6"/>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4"/>
    <w:qFormat/>
    <w:uiPriority w:val="0"/>
    <w:pPr>
      <w:numPr>
        <w:numId w:val="5"/>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5"/>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9"/>
    <w:qFormat/>
    <w:uiPriority w:val="0"/>
    <w:pPr>
      <w:snapToGrid w:val="0"/>
      <w:spacing w:line="360" w:lineRule="auto"/>
    </w:pPr>
  </w:style>
  <w:style w:type="paragraph" w:customStyle="1" w:styleId="374">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6"/>
    <w:next w:val="1"/>
    <w:qFormat/>
    <w:uiPriority w:val="0"/>
    <w:pPr>
      <w:numPr>
        <w:numId w:val="6"/>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6"/>
    <w:qFormat/>
    <w:uiPriority w:val="0"/>
    <w:pPr>
      <w:numPr>
        <w:numId w:val="5"/>
      </w:numPr>
      <w:tabs>
        <w:tab w:val="left" w:pos="840"/>
        <w:tab w:val="left" w:pos="2520"/>
        <w:tab w:val="clear" w:pos="1008"/>
      </w:tabs>
      <w:adjustRightInd/>
    </w:p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3"/>
    <w:next w:val="1"/>
    <w:qFormat/>
    <w:uiPriority w:val="0"/>
    <w:pPr>
      <w:numPr>
        <w:numId w:val="6"/>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3"/>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link w:val="23"/>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1"/>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9"/>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49"/>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5"/>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8"/>
    <w:qFormat/>
    <w:uiPriority w:val="0"/>
    <w:rPr>
      <w:b/>
      <w:bCs/>
      <w:kern w:val="2"/>
      <w:sz w:val="24"/>
      <w:szCs w:val="24"/>
    </w:rPr>
  </w:style>
  <w:style w:type="character" w:customStyle="1" w:styleId="484">
    <w:name w:val="称呼 Char"/>
    <w:link w:val="21"/>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6"/>
    <w:qFormat/>
    <w:uiPriority w:val="0"/>
    <w:rPr>
      <w:rFonts w:ascii="Arial" w:hAnsi="Arial" w:eastAsia="隶书"/>
      <w:b/>
      <w:bCs/>
      <w:kern w:val="28"/>
      <w:sz w:val="44"/>
      <w:szCs w:val="32"/>
      <w:lang w:val="en-US" w:eastAsia="zh-CN" w:bidi="ar-SA"/>
    </w:rPr>
  </w:style>
  <w:style w:type="character" w:customStyle="1" w:styleId="49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1"/>
    <w:qFormat/>
    <w:uiPriority w:val="0"/>
    <w:rPr>
      <w:rFonts w:ascii="宋体" w:hAnsi="宋体"/>
      <w:kern w:val="2"/>
      <w:sz w:val="21"/>
      <w:szCs w:val="24"/>
    </w:rPr>
  </w:style>
  <w:style w:type="character" w:customStyle="1" w:styleId="505">
    <w:name w:val="正文文本缩进 2 Char"/>
    <w:link w:val="37"/>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0"/>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7"/>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24"/>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3"/>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0"/>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6"/>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2"/>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2"/>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6"/>
    <w:qFormat/>
    <w:uiPriority w:val="0"/>
    <w:rPr>
      <w:rFonts w:ascii="宋体"/>
      <w:kern w:val="2"/>
      <w:sz w:val="24"/>
      <w:szCs w:val="21"/>
      <w:lang w:val="zh-CN"/>
    </w:rPr>
  </w:style>
  <w:style w:type="character" w:customStyle="1" w:styleId="601">
    <w:name w:val="标题 4 Char"/>
    <w:link w:val="5"/>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7"/>
    <w:qFormat/>
    <w:uiPriority w:val="0"/>
    <w:rPr>
      <w:rFonts w:ascii="Arial" w:hAnsi="Arial" w:eastAsia="黑体"/>
      <w:b/>
      <w:bCs/>
      <w:kern w:val="2"/>
      <w:sz w:val="24"/>
      <w:szCs w:val="24"/>
    </w:rPr>
  </w:style>
  <w:style w:type="character" w:customStyle="1" w:styleId="615">
    <w:name w:val="正文缩进 Char2"/>
    <w:link w:val="15"/>
    <w:qFormat/>
    <w:uiPriority w:val="0"/>
    <w:rPr>
      <w:rFonts w:ascii="宋体" w:eastAsia="宋体"/>
      <w:snapToGrid w:val="0"/>
      <w:color w:val="000000"/>
      <w:kern w:val="28"/>
      <w:sz w:val="28"/>
      <w:lang w:val="en-US" w:eastAsia="zh-CN" w:bidi="ar-SA"/>
    </w:rPr>
  </w:style>
  <w:style w:type="character" w:customStyle="1" w:styleId="616">
    <w:name w:val="批注文字 Char1"/>
    <w:link w:val="20"/>
    <w:qFormat/>
    <w:uiPriority w:val="99"/>
    <w:rPr>
      <w:kern w:val="2"/>
      <w:sz w:val="21"/>
      <w:szCs w:val="24"/>
    </w:rPr>
  </w:style>
  <w:style w:type="character" w:customStyle="1" w:styleId="617">
    <w:name w:val="批注框文本 Char"/>
    <w:link w:val="38"/>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BodyTextIndent"/>
    <w:basedOn w:val="1"/>
    <w:next w:val="635"/>
    <w:qFormat/>
    <w:uiPriority w:val="0"/>
    <w:pPr>
      <w:spacing w:after="120"/>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635">
    <w:name w:val="BodyText1I2"/>
    <w:basedOn w:val="634"/>
    <w:qFormat/>
    <w:uiPriority w:val="0"/>
    <w:pPr>
      <w:spacing w:after="120"/>
      <w:ind w:left="420" w:leftChars="200" w:firstLine="420"/>
      <w:jc w:val="both"/>
      <w:textAlignment w:val="baseline"/>
    </w:pPr>
    <w:rPr>
      <w:rFonts w:ascii="Times New Roman" w:hAnsi="Times New Roman" w:eastAsia="宋体"/>
      <w:color w:val="000000"/>
      <w:kern w:val="2"/>
      <w:sz w:val="21"/>
      <w:szCs w:val="21"/>
      <w:lang w:val="en-US" w:eastAsia="zh-CN" w:bidi="ar-SA"/>
    </w:rPr>
  </w:style>
  <w:style w:type="character" w:customStyle="1" w:styleId="636">
    <w:name w:val="标题 1 Char1"/>
    <w:link w:val="3"/>
    <w:qFormat/>
    <w:uiPriority w:val="0"/>
    <w:rPr>
      <w:rFonts w:ascii="Arial" w:hAnsi="Arial" w:eastAsia="黑体"/>
      <w:b/>
      <w:snapToGrid w:val="0"/>
      <w:sz w:val="35"/>
      <w:szCs w:val="22"/>
    </w:rPr>
  </w:style>
  <w:style w:type="paragraph" w:customStyle="1" w:styleId="637">
    <w:name w:val="列表段落1"/>
    <w:basedOn w:val="1"/>
    <w:qFormat/>
    <w:uiPriority w:val="34"/>
    <w:pPr>
      <w:adjustRightInd/>
      <w:ind w:right="238" w:firstLine="420"/>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38699</Words>
  <Characters>40621</Characters>
  <Lines>379</Lines>
  <Paragraphs>106</Paragraphs>
  <TotalTime>80</TotalTime>
  <ScaleCrop>false</ScaleCrop>
  <LinksUpToDate>false</LinksUpToDate>
  <CharactersWithSpaces>46015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asus</cp:lastModifiedBy>
  <cp:lastPrinted>2024-08-07T04:29:00Z</cp:lastPrinted>
  <dcterms:modified xsi:type="dcterms:W3CDTF">2024-08-29T09:12:26Z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529E1166D12A40F0BDD743EE23C6219A_13</vt:lpwstr>
  </property>
</Properties>
</file>