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D0A2B">
      <w:pPr>
        <w:spacing w:line="360" w:lineRule="auto"/>
        <w:jc w:val="center"/>
        <w:rPr>
          <w:rFonts w:ascii="宋体" w:hAnsi="宋体" w:cs="宋体"/>
          <w:b/>
          <w:color w:val="auto"/>
          <w:sz w:val="24"/>
          <w:highlight w:val="none"/>
        </w:rPr>
      </w:pPr>
    </w:p>
    <w:p w14:paraId="265EB5A4">
      <w:pPr>
        <w:spacing w:line="360" w:lineRule="auto"/>
        <w:jc w:val="center"/>
        <w:rPr>
          <w:rFonts w:ascii="宋体" w:hAnsi="宋体" w:cs="宋体"/>
          <w:b/>
          <w:color w:val="auto"/>
          <w:sz w:val="24"/>
          <w:highlight w:val="none"/>
        </w:rPr>
      </w:pPr>
    </w:p>
    <w:p w14:paraId="3F76E0AB">
      <w:pPr>
        <w:pStyle w:val="80"/>
        <w:rPr>
          <w:color w:val="auto"/>
          <w:highlight w:val="none"/>
          <w:lang w:val="en-US"/>
        </w:rPr>
      </w:pPr>
    </w:p>
    <w:p w14:paraId="4331D035">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玉皇山景区、万松书院、爱情诗路清卫保洁服务</w:t>
      </w:r>
    </w:p>
    <w:p w14:paraId="1CCDCC9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F743A7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69F68E2">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编号:FYC012411-260</w:t>
      </w:r>
    </w:p>
    <w:p w14:paraId="6324201E">
      <w:pPr>
        <w:adjustRightInd/>
        <w:spacing w:line="360" w:lineRule="auto"/>
        <w:rPr>
          <w:rFonts w:ascii="宋体" w:hAnsi="宋体" w:cs="宋体"/>
          <w:color w:val="auto"/>
          <w:sz w:val="28"/>
          <w:szCs w:val="20"/>
          <w:highlight w:val="none"/>
        </w:rPr>
      </w:pPr>
    </w:p>
    <w:p w14:paraId="675E04AE">
      <w:pPr>
        <w:spacing w:line="360" w:lineRule="auto"/>
        <w:jc w:val="center"/>
        <w:rPr>
          <w:rFonts w:ascii="宋体" w:hAnsi="宋体" w:cs="宋体"/>
          <w:b/>
          <w:color w:val="auto"/>
          <w:sz w:val="44"/>
          <w:szCs w:val="44"/>
          <w:highlight w:val="none"/>
        </w:rPr>
      </w:pPr>
    </w:p>
    <w:p w14:paraId="7B1CB235">
      <w:pPr>
        <w:spacing w:line="360" w:lineRule="auto"/>
        <w:jc w:val="center"/>
        <w:rPr>
          <w:rFonts w:ascii="宋体" w:hAnsi="宋体" w:cs="宋体"/>
          <w:b/>
          <w:color w:val="auto"/>
          <w:sz w:val="44"/>
          <w:szCs w:val="44"/>
          <w:highlight w:val="none"/>
        </w:rPr>
      </w:pPr>
    </w:p>
    <w:p w14:paraId="1061EA80">
      <w:pPr>
        <w:spacing w:line="360" w:lineRule="auto"/>
        <w:jc w:val="center"/>
        <w:rPr>
          <w:rFonts w:ascii="宋体" w:hAnsi="宋体" w:cs="宋体"/>
          <w:color w:val="auto"/>
          <w:sz w:val="24"/>
          <w:highlight w:val="none"/>
        </w:rPr>
      </w:pPr>
    </w:p>
    <w:p w14:paraId="74CBF66F">
      <w:pPr>
        <w:pStyle w:val="80"/>
        <w:rPr>
          <w:color w:val="auto"/>
          <w:highlight w:val="none"/>
          <w:lang w:val="en-US"/>
        </w:rPr>
      </w:pPr>
    </w:p>
    <w:p w14:paraId="608143AA">
      <w:pPr>
        <w:pStyle w:val="80"/>
        <w:rPr>
          <w:color w:val="auto"/>
          <w:highlight w:val="none"/>
          <w:lang w:val="en-US"/>
        </w:rPr>
      </w:pPr>
    </w:p>
    <w:p w14:paraId="67C6008B">
      <w:pPr>
        <w:pStyle w:val="80"/>
        <w:rPr>
          <w:color w:val="auto"/>
          <w:highlight w:val="none"/>
          <w:lang w:val="en-US"/>
        </w:rPr>
      </w:pPr>
    </w:p>
    <w:p w14:paraId="4EA9EBCE">
      <w:pPr>
        <w:pStyle w:val="80"/>
        <w:rPr>
          <w:color w:val="auto"/>
          <w:highlight w:val="none"/>
          <w:lang w:val="en-US"/>
        </w:rPr>
      </w:pPr>
    </w:p>
    <w:p w14:paraId="642D0799">
      <w:pPr>
        <w:pStyle w:val="80"/>
        <w:rPr>
          <w:color w:val="auto"/>
          <w:highlight w:val="none"/>
          <w:lang w:val="en-US"/>
        </w:rPr>
      </w:pPr>
    </w:p>
    <w:p w14:paraId="08BE0FBF">
      <w:pPr>
        <w:spacing w:line="360" w:lineRule="auto"/>
        <w:jc w:val="center"/>
        <w:rPr>
          <w:rFonts w:ascii="宋体" w:hAnsi="宋体" w:cs="宋体"/>
          <w:color w:val="auto"/>
          <w:sz w:val="24"/>
          <w:highlight w:val="none"/>
        </w:rPr>
      </w:pPr>
    </w:p>
    <w:p w14:paraId="5563EC90">
      <w:pPr>
        <w:spacing w:line="360" w:lineRule="auto"/>
        <w:rPr>
          <w:rFonts w:ascii="宋体" w:hAnsi="宋体" w:cs="宋体"/>
          <w:color w:val="auto"/>
          <w:sz w:val="32"/>
          <w:szCs w:val="32"/>
          <w:highlight w:val="none"/>
        </w:rPr>
      </w:pPr>
    </w:p>
    <w:p w14:paraId="5E4F6987">
      <w:pPr>
        <w:snapToGrid w:val="0"/>
        <w:spacing w:line="360" w:lineRule="auto"/>
        <w:jc w:val="center"/>
        <w:rPr>
          <w:rFonts w:ascii="宋体" w:hAnsi="宋体" w:cs="宋体"/>
          <w:color w:val="auto"/>
          <w:sz w:val="32"/>
          <w:szCs w:val="32"/>
          <w:highlight w:val="none"/>
        </w:rPr>
      </w:pPr>
      <w:r>
        <w:rPr>
          <w:rFonts w:hint="eastAsia" w:cs="宋体" w:asciiTheme="majorEastAsia" w:hAnsiTheme="majorEastAsia" w:eastAsiaTheme="majorEastAsia"/>
          <w:bCs/>
          <w:color w:val="auto"/>
          <w:sz w:val="32"/>
          <w:szCs w:val="32"/>
          <w:highlight w:val="none"/>
        </w:rPr>
        <w:t>杭州西湖风景名胜区凤凰山管理处</w:t>
      </w:r>
    </w:p>
    <w:p w14:paraId="15CE629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浙江泛亚工程咨询有限公司</w:t>
      </w:r>
    </w:p>
    <w:p w14:paraId="2137F35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二〇二四年十二月</w:t>
      </w:r>
      <w:r>
        <w:rPr>
          <w:rFonts w:hint="eastAsia" w:ascii="宋体" w:hAnsi="宋体" w:cs="宋体"/>
          <w:bCs/>
          <w:color w:val="auto"/>
          <w:sz w:val="32"/>
          <w:szCs w:val="32"/>
          <w:highlight w:val="none"/>
          <w:lang w:eastAsia="zh-CN"/>
        </w:rPr>
        <w:t>二十六</w:t>
      </w:r>
      <w:r>
        <w:rPr>
          <w:rFonts w:hint="eastAsia" w:ascii="宋体" w:hAnsi="宋体" w:cs="宋体"/>
          <w:bCs/>
          <w:color w:val="auto"/>
          <w:sz w:val="32"/>
          <w:szCs w:val="32"/>
          <w:highlight w:val="none"/>
        </w:rPr>
        <w:t>日</w:t>
      </w:r>
    </w:p>
    <w:p w14:paraId="6BFEF9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6E05256">
      <w:pPr>
        <w:pStyle w:val="637"/>
        <w:rPr>
          <w:color w:val="auto"/>
          <w:highlight w:val="none"/>
        </w:rPr>
      </w:pPr>
    </w:p>
    <w:p w14:paraId="593E1D60">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2D42645">
      <w:pPr>
        <w:spacing w:line="360" w:lineRule="auto"/>
        <w:rPr>
          <w:rFonts w:ascii="宋体" w:hAnsi="宋体" w:cs="宋体"/>
          <w:color w:val="auto"/>
          <w:sz w:val="32"/>
          <w:szCs w:val="32"/>
          <w:highlight w:val="none"/>
        </w:rPr>
      </w:pPr>
    </w:p>
    <w:p w14:paraId="492DCAE4">
      <w:pPr>
        <w:spacing w:line="360" w:lineRule="auto"/>
        <w:rPr>
          <w:rFonts w:ascii="宋体" w:hAnsi="宋体" w:cs="宋体"/>
          <w:color w:val="auto"/>
          <w:sz w:val="32"/>
          <w:szCs w:val="32"/>
          <w:highlight w:val="none"/>
        </w:rPr>
      </w:pPr>
    </w:p>
    <w:p w14:paraId="4A08F03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9057BC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DFE42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A226F3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BA94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44130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3DA122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1FE1A5A">
      <w:pPr>
        <w:spacing w:line="360" w:lineRule="auto"/>
        <w:ind w:firstLine="549" w:firstLineChars="229"/>
        <w:rPr>
          <w:rFonts w:ascii="宋体" w:hAnsi="宋体" w:cs="宋体"/>
          <w:color w:val="auto"/>
          <w:sz w:val="24"/>
          <w:highlight w:val="none"/>
        </w:rPr>
      </w:pPr>
    </w:p>
    <w:p w14:paraId="6BDE0CE2">
      <w:pPr>
        <w:spacing w:line="360" w:lineRule="auto"/>
        <w:ind w:firstLine="549" w:firstLineChars="229"/>
        <w:rPr>
          <w:rFonts w:ascii="宋体" w:hAnsi="宋体" w:cs="宋体"/>
          <w:color w:val="auto"/>
          <w:sz w:val="24"/>
          <w:highlight w:val="none"/>
        </w:rPr>
      </w:pPr>
    </w:p>
    <w:p w14:paraId="6F2541B8">
      <w:pPr>
        <w:spacing w:line="360" w:lineRule="auto"/>
        <w:ind w:firstLine="549" w:firstLineChars="229"/>
        <w:rPr>
          <w:rFonts w:ascii="宋体" w:hAnsi="宋体" w:cs="宋体"/>
          <w:color w:val="auto"/>
          <w:sz w:val="24"/>
          <w:highlight w:val="none"/>
        </w:rPr>
      </w:pPr>
    </w:p>
    <w:p w14:paraId="45FB79A0">
      <w:pPr>
        <w:spacing w:line="360" w:lineRule="auto"/>
        <w:ind w:firstLine="549" w:firstLineChars="229"/>
        <w:rPr>
          <w:rFonts w:ascii="宋体" w:hAnsi="宋体" w:cs="宋体"/>
          <w:color w:val="auto"/>
          <w:sz w:val="24"/>
          <w:highlight w:val="none"/>
        </w:rPr>
      </w:pPr>
    </w:p>
    <w:p w14:paraId="2905E977">
      <w:pPr>
        <w:spacing w:line="360" w:lineRule="auto"/>
        <w:ind w:firstLine="549" w:firstLineChars="229"/>
        <w:rPr>
          <w:rFonts w:ascii="宋体" w:hAnsi="宋体" w:cs="宋体"/>
          <w:color w:val="auto"/>
          <w:sz w:val="24"/>
          <w:highlight w:val="none"/>
        </w:rPr>
      </w:pPr>
    </w:p>
    <w:p w14:paraId="208E2281">
      <w:pPr>
        <w:spacing w:line="360" w:lineRule="auto"/>
        <w:ind w:firstLine="549" w:firstLineChars="229"/>
        <w:rPr>
          <w:rFonts w:ascii="宋体" w:hAnsi="宋体" w:cs="宋体"/>
          <w:color w:val="auto"/>
          <w:sz w:val="24"/>
          <w:highlight w:val="none"/>
        </w:rPr>
      </w:pPr>
    </w:p>
    <w:p w14:paraId="7D7878FA">
      <w:pPr>
        <w:spacing w:line="360" w:lineRule="auto"/>
        <w:ind w:firstLine="549" w:firstLineChars="229"/>
        <w:rPr>
          <w:rFonts w:ascii="宋体" w:hAnsi="宋体" w:cs="宋体"/>
          <w:color w:val="auto"/>
          <w:sz w:val="24"/>
          <w:highlight w:val="none"/>
        </w:rPr>
      </w:pPr>
    </w:p>
    <w:p w14:paraId="7CABEDA4">
      <w:pPr>
        <w:spacing w:line="360" w:lineRule="auto"/>
        <w:ind w:firstLine="549" w:firstLineChars="229"/>
        <w:rPr>
          <w:rFonts w:ascii="宋体" w:hAnsi="宋体" w:cs="宋体"/>
          <w:color w:val="auto"/>
          <w:sz w:val="24"/>
          <w:highlight w:val="none"/>
        </w:rPr>
      </w:pPr>
    </w:p>
    <w:p w14:paraId="469C0CD8">
      <w:pPr>
        <w:spacing w:line="360" w:lineRule="auto"/>
        <w:ind w:firstLine="549" w:firstLineChars="229"/>
        <w:rPr>
          <w:rFonts w:ascii="宋体" w:hAnsi="宋体" w:cs="宋体"/>
          <w:color w:val="auto"/>
          <w:sz w:val="24"/>
          <w:highlight w:val="none"/>
        </w:rPr>
      </w:pPr>
    </w:p>
    <w:p w14:paraId="624E623E">
      <w:pPr>
        <w:spacing w:line="360" w:lineRule="auto"/>
        <w:ind w:firstLine="549" w:firstLineChars="229"/>
        <w:rPr>
          <w:rFonts w:ascii="宋体" w:hAnsi="宋体" w:cs="宋体"/>
          <w:color w:val="auto"/>
          <w:sz w:val="24"/>
          <w:highlight w:val="none"/>
        </w:rPr>
      </w:pPr>
    </w:p>
    <w:p w14:paraId="1D91BDB8">
      <w:pPr>
        <w:spacing w:line="360" w:lineRule="auto"/>
        <w:ind w:firstLine="549" w:firstLineChars="229"/>
        <w:rPr>
          <w:rFonts w:ascii="宋体" w:hAnsi="宋体" w:cs="宋体"/>
          <w:color w:val="auto"/>
          <w:sz w:val="24"/>
          <w:highlight w:val="none"/>
        </w:rPr>
      </w:pPr>
    </w:p>
    <w:p w14:paraId="6E7438B8">
      <w:pPr>
        <w:spacing w:line="360" w:lineRule="auto"/>
        <w:ind w:firstLine="549" w:firstLineChars="229"/>
        <w:rPr>
          <w:rFonts w:ascii="宋体" w:hAnsi="宋体" w:cs="宋体"/>
          <w:color w:val="auto"/>
          <w:sz w:val="24"/>
          <w:highlight w:val="none"/>
        </w:rPr>
      </w:pPr>
    </w:p>
    <w:p w14:paraId="0A2D1CCA">
      <w:pPr>
        <w:spacing w:line="360" w:lineRule="auto"/>
        <w:rPr>
          <w:rFonts w:ascii="宋体" w:hAnsi="宋体" w:cs="宋体"/>
          <w:color w:val="auto"/>
          <w:sz w:val="24"/>
          <w:highlight w:val="none"/>
        </w:rPr>
      </w:pPr>
    </w:p>
    <w:p w14:paraId="5F1271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FDFBA1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F0EB8D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玉皇山景区、万松书院、爱情诗路清卫保洁服务招标项目的潜在投标人应在政采云平台（</w:t>
      </w:r>
      <w:r>
        <w:rPr>
          <w:color w:val="auto"/>
          <w:highlight w:val="none"/>
        </w:rPr>
        <w:fldChar w:fldCharType="begin"/>
      </w:r>
      <w:r>
        <w:rPr>
          <w:color w:val="auto"/>
          <w:highlight w:val="none"/>
        </w:rPr>
        <w:instrText xml:space="preserve"> HYPERLINK "https://www.zcygov.cn/）获取（下载）招标文件，并于2023年12月25日14点00分00秒"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rPr>
        <w:t>1</w:t>
      </w:r>
      <w:r>
        <w:rPr>
          <w:rStyle w:val="76"/>
          <w:rFonts w:hint="eastAsia" w:ascii="宋体" w:hAnsi="宋体" w:cs="宋体"/>
          <w:snapToGrid/>
          <w:color w:val="auto"/>
          <w:kern w:val="2"/>
          <w:sz w:val="24"/>
          <w:szCs w:val="24"/>
          <w:highlight w:val="none"/>
        </w:rPr>
        <w:fldChar w:fldCharType="end"/>
      </w:r>
      <w:r>
        <w:rPr>
          <w:rStyle w:val="76"/>
          <w:rFonts w:hint="eastAsia" w:ascii="宋体" w:hAnsi="宋体" w:cs="宋体"/>
          <w:bCs/>
          <w:snapToGrid/>
          <w:color w:val="auto"/>
          <w:kern w:val="2"/>
          <w:sz w:val="24"/>
          <w:szCs w:val="24"/>
          <w:highlight w:val="none"/>
        </w:rPr>
        <w:t>4:00</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02092C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3988F79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项目编号：FYC012411-260</w:t>
      </w:r>
    </w:p>
    <w:p w14:paraId="0C36EF3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项目名称：玉皇山景区、万松书院、爱情诗路清卫保洁服务</w:t>
      </w:r>
    </w:p>
    <w:p w14:paraId="0DA59FF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预算金额（元）：</w:t>
      </w:r>
      <w:r>
        <w:rPr>
          <w:rStyle w:val="79"/>
          <w:rFonts w:hint="eastAsia" w:ascii="宋体" w:hAnsi="宋体" w:cs="宋体"/>
          <w:color w:val="auto"/>
          <w:kern w:val="0"/>
          <w:sz w:val="24"/>
          <w:highlight w:val="none"/>
          <w:lang w:bidi="ar"/>
        </w:rPr>
        <w:t>742500</w:t>
      </w:r>
    </w:p>
    <w:p w14:paraId="263F9A36">
      <w:pPr>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最高限价（元）：</w:t>
      </w:r>
      <w:r>
        <w:rPr>
          <w:rStyle w:val="79"/>
          <w:rFonts w:hint="eastAsia" w:ascii="宋体" w:hAnsi="宋体" w:cs="宋体"/>
          <w:color w:val="auto"/>
          <w:kern w:val="0"/>
          <w:sz w:val="24"/>
          <w:highlight w:val="none"/>
          <w:lang w:bidi="ar"/>
        </w:rPr>
        <w:t>742500</w:t>
      </w:r>
    </w:p>
    <w:p w14:paraId="01CC703C">
      <w:pPr>
        <w:pStyle w:val="8"/>
        <w:spacing w:line="360" w:lineRule="auto"/>
        <w:ind w:firstLine="480"/>
        <w:rPr>
          <w:rFonts w:hint="eastAsia" w:hAnsi="宋体" w:eastAsia="宋体" w:cs="宋体"/>
          <w:bCs/>
          <w:color w:val="auto"/>
          <w:sz w:val="24"/>
          <w:highlight w:val="none"/>
          <w:lang w:eastAsia="zh-CN"/>
        </w:rPr>
      </w:pPr>
      <w:r>
        <w:rPr>
          <w:rFonts w:hint="eastAsia" w:hAnsi="宋体" w:cs="宋体"/>
          <w:bCs/>
          <w:color w:val="auto"/>
          <w:sz w:val="24"/>
          <w:highlight w:val="none"/>
        </w:rPr>
        <w:t>采购需求：玉皇山景区、管理处辖区除九曜山以外的所有山林游步道、山林便道及两侧绿地可视范围内、万松书院、爱情诗路区域、万松岭路绿带等区域清卫保洁服务</w:t>
      </w:r>
      <w:r>
        <w:rPr>
          <w:rFonts w:hint="eastAsia" w:hAnsi="宋体" w:cs="宋体"/>
          <w:bCs/>
          <w:color w:val="auto"/>
          <w:sz w:val="24"/>
          <w:highlight w:val="none"/>
          <w:lang w:eastAsia="zh-CN"/>
        </w:rPr>
        <w:t>。</w:t>
      </w:r>
    </w:p>
    <w:p w14:paraId="39FB96BD">
      <w:pPr>
        <w:pStyle w:val="8"/>
        <w:spacing w:line="360" w:lineRule="auto"/>
        <w:ind w:firstLine="480"/>
        <w:rPr>
          <w:rFonts w:hint="eastAsia" w:hAnsi="宋体" w:cs="宋体"/>
          <w:bCs/>
          <w:color w:val="auto"/>
          <w:sz w:val="24"/>
          <w:highlight w:val="none"/>
        </w:rPr>
      </w:pPr>
    </w:p>
    <w:p w14:paraId="6A7E8700">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标项名称:玉皇山景区、万松书院、爱情诗路清卫保洁服务</w:t>
      </w:r>
    </w:p>
    <w:p w14:paraId="44210CCB">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中小企业政策：中小企业预留</w:t>
      </w:r>
    </w:p>
    <w:p w14:paraId="106EE529">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数量:1</w:t>
      </w:r>
    </w:p>
    <w:p w14:paraId="204E76CF">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预算金额（元）:</w:t>
      </w:r>
      <w:r>
        <w:rPr>
          <w:rStyle w:val="79"/>
          <w:rFonts w:hint="eastAsia" w:ascii="宋体" w:hAnsi="宋体" w:cs="宋体"/>
          <w:color w:val="auto"/>
          <w:kern w:val="0"/>
          <w:sz w:val="24"/>
          <w:highlight w:val="none"/>
          <w:lang w:bidi="ar"/>
        </w:rPr>
        <w:t>742500</w:t>
      </w:r>
    </w:p>
    <w:p w14:paraId="5E6414C5">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简要规格描述或项目基本概况介绍、用途：</w:t>
      </w:r>
      <w:r>
        <w:rPr>
          <w:rFonts w:hint="eastAsia" w:cs="宋体" w:asciiTheme="majorEastAsia" w:hAnsiTheme="majorEastAsia" w:eastAsiaTheme="majorEastAsia"/>
          <w:color w:val="auto"/>
          <w:kern w:val="0"/>
          <w:sz w:val="24"/>
          <w:highlight w:val="none"/>
        </w:rPr>
        <w:t>主要为</w:t>
      </w:r>
      <w:r>
        <w:rPr>
          <w:rStyle w:val="79"/>
          <w:rFonts w:hint="eastAsia" w:ascii="宋体" w:hAnsi="宋体" w:cs="宋体"/>
          <w:color w:val="auto"/>
          <w:kern w:val="0"/>
          <w:sz w:val="24"/>
          <w:highlight w:val="none"/>
          <w:lang w:bidi="ar"/>
        </w:rPr>
        <w:t>玉皇山景区、管理处辖区除九曜山以外的所有山林游步道、山林便道及两侧绿地可视范围内、万松书院、爱情诗路区域、万松岭路绿带等区域清卫保洁服务</w:t>
      </w:r>
      <w:r>
        <w:rPr>
          <w:rFonts w:hint="eastAsia" w:hAnsi="宋体" w:cs="宋体"/>
          <w:bCs/>
          <w:color w:val="auto"/>
          <w:sz w:val="24"/>
          <w:highlight w:val="none"/>
        </w:rPr>
        <w:t>。具体以招标文件第三部分采购需求为准，供应商可点击本公告下方“浏览采购文件”查看采购需求。</w:t>
      </w:r>
    </w:p>
    <w:p w14:paraId="16536978">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备注：</w:t>
      </w:r>
    </w:p>
    <w:p w14:paraId="104321E6">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合同履约期限：标项1，一年（具体以合同约定时间为准）</w:t>
      </w:r>
    </w:p>
    <w:p w14:paraId="54900512">
      <w:pPr>
        <w:pStyle w:val="8"/>
        <w:spacing w:line="360" w:lineRule="auto"/>
        <w:ind w:firstLine="480"/>
        <w:rPr>
          <w:rFonts w:hAnsi="宋体" w:cs="宋体"/>
          <w:bCs/>
          <w:color w:val="auto"/>
          <w:sz w:val="24"/>
          <w:highlight w:val="none"/>
        </w:rPr>
      </w:pPr>
      <w:r>
        <w:rPr>
          <w:rFonts w:hint="eastAsia" w:hAnsi="宋体" w:cs="宋体"/>
          <w:bCs/>
          <w:color w:val="auto"/>
          <w:sz w:val="24"/>
          <w:highlight w:val="none"/>
        </w:rPr>
        <w:t>本项目（是）接受联合体投标。</w:t>
      </w:r>
    </w:p>
    <w:p w14:paraId="6260CC2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FA7A4B7">
      <w:pPr>
        <w:snapToGri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1.满足《中华人民共和国政府采购法》第二十二条规定；未被“信用中国”（www.creditchina.gov.cn)、中国政府采购网（www.ccgp.gov.cn）列入失信被执行人、重大税收违法案件当事人名单、政府采购严重违法失信行为记录名单；   </w:t>
      </w:r>
    </w:p>
    <w:p w14:paraId="63B76408">
      <w:pPr>
        <w:snapToGrid w:val="0"/>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szCs w:val="20"/>
          <w:highlight w:val="none"/>
        </w:rPr>
        <w:t>2.落实政府采购政策需满足的资格要求：标项1，</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服务全部由符合政策要求的中小企业承接，提供中小企业声明函；</w:t>
      </w:r>
    </w:p>
    <w:p w14:paraId="3E4751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74C29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【标项1】无。</w:t>
      </w:r>
    </w:p>
    <w:p w14:paraId="022F1BA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EC52236">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时间：/至2025年</w:t>
      </w:r>
      <w:r>
        <w:rPr>
          <w:rFonts w:hint="eastAsia" w:ascii="宋体" w:hAnsi="宋体" w:cs="宋体"/>
          <w:bCs/>
          <w:color w:val="auto"/>
          <w:sz w:val="24"/>
          <w:highlight w:val="none"/>
          <w:lang w:val="en-US" w:eastAsia="zh-CN"/>
        </w:rPr>
        <w:t>01</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rPr>
        <w:t>日，每天上午00:00至12:00，下午12:00至23:59（北京时间，线上获取法定节假日均可，线下获取文件法定节假日除外）</w:t>
      </w:r>
    </w:p>
    <w:p w14:paraId="3A4CFB5B">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地点（网址）：政采云平台（https://www.zcygov.cn/） </w:t>
      </w:r>
    </w:p>
    <w:p w14:paraId="2031A4B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方式：供应商登录政采云平台https://www.zcygov.cn/在线申请获取采购文件（进入“项目采购”应用，在获取采购文件菜单中选择项目，申请获取采购文件）。 </w:t>
      </w:r>
    </w:p>
    <w:p w14:paraId="274DA235">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售价（元）：0 </w:t>
      </w:r>
      <w:r>
        <w:rPr>
          <w:rFonts w:hint="eastAsia" w:ascii="宋体" w:hAnsi="宋体" w:cs="宋体"/>
          <w:bCs/>
          <w:color w:val="auto"/>
          <w:sz w:val="24"/>
          <w:highlight w:val="none"/>
        </w:rPr>
        <w:tab/>
      </w:r>
    </w:p>
    <w:p w14:paraId="6BCD5D7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C4CEAFE">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提交投标文件截止时间：2025年</w:t>
      </w:r>
      <w:r>
        <w:rPr>
          <w:rFonts w:hint="eastAsia" w:ascii="宋体" w:hAnsi="宋体" w:cs="宋体"/>
          <w:bCs/>
          <w:color w:val="auto"/>
          <w:sz w:val="24"/>
          <w:highlight w:val="none"/>
          <w:lang w:val="en-US" w:eastAsia="zh-CN"/>
        </w:rPr>
        <w:t>01</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rPr>
        <w:t>日14:00（北京时间）</w:t>
      </w:r>
    </w:p>
    <w:p w14:paraId="01EA341C">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投标地点（网址）：请登录政采云投标客户端投标 </w:t>
      </w:r>
    </w:p>
    <w:p w14:paraId="4F73884D">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开标时间：2025年</w:t>
      </w:r>
      <w:r>
        <w:rPr>
          <w:rFonts w:hint="eastAsia" w:ascii="宋体" w:hAnsi="宋体" w:cs="宋体"/>
          <w:bCs/>
          <w:color w:val="auto"/>
          <w:sz w:val="24"/>
          <w:highlight w:val="none"/>
          <w:lang w:val="en-US" w:eastAsia="zh-CN"/>
        </w:rPr>
        <w:t>01</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16</w:t>
      </w:r>
      <w:r>
        <w:rPr>
          <w:rFonts w:hint="eastAsia" w:ascii="宋体" w:hAnsi="宋体" w:cs="宋体"/>
          <w:bCs/>
          <w:color w:val="auto"/>
          <w:sz w:val="24"/>
          <w:highlight w:val="none"/>
        </w:rPr>
        <w:t>日14:00</w:t>
      </w:r>
    </w:p>
    <w:p w14:paraId="7E0258F6">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开标地点（网址）：政采云平台（https://www.zcygov.cn/）</w:t>
      </w:r>
    </w:p>
    <w:p w14:paraId="3093415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五、采购意向公示链接</w:t>
      </w:r>
    </w:p>
    <w:p w14:paraId="3C426E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https://zfcg.czt.zj.gov.cn/site/detail?categoryCode=ZcyAnnouncement&amp;parentId=600007&amp;articleId=9rwrkB1hv1IyzimQLWKLrw==</w:t>
      </w:r>
    </w:p>
    <w:p w14:paraId="078C2839">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77A46D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D566C5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12185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22E66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F98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67CC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12506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5DB79A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7D3BBF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cs="宋体" w:asciiTheme="majorEastAsia" w:hAnsiTheme="majorEastAsia" w:eastAsiaTheme="majorEastAsia"/>
          <w:color w:val="auto"/>
          <w:sz w:val="24"/>
          <w:highlight w:val="none"/>
        </w:rPr>
        <w:t>杭州西湖风景名胜区凤凰山管理处</w:t>
      </w:r>
    </w:p>
    <w:p w14:paraId="31A6B7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s="宋体" w:asciiTheme="majorEastAsia" w:hAnsiTheme="majorEastAsia" w:eastAsiaTheme="majorEastAsia"/>
          <w:color w:val="auto"/>
          <w:sz w:val="24"/>
          <w:highlight w:val="none"/>
        </w:rPr>
        <w:t>杭州市玉皇山路1号</w:t>
      </w:r>
      <w:r>
        <w:rPr>
          <w:rFonts w:hint="eastAsia" w:ascii="宋体" w:hAnsi="宋体" w:cs="宋体"/>
          <w:color w:val="auto"/>
          <w:sz w:val="24"/>
          <w:highlight w:val="none"/>
        </w:rPr>
        <w:t xml:space="preserve">       </w:t>
      </w:r>
    </w:p>
    <w:p w14:paraId="4B5D9E7B">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08C529D">
      <w:pPr>
        <w:snapToGrid w:val="0"/>
        <w:spacing w:line="360" w:lineRule="auto"/>
        <w:ind w:firstLine="48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项目联系人（询问）：吴金丹</w:t>
      </w:r>
    </w:p>
    <w:p w14:paraId="4D2E3698">
      <w:pPr>
        <w:snapToGrid w:val="0"/>
        <w:spacing w:line="360" w:lineRule="auto"/>
        <w:rPr>
          <w:rFonts w:cs="宋体" w:asciiTheme="majorEastAsia" w:hAnsiTheme="majorEastAsia" w:eastAsiaTheme="majorEastAsia"/>
          <w:color w:val="auto"/>
          <w:sz w:val="24"/>
          <w:highlight w:val="none"/>
        </w:rPr>
      </w:pPr>
      <w:r>
        <w:rPr>
          <w:rFonts w:hint="eastAsia" w:ascii="宋体" w:hAnsi="宋体" w:cs="宋体"/>
          <w:color w:val="auto"/>
          <w:sz w:val="24"/>
          <w:highlight w:val="none"/>
        </w:rPr>
        <w:t xml:space="preserve">    项目联系方式（询问）：</w:t>
      </w:r>
      <w:r>
        <w:rPr>
          <w:rFonts w:hint="eastAsia" w:cs="宋体" w:asciiTheme="majorEastAsia" w:hAnsiTheme="majorEastAsia" w:eastAsiaTheme="majorEastAsia"/>
          <w:color w:val="auto"/>
          <w:sz w:val="24"/>
          <w:highlight w:val="none"/>
        </w:rPr>
        <w:t>0571-</w:t>
      </w:r>
      <w:r>
        <w:rPr>
          <w:rFonts w:cs="宋体" w:asciiTheme="majorEastAsia" w:hAnsiTheme="majorEastAsia" w:eastAsiaTheme="majorEastAsia"/>
          <w:color w:val="auto"/>
          <w:sz w:val="24"/>
          <w:highlight w:val="none"/>
        </w:rPr>
        <w:t>87032411</w:t>
      </w:r>
    </w:p>
    <w:p w14:paraId="43189F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质疑联系人：杜女士</w:t>
      </w:r>
    </w:p>
    <w:p w14:paraId="3D8359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cs="宋体" w:asciiTheme="majorEastAsia" w:hAnsiTheme="majorEastAsia" w:eastAsiaTheme="majorEastAsia"/>
          <w:color w:val="auto"/>
          <w:sz w:val="24"/>
          <w:highlight w:val="none"/>
        </w:rPr>
        <w:t>0571-</w:t>
      </w:r>
      <w:r>
        <w:rPr>
          <w:rFonts w:cs="宋体" w:asciiTheme="majorEastAsia" w:hAnsiTheme="majorEastAsia" w:eastAsiaTheme="majorEastAsia"/>
          <w:color w:val="auto"/>
          <w:sz w:val="24"/>
          <w:highlight w:val="none"/>
        </w:rPr>
        <w:t>87023831</w:t>
      </w:r>
      <w:r>
        <w:rPr>
          <w:rFonts w:hint="eastAsia" w:ascii="宋体" w:hAnsi="宋体" w:cs="宋体"/>
          <w:color w:val="auto"/>
          <w:sz w:val="24"/>
          <w:highlight w:val="none"/>
        </w:rPr>
        <w:t>（请通过</w:t>
      </w:r>
      <w:r>
        <w:rPr>
          <w:rFonts w:hint="eastAsia" w:cs="宋体" w:asciiTheme="majorEastAsia" w:hAnsiTheme="majorEastAsia" w:eastAsiaTheme="majorEastAsia"/>
          <w:color w:val="auto"/>
          <w:sz w:val="24"/>
          <w:highlight w:val="none"/>
        </w:rPr>
        <w:t>以下路径在线提起质疑：政采云-项目采购-询问质疑投诉-质疑列表）</w:t>
      </w:r>
    </w:p>
    <w:p w14:paraId="725187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914957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asciiTheme="majorEastAsia" w:hAnsiTheme="majorEastAsia" w:eastAsiaTheme="majorEastAsia"/>
          <w:color w:val="auto"/>
          <w:sz w:val="24"/>
          <w:highlight w:val="none"/>
        </w:rPr>
        <w:t>浙江泛亚工程咨询有限公司</w:t>
      </w:r>
    </w:p>
    <w:p w14:paraId="440D009A">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cs="宋体" w:asciiTheme="majorEastAsia" w:hAnsiTheme="majorEastAsia" w:eastAsiaTheme="majorEastAsia"/>
          <w:color w:val="auto"/>
          <w:sz w:val="24"/>
          <w:highlight w:val="none"/>
        </w:rPr>
        <w:t>杭州市天目山路181号天际大厦803</w:t>
      </w:r>
    </w:p>
    <w:p w14:paraId="0CBA61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444E43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cs="宋体" w:asciiTheme="majorEastAsia" w:hAnsiTheme="majorEastAsia" w:eastAsiaTheme="majorEastAsia"/>
          <w:color w:val="auto"/>
          <w:sz w:val="24"/>
          <w:highlight w:val="none"/>
        </w:rPr>
        <w:t>苗月平</w:t>
      </w:r>
    </w:p>
    <w:p w14:paraId="0DB1A4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cs="宋体" w:asciiTheme="majorEastAsia" w:hAnsiTheme="majorEastAsia" w:eastAsiaTheme="majorEastAsia"/>
          <w:color w:val="auto"/>
          <w:sz w:val="24"/>
          <w:highlight w:val="none"/>
        </w:rPr>
        <w:t>0571-87359305</w:t>
      </w:r>
    </w:p>
    <w:p w14:paraId="67EFED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cs="宋体" w:asciiTheme="majorEastAsia" w:hAnsiTheme="majorEastAsia" w:eastAsiaTheme="majorEastAsia"/>
          <w:color w:val="auto"/>
          <w:sz w:val="24"/>
          <w:highlight w:val="none"/>
        </w:rPr>
        <w:t>童晓玲</w:t>
      </w:r>
    </w:p>
    <w:p w14:paraId="6D3BA2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cs="宋体" w:asciiTheme="majorEastAsia" w:hAnsiTheme="majorEastAsia" w:eastAsiaTheme="majorEastAsia"/>
          <w:color w:val="auto"/>
          <w:sz w:val="24"/>
          <w:highlight w:val="none"/>
        </w:rPr>
        <w:t>0571-87993765（请通过以下路径在线提起质疑：政采云-项目采购-询问质疑投诉-质疑列表）</w:t>
      </w:r>
    </w:p>
    <w:p w14:paraId="440CBBDE">
      <w:pPr>
        <w:snapToGrid w:val="0"/>
        <w:spacing w:line="360" w:lineRule="auto"/>
        <w:ind w:firstLine="465"/>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12281125">
      <w:pPr>
        <w:snapToGrid w:val="0"/>
        <w:spacing w:line="360" w:lineRule="auto"/>
        <w:ind w:firstLine="465"/>
        <w:rPr>
          <w:rFonts w:ascii="宋体" w:hAnsi="宋体" w:cs="宋体"/>
          <w:color w:val="auto"/>
          <w:sz w:val="24"/>
          <w:highlight w:val="none"/>
        </w:rPr>
      </w:pPr>
      <w:r>
        <w:rPr>
          <w:rFonts w:hint="eastAsia" w:ascii="宋体" w:hAnsi="宋体" w:cs="宋体"/>
          <w:color w:val="auto"/>
          <w:sz w:val="24"/>
          <w:highlight w:val="none"/>
        </w:rPr>
        <w:t>名    称：</w:t>
      </w:r>
      <w:r>
        <w:rPr>
          <w:rFonts w:hint="eastAsia" w:cs="宋体" w:asciiTheme="majorEastAsia" w:hAnsiTheme="majorEastAsia" w:eastAsiaTheme="majorEastAsia"/>
          <w:color w:val="auto"/>
          <w:sz w:val="24"/>
          <w:highlight w:val="none"/>
        </w:rPr>
        <w:t>杭州西湖风景名胜区管理委员会、浙江省政府采购行政裁决服务中心（杭州）</w:t>
      </w:r>
    </w:p>
    <w:p w14:paraId="39CD58E9">
      <w:pPr>
        <w:snapToGrid w:val="0"/>
        <w:spacing w:line="360" w:lineRule="auto"/>
        <w:rPr>
          <w:rFonts w:cs="宋体" w:asciiTheme="majorEastAsia" w:hAnsiTheme="majorEastAsia" w:eastAsiaTheme="majorEastAsia"/>
          <w:color w:val="auto"/>
          <w:sz w:val="24"/>
          <w:highlight w:val="none"/>
        </w:rPr>
      </w:pPr>
      <w:r>
        <w:rPr>
          <w:rFonts w:hint="eastAsia" w:ascii="宋体" w:hAnsi="宋体" w:cs="宋体"/>
          <w:color w:val="auto"/>
          <w:sz w:val="24"/>
          <w:highlight w:val="none"/>
        </w:rPr>
        <w:t xml:space="preserve">    地    址：</w:t>
      </w:r>
      <w:r>
        <w:rPr>
          <w:rFonts w:hint="eastAsia" w:cs="宋体" w:asciiTheme="majorEastAsia" w:hAnsiTheme="majorEastAsia" w:eastAsiaTheme="majorEastAsia"/>
          <w:color w:val="auto"/>
          <w:sz w:val="24"/>
          <w:highlight w:val="none"/>
        </w:rPr>
        <w:t>杭州市上城区清泰街549号城建综合大楼11楼（快递仅限ems或顺丰）</w:t>
      </w:r>
    </w:p>
    <w:p w14:paraId="2E644E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cs="宋体" w:asciiTheme="majorEastAsia" w:hAnsiTheme="majorEastAsia" w:eastAsiaTheme="majorEastAsia"/>
          <w:color w:val="auto"/>
          <w:sz w:val="24"/>
          <w:highlight w:val="none"/>
        </w:rPr>
        <w:t>0571-87800218</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0571-87227671</w:t>
      </w:r>
    </w:p>
    <w:p w14:paraId="326CB3C1">
      <w:pPr>
        <w:snapToGrid w:val="0"/>
        <w:spacing w:line="360" w:lineRule="auto"/>
        <w:rPr>
          <w:rFonts w:cs="宋体" w:asciiTheme="majorEastAsia" w:hAnsiTheme="majorEastAsia" w:eastAsiaTheme="majorEastAsia"/>
          <w:color w:val="auto"/>
          <w:sz w:val="24"/>
          <w:highlight w:val="none"/>
        </w:rPr>
      </w:pPr>
      <w:r>
        <w:rPr>
          <w:rFonts w:hint="eastAsia" w:ascii="宋体" w:hAnsi="宋体" w:cs="宋体"/>
          <w:color w:val="auto"/>
          <w:sz w:val="24"/>
          <w:highlight w:val="none"/>
        </w:rPr>
        <w:t xml:space="preserve">    联系人 ：</w:t>
      </w:r>
      <w:r>
        <w:rPr>
          <w:rFonts w:hint="eastAsia" w:cs="宋体" w:asciiTheme="majorEastAsia" w:hAnsiTheme="majorEastAsia" w:eastAsiaTheme="majorEastAsia"/>
          <w:color w:val="auto"/>
          <w:sz w:val="24"/>
          <w:highlight w:val="none"/>
        </w:rPr>
        <w:t>朱女士、王女士</w:t>
      </w:r>
    </w:p>
    <w:p w14:paraId="7C30F955">
      <w:pPr>
        <w:snapToGrid w:val="0"/>
        <w:spacing w:line="360" w:lineRule="auto"/>
        <w:ind w:firstLine="480"/>
        <w:rPr>
          <w:rFonts w:cs="宋体" w:asciiTheme="majorEastAsia" w:hAnsiTheme="majorEastAsia" w:eastAsiaTheme="majorEastAsia"/>
          <w:color w:val="auto"/>
          <w:sz w:val="24"/>
          <w:highlight w:val="none"/>
        </w:rPr>
      </w:pPr>
      <w:r>
        <w:rPr>
          <w:rFonts w:hint="eastAsia" w:ascii="宋体" w:hAnsi="宋体" w:cs="宋体"/>
          <w:color w:val="auto"/>
          <w:sz w:val="24"/>
          <w:highlight w:val="none"/>
        </w:rPr>
        <w:t>监督投诉电话：</w:t>
      </w:r>
      <w:r>
        <w:rPr>
          <w:rFonts w:hint="eastAsia" w:cs="宋体" w:asciiTheme="majorEastAsia" w:hAnsiTheme="majorEastAsia" w:eastAsiaTheme="majorEastAsia"/>
          <w:color w:val="auto"/>
          <w:sz w:val="24"/>
          <w:highlight w:val="none"/>
        </w:rPr>
        <w:t xml:space="preserve">0571-87227671,0571-87800218  </w:t>
      </w:r>
    </w:p>
    <w:p w14:paraId="35F1454B">
      <w:pPr>
        <w:snapToGrid w:val="0"/>
        <w:spacing w:line="360" w:lineRule="auto"/>
        <w:ind w:firstLine="480"/>
        <w:rPr>
          <w:rFonts w:ascii="宋体" w:hAnsi="宋体" w:cs="宋体"/>
          <w:color w:val="auto"/>
          <w:sz w:val="24"/>
          <w:highlight w:val="none"/>
        </w:rPr>
      </w:pPr>
    </w:p>
    <w:p w14:paraId="603A9F24">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CF33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D540E21">
      <w:pPr>
        <w:widowControl/>
        <w:snapToGrid w:val="0"/>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E71C32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5FF60B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2"/>
        <w:gridCol w:w="6491"/>
      </w:tblGrid>
      <w:tr w14:paraId="2BF8F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14:paraId="3E43D5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5948C6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14:paraId="791CED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5DF4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60F00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281DE71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tcBorders>
              <w:top w:val="single" w:color="000000" w:sz="8" w:space="0"/>
              <w:left w:val="single" w:color="000000" w:sz="2" w:space="0"/>
              <w:bottom w:val="single" w:color="000000" w:sz="8" w:space="0"/>
              <w:right w:val="single" w:color="000000" w:sz="8" w:space="0"/>
            </w:tcBorders>
            <w:vAlign w:val="center"/>
          </w:tcPr>
          <w:p w14:paraId="0E36200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90CD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6E568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2F0393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14:paraId="37945F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玉皇山景区、万松书院、爱情诗路清卫保洁服务</w:t>
            </w:r>
            <w:r>
              <w:rPr>
                <w:rFonts w:hint="eastAsia" w:ascii="宋体" w:hAnsi="宋体" w:cs="宋体"/>
                <w:color w:val="auto"/>
                <w:kern w:val="0"/>
                <w:sz w:val="24"/>
                <w:highlight w:val="none"/>
              </w:rPr>
              <w:t>，属于</w:t>
            </w:r>
            <w:r>
              <w:rPr>
                <w:rFonts w:hint="eastAsia" w:ascii="宋体" w:hAnsi="宋体" w:cs="宋体"/>
                <w:color w:val="auto"/>
                <w:sz w:val="24"/>
                <w:highlight w:val="none"/>
                <w:u w:val="single"/>
              </w:rPr>
              <w:t>其他未列明</w:t>
            </w:r>
            <w:r>
              <w:rPr>
                <w:rFonts w:hint="eastAsia" w:ascii="宋体" w:hAnsi="宋体" w:cs="宋体"/>
                <w:color w:val="auto"/>
                <w:kern w:val="0"/>
                <w:sz w:val="24"/>
                <w:highlight w:val="none"/>
              </w:rPr>
              <w:t>行业。</w:t>
            </w:r>
          </w:p>
          <w:p w14:paraId="3C2FA5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其他未列明行业</w:t>
            </w:r>
            <w:r>
              <w:rPr>
                <w:rFonts w:hint="eastAsia" w:ascii="宋体" w:hAnsi="宋体" w:cs="宋体"/>
                <w:bCs/>
                <w:color w:val="auto"/>
                <w:sz w:val="24"/>
                <w:highlight w:val="none"/>
              </w:rPr>
              <w:t>。</w:t>
            </w:r>
            <w:r>
              <w:rPr>
                <w:rFonts w:hint="eastAsia" w:ascii="宋体" w:hAnsi="宋体" w:cs="宋体"/>
                <w:color w:val="auto"/>
                <w:sz w:val="24"/>
                <w:highlight w:val="none"/>
              </w:rPr>
              <w:t>从业人员300人以下的为中小微型企业。其中，从业人员100人及以上的为中型企业；从业人员10人及以上的为小型企业；从业人员10人以下的为微型企业。</w:t>
            </w:r>
          </w:p>
        </w:tc>
      </w:tr>
      <w:tr w14:paraId="1A314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310348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387332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39CB796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本项目不允许采购进口产品。</w:t>
            </w:r>
          </w:p>
        </w:tc>
      </w:tr>
      <w:tr w14:paraId="3AA0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0C06F1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4DE9A9A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14:paraId="761F2E6B">
            <w:pPr>
              <w:spacing w:line="360" w:lineRule="auto"/>
              <w:rPr>
                <w:rFonts w:ascii="宋体" w:hAnsi="宋体" w:cs="宋体"/>
                <w:color w:val="auto"/>
                <w:sz w:val="24"/>
                <w:highlight w:val="none"/>
              </w:rPr>
            </w:pPr>
            <w:r>
              <w:rPr>
                <w:rFonts w:hint="eastAsia" w:ascii="宋体" w:hAnsi="宋体" w:cs="宋体"/>
                <w:color w:val="auto"/>
                <w:sz w:val="24"/>
                <w:highlight w:val="none"/>
              </w:rPr>
              <w:t>不同意分包。</w:t>
            </w:r>
          </w:p>
        </w:tc>
      </w:tr>
      <w:tr w14:paraId="34E56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559D09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2E3A8F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14:paraId="51E65164">
            <w:pPr>
              <w:spacing w:line="360" w:lineRule="auto"/>
              <w:rPr>
                <w:rFonts w:ascii="宋体" w:hAnsi="宋体" w:cs="宋体"/>
                <w:color w:val="auto"/>
                <w:sz w:val="24"/>
                <w:szCs w:val="20"/>
                <w:highlight w:val="none"/>
              </w:rPr>
            </w:pPr>
            <w:r>
              <w:rPr>
                <w:rFonts w:hint="eastAsia" w:ascii="宋体" w:hAnsi="宋体" w:cs="宋体"/>
                <w:color w:val="auto"/>
                <w:sz w:val="24"/>
                <w:highlight w:val="none"/>
              </w:rPr>
              <w:t>不组织。</w:t>
            </w:r>
          </w:p>
        </w:tc>
      </w:tr>
      <w:tr w14:paraId="07106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103482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26926E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14:paraId="5ADF5D5D">
            <w:pPr>
              <w:spacing w:line="360" w:lineRule="auto"/>
              <w:rPr>
                <w:rFonts w:ascii="宋体" w:hAnsi="宋体" w:cs="宋体"/>
                <w:b/>
                <w:color w:val="auto"/>
                <w:sz w:val="24"/>
                <w:highlight w:val="none"/>
              </w:rPr>
            </w:pPr>
            <w:r>
              <w:rPr>
                <w:rFonts w:hint="eastAsia" w:ascii="宋体" w:hAnsi="宋体" w:cs="宋体"/>
                <w:color w:val="auto"/>
                <w:sz w:val="24"/>
                <w:highlight w:val="none"/>
              </w:rPr>
              <w:t>不要求提供。</w:t>
            </w:r>
          </w:p>
        </w:tc>
      </w:tr>
      <w:tr w14:paraId="5437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257BC0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4967A9F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14:paraId="13A2E15E">
            <w:pPr>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14:paraId="0ED23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7" w:type="pct"/>
            <w:vMerge w:val="restart"/>
            <w:tcBorders>
              <w:top w:val="single" w:color="auto" w:sz="4" w:space="0"/>
              <w:left w:val="single" w:color="auto" w:sz="4" w:space="0"/>
              <w:right w:val="single" w:color="auto" w:sz="4" w:space="0"/>
            </w:tcBorders>
            <w:vAlign w:val="center"/>
          </w:tcPr>
          <w:p w14:paraId="3C2DDD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4C884F7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14:paraId="7A48C32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AB0ED3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890F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4" w:hRule="atLeast"/>
          <w:tblHeader/>
        </w:trPr>
        <w:tc>
          <w:tcPr>
            <w:tcW w:w="367" w:type="pct"/>
            <w:vMerge w:val="continue"/>
            <w:tcBorders>
              <w:left w:val="single" w:color="auto" w:sz="4" w:space="0"/>
              <w:bottom w:val="single" w:color="auto" w:sz="4" w:space="0"/>
              <w:right w:val="single" w:color="auto" w:sz="4" w:space="0"/>
            </w:tcBorders>
          </w:tcPr>
          <w:p w14:paraId="05C52CA1">
            <w:pPr>
              <w:snapToGrid w:val="0"/>
              <w:spacing w:line="360" w:lineRule="auto"/>
              <w:jc w:val="center"/>
              <w:rPr>
                <w:rFonts w:ascii="宋体" w:hAnsi="宋体"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561BCE18">
            <w:pPr>
              <w:snapToGrid w:val="0"/>
              <w:spacing w:line="360" w:lineRule="auto"/>
              <w:jc w:val="center"/>
              <w:rPr>
                <w:rFonts w:ascii="宋体" w:hAnsi="宋体" w:cs="宋体"/>
                <w:b/>
                <w:color w:val="auto"/>
                <w:sz w:val="24"/>
                <w:highlight w:val="none"/>
              </w:rPr>
            </w:pPr>
          </w:p>
        </w:tc>
        <w:tc>
          <w:tcPr>
            <w:tcW w:w="3557" w:type="pct"/>
            <w:tcBorders>
              <w:top w:val="single" w:color="auto" w:sz="4" w:space="0"/>
              <w:left w:val="single" w:color="000000" w:sz="2" w:space="0"/>
              <w:bottom w:val="single" w:color="000000" w:sz="8" w:space="0"/>
              <w:right w:val="single" w:color="000000" w:sz="8" w:space="0"/>
            </w:tcBorders>
            <w:vAlign w:val="center"/>
          </w:tcPr>
          <w:p w14:paraId="37DC4F4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82DB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08F015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4961575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14:paraId="1826E53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32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1"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26E7F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16737C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14:paraId="1692897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828A04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3BD9667">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BB8CF6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3F2F31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A21E13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6FD5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6" w:hRule="atLeast"/>
          <w:tblHeader/>
        </w:trPr>
        <w:tc>
          <w:tcPr>
            <w:tcW w:w="367" w:type="pct"/>
            <w:tcBorders>
              <w:top w:val="single" w:color="auto" w:sz="4" w:space="0"/>
              <w:left w:val="single" w:color="000000" w:sz="8" w:space="0"/>
              <w:right w:val="single" w:color="000000" w:sz="2" w:space="0"/>
            </w:tcBorders>
            <w:vAlign w:val="center"/>
          </w:tcPr>
          <w:p w14:paraId="7DF8D3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28086B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tcBorders>
              <w:top w:val="single" w:color="000000" w:sz="8" w:space="0"/>
              <w:left w:val="single" w:color="000000" w:sz="2" w:space="0"/>
              <w:right w:val="single" w:color="000000" w:sz="8" w:space="0"/>
            </w:tcBorders>
            <w:vAlign w:val="center"/>
          </w:tcPr>
          <w:p w14:paraId="428DD2E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C1F3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2"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14:paraId="5F1FB2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op w:val="single" w:color="000000" w:sz="8" w:space="0"/>
              <w:left w:val="single" w:color="000000" w:sz="2" w:space="0"/>
              <w:bottom w:val="single" w:color="auto" w:sz="4" w:space="0"/>
              <w:right w:val="single" w:color="000000" w:sz="8" w:space="0"/>
            </w:tcBorders>
            <w:vAlign w:val="center"/>
          </w:tcPr>
          <w:p w14:paraId="3BC3821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57" w:type="pct"/>
            <w:tcBorders>
              <w:top w:val="single" w:color="000000" w:sz="8" w:space="0"/>
              <w:left w:val="single" w:color="000000" w:sz="2" w:space="0"/>
              <w:bottom w:val="single" w:color="auto" w:sz="4" w:space="0"/>
              <w:right w:val="single" w:color="000000" w:sz="8" w:space="0"/>
            </w:tcBorders>
            <w:vAlign w:val="center"/>
          </w:tcPr>
          <w:p w14:paraId="1DC36356">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杭州市天目山路181号天际大厦803</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苗月平13515813122</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90D9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4DC78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075" w:type="pct"/>
            <w:tcBorders>
              <w:top w:val="single" w:color="auto" w:sz="4" w:space="0"/>
              <w:left w:val="single" w:color="auto" w:sz="4" w:space="0"/>
              <w:bottom w:val="single" w:color="auto" w:sz="4" w:space="0"/>
              <w:right w:val="single" w:color="auto" w:sz="4" w:space="0"/>
            </w:tcBorders>
            <w:vAlign w:val="center"/>
          </w:tcPr>
          <w:p w14:paraId="2518413A">
            <w:pPr>
              <w:snapToGrid w:val="0"/>
              <w:spacing w:line="360" w:lineRule="auto"/>
              <w:jc w:val="center"/>
              <w:rPr>
                <w:rFonts w:ascii="宋体" w:hAnsi="宋体" w:cs="宋体"/>
                <w:b/>
                <w:color w:val="auto"/>
                <w:szCs w:val="21"/>
                <w:highlight w:val="none"/>
              </w:rPr>
            </w:pPr>
            <w:r>
              <w:rPr>
                <w:rFonts w:hint="eastAsia" w:cs="仿宋_GB2312" w:asciiTheme="minorEastAsia" w:hAnsiTheme="minorEastAsia" w:eastAsiaTheme="minorEastAsia"/>
                <w:b/>
                <w:color w:val="auto"/>
                <w:sz w:val="24"/>
                <w:highlight w:val="none"/>
              </w:rPr>
              <w:t>特别说明</w:t>
            </w:r>
          </w:p>
        </w:tc>
        <w:tc>
          <w:tcPr>
            <w:tcW w:w="3557" w:type="pct"/>
            <w:tcBorders>
              <w:top w:val="single" w:color="auto" w:sz="4" w:space="0"/>
              <w:left w:val="single" w:color="auto" w:sz="4" w:space="0"/>
              <w:bottom w:val="single" w:color="auto" w:sz="4" w:space="0"/>
              <w:right w:val="single" w:color="auto" w:sz="4" w:space="0"/>
            </w:tcBorders>
            <w:vAlign w:val="center"/>
          </w:tcPr>
          <w:p w14:paraId="7A00B39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A0D8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7" w:type="pct"/>
            <w:tcBorders>
              <w:top w:val="single" w:color="auto" w:sz="4" w:space="0"/>
              <w:left w:val="single" w:color="auto" w:sz="4" w:space="0"/>
              <w:bottom w:val="single" w:color="auto" w:sz="4" w:space="0"/>
              <w:right w:val="single" w:color="auto" w:sz="4" w:space="0"/>
            </w:tcBorders>
            <w:vAlign w:val="center"/>
          </w:tcPr>
          <w:p w14:paraId="6A374E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075" w:type="pct"/>
            <w:tcBorders>
              <w:top w:val="single" w:color="auto" w:sz="4" w:space="0"/>
              <w:left w:val="single" w:color="auto" w:sz="4" w:space="0"/>
              <w:bottom w:val="single" w:color="auto" w:sz="4" w:space="0"/>
              <w:right w:val="single" w:color="auto" w:sz="4" w:space="0"/>
            </w:tcBorders>
            <w:vAlign w:val="center"/>
          </w:tcPr>
          <w:p w14:paraId="4B7CC15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招标代理费</w:t>
            </w:r>
          </w:p>
        </w:tc>
        <w:tc>
          <w:tcPr>
            <w:tcW w:w="3557" w:type="pct"/>
            <w:tcBorders>
              <w:top w:val="single" w:color="auto" w:sz="4" w:space="0"/>
              <w:left w:val="single" w:color="auto" w:sz="4" w:space="0"/>
              <w:bottom w:val="single" w:color="auto" w:sz="4" w:space="0"/>
              <w:right w:val="single" w:color="auto" w:sz="4" w:space="0"/>
            </w:tcBorders>
            <w:vAlign w:val="center"/>
          </w:tcPr>
          <w:p w14:paraId="60489745">
            <w:pPr>
              <w:spacing w:line="360"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本项目的</w:t>
            </w:r>
            <w:r>
              <w:rPr>
                <w:rFonts w:hint="eastAsia" w:ascii="宋体" w:hAnsi="宋体" w:cs="宋体"/>
                <w:snapToGrid w:val="0"/>
                <w:color w:val="auto"/>
                <w:kern w:val="28"/>
                <w:sz w:val="24"/>
                <w:highlight w:val="none"/>
              </w:rPr>
              <w:t>招标</w:t>
            </w:r>
            <w:r>
              <w:rPr>
                <w:rFonts w:ascii="宋体" w:hAnsi="宋体" w:cs="宋体"/>
                <w:snapToGrid w:val="0"/>
                <w:color w:val="auto"/>
                <w:kern w:val="28"/>
                <w:sz w:val="24"/>
                <w:highlight w:val="none"/>
              </w:rPr>
              <w:t>代理费由中标人支付，按发改价格</w:t>
            </w:r>
            <w:r>
              <w:rPr>
                <w:rFonts w:hint="eastAsia" w:ascii="宋体" w:hAnsi="宋体" w:cs="宋体"/>
                <w:snapToGrid w:val="0"/>
                <w:color w:val="auto"/>
                <w:kern w:val="28"/>
                <w:sz w:val="24"/>
                <w:highlight w:val="none"/>
              </w:rPr>
              <w:t>［2011］534号、计价格［2002］1980号</w:t>
            </w:r>
            <w:r>
              <w:rPr>
                <w:rFonts w:ascii="宋体" w:hAnsi="宋体" w:cs="宋体"/>
                <w:snapToGrid w:val="0"/>
                <w:color w:val="auto"/>
                <w:kern w:val="28"/>
                <w:sz w:val="24"/>
                <w:highlight w:val="none"/>
              </w:rPr>
              <w:t>文件中招标代理服务费收费标准</w:t>
            </w:r>
            <w:r>
              <w:rPr>
                <w:rFonts w:hint="eastAsia" w:ascii="宋体" w:hAnsi="宋体" w:cs="宋体"/>
                <w:snapToGrid w:val="0"/>
                <w:color w:val="auto"/>
                <w:kern w:val="28"/>
                <w:sz w:val="24"/>
                <w:highlight w:val="none"/>
              </w:rPr>
              <w:t>（服务类）的70%</w:t>
            </w:r>
            <w:r>
              <w:rPr>
                <w:rFonts w:ascii="宋体" w:hAnsi="宋体" w:cs="宋体"/>
                <w:snapToGrid w:val="0"/>
                <w:color w:val="auto"/>
                <w:kern w:val="28"/>
                <w:sz w:val="24"/>
                <w:highlight w:val="none"/>
              </w:rPr>
              <w:t>计取，</w:t>
            </w:r>
            <w:r>
              <w:rPr>
                <w:rFonts w:hint="eastAsia" w:ascii="宋体" w:hAnsi="宋体" w:cs="宋体"/>
                <w:snapToGrid w:val="0"/>
                <w:color w:val="auto"/>
                <w:kern w:val="28"/>
                <w:sz w:val="24"/>
                <w:highlight w:val="none"/>
              </w:rPr>
              <w:t>不足5000元按5000元计取，</w:t>
            </w:r>
            <w:r>
              <w:rPr>
                <w:rFonts w:ascii="宋体" w:hAnsi="宋体" w:cs="宋体"/>
                <w:snapToGrid w:val="0"/>
                <w:color w:val="auto"/>
                <w:kern w:val="28"/>
                <w:sz w:val="24"/>
                <w:highlight w:val="none"/>
              </w:rPr>
              <w:t>该费用考虑在总报价中，不必单列。结算方式及时间为：在领取中标通知书时由中标人一次性向采购代理机构付清。</w:t>
            </w:r>
          </w:p>
          <w:p w14:paraId="02E9B70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（中标服务费账户：浙江</w:t>
            </w:r>
            <w:r>
              <w:rPr>
                <w:rFonts w:ascii="宋体" w:hAnsi="宋体" w:cs="宋体"/>
                <w:snapToGrid w:val="0"/>
                <w:color w:val="auto"/>
                <w:kern w:val="28"/>
                <w:sz w:val="24"/>
                <w:highlight w:val="none"/>
              </w:rPr>
              <w:t>泛亚工程咨询有限公司</w:t>
            </w:r>
            <w:r>
              <w:rPr>
                <w:rFonts w:hint="eastAsia" w:ascii="宋体" w:hAnsi="宋体" w:cs="宋体"/>
                <w:snapToGrid w:val="0"/>
                <w:color w:val="auto"/>
                <w:kern w:val="28"/>
                <w:sz w:val="24"/>
                <w:highlight w:val="none"/>
              </w:rPr>
              <w:t>，</w:t>
            </w:r>
            <w:r>
              <w:rPr>
                <w:rFonts w:ascii="宋体" w:hAnsi="宋体" w:cs="宋体"/>
                <w:snapToGrid w:val="0"/>
                <w:color w:val="auto"/>
                <w:kern w:val="28"/>
                <w:sz w:val="24"/>
                <w:highlight w:val="none"/>
              </w:rPr>
              <w:t>账号：33001619635050000853</w:t>
            </w:r>
            <w:r>
              <w:rPr>
                <w:rFonts w:hint="eastAsia" w:ascii="宋体" w:hAnsi="宋体" w:cs="宋体"/>
                <w:snapToGrid w:val="0"/>
                <w:color w:val="auto"/>
                <w:kern w:val="28"/>
                <w:sz w:val="24"/>
                <w:highlight w:val="none"/>
              </w:rPr>
              <w:t>，</w:t>
            </w:r>
            <w:r>
              <w:rPr>
                <w:rFonts w:ascii="宋体" w:hAnsi="宋体" w:cs="宋体"/>
                <w:snapToGrid w:val="0"/>
                <w:color w:val="auto"/>
                <w:kern w:val="28"/>
                <w:sz w:val="24"/>
                <w:highlight w:val="none"/>
              </w:rPr>
              <w:t>开户行：中国建设银行杭州西湖支行</w:t>
            </w:r>
            <w:r>
              <w:rPr>
                <w:rFonts w:hint="eastAsia" w:ascii="宋体" w:hAnsi="宋体" w:cs="宋体"/>
                <w:snapToGrid w:val="0"/>
                <w:color w:val="auto"/>
                <w:kern w:val="28"/>
                <w:sz w:val="24"/>
                <w:highlight w:val="none"/>
              </w:rPr>
              <w:t>）</w:t>
            </w:r>
          </w:p>
        </w:tc>
      </w:tr>
    </w:tbl>
    <w:p w14:paraId="51AF3B13">
      <w:pPr>
        <w:snapToGrid w:val="0"/>
        <w:spacing w:line="360" w:lineRule="auto"/>
        <w:jc w:val="center"/>
        <w:rPr>
          <w:rFonts w:ascii="宋体" w:hAnsi="宋体" w:cs="宋体"/>
          <w:b/>
          <w:color w:val="auto"/>
          <w:sz w:val="32"/>
          <w:szCs w:val="20"/>
          <w:highlight w:val="none"/>
        </w:rPr>
      </w:pPr>
    </w:p>
    <w:bookmarkEnd w:id="10"/>
    <w:p w14:paraId="741E2B8F">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14:paraId="643B9A4C">
      <w:pPr>
        <w:adjustRightInd/>
        <w:spacing w:line="360" w:lineRule="auto"/>
        <w:ind w:firstLine="3845" w:firstLineChars="1197"/>
        <w:outlineLvl w:val="0"/>
        <w:rPr>
          <w:rFonts w:ascii="宋体" w:hAnsi="宋体" w:cs="宋体"/>
          <w:b/>
          <w:color w:val="auto"/>
          <w:sz w:val="32"/>
          <w:szCs w:val="20"/>
          <w:highlight w:val="none"/>
        </w:rPr>
      </w:pPr>
    </w:p>
    <w:p w14:paraId="3D251FEA">
      <w:pPr>
        <w:adjustRightInd/>
        <w:spacing w:line="360" w:lineRule="auto"/>
        <w:ind w:firstLine="3845" w:firstLineChars="1197"/>
        <w:outlineLvl w:val="0"/>
        <w:rPr>
          <w:rFonts w:ascii="宋体" w:hAnsi="宋体" w:cs="宋体"/>
          <w:b/>
          <w:color w:val="auto"/>
          <w:sz w:val="32"/>
          <w:szCs w:val="20"/>
          <w:highlight w:val="none"/>
        </w:rPr>
      </w:pPr>
    </w:p>
    <w:p w14:paraId="4750181F">
      <w:pPr>
        <w:adjustRightInd/>
        <w:spacing w:line="360" w:lineRule="auto"/>
        <w:ind w:firstLine="3845" w:firstLineChars="1197"/>
        <w:outlineLvl w:val="0"/>
        <w:rPr>
          <w:rFonts w:ascii="宋体" w:hAnsi="宋体" w:cs="宋体"/>
          <w:b/>
          <w:color w:val="auto"/>
          <w:sz w:val="32"/>
          <w:szCs w:val="20"/>
          <w:highlight w:val="none"/>
        </w:rPr>
      </w:pPr>
    </w:p>
    <w:p w14:paraId="749B9E62">
      <w:pPr>
        <w:adjustRightInd/>
        <w:spacing w:line="360" w:lineRule="auto"/>
        <w:ind w:firstLine="3845" w:firstLineChars="1197"/>
        <w:outlineLvl w:val="0"/>
        <w:rPr>
          <w:rFonts w:ascii="宋体" w:hAnsi="宋体" w:cs="宋体"/>
          <w:b/>
          <w:color w:val="auto"/>
          <w:sz w:val="32"/>
          <w:szCs w:val="20"/>
          <w:highlight w:val="none"/>
        </w:rPr>
      </w:pPr>
    </w:p>
    <w:p w14:paraId="6AD734CB">
      <w:pPr>
        <w:adjustRightInd/>
        <w:spacing w:line="360" w:lineRule="auto"/>
        <w:ind w:firstLine="3845" w:firstLineChars="1197"/>
        <w:outlineLvl w:val="0"/>
        <w:rPr>
          <w:rFonts w:ascii="宋体" w:hAnsi="宋体" w:cs="宋体"/>
          <w:b/>
          <w:color w:val="auto"/>
          <w:sz w:val="32"/>
          <w:szCs w:val="20"/>
          <w:highlight w:val="none"/>
        </w:rPr>
      </w:pPr>
    </w:p>
    <w:p w14:paraId="5077B4D6">
      <w:pPr>
        <w:adjustRightInd/>
        <w:spacing w:line="360" w:lineRule="auto"/>
        <w:ind w:firstLine="3845" w:firstLineChars="1197"/>
        <w:outlineLvl w:val="0"/>
        <w:rPr>
          <w:rFonts w:ascii="宋体" w:hAnsi="宋体" w:cs="宋体"/>
          <w:b/>
          <w:color w:val="auto"/>
          <w:sz w:val="32"/>
          <w:szCs w:val="20"/>
          <w:highlight w:val="none"/>
        </w:rPr>
      </w:pPr>
    </w:p>
    <w:p w14:paraId="6159327B">
      <w:pPr>
        <w:adjustRightInd/>
        <w:spacing w:line="360" w:lineRule="auto"/>
        <w:ind w:firstLine="3845" w:firstLineChars="1197"/>
        <w:outlineLvl w:val="0"/>
        <w:rPr>
          <w:rFonts w:ascii="宋体" w:hAnsi="宋体" w:cs="宋体"/>
          <w:b/>
          <w:color w:val="auto"/>
          <w:sz w:val="32"/>
          <w:szCs w:val="20"/>
          <w:highlight w:val="none"/>
        </w:rPr>
      </w:pPr>
    </w:p>
    <w:p w14:paraId="0A960FD8">
      <w:pPr>
        <w:adjustRightInd/>
        <w:spacing w:line="360" w:lineRule="auto"/>
        <w:ind w:firstLine="3845" w:firstLineChars="1197"/>
        <w:outlineLvl w:val="0"/>
        <w:rPr>
          <w:rFonts w:ascii="宋体" w:hAnsi="宋体" w:cs="宋体"/>
          <w:b/>
          <w:color w:val="auto"/>
          <w:sz w:val="32"/>
          <w:szCs w:val="20"/>
          <w:highlight w:val="none"/>
        </w:rPr>
      </w:pPr>
    </w:p>
    <w:p w14:paraId="0DDB66B8">
      <w:pPr>
        <w:adjustRightInd/>
        <w:spacing w:line="360" w:lineRule="auto"/>
        <w:ind w:firstLine="3845" w:firstLineChars="1197"/>
        <w:outlineLvl w:val="0"/>
        <w:rPr>
          <w:rFonts w:ascii="宋体" w:hAnsi="宋体" w:cs="宋体"/>
          <w:b/>
          <w:color w:val="auto"/>
          <w:sz w:val="32"/>
          <w:szCs w:val="20"/>
          <w:highlight w:val="none"/>
        </w:rPr>
      </w:pPr>
    </w:p>
    <w:p w14:paraId="6C754953">
      <w:pPr>
        <w:adjustRightInd/>
        <w:spacing w:line="360" w:lineRule="auto"/>
        <w:ind w:firstLine="3845" w:firstLineChars="1197"/>
        <w:outlineLvl w:val="0"/>
        <w:rPr>
          <w:rFonts w:ascii="宋体" w:hAnsi="宋体" w:cs="宋体"/>
          <w:b/>
          <w:color w:val="auto"/>
          <w:sz w:val="32"/>
          <w:szCs w:val="20"/>
          <w:highlight w:val="none"/>
        </w:rPr>
      </w:pPr>
    </w:p>
    <w:p w14:paraId="26C4833C">
      <w:pPr>
        <w:adjustRightInd/>
        <w:spacing w:line="360" w:lineRule="auto"/>
        <w:ind w:firstLine="3845" w:firstLineChars="1197"/>
        <w:outlineLvl w:val="0"/>
        <w:rPr>
          <w:rFonts w:ascii="宋体" w:hAnsi="宋体" w:cs="宋体"/>
          <w:b/>
          <w:color w:val="auto"/>
          <w:sz w:val="32"/>
          <w:szCs w:val="20"/>
          <w:highlight w:val="none"/>
        </w:rPr>
      </w:pPr>
    </w:p>
    <w:p w14:paraId="0843E9EB">
      <w:pPr>
        <w:adjustRightInd/>
        <w:spacing w:line="360" w:lineRule="auto"/>
        <w:ind w:firstLine="3845" w:firstLineChars="1197"/>
        <w:outlineLvl w:val="0"/>
        <w:rPr>
          <w:rFonts w:ascii="宋体" w:hAnsi="宋体" w:cs="宋体"/>
          <w:b/>
          <w:color w:val="auto"/>
          <w:sz w:val="32"/>
          <w:szCs w:val="20"/>
          <w:highlight w:val="none"/>
        </w:rPr>
      </w:pPr>
    </w:p>
    <w:p w14:paraId="719F86A7">
      <w:pPr>
        <w:adjustRightInd/>
        <w:spacing w:line="360" w:lineRule="auto"/>
        <w:ind w:firstLine="3845" w:firstLineChars="1197"/>
        <w:outlineLvl w:val="0"/>
        <w:rPr>
          <w:rFonts w:ascii="宋体" w:hAnsi="宋体" w:cs="宋体"/>
          <w:b/>
          <w:color w:val="auto"/>
          <w:sz w:val="32"/>
          <w:szCs w:val="20"/>
          <w:highlight w:val="none"/>
        </w:rPr>
      </w:pPr>
    </w:p>
    <w:p w14:paraId="170E0A71">
      <w:pPr>
        <w:adjustRightInd/>
        <w:spacing w:line="360" w:lineRule="auto"/>
        <w:ind w:firstLine="3845" w:firstLineChars="1197"/>
        <w:outlineLvl w:val="0"/>
        <w:rPr>
          <w:rFonts w:ascii="宋体" w:hAnsi="宋体" w:cs="宋体"/>
          <w:b/>
          <w:color w:val="auto"/>
          <w:sz w:val="32"/>
          <w:szCs w:val="20"/>
          <w:highlight w:val="none"/>
        </w:rPr>
      </w:pPr>
    </w:p>
    <w:p w14:paraId="1D39A118">
      <w:pPr>
        <w:adjustRightInd/>
        <w:spacing w:line="360" w:lineRule="auto"/>
        <w:ind w:firstLine="3845" w:firstLineChars="1197"/>
        <w:outlineLvl w:val="0"/>
        <w:rPr>
          <w:rFonts w:ascii="宋体" w:hAnsi="宋体" w:cs="宋体"/>
          <w:b/>
          <w:color w:val="auto"/>
          <w:sz w:val="32"/>
          <w:szCs w:val="20"/>
          <w:highlight w:val="none"/>
        </w:rPr>
      </w:pPr>
    </w:p>
    <w:p w14:paraId="1A2BD16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B583287">
      <w:pPr>
        <w:snapToGrid w:val="0"/>
        <w:spacing w:line="360" w:lineRule="auto"/>
        <w:ind w:firstLine="482" w:firstLineChars="20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3FAEB2D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0434255">
      <w:pPr>
        <w:adjustRightInd/>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BD3E8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14:paraId="2A4E1C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2.2“采购代理机构”系指招标公告中载明的本项目的采购代理机构。</w:t>
      </w:r>
    </w:p>
    <w:p w14:paraId="385B6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2.3“投标人”系指是指响应招标、参加投标竞争的法人、其他组织或者自然人。</w:t>
      </w:r>
    </w:p>
    <w:p w14:paraId="3AF183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0739A0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9D1F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8012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2.7“▲”系指实质性要求条款。</w:t>
      </w:r>
    </w:p>
    <w:p w14:paraId="077AA6E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512A4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4195C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B205E8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276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EBF2E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E36640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65A9A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433198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C6FB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387B51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FA233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08C78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8B9F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9EF6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CA2D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F4D5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9B810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8E20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7C1AB5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58807C1">
      <w:pPr>
        <w:pStyle w:val="6"/>
        <w:adjustRightInd w:val="0"/>
        <w:ind w:left="0" w:firstLine="480" w:firstLineChars="200"/>
        <w:rPr>
          <w:color w:val="auto"/>
          <w:highlight w:val="none"/>
        </w:rPr>
      </w:pPr>
      <w:r>
        <w:rPr>
          <w:rFonts w:ascii="宋体" w:hAnsi="宋体" w:eastAsia="宋体" w:cs="仿宋"/>
          <w:b w:val="0"/>
          <w:bCs w:val="0"/>
          <w:color w:val="auto"/>
          <w:sz w:val="24"/>
          <w:szCs w:val="24"/>
          <w:highlight w:val="none"/>
          <w:lang w:val="en-US"/>
        </w:rPr>
        <w:t>3.4.3</w:t>
      </w:r>
      <w:r>
        <w:rPr>
          <w:rFonts w:hint="eastAsia" w:ascii="宋体" w:hAnsi="宋体" w:eastAsia="宋体" w:cs="仿宋"/>
          <w:b w:val="0"/>
          <w:bCs w:val="0"/>
          <w:color w:val="auto"/>
          <w:sz w:val="24"/>
          <w:szCs w:val="24"/>
          <w:highlight w:val="none"/>
          <w:lang w:val="en-US"/>
        </w:rPr>
        <w:t>采购人应当贯彻落实知识产权保护相关法律法规，应当采购使用正版软件。</w:t>
      </w:r>
    </w:p>
    <w:p w14:paraId="049D03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56D4A0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rPr>
        <w:t xml:space="preserve">    </w:t>
      </w:r>
      <w:r>
        <w:rPr>
          <w:rFonts w:hint="eastAsia" w:ascii="宋体" w:hAnsi="宋体" w:cs="宋体"/>
          <w:b/>
          <w:color w:val="auto"/>
          <w:sz w:val="24"/>
          <w:highlight w:val="none"/>
        </w:rPr>
        <w:t>4.询问、质疑、投诉</w:t>
      </w:r>
    </w:p>
    <w:p w14:paraId="7599FCE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CEFC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7186D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AF8B3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A11555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9BCE9D8">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BD8BD7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B3F506F">
      <w:pPr>
        <w:pStyle w:val="34"/>
        <w:snapToGrid w:val="0"/>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710BE63">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8AC7124">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96AE654">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C10630A">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FE47557">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2B94E39">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5A2F38">
      <w:pPr>
        <w:pStyle w:val="34"/>
        <w:snapToGrid w:val="0"/>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1EAFAD9">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9AD5C93">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质疑函范本及制作说明详见附件2。</w:t>
      </w:r>
    </w:p>
    <w:p w14:paraId="153451A5">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4.3.4对同一采购程序环节的质疑，供应商须在法定质疑期内一次性提出。</w:t>
      </w:r>
    </w:p>
    <w:p w14:paraId="497813A2">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62429A4">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6BECCF9">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lang w:val="zh-CN"/>
        </w:rPr>
        <w:t>4.4供应商投诉</w:t>
      </w:r>
    </w:p>
    <w:p w14:paraId="64170D5E">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269E98B">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E97E753">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4.4.3供应商投诉应当有明确的请求和必要的证明材料。</w:t>
      </w:r>
    </w:p>
    <w:p w14:paraId="38FF1441">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4.4.4以联合体形式参加政府采购活动的，其投诉应当由组成联合体的所有供应商共同提出。</w:t>
      </w:r>
    </w:p>
    <w:p w14:paraId="0522826D">
      <w:pPr>
        <w:pStyle w:val="889"/>
        <w:shd w:val="clear" w:color="auto" w:fill="FFFFFF"/>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投诉书范本及制作说明详见附件3。</w:t>
      </w:r>
    </w:p>
    <w:p w14:paraId="04F89A1D">
      <w:pPr>
        <w:pStyle w:val="889"/>
        <w:shd w:val="clear" w:color="auto" w:fill="FFFFFF"/>
        <w:adjustRightInd w:val="0"/>
        <w:snapToGrid w:val="0"/>
        <w:spacing w:before="0" w:beforeAutospacing="0" w:after="0" w:afterAutospacing="0" w:line="360" w:lineRule="auto"/>
        <w:ind w:firstLine="400"/>
        <w:rPr>
          <w:color w:val="auto"/>
          <w:highlight w:val="none"/>
        </w:rPr>
      </w:pPr>
    </w:p>
    <w:p w14:paraId="607D568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B4ACB67">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5.招标文件的构成</w:t>
      </w:r>
    </w:p>
    <w:p w14:paraId="51866D3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5.1招标文件包括下列文件及附件：</w:t>
      </w:r>
    </w:p>
    <w:p w14:paraId="5110496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A5CE25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A8FC97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6E3D46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29BBCE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081A1D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688C4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C6B230">
      <w:pPr>
        <w:pStyle w:val="34"/>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5814B1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344C9D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D9426C">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1C96373">
      <w:pPr>
        <w:snapToGrid w:val="0"/>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E7E3F3B">
      <w:pPr>
        <w:pStyle w:val="3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7.招标文件的获取</w:t>
      </w:r>
    </w:p>
    <w:p w14:paraId="67E28798">
      <w:pPr>
        <w:snapToGrid w:val="0"/>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0C0C9D1">
      <w:pPr>
        <w:pStyle w:val="3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046D83C">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B05C5F4">
      <w:pPr>
        <w:pStyle w:val="34"/>
        <w:snapToGrid w:val="0"/>
        <w:spacing w:line="360" w:lineRule="auto"/>
        <w:ind w:firstLine="482" w:firstLineChars="200"/>
        <w:rPr>
          <w:rFonts w:hAnsi="宋体" w:cs="宋体"/>
          <w:b/>
          <w:color w:val="auto"/>
          <w:szCs w:val="24"/>
          <w:highlight w:val="none"/>
        </w:rPr>
      </w:pPr>
      <w:r>
        <w:rPr>
          <w:rFonts w:hint="eastAsia" w:hAnsi="宋体" w:cs="宋体"/>
          <w:b/>
          <w:color w:val="auto"/>
          <w:kern w:val="28"/>
          <w:sz w:val="24"/>
          <w:szCs w:val="24"/>
          <w:highlight w:val="none"/>
        </w:rPr>
        <w:t>9.投标保证金</w:t>
      </w:r>
    </w:p>
    <w:p w14:paraId="0ADC3798">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94C161F">
      <w:pPr>
        <w:pStyle w:val="3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10.投标文件的语言</w:t>
      </w:r>
    </w:p>
    <w:p w14:paraId="2E70DF9E">
      <w:pPr>
        <w:autoSpaceDE w:val="0"/>
        <w:autoSpaceDN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DADB7DD">
      <w:pPr>
        <w:pStyle w:val="3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11.投标文件的组成</w:t>
      </w:r>
    </w:p>
    <w:p w14:paraId="3F39B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1104A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A8DF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r>
        <w:rPr>
          <w:rFonts w:hint="eastAsia" w:ascii="宋体" w:hAnsi="宋体" w:cs="宋体"/>
          <w:snapToGrid w:val="0"/>
          <w:color w:val="auto"/>
          <w:kern w:val="28"/>
          <w:sz w:val="24"/>
          <w:szCs w:val="20"/>
          <w:highlight w:val="none"/>
        </w:rPr>
        <w:t>：中小企业声明函</w:t>
      </w:r>
      <w:r>
        <w:rPr>
          <w:rFonts w:hint="eastAsia" w:ascii="宋体" w:hAnsi="宋体" w:cs="宋体"/>
          <w:color w:val="auto"/>
          <w:sz w:val="24"/>
          <w:highlight w:val="none"/>
        </w:rPr>
        <w:t>；</w:t>
      </w:r>
    </w:p>
    <w:p w14:paraId="69314E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A7A31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41116CA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FA994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3A4C7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4AD505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11.2.4评标标准相应的商务技术资料；</w:t>
      </w:r>
    </w:p>
    <w:p w14:paraId="3BE481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11.2.5投标标的清单；</w:t>
      </w:r>
    </w:p>
    <w:p w14:paraId="4348D5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0376673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B01728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6E507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494C12A">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11.3.2 报价情况说明（如供应商报价低于项目预算50%的，应当提交本文档，</w:t>
      </w:r>
    </w:p>
    <w:p w14:paraId="76350F3D">
      <w:pPr>
        <w:snapToGrid w:val="0"/>
        <w:spacing w:line="360" w:lineRule="auto"/>
        <w:ind w:firstLine="960" w:firstLineChars="400"/>
        <w:rPr>
          <w:color w:val="auto"/>
          <w:highlight w:val="none"/>
        </w:rPr>
      </w:pPr>
      <w:r>
        <w:rPr>
          <w:rFonts w:ascii="宋体" w:hAnsi="宋体" w:cs="宋体"/>
          <w:color w:val="auto"/>
          <w:sz w:val="24"/>
          <w:highlight w:val="none"/>
        </w:rPr>
        <w:t>详细阐述不影响产品质量或者诚信履约的具体原因）</w:t>
      </w:r>
      <w:r>
        <w:rPr>
          <w:rFonts w:hint="eastAsia" w:ascii="宋体" w:hAnsi="宋体" w:cs="宋体"/>
          <w:color w:val="auto"/>
          <w:sz w:val="24"/>
          <w:highlight w:val="none"/>
        </w:rPr>
        <w:t>。</w:t>
      </w:r>
    </w:p>
    <w:p w14:paraId="518F5DA4">
      <w:pPr>
        <w:snapToGrid w:val="0"/>
        <w:spacing w:line="360" w:lineRule="auto"/>
        <w:ind w:firstLine="964" w:firstLineChars="4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9027F80">
      <w:pPr>
        <w:snapToGrid w:val="0"/>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4A51EB6">
      <w:pPr>
        <w:snapToGrid w:val="0"/>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4DC30E74">
      <w:pPr>
        <w:pStyle w:val="131"/>
        <w:snapToGrid w:val="0"/>
        <w:spacing w:before="0"/>
        <w:ind w:firstLine="482"/>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14:paraId="65D12BE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4C38C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D781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368810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5B30C30">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B511AF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DE92F1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F4015D2">
      <w:pPr>
        <w:pStyle w:val="13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753B5E37">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EC8943">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38BB0DE">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D59EAE2">
      <w:pPr>
        <w:pStyle w:val="34"/>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15.备份投标文件</w:t>
      </w:r>
    </w:p>
    <w:p w14:paraId="7253706E">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6A26D60">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A6D2B3">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C449A60">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68167C9">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C82CB06">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16.投标文件的无效处理</w:t>
      </w:r>
    </w:p>
    <w:p w14:paraId="26EE3093">
      <w:pPr>
        <w:pStyle w:val="34"/>
        <w:snapToGrid w:val="0"/>
        <w:spacing w:line="360" w:lineRule="auto"/>
        <w:ind w:firstLine="477" w:firstLineChars="199"/>
        <w:rPr>
          <w:rFonts w:hAnsi="宋体" w:cs="宋体"/>
          <w:snapToGrid/>
          <w:color w:val="auto"/>
          <w:sz w:val="24"/>
          <w:szCs w:val="20"/>
          <w:highlight w:val="none"/>
        </w:rPr>
      </w:pPr>
      <w:r>
        <w:rPr>
          <w:rFonts w:hint="eastAsia" w:hAnsi="宋体" w:cs="宋体"/>
          <w:snapToGrid/>
          <w:color w:val="auto"/>
          <w:sz w:val="24"/>
          <w:szCs w:val="20"/>
          <w:highlight w:val="none"/>
        </w:rPr>
        <w:t>有招标文件第四部分</w:t>
      </w:r>
      <w:r>
        <w:rPr>
          <w:rFonts w:hAnsi="宋体" w:cs="宋体"/>
          <w:snapToGrid/>
          <w:color w:val="auto"/>
          <w:sz w:val="24"/>
          <w:szCs w:val="20"/>
          <w:highlight w:val="none"/>
        </w:rPr>
        <w:t>4.2规定</w:t>
      </w:r>
      <w:r>
        <w:rPr>
          <w:rFonts w:hint="eastAsia" w:hAnsi="宋体" w:cs="宋体"/>
          <w:snapToGrid/>
          <w:color w:val="auto"/>
          <w:sz w:val="24"/>
          <w:szCs w:val="20"/>
          <w:highlight w:val="none"/>
        </w:rPr>
        <w:t>的情形之一的，投标无效：</w:t>
      </w:r>
    </w:p>
    <w:p w14:paraId="6D56F311">
      <w:pPr>
        <w:pStyle w:val="13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17.投标有效期</w:t>
      </w:r>
    </w:p>
    <w:p w14:paraId="5B008EC4">
      <w:pPr>
        <w:snapToGrid w:val="0"/>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20CA6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6534E6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D6CB852">
      <w:pPr>
        <w:pStyle w:val="131"/>
        <w:snapToGrid w:val="0"/>
        <w:spacing w:before="0"/>
        <w:ind w:firstLine="482"/>
        <w:rPr>
          <w:rFonts w:ascii="宋体" w:hAnsi="宋体" w:cs="宋体"/>
          <w:b/>
          <w:color w:val="auto"/>
          <w:szCs w:val="24"/>
          <w:highlight w:val="none"/>
        </w:rPr>
      </w:pPr>
    </w:p>
    <w:p w14:paraId="52CD7DCC">
      <w:pPr>
        <w:pStyle w:val="131"/>
        <w:snapToGrid w:val="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9E39605">
      <w:pPr>
        <w:pStyle w:val="557"/>
        <w:snapToGrid w:val="0"/>
        <w:spacing w:before="0" w:line="360" w:lineRule="auto"/>
        <w:ind w:left="0" w:firstLine="482" w:firstLineChars="200"/>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B40E8F">
      <w:pPr>
        <w:pStyle w:val="557"/>
        <w:snapToGrid w:val="0"/>
        <w:spacing w:before="0"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AB3185C">
      <w:pPr>
        <w:pStyle w:val="557"/>
        <w:snapToGrid w:val="0"/>
        <w:spacing w:before="0" w:line="360" w:lineRule="auto"/>
        <w:ind w:left="0" w:firstLine="240" w:firstLineChars="100"/>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8AEFD60">
      <w:pPr>
        <w:pStyle w:val="557"/>
        <w:snapToGrid w:val="0"/>
        <w:spacing w:before="0" w:line="360" w:lineRule="auto"/>
        <w:ind w:left="0" w:firstLine="240" w:firstLineChars="100"/>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24D791D">
      <w:pPr>
        <w:pStyle w:val="557"/>
        <w:snapToGrid w:val="0"/>
        <w:spacing w:before="0" w:line="360" w:lineRule="auto"/>
        <w:ind w:left="0" w:firstLine="482" w:firstLineChars="200"/>
        <w:rPr>
          <w:rFonts w:ascii="宋体" w:hAnsi="宋体" w:cs="宋体"/>
          <w:b/>
          <w:color w:val="auto"/>
          <w:sz w:val="24"/>
          <w:highlight w:val="none"/>
        </w:rPr>
      </w:pPr>
      <w:r>
        <w:rPr>
          <w:rFonts w:hint="eastAsia" w:ascii="宋体" w:hAnsi="宋体" w:cs="宋体"/>
          <w:b/>
          <w:color w:val="auto"/>
          <w:sz w:val="24"/>
          <w:highlight w:val="none"/>
        </w:rPr>
        <w:t>19.资格审查</w:t>
      </w:r>
    </w:p>
    <w:p w14:paraId="1EF79D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2CC2847">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8382096">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73E9F18">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A78E5EF">
      <w:pPr>
        <w:pStyle w:val="131"/>
        <w:snapToGrid w:val="0"/>
        <w:spacing w:before="0"/>
        <w:ind w:firstLine="480"/>
        <w:rPr>
          <w:rFonts w:ascii="宋体" w:hAnsi="宋体" w:cs="宋体"/>
          <w:color w:val="auto"/>
          <w:highlight w:val="none"/>
        </w:rPr>
      </w:pPr>
      <w:r>
        <w:rPr>
          <w:rFonts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C14C1C9">
      <w:pPr>
        <w:pStyle w:val="13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20.信用信息查询</w:t>
      </w:r>
    </w:p>
    <w:p w14:paraId="73C2E0B5">
      <w:pPr>
        <w:pStyle w:val="131"/>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B1BC2AB">
      <w:pPr>
        <w:pStyle w:val="131"/>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E20B613">
      <w:pPr>
        <w:pStyle w:val="131"/>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5B794F4">
      <w:pPr>
        <w:pStyle w:val="131"/>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2E2DC6">
      <w:pPr>
        <w:pStyle w:val="131"/>
        <w:snapToGrid w:val="0"/>
        <w:spacing w:before="0"/>
        <w:ind w:firstLine="0" w:firstLineChars="0"/>
        <w:rPr>
          <w:rFonts w:ascii="宋体" w:hAnsi="宋体" w:cs="宋体"/>
          <w:color w:val="auto"/>
          <w:kern w:val="0"/>
          <w:szCs w:val="24"/>
          <w:highlight w:val="none"/>
        </w:rPr>
      </w:pPr>
    </w:p>
    <w:p w14:paraId="67C37E1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47DFEF2">
      <w:pPr>
        <w:snapToGrid w:val="0"/>
        <w:spacing w:line="360" w:lineRule="auto"/>
        <w:ind w:firstLine="482" w:firstLineChars="200"/>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3317762">
      <w:pPr>
        <w:snapToGrid w:val="0"/>
        <w:spacing w:line="360" w:lineRule="auto"/>
        <w:rPr>
          <w:rFonts w:ascii="宋体" w:hAnsi="宋体" w:cs="宋体"/>
          <w:b/>
          <w:color w:val="auto"/>
          <w:sz w:val="24"/>
          <w:highlight w:val="none"/>
        </w:rPr>
      </w:pPr>
    </w:p>
    <w:p w14:paraId="140D1DF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3356977">
      <w:pPr>
        <w:pStyle w:val="26"/>
        <w:snapToGrid w:val="0"/>
        <w:spacing w:line="360" w:lineRule="auto"/>
        <w:ind w:firstLine="482"/>
        <w:rPr>
          <w:rFonts w:cs="宋体"/>
          <w:b/>
          <w:color w:val="auto"/>
          <w:highlight w:val="none"/>
        </w:rPr>
      </w:pPr>
      <w:r>
        <w:rPr>
          <w:rFonts w:hint="eastAsia" w:cs="宋体"/>
          <w:b/>
          <w:color w:val="auto"/>
          <w:highlight w:val="none"/>
        </w:rPr>
        <w:t>22.确定中标供应商</w:t>
      </w:r>
    </w:p>
    <w:p w14:paraId="66D31645">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EEB8AA8">
      <w:pPr>
        <w:pStyle w:val="131"/>
        <w:snapToGrid w:val="0"/>
        <w:spacing w:before="0"/>
        <w:ind w:firstLine="482"/>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14:paraId="3018173B">
      <w:pPr>
        <w:widowControl/>
        <w:shd w:val="clear" w:color="auto" w:fill="FFFFFF"/>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F4E16A2">
      <w:pPr>
        <w:widowControl/>
        <w:shd w:val="clear" w:color="auto" w:fill="FFFFFF"/>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4A77ED">
      <w:pPr>
        <w:widowControl/>
        <w:shd w:val="clear" w:color="auto" w:fill="FFFFFF"/>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F90C606">
      <w:pPr>
        <w:pStyle w:val="131"/>
        <w:snapToGrid w:val="0"/>
        <w:spacing w:before="0"/>
        <w:ind w:firstLine="482"/>
        <w:rPr>
          <w:rFonts w:ascii="宋体" w:hAnsi="宋体" w:cs="宋体"/>
          <w:bCs/>
          <w:color w:val="auto"/>
          <w:szCs w:val="24"/>
          <w:highlight w:val="none"/>
        </w:rPr>
      </w:pPr>
      <w:r>
        <w:rPr>
          <w:rFonts w:hint="eastAsia" w:ascii="宋体" w:hAnsi="宋体" w:cs="宋体"/>
          <w:b/>
          <w:color w:val="auto"/>
          <w:szCs w:val="24"/>
          <w:highlight w:val="none"/>
        </w:rPr>
        <w:t>23.4</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3657389">
      <w:pPr>
        <w:widowControl/>
        <w:shd w:val="clear" w:color="auto" w:fill="FFFFFF"/>
        <w:snapToGrid w:val="0"/>
        <w:spacing w:line="360" w:lineRule="auto"/>
        <w:ind w:firstLine="480"/>
        <w:jc w:val="left"/>
        <w:rPr>
          <w:rFonts w:ascii="宋体" w:hAnsi="宋体" w:cs="宋体"/>
          <w:color w:val="auto"/>
          <w:sz w:val="24"/>
          <w:highlight w:val="none"/>
        </w:rPr>
      </w:pPr>
    </w:p>
    <w:p w14:paraId="4CD5578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7E8EC06">
      <w:pPr>
        <w:pStyle w:val="26"/>
        <w:snapToGrid w:val="0"/>
        <w:spacing w:line="360" w:lineRule="auto"/>
        <w:ind w:left="315" w:leftChars="150" w:firstLine="120" w:firstLineChars="50"/>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08B6ACBE">
      <w:pPr>
        <w:pStyle w:val="26"/>
        <w:snapToGrid w:val="0"/>
        <w:spacing w:line="360" w:lineRule="auto"/>
        <w:ind w:left="315" w:leftChars="150" w:firstLine="120" w:firstLineChars="50"/>
        <w:rPr>
          <w:rFonts w:cs="宋体"/>
          <w:b/>
          <w:color w:val="auto"/>
          <w:highlight w:val="none"/>
        </w:rPr>
      </w:pPr>
      <w:r>
        <w:rPr>
          <w:rFonts w:hint="eastAsia" w:cs="宋体"/>
          <w:b/>
          <w:color w:val="auto"/>
          <w:highlight w:val="none"/>
        </w:rPr>
        <w:t>25.合同的签订</w:t>
      </w:r>
    </w:p>
    <w:p w14:paraId="638DFED8">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8AE716">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97EB7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7E55B2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39A400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B875F1C">
      <w:pPr>
        <w:pStyle w:val="131"/>
        <w:snapToGrid w:val="0"/>
        <w:spacing w:before="0"/>
        <w:ind w:firstLine="482"/>
        <w:rPr>
          <w:rFonts w:cs="宋体" w:asciiTheme="majorEastAsia" w:hAnsiTheme="majorEastAsia" w:eastAsiaTheme="majorEastAsia"/>
          <w:color w:val="auto"/>
          <w:highlight w:val="none"/>
        </w:rPr>
      </w:pPr>
      <w:r>
        <w:rPr>
          <w:rFonts w:hint="eastAsia" w:cs="宋体" w:asciiTheme="majorEastAsia" w:hAnsiTheme="majorEastAsia" w:eastAsiaTheme="majorEastAsia"/>
          <w:b/>
          <w:color w:val="auto"/>
          <w:highlight w:val="none"/>
        </w:rPr>
        <w:t>26.履约保证金</w:t>
      </w:r>
    </w:p>
    <w:p w14:paraId="478B3A76">
      <w:pPr>
        <w:pStyle w:val="6"/>
        <w:adjustRightInd w:val="0"/>
        <w:snapToGrid w:val="0"/>
        <w:ind w:left="0" w:firstLine="480" w:firstLineChars="200"/>
        <w:rPr>
          <w:rFonts w:ascii="宋体" w:hAnsi="宋体" w:eastAsia="宋体"/>
          <w:b w:val="0"/>
          <w:bCs w:val="0"/>
          <w:color w:val="auto"/>
          <w:sz w:val="24"/>
          <w:szCs w:val="24"/>
          <w:highlight w:val="none"/>
          <w:lang w:val="en-US"/>
        </w:rPr>
      </w:pPr>
      <w:r>
        <w:rPr>
          <w:rFonts w:hint="eastAsia" w:ascii="宋体" w:hAnsi="宋体" w:eastAsia="宋体"/>
          <w:b w:val="0"/>
          <w:bCs w:val="0"/>
          <w:color w:val="auto"/>
          <w:sz w:val="24"/>
          <w:szCs w:val="24"/>
          <w:highlight w:val="none"/>
          <w:lang w:val="en-US"/>
        </w:rPr>
        <w:t>本项目不收履约保证金。</w:t>
      </w:r>
    </w:p>
    <w:p w14:paraId="03A9B814">
      <w:pPr>
        <w:pStyle w:val="6"/>
        <w:adjustRightInd w:val="0"/>
        <w:snapToGrid w:val="0"/>
        <w:ind w:left="105" w:leftChars="50" w:firstLine="361" w:firstLineChars="150"/>
        <w:rPr>
          <w:color w:val="auto"/>
          <w:highlight w:val="none"/>
        </w:rPr>
      </w:pPr>
      <w:r>
        <w:rPr>
          <w:rFonts w:ascii="宋体" w:hAnsi="宋体" w:eastAsia="宋体"/>
          <w:color w:val="auto"/>
          <w:sz w:val="24"/>
          <w:highlight w:val="none"/>
          <w:lang w:val="en-US"/>
        </w:rPr>
        <w:t>27.预付款</w:t>
      </w:r>
    </w:p>
    <w:p w14:paraId="2689567A">
      <w:pPr>
        <w:snapToGrid w:val="0"/>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8391769">
      <w:pPr>
        <w:pStyle w:val="6"/>
        <w:adjustRightInd w:val="0"/>
        <w:snapToGrid w:val="0"/>
        <w:ind w:left="105" w:leftChars="50" w:firstLine="361" w:firstLineChars="150"/>
        <w:rPr>
          <w:rFonts w:ascii="宋体" w:hAnsi="宋体" w:eastAsia="宋体"/>
          <w:color w:val="auto"/>
          <w:sz w:val="24"/>
          <w:highlight w:val="none"/>
          <w:lang w:val="en-US"/>
        </w:rPr>
      </w:pPr>
    </w:p>
    <w:p w14:paraId="5DA6E7A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0868224">
      <w:pPr>
        <w:pStyle w:val="131"/>
        <w:snapToGrid w:val="0"/>
        <w:spacing w:before="0"/>
        <w:ind w:firstLine="482"/>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37D2E3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4C13DB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04227F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5BACE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2DF94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29CDCE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538180C">
      <w:pPr>
        <w:pStyle w:val="26"/>
        <w:snapToGrid w:val="0"/>
        <w:spacing w:line="360" w:lineRule="auto"/>
        <w:ind w:firstLine="0" w:firstLineChars="0"/>
        <w:rPr>
          <w:rFonts w:cs="宋体"/>
          <w:b/>
          <w:color w:val="auto"/>
          <w:highlight w:val="none"/>
        </w:rPr>
      </w:pPr>
    </w:p>
    <w:p w14:paraId="72B4A3D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94F33A">
      <w:pPr>
        <w:pStyle w:val="26"/>
        <w:snapToGrid w:val="0"/>
        <w:spacing w:line="360" w:lineRule="auto"/>
        <w:ind w:firstLine="482"/>
        <w:rPr>
          <w:rFonts w:cs="宋体"/>
          <w:b/>
          <w:color w:val="auto"/>
          <w:highlight w:val="none"/>
        </w:rPr>
      </w:pPr>
      <w:r>
        <w:rPr>
          <w:rFonts w:hint="eastAsia" w:cs="宋体"/>
          <w:b/>
          <w:color w:val="auto"/>
          <w:highlight w:val="none"/>
        </w:rPr>
        <w:t>30.验收</w:t>
      </w:r>
    </w:p>
    <w:p w14:paraId="634CC1D5">
      <w:pPr>
        <w:tabs>
          <w:tab w:val="left" w:pos="0"/>
        </w:tabs>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06D738">
      <w:pPr>
        <w:tabs>
          <w:tab w:val="left" w:pos="0"/>
        </w:tabs>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79D4070">
      <w:pPr>
        <w:tabs>
          <w:tab w:val="left" w:pos="0"/>
        </w:tabs>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E8C387C">
      <w:pPr>
        <w:tabs>
          <w:tab w:val="left" w:pos="0"/>
        </w:tabs>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970059">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30.5</w:t>
      </w:r>
      <w:r>
        <w:rPr>
          <w:rFonts w:hint="eastAsia" w:ascii="宋体" w:hAnsi="宋体" w:eastAsia="宋体" w:cs="宋体"/>
          <w:b w:val="0"/>
          <w:bCs w:val="0"/>
          <w:color w:val="auto"/>
          <w:kern w:val="0"/>
          <w:sz w:val="24"/>
          <w:szCs w:val="24"/>
          <w:highlight w:val="none"/>
          <w:lang w:val="en-US"/>
        </w:rPr>
        <w:t>对于满足合同约定的采购资金支付条件的，供应商可通过政采云平台提起在线支付申请、查询支付结果，路径为政采云</w:t>
      </w:r>
      <w:r>
        <w:rPr>
          <w:rFonts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rPr>
        <w:t>合同管理</w:t>
      </w:r>
      <w:r>
        <w:rPr>
          <w:rFonts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rPr>
        <w:t>人应当按规定做好审核并完成支付。</w:t>
      </w:r>
    </w:p>
    <w:p w14:paraId="347529E3">
      <w:pPr>
        <w:pStyle w:val="80"/>
        <w:rPr>
          <w:color w:val="auto"/>
          <w:highlight w:val="none"/>
        </w:rPr>
      </w:pPr>
    </w:p>
    <w:bookmarkEnd w:id="13"/>
    <w:p w14:paraId="35CC50E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101"/>
      <w:bookmarkEnd w:id="16"/>
      <w:bookmarkStart w:id="17" w:name="_Hlt68403820"/>
      <w:bookmarkEnd w:id="17"/>
      <w:bookmarkStart w:id="18" w:name="_Hlt75236011"/>
      <w:bookmarkEnd w:id="18"/>
      <w:bookmarkStart w:id="19" w:name="_Hlt68072990"/>
      <w:bookmarkEnd w:id="19"/>
      <w:bookmarkStart w:id="20" w:name="_Hlt75236290"/>
      <w:bookmarkEnd w:id="20"/>
      <w:bookmarkStart w:id="21" w:name="_Hlt68072998"/>
      <w:bookmarkEnd w:id="21"/>
      <w:bookmarkStart w:id="22" w:name="_Hlt68073093"/>
      <w:bookmarkEnd w:id="22"/>
      <w:bookmarkStart w:id="23" w:name="_Hlt74730295"/>
      <w:bookmarkEnd w:id="23"/>
      <w:bookmarkStart w:id="24" w:name="_Hlt74729768"/>
      <w:bookmarkEnd w:id="24"/>
      <w:bookmarkStart w:id="25" w:name="_Hlt74707468"/>
      <w:bookmarkEnd w:id="25"/>
      <w:bookmarkStart w:id="26" w:name="_Hlt74714665"/>
      <w:bookmarkEnd w:id="26"/>
    </w:p>
    <w:bookmarkEnd w:id="11"/>
    <w:bookmarkEnd w:id="12"/>
    <w:p w14:paraId="2900B152">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64C2DB6">
      <w:pPr>
        <w:snapToGrid w:val="0"/>
        <w:spacing w:line="360" w:lineRule="auto"/>
        <w:ind w:firstLine="482" w:firstLineChars="200"/>
        <w:jc w:val="left"/>
        <w:outlineLvl w:val="1"/>
        <w:rPr>
          <w:rFonts w:ascii="宋体" w:hAnsi="宋体" w:cs="宋体"/>
          <w:b/>
          <w:bCs/>
          <w:color w:val="auto"/>
          <w:sz w:val="24"/>
          <w:highlight w:val="none"/>
        </w:rPr>
      </w:pPr>
      <w:r>
        <w:rPr>
          <w:rFonts w:hint="eastAsia" w:ascii="宋体" w:hAnsi="宋体" w:cs="宋体"/>
          <w:b/>
          <w:bCs/>
          <w:color w:val="auto"/>
          <w:sz w:val="24"/>
          <w:highlight w:val="none"/>
          <w:lang w:bidi="ar"/>
        </w:rPr>
        <w:t>一、项目名称及简要说明</w:t>
      </w:r>
    </w:p>
    <w:p w14:paraId="6A9E5BD5">
      <w:pPr>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（一）项目名称：玉皇山景区、万松书院、爱情诗路清卫保洁服务</w:t>
      </w:r>
    </w:p>
    <w:p w14:paraId="6678629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（二）简要说明：玉皇山景区、万松书院、爱情诗路清卫保洁服务，具体情况以现场勘察为准。预算金额为742500.00元。</w:t>
      </w:r>
    </w:p>
    <w:p w14:paraId="59ECB052">
      <w:pPr>
        <w:snapToGrid w:val="0"/>
        <w:spacing w:line="360" w:lineRule="auto"/>
        <w:ind w:firstLine="482" w:firstLineChars="200"/>
        <w:jc w:val="left"/>
        <w:outlineLvl w:val="1"/>
        <w:rPr>
          <w:rFonts w:ascii="宋体" w:hAnsi="宋体" w:cs="宋体"/>
          <w:b/>
          <w:bCs/>
          <w:color w:val="auto"/>
          <w:sz w:val="24"/>
          <w:highlight w:val="none"/>
          <w:lang w:bidi="ar"/>
        </w:rPr>
      </w:pPr>
      <w:r>
        <w:rPr>
          <w:rFonts w:hint="eastAsia" w:ascii="宋体" w:hAnsi="宋体" w:cs="宋体"/>
          <w:b/>
          <w:bCs/>
          <w:color w:val="auto"/>
          <w:sz w:val="24"/>
          <w:highlight w:val="none"/>
          <w:lang w:bidi="ar"/>
        </w:rPr>
        <w:t>二、采购内容及具体要求</w:t>
      </w:r>
    </w:p>
    <w:p w14:paraId="57F2D6AE">
      <w:pPr>
        <w:tabs>
          <w:tab w:val="left" w:pos="0"/>
        </w:tabs>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（一）清卫保洁范围及内容</w:t>
      </w:r>
    </w:p>
    <w:p w14:paraId="2091BBBE">
      <w:pPr>
        <w:tabs>
          <w:tab w:val="left" w:pos="0"/>
        </w:tabs>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1.玉皇山景区（包括玉皇山山南景区）及管理处辖区内除九曜山、吴山景区以外的所有山林游步道、山林便道及两侧绿地可视范围内等区域的清卫保洁工作，总面积约14.3万平方米。其中山林绿带面积60296.8m2, 玉皇山盘山公路及两侧绿带面积33840m2,游步道、停车场、休息亭、硬质铺装和景点等面积38347.9m2，山林便道面积10633.5m2。</w:t>
      </w:r>
    </w:p>
    <w:p w14:paraId="268EF196">
      <w:pPr>
        <w:tabs>
          <w:tab w:val="left" w:pos="0"/>
        </w:tabs>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 万松书院、爱情诗路区域、万松岭路绿带等区域的清卫保洁工作，总面积约7.38万平方米。其中公园景点绿地46383.5m2，水面892m2，硬质铺装19786.6m2 ，万松岭路（南山路至万松书院段）南侧绿带（含分车带）6722m2。</w:t>
      </w:r>
    </w:p>
    <w:p w14:paraId="61978846">
      <w:pPr>
        <w:tabs>
          <w:tab w:val="left" w:pos="0"/>
        </w:tabs>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3．玉皇山景区、万松书院内公厕保洁：分别为紫来洞公厕、天龙寺公厕、五代石刻公厕、林海亭公厕、正谊堂公厕、芷兰轩公厕、毓秀阁公厕。</w:t>
      </w:r>
    </w:p>
    <w:p w14:paraId="14CD1148">
      <w:pPr>
        <w:tabs>
          <w:tab w:val="left" w:pos="0"/>
        </w:tabs>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4.玉皇山景区、万松书院内的城市家具保洁：包括园椅、果壳箱、塑料垃圾桶、园灯、导游牌系列（导游牌、指路牌、景点说明牌）、电箱、音响、盘山公路反光镜等。</w:t>
      </w:r>
    </w:p>
    <w:p w14:paraId="71F70FBA">
      <w:pPr>
        <w:tabs>
          <w:tab w:val="left" w:pos="0"/>
        </w:tabs>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（二）清卫保洁人员要求</w:t>
      </w:r>
    </w:p>
    <w:p w14:paraId="40ADDA74">
      <w:pPr>
        <w:autoSpaceDE w:val="0"/>
        <w:autoSpaceDN w:val="0"/>
        <w:snapToGri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清卫人员岗位设置</w:t>
      </w:r>
    </w:p>
    <w:tbl>
      <w:tblPr>
        <w:tblStyle w:val="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
        <w:gridCol w:w="6241"/>
        <w:gridCol w:w="611"/>
        <w:gridCol w:w="1537"/>
      </w:tblGrid>
      <w:tr w14:paraId="084E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blHeader/>
        </w:trPr>
        <w:tc>
          <w:tcPr>
            <w:tcW w:w="479" w:type="pct"/>
            <w:vAlign w:val="center"/>
          </w:tcPr>
          <w:p w14:paraId="477B8B25">
            <w:pPr>
              <w:snapToGri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区域</w:t>
            </w:r>
          </w:p>
        </w:tc>
        <w:tc>
          <w:tcPr>
            <w:tcW w:w="3360" w:type="pct"/>
            <w:vAlign w:val="center"/>
          </w:tcPr>
          <w:p w14:paraId="223185D4">
            <w:pPr>
              <w:snapToGri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岗位</w:t>
            </w:r>
          </w:p>
        </w:tc>
        <w:tc>
          <w:tcPr>
            <w:tcW w:w="328" w:type="pct"/>
            <w:vAlign w:val="center"/>
          </w:tcPr>
          <w:p w14:paraId="464B3A59">
            <w:pPr>
              <w:snapToGrid w:val="0"/>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833" w:type="pct"/>
            <w:vAlign w:val="center"/>
          </w:tcPr>
          <w:p w14:paraId="66E4CB14">
            <w:pPr>
              <w:snapToGrid w:val="0"/>
              <w:rPr>
                <w:rFonts w:ascii="宋体" w:hAnsi="宋体" w:cs="宋体"/>
                <w:b/>
                <w:color w:val="auto"/>
                <w:kern w:val="0"/>
                <w:sz w:val="24"/>
                <w:highlight w:val="none"/>
              </w:rPr>
            </w:pPr>
            <w:r>
              <w:rPr>
                <w:rFonts w:hint="eastAsia" w:ascii="宋体" w:hAnsi="宋体" w:cs="宋体"/>
                <w:b/>
                <w:color w:val="auto"/>
                <w:kern w:val="0"/>
                <w:sz w:val="24"/>
                <w:highlight w:val="none"/>
              </w:rPr>
              <w:t>工作时间</w:t>
            </w:r>
          </w:p>
        </w:tc>
      </w:tr>
      <w:tr w14:paraId="3DEF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restart"/>
            <w:vAlign w:val="center"/>
          </w:tcPr>
          <w:p w14:paraId="0B7ACA62">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玉皇山景区</w:t>
            </w:r>
          </w:p>
        </w:tc>
        <w:tc>
          <w:tcPr>
            <w:tcW w:w="3411" w:type="pct"/>
            <w:vAlign w:val="center"/>
          </w:tcPr>
          <w:p w14:paraId="4F8A972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林海亭广场→玉皇山检票亭→公共自行车点的道路及两侧绿带→林海亭公厕、游步道（林海亭起至第一个盘山公路止）</w:t>
            </w:r>
          </w:p>
        </w:tc>
        <w:tc>
          <w:tcPr>
            <w:tcW w:w="378" w:type="pct"/>
            <w:vAlign w:val="center"/>
          </w:tcPr>
          <w:p w14:paraId="08B47C09">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restart"/>
            <w:vAlign w:val="center"/>
          </w:tcPr>
          <w:p w14:paraId="7FE12A66">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6:30—16:30</w:t>
            </w:r>
          </w:p>
          <w:p w14:paraId="35B7A25C">
            <w:pPr>
              <w:snapToGrid w:val="0"/>
              <w:jc w:val="center"/>
              <w:rPr>
                <w:rFonts w:ascii="宋体" w:hAnsi="宋体" w:cs="宋体"/>
                <w:color w:val="auto"/>
                <w:kern w:val="0"/>
                <w:sz w:val="24"/>
                <w:highlight w:val="none"/>
              </w:rPr>
            </w:pPr>
          </w:p>
          <w:p w14:paraId="148F8EF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用餐时间2小时</w:t>
            </w:r>
          </w:p>
        </w:tc>
      </w:tr>
      <w:tr w14:paraId="0498C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vAlign w:val="center"/>
          </w:tcPr>
          <w:p w14:paraId="6A0E6AF1">
            <w:pPr>
              <w:snapToGrid w:val="0"/>
              <w:jc w:val="center"/>
              <w:rPr>
                <w:rFonts w:ascii="宋体" w:hAnsi="宋体" w:cs="宋体"/>
                <w:color w:val="auto"/>
                <w:kern w:val="0"/>
                <w:sz w:val="24"/>
                <w:highlight w:val="none"/>
              </w:rPr>
            </w:pPr>
          </w:p>
        </w:tc>
        <w:tc>
          <w:tcPr>
            <w:tcW w:w="3411" w:type="pct"/>
            <w:vAlign w:val="center"/>
          </w:tcPr>
          <w:p w14:paraId="7FFD37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处办公楼内部卫生保洁（包括办公楼两处公厕）</w:t>
            </w:r>
          </w:p>
        </w:tc>
        <w:tc>
          <w:tcPr>
            <w:tcW w:w="378" w:type="pct"/>
            <w:vAlign w:val="center"/>
          </w:tcPr>
          <w:p w14:paraId="3AB83F89">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continue"/>
            <w:vAlign w:val="center"/>
          </w:tcPr>
          <w:p w14:paraId="5F329F77">
            <w:pPr>
              <w:snapToGrid w:val="0"/>
              <w:jc w:val="center"/>
              <w:rPr>
                <w:rFonts w:ascii="宋体" w:hAnsi="宋体" w:cs="宋体"/>
                <w:color w:val="auto"/>
                <w:kern w:val="0"/>
                <w:sz w:val="24"/>
                <w:highlight w:val="none"/>
              </w:rPr>
            </w:pPr>
          </w:p>
        </w:tc>
      </w:tr>
      <w:tr w14:paraId="74972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vAlign w:val="center"/>
          </w:tcPr>
          <w:p w14:paraId="7EBE384A">
            <w:pPr>
              <w:snapToGrid w:val="0"/>
              <w:jc w:val="center"/>
              <w:rPr>
                <w:rFonts w:ascii="宋体" w:hAnsi="宋体" w:cs="宋体"/>
                <w:color w:val="auto"/>
                <w:kern w:val="0"/>
                <w:sz w:val="24"/>
                <w:highlight w:val="none"/>
              </w:rPr>
            </w:pPr>
          </w:p>
        </w:tc>
        <w:tc>
          <w:tcPr>
            <w:tcW w:w="3411" w:type="pct"/>
            <w:vAlign w:val="center"/>
          </w:tcPr>
          <w:p w14:paraId="40A239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游步道南复路入口处→老玉皇宫→老玉皇宫下坎游步道与盘山公路交叉口（包括五代石刻的公厕保洁、五代石刻）→紫来洞停车场、游步道（老玉皇宫至紫来洞停车场）</w:t>
            </w:r>
          </w:p>
        </w:tc>
        <w:tc>
          <w:tcPr>
            <w:tcW w:w="378" w:type="pct"/>
            <w:vAlign w:val="center"/>
          </w:tcPr>
          <w:p w14:paraId="75D3F5DA">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continue"/>
            <w:vAlign w:val="center"/>
          </w:tcPr>
          <w:p w14:paraId="79B8208E">
            <w:pPr>
              <w:snapToGrid w:val="0"/>
              <w:jc w:val="center"/>
              <w:rPr>
                <w:rFonts w:ascii="宋体" w:hAnsi="宋体" w:cs="宋体"/>
                <w:color w:val="auto"/>
                <w:kern w:val="0"/>
                <w:sz w:val="24"/>
                <w:highlight w:val="none"/>
              </w:rPr>
            </w:pPr>
          </w:p>
        </w:tc>
      </w:tr>
      <w:tr w14:paraId="35EE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vAlign w:val="center"/>
          </w:tcPr>
          <w:p w14:paraId="100903C5">
            <w:pPr>
              <w:snapToGrid w:val="0"/>
              <w:jc w:val="center"/>
              <w:rPr>
                <w:rFonts w:ascii="宋体" w:hAnsi="宋体" w:cs="宋体"/>
                <w:color w:val="auto"/>
                <w:kern w:val="0"/>
                <w:sz w:val="24"/>
                <w:highlight w:val="none"/>
              </w:rPr>
            </w:pPr>
          </w:p>
        </w:tc>
        <w:tc>
          <w:tcPr>
            <w:tcW w:w="3411" w:type="pct"/>
            <w:vAlign w:val="center"/>
          </w:tcPr>
          <w:p w14:paraId="03C0B6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紫来洞两处平台保洁、紫来洞公厕保洁及至七星缸的游步道→七星缸景点和毛竹园、游步道（紫来洞停车场→山顶老票房的盘山公路）</w:t>
            </w:r>
          </w:p>
        </w:tc>
        <w:tc>
          <w:tcPr>
            <w:tcW w:w="378" w:type="pct"/>
            <w:vAlign w:val="center"/>
          </w:tcPr>
          <w:p w14:paraId="1C9B5D3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continue"/>
            <w:vAlign w:val="center"/>
          </w:tcPr>
          <w:p w14:paraId="308EB8AD">
            <w:pPr>
              <w:snapToGrid w:val="0"/>
              <w:jc w:val="center"/>
              <w:rPr>
                <w:rFonts w:ascii="宋体" w:hAnsi="宋体" w:cs="宋体"/>
                <w:color w:val="auto"/>
                <w:kern w:val="0"/>
                <w:sz w:val="24"/>
                <w:highlight w:val="none"/>
              </w:rPr>
            </w:pPr>
          </w:p>
        </w:tc>
      </w:tr>
      <w:tr w14:paraId="2741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vAlign w:val="center"/>
          </w:tcPr>
          <w:p w14:paraId="41001867">
            <w:pPr>
              <w:snapToGrid w:val="0"/>
              <w:jc w:val="center"/>
              <w:rPr>
                <w:rFonts w:ascii="宋体" w:hAnsi="宋体" w:cs="宋体"/>
                <w:color w:val="auto"/>
                <w:kern w:val="0"/>
                <w:sz w:val="24"/>
                <w:highlight w:val="none"/>
              </w:rPr>
            </w:pPr>
          </w:p>
        </w:tc>
        <w:tc>
          <w:tcPr>
            <w:tcW w:w="3411" w:type="pct"/>
            <w:vAlign w:val="center"/>
          </w:tcPr>
          <w:p w14:paraId="0895599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玉皇山顶周边→天一池和山顶停车场(盘山公路)→紫来洞停车场（盘山公路）</w:t>
            </w:r>
          </w:p>
        </w:tc>
        <w:tc>
          <w:tcPr>
            <w:tcW w:w="378" w:type="pct"/>
            <w:vAlign w:val="center"/>
          </w:tcPr>
          <w:p w14:paraId="454B01B5">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continue"/>
            <w:vAlign w:val="center"/>
          </w:tcPr>
          <w:p w14:paraId="284C8985">
            <w:pPr>
              <w:snapToGrid w:val="0"/>
              <w:jc w:val="center"/>
              <w:rPr>
                <w:rFonts w:ascii="宋体" w:hAnsi="宋体" w:cs="宋体"/>
                <w:color w:val="auto"/>
                <w:kern w:val="0"/>
                <w:sz w:val="24"/>
                <w:highlight w:val="none"/>
              </w:rPr>
            </w:pPr>
          </w:p>
        </w:tc>
      </w:tr>
      <w:tr w14:paraId="7A6C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vAlign w:val="center"/>
          </w:tcPr>
          <w:p w14:paraId="42408BD3">
            <w:pPr>
              <w:snapToGrid w:val="0"/>
              <w:jc w:val="center"/>
              <w:rPr>
                <w:rFonts w:ascii="宋体" w:hAnsi="宋体" w:cs="宋体"/>
                <w:color w:val="auto"/>
                <w:kern w:val="0"/>
                <w:sz w:val="24"/>
                <w:highlight w:val="none"/>
              </w:rPr>
            </w:pPr>
          </w:p>
        </w:tc>
        <w:tc>
          <w:tcPr>
            <w:tcW w:w="3411" w:type="pct"/>
            <w:vAlign w:val="center"/>
          </w:tcPr>
          <w:p w14:paraId="213F22E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盘山公路（玉皇山正门口至紫来洞停车场）</w:t>
            </w:r>
          </w:p>
        </w:tc>
        <w:tc>
          <w:tcPr>
            <w:tcW w:w="378" w:type="pct"/>
            <w:vAlign w:val="center"/>
          </w:tcPr>
          <w:p w14:paraId="6C4213F2">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continue"/>
            <w:vAlign w:val="center"/>
          </w:tcPr>
          <w:p w14:paraId="464D9E20">
            <w:pPr>
              <w:snapToGrid w:val="0"/>
              <w:jc w:val="center"/>
              <w:rPr>
                <w:rFonts w:ascii="宋体" w:hAnsi="宋体" w:cs="宋体"/>
                <w:color w:val="auto"/>
                <w:kern w:val="0"/>
                <w:sz w:val="24"/>
                <w:highlight w:val="none"/>
              </w:rPr>
            </w:pPr>
          </w:p>
        </w:tc>
      </w:tr>
      <w:tr w14:paraId="2FB78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vAlign w:val="center"/>
          </w:tcPr>
          <w:p w14:paraId="767845E6">
            <w:pPr>
              <w:snapToGrid w:val="0"/>
              <w:jc w:val="center"/>
              <w:rPr>
                <w:rFonts w:ascii="宋体" w:hAnsi="宋体" w:cs="宋体"/>
                <w:color w:val="auto"/>
                <w:kern w:val="0"/>
                <w:sz w:val="24"/>
                <w:highlight w:val="none"/>
              </w:rPr>
            </w:pPr>
          </w:p>
        </w:tc>
        <w:tc>
          <w:tcPr>
            <w:tcW w:w="3411" w:type="pct"/>
            <w:vAlign w:val="center"/>
          </w:tcPr>
          <w:p w14:paraId="5C430A7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天龙寺、天龙寺侧门至停车场的保洁、望海亭保洁，游步道(天龙寺、白云庵门票和盘山公路间游步道)、八卦田15亩、171号县令碑</w:t>
            </w:r>
          </w:p>
        </w:tc>
        <w:tc>
          <w:tcPr>
            <w:tcW w:w="378" w:type="pct"/>
            <w:vAlign w:val="center"/>
          </w:tcPr>
          <w:p w14:paraId="12BDA6B5">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continue"/>
            <w:vAlign w:val="center"/>
          </w:tcPr>
          <w:p w14:paraId="378EFDB4">
            <w:pPr>
              <w:snapToGrid w:val="0"/>
              <w:jc w:val="center"/>
              <w:rPr>
                <w:rFonts w:ascii="宋体" w:hAnsi="宋体" w:cs="宋体"/>
                <w:color w:val="auto"/>
                <w:kern w:val="0"/>
                <w:sz w:val="24"/>
                <w:highlight w:val="none"/>
              </w:rPr>
            </w:pPr>
          </w:p>
        </w:tc>
      </w:tr>
      <w:tr w14:paraId="0B787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continue"/>
            <w:vAlign w:val="center"/>
          </w:tcPr>
          <w:p w14:paraId="2A1CEEDB">
            <w:pPr>
              <w:snapToGrid w:val="0"/>
              <w:jc w:val="center"/>
              <w:rPr>
                <w:rFonts w:ascii="宋体" w:hAnsi="宋体" w:cs="宋体"/>
                <w:color w:val="auto"/>
                <w:kern w:val="0"/>
                <w:sz w:val="24"/>
                <w:highlight w:val="none"/>
              </w:rPr>
            </w:pPr>
          </w:p>
        </w:tc>
        <w:tc>
          <w:tcPr>
            <w:tcW w:w="3411" w:type="pct"/>
            <w:vAlign w:val="center"/>
          </w:tcPr>
          <w:p w14:paraId="31BF352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樱花地→潜龙池平台→天真亭、天真山横路→吴越郊坛区域</w:t>
            </w:r>
          </w:p>
        </w:tc>
        <w:tc>
          <w:tcPr>
            <w:tcW w:w="378" w:type="pct"/>
            <w:vAlign w:val="center"/>
          </w:tcPr>
          <w:p w14:paraId="63083161">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681" w:type="pct"/>
            <w:vMerge w:val="continue"/>
            <w:vAlign w:val="center"/>
          </w:tcPr>
          <w:p w14:paraId="2B194FF2">
            <w:pPr>
              <w:snapToGrid w:val="0"/>
              <w:jc w:val="center"/>
              <w:rPr>
                <w:rFonts w:ascii="宋体" w:hAnsi="宋体" w:cs="宋体"/>
                <w:color w:val="auto"/>
                <w:kern w:val="0"/>
                <w:sz w:val="24"/>
                <w:highlight w:val="none"/>
              </w:rPr>
            </w:pPr>
          </w:p>
        </w:tc>
      </w:tr>
      <w:tr w14:paraId="6C1F7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Align w:val="center"/>
          </w:tcPr>
          <w:p w14:paraId="1F086EB6">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风景 山林</w:t>
            </w:r>
          </w:p>
        </w:tc>
        <w:tc>
          <w:tcPr>
            <w:tcW w:w="3411" w:type="pct"/>
            <w:vAlign w:val="center"/>
          </w:tcPr>
          <w:p w14:paraId="0FEDE88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风景山林</w:t>
            </w:r>
          </w:p>
        </w:tc>
        <w:tc>
          <w:tcPr>
            <w:tcW w:w="378" w:type="pct"/>
            <w:vAlign w:val="center"/>
          </w:tcPr>
          <w:p w14:paraId="13526F9A">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2工</w:t>
            </w:r>
          </w:p>
        </w:tc>
        <w:tc>
          <w:tcPr>
            <w:tcW w:w="681" w:type="pct"/>
            <w:vAlign w:val="center"/>
          </w:tcPr>
          <w:p w14:paraId="08381C5C">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7:30—16:30</w:t>
            </w:r>
          </w:p>
          <w:p w14:paraId="7D249861">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用餐1小时</w:t>
            </w:r>
          </w:p>
        </w:tc>
      </w:tr>
      <w:tr w14:paraId="21AA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0" w:type="pct"/>
            <w:vMerge w:val="restart"/>
            <w:vAlign w:val="center"/>
          </w:tcPr>
          <w:p w14:paraId="41A8E80E">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万松书院区块</w:t>
            </w:r>
          </w:p>
        </w:tc>
        <w:tc>
          <w:tcPr>
            <w:tcW w:w="3411" w:type="pct"/>
            <w:vAlign w:val="center"/>
          </w:tcPr>
          <w:p w14:paraId="5F1CEAA6">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公园入口处硬质铺装地至公园中轴线至大成殿出口处铺装地（兼顾殿内陈设擦洗））一万松师表</w:t>
            </w:r>
          </w:p>
        </w:tc>
        <w:tc>
          <w:tcPr>
            <w:tcW w:w="378" w:type="pct"/>
            <w:vAlign w:val="center"/>
          </w:tcPr>
          <w:p w14:paraId="14256601">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681" w:type="pct"/>
            <w:vMerge w:val="restart"/>
            <w:vAlign w:val="center"/>
          </w:tcPr>
          <w:p w14:paraId="1EA5261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w:t>
            </w:r>
            <w:r>
              <w:rPr>
                <w:rFonts w:ascii="宋体" w:hAnsi="宋体" w:cs="宋体"/>
                <w:color w:val="auto"/>
                <w:kern w:val="0"/>
                <w:sz w:val="24"/>
                <w:highlight w:val="none"/>
              </w:rPr>
              <w:t>:</w:t>
            </w:r>
            <w:r>
              <w:rPr>
                <w:rFonts w:hint="eastAsia" w:ascii="宋体" w:hAnsi="宋体" w:cs="宋体"/>
                <w:color w:val="auto"/>
                <w:kern w:val="0"/>
                <w:sz w:val="24"/>
                <w:highlight w:val="none"/>
              </w:rPr>
              <w:t>0</w:t>
            </w:r>
            <w:r>
              <w:rPr>
                <w:rFonts w:ascii="宋体" w:hAnsi="宋体" w:cs="宋体"/>
                <w:color w:val="auto"/>
                <w:kern w:val="0"/>
                <w:sz w:val="24"/>
                <w:highlight w:val="none"/>
              </w:rPr>
              <w:t>0—17:00</w:t>
            </w:r>
          </w:p>
          <w:p w14:paraId="25D118D3">
            <w:pPr>
              <w:snapToGrid w:val="0"/>
              <w:jc w:val="center"/>
              <w:rPr>
                <w:rFonts w:ascii="宋体" w:hAnsi="宋体" w:cs="宋体"/>
                <w:color w:val="auto"/>
                <w:kern w:val="0"/>
                <w:sz w:val="24"/>
                <w:highlight w:val="none"/>
              </w:rPr>
            </w:pPr>
          </w:p>
          <w:p w14:paraId="5DB5A968">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用餐时间2小时</w:t>
            </w:r>
          </w:p>
        </w:tc>
      </w:tr>
      <w:tr w14:paraId="3D3E9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78ED3603">
            <w:pPr>
              <w:snapToGrid w:val="0"/>
              <w:jc w:val="center"/>
              <w:rPr>
                <w:rFonts w:ascii="宋体" w:hAnsi="宋体" w:cs="宋体"/>
                <w:color w:val="auto"/>
                <w:kern w:val="0"/>
                <w:sz w:val="24"/>
                <w:highlight w:val="none"/>
              </w:rPr>
            </w:pPr>
          </w:p>
        </w:tc>
        <w:tc>
          <w:tcPr>
            <w:tcW w:w="3360" w:type="pct"/>
            <w:vAlign w:val="center"/>
          </w:tcPr>
          <w:p w14:paraId="1B5B1EE4">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公园出口处→芷来轩周边区域（含芷来轩公厕） →半池区域→于子山墓至书院的最东侧的山路→万世师表平台→万世师表西侧小路至石林至最西侧的园路</w:t>
            </w:r>
          </w:p>
        </w:tc>
        <w:tc>
          <w:tcPr>
            <w:tcW w:w="328" w:type="pct"/>
            <w:vAlign w:val="center"/>
          </w:tcPr>
          <w:p w14:paraId="572ACA43">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33CAA25E">
            <w:pPr>
              <w:snapToGrid w:val="0"/>
              <w:jc w:val="center"/>
              <w:rPr>
                <w:rFonts w:ascii="宋体" w:hAnsi="宋体" w:cs="宋体"/>
                <w:b/>
                <w:color w:val="auto"/>
                <w:kern w:val="0"/>
                <w:sz w:val="24"/>
                <w:highlight w:val="none"/>
              </w:rPr>
            </w:pPr>
          </w:p>
        </w:tc>
      </w:tr>
      <w:tr w14:paraId="1452A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30E506DB">
            <w:pPr>
              <w:snapToGrid w:val="0"/>
              <w:jc w:val="center"/>
              <w:rPr>
                <w:rFonts w:ascii="宋体" w:hAnsi="宋体" w:cs="宋体"/>
                <w:color w:val="auto"/>
                <w:kern w:val="0"/>
                <w:sz w:val="24"/>
                <w:highlight w:val="none"/>
              </w:rPr>
            </w:pPr>
          </w:p>
        </w:tc>
        <w:tc>
          <w:tcPr>
            <w:tcW w:w="3360" w:type="pct"/>
            <w:vAlign w:val="center"/>
          </w:tcPr>
          <w:p w14:paraId="3936A3E8">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毓秀阁区域至存成阁至见湖亭区域（包括毓秀阁公厕及阁内陈设擦洗）→可汲亭一观音殿至正谊堂下方止（包括涉及的两块水域及殿内陈设擦洗）</w:t>
            </w:r>
          </w:p>
        </w:tc>
        <w:tc>
          <w:tcPr>
            <w:tcW w:w="328" w:type="pct"/>
            <w:vAlign w:val="center"/>
          </w:tcPr>
          <w:p w14:paraId="1EE407A5">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2384049B">
            <w:pPr>
              <w:snapToGrid w:val="0"/>
              <w:jc w:val="center"/>
              <w:rPr>
                <w:rFonts w:ascii="宋体" w:hAnsi="宋体" w:cs="宋体"/>
                <w:b/>
                <w:color w:val="auto"/>
                <w:kern w:val="0"/>
                <w:sz w:val="24"/>
                <w:highlight w:val="none"/>
              </w:rPr>
            </w:pPr>
          </w:p>
        </w:tc>
      </w:tr>
      <w:tr w14:paraId="05041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230B9225">
            <w:pPr>
              <w:snapToGrid w:val="0"/>
              <w:jc w:val="center"/>
              <w:rPr>
                <w:rFonts w:ascii="宋体" w:hAnsi="宋体" w:cs="宋体"/>
                <w:color w:val="auto"/>
                <w:kern w:val="0"/>
                <w:sz w:val="24"/>
                <w:highlight w:val="none"/>
              </w:rPr>
            </w:pPr>
          </w:p>
        </w:tc>
        <w:tc>
          <w:tcPr>
            <w:tcW w:w="3360" w:type="pct"/>
            <w:vAlign w:val="center"/>
          </w:tcPr>
          <w:p w14:paraId="1ECF9FD5">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中轴线西侧，双照井区域，朱嘉雕塑区域及通往见湖亭的园路→正谊堂区域（包括出口停车场通往正谊堂、正谊堂公厕、 堂内陈设、正谊堂通往见湖亭的园路）</w:t>
            </w:r>
          </w:p>
        </w:tc>
        <w:tc>
          <w:tcPr>
            <w:tcW w:w="328" w:type="pct"/>
            <w:vAlign w:val="center"/>
          </w:tcPr>
          <w:p w14:paraId="52A7AE7D">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3208AC02">
            <w:pPr>
              <w:snapToGrid w:val="0"/>
              <w:jc w:val="center"/>
              <w:rPr>
                <w:rFonts w:ascii="宋体" w:hAnsi="宋体" w:cs="宋体"/>
                <w:b/>
                <w:color w:val="auto"/>
                <w:kern w:val="0"/>
                <w:sz w:val="24"/>
                <w:highlight w:val="none"/>
              </w:rPr>
            </w:pPr>
          </w:p>
        </w:tc>
      </w:tr>
      <w:tr w14:paraId="3EF09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4EC7FBF3">
            <w:pPr>
              <w:snapToGrid w:val="0"/>
              <w:jc w:val="center"/>
              <w:rPr>
                <w:rFonts w:ascii="宋体" w:hAnsi="宋体" w:cs="宋体"/>
                <w:color w:val="auto"/>
                <w:kern w:val="0"/>
                <w:sz w:val="24"/>
                <w:highlight w:val="none"/>
              </w:rPr>
            </w:pPr>
          </w:p>
        </w:tc>
        <w:tc>
          <w:tcPr>
            <w:tcW w:w="3360" w:type="pct"/>
            <w:vAlign w:val="center"/>
          </w:tcPr>
          <w:p w14:paraId="186D85D7">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万松岭路的爱情诗路区域清卫保洁及万松岭路（南山路万松岭路口-万松书院正门）东南侧绿地清卫保洁</w:t>
            </w:r>
          </w:p>
        </w:tc>
        <w:tc>
          <w:tcPr>
            <w:tcW w:w="328" w:type="pct"/>
            <w:vAlign w:val="center"/>
          </w:tcPr>
          <w:p w14:paraId="3AD57086">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4C506288">
            <w:pPr>
              <w:snapToGrid w:val="0"/>
              <w:jc w:val="center"/>
              <w:rPr>
                <w:rFonts w:ascii="宋体" w:hAnsi="宋体" w:cs="宋体"/>
                <w:b/>
                <w:color w:val="auto"/>
                <w:kern w:val="0"/>
                <w:sz w:val="24"/>
                <w:highlight w:val="none"/>
              </w:rPr>
            </w:pPr>
          </w:p>
        </w:tc>
      </w:tr>
      <w:tr w14:paraId="70A2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35EEAD11">
            <w:pPr>
              <w:snapToGrid w:val="0"/>
              <w:jc w:val="center"/>
              <w:rPr>
                <w:rFonts w:ascii="宋体" w:hAnsi="宋体" w:cs="宋体"/>
                <w:color w:val="auto"/>
                <w:kern w:val="0"/>
                <w:sz w:val="24"/>
                <w:highlight w:val="none"/>
              </w:rPr>
            </w:pPr>
          </w:p>
        </w:tc>
        <w:tc>
          <w:tcPr>
            <w:tcW w:w="3360" w:type="pct"/>
            <w:vAlign w:val="center"/>
          </w:tcPr>
          <w:p w14:paraId="2CC2A535">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杭州师范大学玉皇山校区景点区块保洁</w:t>
            </w:r>
          </w:p>
        </w:tc>
        <w:tc>
          <w:tcPr>
            <w:tcW w:w="328" w:type="pct"/>
            <w:vAlign w:val="center"/>
          </w:tcPr>
          <w:p w14:paraId="641DB4A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65473C60">
            <w:pPr>
              <w:snapToGrid w:val="0"/>
              <w:jc w:val="center"/>
              <w:rPr>
                <w:rFonts w:ascii="宋体" w:hAnsi="宋体" w:cs="宋体"/>
                <w:b/>
                <w:color w:val="auto"/>
                <w:kern w:val="0"/>
                <w:sz w:val="24"/>
                <w:highlight w:val="none"/>
              </w:rPr>
            </w:pPr>
          </w:p>
        </w:tc>
      </w:tr>
      <w:tr w14:paraId="0AAC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Align w:val="center"/>
          </w:tcPr>
          <w:p w14:paraId="0F4CCDC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全区域</w:t>
            </w:r>
          </w:p>
        </w:tc>
        <w:tc>
          <w:tcPr>
            <w:tcW w:w="3360" w:type="pct"/>
            <w:vAlign w:val="center"/>
          </w:tcPr>
          <w:p w14:paraId="637362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玉皇山景区（含风景山林）、万松书院区块班长</w:t>
            </w:r>
          </w:p>
        </w:tc>
        <w:tc>
          <w:tcPr>
            <w:tcW w:w="328" w:type="pct"/>
            <w:vAlign w:val="center"/>
          </w:tcPr>
          <w:p w14:paraId="4E076DC8">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Align w:val="center"/>
          </w:tcPr>
          <w:p w14:paraId="61A14B14">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6:30—17:00</w:t>
            </w:r>
          </w:p>
        </w:tc>
      </w:tr>
    </w:tbl>
    <w:p w14:paraId="3B8A3959">
      <w:pPr>
        <w:autoSpaceDE w:val="0"/>
        <w:autoSpaceDN w:val="0"/>
        <w:snapToGrid w:val="0"/>
        <w:spacing w:line="360" w:lineRule="auto"/>
        <w:ind w:right="-210" w:firstLine="240" w:firstLineChars="100"/>
        <w:rPr>
          <w:rFonts w:ascii="宋体" w:hAnsi="宋体" w:cs="宋体"/>
          <w:b/>
          <w:bCs/>
          <w:color w:val="auto"/>
          <w:sz w:val="24"/>
          <w:highlight w:val="none"/>
          <w:lang w:val="zh-CN"/>
        </w:rPr>
      </w:pPr>
      <w:r>
        <w:rPr>
          <w:rFonts w:hint="eastAsia" w:ascii="宋体" w:hAnsi="宋体" w:cs="宋体"/>
          <w:color w:val="auto"/>
          <w:kern w:val="0"/>
          <w:sz w:val="24"/>
          <w:highlight w:val="none"/>
          <w:lang w:val="zh-CN"/>
        </w:rPr>
        <w:t>供应商</w:t>
      </w:r>
      <w:r>
        <w:rPr>
          <w:rFonts w:hint="eastAsia" w:ascii="宋体" w:hAnsi="宋体" w:cs="宋体"/>
          <w:color w:val="auto"/>
          <w:sz w:val="24"/>
          <w:highlight w:val="none"/>
          <w:lang w:val="zh-CN"/>
        </w:rPr>
        <w:t>在实施本项目时应确保日常清卫用工</w:t>
      </w:r>
      <w:r>
        <w:rPr>
          <w:rFonts w:hint="eastAsia" w:ascii="宋体" w:hAnsi="宋体" w:cs="宋体"/>
          <w:b/>
          <w:color w:val="auto"/>
          <w:sz w:val="24"/>
          <w:highlight w:val="none"/>
          <w:lang w:val="zh-CN"/>
        </w:rPr>
        <w:t>17工</w:t>
      </w:r>
      <w:r>
        <w:rPr>
          <w:rFonts w:hint="eastAsia" w:ascii="宋体" w:hAnsi="宋体" w:cs="宋体"/>
          <w:color w:val="auto"/>
          <w:sz w:val="24"/>
          <w:highlight w:val="none"/>
          <w:lang w:val="zh-CN"/>
        </w:rPr>
        <w:t>。重大节假日、旅游旺季期间，供应商应加派保洁人员，以确保清卫保洁质量，费用包含在合同总价之中，采购人无需额外支付。</w:t>
      </w:r>
    </w:p>
    <w:p w14:paraId="7F4CE864">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（三）清卫保洁服务要求</w:t>
      </w:r>
    </w:p>
    <w:p w14:paraId="02F03B36">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供应商必须安排至少1名清卫班长，负责所管辖区域内的清卫保洁、督查、工作协调及各级抄告问题整改及保洁工作安排等。清卫班长必须每天在岗巡回检查，并记好工作台帐。清卫班长如不能到岗，必须向招标单位管理人员请假。否则，按作业单位违约处理。</w:t>
      </w:r>
    </w:p>
    <w:p w14:paraId="4DFC9F4A">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清卫人员要做到四定（定人、定点、定范围、定责任），不得窜岗、缺岗和擅自离岗，交接班时间衔接到位。中午用餐需轮流安排。清卫人员上岗必须统一着装，佩带服务证，礼貌待人；上班时间严禁迟到、早退、喝酒、打瞌睡、扎堆聊天，不可捡可乐瓶等可回收垃圾，做与工作无关的事。</w:t>
      </w:r>
    </w:p>
    <w:p w14:paraId="01F78DF2">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收费景区开门售票前半小时前清扫干净，园内要求做到五无，即无积水和淤泥，无果壳和纸屑，无瓶罐和包装袋，无残花败叶，无隔夜垃圾。山林游步道必须在每天早上7时前清扫干净，每天全面清扫两次并巡回保洁，清扫中不得使用箩筐等无盖工具。</w:t>
      </w:r>
    </w:p>
    <w:p w14:paraId="15A4D28F">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4.建筑物、构筑物上无积尘，无污泥，无蛛网虫尸、张贴、杂物，无屋面草，陈设擦洗及时。</w:t>
      </w:r>
    </w:p>
    <w:p w14:paraId="29132EAD">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5.指路牌、导游牌、管理牌、门（廊）的匾额和楹联、雕塑、园椅、果壳箱、路灯、泛光照明等园内设施要定期安排擦洗，不得有积尘、污垢和蛛网。</w:t>
      </w:r>
    </w:p>
    <w:p w14:paraId="7241AA80">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6.水面保持清洁，不得有漂浮物，对一些容器景观水如七星缸要做到定期换水，能见底的水体无沉积物，无观赏价值的水草必须及时清除。</w:t>
      </w:r>
    </w:p>
    <w:p w14:paraId="48DEF36B">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7.负责做好园路、游步道及绿化带内的落叶清扫和铺装地内的杂草清除工作。</w:t>
      </w:r>
    </w:p>
    <w:p w14:paraId="6AF9CBB8">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8.垃圾房（桶）要保洁及时，安排专人管理，定期清洗，内外壁无明显污垢，垃圾桶摆放整齐，无残缺、破损，垃圾清运后应及时打扫，果壳箱垃圾日产日清，山林果壳箱内的垃圾必须统一清理到垃圾房内。</w:t>
      </w:r>
    </w:p>
    <w:p w14:paraId="40F6CEA7">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9.山林游步道两侧视线范围内有色垃圾必须清理干净。</w:t>
      </w:r>
    </w:p>
    <w:p w14:paraId="2C09F8EF">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10.负责做好文保点内香灰、废烛和无关物品的清理工作。</w:t>
      </w:r>
    </w:p>
    <w:p w14:paraId="34B0BE72">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严格遵守公厕保洁和管理要求，公厕落实专人保洁、管理，保洁员须佩证上岗，公厕内不得销售卫生用品；公厕须提供免费手纸、洗手液（肥皂），随脏随扫，保洁质量达到八无：无尿迹（垢）、无粪迹（污渍）、无蛛网、无积水、无痰涕、无积尘、无臭气、无蝇蛆；天花板、内外墙面、门窗、洗手龙头、水箱、水阀破损或漏水等设施损坏时需立即上报甲方，做到当天发现当天上报。小便器内放香丸，沟眼和管道保持畅通；在旺季或人流量较大的时候需在公厕内放置盘香等驱味品；公厕指向牌、公厕标牌及厕门男女标识牌等要保持清洁，无污渍、无灰尘，不破损、残缺和歪斜；雨天或是潮湿天气，应在地面铺上防滑垫；公厕外环境（外墙起4米范围内）要求整洁，无晾晒衣物、堆放杂物等现象，无绿化植物枯死、无黄土裸露现象；工具间内工具摆放整齐，环境整洁。</w:t>
      </w:r>
    </w:p>
    <w:p w14:paraId="67DC3B02">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供应商负责购置统一工作服、工号牌、雨衣等,同时需购置清卫工具（如扫把、拖把、毛巾、清洁球、洗手液、卫生纸、垃圾袋等）；负责配备公厕所需卫生纸、洗手液；负责公厕化粪池清粪工作；负责果壳箱破损内胆维修、更换，以上产生的费用由乙方自理。</w:t>
      </w:r>
    </w:p>
    <w:p w14:paraId="10B636A5">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13.山林便道保洁要求定人定岗，每星期至少清扫两次，并确保保洁到位。</w:t>
      </w:r>
    </w:p>
    <w:p w14:paraId="32C2A4F5">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14.供应商在安全工作、文明保洁中发生的一切事故和由此引起的法律责任和经济赔偿责任均由供应商负责。</w:t>
      </w:r>
    </w:p>
    <w:p w14:paraId="2D968B19">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15.清卫人员必须具有较强的山林防火意识和文物保护意识，严格遵守甲方的山林防火制度和文物保护制度，主动积极地配合甲方做好山林火警和文物点破损、失窃等情况的上报工作。</w:t>
      </w:r>
    </w:p>
    <w:p w14:paraId="602A1943">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16.清卫人员具备一定的身体素质，年龄要符合市城管委考核要求，会说普通话。</w:t>
      </w:r>
    </w:p>
    <w:p w14:paraId="2C904E7D">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17.科学制订清卫人员管理制度，并不定期的召开管理例会，确保圆满完成清卫保洁任务。</w:t>
      </w:r>
    </w:p>
    <w:p w14:paraId="2FD6B7F2">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18.供应商须按照公安部门规定的外来务工人员政策聘用保洁人员，并将暂住证、身份证和劳务合同复印件交予甲方备案。</w:t>
      </w:r>
    </w:p>
    <w:p w14:paraId="4FF1EAB9">
      <w:p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19.自行负责购置清卫工具（如扫帚、拖把、毛巾、卫生钳等）、工作牌等，确保清卫工作顺利开展。公厕化粪池的清粪工作，公厕洗手液、手纸，及公厕1000元以下的零星维修、配套设施的更换及添置。</w:t>
      </w:r>
    </w:p>
    <w:p w14:paraId="045DDC8E">
      <w:pPr>
        <w:tabs>
          <w:tab w:val="left" w:pos="0"/>
        </w:tabs>
        <w:snapToGrid w:val="0"/>
        <w:spacing w:line="360" w:lineRule="auto"/>
        <w:ind w:firstLine="482" w:firstLineChars="200"/>
        <w:outlineLvl w:val="1"/>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三、</w:t>
      </w:r>
      <w:r>
        <w:rPr>
          <w:rFonts w:hint="eastAsia" w:ascii="宋体" w:hAnsi="宋体" w:cs="宋体"/>
          <w:b/>
          <w:bCs/>
          <w:color w:val="auto"/>
          <w:kern w:val="0"/>
          <w:sz w:val="24"/>
          <w:highlight w:val="none"/>
          <w:lang w:val="zh-CN"/>
        </w:rPr>
        <w:t>安全生产</w:t>
      </w:r>
    </w:p>
    <w:p w14:paraId="54F2ABEF">
      <w:pPr>
        <w:tabs>
          <w:tab w:val="left" w:pos="0"/>
        </w:tabs>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供应商在安全工作、文明保洁中发生的一切事故由作业单位负责。供应商聘用的清卫保洁人员和管理人员，在工作时发生的人身伤害或财产损失（包括上下班过程中的交通伤亡事故），均由供应商按国家和本地区的有关政策、规定处理并承担赔偿责任。</w:t>
      </w:r>
    </w:p>
    <w:p w14:paraId="092F3F2B">
      <w:pPr>
        <w:tabs>
          <w:tab w:val="left" w:pos="0"/>
        </w:tabs>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供应商必须严格按《劳动法》、《劳动合同法》、《劳动合同法实施条例》和《社会保险法》等的规定合法用工并办理保险，并按不低于杭州市最低工资的标准向派出人员支付工资。如发生薪资纠纷，由供应商负责。供应商人员发生的任何劳资纠纷、工伤、意外事故的一切法律责任均由供应商自行承担，与采购人无关。</w:t>
      </w:r>
    </w:p>
    <w:p w14:paraId="62210DA1">
      <w:p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（三）供应商劳务的人员在作业中必须采取有效的安全措施，做好相关安全工作。在道路作业过程中，必须穿反光衣。</w:t>
      </w:r>
    </w:p>
    <w:p w14:paraId="686A5EDE">
      <w:pPr>
        <w:tabs>
          <w:tab w:val="left" w:pos="0"/>
        </w:tabs>
        <w:snapToGrid w:val="0"/>
        <w:spacing w:line="360" w:lineRule="auto"/>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四、质量标准、验收标准及办法</w:t>
      </w:r>
    </w:p>
    <w:p w14:paraId="28383967">
      <w:p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（一）质量标准：定点定岗派遣的保洁员需有清卫保洁作业经验，熟练操作的保洁人员到达采购人指定地点完成采购人规定的工作任务。</w:t>
      </w:r>
    </w:p>
    <w:p w14:paraId="3BE545CE">
      <w:pPr>
        <w:tabs>
          <w:tab w:val="left" w:pos="0"/>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（二）验收标准：供应商派遣的保洁员及其保洁作业，必须满足采购人的技术要求，由采购人现场验收签字确定。</w:t>
      </w:r>
    </w:p>
    <w:p w14:paraId="6EFB8657">
      <w:pPr>
        <w:tabs>
          <w:tab w:val="left" w:pos="0"/>
        </w:tabs>
        <w:snapToGrid w:val="0"/>
        <w:spacing w:line="360" w:lineRule="auto"/>
        <w:ind w:firstLine="482" w:firstLineChars="200"/>
        <w:outlineLvl w:val="1"/>
        <w:rPr>
          <w:rFonts w:ascii="宋体" w:hAnsi="宋体" w:cs="宋体"/>
          <w:b/>
          <w:bCs/>
          <w:color w:val="auto"/>
          <w:kern w:val="0"/>
          <w:sz w:val="24"/>
          <w:highlight w:val="none"/>
        </w:rPr>
      </w:pPr>
      <w:r>
        <w:rPr>
          <w:rFonts w:hint="eastAsia" w:ascii="宋体" w:hAnsi="宋体" w:cs="宋体"/>
          <w:b/>
          <w:bCs/>
          <w:color w:val="auto"/>
          <w:kern w:val="0"/>
          <w:sz w:val="24"/>
          <w:highlight w:val="none"/>
        </w:rPr>
        <w:t>五、报价要求、付款方式和条件</w:t>
      </w:r>
    </w:p>
    <w:p w14:paraId="6BFD5285">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（一）报价要求</w:t>
      </w:r>
    </w:p>
    <w:p w14:paraId="65E62657">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项目采用投标总价进行报价。供应商按采购文件规定的质量要求，结合作业地段实际和企业自身实力自主报价，总报价应包括作业成本经费（包括人员工资、预计加班费用、社会保障费用、车辆运行成本等）、垃圾处置（园林垃圾）等运营并达到合同标准而需实际发生的各类成本有关本项目所需的一切费用（含税）均计入报价。</w:t>
      </w:r>
    </w:p>
    <w:p w14:paraId="0E6ECD8D">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作业成本经费，含人员工资、车辆运行成本等。其中日常用工每人每月人工费用不得低于杭州市政府最新规定的最低工资及社会保障费用，否则评标委员可以认为低于成本价恶性竞争而判定为无效标(保洁服务期内的人工费用应根据最新的杭州市最低工资标准作及时调整，因人工费上涨引起费用增加的风险应考虑在投标总价内，采购单位不另行支付)。</w:t>
      </w:r>
    </w:p>
    <w:p w14:paraId="07CD7D40">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2.农民工工伤保险费、税金须按相关文件规定的费率计取，否则作无效标处理。</w:t>
      </w:r>
    </w:p>
    <w:p w14:paraId="627885DB">
      <w:pPr>
        <w:tabs>
          <w:tab w:val="left" w:pos="0"/>
        </w:tabs>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3.采购文件未列明，而供应商认为必需的费用也需列入报价。</w:t>
      </w:r>
    </w:p>
    <w:p w14:paraId="7E672875">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（二）付款方式和条件</w:t>
      </w:r>
    </w:p>
    <w:p w14:paraId="71CED426">
      <w:pPr>
        <w:tabs>
          <w:tab w:val="left" w:pos="0"/>
        </w:tabs>
        <w:snapToGrid w:val="0"/>
        <w:spacing w:line="360" w:lineRule="auto"/>
        <w:ind w:firstLine="480" w:firstLineChars="200"/>
        <w:outlineLvl w:val="1"/>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日常保洁服务费每月一结算。每月15号前供应商上报结算上月具体费用，供应商开具经采购人认可的正规发票和采购人认可的各项材料、费用的凭证记录复印件及经采购人确认的月度考核报告，经采购人主管部门复核并考核无误后，办理相关服务费用的结算手续，采购人确认无误后汇款。</w:t>
      </w:r>
    </w:p>
    <w:p w14:paraId="54EC99B8">
      <w:pPr>
        <w:tabs>
          <w:tab w:val="left" w:pos="0"/>
        </w:tabs>
        <w:snapToGrid w:val="0"/>
        <w:spacing w:line="360" w:lineRule="auto"/>
        <w:ind w:firstLine="480" w:firstLineChars="200"/>
        <w:outlineLvl w:val="1"/>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2.扣款支付：按照本合同约定的内容执行，每月考核如有扣款，从当月应支付的服务费中扣除。</w:t>
      </w:r>
    </w:p>
    <w:p w14:paraId="51F7F96F">
      <w:pPr>
        <w:tabs>
          <w:tab w:val="left" w:pos="0"/>
        </w:tabs>
        <w:snapToGrid w:val="0"/>
        <w:spacing w:line="360" w:lineRule="auto"/>
        <w:ind w:firstLine="480" w:firstLineChars="200"/>
        <w:outlineLvl w:val="1"/>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 其他款项的支付：在保质保量完成本职工作的前提上，采购人根据工作需要鼓励清卫人员参与园林绿化应急、养护工作，采购人根据相关管理办法考核后给予一定的奖励，该部分费用的结算由供应商根据采购人提供奖励依据、发放清单等开具等额发票，采购人确认无误后汇款，供应商应根据清单另行发放。</w:t>
      </w:r>
    </w:p>
    <w:p w14:paraId="6EDEF2D5">
      <w:pPr>
        <w:tabs>
          <w:tab w:val="left" w:pos="0"/>
        </w:tabs>
        <w:snapToGrid w:val="0"/>
        <w:spacing w:line="360" w:lineRule="auto"/>
        <w:ind w:firstLine="480" w:firstLineChars="200"/>
        <w:outlineLvl w:val="1"/>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4.供应商的日常保洁服务费采用包干制，除本合同明确约定可以另行收取的费用外，所有物业管理及服务费均包括在内，供应商不得另向采购人收取任何费用。</w:t>
      </w:r>
    </w:p>
    <w:p w14:paraId="15ADB075">
      <w:pPr>
        <w:tabs>
          <w:tab w:val="left" w:pos="0"/>
        </w:tabs>
        <w:snapToGrid w:val="0"/>
        <w:spacing w:line="360" w:lineRule="auto"/>
        <w:ind w:firstLine="482" w:firstLineChars="200"/>
        <w:outlineLvl w:val="1"/>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六、履行合同的时间、地点、违约责任、解决争议的方式</w:t>
      </w:r>
    </w:p>
    <w:p w14:paraId="13B14758">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1、履行合同的时间：</w:t>
      </w:r>
      <w:r>
        <w:rPr>
          <w:rFonts w:hint="eastAsia" w:ascii="宋体" w:hAnsi="宋体" w:cs="宋体"/>
          <w:color w:val="auto"/>
          <w:kern w:val="0"/>
          <w:sz w:val="24"/>
          <w:highlight w:val="none"/>
        </w:rPr>
        <w:t>1年</w:t>
      </w:r>
      <w:r>
        <w:rPr>
          <w:rFonts w:hint="eastAsia" w:ascii="宋体" w:hAnsi="宋体" w:cs="宋体"/>
          <w:color w:val="auto"/>
          <w:kern w:val="0"/>
          <w:sz w:val="24"/>
          <w:highlight w:val="none"/>
          <w:lang w:val="zh-CN"/>
        </w:rPr>
        <w:t>（具体时间按合同签订为准）。</w:t>
      </w:r>
    </w:p>
    <w:p w14:paraId="3005A876">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2、履行合同的地点：杭州市凤凰山管理处辖区玉皇山景区、万松书院、爱情诗路等区域。</w:t>
      </w:r>
    </w:p>
    <w:p w14:paraId="4E55382E">
      <w:pPr>
        <w:tabs>
          <w:tab w:val="left" w:pos="0"/>
        </w:tabs>
        <w:snapToGrid w:val="0"/>
        <w:spacing w:line="360" w:lineRule="auto"/>
        <w:ind w:firstLine="482" w:firstLineChars="200"/>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七、违约责任及承担</w:t>
      </w:r>
    </w:p>
    <w:p w14:paraId="04EA80EE">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西湖风景名胜区管委会检查抄告问题每条扣款200元，数字城管抄告问题每条扣款200元，西湖风景名胜区管委会“双最”检查抄告问题每条扣款500元，市园文局“双最”检查抄告问题，每条扣款800元，处查问题每条扣款100元至300元，以上抄告问题视情节严重可加重扣款比例。</w:t>
      </w:r>
    </w:p>
    <w:p w14:paraId="3976E784">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（二）供应商被有关部门或领导批示、媒体曝光、群众有责投诉和反映（有书面依据）并对采购人产生严重影响的，每个问题应扣款1000元至2000元，并且采购人有权解除与供应商签订的本合同。</w:t>
      </w:r>
    </w:p>
    <w:p w14:paraId="4806EBFC">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（三）供应商现场负责人到岗率100%，且手机24小时开机。负责人缺岗每次扣款1000元；供应商保洁人员连续三天(或以上)缺岗，扣款按每工日平均工资乘以缺岗天数的标准扣除。</w:t>
      </w:r>
    </w:p>
    <w:p w14:paraId="44354498">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（四）“双最”公园评比活动中由于清卫保洁原因名次靠后，排名末三位的每次扣款1万。年度排名末三位，扣3万元至5万元。</w:t>
      </w:r>
    </w:p>
    <w:p w14:paraId="36518336">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（五）供应商聘用保洁人员超过一个月以上，未按《劳动法》签订书面劳动合同，采购人一经查实，每人每次扣500元，同时供应商聘用的保洁人员无论出现任何情况，均与采购人无关。</w:t>
      </w:r>
    </w:p>
    <w:p w14:paraId="1FBAC166">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（六）供应商聘用保洁人员因非采购人责任到采购人单位闹事、威胁等，一经查实，视情节严重情况扣款2000元至5000元。</w:t>
      </w:r>
    </w:p>
    <w:p w14:paraId="011931B8">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（七）供应商聘用的保洁人员年龄必须符合采购人要求，一经采购人查实，保洁人员超龄，每人每次100元，同时必须在 10 天内替换符合采购人年龄要求的保洁员，未按要求、时间替换的，每次再追扣500元。</w:t>
      </w:r>
    </w:p>
    <w:p w14:paraId="77E2E4A1">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（八）市级以上的各类保障任务，中央、省、市级检查时，发现问题，未第一时间进行处置整改，根据问题情节轻重处罚2000元至5000元。</w:t>
      </w:r>
    </w:p>
    <w:p w14:paraId="7DA3820F">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（九）供应商未能提供符合景区要求能进入公园的小型、便捷垃圾清运车，汽油落叶吹风机及高压水枪式冲洗车辆将由甲方负责购买，费用由供应商承担。</w:t>
      </w:r>
    </w:p>
    <w:p w14:paraId="1DAF1D6E">
      <w:pPr>
        <w:tabs>
          <w:tab w:val="left" w:pos="0"/>
        </w:tabs>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（十）供应商未经采购人同意，擅自更换该项目人员，一经采购人发现并核实，每次扣1000元至2000元。</w:t>
      </w:r>
    </w:p>
    <w:p w14:paraId="766FC470">
      <w:pPr>
        <w:tabs>
          <w:tab w:val="left" w:pos="0"/>
        </w:tabs>
        <w:spacing w:line="360" w:lineRule="auto"/>
        <w:ind w:firstLine="360" w:firstLineChars="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（十一）该服务项目人员擅自离岗，一经采购人查实，每次每人扣100元至300元。</w:t>
      </w:r>
    </w:p>
    <w:p w14:paraId="181ED853">
      <w:pPr>
        <w:tabs>
          <w:tab w:val="left" w:pos="0"/>
        </w:tabs>
        <w:spacing w:line="360" w:lineRule="auto"/>
        <w:ind w:firstLine="360" w:firstLineChars="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（十二）采购人无正当理由拒收接受服务的，采购人向供应商偿付合同款项百分之五作为违约金。</w:t>
      </w:r>
    </w:p>
    <w:p w14:paraId="5132081B">
      <w:pPr>
        <w:tabs>
          <w:tab w:val="left" w:pos="0"/>
        </w:tabs>
        <w:spacing w:line="360" w:lineRule="auto"/>
        <w:ind w:firstLine="360" w:firstLineChars="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三）供应商未能如期提供服务的，对采购人的通知逾期未响应，采购人自行安排人员完成工作，产生的相关费用由供应商承担。供应商超过约定日期10个工作日仍不能提供服务的，采购人可解除本合同。供应商因未能如期提供服务或因其他违约行为导致采购人解除合同的，供应商应向采购人支付合同总价5%的违约金，如造成采购人损失超过违约金的，超出部分由供应商继续承担赔偿责任。</w:t>
      </w:r>
    </w:p>
    <w:p w14:paraId="2D7F2A87">
      <w:pPr>
        <w:widowControl/>
        <w:snapToGrid w:val="0"/>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八、履行合同中解决争议的方式</w:t>
      </w:r>
    </w:p>
    <w:p w14:paraId="1DD0C902">
      <w:pPr>
        <w:widowControl/>
        <w:snapToGrid w:val="0"/>
        <w:spacing w:line="360" w:lineRule="auto"/>
        <w:ind w:firstLine="480" w:firstLineChars="200"/>
        <w:rPr>
          <w:rFonts w:asciiTheme="majorEastAsia" w:hAnsiTheme="majorEastAsia" w:eastAsiaTheme="majorEastAsia"/>
          <w:b/>
          <w:bCs/>
          <w:color w:val="auto"/>
          <w:sz w:val="24"/>
          <w:highlight w:val="none"/>
        </w:rPr>
      </w:pPr>
      <w:r>
        <w:rPr>
          <w:rFonts w:hint="eastAsia" w:ascii="宋体" w:hAnsi="宋体" w:cs="宋体"/>
          <w:color w:val="auto"/>
          <w:kern w:val="0"/>
          <w:sz w:val="24"/>
          <w:highlight w:val="none"/>
          <w:lang w:val="zh-CN"/>
        </w:rPr>
        <w:t>在合同</w:t>
      </w:r>
      <w:r>
        <w:rPr>
          <w:rFonts w:hint="eastAsia" w:ascii="宋体" w:hAnsi="宋体" w:cs="宋体"/>
          <w:color w:val="auto"/>
          <w:kern w:val="0"/>
          <w:sz w:val="24"/>
          <w:highlight w:val="none"/>
          <w:cs/>
          <w:lang w:val="zh-CN"/>
        </w:rPr>
        <w:t>执</w:t>
      </w:r>
      <w:r>
        <w:rPr>
          <w:rFonts w:hint="eastAsia" w:ascii="宋体" w:hAnsi="宋体" w:cs="宋体"/>
          <w:color w:val="auto"/>
          <w:kern w:val="0"/>
          <w:sz w:val="24"/>
          <w:highlight w:val="none"/>
          <w:lang w:val="zh-CN"/>
        </w:rPr>
        <w:t>行</w:t>
      </w:r>
      <w:r>
        <w:rPr>
          <w:rFonts w:hint="eastAsia" w:ascii="宋体" w:hAnsi="宋体" w:cs="宋体"/>
          <w:color w:val="auto"/>
          <w:kern w:val="0"/>
          <w:sz w:val="24"/>
          <w:highlight w:val="none"/>
          <w:cs/>
          <w:lang w:val="zh-CN"/>
        </w:rPr>
        <w:t>过</w:t>
      </w:r>
      <w:r>
        <w:rPr>
          <w:rFonts w:hint="eastAsia" w:ascii="宋体" w:hAnsi="宋体" w:cs="宋体"/>
          <w:color w:val="auto"/>
          <w:kern w:val="0"/>
          <w:sz w:val="24"/>
          <w:highlight w:val="none"/>
          <w:lang w:val="zh-CN"/>
        </w:rPr>
        <w:t>程中如</w:t>
      </w:r>
      <w:r>
        <w:rPr>
          <w:rFonts w:hint="eastAsia" w:ascii="宋体" w:hAnsi="宋体" w:cs="宋体"/>
          <w:color w:val="auto"/>
          <w:kern w:val="0"/>
          <w:sz w:val="24"/>
          <w:highlight w:val="none"/>
          <w:cs/>
          <w:lang w:val="zh-CN"/>
        </w:rPr>
        <w:t>发</w:t>
      </w:r>
      <w:r>
        <w:rPr>
          <w:rFonts w:hint="eastAsia" w:ascii="宋体" w:hAnsi="宋体" w:cs="宋体"/>
          <w:color w:val="auto"/>
          <w:kern w:val="0"/>
          <w:sz w:val="24"/>
          <w:highlight w:val="none"/>
          <w:lang w:val="zh-CN"/>
        </w:rPr>
        <w:t>生</w:t>
      </w:r>
      <w:r>
        <w:rPr>
          <w:rFonts w:hint="eastAsia" w:ascii="宋体" w:hAnsi="宋体" w:cs="宋体"/>
          <w:color w:val="auto"/>
          <w:kern w:val="0"/>
          <w:sz w:val="24"/>
          <w:highlight w:val="none"/>
          <w:cs/>
          <w:lang w:val="zh-CN"/>
        </w:rPr>
        <w:t>争议</w:t>
      </w:r>
      <w:r>
        <w:rPr>
          <w:rFonts w:hint="eastAsia" w:ascii="宋体" w:hAnsi="宋体" w:cs="宋体"/>
          <w:color w:val="auto"/>
          <w:kern w:val="0"/>
          <w:sz w:val="24"/>
          <w:highlight w:val="none"/>
          <w:lang w:val="zh-CN"/>
        </w:rPr>
        <w:t>，首先</w:t>
      </w:r>
      <w:r>
        <w:rPr>
          <w:rFonts w:hint="eastAsia" w:ascii="宋体" w:hAnsi="宋体" w:cs="宋体"/>
          <w:color w:val="auto"/>
          <w:kern w:val="0"/>
          <w:sz w:val="24"/>
          <w:highlight w:val="none"/>
          <w:cs/>
          <w:lang w:val="zh-CN"/>
        </w:rPr>
        <w:t>应</w:t>
      </w:r>
      <w:r>
        <w:rPr>
          <w:rFonts w:hint="eastAsia" w:ascii="宋体" w:hAnsi="宋体" w:cs="宋体"/>
          <w:color w:val="auto"/>
          <w:kern w:val="0"/>
          <w:sz w:val="24"/>
          <w:highlight w:val="none"/>
          <w:lang w:val="zh-CN"/>
        </w:rPr>
        <w:t>本</w:t>
      </w:r>
      <w:r>
        <w:rPr>
          <w:rFonts w:hint="eastAsia" w:ascii="宋体" w:hAnsi="宋体" w:cs="宋体"/>
          <w:color w:val="auto"/>
          <w:kern w:val="0"/>
          <w:sz w:val="24"/>
          <w:highlight w:val="none"/>
          <w:cs/>
          <w:lang w:val="zh-CN"/>
        </w:rPr>
        <w:t>着</w:t>
      </w:r>
      <w:r>
        <w:rPr>
          <w:rFonts w:hint="eastAsia" w:ascii="宋体" w:hAnsi="宋体" w:cs="宋体"/>
          <w:color w:val="auto"/>
          <w:kern w:val="0"/>
          <w:sz w:val="24"/>
          <w:highlight w:val="none"/>
          <w:lang w:val="zh-CN"/>
        </w:rPr>
        <w:t>友好的原</w:t>
      </w:r>
      <w:r>
        <w:rPr>
          <w:rFonts w:hint="eastAsia" w:ascii="宋体" w:hAnsi="宋体" w:cs="宋体"/>
          <w:color w:val="auto"/>
          <w:kern w:val="0"/>
          <w:sz w:val="24"/>
          <w:highlight w:val="none"/>
          <w:cs/>
          <w:lang w:val="zh-CN"/>
        </w:rPr>
        <w:t>则协</w:t>
      </w:r>
      <w:r>
        <w:rPr>
          <w:rFonts w:hint="eastAsia" w:ascii="宋体" w:hAnsi="宋体" w:cs="宋体"/>
          <w:color w:val="auto"/>
          <w:kern w:val="0"/>
          <w:sz w:val="24"/>
          <w:highlight w:val="none"/>
          <w:lang w:val="zh-CN"/>
        </w:rPr>
        <w:t>商解</w:t>
      </w:r>
      <w:r>
        <w:rPr>
          <w:rFonts w:hint="eastAsia" w:ascii="宋体" w:hAnsi="宋体" w:cs="宋体"/>
          <w:color w:val="auto"/>
          <w:kern w:val="0"/>
          <w:sz w:val="24"/>
          <w:highlight w:val="none"/>
          <w:cs/>
          <w:lang w:val="zh-CN"/>
        </w:rPr>
        <w:t>决</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cs/>
          <w:lang w:val="zh-CN"/>
        </w:rPr>
        <w:t>协</w:t>
      </w:r>
      <w:r>
        <w:rPr>
          <w:rFonts w:hint="eastAsia" w:ascii="宋体" w:hAnsi="宋体" w:cs="宋体"/>
          <w:color w:val="auto"/>
          <w:kern w:val="0"/>
          <w:sz w:val="24"/>
          <w:highlight w:val="none"/>
          <w:lang w:val="zh-CN"/>
        </w:rPr>
        <w:t>商未果的，合同中甲乙</w:t>
      </w:r>
      <w:r>
        <w:rPr>
          <w:rFonts w:hint="eastAsia" w:ascii="宋体" w:hAnsi="宋体" w:cs="宋体"/>
          <w:color w:val="auto"/>
          <w:kern w:val="0"/>
          <w:sz w:val="24"/>
          <w:highlight w:val="none"/>
          <w:cs/>
          <w:lang w:val="zh-CN"/>
        </w:rPr>
        <w:t>双</w:t>
      </w:r>
      <w:r>
        <w:rPr>
          <w:rFonts w:hint="eastAsia" w:ascii="宋体" w:hAnsi="宋体" w:cs="宋体"/>
          <w:color w:val="auto"/>
          <w:kern w:val="0"/>
          <w:sz w:val="24"/>
          <w:highlight w:val="none"/>
          <w:lang w:val="zh-CN"/>
        </w:rPr>
        <w:t>方均可向本项目所在地人民法院提起诉讼。</w:t>
      </w:r>
    </w:p>
    <w:p w14:paraId="542247DB">
      <w:pPr>
        <w:spacing w:line="360" w:lineRule="auto"/>
        <w:ind w:firstLine="181" w:firstLineChars="50"/>
        <w:rPr>
          <w:rFonts w:ascii="宋体" w:hAnsi="宋体" w:cs="宋体"/>
          <w:b/>
          <w:color w:val="auto"/>
          <w:sz w:val="36"/>
          <w:szCs w:val="36"/>
          <w:highlight w:val="none"/>
        </w:rPr>
      </w:pPr>
    </w:p>
    <w:p w14:paraId="1628F26A">
      <w:pPr>
        <w:spacing w:line="360" w:lineRule="auto"/>
        <w:rPr>
          <w:rFonts w:ascii="宋体" w:hAnsi="宋体" w:cs="宋体"/>
          <w:color w:val="auto"/>
          <w:sz w:val="24"/>
          <w:highlight w:val="none"/>
        </w:rPr>
      </w:pPr>
    </w:p>
    <w:p w14:paraId="3BC941E1">
      <w:pPr>
        <w:widowControl/>
        <w:ind w:firstLine="720" w:firstLineChars="300"/>
        <w:jc w:val="left"/>
        <w:rPr>
          <w:rFonts w:ascii="宋体" w:hAnsi="宋体" w:cs="宋体"/>
          <w:bCs/>
          <w:color w:val="auto"/>
          <w:sz w:val="24"/>
          <w:highlight w:val="none"/>
        </w:rPr>
      </w:pPr>
    </w:p>
    <w:p w14:paraId="4786D385">
      <w:pPr>
        <w:rPr>
          <w:rFonts w:ascii="宋体" w:hAnsi="宋体" w:cs="宋体"/>
          <w:snapToGrid w:val="0"/>
          <w:color w:val="auto"/>
          <w:kern w:val="0"/>
          <w:sz w:val="24"/>
          <w:highlight w:val="none"/>
        </w:rPr>
      </w:pPr>
    </w:p>
    <w:p w14:paraId="35DF199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78"/>
      <w:bookmarkEnd w:id="28"/>
      <w:bookmarkStart w:id="29" w:name="_Toc184314468"/>
      <w:bookmarkEnd w:id="29"/>
      <w:bookmarkStart w:id="30" w:name="_Toc184313285"/>
      <w:bookmarkEnd w:id="30"/>
      <w:bookmarkStart w:id="31" w:name="_Toc184312108"/>
      <w:bookmarkEnd w:id="31"/>
      <w:bookmarkStart w:id="32" w:name="_Toc184313247"/>
      <w:bookmarkEnd w:id="32"/>
      <w:bookmarkStart w:id="33" w:name="_Toc184313253"/>
      <w:bookmarkEnd w:id="33"/>
      <w:bookmarkStart w:id="34" w:name="_Toc184313310"/>
      <w:bookmarkEnd w:id="34"/>
      <w:bookmarkStart w:id="35" w:name="_Toc184308097"/>
      <w:bookmarkEnd w:id="35"/>
      <w:bookmarkStart w:id="36" w:name="_Toc184308054"/>
      <w:bookmarkEnd w:id="36"/>
      <w:bookmarkStart w:id="37" w:name="_Toc184308077"/>
      <w:bookmarkEnd w:id="37"/>
      <w:bookmarkStart w:id="38" w:name="_Toc184312110"/>
      <w:bookmarkEnd w:id="38"/>
      <w:bookmarkStart w:id="39" w:name="_Toc184314480"/>
      <w:bookmarkEnd w:id="39"/>
      <w:bookmarkStart w:id="40" w:name="_Toc184314425"/>
      <w:bookmarkEnd w:id="40"/>
      <w:bookmarkStart w:id="41" w:name="_Toc184308093"/>
      <w:bookmarkEnd w:id="41"/>
      <w:bookmarkStart w:id="42" w:name="_Toc184313246"/>
      <w:bookmarkEnd w:id="42"/>
      <w:bookmarkStart w:id="43" w:name="_Toc184314442"/>
      <w:bookmarkEnd w:id="43"/>
      <w:bookmarkStart w:id="44" w:name="_Toc184308103"/>
      <w:bookmarkEnd w:id="44"/>
      <w:bookmarkStart w:id="45" w:name="_Toc184308064"/>
      <w:bookmarkEnd w:id="45"/>
      <w:bookmarkStart w:id="46" w:name="_Toc184310325"/>
      <w:bookmarkEnd w:id="46"/>
      <w:bookmarkStart w:id="47" w:name="_Toc184310310"/>
      <w:bookmarkEnd w:id="47"/>
      <w:bookmarkStart w:id="48" w:name="_Toc184310313"/>
      <w:bookmarkEnd w:id="48"/>
      <w:bookmarkStart w:id="49" w:name="_Toc184310323"/>
      <w:bookmarkEnd w:id="49"/>
      <w:bookmarkStart w:id="50" w:name="_Toc184314457"/>
      <w:bookmarkEnd w:id="50"/>
      <w:bookmarkStart w:id="51" w:name="_Toc184308057"/>
      <w:bookmarkEnd w:id="51"/>
      <w:bookmarkStart w:id="52" w:name="_Toc184313271"/>
      <w:bookmarkEnd w:id="52"/>
      <w:bookmarkStart w:id="53" w:name="_Toc184308079"/>
      <w:bookmarkEnd w:id="53"/>
      <w:bookmarkStart w:id="54" w:name="_Toc184312097"/>
      <w:bookmarkEnd w:id="54"/>
      <w:bookmarkStart w:id="55" w:name="_Toc184312073"/>
      <w:bookmarkEnd w:id="55"/>
      <w:bookmarkStart w:id="56" w:name="_Toc184314423"/>
      <w:bookmarkEnd w:id="56"/>
      <w:bookmarkStart w:id="57" w:name="_Toc184310291"/>
      <w:bookmarkEnd w:id="57"/>
      <w:bookmarkStart w:id="58" w:name="_Toc184310311"/>
      <w:bookmarkEnd w:id="58"/>
      <w:bookmarkStart w:id="59" w:name="_Toc184313297"/>
      <w:bookmarkEnd w:id="59"/>
      <w:bookmarkStart w:id="60" w:name="_Toc184312068"/>
      <w:bookmarkEnd w:id="60"/>
      <w:bookmarkStart w:id="61" w:name="_Toc184310341"/>
      <w:bookmarkEnd w:id="61"/>
      <w:bookmarkStart w:id="62" w:name="_Toc184310292"/>
      <w:bookmarkEnd w:id="62"/>
      <w:bookmarkStart w:id="63" w:name="_Toc184312071"/>
      <w:bookmarkEnd w:id="63"/>
      <w:bookmarkStart w:id="64" w:name="_Toc184313259"/>
      <w:bookmarkEnd w:id="64"/>
      <w:bookmarkStart w:id="65" w:name="_Toc184310281"/>
      <w:bookmarkEnd w:id="65"/>
      <w:bookmarkStart w:id="66" w:name="_Toc184314472"/>
      <w:bookmarkEnd w:id="66"/>
      <w:bookmarkStart w:id="67" w:name="_Toc184314421"/>
      <w:bookmarkEnd w:id="67"/>
      <w:bookmarkStart w:id="68" w:name="_Toc184313303"/>
      <w:bookmarkEnd w:id="68"/>
      <w:bookmarkStart w:id="69" w:name="_Toc184310309"/>
      <w:bookmarkEnd w:id="69"/>
      <w:bookmarkStart w:id="70" w:name="_Toc184314448"/>
      <w:bookmarkEnd w:id="70"/>
      <w:bookmarkStart w:id="71" w:name="_Toc184310339"/>
      <w:bookmarkEnd w:id="71"/>
      <w:bookmarkStart w:id="72" w:name="_Toc184314463"/>
      <w:bookmarkEnd w:id="72"/>
      <w:bookmarkStart w:id="73" w:name="_Toc184310327"/>
      <w:bookmarkEnd w:id="73"/>
      <w:bookmarkStart w:id="74" w:name="_Toc184310340"/>
      <w:bookmarkEnd w:id="74"/>
      <w:bookmarkStart w:id="75" w:name="_Toc184312137"/>
      <w:bookmarkEnd w:id="75"/>
      <w:bookmarkStart w:id="76" w:name="_Toc184308061"/>
      <w:bookmarkEnd w:id="76"/>
      <w:bookmarkStart w:id="77" w:name="_Toc184312074"/>
      <w:bookmarkEnd w:id="77"/>
      <w:bookmarkStart w:id="78" w:name="_Toc184313257"/>
      <w:bookmarkEnd w:id="78"/>
      <w:bookmarkStart w:id="79" w:name="_Toc184308066"/>
      <w:bookmarkEnd w:id="79"/>
      <w:bookmarkStart w:id="80" w:name="_Toc184313250"/>
      <w:bookmarkEnd w:id="80"/>
      <w:bookmarkStart w:id="81" w:name="_Toc184308099"/>
      <w:bookmarkEnd w:id="81"/>
      <w:bookmarkStart w:id="82" w:name="_Toc184310276"/>
      <w:bookmarkEnd w:id="82"/>
      <w:bookmarkStart w:id="83" w:name="_Toc184310326"/>
      <w:bookmarkEnd w:id="83"/>
      <w:bookmarkStart w:id="84" w:name="_Toc184308090"/>
      <w:bookmarkEnd w:id="84"/>
      <w:bookmarkStart w:id="85" w:name="_Toc184308082"/>
      <w:bookmarkEnd w:id="85"/>
      <w:bookmarkStart w:id="86" w:name="_Toc184314476"/>
      <w:bookmarkEnd w:id="86"/>
      <w:bookmarkStart w:id="87" w:name="_Toc184314445"/>
      <w:bookmarkEnd w:id="87"/>
      <w:bookmarkStart w:id="88" w:name="_Toc184308106"/>
      <w:bookmarkEnd w:id="88"/>
      <w:bookmarkStart w:id="89" w:name="_Toc184310273"/>
      <w:bookmarkEnd w:id="89"/>
      <w:bookmarkStart w:id="90" w:name="_Toc184314451"/>
      <w:bookmarkEnd w:id="90"/>
      <w:bookmarkStart w:id="91" w:name="_Toc184312120"/>
      <w:bookmarkEnd w:id="91"/>
      <w:bookmarkStart w:id="92" w:name="_Toc184314428"/>
      <w:bookmarkEnd w:id="92"/>
      <w:bookmarkStart w:id="93" w:name="_Toc184313243"/>
      <w:bookmarkEnd w:id="93"/>
      <w:bookmarkStart w:id="94" w:name="_Toc184313276"/>
      <w:bookmarkEnd w:id="94"/>
      <w:bookmarkStart w:id="95" w:name="_Toc184308051"/>
      <w:bookmarkEnd w:id="95"/>
      <w:bookmarkStart w:id="96" w:name="_Toc184310275"/>
      <w:bookmarkEnd w:id="96"/>
      <w:bookmarkStart w:id="97" w:name="_Toc184314449"/>
      <w:bookmarkEnd w:id="97"/>
      <w:bookmarkStart w:id="98" w:name="_Toc184310279"/>
      <w:bookmarkEnd w:id="98"/>
      <w:bookmarkStart w:id="99" w:name="_Toc184310319"/>
      <w:bookmarkEnd w:id="99"/>
      <w:bookmarkStart w:id="100" w:name="_Toc184308058"/>
      <w:bookmarkEnd w:id="100"/>
      <w:bookmarkStart w:id="101" w:name="_Toc184313260"/>
      <w:bookmarkEnd w:id="101"/>
      <w:bookmarkStart w:id="102" w:name="_Toc184312121"/>
      <w:bookmarkEnd w:id="102"/>
      <w:bookmarkStart w:id="103" w:name="_Toc184308053"/>
      <w:bookmarkEnd w:id="103"/>
      <w:bookmarkStart w:id="104" w:name="_Toc184314473"/>
      <w:bookmarkEnd w:id="104"/>
      <w:bookmarkStart w:id="105" w:name="_Toc184313272"/>
      <w:bookmarkEnd w:id="105"/>
      <w:bookmarkStart w:id="106" w:name="_Toc184314411"/>
      <w:bookmarkEnd w:id="106"/>
      <w:bookmarkStart w:id="107" w:name="_Toc184312133"/>
      <w:bookmarkEnd w:id="107"/>
      <w:bookmarkStart w:id="108" w:name="_Toc184312135"/>
      <w:bookmarkEnd w:id="108"/>
      <w:bookmarkStart w:id="109" w:name="_Toc184310334"/>
      <w:bookmarkEnd w:id="109"/>
      <w:bookmarkStart w:id="110" w:name="_Toc184314431"/>
      <w:bookmarkEnd w:id="110"/>
      <w:bookmarkStart w:id="111" w:name="_Toc184313278"/>
      <w:bookmarkEnd w:id="111"/>
      <w:bookmarkStart w:id="112" w:name="_Toc184314464"/>
      <w:bookmarkEnd w:id="112"/>
      <w:bookmarkStart w:id="113" w:name="_Toc184310296"/>
      <w:bookmarkEnd w:id="113"/>
      <w:bookmarkStart w:id="114" w:name="_Toc184310308"/>
      <w:bookmarkEnd w:id="114"/>
      <w:bookmarkStart w:id="115" w:name="_Toc184312103"/>
      <w:bookmarkEnd w:id="115"/>
      <w:bookmarkStart w:id="116" w:name="_Toc184313267"/>
      <w:bookmarkEnd w:id="116"/>
      <w:bookmarkStart w:id="117" w:name="_Toc184313261"/>
      <w:bookmarkEnd w:id="117"/>
      <w:bookmarkStart w:id="118" w:name="_Toc184310330"/>
      <w:bookmarkEnd w:id="118"/>
      <w:bookmarkStart w:id="119" w:name="_Toc184313300"/>
      <w:bookmarkEnd w:id="119"/>
      <w:bookmarkStart w:id="120" w:name="_Toc184310321"/>
      <w:bookmarkEnd w:id="120"/>
      <w:bookmarkStart w:id="121" w:name="_Toc184313292"/>
      <w:bookmarkEnd w:id="121"/>
      <w:bookmarkStart w:id="122" w:name="_Toc184314478"/>
      <w:bookmarkEnd w:id="122"/>
      <w:bookmarkStart w:id="123" w:name="_Toc184313255"/>
      <w:bookmarkEnd w:id="123"/>
      <w:bookmarkStart w:id="124" w:name="_Toc184310333"/>
      <w:bookmarkEnd w:id="124"/>
      <w:bookmarkStart w:id="125" w:name="_Toc184314433"/>
      <w:bookmarkEnd w:id="125"/>
      <w:bookmarkStart w:id="126" w:name="_Toc184313280"/>
      <w:bookmarkEnd w:id="126"/>
      <w:bookmarkStart w:id="127" w:name="_Toc184308091"/>
      <w:bookmarkEnd w:id="127"/>
      <w:bookmarkStart w:id="128" w:name="_Toc184308041"/>
      <w:bookmarkEnd w:id="128"/>
      <w:bookmarkStart w:id="129" w:name="_Toc184313283"/>
      <w:bookmarkEnd w:id="129"/>
      <w:bookmarkStart w:id="130" w:name="_Toc184312067"/>
      <w:bookmarkEnd w:id="130"/>
      <w:bookmarkStart w:id="131" w:name="_Toc184312085"/>
      <w:bookmarkEnd w:id="131"/>
      <w:bookmarkStart w:id="132" w:name="_Toc184313305"/>
      <w:bookmarkEnd w:id="132"/>
      <w:bookmarkStart w:id="133" w:name="_Toc184313264"/>
      <w:bookmarkEnd w:id="133"/>
      <w:bookmarkStart w:id="134" w:name="_Toc184308101"/>
      <w:bookmarkEnd w:id="134"/>
      <w:bookmarkStart w:id="135" w:name="_Toc184308067"/>
      <w:bookmarkEnd w:id="135"/>
      <w:bookmarkStart w:id="136" w:name="_Toc184308083"/>
      <w:bookmarkEnd w:id="136"/>
      <w:bookmarkStart w:id="137" w:name="_Toc184313265"/>
      <w:bookmarkEnd w:id="137"/>
      <w:bookmarkStart w:id="138" w:name="_Toc184314465"/>
      <w:bookmarkEnd w:id="138"/>
      <w:bookmarkStart w:id="139" w:name="_Toc184312116"/>
      <w:bookmarkEnd w:id="139"/>
      <w:bookmarkStart w:id="140" w:name="_Toc184314438"/>
      <w:bookmarkEnd w:id="140"/>
      <w:bookmarkStart w:id="141" w:name="_Toc184312076"/>
      <w:bookmarkEnd w:id="141"/>
      <w:bookmarkStart w:id="142" w:name="_Toc184314466"/>
      <w:bookmarkEnd w:id="142"/>
      <w:bookmarkStart w:id="143" w:name="_Toc184312075"/>
      <w:bookmarkEnd w:id="143"/>
      <w:bookmarkStart w:id="144" w:name="_Toc184313263"/>
      <w:bookmarkEnd w:id="144"/>
      <w:bookmarkStart w:id="145" w:name="_Toc184308045"/>
      <w:bookmarkEnd w:id="145"/>
      <w:bookmarkStart w:id="146" w:name="_Toc184314471"/>
      <w:bookmarkEnd w:id="146"/>
      <w:bookmarkStart w:id="147" w:name="_Toc184308098"/>
      <w:bookmarkEnd w:id="147"/>
      <w:bookmarkStart w:id="148" w:name="_Toc184313299"/>
      <w:bookmarkEnd w:id="148"/>
      <w:bookmarkStart w:id="149" w:name="_Toc184310332"/>
      <w:bookmarkEnd w:id="149"/>
      <w:bookmarkStart w:id="150" w:name="_Toc184308062"/>
      <w:bookmarkEnd w:id="150"/>
      <w:bookmarkStart w:id="151" w:name="_Toc184314475"/>
      <w:bookmarkEnd w:id="151"/>
      <w:bookmarkStart w:id="152" w:name="_Toc184308069"/>
      <w:bookmarkEnd w:id="152"/>
      <w:bookmarkStart w:id="153" w:name="_Toc184312072"/>
      <w:bookmarkEnd w:id="153"/>
      <w:bookmarkStart w:id="154" w:name="_Toc184310343"/>
      <w:bookmarkEnd w:id="154"/>
      <w:bookmarkStart w:id="155" w:name="_Toc184313256"/>
      <w:bookmarkEnd w:id="155"/>
      <w:bookmarkStart w:id="156" w:name="_Toc184310328"/>
      <w:bookmarkEnd w:id="156"/>
      <w:bookmarkStart w:id="157" w:name="_Toc184313238"/>
      <w:bookmarkEnd w:id="157"/>
      <w:bookmarkStart w:id="158" w:name="_Toc184312089"/>
      <w:bookmarkEnd w:id="158"/>
      <w:bookmarkStart w:id="159" w:name="_Toc184312098"/>
      <w:bookmarkEnd w:id="159"/>
      <w:bookmarkStart w:id="160" w:name="_Toc184312107"/>
      <w:bookmarkEnd w:id="160"/>
      <w:bookmarkStart w:id="161" w:name="_Toc184310342"/>
      <w:bookmarkEnd w:id="161"/>
      <w:bookmarkStart w:id="162" w:name="_Toc184312100"/>
      <w:bookmarkEnd w:id="162"/>
      <w:bookmarkStart w:id="163" w:name="_Toc184312130"/>
      <w:bookmarkEnd w:id="163"/>
      <w:bookmarkStart w:id="164" w:name="_Toc184310287"/>
      <w:bookmarkEnd w:id="164"/>
      <w:bookmarkStart w:id="165" w:name="_Toc184308075"/>
      <w:bookmarkEnd w:id="165"/>
      <w:bookmarkStart w:id="166" w:name="_Toc184314455"/>
      <w:bookmarkEnd w:id="166"/>
      <w:bookmarkStart w:id="167" w:name="_Toc184310307"/>
      <w:bookmarkEnd w:id="167"/>
      <w:bookmarkStart w:id="168" w:name="_Toc184312128"/>
      <w:bookmarkEnd w:id="168"/>
      <w:bookmarkStart w:id="169" w:name="_Toc184314432"/>
      <w:bookmarkEnd w:id="169"/>
      <w:bookmarkStart w:id="170" w:name="_Toc184310301"/>
      <w:bookmarkEnd w:id="170"/>
      <w:bookmarkStart w:id="171" w:name="_Toc184313291"/>
      <w:bookmarkEnd w:id="171"/>
      <w:bookmarkStart w:id="172" w:name="_Toc184312082"/>
      <w:bookmarkEnd w:id="172"/>
      <w:bookmarkStart w:id="173" w:name="_Toc184312118"/>
      <w:bookmarkEnd w:id="173"/>
      <w:bookmarkStart w:id="174" w:name="_Toc184312080"/>
      <w:bookmarkEnd w:id="174"/>
      <w:bookmarkStart w:id="175" w:name="_Toc184308043"/>
      <w:bookmarkEnd w:id="175"/>
      <w:bookmarkStart w:id="176" w:name="_Toc184314470"/>
      <w:bookmarkEnd w:id="176"/>
      <w:bookmarkStart w:id="177" w:name="_Toc184310303"/>
      <w:bookmarkEnd w:id="177"/>
      <w:bookmarkStart w:id="178" w:name="_Toc184312111"/>
      <w:bookmarkEnd w:id="178"/>
      <w:bookmarkStart w:id="179" w:name="_Toc184310299"/>
      <w:bookmarkEnd w:id="179"/>
      <w:bookmarkStart w:id="180" w:name="_Toc184314447"/>
      <w:bookmarkEnd w:id="180"/>
      <w:bookmarkStart w:id="181" w:name="_Toc184312113"/>
      <w:bookmarkEnd w:id="181"/>
      <w:bookmarkStart w:id="182" w:name="_Toc184310305"/>
      <w:bookmarkEnd w:id="182"/>
      <w:bookmarkStart w:id="183" w:name="_Toc184314413"/>
      <w:bookmarkEnd w:id="183"/>
      <w:bookmarkStart w:id="184" w:name="_Toc184310336"/>
      <w:bookmarkEnd w:id="184"/>
      <w:bookmarkStart w:id="185" w:name="_Toc184312090"/>
      <w:bookmarkEnd w:id="185"/>
      <w:bookmarkStart w:id="186" w:name="_Toc184312129"/>
      <w:bookmarkEnd w:id="186"/>
      <w:bookmarkStart w:id="187" w:name="_Toc184314446"/>
      <w:bookmarkEnd w:id="187"/>
      <w:bookmarkStart w:id="188" w:name="_Toc184310284"/>
      <w:bookmarkEnd w:id="188"/>
      <w:bookmarkStart w:id="189" w:name="_Toc184313307"/>
      <w:bookmarkEnd w:id="189"/>
      <w:bookmarkStart w:id="190" w:name="_Toc184312123"/>
      <w:bookmarkEnd w:id="190"/>
      <w:bookmarkStart w:id="191" w:name="_Toc184312104"/>
      <w:bookmarkEnd w:id="191"/>
      <w:bookmarkStart w:id="192" w:name="_Toc184308070"/>
      <w:bookmarkEnd w:id="192"/>
      <w:bookmarkStart w:id="193" w:name="_Toc184310322"/>
      <w:bookmarkEnd w:id="193"/>
      <w:bookmarkStart w:id="194" w:name="_Toc184313244"/>
      <w:bookmarkEnd w:id="194"/>
      <w:bookmarkStart w:id="195" w:name="_Toc184310290"/>
      <w:bookmarkEnd w:id="195"/>
      <w:bookmarkStart w:id="196" w:name="_Toc184310304"/>
      <w:bookmarkEnd w:id="196"/>
      <w:bookmarkStart w:id="197" w:name="_Toc184313275"/>
      <w:bookmarkEnd w:id="197"/>
      <w:bookmarkStart w:id="198" w:name="_Toc184310318"/>
      <w:bookmarkEnd w:id="198"/>
      <w:bookmarkStart w:id="199" w:name="_Toc184308071"/>
      <w:bookmarkEnd w:id="199"/>
      <w:bookmarkStart w:id="200" w:name="_Toc184313304"/>
      <w:bookmarkEnd w:id="200"/>
      <w:bookmarkStart w:id="201" w:name="_Toc184308084"/>
      <w:bookmarkEnd w:id="201"/>
      <w:bookmarkStart w:id="202" w:name="_Toc184314424"/>
      <w:bookmarkEnd w:id="202"/>
      <w:bookmarkStart w:id="203" w:name="_Toc184310288"/>
      <w:bookmarkEnd w:id="203"/>
      <w:bookmarkStart w:id="204" w:name="_Toc184314467"/>
      <w:bookmarkEnd w:id="204"/>
      <w:bookmarkStart w:id="205" w:name="_Toc184308047"/>
      <w:bookmarkEnd w:id="205"/>
      <w:bookmarkStart w:id="206" w:name="_Toc184308085"/>
      <w:bookmarkEnd w:id="206"/>
      <w:bookmarkStart w:id="207" w:name="_Toc184312086"/>
      <w:bookmarkEnd w:id="207"/>
      <w:bookmarkStart w:id="208" w:name="_Toc184313289"/>
      <w:bookmarkEnd w:id="208"/>
      <w:bookmarkStart w:id="209" w:name="_Toc184308049"/>
      <w:bookmarkEnd w:id="209"/>
      <w:bookmarkStart w:id="210" w:name="_Toc184314452"/>
      <w:bookmarkEnd w:id="210"/>
      <w:bookmarkStart w:id="211" w:name="_Toc184308100"/>
      <w:bookmarkEnd w:id="211"/>
      <w:bookmarkStart w:id="212" w:name="_Toc184312139"/>
      <w:bookmarkEnd w:id="212"/>
      <w:bookmarkStart w:id="213" w:name="_Toc184310315"/>
      <w:bookmarkEnd w:id="213"/>
      <w:bookmarkStart w:id="214" w:name="_Toc184314420"/>
      <w:bookmarkEnd w:id="214"/>
      <w:bookmarkStart w:id="215" w:name="_Toc184314417"/>
      <w:bookmarkEnd w:id="215"/>
      <w:bookmarkStart w:id="216" w:name="_Toc184312081"/>
      <w:bookmarkEnd w:id="216"/>
      <w:bookmarkStart w:id="217" w:name="_Toc184313273"/>
      <w:bookmarkEnd w:id="217"/>
      <w:bookmarkStart w:id="218" w:name="_Toc184314429"/>
      <w:bookmarkEnd w:id="218"/>
      <w:bookmarkStart w:id="219" w:name="_Toc184314440"/>
      <w:bookmarkEnd w:id="219"/>
      <w:bookmarkStart w:id="220" w:name="_Toc184314459"/>
      <w:bookmarkEnd w:id="220"/>
      <w:bookmarkStart w:id="221" w:name="_Toc184310289"/>
      <w:bookmarkEnd w:id="221"/>
      <w:bookmarkStart w:id="222" w:name="_Toc184314477"/>
      <w:bookmarkEnd w:id="222"/>
      <w:bookmarkStart w:id="223" w:name="_Toc184313270"/>
      <w:bookmarkEnd w:id="223"/>
      <w:bookmarkStart w:id="224" w:name="_Toc184308092"/>
      <w:bookmarkEnd w:id="224"/>
      <w:bookmarkStart w:id="225" w:name="_Toc184308044"/>
      <w:bookmarkEnd w:id="225"/>
      <w:bookmarkStart w:id="226" w:name="_Toc184314426"/>
      <w:bookmarkEnd w:id="226"/>
      <w:bookmarkStart w:id="227" w:name="_Toc184312125"/>
      <w:bookmarkEnd w:id="227"/>
      <w:bookmarkStart w:id="228" w:name="_Toc184313293"/>
      <w:bookmarkEnd w:id="228"/>
      <w:bookmarkStart w:id="229" w:name="_Toc184310295"/>
      <w:bookmarkEnd w:id="229"/>
      <w:bookmarkStart w:id="230" w:name="_Toc184310312"/>
      <w:bookmarkEnd w:id="230"/>
      <w:bookmarkStart w:id="231" w:name="_Toc184313296"/>
      <w:bookmarkEnd w:id="231"/>
      <w:bookmarkStart w:id="232" w:name="_Toc184308063"/>
      <w:bookmarkEnd w:id="232"/>
      <w:bookmarkStart w:id="233" w:name="_Toc184308088"/>
      <w:bookmarkEnd w:id="233"/>
      <w:bookmarkStart w:id="234" w:name="_Toc184312122"/>
      <w:bookmarkEnd w:id="234"/>
      <w:bookmarkStart w:id="235" w:name="_Toc184313262"/>
      <w:bookmarkEnd w:id="235"/>
      <w:bookmarkStart w:id="236" w:name="_Toc184314410"/>
      <w:bookmarkEnd w:id="236"/>
      <w:bookmarkStart w:id="237" w:name="_Toc184308056"/>
      <w:bookmarkEnd w:id="237"/>
      <w:bookmarkStart w:id="238" w:name="_Toc184310335"/>
      <w:bookmarkEnd w:id="238"/>
      <w:bookmarkStart w:id="239" w:name="_Toc184310286"/>
      <w:bookmarkEnd w:id="239"/>
      <w:bookmarkStart w:id="240" w:name="_Toc184313301"/>
      <w:bookmarkEnd w:id="240"/>
      <w:bookmarkStart w:id="241" w:name="_Toc184312083"/>
      <w:bookmarkEnd w:id="241"/>
      <w:bookmarkStart w:id="242" w:name="_Toc184310297"/>
      <w:bookmarkEnd w:id="242"/>
      <w:bookmarkStart w:id="243" w:name="_Toc184310285"/>
      <w:bookmarkEnd w:id="243"/>
      <w:bookmarkStart w:id="244" w:name="_Toc184314435"/>
      <w:bookmarkEnd w:id="244"/>
      <w:bookmarkStart w:id="245" w:name="_Toc184313308"/>
      <w:bookmarkEnd w:id="245"/>
      <w:bookmarkStart w:id="246" w:name="_Toc184312102"/>
      <w:bookmarkEnd w:id="246"/>
      <w:bookmarkStart w:id="247" w:name="_Toc184313258"/>
      <w:bookmarkEnd w:id="247"/>
      <w:bookmarkStart w:id="248" w:name="_Toc184314422"/>
      <w:bookmarkEnd w:id="248"/>
      <w:bookmarkStart w:id="249" w:name="_Toc184310277"/>
      <w:bookmarkEnd w:id="249"/>
      <w:bookmarkStart w:id="250" w:name="_Toc184310331"/>
      <w:bookmarkEnd w:id="250"/>
      <w:bookmarkStart w:id="251" w:name="_Toc184312132"/>
      <w:bookmarkEnd w:id="251"/>
      <w:bookmarkStart w:id="252" w:name="_Toc184313274"/>
      <w:bookmarkEnd w:id="252"/>
      <w:bookmarkStart w:id="253" w:name="_Toc184312099"/>
      <w:bookmarkEnd w:id="253"/>
      <w:bookmarkStart w:id="254" w:name="_Toc184314481"/>
      <w:bookmarkEnd w:id="254"/>
      <w:bookmarkStart w:id="255" w:name="_Toc184313252"/>
      <w:bookmarkEnd w:id="255"/>
      <w:bookmarkStart w:id="256" w:name="_Toc184310329"/>
      <w:bookmarkEnd w:id="256"/>
      <w:bookmarkStart w:id="257" w:name="_Toc184312069"/>
      <w:bookmarkEnd w:id="257"/>
      <w:bookmarkStart w:id="258" w:name="_Toc184310298"/>
      <w:bookmarkEnd w:id="258"/>
      <w:bookmarkStart w:id="259" w:name="_Toc184314443"/>
      <w:bookmarkEnd w:id="259"/>
      <w:bookmarkStart w:id="260" w:name="_Toc184314461"/>
      <w:bookmarkEnd w:id="260"/>
      <w:bookmarkStart w:id="261" w:name="_Toc184308095"/>
      <w:bookmarkEnd w:id="261"/>
      <w:bookmarkStart w:id="262" w:name="_Toc184313294"/>
      <w:bookmarkEnd w:id="262"/>
      <w:bookmarkStart w:id="263" w:name="_Toc184313268"/>
      <w:bookmarkEnd w:id="263"/>
      <w:bookmarkStart w:id="264" w:name="_Toc184314415"/>
      <w:bookmarkEnd w:id="264"/>
      <w:bookmarkStart w:id="265" w:name="_Toc184314430"/>
      <w:bookmarkEnd w:id="265"/>
      <w:bookmarkStart w:id="266" w:name="_Toc184312105"/>
      <w:bookmarkEnd w:id="266"/>
      <w:bookmarkStart w:id="267" w:name="_Toc184314437"/>
      <w:bookmarkEnd w:id="267"/>
      <w:bookmarkStart w:id="268" w:name="_Toc184312094"/>
      <w:bookmarkEnd w:id="268"/>
      <w:bookmarkStart w:id="269" w:name="_Toc184312124"/>
      <w:bookmarkEnd w:id="269"/>
      <w:bookmarkStart w:id="270" w:name="_Toc184312084"/>
      <w:bookmarkEnd w:id="270"/>
      <w:bookmarkStart w:id="271" w:name="_Toc184310338"/>
      <w:bookmarkEnd w:id="271"/>
      <w:bookmarkStart w:id="272" w:name="_Toc184312134"/>
      <w:bookmarkEnd w:id="272"/>
      <w:bookmarkStart w:id="273" w:name="_Toc184313245"/>
      <w:bookmarkEnd w:id="273"/>
      <w:bookmarkStart w:id="274" w:name="_Toc184312131"/>
      <w:bookmarkEnd w:id="274"/>
      <w:bookmarkStart w:id="275" w:name="_Toc184308038"/>
      <w:bookmarkEnd w:id="275"/>
      <w:bookmarkStart w:id="276" w:name="_Toc184308050"/>
      <w:bookmarkEnd w:id="276"/>
      <w:bookmarkStart w:id="277" w:name="_Toc184314436"/>
      <w:bookmarkEnd w:id="277"/>
      <w:bookmarkStart w:id="278" w:name="_Toc184314479"/>
      <w:bookmarkEnd w:id="278"/>
      <w:bookmarkStart w:id="279" w:name="_Toc184310302"/>
      <w:bookmarkEnd w:id="279"/>
      <w:bookmarkStart w:id="280" w:name="_Toc184312092"/>
      <w:bookmarkEnd w:id="280"/>
      <w:bookmarkStart w:id="281" w:name="_Toc184314456"/>
      <w:bookmarkEnd w:id="281"/>
      <w:bookmarkStart w:id="282" w:name="_Toc184308089"/>
      <w:bookmarkEnd w:id="282"/>
      <w:bookmarkStart w:id="283" w:name="_Toc184308040"/>
      <w:bookmarkEnd w:id="283"/>
      <w:bookmarkStart w:id="284" w:name="_Toc184308096"/>
      <w:bookmarkEnd w:id="284"/>
      <w:bookmarkStart w:id="285" w:name="_Toc184313284"/>
      <w:bookmarkEnd w:id="285"/>
      <w:bookmarkStart w:id="286" w:name="_Toc184312088"/>
      <w:bookmarkEnd w:id="286"/>
      <w:bookmarkStart w:id="287" w:name="_Toc184308078"/>
      <w:bookmarkEnd w:id="287"/>
      <w:bookmarkStart w:id="288" w:name="_Toc184312106"/>
      <w:bookmarkEnd w:id="288"/>
      <w:bookmarkStart w:id="289" w:name="_Toc184312077"/>
      <w:bookmarkEnd w:id="289"/>
      <w:bookmarkStart w:id="290" w:name="_Toc184312109"/>
      <w:bookmarkEnd w:id="290"/>
      <w:bookmarkStart w:id="291" w:name="_Toc184314474"/>
      <w:bookmarkEnd w:id="291"/>
      <w:bookmarkStart w:id="292" w:name="_Toc184308107"/>
      <w:bookmarkEnd w:id="292"/>
      <w:bookmarkStart w:id="293" w:name="_Toc184314418"/>
      <w:bookmarkEnd w:id="293"/>
      <w:bookmarkStart w:id="294" w:name="_Toc184308081"/>
      <w:bookmarkEnd w:id="294"/>
      <w:bookmarkStart w:id="295" w:name="_Toc184313266"/>
      <w:bookmarkEnd w:id="295"/>
      <w:bookmarkStart w:id="296" w:name="_Toc184314462"/>
      <w:bookmarkEnd w:id="296"/>
      <w:bookmarkStart w:id="297" w:name="_Toc184313290"/>
      <w:bookmarkEnd w:id="297"/>
      <w:bookmarkStart w:id="298" w:name="_Toc184308086"/>
      <w:bookmarkEnd w:id="298"/>
      <w:bookmarkStart w:id="299" w:name="_Toc184313282"/>
      <w:bookmarkEnd w:id="299"/>
      <w:bookmarkStart w:id="300" w:name="_Toc184313241"/>
      <w:bookmarkEnd w:id="300"/>
      <w:bookmarkStart w:id="301" w:name="_Toc184314453"/>
      <w:bookmarkEnd w:id="301"/>
      <w:bookmarkStart w:id="302" w:name="_Toc184308073"/>
      <w:bookmarkEnd w:id="302"/>
      <w:bookmarkStart w:id="303" w:name="_Toc184308074"/>
      <w:bookmarkEnd w:id="303"/>
      <w:bookmarkStart w:id="304" w:name="_Toc184308060"/>
      <w:bookmarkEnd w:id="304"/>
      <w:bookmarkStart w:id="305" w:name="_Toc184313309"/>
      <w:bookmarkEnd w:id="305"/>
      <w:bookmarkStart w:id="306" w:name="_Toc184310317"/>
      <w:bookmarkEnd w:id="306"/>
      <w:bookmarkStart w:id="307" w:name="_Toc184313279"/>
      <w:bookmarkEnd w:id="307"/>
      <w:bookmarkStart w:id="308" w:name="_Toc184308042"/>
      <w:bookmarkEnd w:id="308"/>
      <w:bookmarkStart w:id="309" w:name="_Toc184314454"/>
      <w:bookmarkEnd w:id="309"/>
      <w:bookmarkStart w:id="310" w:name="_Toc184308065"/>
      <w:bookmarkEnd w:id="310"/>
      <w:bookmarkStart w:id="311" w:name="_Toc184313239"/>
      <w:bookmarkEnd w:id="311"/>
      <w:bookmarkStart w:id="312" w:name="_Toc184308036"/>
      <w:bookmarkEnd w:id="312"/>
      <w:bookmarkStart w:id="313" w:name="_Toc184310344"/>
      <w:bookmarkEnd w:id="313"/>
      <w:bookmarkStart w:id="314" w:name="_Toc184308102"/>
      <w:bookmarkEnd w:id="314"/>
      <w:bookmarkStart w:id="315" w:name="_Toc184313286"/>
      <w:bookmarkEnd w:id="315"/>
      <w:bookmarkStart w:id="316" w:name="_Toc184314419"/>
      <w:bookmarkEnd w:id="316"/>
      <w:bookmarkStart w:id="317" w:name="_Toc184310283"/>
      <w:bookmarkEnd w:id="317"/>
      <w:bookmarkStart w:id="318" w:name="_Toc184308104"/>
      <w:bookmarkEnd w:id="318"/>
      <w:bookmarkStart w:id="319" w:name="_Toc184312138"/>
      <w:bookmarkEnd w:id="319"/>
      <w:bookmarkStart w:id="320" w:name="_Toc184310337"/>
      <w:bookmarkEnd w:id="320"/>
      <w:bookmarkStart w:id="321" w:name="_Toc184312096"/>
      <w:bookmarkEnd w:id="321"/>
      <w:bookmarkStart w:id="322" w:name="_Toc184313249"/>
      <w:bookmarkEnd w:id="322"/>
      <w:bookmarkStart w:id="323" w:name="_Toc184313302"/>
      <w:bookmarkEnd w:id="323"/>
      <w:bookmarkStart w:id="324" w:name="_Toc184308080"/>
      <w:bookmarkEnd w:id="324"/>
      <w:bookmarkStart w:id="325" w:name="_Toc184312126"/>
      <w:bookmarkEnd w:id="325"/>
      <w:bookmarkStart w:id="326" w:name="_Toc184313240"/>
      <w:bookmarkEnd w:id="326"/>
      <w:bookmarkStart w:id="327" w:name="_Toc184310324"/>
      <w:bookmarkEnd w:id="327"/>
      <w:bookmarkStart w:id="328" w:name="_Toc184310274"/>
      <w:bookmarkEnd w:id="328"/>
      <w:bookmarkStart w:id="329" w:name="_Toc184314450"/>
      <w:bookmarkEnd w:id="329"/>
      <w:bookmarkStart w:id="330" w:name="_Toc184312091"/>
      <w:bookmarkEnd w:id="330"/>
      <w:bookmarkStart w:id="331" w:name="_Toc184314444"/>
      <w:bookmarkEnd w:id="331"/>
      <w:bookmarkStart w:id="332" w:name="_Toc184314458"/>
      <w:bookmarkEnd w:id="332"/>
      <w:bookmarkStart w:id="333" w:name="_Toc184308055"/>
      <w:bookmarkEnd w:id="333"/>
      <w:bookmarkStart w:id="334" w:name="_Toc184308087"/>
      <w:bookmarkEnd w:id="334"/>
      <w:bookmarkStart w:id="335" w:name="_Toc184308076"/>
      <w:bookmarkEnd w:id="335"/>
      <w:bookmarkStart w:id="336" w:name="_Toc184312112"/>
      <w:bookmarkEnd w:id="336"/>
      <w:bookmarkStart w:id="337" w:name="_Toc184314441"/>
      <w:bookmarkEnd w:id="337"/>
      <w:bookmarkStart w:id="338" w:name="_Toc184310294"/>
      <w:bookmarkEnd w:id="338"/>
      <w:bookmarkStart w:id="339" w:name="_Toc184308039"/>
      <w:bookmarkEnd w:id="339"/>
      <w:bookmarkStart w:id="340" w:name="_Toc184314427"/>
      <w:bookmarkEnd w:id="340"/>
      <w:bookmarkStart w:id="341" w:name="_Toc184312117"/>
      <w:bookmarkEnd w:id="341"/>
      <w:bookmarkStart w:id="342" w:name="_Toc184312095"/>
      <w:bookmarkEnd w:id="342"/>
      <w:bookmarkStart w:id="343" w:name="_Toc184314412"/>
      <w:bookmarkEnd w:id="343"/>
      <w:bookmarkStart w:id="344" w:name="_Toc184308108"/>
      <w:bookmarkEnd w:id="344"/>
      <w:bookmarkStart w:id="345" w:name="_Toc184308094"/>
      <w:bookmarkEnd w:id="345"/>
      <w:bookmarkStart w:id="346" w:name="_Toc184310300"/>
      <w:bookmarkEnd w:id="346"/>
      <w:bookmarkStart w:id="347" w:name="_Toc184310280"/>
      <w:bookmarkEnd w:id="347"/>
      <w:bookmarkStart w:id="348" w:name="_Toc184312119"/>
      <w:bookmarkEnd w:id="348"/>
      <w:bookmarkStart w:id="349" w:name="_Toc184313242"/>
      <w:bookmarkEnd w:id="349"/>
      <w:bookmarkStart w:id="350" w:name="_Toc184314460"/>
      <w:bookmarkEnd w:id="350"/>
      <w:bookmarkStart w:id="351" w:name="_Toc184308072"/>
      <w:bookmarkEnd w:id="351"/>
      <w:bookmarkStart w:id="352" w:name="_Toc184312087"/>
      <w:bookmarkEnd w:id="352"/>
      <w:bookmarkStart w:id="353" w:name="_Toc184314439"/>
      <w:bookmarkEnd w:id="353"/>
      <w:bookmarkStart w:id="354" w:name="_Toc184308048"/>
      <w:bookmarkEnd w:id="354"/>
      <w:bookmarkStart w:id="355" w:name="_Toc184313269"/>
      <w:bookmarkEnd w:id="355"/>
      <w:bookmarkStart w:id="356" w:name="_Toc184314482"/>
      <w:bookmarkEnd w:id="356"/>
      <w:bookmarkStart w:id="357" w:name="_Toc184310278"/>
      <w:bookmarkEnd w:id="357"/>
      <w:bookmarkStart w:id="358" w:name="_Toc184312079"/>
      <w:bookmarkEnd w:id="358"/>
      <w:bookmarkStart w:id="359" w:name="_Toc184313251"/>
      <w:bookmarkEnd w:id="359"/>
      <w:bookmarkStart w:id="360" w:name="_Toc184308052"/>
      <w:bookmarkEnd w:id="360"/>
      <w:bookmarkStart w:id="361" w:name="_Toc184312101"/>
      <w:bookmarkEnd w:id="361"/>
      <w:bookmarkStart w:id="362" w:name="_Toc184313295"/>
      <w:bookmarkEnd w:id="362"/>
      <w:bookmarkStart w:id="363" w:name="_Toc184313298"/>
      <w:bookmarkEnd w:id="363"/>
      <w:bookmarkStart w:id="364" w:name="_Toc184308046"/>
      <w:bookmarkEnd w:id="364"/>
      <w:bookmarkStart w:id="365" w:name="_Toc184312114"/>
      <w:bookmarkEnd w:id="365"/>
      <w:bookmarkStart w:id="366" w:name="_Toc184310320"/>
      <w:bookmarkEnd w:id="366"/>
      <w:bookmarkStart w:id="367" w:name="_Toc184310293"/>
      <w:bookmarkEnd w:id="367"/>
      <w:bookmarkStart w:id="368" w:name="_Toc184313287"/>
      <w:bookmarkEnd w:id="368"/>
      <w:bookmarkStart w:id="369" w:name="_Toc184314434"/>
      <w:bookmarkEnd w:id="369"/>
      <w:bookmarkStart w:id="370" w:name="_Toc184308105"/>
      <w:bookmarkEnd w:id="370"/>
      <w:bookmarkStart w:id="371" w:name="_Toc184313277"/>
      <w:bookmarkEnd w:id="371"/>
      <w:bookmarkStart w:id="372" w:name="_Toc184312070"/>
      <w:bookmarkEnd w:id="372"/>
      <w:bookmarkStart w:id="373" w:name="_Toc184313248"/>
      <w:bookmarkEnd w:id="373"/>
      <w:bookmarkStart w:id="374" w:name="_Toc184310306"/>
      <w:bookmarkEnd w:id="374"/>
      <w:bookmarkStart w:id="375" w:name="_Toc184313288"/>
      <w:bookmarkEnd w:id="375"/>
      <w:bookmarkStart w:id="376" w:name="_Toc184314414"/>
      <w:bookmarkEnd w:id="376"/>
      <w:bookmarkStart w:id="377" w:name="_Toc184312093"/>
      <w:bookmarkEnd w:id="377"/>
      <w:bookmarkStart w:id="378" w:name="_Toc184308059"/>
      <w:bookmarkEnd w:id="378"/>
      <w:bookmarkStart w:id="379" w:name="_Toc184314469"/>
      <w:bookmarkEnd w:id="379"/>
      <w:bookmarkStart w:id="380" w:name="_Toc184313306"/>
      <w:bookmarkEnd w:id="380"/>
      <w:bookmarkStart w:id="381" w:name="_Toc184313254"/>
      <w:bookmarkEnd w:id="381"/>
      <w:bookmarkStart w:id="382" w:name="_Toc184310314"/>
      <w:bookmarkEnd w:id="382"/>
      <w:bookmarkStart w:id="383" w:name="_Toc184312136"/>
      <w:bookmarkEnd w:id="383"/>
      <w:bookmarkStart w:id="384" w:name="_Toc184312115"/>
      <w:bookmarkEnd w:id="384"/>
      <w:bookmarkStart w:id="385" w:name="_Toc184310316"/>
      <w:bookmarkEnd w:id="385"/>
      <w:bookmarkStart w:id="386" w:name="_Toc184310272"/>
      <w:bookmarkEnd w:id="386"/>
      <w:bookmarkStart w:id="387" w:name="_Toc184308037"/>
      <w:bookmarkEnd w:id="387"/>
      <w:bookmarkStart w:id="388" w:name="_Toc184313281"/>
      <w:bookmarkEnd w:id="388"/>
      <w:bookmarkStart w:id="389" w:name="_Toc184308068"/>
      <w:bookmarkEnd w:id="389"/>
      <w:bookmarkStart w:id="390" w:name="_Toc184314416"/>
      <w:bookmarkEnd w:id="390"/>
      <w:bookmarkStart w:id="391" w:name="_Toc184310282"/>
      <w:bookmarkEnd w:id="391"/>
      <w:bookmarkStart w:id="392" w:name="_Toc184312127"/>
      <w:bookmarkEnd w:id="392"/>
      <w:r>
        <w:rPr>
          <w:rFonts w:hint="eastAsia" w:ascii="宋体" w:hAnsi="宋体" w:cs="宋体"/>
          <w:b/>
          <w:color w:val="auto"/>
          <w:sz w:val="36"/>
          <w:szCs w:val="36"/>
          <w:highlight w:val="none"/>
        </w:rPr>
        <w:t>评标办法</w:t>
      </w:r>
    </w:p>
    <w:p w14:paraId="342CF36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4082"/>
        <w:gridCol w:w="836"/>
        <w:gridCol w:w="1254"/>
        <w:gridCol w:w="2349"/>
      </w:tblGrid>
      <w:tr w14:paraId="623A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23562C5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197" w:type="pct"/>
            <w:vAlign w:val="center"/>
          </w:tcPr>
          <w:p w14:paraId="281E707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50" w:type="pct"/>
            <w:vAlign w:val="center"/>
          </w:tcPr>
          <w:p w14:paraId="0BA7AE9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675" w:type="pct"/>
            <w:vAlign w:val="center"/>
          </w:tcPr>
          <w:p w14:paraId="1503E70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264" w:type="pct"/>
          </w:tcPr>
          <w:p w14:paraId="6F2FCE8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24A7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06CDEE1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2197" w:type="pct"/>
            <w:vAlign w:val="center"/>
          </w:tcPr>
          <w:p w14:paraId="6FC2CF02">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供应商自2021年12月1日以来承担过类似保洁业绩的，每提供1个得0.5分，最多得1分。须提供合同复印件作为证明材料，否则不得分。</w:t>
            </w:r>
          </w:p>
        </w:tc>
        <w:tc>
          <w:tcPr>
            <w:tcW w:w="450" w:type="pct"/>
            <w:vAlign w:val="center"/>
          </w:tcPr>
          <w:p w14:paraId="778CBC1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75" w:type="pct"/>
            <w:vAlign w:val="center"/>
          </w:tcPr>
          <w:p w14:paraId="0EF5954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64" w:type="pct"/>
          </w:tcPr>
          <w:p w14:paraId="63C4630A">
            <w:pPr>
              <w:snapToGrid w:val="0"/>
              <w:spacing w:line="360" w:lineRule="auto"/>
              <w:jc w:val="center"/>
              <w:rPr>
                <w:rFonts w:cs="仿宋_GB2312" w:asciiTheme="minorEastAsia" w:hAnsiTheme="minorEastAsia" w:eastAsiaTheme="minorEastAsia"/>
                <w:color w:val="auto"/>
                <w:sz w:val="24"/>
                <w:highlight w:val="none"/>
              </w:rPr>
            </w:pPr>
          </w:p>
        </w:tc>
      </w:tr>
      <w:tr w14:paraId="15AB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687C914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2197" w:type="pct"/>
            <w:vAlign w:val="center"/>
          </w:tcPr>
          <w:p w14:paraId="7582EDFD">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供应商具有环境管理体系认证的得1分；具有职业健康安全管理体系认证的得1分；具有质量管理体系认证的得1分。须提供有效期内证书扫描件作为证明材料，否则不得分。</w:t>
            </w:r>
          </w:p>
        </w:tc>
        <w:tc>
          <w:tcPr>
            <w:tcW w:w="450" w:type="pct"/>
            <w:vAlign w:val="center"/>
          </w:tcPr>
          <w:p w14:paraId="679160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75" w:type="pct"/>
            <w:vAlign w:val="center"/>
          </w:tcPr>
          <w:p w14:paraId="59D41E9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64" w:type="pct"/>
          </w:tcPr>
          <w:p w14:paraId="26200F5D">
            <w:pPr>
              <w:snapToGrid w:val="0"/>
              <w:spacing w:line="360" w:lineRule="auto"/>
              <w:jc w:val="center"/>
              <w:rPr>
                <w:rFonts w:cs="仿宋_GB2312" w:asciiTheme="minorEastAsia" w:hAnsiTheme="minorEastAsia" w:eastAsiaTheme="minorEastAsia"/>
                <w:color w:val="auto"/>
                <w:sz w:val="24"/>
                <w:highlight w:val="none"/>
              </w:rPr>
            </w:pPr>
          </w:p>
        </w:tc>
      </w:tr>
      <w:tr w14:paraId="75CC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2DA18BE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2197" w:type="pct"/>
            <w:vAlign w:val="center"/>
          </w:tcPr>
          <w:p w14:paraId="2D7E1690">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日常清卫保洁实施方案具有操作性且符合实际需求得4分；</w:t>
            </w:r>
            <w:r>
              <w:rPr>
                <w:rFonts w:hint="eastAsia" w:cs="仿宋_GB2312" w:asciiTheme="minorEastAsia" w:hAnsiTheme="minorEastAsia" w:eastAsiaTheme="minorEastAsia"/>
                <w:color w:val="auto"/>
                <w:sz w:val="24"/>
                <w:highlight w:val="none"/>
              </w:rPr>
              <w:t>较为科学合理的得2分；</w:t>
            </w:r>
            <w:r>
              <w:rPr>
                <w:rFonts w:hint="eastAsia" w:cs="仿宋_GB2312" w:asciiTheme="minorEastAsia" w:hAnsiTheme="minorEastAsia" w:eastAsiaTheme="minorEastAsia"/>
                <w:color w:val="auto"/>
                <w:sz w:val="24"/>
                <w:highlight w:val="none"/>
                <w:lang w:val="zh-CN"/>
              </w:rPr>
              <w:t>不够完善且有缺失的得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36445CE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62E7D46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1D3D4EE2">
            <w:pPr>
              <w:snapToGrid w:val="0"/>
              <w:spacing w:line="360" w:lineRule="auto"/>
              <w:jc w:val="center"/>
              <w:rPr>
                <w:rFonts w:cs="仿宋_GB2312" w:asciiTheme="minorEastAsia" w:hAnsiTheme="minorEastAsia" w:eastAsiaTheme="minorEastAsia"/>
                <w:color w:val="auto"/>
                <w:sz w:val="24"/>
                <w:highlight w:val="none"/>
              </w:rPr>
            </w:pPr>
          </w:p>
        </w:tc>
      </w:tr>
      <w:tr w14:paraId="4654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54305B7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2197" w:type="pct"/>
            <w:vAlign w:val="center"/>
          </w:tcPr>
          <w:p w14:paraId="63D7B536">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盘山公路保洁实施方案</w:t>
            </w:r>
            <w:r>
              <w:rPr>
                <w:rFonts w:hint="eastAsia" w:cs="仿宋_GB2312" w:asciiTheme="minorEastAsia" w:hAnsiTheme="minorEastAsia" w:eastAsiaTheme="minorEastAsia"/>
                <w:color w:val="auto"/>
                <w:sz w:val="24"/>
                <w:highlight w:val="none"/>
                <w:lang w:val="zh-CN"/>
              </w:rPr>
              <w:t>具有操作性且符合实际需求得4分；</w:t>
            </w:r>
            <w:r>
              <w:rPr>
                <w:rFonts w:hint="eastAsia" w:cs="仿宋_GB2312" w:asciiTheme="minorEastAsia" w:hAnsiTheme="minorEastAsia" w:eastAsiaTheme="minorEastAsia"/>
                <w:color w:val="auto"/>
                <w:sz w:val="24"/>
                <w:highlight w:val="none"/>
              </w:rPr>
              <w:t>较为科学合理的得2分；</w:t>
            </w:r>
            <w:r>
              <w:rPr>
                <w:rFonts w:hint="eastAsia" w:cs="仿宋_GB2312" w:asciiTheme="minorEastAsia" w:hAnsiTheme="minorEastAsia" w:eastAsiaTheme="minorEastAsia"/>
                <w:color w:val="auto"/>
                <w:sz w:val="24"/>
                <w:highlight w:val="none"/>
                <w:lang w:val="zh-CN"/>
              </w:rPr>
              <w:t>不够完善且有缺失的得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2F08B1A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4C4CE90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4BB584C8">
            <w:pPr>
              <w:snapToGrid w:val="0"/>
              <w:spacing w:line="360" w:lineRule="auto"/>
              <w:jc w:val="center"/>
              <w:rPr>
                <w:rFonts w:cs="仿宋_GB2312" w:asciiTheme="minorEastAsia" w:hAnsiTheme="minorEastAsia" w:eastAsiaTheme="minorEastAsia"/>
                <w:color w:val="auto"/>
                <w:sz w:val="24"/>
                <w:highlight w:val="none"/>
              </w:rPr>
            </w:pPr>
          </w:p>
        </w:tc>
      </w:tr>
      <w:tr w14:paraId="1BAA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7083653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2197" w:type="pct"/>
            <w:vAlign w:val="center"/>
          </w:tcPr>
          <w:p w14:paraId="0765DA31">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公厕保洁</w:t>
            </w:r>
            <w:r>
              <w:rPr>
                <w:rFonts w:hint="eastAsia" w:cs="仿宋_GB2312" w:asciiTheme="minorEastAsia" w:hAnsiTheme="minorEastAsia" w:eastAsiaTheme="minorEastAsia"/>
                <w:color w:val="auto"/>
                <w:sz w:val="24"/>
                <w:highlight w:val="none"/>
              </w:rPr>
              <w:t>实</w:t>
            </w:r>
            <w:r>
              <w:rPr>
                <w:rFonts w:hint="eastAsia" w:cs="仿宋_GB2312" w:asciiTheme="minorEastAsia" w:hAnsiTheme="minorEastAsia" w:eastAsiaTheme="minorEastAsia"/>
                <w:color w:val="auto"/>
                <w:sz w:val="24"/>
                <w:highlight w:val="none"/>
                <w:lang w:val="zh-CN"/>
              </w:rPr>
              <w:t>施方案具有操作性且符合实际需求得4分；</w:t>
            </w:r>
            <w:r>
              <w:rPr>
                <w:rFonts w:hint="eastAsia" w:cs="仿宋_GB2312" w:asciiTheme="minorEastAsia" w:hAnsiTheme="minorEastAsia" w:eastAsiaTheme="minorEastAsia"/>
                <w:color w:val="auto"/>
                <w:sz w:val="24"/>
                <w:highlight w:val="none"/>
              </w:rPr>
              <w:t>较为科学合理的得2分；</w:t>
            </w:r>
            <w:r>
              <w:rPr>
                <w:rFonts w:hint="eastAsia" w:cs="仿宋_GB2312" w:asciiTheme="minorEastAsia" w:hAnsiTheme="minorEastAsia" w:eastAsiaTheme="minorEastAsia"/>
                <w:color w:val="auto"/>
                <w:sz w:val="24"/>
                <w:highlight w:val="none"/>
                <w:lang w:val="zh-CN"/>
              </w:rPr>
              <w:t>不够完善且有缺失的得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0C098FE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798F92E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7169D0A1">
            <w:pPr>
              <w:snapToGrid w:val="0"/>
              <w:spacing w:line="360" w:lineRule="auto"/>
              <w:jc w:val="center"/>
              <w:rPr>
                <w:rFonts w:cs="仿宋_GB2312" w:asciiTheme="minorEastAsia" w:hAnsiTheme="minorEastAsia" w:eastAsiaTheme="minorEastAsia"/>
                <w:color w:val="auto"/>
                <w:sz w:val="24"/>
                <w:highlight w:val="none"/>
              </w:rPr>
            </w:pPr>
          </w:p>
        </w:tc>
      </w:tr>
      <w:tr w14:paraId="125E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1F26039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2197" w:type="pct"/>
            <w:vAlign w:val="center"/>
          </w:tcPr>
          <w:p w14:paraId="486EDAD0">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水</w:t>
            </w:r>
            <w:r>
              <w:rPr>
                <w:rFonts w:hint="eastAsia" w:cs="仿宋_GB2312" w:asciiTheme="minorEastAsia" w:hAnsiTheme="minorEastAsia" w:eastAsiaTheme="minorEastAsia"/>
                <w:color w:val="auto"/>
                <w:sz w:val="24"/>
                <w:highlight w:val="none"/>
              </w:rPr>
              <w:t>体</w:t>
            </w:r>
            <w:r>
              <w:rPr>
                <w:rFonts w:hint="eastAsia" w:cs="仿宋_GB2312" w:asciiTheme="minorEastAsia" w:hAnsiTheme="minorEastAsia" w:eastAsiaTheme="minorEastAsia"/>
                <w:color w:val="auto"/>
                <w:sz w:val="24"/>
                <w:highlight w:val="none"/>
                <w:lang w:val="zh-CN"/>
              </w:rPr>
              <w:t>保洁实施方案具有操作性且符合实际需求得4分；</w:t>
            </w:r>
            <w:r>
              <w:rPr>
                <w:rFonts w:hint="eastAsia" w:cs="仿宋_GB2312" w:asciiTheme="minorEastAsia" w:hAnsiTheme="minorEastAsia" w:eastAsiaTheme="minorEastAsia"/>
                <w:color w:val="auto"/>
                <w:sz w:val="24"/>
                <w:highlight w:val="none"/>
              </w:rPr>
              <w:t>较为科学合理的得2分；</w:t>
            </w:r>
            <w:r>
              <w:rPr>
                <w:rFonts w:hint="eastAsia" w:cs="仿宋_GB2312" w:asciiTheme="minorEastAsia" w:hAnsiTheme="minorEastAsia" w:eastAsiaTheme="minorEastAsia"/>
                <w:color w:val="auto"/>
                <w:sz w:val="24"/>
                <w:highlight w:val="none"/>
                <w:lang w:val="zh-CN"/>
              </w:rPr>
              <w:t>不够完善且有缺失的得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6DA2655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713CB86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2A0C1053">
            <w:pPr>
              <w:snapToGrid w:val="0"/>
              <w:spacing w:line="360" w:lineRule="auto"/>
              <w:jc w:val="center"/>
              <w:rPr>
                <w:rFonts w:cs="仿宋_GB2312" w:asciiTheme="minorEastAsia" w:hAnsiTheme="minorEastAsia" w:eastAsiaTheme="minorEastAsia"/>
                <w:color w:val="auto"/>
                <w:sz w:val="24"/>
                <w:highlight w:val="none"/>
              </w:rPr>
            </w:pPr>
          </w:p>
        </w:tc>
      </w:tr>
      <w:tr w14:paraId="34C3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52C67FF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2197" w:type="pct"/>
            <w:vAlign w:val="center"/>
          </w:tcPr>
          <w:p w14:paraId="301DF1ED">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山林保洁实施方案具有操作性且符合实际需求得4分；</w:t>
            </w:r>
            <w:r>
              <w:rPr>
                <w:rFonts w:hint="eastAsia" w:cs="仿宋_GB2312" w:asciiTheme="minorEastAsia" w:hAnsiTheme="minorEastAsia" w:eastAsiaTheme="minorEastAsia"/>
                <w:color w:val="auto"/>
                <w:sz w:val="24"/>
                <w:highlight w:val="none"/>
              </w:rPr>
              <w:t>较为科学合理的得2分；</w:t>
            </w:r>
            <w:r>
              <w:rPr>
                <w:rFonts w:hint="eastAsia" w:cs="仿宋_GB2312" w:asciiTheme="minorEastAsia" w:hAnsiTheme="minorEastAsia" w:eastAsiaTheme="minorEastAsia"/>
                <w:color w:val="auto"/>
                <w:sz w:val="24"/>
                <w:highlight w:val="none"/>
                <w:lang w:val="zh-CN"/>
              </w:rPr>
              <w:t>不够完善且有缺失的得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5F7147B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4782188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3105B6FF">
            <w:pPr>
              <w:snapToGrid w:val="0"/>
              <w:spacing w:line="360" w:lineRule="auto"/>
              <w:jc w:val="center"/>
              <w:rPr>
                <w:rFonts w:cs="仿宋_GB2312" w:asciiTheme="minorEastAsia" w:hAnsiTheme="minorEastAsia" w:eastAsiaTheme="minorEastAsia"/>
                <w:color w:val="auto"/>
                <w:sz w:val="24"/>
                <w:highlight w:val="none"/>
              </w:rPr>
            </w:pPr>
          </w:p>
        </w:tc>
      </w:tr>
      <w:tr w14:paraId="7BA1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3EC0846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2197" w:type="pct"/>
            <w:vAlign w:val="center"/>
          </w:tcPr>
          <w:p w14:paraId="0C54463E">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城市家具保洁实施方案具有操作性且符合实际需求得4分；</w:t>
            </w:r>
            <w:r>
              <w:rPr>
                <w:rFonts w:hint="eastAsia" w:cs="仿宋_GB2312" w:asciiTheme="minorEastAsia" w:hAnsiTheme="minorEastAsia" w:eastAsiaTheme="minorEastAsia"/>
                <w:color w:val="auto"/>
                <w:sz w:val="24"/>
                <w:highlight w:val="none"/>
              </w:rPr>
              <w:t>较为科学合理的得2分；</w:t>
            </w:r>
            <w:r>
              <w:rPr>
                <w:rFonts w:hint="eastAsia" w:cs="仿宋_GB2312" w:asciiTheme="minorEastAsia" w:hAnsiTheme="minorEastAsia" w:eastAsiaTheme="minorEastAsia"/>
                <w:color w:val="auto"/>
                <w:sz w:val="24"/>
                <w:highlight w:val="none"/>
                <w:lang w:val="zh-CN"/>
              </w:rPr>
              <w:t>不够完善且有缺失的得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4C6CC4D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5D01919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4D277E1F">
            <w:pPr>
              <w:snapToGrid w:val="0"/>
              <w:spacing w:line="360" w:lineRule="auto"/>
              <w:jc w:val="center"/>
              <w:rPr>
                <w:rFonts w:cs="仿宋_GB2312" w:asciiTheme="minorEastAsia" w:hAnsiTheme="minorEastAsia" w:eastAsiaTheme="minorEastAsia"/>
                <w:color w:val="auto"/>
                <w:sz w:val="24"/>
                <w:highlight w:val="none"/>
              </w:rPr>
            </w:pPr>
          </w:p>
        </w:tc>
      </w:tr>
      <w:tr w14:paraId="23B5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6D0D6DB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2197" w:type="pct"/>
            <w:vAlign w:val="center"/>
          </w:tcPr>
          <w:p w14:paraId="764A3ABE">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针对服务方案的岗位出勤率保障措施具有较强的针对性、操作性、计划安排科学合理的得4分；针对性，操作性，计划安排科学合理性较强的得2分；针对性，操作性，计划安排科学合理性一般的得1分；</w:t>
            </w:r>
            <w:r>
              <w:rPr>
                <w:rFonts w:hint="eastAsia" w:cs="仿宋_GB2312" w:asciiTheme="minorEastAsia" w:hAnsiTheme="minorEastAsia" w:eastAsiaTheme="minorEastAsia"/>
                <w:color w:val="auto"/>
                <w:sz w:val="24"/>
                <w:highlight w:val="none"/>
                <w:lang w:val="zh-CN"/>
              </w:rPr>
              <w:t>未提供此项内容的不得分。</w:t>
            </w:r>
          </w:p>
        </w:tc>
        <w:tc>
          <w:tcPr>
            <w:tcW w:w="450" w:type="pct"/>
          </w:tcPr>
          <w:p w14:paraId="476DA01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48E86FE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6E7B7D2A">
            <w:pPr>
              <w:snapToGrid w:val="0"/>
              <w:spacing w:line="360" w:lineRule="auto"/>
              <w:jc w:val="center"/>
              <w:rPr>
                <w:rFonts w:cs="仿宋_GB2312" w:asciiTheme="minorEastAsia" w:hAnsiTheme="minorEastAsia" w:eastAsiaTheme="minorEastAsia"/>
                <w:color w:val="auto"/>
                <w:sz w:val="24"/>
                <w:highlight w:val="none"/>
              </w:rPr>
            </w:pPr>
          </w:p>
        </w:tc>
      </w:tr>
      <w:tr w14:paraId="70AF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4E1DD76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2197" w:type="pct"/>
            <w:vAlign w:val="center"/>
          </w:tcPr>
          <w:p w14:paraId="025109C1">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清卫保洁质量管理保障体系（含人员、制度）和控制措施、手段、方法能满足质量目标的实现且符合采购需求的得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较好的得2分；</w:t>
            </w:r>
            <w:r>
              <w:rPr>
                <w:rFonts w:hint="eastAsia" w:cs="仿宋_GB2312" w:asciiTheme="minorEastAsia" w:hAnsiTheme="minorEastAsia" w:eastAsiaTheme="minorEastAsia"/>
                <w:color w:val="auto"/>
                <w:sz w:val="24"/>
                <w:highlight w:val="none"/>
                <w:lang w:val="zh-CN"/>
              </w:rPr>
              <w:t>部分符合得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366654A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45397A8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7356F136">
            <w:pPr>
              <w:snapToGrid w:val="0"/>
              <w:spacing w:line="360" w:lineRule="auto"/>
              <w:jc w:val="center"/>
              <w:rPr>
                <w:rFonts w:cs="仿宋_GB2312" w:asciiTheme="minorEastAsia" w:hAnsiTheme="minorEastAsia" w:eastAsiaTheme="minorEastAsia"/>
                <w:color w:val="auto"/>
                <w:sz w:val="24"/>
                <w:highlight w:val="none"/>
              </w:rPr>
            </w:pPr>
          </w:p>
        </w:tc>
      </w:tr>
      <w:tr w14:paraId="2994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087A5FE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2197" w:type="pct"/>
            <w:vAlign w:val="center"/>
          </w:tcPr>
          <w:p w14:paraId="2F208C25">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旅游高峰期间、节假日期间等特殊时期保洁的具体保证措施能满足质量目标的实现且符合采购需求的得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较好的得2分；</w:t>
            </w:r>
            <w:r>
              <w:rPr>
                <w:rFonts w:hint="eastAsia" w:cs="仿宋_GB2312" w:asciiTheme="minorEastAsia" w:hAnsiTheme="minorEastAsia" w:eastAsiaTheme="minorEastAsia"/>
                <w:color w:val="auto"/>
                <w:sz w:val="24"/>
                <w:highlight w:val="none"/>
                <w:lang w:val="zh-CN"/>
              </w:rPr>
              <w:t>部分符合得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26362CF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0087B50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33F7D0E8">
            <w:pPr>
              <w:snapToGrid w:val="0"/>
              <w:spacing w:line="360" w:lineRule="auto"/>
              <w:jc w:val="center"/>
              <w:rPr>
                <w:rFonts w:cs="仿宋_GB2312" w:asciiTheme="minorEastAsia" w:hAnsiTheme="minorEastAsia" w:eastAsiaTheme="minorEastAsia"/>
                <w:color w:val="auto"/>
                <w:sz w:val="24"/>
                <w:highlight w:val="none"/>
              </w:rPr>
            </w:pPr>
          </w:p>
        </w:tc>
      </w:tr>
      <w:tr w14:paraId="3090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7250113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2197" w:type="pct"/>
            <w:vAlign w:val="center"/>
          </w:tcPr>
          <w:p w14:paraId="240A8241">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重大检查、自然灾情等特殊时期保洁的具体保证措施能满足质量目标的实现且符合采购需求的得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较好的得2分；</w:t>
            </w:r>
            <w:r>
              <w:rPr>
                <w:rFonts w:hint="eastAsia" w:cs="仿宋_GB2312" w:asciiTheme="minorEastAsia" w:hAnsiTheme="minorEastAsia" w:eastAsiaTheme="minorEastAsia"/>
                <w:color w:val="auto"/>
                <w:sz w:val="24"/>
                <w:highlight w:val="none"/>
                <w:lang w:val="zh-CN"/>
              </w:rPr>
              <w:t>部分符合得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3904EB8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06BDA17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tcPr>
          <w:p w14:paraId="447FA22D">
            <w:pPr>
              <w:snapToGrid w:val="0"/>
              <w:spacing w:line="360" w:lineRule="auto"/>
              <w:jc w:val="center"/>
              <w:rPr>
                <w:rFonts w:cs="仿宋_GB2312" w:asciiTheme="minorEastAsia" w:hAnsiTheme="minorEastAsia" w:eastAsiaTheme="minorEastAsia"/>
                <w:color w:val="auto"/>
                <w:sz w:val="24"/>
                <w:highlight w:val="none"/>
              </w:rPr>
            </w:pPr>
          </w:p>
        </w:tc>
      </w:tr>
      <w:tr w14:paraId="7C31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7A8457F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2197" w:type="pct"/>
            <w:vAlign w:val="center"/>
          </w:tcPr>
          <w:p w14:paraId="4E1E8B95">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应急抢险（含抗雪、防冻、防台、防汛、抗旱等）</w:t>
            </w:r>
            <w:r>
              <w:rPr>
                <w:rFonts w:hint="eastAsia" w:cs="仿宋_GB2312" w:asciiTheme="minorEastAsia" w:hAnsiTheme="minorEastAsia" w:eastAsiaTheme="minorEastAsia"/>
                <w:color w:val="auto"/>
                <w:sz w:val="24"/>
                <w:highlight w:val="none"/>
              </w:rPr>
              <w:t>方案</w:t>
            </w:r>
            <w:r>
              <w:rPr>
                <w:rFonts w:hint="eastAsia" w:cs="仿宋_GB2312" w:asciiTheme="minorEastAsia" w:hAnsiTheme="minorEastAsia" w:eastAsiaTheme="minorEastAsia"/>
                <w:color w:val="auto"/>
                <w:sz w:val="24"/>
                <w:highlight w:val="none"/>
                <w:lang w:val="zh-CN"/>
              </w:rPr>
              <w:t>能满足质量目标的实现且符合采购需求的得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较好的得2分；</w:t>
            </w:r>
            <w:r>
              <w:rPr>
                <w:rFonts w:hint="eastAsia" w:cs="仿宋_GB2312" w:asciiTheme="minorEastAsia" w:hAnsiTheme="minorEastAsia" w:eastAsiaTheme="minorEastAsia"/>
                <w:color w:val="auto"/>
                <w:sz w:val="24"/>
                <w:highlight w:val="none"/>
                <w:lang w:val="zh-CN"/>
              </w:rPr>
              <w:t>部分符合得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7E17AF2F">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6313F26B">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68652C2B">
            <w:pPr>
              <w:spacing w:line="360" w:lineRule="auto"/>
              <w:jc w:val="center"/>
              <w:outlineLvl w:val="0"/>
              <w:rPr>
                <w:rFonts w:cs="仿宋_GB2312" w:asciiTheme="minorEastAsia" w:hAnsiTheme="minorEastAsia" w:eastAsiaTheme="minorEastAsia"/>
                <w:color w:val="auto"/>
                <w:sz w:val="24"/>
                <w:highlight w:val="none"/>
              </w:rPr>
            </w:pPr>
          </w:p>
        </w:tc>
      </w:tr>
      <w:tr w14:paraId="196D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470910F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2197" w:type="pct"/>
            <w:vAlign w:val="center"/>
          </w:tcPr>
          <w:p w14:paraId="2870037E">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w:t>
            </w:r>
            <w:r>
              <w:rPr>
                <w:rFonts w:hint="eastAsia" w:cs="仿宋_GB2312" w:asciiTheme="minorEastAsia" w:hAnsiTheme="minorEastAsia" w:eastAsiaTheme="minorEastAsia"/>
                <w:color w:val="auto"/>
                <w:sz w:val="24"/>
                <w:highlight w:val="none"/>
                <w:lang w:val="zh-CN"/>
              </w:rPr>
              <w:t>洁安全保证体系和安全管理制度健全得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较为健全的得2分；制度表现一般的</w:t>
            </w:r>
            <w:r>
              <w:rPr>
                <w:rFonts w:hint="eastAsia" w:cs="仿宋_GB2312" w:asciiTheme="minorEastAsia" w:hAnsiTheme="minorEastAsia" w:eastAsiaTheme="minorEastAsia"/>
                <w:color w:val="auto"/>
                <w:sz w:val="24"/>
                <w:highlight w:val="none"/>
                <w:lang w:val="zh-CN"/>
              </w:rPr>
              <w:t>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0052DF5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0583A4A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5A4EE016">
            <w:pPr>
              <w:spacing w:line="360" w:lineRule="auto"/>
              <w:jc w:val="center"/>
              <w:outlineLvl w:val="0"/>
              <w:rPr>
                <w:rFonts w:cs="仿宋_GB2312" w:asciiTheme="minorEastAsia" w:hAnsiTheme="minorEastAsia" w:eastAsiaTheme="minorEastAsia"/>
                <w:color w:val="auto"/>
                <w:sz w:val="24"/>
                <w:highlight w:val="none"/>
              </w:rPr>
            </w:pPr>
          </w:p>
        </w:tc>
      </w:tr>
      <w:tr w14:paraId="4F93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398FED4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2197" w:type="pct"/>
            <w:vAlign w:val="center"/>
          </w:tcPr>
          <w:p w14:paraId="1A5AAD76">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安全培训教育落实到位、</w:t>
            </w:r>
            <w:r>
              <w:rPr>
                <w:rFonts w:hint="eastAsia" w:cs="仿宋_GB2312" w:asciiTheme="minorEastAsia" w:hAnsiTheme="minorEastAsia" w:eastAsiaTheme="minorEastAsia"/>
                <w:color w:val="auto"/>
                <w:sz w:val="24"/>
                <w:highlight w:val="none"/>
              </w:rPr>
              <w:t>有</w:t>
            </w:r>
            <w:r>
              <w:rPr>
                <w:rFonts w:hint="eastAsia" w:cs="仿宋_GB2312" w:asciiTheme="minorEastAsia" w:hAnsiTheme="minorEastAsia" w:eastAsiaTheme="minorEastAsia"/>
                <w:color w:val="auto"/>
                <w:sz w:val="24"/>
                <w:highlight w:val="none"/>
                <w:lang w:val="zh-CN"/>
              </w:rPr>
              <w:t>针对性的</w:t>
            </w:r>
            <w:r>
              <w:rPr>
                <w:rFonts w:hint="eastAsia" w:cs="仿宋_GB2312" w:asciiTheme="minorEastAsia" w:hAnsiTheme="minorEastAsia" w:eastAsiaTheme="minorEastAsia"/>
                <w:color w:val="auto"/>
                <w:sz w:val="24"/>
                <w:highlight w:val="none"/>
              </w:rPr>
              <w:t>得4分；较为科学合理的得2分；不够完善有缺失得1分；未提供此内容不得分。</w:t>
            </w:r>
          </w:p>
        </w:tc>
        <w:tc>
          <w:tcPr>
            <w:tcW w:w="450" w:type="pct"/>
            <w:vAlign w:val="center"/>
          </w:tcPr>
          <w:p w14:paraId="083C443C">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769312E6">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26B0205D">
            <w:pPr>
              <w:spacing w:line="360" w:lineRule="auto"/>
              <w:jc w:val="center"/>
              <w:outlineLvl w:val="0"/>
              <w:rPr>
                <w:rFonts w:cs="仿宋_GB2312" w:asciiTheme="minorEastAsia" w:hAnsiTheme="minorEastAsia" w:eastAsiaTheme="minorEastAsia"/>
                <w:color w:val="auto"/>
                <w:sz w:val="24"/>
                <w:highlight w:val="none"/>
              </w:rPr>
            </w:pPr>
          </w:p>
        </w:tc>
      </w:tr>
      <w:tr w14:paraId="6F02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2BE0A49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16</w:t>
            </w:r>
          </w:p>
        </w:tc>
        <w:tc>
          <w:tcPr>
            <w:tcW w:w="2197" w:type="pct"/>
            <w:vAlign w:val="center"/>
          </w:tcPr>
          <w:p w14:paraId="1794C90B">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文</w:t>
            </w:r>
            <w:r>
              <w:rPr>
                <w:rFonts w:hint="eastAsia" w:cs="仿宋_GB2312" w:asciiTheme="minorEastAsia" w:hAnsiTheme="minorEastAsia" w:eastAsiaTheme="minorEastAsia"/>
                <w:color w:val="auto"/>
                <w:sz w:val="24"/>
                <w:highlight w:val="none"/>
                <w:lang w:val="zh-CN"/>
              </w:rPr>
              <w:t>明保洁管理措施</w:t>
            </w:r>
            <w:r>
              <w:rPr>
                <w:rFonts w:hint="eastAsia" w:cs="仿宋_GB2312" w:asciiTheme="minorEastAsia" w:hAnsiTheme="minorEastAsia" w:eastAsiaTheme="minorEastAsia"/>
                <w:color w:val="auto"/>
                <w:sz w:val="24"/>
                <w:highlight w:val="none"/>
              </w:rPr>
              <w:t>有针对性</w:t>
            </w:r>
            <w:r>
              <w:rPr>
                <w:rFonts w:hint="eastAsia" w:cs="仿宋_GB2312" w:asciiTheme="minorEastAsia" w:hAnsiTheme="minorEastAsia" w:eastAsiaTheme="minorEastAsia"/>
                <w:color w:val="auto"/>
                <w:sz w:val="24"/>
                <w:highlight w:val="none"/>
                <w:lang w:val="zh-CN"/>
              </w:rPr>
              <w:t>且符合采购需求的得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较为科学合理的得2分；不够完善有缺失得1分；未提供此内容不得分。</w:t>
            </w:r>
          </w:p>
        </w:tc>
        <w:tc>
          <w:tcPr>
            <w:tcW w:w="450" w:type="pct"/>
            <w:vAlign w:val="center"/>
          </w:tcPr>
          <w:p w14:paraId="54881305">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2A3D0271">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5DBE8413">
            <w:pPr>
              <w:spacing w:line="360" w:lineRule="auto"/>
              <w:jc w:val="center"/>
              <w:outlineLvl w:val="0"/>
              <w:rPr>
                <w:rFonts w:cs="仿宋_GB2312" w:asciiTheme="minorEastAsia" w:hAnsiTheme="minorEastAsia" w:eastAsiaTheme="minorEastAsia"/>
                <w:color w:val="auto"/>
                <w:sz w:val="24"/>
                <w:highlight w:val="none"/>
              </w:rPr>
            </w:pPr>
          </w:p>
        </w:tc>
      </w:tr>
      <w:tr w14:paraId="76BE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1B2038A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w:t>
            </w:r>
          </w:p>
        </w:tc>
        <w:tc>
          <w:tcPr>
            <w:tcW w:w="2197" w:type="pct"/>
            <w:vAlign w:val="center"/>
          </w:tcPr>
          <w:p w14:paraId="38E2A096">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环</w:t>
            </w:r>
            <w:r>
              <w:rPr>
                <w:rFonts w:hint="eastAsia" w:cs="仿宋_GB2312" w:asciiTheme="minorEastAsia" w:hAnsiTheme="minorEastAsia" w:eastAsiaTheme="minorEastAsia"/>
                <w:color w:val="auto"/>
                <w:sz w:val="24"/>
                <w:highlight w:val="none"/>
                <w:lang w:val="zh-CN"/>
              </w:rPr>
              <w:t>境保护措施</w:t>
            </w:r>
            <w:r>
              <w:rPr>
                <w:rFonts w:hint="eastAsia" w:cs="仿宋_GB2312" w:asciiTheme="minorEastAsia" w:hAnsiTheme="minorEastAsia" w:eastAsiaTheme="minorEastAsia"/>
                <w:color w:val="auto"/>
                <w:sz w:val="24"/>
                <w:highlight w:val="none"/>
              </w:rPr>
              <w:t>有针对性</w:t>
            </w:r>
            <w:r>
              <w:rPr>
                <w:rFonts w:hint="eastAsia" w:cs="仿宋_GB2312" w:asciiTheme="minorEastAsia" w:hAnsiTheme="minorEastAsia" w:eastAsiaTheme="minorEastAsia"/>
                <w:color w:val="auto"/>
                <w:sz w:val="24"/>
                <w:highlight w:val="none"/>
                <w:lang w:val="zh-CN"/>
              </w:rPr>
              <w:t>且符合采购需求的得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较为科学</w:t>
            </w:r>
            <w:r>
              <w:rPr>
                <w:rFonts w:hint="eastAsia" w:cs="仿宋_GB2312" w:asciiTheme="minorEastAsia" w:hAnsiTheme="minorEastAsia" w:eastAsiaTheme="minorEastAsia"/>
                <w:color w:val="auto"/>
                <w:sz w:val="24"/>
                <w:highlight w:val="none"/>
                <w:lang w:val="zh-CN"/>
              </w:rPr>
              <w:t>得</w:t>
            </w: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措施一般的得1分；未提供此内容不得分。</w:t>
            </w:r>
          </w:p>
        </w:tc>
        <w:tc>
          <w:tcPr>
            <w:tcW w:w="450" w:type="pct"/>
            <w:vAlign w:val="center"/>
          </w:tcPr>
          <w:p w14:paraId="0C427EA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28C5D785">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7CD6553C">
            <w:pPr>
              <w:spacing w:line="360" w:lineRule="auto"/>
              <w:jc w:val="center"/>
              <w:outlineLvl w:val="0"/>
              <w:rPr>
                <w:rFonts w:cs="仿宋_GB2312" w:asciiTheme="minorEastAsia" w:hAnsiTheme="minorEastAsia" w:eastAsiaTheme="minorEastAsia"/>
                <w:color w:val="auto"/>
                <w:sz w:val="24"/>
                <w:highlight w:val="none"/>
              </w:rPr>
            </w:pPr>
          </w:p>
        </w:tc>
      </w:tr>
      <w:tr w14:paraId="36F6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2FEED6A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18</w:t>
            </w:r>
          </w:p>
        </w:tc>
        <w:tc>
          <w:tcPr>
            <w:tcW w:w="2197" w:type="pct"/>
            <w:vAlign w:val="center"/>
          </w:tcPr>
          <w:p w14:paraId="18225287">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根据内部岗位责任制度、管理运作制度、管理人员考核制度及标准，要求应符合规范，体现制度的完整性和实用性且符合采购需求的得</w:t>
            </w:r>
            <w:r>
              <w:rPr>
                <w:rFonts w:hint="eastAsia"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lang w:val="zh-CN"/>
              </w:rPr>
              <w:t>分；</w:t>
            </w:r>
            <w:r>
              <w:rPr>
                <w:rFonts w:hint="eastAsia" w:cs="仿宋_GB2312" w:asciiTheme="minorEastAsia" w:hAnsiTheme="minorEastAsia" w:eastAsiaTheme="minorEastAsia"/>
                <w:color w:val="auto"/>
                <w:sz w:val="24"/>
                <w:highlight w:val="none"/>
              </w:rPr>
              <w:t>较为科学合理的得2分；不够完善有缺失得1分；未提供此内容不得分。</w:t>
            </w:r>
          </w:p>
        </w:tc>
        <w:tc>
          <w:tcPr>
            <w:tcW w:w="450" w:type="pct"/>
            <w:vAlign w:val="center"/>
          </w:tcPr>
          <w:p w14:paraId="24A64540">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28E47F1F">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21ABC5B8">
            <w:pPr>
              <w:spacing w:line="360" w:lineRule="auto"/>
              <w:jc w:val="center"/>
              <w:outlineLvl w:val="0"/>
              <w:rPr>
                <w:rFonts w:cs="仿宋_GB2312" w:asciiTheme="minorEastAsia" w:hAnsiTheme="minorEastAsia" w:eastAsiaTheme="minorEastAsia"/>
                <w:color w:val="auto"/>
                <w:sz w:val="24"/>
                <w:highlight w:val="none"/>
              </w:rPr>
            </w:pPr>
          </w:p>
        </w:tc>
      </w:tr>
      <w:tr w14:paraId="774D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6614C9A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19</w:t>
            </w:r>
          </w:p>
        </w:tc>
        <w:tc>
          <w:tcPr>
            <w:tcW w:w="2197" w:type="pct"/>
            <w:vAlign w:val="center"/>
          </w:tcPr>
          <w:p w14:paraId="55B078C6">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根据人员、设施、设备管理服务、采购人方反馈资料、行政文件资料等档案的建立与管理且符合采购需求的得4分；较为科学合理的得2分；不够完善有缺失得1分；未提供此内容不得分。</w:t>
            </w:r>
          </w:p>
        </w:tc>
        <w:tc>
          <w:tcPr>
            <w:tcW w:w="450" w:type="pct"/>
            <w:vAlign w:val="center"/>
          </w:tcPr>
          <w:p w14:paraId="6FA99AA8">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01F3003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4CA63AB4">
            <w:pPr>
              <w:spacing w:line="360" w:lineRule="auto"/>
              <w:jc w:val="center"/>
              <w:outlineLvl w:val="0"/>
              <w:rPr>
                <w:rFonts w:cs="仿宋_GB2312" w:asciiTheme="minorEastAsia" w:hAnsiTheme="minorEastAsia" w:eastAsiaTheme="minorEastAsia"/>
                <w:color w:val="auto"/>
                <w:sz w:val="24"/>
                <w:highlight w:val="none"/>
              </w:rPr>
            </w:pPr>
          </w:p>
        </w:tc>
      </w:tr>
      <w:tr w14:paraId="129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067C248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2197" w:type="pct"/>
            <w:vAlign w:val="center"/>
          </w:tcPr>
          <w:p w14:paraId="3AC9E1A9">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供应商有完善的运作流程、激励机制、监督机制、自我约束机制、信息反馈渠道及处理机制、财务保障机制的得4分；较为科学合理的得2分；不够完善有缺失得1分；未提供此内容不得分。</w:t>
            </w:r>
          </w:p>
        </w:tc>
        <w:tc>
          <w:tcPr>
            <w:tcW w:w="450" w:type="pct"/>
            <w:vAlign w:val="center"/>
          </w:tcPr>
          <w:p w14:paraId="1D7850F8">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45D8381E">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304C1B60">
            <w:pPr>
              <w:spacing w:line="360" w:lineRule="auto"/>
              <w:jc w:val="center"/>
              <w:outlineLvl w:val="0"/>
              <w:rPr>
                <w:rFonts w:cs="仿宋_GB2312" w:asciiTheme="minorEastAsia" w:hAnsiTheme="minorEastAsia" w:eastAsiaTheme="minorEastAsia"/>
                <w:color w:val="auto"/>
                <w:sz w:val="24"/>
                <w:highlight w:val="none"/>
              </w:rPr>
            </w:pPr>
          </w:p>
        </w:tc>
      </w:tr>
      <w:tr w14:paraId="7044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32AD2D7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2197" w:type="pct"/>
            <w:vAlign w:val="center"/>
          </w:tcPr>
          <w:p w14:paraId="41BA8BE9">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团队力量：</w:t>
            </w:r>
          </w:p>
          <w:p w14:paraId="00C72ADC">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拟派本项目服务团队的配置的全面性、专业性等以及服务团队综合实力与项目需求的吻合程度进行综合评分：</w:t>
            </w:r>
          </w:p>
          <w:p w14:paraId="3D696256">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（1）人员配置优于采购需求的要求（人员年轻化），各岗位人员配备齐全，且专业人员配置到位的得2分；其余的不得分；</w:t>
            </w:r>
          </w:p>
          <w:p w14:paraId="7A0B7751">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（2）岗位设置、分工和作息管理的合理、合规性；内容详实且有针对性的得4分；较为科学合理的得2分；不够完善有缺失得1分；未提供此内容不得分。</w:t>
            </w:r>
          </w:p>
        </w:tc>
        <w:tc>
          <w:tcPr>
            <w:tcW w:w="450" w:type="pct"/>
            <w:vAlign w:val="center"/>
          </w:tcPr>
          <w:p w14:paraId="2320205E">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675" w:type="pct"/>
            <w:vAlign w:val="center"/>
          </w:tcPr>
          <w:p w14:paraId="42FDED7D">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4A5BA291">
            <w:pPr>
              <w:spacing w:line="360" w:lineRule="auto"/>
              <w:jc w:val="center"/>
              <w:outlineLvl w:val="0"/>
              <w:rPr>
                <w:rFonts w:cs="仿宋_GB2312" w:asciiTheme="minorEastAsia" w:hAnsiTheme="minorEastAsia" w:eastAsiaTheme="minorEastAsia"/>
                <w:color w:val="auto"/>
                <w:sz w:val="24"/>
                <w:highlight w:val="none"/>
              </w:rPr>
            </w:pPr>
          </w:p>
        </w:tc>
      </w:tr>
      <w:tr w14:paraId="7A97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3BF57AF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2197" w:type="pct"/>
            <w:vAlign w:val="center"/>
          </w:tcPr>
          <w:p w14:paraId="0BD48602">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合理化建议：针对本项目的合理化建议，建议合理且有针对性的得</w:t>
            </w: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分；针对性一般的得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1B9A8E00">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75" w:type="pct"/>
            <w:vAlign w:val="center"/>
          </w:tcPr>
          <w:p w14:paraId="5F5F4E84">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2DD9E82F">
            <w:pPr>
              <w:spacing w:line="360" w:lineRule="auto"/>
              <w:jc w:val="center"/>
              <w:outlineLvl w:val="0"/>
              <w:rPr>
                <w:rFonts w:cs="仿宋_GB2312" w:asciiTheme="minorEastAsia" w:hAnsiTheme="minorEastAsia" w:eastAsiaTheme="minorEastAsia"/>
                <w:color w:val="auto"/>
                <w:sz w:val="24"/>
                <w:highlight w:val="none"/>
              </w:rPr>
            </w:pPr>
          </w:p>
        </w:tc>
      </w:tr>
      <w:tr w14:paraId="2A30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62DACFB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3</w:t>
            </w:r>
          </w:p>
        </w:tc>
        <w:tc>
          <w:tcPr>
            <w:tcW w:w="2197" w:type="pct"/>
            <w:vAlign w:val="center"/>
          </w:tcPr>
          <w:p w14:paraId="6E1FE617">
            <w:pPr>
              <w:snapToGrid w:val="0"/>
              <w:outlineLvl w:val="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优惠承诺：</w:t>
            </w:r>
          </w:p>
          <w:p w14:paraId="491592C6">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供应商对采购人的承诺内容(包括但不限于整改措施、质量保证、服从管理、优惠等方面）合理且有针对性的得</w:t>
            </w: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zh-CN"/>
              </w:rPr>
              <w:t>分；针对性一般的得</w:t>
            </w:r>
            <w:r>
              <w:rPr>
                <w:rFonts w:hint="eastAsia"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zh-CN"/>
              </w:rPr>
              <w:t>分；未提供此项内容的不得分。</w:t>
            </w:r>
          </w:p>
        </w:tc>
        <w:tc>
          <w:tcPr>
            <w:tcW w:w="450" w:type="pct"/>
            <w:vAlign w:val="center"/>
          </w:tcPr>
          <w:p w14:paraId="7E1D3FD9">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75" w:type="pct"/>
            <w:vAlign w:val="center"/>
          </w:tcPr>
          <w:p w14:paraId="3B10E5A7">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655A2B03">
            <w:pPr>
              <w:spacing w:line="360" w:lineRule="auto"/>
              <w:jc w:val="center"/>
              <w:outlineLvl w:val="0"/>
              <w:rPr>
                <w:rFonts w:cs="仿宋_GB2312" w:asciiTheme="minorEastAsia" w:hAnsiTheme="minorEastAsia" w:eastAsiaTheme="minorEastAsia"/>
                <w:color w:val="auto"/>
                <w:sz w:val="24"/>
                <w:highlight w:val="none"/>
              </w:rPr>
            </w:pPr>
          </w:p>
        </w:tc>
      </w:tr>
      <w:tr w14:paraId="20AC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6687C09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4</w:t>
            </w:r>
          </w:p>
        </w:tc>
        <w:tc>
          <w:tcPr>
            <w:tcW w:w="2197" w:type="pct"/>
            <w:vAlign w:val="center"/>
          </w:tcPr>
          <w:p w14:paraId="4DD46733">
            <w:pPr>
              <w:snapToGrid w:val="0"/>
              <w:outlineLvl w:val="0"/>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 w:val="24"/>
                <w:highlight w:val="none"/>
                <w:lang w:val="zh-CN"/>
              </w:rPr>
              <w:t>机具保障：</w:t>
            </w:r>
          </w:p>
          <w:p w14:paraId="67F08315">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rPr>
              <w:t>投入的清卫保洁工具设备配置齐全合理、全面科学且符合实际需求的得4分；设备配置一般的得</w:t>
            </w:r>
            <w:r>
              <w:rPr>
                <w:rFonts w:hint="eastAsia" w:cs="仿宋_GB2312" w:asciiTheme="minorEastAsia" w:hAnsiTheme="minorEastAsia" w:eastAsiaTheme="minorEastAsia"/>
                <w:color w:val="auto"/>
                <w:sz w:val="24"/>
                <w:highlight w:val="none"/>
              </w:rPr>
              <w:t>2分；</w:t>
            </w:r>
            <w:r>
              <w:rPr>
                <w:rFonts w:hint="eastAsia" w:cs="仿宋_GB2312" w:asciiTheme="minorEastAsia" w:hAnsiTheme="minorEastAsia" w:eastAsiaTheme="minorEastAsia"/>
                <w:color w:val="auto"/>
                <w:sz w:val="24"/>
                <w:highlight w:val="none"/>
                <w:lang w:val="zh-CN"/>
              </w:rPr>
              <w:t>设备配置</w:t>
            </w:r>
            <w:r>
              <w:rPr>
                <w:rFonts w:hint="eastAsia" w:cs="仿宋_GB2312" w:asciiTheme="minorEastAsia" w:hAnsiTheme="minorEastAsia" w:eastAsiaTheme="minorEastAsia"/>
                <w:color w:val="auto"/>
                <w:sz w:val="24"/>
                <w:highlight w:val="none"/>
              </w:rPr>
              <w:t>较差</w:t>
            </w:r>
            <w:r>
              <w:rPr>
                <w:rFonts w:hint="eastAsia" w:cs="仿宋_GB2312" w:asciiTheme="minorEastAsia" w:hAnsiTheme="minorEastAsia" w:eastAsiaTheme="minorEastAsia"/>
                <w:color w:val="auto"/>
                <w:sz w:val="24"/>
                <w:highlight w:val="none"/>
                <w:lang w:val="zh-CN"/>
              </w:rPr>
              <w:t>的得</w:t>
            </w:r>
            <w:r>
              <w:rPr>
                <w:rFonts w:hint="eastAsia" w:cs="仿宋_GB2312" w:asciiTheme="minorEastAsia" w:hAnsiTheme="minorEastAsia" w:eastAsiaTheme="minorEastAsia"/>
                <w:color w:val="auto"/>
                <w:sz w:val="24"/>
                <w:highlight w:val="none"/>
              </w:rPr>
              <w:t>1分；</w:t>
            </w:r>
            <w:r>
              <w:rPr>
                <w:rFonts w:hint="eastAsia" w:cs="仿宋_GB2312" w:asciiTheme="minorEastAsia" w:hAnsiTheme="minorEastAsia" w:eastAsiaTheme="minorEastAsia"/>
                <w:color w:val="auto"/>
                <w:sz w:val="24"/>
                <w:highlight w:val="none"/>
                <w:lang w:val="zh-CN"/>
              </w:rPr>
              <w:t>未提供此项内容的不得分。</w:t>
            </w:r>
          </w:p>
        </w:tc>
        <w:tc>
          <w:tcPr>
            <w:tcW w:w="450" w:type="pct"/>
            <w:vAlign w:val="center"/>
          </w:tcPr>
          <w:p w14:paraId="5BF3A5C2">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75" w:type="pct"/>
            <w:vAlign w:val="center"/>
          </w:tcPr>
          <w:p w14:paraId="581A84C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64" w:type="pct"/>
            <w:vAlign w:val="center"/>
          </w:tcPr>
          <w:p w14:paraId="0FDC7A53">
            <w:pPr>
              <w:spacing w:line="360" w:lineRule="auto"/>
              <w:jc w:val="center"/>
              <w:outlineLvl w:val="0"/>
              <w:rPr>
                <w:rFonts w:cs="仿宋_GB2312" w:asciiTheme="minorEastAsia" w:hAnsiTheme="minorEastAsia" w:eastAsiaTheme="minorEastAsia"/>
                <w:color w:val="auto"/>
                <w:sz w:val="24"/>
                <w:highlight w:val="none"/>
              </w:rPr>
            </w:pPr>
          </w:p>
        </w:tc>
      </w:tr>
      <w:tr w14:paraId="4195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5556E2BE">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lang w:val="en-US" w:eastAsia="zh-CN"/>
              </w:rPr>
              <w:t>5</w:t>
            </w:r>
            <w:bookmarkStart w:id="409" w:name="_GoBack"/>
            <w:bookmarkEnd w:id="409"/>
          </w:p>
        </w:tc>
        <w:tc>
          <w:tcPr>
            <w:tcW w:w="2197" w:type="pct"/>
          </w:tcPr>
          <w:p w14:paraId="29FA50D8">
            <w:pPr>
              <w:snapToGrid w:val="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10</w:t>
            </w:r>
            <w:r>
              <w:rPr>
                <w:rFonts w:cs="仿宋_GB2312" w:asciiTheme="minorEastAsia" w:hAnsiTheme="minorEastAsia" w:eastAsiaTheme="minorEastAsia"/>
                <w:color w:val="auto"/>
                <w:sz w:val="24"/>
                <w:highlight w:val="none"/>
              </w:rPr>
              <w:t>］的计算公式计算。</w:t>
            </w:r>
          </w:p>
          <w:p w14:paraId="4061B193">
            <w:pPr>
              <w:widowControl/>
              <w:shd w:val="clear" w:color="auto" w:fill="FFFFFF"/>
              <w:snapToGrid w:val="0"/>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450" w:type="pct"/>
            <w:vAlign w:val="center"/>
          </w:tcPr>
          <w:p w14:paraId="59FA6E20">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675" w:type="pct"/>
            <w:vAlign w:val="center"/>
          </w:tcPr>
          <w:p w14:paraId="4B35FE82">
            <w:pPr>
              <w:spacing w:line="360" w:lineRule="auto"/>
              <w:jc w:val="center"/>
              <w:outlineLvl w:val="0"/>
              <w:rPr>
                <w:rFonts w:cs="仿宋_GB2312" w:asciiTheme="minorEastAsia" w:hAnsiTheme="minorEastAsia" w:eastAsiaTheme="minorEastAsia"/>
                <w:color w:val="auto"/>
                <w:sz w:val="24"/>
                <w:highlight w:val="none"/>
              </w:rPr>
            </w:pPr>
          </w:p>
        </w:tc>
        <w:tc>
          <w:tcPr>
            <w:tcW w:w="1264" w:type="pct"/>
            <w:vAlign w:val="center"/>
          </w:tcPr>
          <w:p w14:paraId="4537A35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371A3E22">
      <w:pPr>
        <w:snapToGrid w:val="0"/>
        <w:spacing w:line="360" w:lineRule="auto"/>
        <w:rPr>
          <w:rFonts w:ascii="宋体" w:hAnsi="宋体" w:cs="宋体"/>
          <w:b/>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91D05C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14:paraId="5963F573">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6542556">
      <w:pPr>
        <w:snapToGrid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14:paraId="7778EBE3">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43C9F819">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三、评标程序</w:t>
      </w:r>
    </w:p>
    <w:p w14:paraId="1CD9BEFE">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D3FF761">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571C2B2">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CCA98F2">
      <w:pPr>
        <w:snapToGrid w:val="0"/>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7F3DCF">
      <w:pPr>
        <w:pStyle w:val="131"/>
        <w:snapToGrid w:val="0"/>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49EDAC5F">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37332AB">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4093DF4">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EE9466D">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CB782F9">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2DA8B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BEDCAC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D12A9F0">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002468">
      <w:pPr>
        <w:pStyle w:val="131"/>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C2786E">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E4C2F3">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3DCAF2">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BF6258">
      <w:pPr>
        <w:widowControl/>
        <w:shd w:val="clear" w:color="auto" w:fill="FFFFFF"/>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14:paraId="742588AA">
      <w:pPr>
        <w:pStyle w:val="131"/>
        <w:snapToGrid w:val="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6020FE">
      <w:pPr>
        <w:pStyle w:val="26"/>
        <w:snapToGrid w:val="0"/>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30BBED7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694FA37">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6A99D8D">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A68513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744F09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0AF9C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A8848D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F0BD53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D3DFA7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92AB204">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1F03044">
      <w:pPr>
        <w:snapToGrid w:val="0"/>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B758B3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499BF2C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7EF5F3C">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4.2.13 投标文件不满足招标文件的其它实质性要求的；</w:t>
      </w:r>
    </w:p>
    <w:p w14:paraId="6C0893F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B80D6B5">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2EF4221">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7466D0D">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27EEE6B2">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C3F2939">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1AE012ED">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434870A">
      <w:pPr>
        <w:pStyle w:val="26"/>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88E789">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A77462F">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2F58166">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EEED4AF">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A1C776">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E739610">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CA02D40">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t xml:space="preserve">   </w:t>
      </w:r>
    </w:p>
    <w:p w14:paraId="5A2AB227">
      <w:pPr>
        <w:pStyle w:val="2"/>
        <w:rPr>
          <w:color w:val="auto"/>
          <w:highlight w:val="none"/>
          <w:lang w:val="en-US"/>
        </w:rPr>
      </w:pPr>
    </w:p>
    <w:p w14:paraId="6D47A3A3">
      <w:pPr>
        <w:pStyle w:val="4"/>
        <w:rPr>
          <w:color w:val="auto"/>
          <w:highlight w:val="none"/>
        </w:rPr>
      </w:pPr>
    </w:p>
    <w:p w14:paraId="68D75525">
      <w:pPr>
        <w:rPr>
          <w:color w:val="auto"/>
          <w:highlight w:val="none"/>
        </w:rPr>
      </w:pPr>
    </w:p>
    <w:p w14:paraId="2DD9110D">
      <w:pPr>
        <w:pStyle w:val="2"/>
        <w:rPr>
          <w:color w:val="auto"/>
          <w:highlight w:val="none"/>
          <w:lang w:val="en-US"/>
        </w:rPr>
      </w:pPr>
    </w:p>
    <w:p w14:paraId="21F9A232">
      <w:pPr>
        <w:pStyle w:val="4"/>
        <w:rPr>
          <w:color w:val="auto"/>
          <w:highlight w:val="none"/>
        </w:rPr>
      </w:pPr>
    </w:p>
    <w:p w14:paraId="7E7D8CD0">
      <w:pPr>
        <w:rPr>
          <w:color w:val="auto"/>
          <w:highlight w:val="none"/>
        </w:rPr>
      </w:pPr>
    </w:p>
    <w:p w14:paraId="1727FB4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1FD5BDF">
      <w:pPr>
        <w:rPr>
          <w:rFonts w:ascii="宋体" w:hAnsi="宋体" w:cs="宋体"/>
          <w:b/>
          <w:color w:val="auto"/>
          <w:sz w:val="28"/>
          <w:szCs w:val="28"/>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2D88C1D">
      <w:pPr>
        <w:spacing w:line="480" w:lineRule="auto"/>
        <w:jc w:val="center"/>
        <w:rPr>
          <w:rFonts w:ascii="宋体" w:hAnsi="宋体" w:cs="宋体"/>
          <w:b/>
          <w:color w:val="auto"/>
          <w:sz w:val="24"/>
          <w:highlight w:val="none"/>
        </w:rPr>
      </w:pPr>
    </w:p>
    <w:p w14:paraId="29711BEB">
      <w:pPr>
        <w:spacing w:line="360" w:lineRule="auto"/>
        <w:jc w:val="center"/>
        <w:outlineLvl w:val="0"/>
        <w:rPr>
          <w:rFonts w:cs="宋体" w:asciiTheme="majorEastAsia" w:hAnsiTheme="majorEastAsia" w:eastAsiaTheme="majorEastAsia"/>
          <w:b/>
          <w:color w:val="auto"/>
          <w:sz w:val="36"/>
          <w:szCs w:val="36"/>
          <w:highlight w:val="none"/>
        </w:rPr>
      </w:pPr>
      <w:bookmarkStart w:id="395" w:name="_Toc433537976"/>
      <w:r>
        <w:rPr>
          <w:rFonts w:hint="eastAsia" w:cs="宋体" w:asciiTheme="majorEastAsia" w:hAnsiTheme="majorEastAsia" w:eastAsiaTheme="majorEastAsia"/>
          <w:b/>
          <w:color w:val="auto"/>
          <w:sz w:val="36"/>
          <w:szCs w:val="36"/>
          <w:highlight w:val="none"/>
        </w:rPr>
        <w:t>玉皇山景区、万松书院、爱情诗路清卫保洁服务</w:t>
      </w:r>
    </w:p>
    <w:p w14:paraId="7E8C6CA3">
      <w:pPr>
        <w:snapToGrid w:val="0"/>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（本合同为样稿，最终稿由双方协商后确定）</w:t>
      </w:r>
    </w:p>
    <w:p w14:paraId="6AE485C7">
      <w:pPr>
        <w:snapToGrid w:val="0"/>
        <w:spacing w:line="360" w:lineRule="auto"/>
        <w:ind w:firstLine="480" w:firstLineChars="200"/>
        <w:rPr>
          <w:rFonts w:cs="宋体" w:asciiTheme="majorEastAsia" w:hAnsiTheme="majorEastAsia" w:eastAsiaTheme="majorEastAsia"/>
          <w:color w:val="auto"/>
          <w:sz w:val="24"/>
          <w:highlight w:val="none"/>
        </w:rPr>
      </w:pPr>
    </w:p>
    <w:p w14:paraId="6302B992">
      <w:pPr>
        <w:snapToGrid w:val="0"/>
        <w:spacing w:line="360" w:lineRule="auto"/>
        <w:ind w:firstLine="480" w:firstLineChars="2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根据《中华人民共和国政府采购法》、《中华人民共和国民法典》及实施条例和相关法律法规，在平等、自愿、协商一致的基础上，就</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（采购人）委托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lang w:val="zh-CN"/>
        </w:rPr>
        <w:t>经评审最终确定的</w:t>
      </w:r>
      <w:r>
        <w:rPr>
          <w:rFonts w:hint="eastAsia" w:cs="宋体" w:asciiTheme="majorEastAsia" w:hAnsiTheme="majorEastAsia" w:eastAsiaTheme="majorEastAsia"/>
          <w:color w:val="auto"/>
          <w:sz w:val="24"/>
          <w:highlight w:val="none"/>
        </w:rPr>
        <w:t>成交供应商，即成交人）对玉皇山景区、万松书院、爱情诗路清卫保洁服务项目实行专业化、一体化的清卫保洁服务订立本合同</w:t>
      </w:r>
      <w:r>
        <w:rPr>
          <w:rFonts w:hint="eastAsia" w:ascii="宋体" w:hAnsi="宋体" w:cs="宋体"/>
          <w:color w:val="auto"/>
          <w:sz w:val="24"/>
          <w:highlight w:val="none"/>
          <w:lang w:val="zh-CN"/>
        </w:rPr>
        <w:t>，以兹共同遵守，全面履行</w:t>
      </w:r>
      <w:r>
        <w:rPr>
          <w:rFonts w:hint="eastAsia" w:cs="宋体" w:asciiTheme="majorEastAsia" w:hAnsiTheme="majorEastAsia" w:eastAsiaTheme="majorEastAsia"/>
          <w:color w:val="auto"/>
          <w:sz w:val="24"/>
          <w:highlight w:val="none"/>
        </w:rPr>
        <w:t>。</w:t>
      </w:r>
    </w:p>
    <w:p w14:paraId="71791C7D">
      <w:pPr>
        <w:spacing w:line="324" w:lineRule="auto"/>
        <w:ind w:firstLine="472"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一、合同文件组成部分及解释顺序</w:t>
      </w:r>
    </w:p>
    <w:p w14:paraId="7A169342">
      <w:pPr>
        <w:spacing w:line="360" w:lineRule="auto"/>
        <w:ind w:firstLine="482"/>
        <w:rPr>
          <w:rFonts w:ascii="宋体" w:hAnsi="宋体" w:cs="宋体"/>
          <w:b/>
          <w:bCs/>
          <w:color w:val="auto"/>
          <w:sz w:val="24"/>
          <w:highlight w:val="none"/>
        </w:rPr>
      </w:pPr>
      <w:bookmarkStart w:id="396" w:name="_Hlk182159604"/>
      <w:r>
        <w:rPr>
          <w:rFonts w:hint="eastAsia" w:ascii="宋体" w:hAnsi="宋体" w:cs="宋体"/>
          <w:bCs/>
          <w:color w:val="auto"/>
          <w:sz w:val="24"/>
          <w:highlight w:val="none"/>
        </w:rPr>
        <w:t>下列文件为本合同的组成部分，并构成一个整体，需综合解释、互相补充。如果下列文件内容出现不一致的情形，那么在保证按照采购文件确定的事项的前提下，组成本合同的多个文件的优先适用顺序如下：</w:t>
      </w:r>
    </w:p>
    <w:p w14:paraId="01A88F02">
      <w:pPr>
        <w:snapToGrid w:val="0"/>
        <w:spacing w:line="360" w:lineRule="auto"/>
        <w:ind w:firstLine="487" w:firstLineChars="203"/>
        <w:rPr>
          <w:rFonts w:ascii="宋体" w:hAnsi="宋体" w:cs="宋体"/>
          <w:bCs/>
          <w:color w:val="auto"/>
          <w:sz w:val="24"/>
          <w:highlight w:val="none"/>
        </w:rPr>
      </w:pPr>
      <w:r>
        <w:rPr>
          <w:rFonts w:hint="eastAsia" w:ascii="宋体" w:hAnsi="宋体" w:cs="宋体"/>
          <w:bCs/>
          <w:color w:val="auto"/>
          <w:sz w:val="24"/>
          <w:highlight w:val="none"/>
        </w:rPr>
        <w:t>本合同及其补充合同、变更协议，中标通知书，投标文件（含澄清或者说明文件），招标文件（含澄清或者说明文件），其他相关采购文件。</w:t>
      </w:r>
    </w:p>
    <w:bookmarkEnd w:id="396"/>
    <w:p w14:paraId="033C05A4">
      <w:pPr>
        <w:spacing w:line="324"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二、</w:t>
      </w:r>
      <w:bookmarkStart w:id="397" w:name="_Hlk182159654"/>
      <w:r>
        <w:rPr>
          <w:rFonts w:hint="eastAsia" w:ascii="宋体" w:hAnsi="宋体" w:cs="宋体"/>
          <w:b/>
          <w:color w:val="auto"/>
          <w:sz w:val="24"/>
          <w:highlight w:val="none"/>
        </w:rPr>
        <w:t>合同履行时间、履行方式及履行地点</w:t>
      </w:r>
      <w:bookmarkEnd w:id="397"/>
    </w:p>
    <w:p w14:paraId="4A46B984">
      <w:pPr>
        <w:spacing w:line="360" w:lineRule="auto"/>
        <w:ind w:firstLine="360" w:firstLineChars="150"/>
        <w:outlineLvl w:val="1"/>
        <w:rPr>
          <w:rFonts w:ascii="宋体" w:hAnsi="宋体" w:cs="宋体"/>
          <w:color w:val="auto"/>
          <w:sz w:val="24"/>
          <w:highlight w:val="none"/>
        </w:rPr>
      </w:pPr>
      <w:bookmarkStart w:id="398" w:name="_Hlk182159637"/>
      <w:r>
        <w:rPr>
          <w:rFonts w:hint="eastAsia" w:ascii="宋体" w:hAnsi="宋体" w:cs="宋体"/>
          <w:color w:val="auto"/>
          <w:sz w:val="24"/>
          <w:highlight w:val="none"/>
        </w:rPr>
        <w:t>（一）履行时间：</w:t>
      </w:r>
      <w:r>
        <w:rPr>
          <w:rFonts w:hint="eastAsia" w:ascii="宋体" w:hAnsi="宋体" w:cs="宋体"/>
          <w:b/>
          <w:color w:val="auto"/>
          <w:sz w:val="24"/>
          <w:highlight w:val="none"/>
        </w:rPr>
        <w:t>1年（</w:t>
      </w:r>
      <w:r>
        <w:rPr>
          <w:rFonts w:hint="eastAsia" w:ascii="宋体" w:hAnsi="宋体" w:cs="宋体"/>
          <w:color w:val="auto"/>
          <w:sz w:val="24"/>
          <w:highlight w:val="none"/>
        </w:rPr>
        <w:t>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52F20D">
      <w:pPr>
        <w:spacing w:line="360" w:lineRule="auto"/>
        <w:ind w:firstLine="360" w:firstLineChars="150"/>
        <w:outlineLvl w:val="1"/>
        <w:rPr>
          <w:rFonts w:ascii="宋体" w:hAnsi="宋体" w:cs="宋体"/>
          <w:color w:val="auto"/>
          <w:sz w:val="24"/>
          <w:highlight w:val="none"/>
        </w:rPr>
      </w:pPr>
      <w:r>
        <w:rPr>
          <w:rFonts w:hint="eastAsia" w:ascii="宋体" w:hAnsi="宋体" w:cs="宋体"/>
          <w:color w:val="auto"/>
          <w:sz w:val="24"/>
          <w:highlight w:val="none"/>
        </w:rPr>
        <w:t>（二）履行地点：</w:t>
      </w:r>
      <w:r>
        <w:rPr>
          <w:rFonts w:hint="eastAsia" w:cs="宋体" w:asciiTheme="majorEastAsia" w:hAnsiTheme="majorEastAsia" w:eastAsiaTheme="majorEastAsia"/>
          <w:color w:val="auto"/>
          <w:sz w:val="24"/>
          <w:highlight w:val="none"/>
        </w:rPr>
        <w:t>玉皇山景区、万松书院、爱情诗路</w:t>
      </w:r>
      <w:r>
        <w:rPr>
          <w:rFonts w:hint="eastAsia" w:ascii="宋体" w:hAnsi="宋体" w:cs="宋体"/>
          <w:color w:val="auto"/>
          <w:sz w:val="24"/>
          <w:highlight w:val="none"/>
        </w:rPr>
        <w:t>等区域，具体情况以现场勘查为准。</w:t>
      </w:r>
    </w:p>
    <w:p w14:paraId="4EB6AA7C">
      <w:pPr>
        <w:spacing w:line="360" w:lineRule="auto"/>
        <w:ind w:firstLine="360" w:firstLineChars="150"/>
        <w:outlineLvl w:val="1"/>
        <w:rPr>
          <w:rFonts w:ascii="宋体" w:hAnsi="宋体" w:cs="宋体"/>
          <w:color w:val="auto"/>
          <w:sz w:val="24"/>
          <w:highlight w:val="none"/>
        </w:rPr>
      </w:pPr>
      <w:r>
        <w:rPr>
          <w:rFonts w:hint="eastAsia" w:ascii="宋体" w:hAnsi="宋体" w:cs="宋体"/>
          <w:color w:val="auto"/>
          <w:sz w:val="24"/>
          <w:highlight w:val="none"/>
        </w:rPr>
        <w:t>（三）若合同期结束时，下一轮招投标还未完成，超出合同期部分的服务费按实际天数及考核结果结算。</w:t>
      </w:r>
    </w:p>
    <w:p w14:paraId="6A439B4B">
      <w:pPr>
        <w:spacing w:line="360" w:lineRule="auto"/>
        <w:ind w:firstLine="360" w:firstLineChars="150"/>
        <w:outlineLvl w:val="1"/>
        <w:rPr>
          <w:rFonts w:ascii="宋体" w:hAnsi="宋体" w:cs="宋体"/>
          <w:color w:val="auto"/>
          <w:sz w:val="24"/>
          <w:highlight w:val="none"/>
        </w:rPr>
      </w:pPr>
      <w:r>
        <w:rPr>
          <w:rFonts w:hint="eastAsia" w:ascii="宋体" w:hAnsi="宋体" w:cs="宋体"/>
          <w:color w:val="auto"/>
          <w:sz w:val="24"/>
          <w:highlight w:val="none"/>
        </w:rPr>
        <w:t>（四）服务期内，乙方没有按合同规定服务，甲方有权终止合同，另行招标采购。由此导致甲方额外产生的费用由乙方承担。如果甲方有需要，乙方同意根据甲方的需求延续提供1-2个月的服务，费用标准按本合同规定执行。</w:t>
      </w:r>
    </w:p>
    <w:bookmarkEnd w:id="398"/>
    <w:p w14:paraId="09601D2F">
      <w:pPr>
        <w:spacing w:line="324" w:lineRule="auto"/>
        <w:ind w:firstLine="472" w:firstLineChars="196"/>
        <w:outlineLvl w:val="1"/>
        <w:rPr>
          <w:rFonts w:ascii="宋体" w:hAnsi="宋体" w:cs="宋体"/>
          <w:b/>
          <w:bCs/>
          <w:color w:val="auto"/>
          <w:sz w:val="24"/>
          <w:highlight w:val="none"/>
        </w:rPr>
      </w:pPr>
      <w:r>
        <w:rPr>
          <w:rFonts w:hint="eastAsia" w:ascii="宋体" w:hAnsi="宋体" w:cs="宋体"/>
          <w:b/>
          <w:bCs/>
          <w:color w:val="auto"/>
          <w:sz w:val="24"/>
          <w:highlight w:val="none"/>
        </w:rPr>
        <w:t>三、合同价款</w:t>
      </w:r>
    </w:p>
    <w:p w14:paraId="67ACF239">
      <w:pPr>
        <w:snapToGrid w:val="0"/>
        <w:spacing w:line="360" w:lineRule="auto"/>
        <w:ind w:firstLine="480" w:firstLineChars="200"/>
        <w:rPr>
          <w:rFonts w:cs="宋体" w:asciiTheme="majorEastAsia" w:hAnsiTheme="majorEastAsia" w:eastAsiaTheme="majorEastAsia"/>
          <w:b/>
          <w:color w:val="auto"/>
          <w:sz w:val="24"/>
          <w:highlight w:val="none"/>
        </w:rPr>
      </w:pPr>
      <w:r>
        <w:rPr>
          <w:rFonts w:hint="eastAsia" w:ascii="宋体" w:hAnsi="宋体" w:cs="宋体"/>
          <w:color w:val="auto"/>
          <w:sz w:val="24"/>
          <w:highlight w:val="none"/>
        </w:rPr>
        <w:t>本</w:t>
      </w:r>
      <w:r>
        <w:rPr>
          <w:rFonts w:hint="eastAsia" w:ascii="宋体" w:hAnsi="宋体" w:cs="宋体"/>
          <w:bCs/>
          <w:color w:val="auto"/>
          <w:sz w:val="24"/>
          <w:highlight w:val="none"/>
        </w:rPr>
        <w:t>合同</w:t>
      </w:r>
      <w:r>
        <w:rPr>
          <w:rFonts w:hint="eastAsia" w:ascii="宋体" w:hAnsi="宋体" w:cs="宋体"/>
          <w:color w:val="auto"/>
          <w:sz w:val="24"/>
          <w:highlight w:val="none"/>
        </w:rPr>
        <w:t>清卫保洁费用为固定价格，</w:t>
      </w:r>
      <w:r>
        <w:rPr>
          <w:rFonts w:hint="eastAsia" w:ascii="宋体" w:hAnsi="宋体" w:cs="宋体"/>
          <w:bCs/>
          <w:color w:val="auto"/>
          <w:sz w:val="24"/>
          <w:highlight w:val="none"/>
        </w:rPr>
        <w:t>合同</w:t>
      </w:r>
      <w:r>
        <w:rPr>
          <w:rFonts w:hint="eastAsia" w:ascii="宋体" w:hAnsi="宋体" w:cs="宋体"/>
          <w:color w:val="auto"/>
          <w:sz w:val="24"/>
          <w:highlight w:val="none"/>
        </w:rPr>
        <w:t xml:space="preserve">总价金额人民币： </w:t>
      </w:r>
      <w:r>
        <w:rPr>
          <w:rFonts w:hint="eastAsia" w:ascii="宋体" w:hAnsi="宋体" w:cs="宋体"/>
          <w:color w:val="auto"/>
          <w:sz w:val="24"/>
          <w:highlight w:val="none"/>
          <w:u w:val="single"/>
        </w:rPr>
        <w:t xml:space="preserve">               整（¥      元）</w:t>
      </w:r>
      <w:r>
        <w:rPr>
          <w:rFonts w:hint="eastAsia" w:ascii="宋体" w:hAnsi="宋体" w:cs="宋体"/>
          <w:color w:val="auto"/>
          <w:sz w:val="24"/>
          <w:highlight w:val="none"/>
        </w:rPr>
        <w:t>。合同总价包括人员工资、加班工资、高温费、管理、培训、体检、服装、水费、电费、住宿费、交通费、办公费《劳动合同法》规定的各种社会保险费等乙方履行本合同所需的全部费用。甲方除服务费外无需支付任何费用。保洁期内的人工费用应根据最新的杭州市最低工资标准作及时调整，但承包合同总价不作调整。</w:t>
      </w:r>
    </w:p>
    <w:p w14:paraId="02DD7DD1">
      <w:pPr>
        <w:spacing w:line="324"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四、支付方式</w:t>
      </w:r>
    </w:p>
    <w:p w14:paraId="1B20632D">
      <w:pPr>
        <w:adjustRightInd/>
        <w:snapToGrid w:val="0"/>
        <w:spacing w:line="360" w:lineRule="auto"/>
        <w:ind w:firstLine="444" w:firstLineChars="185"/>
        <w:rPr>
          <w:rFonts w:ascii="宋体" w:hAnsi="宋体" w:cs="宋体"/>
          <w:color w:val="auto"/>
          <w:sz w:val="24"/>
          <w:highlight w:val="none"/>
        </w:rPr>
      </w:pPr>
      <w:bookmarkStart w:id="399" w:name="_Hlk182159768"/>
      <w:r>
        <w:rPr>
          <w:rFonts w:hint="eastAsia" w:ascii="宋体" w:hAnsi="宋体" w:cs="宋体"/>
          <w:color w:val="auto"/>
          <w:sz w:val="24"/>
          <w:highlight w:val="none"/>
        </w:rPr>
        <w:t>（一）</w:t>
      </w:r>
      <w:r>
        <w:rPr>
          <w:rFonts w:hint="eastAsia" w:ascii="宋体" w:hAnsi="宋体" w:cs="宋体"/>
          <w:color w:val="auto"/>
          <w:sz w:val="24"/>
          <w:highlight w:val="none"/>
          <w:lang w:val="zh-CN"/>
        </w:rPr>
        <w:t>服务费每月一结算，费用为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元/月。每月15号前乙方上报结算上月具体费用，乙方开具经甲方认可的正规发票和甲方认可的各项材料、费用的凭证记录复印件及经甲方确认的月度考核报告，经甲方主管部门复核并考核无误后，办理相关服务费用的结算手续，甲方确认无误后汇款。</w:t>
      </w:r>
      <w:r>
        <w:rPr>
          <w:rFonts w:hint="eastAsia" w:ascii="宋体" w:hAnsi="宋体" w:cs="宋体"/>
          <w:bCs/>
          <w:color w:val="auto"/>
          <w:sz w:val="24"/>
          <w:highlight w:val="none"/>
        </w:rPr>
        <w:t>（注：根据【浙财采监〔2022〕3号】-《浙江省财政厅关于进一步发挥政府采购政策功能全力推动经济稳进提质的通知》规定：“对供应商为大型企业的项目或者以人工投入为主且实行按月定期结算支付款项的项目，可不约定预付款”，故本项目无预付款）</w:t>
      </w:r>
    </w:p>
    <w:p w14:paraId="3FA82B9D">
      <w:pPr>
        <w:adjustRightInd/>
        <w:snapToGrid w:val="0"/>
        <w:spacing w:line="360" w:lineRule="auto"/>
        <w:ind w:firstLine="444" w:firstLineChars="185"/>
        <w:rPr>
          <w:rFonts w:ascii="宋体" w:hAnsi="宋体" w:cs="宋体"/>
          <w:color w:val="auto"/>
          <w:sz w:val="24"/>
          <w:highlight w:val="none"/>
          <w:lang w:bidi="ar"/>
        </w:rPr>
      </w:pPr>
      <w:r>
        <w:rPr>
          <w:rFonts w:hint="eastAsia" w:ascii="宋体" w:hAnsi="宋体" w:cs="宋体"/>
          <w:color w:val="auto"/>
          <w:sz w:val="24"/>
          <w:highlight w:val="none"/>
        </w:rPr>
        <w:t>（二）扣款支付：按照本合同第八条违约责任及承担的内容执行，每月考核如有扣款，从当月应支付的服务费中扣除。</w:t>
      </w:r>
    </w:p>
    <w:bookmarkEnd w:id="399"/>
    <w:p w14:paraId="6F3000EB">
      <w:pPr>
        <w:spacing w:line="324" w:lineRule="auto"/>
        <w:ind w:firstLine="472" w:firstLineChars="196"/>
        <w:outlineLvl w:val="1"/>
        <w:rPr>
          <w:rFonts w:ascii="宋体" w:hAnsi="宋体" w:cs="宋体"/>
          <w:b/>
          <w:color w:val="auto"/>
          <w:sz w:val="24"/>
          <w:highlight w:val="none"/>
          <w:lang w:val="zh-CN"/>
        </w:rPr>
      </w:pPr>
      <w:r>
        <w:rPr>
          <w:rFonts w:hint="eastAsia" w:ascii="宋体" w:hAnsi="宋体" w:cs="宋体"/>
          <w:b/>
          <w:color w:val="auto"/>
          <w:sz w:val="24"/>
          <w:highlight w:val="none"/>
        </w:rPr>
        <w:t>五</w:t>
      </w:r>
      <w:r>
        <w:rPr>
          <w:rFonts w:hint="eastAsia" w:ascii="宋体" w:hAnsi="宋体" w:cs="宋体"/>
          <w:b/>
          <w:color w:val="auto"/>
          <w:sz w:val="24"/>
          <w:highlight w:val="none"/>
          <w:lang w:val="zh-CN"/>
        </w:rPr>
        <w:t>、人员安排</w:t>
      </w:r>
    </w:p>
    <w:p w14:paraId="0A017332">
      <w:pPr>
        <w:adjustRightInd/>
        <w:snapToGrid w:val="0"/>
        <w:spacing w:line="360" w:lineRule="auto"/>
        <w:ind w:firstLine="444" w:firstLineChars="185"/>
        <w:rPr>
          <w:rFonts w:ascii="宋体" w:hAnsi="宋体" w:cs="宋体"/>
          <w:color w:val="auto"/>
          <w:sz w:val="24"/>
          <w:highlight w:val="none"/>
        </w:rPr>
      </w:pPr>
      <w:r>
        <w:rPr>
          <w:rFonts w:hint="eastAsia" w:ascii="宋体" w:hAnsi="宋体" w:cs="宋体"/>
          <w:color w:val="auto"/>
          <w:sz w:val="24"/>
          <w:highlight w:val="none"/>
        </w:rPr>
        <w:t>项目保洁岗位：17工/天。重大节假日、旅游旺季期间，乙方应加派保洁人员，以确保清卫保洁质量，费用包含在合同总价之中，甲方无需额外支付。</w:t>
      </w:r>
    </w:p>
    <w:tbl>
      <w:tblPr>
        <w:tblStyle w:val="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6238"/>
        <w:gridCol w:w="609"/>
        <w:gridCol w:w="1546"/>
      </w:tblGrid>
      <w:tr w14:paraId="5915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blHeader/>
        </w:trPr>
        <w:tc>
          <w:tcPr>
            <w:tcW w:w="479" w:type="pct"/>
            <w:vAlign w:val="center"/>
          </w:tcPr>
          <w:p w14:paraId="42879234">
            <w:pPr>
              <w:snapToGri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区域</w:t>
            </w:r>
          </w:p>
        </w:tc>
        <w:tc>
          <w:tcPr>
            <w:tcW w:w="3360" w:type="pct"/>
            <w:vAlign w:val="center"/>
          </w:tcPr>
          <w:p w14:paraId="6A7ED4F6">
            <w:pPr>
              <w:snapToGrid w:val="0"/>
              <w:jc w:val="center"/>
              <w:rPr>
                <w:rFonts w:ascii="宋体" w:hAnsi="宋体" w:cs="宋体"/>
                <w:b/>
                <w:color w:val="auto"/>
                <w:kern w:val="0"/>
                <w:sz w:val="24"/>
                <w:highlight w:val="none"/>
              </w:rPr>
            </w:pPr>
            <w:r>
              <w:rPr>
                <w:rFonts w:hint="eastAsia" w:ascii="宋体" w:hAnsi="宋体" w:cs="宋体"/>
                <w:b/>
                <w:color w:val="auto"/>
                <w:kern w:val="0"/>
                <w:sz w:val="24"/>
                <w:highlight w:val="none"/>
              </w:rPr>
              <w:t>岗位</w:t>
            </w:r>
          </w:p>
        </w:tc>
        <w:tc>
          <w:tcPr>
            <w:tcW w:w="328" w:type="pct"/>
            <w:vAlign w:val="center"/>
          </w:tcPr>
          <w:p w14:paraId="0BAFB963">
            <w:pPr>
              <w:snapToGrid w:val="0"/>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833" w:type="pct"/>
            <w:vAlign w:val="center"/>
          </w:tcPr>
          <w:p w14:paraId="71FE5083">
            <w:pPr>
              <w:snapToGrid w:val="0"/>
              <w:rPr>
                <w:rFonts w:ascii="宋体" w:hAnsi="宋体" w:cs="宋体"/>
                <w:b/>
                <w:color w:val="auto"/>
                <w:kern w:val="0"/>
                <w:sz w:val="24"/>
                <w:highlight w:val="none"/>
              </w:rPr>
            </w:pPr>
            <w:r>
              <w:rPr>
                <w:rFonts w:hint="eastAsia" w:ascii="宋体" w:hAnsi="宋体" w:cs="宋体"/>
                <w:b/>
                <w:color w:val="auto"/>
                <w:kern w:val="0"/>
                <w:sz w:val="24"/>
                <w:highlight w:val="none"/>
              </w:rPr>
              <w:t>工作时间</w:t>
            </w:r>
          </w:p>
        </w:tc>
      </w:tr>
      <w:tr w14:paraId="2C47F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restart"/>
            <w:vAlign w:val="center"/>
          </w:tcPr>
          <w:p w14:paraId="03817946">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玉皇山景区</w:t>
            </w:r>
          </w:p>
        </w:tc>
        <w:tc>
          <w:tcPr>
            <w:tcW w:w="3360" w:type="pct"/>
            <w:vAlign w:val="center"/>
          </w:tcPr>
          <w:p w14:paraId="34CF6E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林海亭广场→玉皇山检票亭→公共自行车点的道路及两侧绿带→林海亭公厕、游步道（林海亭起至第一个盘山公路止）</w:t>
            </w:r>
          </w:p>
        </w:tc>
        <w:tc>
          <w:tcPr>
            <w:tcW w:w="328" w:type="pct"/>
            <w:vAlign w:val="center"/>
          </w:tcPr>
          <w:p w14:paraId="68EE8763">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restart"/>
            <w:vAlign w:val="center"/>
          </w:tcPr>
          <w:p w14:paraId="709F0FDA">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6:30—16:30</w:t>
            </w:r>
          </w:p>
          <w:p w14:paraId="2F3DACCE">
            <w:pPr>
              <w:snapToGrid w:val="0"/>
              <w:jc w:val="center"/>
              <w:rPr>
                <w:rFonts w:ascii="宋体" w:hAnsi="宋体" w:cs="宋体"/>
                <w:color w:val="auto"/>
                <w:kern w:val="0"/>
                <w:sz w:val="24"/>
                <w:highlight w:val="none"/>
              </w:rPr>
            </w:pPr>
          </w:p>
          <w:p w14:paraId="628638E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用餐时间2小时</w:t>
            </w:r>
          </w:p>
        </w:tc>
      </w:tr>
      <w:tr w14:paraId="17AF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64C65F31">
            <w:pPr>
              <w:snapToGrid w:val="0"/>
              <w:jc w:val="center"/>
              <w:rPr>
                <w:rFonts w:ascii="宋体" w:hAnsi="宋体" w:cs="宋体"/>
                <w:color w:val="auto"/>
                <w:kern w:val="0"/>
                <w:sz w:val="24"/>
                <w:highlight w:val="none"/>
              </w:rPr>
            </w:pPr>
          </w:p>
        </w:tc>
        <w:tc>
          <w:tcPr>
            <w:tcW w:w="3360" w:type="pct"/>
            <w:vAlign w:val="center"/>
          </w:tcPr>
          <w:p w14:paraId="422C02F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处办公楼内部卫生保洁（包括办公楼两处公厕）</w:t>
            </w:r>
          </w:p>
        </w:tc>
        <w:tc>
          <w:tcPr>
            <w:tcW w:w="328" w:type="pct"/>
            <w:vAlign w:val="center"/>
          </w:tcPr>
          <w:p w14:paraId="32ED0DEB">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153B2F9A">
            <w:pPr>
              <w:snapToGrid w:val="0"/>
              <w:jc w:val="center"/>
              <w:rPr>
                <w:rFonts w:ascii="宋体" w:hAnsi="宋体" w:cs="宋体"/>
                <w:color w:val="auto"/>
                <w:kern w:val="0"/>
                <w:sz w:val="24"/>
                <w:highlight w:val="none"/>
              </w:rPr>
            </w:pPr>
          </w:p>
        </w:tc>
      </w:tr>
      <w:tr w14:paraId="23DA6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221E0216">
            <w:pPr>
              <w:snapToGrid w:val="0"/>
              <w:jc w:val="center"/>
              <w:rPr>
                <w:rFonts w:ascii="宋体" w:hAnsi="宋体" w:cs="宋体"/>
                <w:color w:val="auto"/>
                <w:kern w:val="0"/>
                <w:sz w:val="24"/>
                <w:highlight w:val="none"/>
              </w:rPr>
            </w:pPr>
          </w:p>
        </w:tc>
        <w:tc>
          <w:tcPr>
            <w:tcW w:w="3360" w:type="pct"/>
            <w:vAlign w:val="center"/>
          </w:tcPr>
          <w:p w14:paraId="5076B6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游步道南复路入口处→老玉皇宫→老玉皇宫下坎游步道与盘山公路交叉口（包括五代石刻的公厕保洁、五代石刻）→紫来洞停车场、游步道（老玉皇宫至紫来洞停车场）</w:t>
            </w:r>
          </w:p>
        </w:tc>
        <w:tc>
          <w:tcPr>
            <w:tcW w:w="328" w:type="pct"/>
            <w:vAlign w:val="center"/>
          </w:tcPr>
          <w:p w14:paraId="537CCC30">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45CAA368">
            <w:pPr>
              <w:snapToGrid w:val="0"/>
              <w:jc w:val="center"/>
              <w:rPr>
                <w:rFonts w:ascii="宋体" w:hAnsi="宋体" w:cs="宋体"/>
                <w:color w:val="auto"/>
                <w:kern w:val="0"/>
                <w:sz w:val="24"/>
                <w:highlight w:val="none"/>
              </w:rPr>
            </w:pPr>
          </w:p>
        </w:tc>
      </w:tr>
      <w:tr w14:paraId="30D1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4325F6CC">
            <w:pPr>
              <w:snapToGrid w:val="0"/>
              <w:jc w:val="center"/>
              <w:rPr>
                <w:rFonts w:ascii="宋体" w:hAnsi="宋体" w:cs="宋体"/>
                <w:color w:val="auto"/>
                <w:kern w:val="0"/>
                <w:sz w:val="24"/>
                <w:highlight w:val="none"/>
              </w:rPr>
            </w:pPr>
          </w:p>
        </w:tc>
        <w:tc>
          <w:tcPr>
            <w:tcW w:w="3360" w:type="pct"/>
            <w:vAlign w:val="center"/>
          </w:tcPr>
          <w:p w14:paraId="767FA1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紫来洞两处平台保洁、紫来洞公厕保洁及至七星缸的游步道→七星缸景点和毛竹园、游步道（紫来洞停车场→山顶老票房的盘山公路）</w:t>
            </w:r>
          </w:p>
        </w:tc>
        <w:tc>
          <w:tcPr>
            <w:tcW w:w="328" w:type="pct"/>
            <w:vAlign w:val="center"/>
          </w:tcPr>
          <w:p w14:paraId="366B66B8">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36E8CB9F">
            <w:pPr>
              <w:snapToGrid w:val="0"/>
              <w:jc w:val="center"/>
              <w:rPr>
                <w:rFonts w:ascii="宋体" w:hAnsi="宋体" w:cs="宋体"/>
                <w:color w:val="auto"/>
                <w:kern w:val="0"/>
                <w:sz w:val="24"/>
                <w:highlight w:val="none"/>
              </w:rPr>
            </w:pPr>
          </w:p>
        </w:tc>
      </w:tr>
      <w:tr w14:paraId="19C1D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16F485A7">
            <w:pPr>
              <w:snapToGrid w:val="0"/>
              <w:jc w:val="center"/>
              <w:rPr>
                <w:rFonts w:ascii="宋体" w:hAnsi="宋体" w:cs="宋体"/>
                <w:color w:val="auto"/>
                <w:kern w:val="0"/>
                <w:sz w:val="24"/>
                <w:highlight w:val="none"/>
              </w:rPr>
            </w:pPr>
          </w:p>
        </w:tc>
        <w:tc>
          <w:tcPr>
            <w:tcW w:w="3360" w:type="pct"/>
            <w:vAlign w:val="center"/>
          </w:tcPr>
          <w:p w14:paraId="5669C2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玉皇山顶周边→天一池和山顶停车场(盘山公路)→紫来洞停车场（盘山公路）</w:t>
            </w:r>
          </w:p>
        </w:tc>
        <w:tc>
          <w:tcPr>
            <w:tcW w:w="328" w:type="pct"/>
            <w:vAlign w:val="center"/>
          </w:tcPr>
          <w:p w14:paraId="67A6E180">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3590180B">
            <w:pPr>
              <w:snapToGrid w:val="0"/>
              <w:jc w:val="center"/>
              <w:rPr>
                <w:rFonts w:ascii="宋体" w:hAnsi="宋体" w:cs="宋体"/>
                <w:color w:val="auto"/>
                <w:kern w:val="0"/>
                <w:sz w:val="24"/>
                <w:highlight w:val="none"/>
              </w:rPr>
            </w:pPr>
          </w:p>
        </w:tc>
      </w:tr>
      <w:tr w14:paraId="0A010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0636E6AA">
            <w:pPr>
              <w:snapToGrid w:val="0"/>
              <w:jc w:val="center"/>
              <w:rPr>
                <w:rFonts w:ascii="宋体" w:hAnsi="宋体" w:cs="宋体"/>
                <w:color w:val="auto"/>
                <w:kern w:val="0"/>
                <w:sz w:val="24"/>
                <w:highlight w:val="none"/>
              </w:rPr>
            </w:pPr>
          </w:p>
        </w:tc>
        <w:tc>
          <w:tcPr>
            <w:tcW w:w="3360" w:type="pct"/>
            <w:vAlign w:val="center"/>
          </w:tcPr>
          <w:p w14:paraId="69EBAD2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盘山公路（玉皇山正门口至紫来洞停车场）</w:t>
            </w:r>
          </w:p>
        </w:tc>
        <w:tc>
          <w:tcPr>
            <w:tcW w:w="328" w:type="pct"/>
            <w:vAlign w:val="center"/>
          </w:tcPr>
          <w:p w14:paraId="481BCC7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0FA9C0D9">
            <w:pPr>
              <w:snapToGrid w:val="0"/>
              <w:jc w:val="center"/>
              <w:rPr>
                <w:rFonts w:ascii="宋体" w:hAnsi="宋体" w:cs="宋体"/>
                <w:color w:val="auto"/>
                <w:kern w:val="0"/>
                <w:sz w:val="24"/>
                <w:highlight w:val="none"/>
              </w:rPr>
            </w:pPr>
          </w:p>
        </w:tc>
      </w:tr>
      <w:tr w14:paraId="65D9B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63630295">
            <w:pPr>
              <w:snapToGrid w:val="0"/>
              <w:jc w:val="center"/>
              <w:rPr>
                <w:rFonts w:ascii="宋体" w:hAnsi="宋体" w:cs="宋体"/>
                <w:color w:val="auto"/>
                <w:kern w:val="0"/>
                <w:sz w:val="24"/>
                <w:highlight w:val="none"/>
              </w:rPr>
            </w:pPr>
          </w:p>
        </w:tc>
        <w:tc>
          <w:tcPr>
            <w:tcW w:w="3360" w:type="pct"/>
            <w:vAlign w:val="center"/>
          </w:tcPr>
          <w:p w14:paraId="792962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天龙寺、天龙寺侧门至停车场的保洁、望海亭保洁，游步道(天龙寺、白云庵门票和盘山公路间游步道)、八卦田15亩、171号县令碑</w:t>
            </w:r>
          </w:p>
        </w:tc>
        <w:tc>
          <w:tcPr>
            <w:tcW w:w="328" w:type="pct"/>
            <w:vAlign w:val="center"/>
          </w:tcPr>
          <w:p w14:paraId="7E93E4D8">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64CF79B1">
            <w:pPr>
              <w:snapToGrid w:val="0"/>
              <w:jc w:val="center"/>
              <w:rPr>
                <w:rFonts w:ascii="宋体" w:hAnsi="宋体" w:cs="宋体"/>
                <w:color w:val="auto"/>
                <w:kern w:val="0"/>
                <w:sz w:val="24"/>
                <w:highlight w:val="none"/>
              </w:rPr>
            </w:pPr>
          </w:p>
        </w:tc>
      </w:tr>
      <w:tr w14:paraId="79A0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1E944236">
            <w:pPr>
              <w:snapToGrid w:val="0"/>
              <w:jc w:val="center"/>
              <w:rPr>
                <w:rFonts w:ascii="宋体" w:hAnsi="宋体" w:cs="宋体"/>
                <w:color w:val="auto"/>
                <w:kern w:val="0"/>
                <w:sz w:val="24"/>
                <w:highlight w:val="none"/>
              </w:rPr>
            </w:pPr>
          </w:p>
        </w:tc>
        <w:tc>
          <w:tcPr>
            <w:tcW w:w="3360" w:type="pct"/>
            <w:vAlign w:val="center"/>
          </w:tcPr>
          <w:p w14:paraId="13FD781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樱花地→潜龙池平台→天真亭、天真山横路→吴越郊坛区域</w:t>
            </w:r>
          </w:p>
        </w:tc>
        <w:tc>
          <w:tcPr>
            <w:tcW w:w="328" w:type="pct"/>
            <w:vAlign w:val="center"/>
          </w:tcPr>
          <w:p w14:paraId="1EEFA018">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4EFB40E5">
            <w:pPr>
              <w:snapToGrid w:val="0"/>
              <w:jc w:val="center"/>
              <w:rPr>
                <w:rFonts w:ascii="宋体" w:hAnsi="宋体" w:cs="宋体"/>
                <w:color w:val="auto"/>
                <w:kern w:val="0"/>
                <w:sz w:val="24"/>
                <w:highlight w:val="none"/>
              </w:rPr>
            </w:pPr>
          </w:p>
        </w:tc>
      </w:tr>
      <w:tr w14:paraId="6E956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Align w:val="center"/>
          </w:tcPr>
          <w:p w14:paraId="4165F982">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风景 山林</w:t>
            </w:r>
          </w:p>
        </w:tc>
        <w:tc>
          <w:tcPr>
            <w:tcW w:w="3360" w:type="pct"/>
            <w:vAlign w:val="center"/>
          </w:tcPr>
          <w:p w14:paraId="483C23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风景山林</w:t>
            </w:r>
          </w:p>
        </w:tc>
        <w:tc>
          <w:tcPr>
            <w:tcW w:w="328" w:type="pct"/>
            <w:vAlign w:val="center"/>
          </w:tcPr>
          <w:p w14:paraId="6EE60059">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2工</w:t>
            </w:r>
          </w:p>
        </w:tc>
        <w:tc>
          <w:tcPr>
            <w:tcW w:w="833" w:type="pct"/>
            <w:vAlign w:val="center"/>
          </w:tcPr>
          <w:p w14:paraId="7AF8D9DF">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7:30—16:30</w:t>
            </w:r>
          </w:p>
          <w:p w14:paraId="0C4FA05C">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用餐1小时</w:t>
            </w:r>
          </w:p>
        </w:tc>
      </w:tr>
      <w:tr w14:paraId="684B3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restart"/>
            <w:vAlign w:val="center"/>
          </w:tcPr>
          <w:p w14:paraId="733F9870">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万松书院区块</w:t>
            </w:r>
          </w:p>
        </w:tc>
        <w:tc>
          <w:tcPr>
            <w:tcW w:w="3360" w:type="pct"/>
            <w:vAlign w:val="center"/>
          </w:tcPr>
          <w:p w14:paraId="7AC25BED">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公园入口处硬质铺装地至公园中轴线至大成殿出口处铺装地（兼顾殿内陈设擦洗））一万松师表</w:t>
            </w:r>
          </w:p>
        </w:tc>
        <w:tc>
          <w:tcPr>
            <w:tcW w:w="328" w:type="pct"/>
            <w:vAlign w:val="center"/>
          </w:tcPr>
          <w:p w14:paraId="46438FC1">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restart"/>
            <w:vAlign w:val="center"/>
          </w:tcPr>
          <w:p w14:paraId="6A0C9522">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7</w:t>
            </w:r>
            <w:r>
              <w:rPr>
                <w:rFonts w:ascii="宋体" w:hAnsi="宋体" w:cs="宋体"/>
                <w:color w:val="auto"/>
                <w:kern w:val="0"/>
                <w:sz w:val="24"/>
                <w:highlight w:val="none"/>
              </w:rPr>
              <w:t>:</w:t>
            </w:r>
            <w:r>
              <w:rPr>
                <w:rFonts w:hint="eastAsia" w:ascii="宋体" w:hAnsi="宋体" w:cs="宋体"/>
                <w:color w:val="auto"/>
                <w:kern w:val="0"/>
                <w:sz w:val="24"/>
                <w:highlight w:val="none"/>
              </w:rPr>
              <w:t>0</w:t>
            </w:r>
            <w:r>
              <w:rPr>
                <w:rFonts w:ascii="宋体" w:hAnsi="宋体" w:cs="宋体"/>
                <w:color w:val="auto"/>
                <w:kern w:val="0"/>
                <w:sz w:val="24"/>
                <w:highlight w:val="none"/>
              </w:rPr>
              <w:t>0—17:00</w:t>
            </w:r>
          </w:p>
          <w:p w14:paraId="7926A961">
            <w:pPr>
              <w:snapToGrid w:val="0"/>
              <w:jc w:val="center"/>
              <w:rPr>
                <w:rFonts w:ascii="宋体" w:hAnsi="宋体" w:cs="宋体"/>
                <w:color w:val="auto"/>
                <w:kern w:val="0"/>
                <w:sz w:val="24"/>
                <w:highlight w:val="none"/>
              </w:rPr>
            </w:pPr>
          </w:p>
          <w:p w14:paraId="3D648193">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用餐时间2小时</w:t>
            </w:r>
          </w:p>
        </w:tc>
      </w:tr>
      <w:tr w14:paraId="064E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367DDA17">
            <w:pPr>
              <w:snapToGrid w:val="0"/>
              <w:jc w:val="center"/>
              <w:rPr>
                <w:rFonts w:ascii="宋体" w:hAnsi="宋体" w:cs="宋体"/>
                <w:color w:val="auto"/>
                <w:kern w:val="0"/>
                <w:sz w:val="24"/>
                <w:highlight w:val="none"/>
              </w:rPr>
            </w:pPr>
          </w:p>
        </w:tc>
        <w:tc>
          <w:tcPr>
            <w:tcW w:w="3360" w:type="pct"/>
            <w:vAlign w:val="center"/>
          </w:tcPr>
          <w:p w14:paraId="1E9B9A1D">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公园出口处→芷来轩周边区域（含芷来轩公厕） →半池区域→于子山墓至书院的最东侧的山路→万世师表平台→万世师表西侧小路至石林至最西侧的园路</w:t>
            </w:r>
          </w:p>
        </w:tc>
        <w:tc>
          <w:tcPr>
            <w:tcW w:w="328" w:type="pct"/>
            <w:vAlign w:val="center"/>
          </w:tcPr>
          <w:p w14:paraId="0CD68D65">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1B192591">
            <w:pPr>
              <w:snapToGrid w:val="0"/>
              <w:jc w:val="center"/>
              <w:rPr>
                <w:rFonts w:ascii="宋体" w:hAnsi="宋体" w:cs="宋体"/>
                <w:b/>
                <w:color w:val="auto"/>
                <w:kern w:val="0"/>
                <w:sz w:val="24"/>
                <w:highlight w:val="none"/>
              </w:rPr>
            </w:pPr>
          </w:p>
        </w:tc>
      </w:tr>
      <w:tr w14:paraId="3D7F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5AF3F17A">
            <w:pPr>
              <w:snapToGrid w:val="0"/>
              <w:jc w:val="center"/>
              <w:rPr>
                <w:rFonts w:ascii="宋体" w:hAnsi="宋体" w:cs="宋体"/>
                <w:color w:val="auto"/>
                <w:kern w:val="0"/>
                <w:sz w:val="24"/>
                <w:highlight w:val="none"/>
              </w:rPr>
            </w:pPr>
          </w:p>
        </w:tc>
        <w:tc>
          <w:tcPr>
            <w:tcW w:w="3360" w:type="pct"/>
            <w:vAlign w:val="center"/>
          </w:tcPr>
          <w:p w14:paraId="50D39F4D">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毓秀阁区域至存成阁至见湖亭区域（包括毓秀阁公厕及阁内陈设擦洗）→可汲亭一观音殿至正谊堂下方止（包括涉及的两块水域及殿内陈设擦洗）</w:t>
            </w:r>
          </w:p>
        </w:tc>
        <w:tc>
          <w:tcPr>
            <w:tcW w:w="328" w:type="pct"/>
            <w:vAlign w:val="center"/>
          </w:tcPr>
          <w:p w14:paraId="481BE5D8">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0784F88D">
            <w:pPr>
              <w:snapToGrid w:val="0"/>
              <w:jc w:val="center"/>
              <w:rPr>
                <w:rFonts w:ascii="宋体" w:hAnsi="宋体" w:cs="宋体"/>
                <w:b/>
                <w:color w:val="auto"/>
                <w:kern w:val="0"/>
                <w:sz w:val="24"/>
                <w:highlight w:val="none"/>
              </w:rPr>
            </w:pPr>
          </w:p>
        </w:tc>
      </w:tr>
      <w:tr w14:paraId="76D0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17C0CBF8">
            <w:pPr>
              <w:snapToGrid w:val="0"/>
              <w:jc w:val="center"/>
              <w:rPr>
                <w:rFonts w:ascii="宋体" w:hAnsi="宋体" w:cs="宋体"/>
                <w:color w:val="auto"/>
                <w:kern w:val="0"/>
                <w:sz w:val="24"/>
                <w:highlight w:val="none"/>
              </w:rPr>
            </w:pPr>
          </w:p>
        </w:tc>
        <w:tc>
          <w:tcPr>
            <w:tcW w:w="3360" w:type="pct"/>
            <w:vAlign w:val="center"/>
          </w:tcPr>
          <w:p w14:paraId="62852107">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中轴线西侧，双照井区域，朱嘉雕塑区域及通往见湖亭的园路→正谊堂区域（包括出口停车场通往正谊堂、正谊堂公厕、 堂内陈设、正谊堂通往见湖亭的园路）</w:t>
            </w:r>
          </w:p>
        </w:tc>
        <w:tc>
          <w:tcPr>
            <w:tcW w:w="328" w:type="pct"/>
            <w:vAlign w:val="center"/>
          </w:tcPr>
          <w:p w14:paraId="0519D9B2">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56ADB08D">
            <w:pPr>
              <w:snapToGrid w:val="0"/>
              <w:jc w:val="center"/>
              <w:rPr>
                <w:rFonts w:ascii="宋体" w:hAnsi="宋体" w:cs="宋体"/>
                <w:b/>
                <w:color w:val="auto"/>
                <w:kern w:val="0"/>
                <w:sz w:val="24"/>
                <w:highlight w:val="none"/>
              </w:rPr>
            </w:pPr>
          </w:p>
        </w:tc>
      </w:tr>
      <w:tr w14:paraId="44E71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140FBF76">
            <w:pPr>
              <w:snapToGrid w:val="0"/>
              <w:jc w:val="center"/>
              <w:rPr>
                <w:rFonts w:ascii="宋体" w:hAnsi="宋体" w:cs="宋体"/>
                <w:color w:val="auto"/>
                <w:kern w:val="0"/>
                <w:sz w:val="24"/>
                <w:highlight w:val="none"/>
              </w:rPr>
            </w:pPr>
          </w:p>
        </w:tc>
        <w:tc>
          <w:tcPr>
            <w:tcW w:w="3360" w:type="pct"/>
            <w:vAlign w:val="center"/>
          </w:tcPr>
          <w:p w14:paraId="4F0A4222">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万松岭路的爱情诗路区域清卫保洁及万松岭路（南山路万松岭路口-万松书院正门）东南侧绿地清卫保洁</w:t>
            </w:r>
          </w:p>
        </w:tc>
        <w:tc>
          <w:tcPr>
            <w:tcW w:w="328" w:type="pct"/>
            <w:vAlign w:val="center"/>
          </w:tcPr>
          <w:p w14:paraId="57500CDA">
            <w:pPr>
              <w:snapToGrid w:val="0"/>
              <w:jc w:val="center"/>
              <w:rPr>
                <w:rFonts w:ascii="宋体" w:hAnsi="宋体" w:cs="宋体"/>
                <w:b/>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1061C0C2">
            <w:pPr>
              <w:snapToGrid w:val="0"/>
              <w:jc w:val="center"/>
              <w:rPr>
                <w:rFonts w:ascii="宋体" w:hAnsi="宋体" w:cs="宋体"/>
                <w:b/>
                <w:color w:val="auto"/>
                <w:kern w:val="0"/>
                <w:sz w:val="24"/>
                <w:highlight w:val="none"/>
              </w:rPr>
            </w:pPr>
          </w:p>
        </w:tc>
      </w:tr>
      <w:tr w14:paraId="218B2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Merge w:val="continue"/>
            <w:vAlign w:val="center"/>
          </w:tcPr>
          <w:p w14:paraId="3FE00D3E">
            <w:pPr>
              <w:snapToGrid w:val="0"/>
              <w:jc w:val="center"/>
              <w:rPr>
                <w:rFonts w:ascii="宋体" w:hAnsi="宋体" w:cs="宋体"/>
                <w:color w:val="auto"/>
                <w:kern w:val="0"/>
                <w:sz w:val="24"/>
                <w:highlight w:val="none"/>
              </w:rPr>
            </w:pPr>
          </w:p>
        </w:tc>
        <w:tc>
          <w:tcPr>
            <w:tcW w:w="3360" w:type="pct"/>
            <w:vAlign w:val="center"/>
          </w:tcPr>
          <w:p w14:paraId="514AC1BF">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杭州师范大学玉皇山校区景点区块保洁</w:t>
            </w:r>
          </w:p>
        </w:tc>
        <w:tc>
          <w:tcPr>
            <w:tcW w:w="328" w:type="pct"/>
            <w:vAlign w:val="center"/>
          </w:tcPr>
          <w:p w14:paraId="013F8D0D">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Merge w:val="continue"/>
            <w:vAlign w:val="center"/>
          </w:tcPr>
          <w:p w14:paraId="2A4EB0E8">
            <w:pPr>
              <w:snapToGrid w:val="0"/>
              <w:jc w:val="center"/>
              <w:rPr>
                <w:rFonts w:ascii="宋体" w:hAnsi="宋体" w:cs="宋体"/>
                <w:b/>
                <w:color w:val="auto"/>
                <w:kern w:val="0"/>
                <w:sz w:val="24"/>
                <w:highlight w:val="none"/>
              </w:rPr>
            </w:pPr>
          </w:p>
        </w:tc>
      </w:tr>
      <w:tr w14:paraId="66D44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9" w:type="pct"/>
            <w:vAlign w:val="center"/>
          </w:tcPr>
          <w:p w14:paraId="46E0680A">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全区域</w:t>
            </w:r>
          </w:p>
        </w:tc>
        <w:tc>
          <w:tcPr>
            <w:tcW w:w="3360" w:type="pct"/>
            <w:vAlign w:val="center"/>
          </w:tcPr>
          <w:p w14:paraId="7BDC39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万松书院区块、玉皇山景区（含风景山林）班长</w:t>
            </w:r>
          </w:p>
        </w:tc>
        <w:tc>
          <w:tcPr>
            <w:tcW w:w="328" w:type="pct"/>
            <w:vAlign w:val="center"/>
          </w:tcPr>
          <w:p w14:paraId="574AA074">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1工</w:t>
            </w:r>
          </w:p>
        </w:tc>
        <w:tc>
          <w:tcPr>
            <w:tcW w:w="833" w:type="pct"/>
            <w:vAlign w:val="center"/>
          </w:tcPr>
          <w:p w14:paraId="3E7AAF58">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6:30—17:00</w:t>
            </w:r>
          </w:p>
        </w:tc>
      </w:tr>
    </w:tbl>
    <w:p w14:paraId="613FD8F0">
      <w:pPr>
        <w:pStyle w:val="4"/>
        <w:rPr>
          <w:color w:val="auto"/>
          <w:highlight w:val="none"/>
        </w:rPr>
      </w:pPr>
    </w:p>
    <w:p w14:paraId="35516939">
      <w:pPr>
        <w:snapToGrid w:val="0"/>
        <w:spacing w:line="360" w:lineRule="auto"/>
        <w:ind w:firstLine="482" w:firstLineChars="200"/>
        <w:rPr>
          <w:rFonts w:cs="宋体" w:asciiTheme="majorEastAsia" w:hAnsiTheme="majorEastAsia" w:eastAsiaTheme="majorEastAsia"/>
          <w:b/>
          <w:snapToGrid w:val="0"/>
          <w:color w:val="auto"/>
          <w:kern w:val="0"/>
          <w:sz w:val="24"/>
          <w:highlight w:val="none"/>
        </w:rPr>
      </w:pPr>
      <w:r>
        <w:rPr>
          <w:rFonts w:hint="eastAsia" w:cs="宋体" w:asciiTheme="majorEastAsia" w:hAnsiTheme="majorEastAsia" w:eastAsiaTheme="majorEastAsia"/>
          <w:b/>
          <w:snapToGrid w:val="0"/>
          <w:color w:val="auto"/>
          <w:kern w:val="0"/>
          <w:sz w:val="24"/>
          <w:highlight w:val="none"/>
        </w:rPr>
        <w:t>六、清卫保洁范围及具体要求</w:t>
      </w:r>
    </w:p>
    <w:p w14:paraId="6319C1FE">
      <w:pPr>
        <w:spacing w:line="360" w:lineRule="auto"/>
        <w:ind w:firstLine="420"/>
        <w:rPr>
          <w:rFonts w:ascii="宋体" w:hAnsi="宋体" w:cs="宋体"/>
          <w:b/>
          <w:bCs/>
          <w:color w:val="auto"/>
          <w:sz w:val="24"/>
          <w:highlight w:val="none"/>
        </w:rPr>
      </w:pPr>
      <w:r>
        <w:rPr>
          <w:rFonts w:hint="eastAsia" w:ascii="宋体" w:hAnsi="宋体" w:cs="宋体"/>
          <w:b/>
          <w:bCs/>
          <w:color w:val="auto"/>
          <w:sz w:val="24"/>
          <w:highlight w:val="none"/>
          <w:shd w:val="clear" w:color="auto" w:fill="FFFFFF"/>
          <w:lang w:bidi="ar"/>
        </w:rPr>
        <w:t>（一）</w:t>
      </w:r>
      <w:r>
        <w:rPr>
          <w:rFonts w:hint="eastAsia" w:ascii="宋体" w:hAnsi="宋体" w:cs="宋体"/>
          <w:b/>
          <w:bCs/>
          <w:color w:val="auto"/>
          <w:sz w:val="24"/>
          <w:highlight w:val="none"/>
          <w:lang w:bidi="ar"/>
        </w:rPr>
        <w:t>保洁范围</w:t>
      </w:r>
    </w:p>
    <w:p w14:paraId="23E8F97E">
      <w:pPr>
        <w:pStyle w:val="2"/>
        <w:rPr>
          <w:color w:val="auto"/>
          <w:highlight w:val="none"/>
          <w:lang w:val="en-US"/>
        </w:rPr>
      </w:pPr>
      <w:r>
        <w:rPr>
          <w:rFonts w:hint="eastAsia"/>
          <w:color w:val="auto"/>
          <w:highlight w:val="none"/>
          <w:lang w:val="en-US"/>
        </w:rPr>
        <w:t>1.玉皇山景区（包括玉皇山山南景区）及管理处辖区内除九曜山、吴山景区以外的所有山林游步道、山林便道及两侧绿地可视范围内等区域，绿地、水面、园路、城市家具、景点设施（包括监控、音响、照明设施，各类电箱、亭廊（建筑物、构筑物等、临时垃圾桶等）的清卫保洁。玉皇山景区四座公共厕所（紫来洞公厕、天龙寺公厕、五代石刻公厕、林海亭公厕）的清卫保洁管理服务。</w:t>
      </w:r>
    </w:p>
    <w:p w14:paraId="3CDBCDFE">
      <w:pPr>
        <w:pStyle w:val="2"/>
        <w:rPr>
          <w:color w:val="auto"/>
          <w:highlight w:val="none"/>
          <w:lang w:val="en-US"/>
        </w:rPr>
      </w:pPr>
      <w:r>
        <w:rPr>
          <w:rFonts w:hint="eastAsia"/>
          <w:color w:val="auto"/>
          <w:highlight w:val="none"/>
          <w:lang w:val="en-US"/>
        </w:rPr>
        <w:t>2. 万松书院、爱情诗路区域、万松岭路绿带等区域，具体包括道路、绿地、水域、公厕（正谊堂公厕、芷兰轩公厕、毓秀阁公厕）及城市家具、景区设施（包括监控、音响、照明设施，各类电箱、亭廊（建筑物、构筑物等、临时垃圾桶等）。含出口处停车场、道路及道路两侧绿地（路边5米范围内），出口处东侧停车场对应的绿带、垃圾收集箱周边范围、节义亭周边的铺装和爱情诗路区域，杭州师范大学玉皇山校区景点区域，万松岭路（南山路万松岭路口至万松书院正门）沿路东南侧绿化带。</w:t>
      </w:r>
    </w:p>
    <w:p w14:paraId="65AE1E5F">
      <w:pPr>
        <w:tabs>
          <w:tab w:val="left" w:pos="360"/>
        </w:tabs>
        <w:spacing w:line="360" w:lineRule="auto"/>
        <w:ind w:firstLine="354" w:firstLineChars="147"/>
        <w:rPr>
          <w:rFonts w:ascii="宋体" w:hAnsi="宋体" w:cs="宋体"/>
          <w:b/>
          <w:bCs/>
          <w:iCs/>
          <w:color w:val="auto"/>
          <w:sz w:val="24"/>
          <w:highlight w:val="none"/>
        </w:rPr>
      </w:pPr>
      <w:r>
        <w:rPr>
          <w:rFonts w:hint="eastAsia" w:ascii="宋体" w:hAnsi="宋体" w:cs="宋体"/>
          <w:b/>
          <w:bCs/>
          <w:iCs/>
          <w:color w:val="auto"/>
          <w:sz w:val="24"/>
          <w:highlight w:val="none"/>
          <w:lang w:bidi="ar"/>
        </w:rPr>
        <w:t>（二）清卫保洁工作的具体要求</w:t>
      </w:r>
    </w:p>
    <w:p w14:paraId="52A436AF">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1.</w:t>
      </w:r>
      <w:r>
        <w:rPr>
          <w:rFonts w:hint="eastAsia"/>
          <w:color w:val="auto"/>
          <w:highlight w:val="none"/>
        </w:rPr>
        <w:t xml:space="preserve"> </w:t>
      </w:r>
      <w:r>
        <w:rPr>
          <w:rFonts w:hint="eastAsia" w:ascii="宋体" w:hAnsi="宋体" w:cs="宋体"/>
          <w:color w:val="auto"/>
          <w:sz w:val="24"/>
          <w:highlight w:val="none"/>
          <w:lang w:bidi="ar"/>
        </w:rPr>
        <w:t>收费景区开门售票前半小时前清扫干净，园内要求做到五无，即道路无积水和无淤泥，无果壳和纸屑，无瓶罐和包装袋，无残花败叶，无隔夜垃圾；做到建筑物、构筑物上无积尘，无污泥，无蛛网虫尸、张贴、杂物以及无屋面草，陈设及城市家具擦洗保洁及时。每天全面巡回清扫和保洁，清扫中不得使用箩筐、塑料袋等工具或是影响公园景观的工具（如红色水桶等）。</w:t>
      </w:r>
    </w:p>
    <w:p w14:paraId="6A40067A">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2.清卫人员要做到四定（定人、定点、定范围、定责任），确保日常清卫用工和季节性用工，在上班期间不得窜岗，合理安排交接班时间，中午用餐需轮流安排。</w:t>
      </w:r>
    </w:p>
    <w:p w14:paraId="73FF7ED3">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3.景区内陈设擦洗及时，指路牌、导游牌、管理牌、门（廊）的匾额和楹联、雕塑、园椅、果壳箱、路灯、泛光照明、假山、石像等园内设施要定期安排擦洗，不得有积尘、污垢和蛛网，假山内不得有有色垃圾和杂物堆放。果壳箱、栏杆、侧石等设施应保持清洁，无乱涂乱画。园内建筑物、构筑物无屋面草。</w:t>
      </w:r>
    </w:p>
    <w:p w14:paraId="70A187EE">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4.景区内果壳箱内的垃圾收集后丢入垃圾厢房需要进行垃圾分类，且果壳箱要求每天套袋，如垃圾袋满过果壳箱的2∕3时应该及时更换垃圾袋，垃圾日产日清，无隔夜垃圾。保洁员做好垃圾分类的清捡工作。</w:t>
      </w:r>
    </w:p>
    <w:p w14:paraId="657F21B1">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5.清卫人员上岗必须统一着装，佩带工号牌，礼貌待人；上班时间严禁喝酒、打瞌睡和扎堆聊天；不可捡可乐瓶等可回收垃圾，做与工作无关的事。</w:t>
      </w:r>
    </w:p>
    <w:p w14:paraId="63D431C7">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6.水面保持清洁，不得有漂浮物，水中杂物垃圾及时打捞，能见底的水体无沉积物，无观赏价值的水草必须及时清除。</w:t>
      </w:r>
    </w:p>
    <w:p w14:paraId="5BA7CB51">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7.道路保洁中，做到每天全面巡回清扫和保洁，做到保洁范围内（路面、绿化带）无有色垃圾、无杂物堆放。</w:t>
      </w:r>
    </w:p>
    <w:p w14:paraId="30A712DC">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8.垃圾房（桶）要保洁及时，安排专人管理，定期清洗，内外壁无明显污垢，垃圾桶摆放整齐，无残缺、破损，垃圾清运后应及时打扫，果壳箱垃圾日产日清，不可用萝筐等代替。清扫保洁工具按规定摆放，不可随意丢放，做到工具不离手。做好垃圾分类工作，严禁出现杂色垃圾桶。</w:t>
      </w:r>
    </w:p>
    <w:p w14:paraId="5147130A">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9.遇有重大活动或抗台、抗雪等突发事件，必须无条件及时组织力量做好清扫保洁等保障工作，服从采购人的统一指挥。遇台风后，应于1小时内保证道路整洁、畅通。遇大雪、冰冻天气，应及时清扫路面积雪，铲除冰冻，确保道路安全、畅通。对各类灾害性天气有应急预案，并自备相关保洁工具（如铁锹、扫把、雨衣、雨鞋等）。道路发生行道树倒伏，应在接到通知后半小时内赶到现场，12小时内处理完毕，如堵塞交通，2小时内予以清除。遇到重大活动或节假日，按照采购人要求增加清卫人员。</w:t>
      </w:r>
    </w:p>
    <w:p w14:paraId="555C10EA">
      <w:pPr>
        <w:snapToGrid w:val="0"/>
        <w:spacing w:line="360" w:lineRule="auto"/>
        <w:ind w:firstLine="350" w:firstLineChars="146"/>
        <w:rPr>
          <w:rFonts w:ascii="宋体" w:hAnsi="宋体" w:cs="宋体"/>
          <w:color w:val="auto"/>
          <w:sz w:val="24"/>
          <w:highlight w:val="none"/>
          <w:lang w:bidi="ar"/>
        </w:rPr>
      </w:pPr>
      <w:r>
        <w:rPr>
          <w:rFonts w:hint="eastAsia" w:ascii="宋体" w:hAnsi="宋体" w:cs="宋体"/>
          <w:color w:val="auto"/>
          <w:sz w:val="24"/>
          <w:highlight w:val="none"/>
          <w:lang w:bidi="ar"/>
        </w:rPr>
        <w:t>10.严格遵守公厕保洁和管理要求，公厕24小时开放，16小时保洁，并在保洁时段内落实专人保洁、管理，保洁员须佩证上岗，公厕内不得销售卫生用品；公厕须提供免费手纸、洗手液（肥皂），随脏随扫，保洁质量达到八无：无尿迹（垢）、无粪迹（污渍）、无蛛网、无积水、无痰涕、无积尘、无臭气、无蝇蛆；天花板、内外墙面、门窗、洗手龙头、水箱、水阀破损或漏水等设施损坏时需立即上报甲方，做到当天发现当天上报。小便器内放香丸，沟眼和管道保持畅通；在旺季或人流量较大的时候需在公厕内放置盘香等驱味品；公厕指向牌、公厕标牌及厕门男女标识牌等要保持清洁，无污渍、无灰尘，不破损、残缺和歪斜；雨天或是潮湿天气，应在地面铺上防滑垫；公厕外环境（外墙起4米范围内）要求整洁，无晾晒衣物、堆放杂物等现象，无绿化植物枯死、无黄土裸露现象；工具间内工具摆放整齐，环境整洁。</w:t>
      </w:r>
    </w:p>
    <w:p w14:paraId="102F83F5">
      <w:pPr>
        <w:snapToGrid w:val="0"/>
        <w:spacing w:line="360" w:lineRule="auto"/>
        <w:ind w:firstLine="472" w:firstLineChars="196"/>
        <w:outlineLvl w:val="1"/>
        <w:rPr>
          <w:rFonts w:ascii="宋体" w:hAnsi="宋体" w:cs="宋体"/>
          <w:b/>
          <w:color w:val="auto"/>
          <w:sz w:val="24"/>
          <w:highlight w:val="none"/>
        </w:rPr>
      </w:pPr>
      <w:r>
        <w:rPr>
          <w:rFonts w:hint="eastAsia" w:ascii="宋体" w:hAnsi="宋体" w:cs="宋体"/>
          <w:b/>
          <w:color w:val="auto"/>
          <w:sz w:val="24"/>
          <w:highlight w:val="none"/>
        </w:rPr>
        <w:t>七、双方权利和义务</w:t>
      </w:r>
    </w:p>
    <w:p w14:paraId="04B7F9E1">
      <w:pPr>
        <w:widowControl/>
        <w:adjustRightInd/>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（一）甲方权利和义务</w:t>
      </w:r>
    </w:p>
    <w:p w14:paraId="74DB9E49">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1.甲方及时向乙方传达有关文件精神和制定相关的保洁制度，并督促乙方执行。</w:t>
      </w:r>
    </w:p>
    <w:p w14:paraId="09788760">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2.甲方有权指导乙方开展工作，并按照合同约定和标准（要求）对乙方进行监督检查，追究乙方违反约定或服务标准（要求）的违约责任。</w:t>
      </w:r>
    </w:p>
    <w:p w14:paraId="1EAE0984">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3.甲方有权结合市、区检查和处查的情况，按照区局、管理处最新《长效管理考核办法》，《最佳最差公园（景区）、道路及河道绿地、高架绿化评选活动实施方案》，“道路分类保洁检查考核实施细则”，《杭州市区公共厕所分类管理检查考核实施细则》对乙方进行考核奖惩。</w:t>
      </w:r>
    </w:p>
    <w:p w14:paraId="1C3F50CB">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4.乙方未履行本合同或服务质量不符合甲方要求的，甲方有权单方解除本合同。</w:t>
      </w:r>
    </w:p>
    <w:p w14:paraId="0F64C0FC">
      <w:pPr>
        <w:widowControl/>
        <w:adjustRightInd/>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（二）乙方权利和义务</w:t>
      </w:r>
    </w:p>
    <w:p w14:paraId="7A4FCB9A">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1.乙方须严格按照《杭州西湖风景名胜区凤凰山管理处长效管理考核办法》和《景区保洁标准》进行景区保洁。</w:t>
      </w:r>
    </w:p>
    <w:p w14:paraId="4DA954DA">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2.乙方须服从甲方的管理，自觉遵守甲方制定的各项清卫保洁制度，保质保量完成甲方下达的各项工作任务。</w:t>
      </w:r>
    </w:p>
    <w:p w14:paraId="089C8D31">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3.乙方聘用的保洁人员，按照以人为本原则关心职工，严格遵守《劳动法》、《劳动合同法》等劳动法规，保障职工合法权益，不得采用劳务派遣的用工形式。严格按照杭州市最新规定的工资标准发放，必须落实职工劳保福利待遇，为职工缴纳社会保险费（养老保险、医疗保险、失业保险、工伤保险和生育保险）与住房公积金，“五金一险”须在杭州本地缴纳，保障职工休息休假权利，加班必须足额支付加班费，保洁人员的工资、岗位津贴、加班工资等必须确保按月发放。如因违法、违规造成上访或群体性事件的，由乙方（中标单位）负责处理，并作警告处理。乙方人员发生的任何劳资纠纷、工伤、意外事故的一切法律责任均由乙方自行承担，与甲方无关。</w:t>
      </w:r>
    </w:p>
    <w:p w14:paraId="44C271DB">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4.乙方必须提供真实的员工身份信息，为保洁人员交付必要的社会保险和意外伤害保险，并向甲方提供人身意外保险、社会保险的缴费证明复印件。</w:t>
      </w:r>
    </w:p>
    <w:p w14:paraId="2C6D2367">
      <w:pPr>
        <w:widowControl/>
        <w:adjustRightInd/>
        <w:spacing w:line="360" w:lineRule="auto"/>
        <w:ind w:firstLine="681" w:firstLineChars="284"/>
        <w:rPr>
          <w:rFonts w:ascii="宋体" w:hAnsi="宋体" w:cs="宋体"/>
          <w:color w:val="auto"/>
          <w:kern w:val="0"/>
          <w:sz w:val="24"/>
          <w:highlight w:val="none"/>
          <w:lang w:val="zh-CN"/>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在合同期间，每人每月保洁费应根据最新的杭州市最低工资标准作及时调整，调整所产生的费用由乙方自行承担。</w:t>
      </w:r>
    </w:p>
    <w:p w14:paraId="07224800">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6.乙方须按照《杭州市外来临时工管理暂行规定》聘用保洁人员，在和甲方签订保洁合同一个月期限内，将聘用保洁人员暂住证、身份证和劳务合同复印件交予甲方备案，乙方在保洁合同期间更换保洁人员，及时将更新保洁人员的暂住证、身份证和劳务合同复印件交予甲方备案。</w:t>
      </w:r>
    </w:p>
    <w:p w14:paraId="723CFBFE">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7.乙方聘用的保洁人员须具备一定的身体素质，无残疾，年龄符合市城管委考核要求，会说普通话。</w:t>
      </w:r>
    </w:p>
    <w:p w14:paraId="554A8A9C">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8.在双休日、国定节假日和旅游旺季期间，乙方须全力做好清卫保洁工作，必要时增加保洁人员。</w:t>
      </w:r>
    </w:p>
    <w:p w14:paraId="18B6B7A8">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9.乙方使用甲方管理用房产生的水费、电费用由乙方承担。水费按照每月20元/间结算。电费按实际使用电量（以电表读数为准）乘以单价进行结算，其中单价参照杭州市电力局公布的同期收费标准收取，如有政策改动，再做相应调整。</w:t>
      </w:r>
    </w:p>
    <w:p w14:paraId="4D669176">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10.为确保高质量的完成该保洁服务项目，乙方应根据公园景点的特点及面积配备便捷先进保洁作业器械。</w:t>
      </w:r>
    </w:p>
    <w:p w14:paraId="41BA469B">
      <w:pPr>
        <w:widowControl/>
        <w:adjustRightInd/>
        <w:spacing w:line="360" w:lineRule="auto"/>
        <w:ind w:firstLine="684" w:firstLineChars="284"/>
        <w:rPr>
          <w:color w:val="auto"/>
          <w:highlight w:val="none"/>
        </w:rPr>
      </w:pPr>
      <w:r>
        <w:rPr>
          <w:rFonts w:hint="eastAsia" w:ascii="宋体" w:hAnsi="宋体" w:cs="宋体"/>
          <w:b/>
          <w:bCs/>
          <w:color w:val="auto"/>
          <w:kern w:val="0"/>
          <w:sz w:val="24"/>
          <w:highlight w:val="none"/>
        </w:rPr>
        <w:t>八、违约责任及承担</w:t>
      </w:r>
    </w:p>
    <w:p w14:paraId="7815BA63">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（一）西湖风景名胜区管委会检查抄告问题每条扣款200元，数字城管抄告问题每条扣款200元，西湖风景名胜区管委会“双最”检查抄告问题每条扣款500元，市园文局“双最”检查抄告问题，每条扣款 800 元，处查问题每条扣款100元至300元，以上抄告问题视情节严重可加重扣款比例。</w:t>
      </w:r>
    </w:p>
    <w:p w14:paraId="1C444858">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（二）乙方被有关部门或领导批示、媒体曝光、群众有责投诉和反映（有书面依据）并对甲方产生严重影响的，每个问题应扣款1000元至2000元，并且甲方有权解除与乙方签订的本合同。</w:t>
      </w:r>
    </w:p>
    <w:p w14:paraId="1529568F">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（三）乙方现场负责人到岗率100%，且手机24小时开机。负责人缺岗每次扣款1000元；乙方保洁人员连续三天(或以上)缺岗，扣款按每工日平均工资乘以缺岗天数的标准扣除。</w:t>
      </w:r>
    </w:p>
    <w:p w14:paraId="4A305A3B">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（四）“双最”公园评比活动中由于清卫保洁原因名次靠后，排名末三位的每次扣款1万。年度排名末三位，扣3万元至5万元。</w:t>
      </w:r>
    </w:p>
    <w:p w14:paraId="67D588F6">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（五）乙方聘用保洁人员超过一个月以上，未按《劳动法》签订书面劳动合同，甲方一经查实，每人每次扣500元，同时乙方聘用的保洁人员无论出现任何情况，均与甲方无关。</w:t>
      </w:r>
    </w:p>
    <w:p w14:paraId="7987D36C">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（六）乙方聘用保洁人员因非甲方责任到甲方单位闹事、威胁等，一经甲方查实，视情节严重情况扣款2000元至5000元。</w:t>
      </w:r>
    </w:p>
    <w:p w14:paraId="50F0B2B9">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（七）乙方聘用的保洁人员年龄必须符合甲方要求，一经甲方查实，保洁人员超龄，每人每次100元，</w:t>
      </w:r>
      <w:r>
        <w:rPr>
          <w:rFonts w:hint="eastAsia" w:hAnsi="宋体" w:cs="宋体"/>
          <w:color w:val="auto"/>
          <w:sz w:val="24"/>
          <w:highlight w:val="none"/>
          <w:lang w:val="zh-CN"/>
        </w:rPr>
        <w:t>同时必须在 10 天内替换符合甲方年龄要求的保洁员，未按要求、时间替换的，每次再追扣500元</w:t>
      </w:r>
      <w:r>
        <w:rPr>
          <w:rFonts w:hint="eastAsia" w:ascii="宋体" w:hAnsi="宋体" w:cs="宋体"/>
          <w:color w:val="auto"/>
          <w:kern w:val="0"/>
          <w:sz w:val="24"/>
          <w:highlight w:val="none"/>
        </w:rPr>
        <w:t>。</w:t>
      </w:r>
    </w:p>
    <w:p w14:paraId="342B88E1">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（八）市级以上的各类保障任务，中央、省、市级检查时，发现问题，未第一时间进行处置整改，根据问题情节轻重处罚2000元至5000元。</w:t>
      </w:r>
    </w:p>
    <w:p w14:paraId="63183346">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（九）乙方未能提供符合景区要求能进入公园的小型、便捷垃圾清运车，汽油落叶吹风机及高压水枪式冲洗车辆将由甲方负责购买，费用由乙方承担。</w:t>
      </w:r>
    </w:p>
    <w:p w14:paraId="640D0031">
      <w:pPr>
        <w:widowControl/>
        <w:adjustRightInd/>
        <w:spacing w:line="360" w:lineRule="auto"/>
        <w:ind w:firstLine="681" w:firstLineChars="284"/>
        <w:rPr>
          <w:rFonts w:hAnsi="宋体" w:cs="宋体"/>
          <w:color w:val="auto"/>
          <w:sz w:val="24"/>
          <w:highlight w:val="none"/>
          <w:lang w:val="zh-CN"/>
        </w:rPr>
      </w:pPr>
      <w:r>
        <w:rPr>
          <w:rFonts w:hint="eastAsia" w:hAnsi="宋体" w:cs="宋体"/>
          <w:color w:val="auto"/>
          <w:sz w:val="24"/>
          <w:highlight w:val="none"/>
          <w:lang w:val="zh-CN"/>
        </w:rPr>
        <w:t>（十）乙方未经甲方同意，擅自更换该项目人员，一经甲方发现并核实，每次扣1000元至2000 元。</w:t>
      </w:r>
    </w:p>
    <w:p w14:paraId="4A9B5FD9">
      <w:pPr>
        <w:widowControl/>
        <w:adjustRightInd/>
        <w:spacing w:line="360" w:lineRule="auto"/>
        <w:ind w:firstLine="681" w:firstLineChars="284"/>
        <w:rPr>
          <w:rFonts w:ascii="宋体" w:hAnsi="宋体" w:cs="宋体"/>
          <w:b/>
          <w:bCs/>
          <w:color w:val="auto"/>
          <w:sz w:val="24"/>
          <w:highlight w:val="none"/>
          <w:lang w:bidi="ar"/>
        </w:rPr>
      </w:pPr>
      <w:r>
        <w:rPr>
          <w:rFonts w:hint="eastAsia" w:ascii="宋体" w:hAnsi="宋体" w:cs="宋体"/>
          <w:color w:val="auto"/>
          <w:sz w:val="24"/>
          <w:highlight w:val="none"/>
          <w:lang w:val="zh-CN"/>
        </w:rPr>
        <w:t>（十一）该服务项目人员擅自离岗，一经甲方查实，每次每人扣100元至300元。</w:t>
      </w:r>
    </w:p>
    <w:p w14:paraId="4BA6336E">
      <w:pPr>
        <w:widowControl/>
        <w:adjustRightInd/>
        <w:spacing w:line="360" w:lineRule="auto"/>
        <w:ind w:firstLine="681" w:firstLineChars="28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（十二）甲方无正当理由拒收接受服务的，甲方向乙方偿付合同款项百分之五作为违约金。</w:t>
      </w:r>
    </w:p>
    <w:p w14:paraId="153E01C8">
      <w:pPr>
        <w:widowControl/>
        <w:adjustRightInd/>
        <w:spacing w:line="360" w:lineRule="auto"/>
        <w:ind w:firstLine="681" w:firstLineChars="284"/>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十三）乙方未能如期提供服务的，对甲方的通知逾期未响应，甲方自行安排人员完成工作，产生的相关费用由乙方承担。乙方超过约定日期10个工作日仍不能提供服务的，甲方可解除本合同。乙方因未能如期提供服务或因其他违约行为导致甲方解除合同的，乙方应向甲方支付合同总价5%的违约金，如造成甲方损失超过违约金的，超出部分由乙方继续承担赔偿责任。</w:t>
      </w:r>
    </w:p>
    <w:p w14:paraId="47A1BF01">
      <w:pPr>
        <w:widowControl/>
        <w:adjustRightInd/>
        <w:spacing w:line="360" w:lineRule="auto"/>
        <w:ind w:firstLine="684" w:firstLineChars="284"/>
        <w:rPr>
          <w:rFonts w:ascii="宋体" w:hAnsi="宋体" w:cs="宋体"/>
          <w:b/>
          <w:bCs/>
          <w:color w:val="auto"/>
          <w:kern w:val="0"/>
          <w:sz w:val="24"/>
          <w:highlight w:val="none"/>
        </w:rPr>
      </w:pPr>
      <w:r>
        <w:rPr>
          <w:rFonts w:hint="eastAsia" w:ascii="宋体" w:hAnsi="宋体" w:cs="宋体"/>
          <w:b/>
          <w:bCs/>
          <w:color w:val="auto"/>
          <w:kern w:val="0"/>
          <w:sz w:val="24"/>
          <w:highlight w:val="none"/>
        </w:rPr>
        <w:t>九、其他费用承担</w:t>
      </w:r>
    </w:p>
    <w:p w14:paraId="3C2BCDF2">
      <w:pPr>
        <w:widowControl/>
        <w:adjustRightInd/>
        <w:spacing w:line="360" w:lineRule="auto"/>
        <w:ind w:firstLine="681" w:firstLineChars="284"/>
        <w:rPr>
          <w:rFonts w:ascii="宋体" w:hAnsi="宋体" w:cs="宋体"/>
          <w:color w:val="auto"/>
          <w:kern w:val="0"/>
          <w:sz w:val="24"/>
          <w:highlight w:val="none"/>
        </w:rPr>
      </w:pPr>
      <w:r>
        <w:rPr>
          <w:rFonts w:hint="eastAsia" w:ascii="宋体" w:hAnsi="宋体" w:cs="宋体"/>
          <w:color w:val="auto"/>
          <w:kern w:val="0"/>
          <w:sz w:val="24"/>
          <w:highlight w:val="none"/>
        </w:rPr>
        <w:t>乙方负责购置统一工作服、工号牌、雨衣等,同时需购置清卫工具（如扫把、拖把、毛巾、清洁球、洗手液、卫生纸、垃圾袋等）；负责配备公厕所需卫生纸、洗手液；负责公厕化粪池清粪工作（全年2次）；负责购置安装及更换安装成本1000元以内（含1000元）公厕洁具用品，负责果壳箱破损内胆维修更换、垃圾桶破损的更换等，各类活动中所需垃圾桶的添置及支付公厕除臭费用；以上产生的费用由乙方自理。因甲方工作需要，清卫人员配合额外承担的园林养护等工作，甲方根据相关管理办法考核后给予清卫人员的奖励、补贴等，不计入本合同总价，由甲方另行支付。</w:t>
      </w:r>
    </w:p>
    <w:p w14:paraId="062060B2">
      <w:pPr>
        <w:widowControl/>
        <w:adjustRightInd/>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sz w:val="24"/>
          <w:highlight w:val="none"/>
        </w:rPr>
        <w:t>十、</w:t>
      </w:r>
      <w:r>
        <w:rPr>
          <w:rFonts w:hint="eastAsia" w:ascii="宋体" w:hAnsi="宋体" w:cs="宋体"/>
          <w:b/>
          <w:bCs/>
          <w:color w:val="auto"/>
          <w:kern w:val="0"/>
          <w:sz w:val="24"/>
          <w:highlight w:val="none"/>
        </w:rPr>
        <w:t>转包或分包</w:t>
      </w:r>
    </w:p>
    <w:p w14:paraId="69FD9989">
      <w:pPr>
        <w:widowControl/>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（一）本合同范围的服务，应由乙方直接供应，不得转让他人供应；</w:t>
      </w:r>
    </w:p>
    <w:p w14:paraId="07AC64E2">
      <w:pPr>
        <w:widowControl/>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（二）除非得到甲方的书面同意，乙方不得将本合同范围的服务全部或部分分包给他人供应；</w:t>
      </w:r>
    </w:p>
    <w:p w14:paraId="70C2CD05">
      <w:pPr>
        <w:widowControl/>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（三）如有转让和未经甲方同意的分包行为，甲方有权解除合同，并追究乙方的违约责任。</w:t>
      </w:r>
    </w:p>
    <w:p w14:paraId="6F979834">
      <w:pPr>
        <w:widowControl/>
        <w:adjustRightInd/>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十一、不可抗力事件处理</w:t>
      </w:r>
    </w:p>
    <w:p w14:paraId="54A333FE">
      <w:pPr>
        <w:widowControl/>
        <w:adjustRightInd/>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（一）在合同有效期内，任何一方因不可抗力事件导致不能履行合同，则合同履行期可延长，其延长期与不可抗力影响期相同。</w:t>
      </w:r>
    </w:p>
    <w:p w14:paraId="6A36B82B">
      <w:pPr>
        <w:widowControl/>
        <w:adjustRightInd/>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（二）不可抗力事件发生后，应立即通知对方，并寄送有关权威机构出具的证明。</w:t>
      </w:r>
    </w:p>
    <w:p w14:paraId="5E0490D5">
      <w:pPr>
        <w:widowControl/>
        <w:adjustRightInd/>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（三）不可抗力事件延续120天以上，双方应通过友好协商，确定是否继续履行合同。</w:t>
      </w:r>
    </w:p>
    <w:p w14:paraId="3132023F">
      <w:pPr>
        <w:widowControl/>
        <w:adjustRightInd/>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十二、履行合同中解决争议的方式</w:t>
      </w:r>
    </w:p>
    <w:p w14:paraId="23BA9628">
      <w:pPr>
        <w:widowControl/>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（一）在合同执行过程中如发生争议，首先应本着友好的原则协商解决，协商未果的，合同中甲乙双方均可向本项目所在地人民法院提起诉讼。</w:t>
      </w:r>
    </w:p>
    <w:p w14:paraId="5495A04E">
      <w:pPr>
        <w:widowControl/>
        <w:adjustRightInd/>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（二）双方在执行合同中所发生的一切争议，应通过协商解决。如协商不成，可向甲方所在地法院起诉。</w:t>
      </w:r>
    </w:p>
    <w:p w14:paraId="1BED361B">
      <w:pPr>
        <w:widowControl/>
        <w:adjustRightInd/>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十三、合同生效及其它</w:t>
      </w:r>
    </w:p>
    <w:p w14:paraId="50E9361D">
      <w:pPr>
        <w:widowControl/>
        <w:adjustRightInd/>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（一）合同经双方法定代表人或授权代表签字并加盖单位公章后生效。</w:t>
      </w:r>
    </w:p>
    <w:p w14:paraId="02FB0B1E">
      <w:pPr>
        <w:widowControl/>
        <w:adjustRightInd/>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（二）合同执行中涉及采购资金和采购内容修改或补充的，须经财政部门审批，并签书面补充协议报政府采购监督管理部门备案，方可作为主合同不可分割的一部分。</w:t>
      </w:r>
    </w:p>
    <w:p w14:paraId="2077436B">
      <w:pPr>
        <w:widowControl/>
        <w:adjustRightInd/>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（三）本合同未尽事宜，遵照《中华人民共和国民法典》有关条文执行。</w:t>
      </w:r>
    </w:p>
    <w:p w14:paraId="39357ED5">
      <w:pPr>
        <w:widowControl/>
        <w:adjustRightInd/>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（四）本合同一式陆份，具同等法律效力，甲乙双方各执叁份。</w:t>
      </w:r>
    </w:p>
    <w:p w14:paraId="7E9444C3">
      <w:pPr>
        <w:pStyle w:val="4"/>
        <w:rPr>
          <w:color w:val="auto"/>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211C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23C88A15">
            <w:pPr>
              <w:spacing w:line="360" w:lineRule="auto"/>
              <w:rPr>
                <w:rFonts w:ascii="宋体" w:hAnsi="宋体" w:cs="宋体"/>
                <w:color w:val="auto"/>
                <w:sz w:val="24"/>
                <w:highlight w:val="none"/>
              </w:rPr>
            </w:pPr>
            <w:r>
              <w:rPr>
                <w:rFonts w:hint="eastAsia" w:ascii="宋体" w:hAnsi="宋体" w:cs="宋体"/>
                <w:color w:val="auto"/>
                <w:sz w:val="24"/>
                <w:highlight w:val="none"/>
              </w:rPr>
              <w:t>甲方：（盖章）</w:t>
            </w:r>
          </w:p>
        </w:tc>
        <w:tc>
          <w:tcPr>
            <w:tcW w:w="4644" w:type="dxa"/>
            <w:tcBorders>
              <w:top w:val="nil"/>
              <w:left w:val="nil"/>
              <w:bottom w:val="nil"/>
              <w:right w:val="nil"/>
            </w:tcBorders>
          </w:tcPr>
          <w:p w14:paraId="65666777">
            <w:pPr>
              <w:spacing w:line="360" w:lineRule="auto"/>
              <w:rPr>
                <w:rFonts w:ascii="宋体" w:hAnsi="宋体" w:cs="宋体"/>
                <w:color w:val="auto"/>
                <w:sz w:val="24"/>
                <w:highlight w:val="none"/>
              </w:rPr>
            </w:pPr>
            <w:r>
              <w:rPr>
                <w:rFonts w:hint="eastAsia" w:ascii="宋体" w:hAnsi="宋体" w:cs="宋体"/>
                <w:color w:val="auto"/>
                <w:sz w:val="24"/>
                <w:highlight w:val="none"/>
              </w:rPr>
              <w:t>乙方：（盖章）</w:t>
            </w:r>
          </w:p>
        </w:tc>
      </w:tr>
      <w:tr w14:paraId="1209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1B4CF2C9">
            <w:pPr>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p>
        </w:tc>
        <w:tc>
          <w:tcPr>
            <w:tcW w:w="4644" w:type="dxa"/>
            <w:tcBorders>
              <w:top w:val="nil"/>
              <w:left w:val="nil"/>
              <w:bottom w:val="nil"/>
              <w:right w:val="nil"/>
            </w:tcBorders>
          </w:tcPr>
          <w:p w14:paraId="2A5F57F3">
            <w:pPr>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p>
        </w:tc>
      </w:tr>
      <w:tr w14:paraId="0F16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718AAA27">
            <w:pPr>
              <w:spacing w:line="360" w:lineRule="auto"/>
              <w:rPr>
                <w:rFonts w:ascii="宋体" w:hAnsi="宋体" w:cs="宋体"/>
                <w:color w:val="auto"/>
                <w:sz w:val="24"/>
                <w:highlight w:val="none"/>
              </w:rPr>
            </w:pPr>
            <w:r>
              <w:rPr>
                <w:rFonts w:hint="eastAsia" w:hAnsi="宋体" w:cs="宋体"/>
                <w:color w:val="auto"/>
                <w:sz w:val="24"/>
                <w:highlight w:val="none"/>
              </w:rPr>
              <w:t>或受委托人（签字）：</w:t>
            </w:r>
          </w:p>
        </w:tc>
        <w:tc>
          <w:tcPr>
            <w:tcW w:w="4644" w:type="dxa"/>
            <w:tcBorders>
              <w:top w:val="nil"/>
              <w:left w:val="nil"/>
              <w:bottom w:val="nil"/>
              <w:right w:val="nil"/>
            </w:tcBorders>
          </w:tcPr>
          <w:p w14:paraId="5E513FB6">
            <w:pPr>
              <w:spacing w:line="360" w:lineRule="auto"/>
              <w:rPr>
                <w:rFonts w:ascii="宋体" w:hAnsi="宋体" w:cs="宋体"/>
                <w:color w:val="auto"/>
                <w:sz w:val="24"/>
                <w:highlight w:val="none"/>
              </w:rPr>
            </w:pPr>
            <w:r>
              <w:rPr>
                <w:rFonts w:hint="eastAsia" w:hAnsi="宋体" w:cs="宋体"/>
                <w:color w:val="auto"/>
                <w:sz w:val="24"/>
                <w:highlight w:val="none"/>
              </w:rPr>
              <w:t>或受委托人（签字）：</w:t>
            </w:r>
          </w:p>
        </w:tc>
      </w:tr>
      <w:tr w14:paraId="181F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7439C9DC">
            <w:pPr>
              <w:spacing w:line="360" w:lineRule="auto"/>
              <w:rPr>
                <w:rFonts w:ascii="宋体" w:hAnsi="宋体" w:cs="宋体"/>
                <w:color w:val="auto"/>
                <w:sz w:val="24"/>
                <w:highlight w:val="none"/>
              </w:rPr>
            </w:pPr>
            <w:r>
              <w:rPr>
                <w:rFonts w:hint="eastAsia" w:hAnsi="宋体" w:cs="宋体"/>
                <w:color w:val="auto"/>
                <w:sz w:val="24"/>
                <w:highlight w:val="none"/>
              </w:rPr>
              <w:t>联系人（签字）：</w:t>
            </w:r>
          </w:p>
        </w:tc>
        <w:tc>
          <w:tcPr>
            <w:tcW w:w="4644" w:type="dxa"/>
            <w:tcBorders>
              <w:top w:val="nil"/>
              <w:left w:val="nil"/>
              <w:bottom w:val="nil"/>
              <w:right w:val="nil"/>
            </w:tcBorders>
          </w:tcPr>
          <w:p w14:paraId="62678C1A">
            <w:pPr>
              <w:spacing w:line="360" w:lineRule="auto"/>
              <w:rPr>
                <w:rFonts w:ascii="宋体" w:hAnsi="宋体" w:cs="宋体"/>
                <w:color w:val="auto"/>
                <w:sz w:val="24"/>
                <w:highlight w:val="none"/>
              </w:rPr>
            </w:pPr>
            <w:r>
              <w:rPr>
                <w:rFonts w:hint="eastAsia" w:hAnsi="宋体" w:cs="宋体"/>
                <w:color w:val="auto"/>
                <w:sz w:val="24"/>
                <w:highlight w:val="none"/>
              </w:rPr>
              <w:t>联系人（签字）：</w:t>
            </w:r>
          </w:p>
        </w:tc>
      </w:tr>
      <w:tr w14:paraId="7951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51C4A4CB">
            <w:pPr>
              <w:spacing w:line="360" w:lineRule="auto"/>
              <w:rPr>
                <w:rFonts w:ascii="宋体" w:hAnsi="宋体" w:cs="宋体"/>
                <w:color w:val="auto"/>
                <w:sz w:val="24"/>
                <w:highlight w:val="none"/>
              </w:rPr>
            </w:pPr>
            <w:r>
              <w:rPr>
                <w:rFonts w:hint="eastAsia" w:hAnsi="宋体" w:cs="宋体"/>
                <w:color w:val="auto"/>
                <w:sz w:val="24"/>
                <w:highlight w:val="none"/>
              </w:rPr>
              <w:t>地址：</w:t>
            </w:r>
          </w:p>
        </w:tc>
        <w:tc>
          <w:tcPr>
            <w:tcW w:w="4644" w:type="dxa"/>
            <w:tcBorders>
              <w:top w:val="nil"/>
              <w:left w:val="nil"/>
              <w:bottom w:val="nil"/>
              <w:right w:val="nil"/>
            </w:tcBorders>
          </w:tcPr>
          <w:p w14:paraId="38269BC5">
            <w:pPr>
              <w:spacing w:line="360" w:lineRule="auto"/>
              <w:rPr>
                <w:rFonts w:ascii="宋体" w:hAnsi="宋体" w:cs="宋体"/>
                <w:color w:val="auto"/>
                <w:sz w:val="24"/>
                <w:highlight w:val="none"/>
              </w:rPr>
            </w:pPr>
            <w:r>
              <w:rPr>
                <w:rFonts w:hint="eastAsia" w:hAnsi="宋体" w:cs="宋体"/>
                <w:color w:val="auto"/>
                <w:sz w:val="24"/>
                <w:highlight w:val="none"/>
              </w:rPr>
              <w:t>地址：</w:t>
            </w:r>
          </w:p>
        </w:tc>
      </w:tr>
      <w:tr w14:paraId="4679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60F55ED7">
            <w:pPr>
              <w:spacing w:line="360" w:lineRule="auto"/>
              <w:rPr>
                <w:rFonts w:ascii="宋体" w:hAnsi="宋体" w:cs="宋体"/>
                <w:color w:val="auto"/>
                <w:sz w:val="24"/>
                <w:highlight w:val="none"/>
              </w:rPr>
            </w:pPr>
            <w:r>
              <w:rPr>
                <w:rFonts w:hint="eastAsia" w:hAnsi="宋体" w:cs="宋体"/>
                <w:color w:val="auto"/>
                <w:sz w:val="24"/>
                <w:highlight w:val="none"/>
              </w:rPr>
              <w:t>邮编：</w:t>
            </w:r>
          </w:p>
        </w:tc>
        <w:tc>
          <w:tcPr>
            <w:tcW w:w="4644" w:type="dxa"/>
            <w:tcBorders>
              <w:top w:val="nil"/>
              <w:left w:val="nil"/>
              <w:bottom w:val="nil"/>
              <w:right w:val="nil"/>
            </w:tcBorders>
          </w:tcPr>
          <w:p w14:paraId="023297AE">
            <w:pPr>
              <w:spacing w:line="360" w:lineRule="auto"/>
              <w:rPr>
                <w:rFonts w:ascii="宋体" w:hAnsi="宋体" w:cs="宋体"/>
                <w:color w:val="auto"/>
                <w:sz w:val="24"/>
                <w:highlight w:val="none"/>
              </w:rPr>
            </w:pPr>
            <w:r>
              <w:rPr>
                <w:rFonts w:hint="eastAsia" w:hAnsi="宋体" w:cs="宋体"/>
                <w:color w:val="auto"/>
                <w:sz w:val="24"/>
                <w:highlight w:val="none"/>
              </w:rPr>
              <w:t>邮编：</w:t>
            </w:r>
          </w:p>
        </w:tc>
      </w:tr>
      <w:tr w14:paraId="2235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046885C1">
            <w:pPr>
              <w:spacing w:line="360" w:lineRule="auto"/>
              <w:rPr>
                <w:rFonts w:ascii="宋体" w:hAnsi="宋体" w:cs="宋体"/>
                <w:color w:val="auto"/>
                <w:sz w:val="24"/>
                <w:highlight w:val="none"/>
              </w:rPr>
            </w:pPr>
            <w:r>
              <w:rPr>
                <w:rFonts w:hint="eastAsia" w:hAnsi="宋体" w:cs="宋体"/>
                <w:color w:val="auto"/>
                <w:sz w:val="24"/>
                <w:highlight w:val="none"/>
              </w:rPr>
              <w:t>电话：</w:t>
            </w:r>
          </w:p>
        </w:tc>
        <w:tc>
          <w:tcPr>
            <w:tcW w:w="4644" w:type="dxa"/>
            <w:tcBorders>
              <w:top w:val="nil"/>
              <w:left w:val="nil"/>
              <w:bottom w:val="nil"/>
              <w:right w:val="nil"/>
            </w:tcBorders>
          </w:tcPr>
          <w:p w14:paraId="31C2EC4C">
            <w:pPr>
              <w:spacing w:line="360" w:lineRule="auto"/>
              <w:rPr>
                <w:rFonts w:ascii="宋体" w:hAnsi="宋体" w:cs="宋体"/>
                <w:color w:val="auto"/>
                <w:sz w:val="24"/>
                <w:highlight w:val="none"/>
              </w:rPr>
            </w:pPr>
            <w:r>
              <w:rPr>
                <w:rFonts w:hint="eastAsia" w:hAnsi="宋体" w:cs="宋体"/>
                <w:color w:val="auto"/>
                <w:sz w:val="24"/>
                <w:highlight w:val="none"/>
              </w:rPr>
              <w:t>电话：</w:t>
            </w:r>
          </w:p>
        </w:tc>
      </w:tr>
      <w:tr w14:paraId="3781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192D1D0B">
            <w:pPr>
              <w:spacing w:line="360" w:lineRule="auto"/>
              <w:rPr>
                <w:rFonts w:ascii="宋体" w:hAnsi="宋体" w:cs="宋体"/>
                <w:color w:val="auto"/>
                <w:sz w:val="24"/>
                <w:highlight w:val="none"/>
              </w:rPr>
            </w:pPr>
            <w:r>
              <w:rPr>
                <w:rFonts w:hint="eastAsia" w:hAnsi="宋体" w:cs="宋体"/>
                <w:color w:val="auto"/>
                <w:sz w:val="24"/>
                <w:highlight w:val="none"/>
              </w:rPr>
              <w:t>传真：</w:t>
            </w:r>
          </w:p>
        </w:tc>
        <w:tc>
          <w:tcPr>
            <w:tcW w:w="4644" w:type="dxa"/>
            <w:tcBorders>
              <w:top w:val="nil"/>
              <w:left w:val="nil"/>
              <w:bottom w:val="nil"/>
              <w:right w:val="nil"/>
            </w:tcBorders>
          </w:tcPr>
          <w:p w14:paraId="0EE3D5F7">
            <w:pPr>
              <w:spacing w:line="360" w:lineRule="auto"/>
              <w:rPr>
                <w:rFonts w:ascii="宋体" w:hAnsi="宋体" w:cs="宋体"/>
                <w:color w:val="auto"/>
                <w:sz w:val="24"/>
                <w:highlight w:val="none"/>
              </w:rPr>
            </w:pPr>
            <w:r>
              <w:rPr>
                <w:rFonts w:hint="eastAsia" w:hAnsi="宋体" w:cs="宋体"/>
                <w:color w:val="auto"/>
                <w:sz w:val="24"/>
                <w:highlight w:val="none"/>
              </w:rPr>
              <w:t>传真：</w:t>
            </w:r>
          </w:p>
        </w:tc>
      </w:tr>
      <w:tr w14:paraId="795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43" w:type="dxa"/>
            <w:tcBorders>
              <w:top w:val="nil"/>
              <w:left w:val="nil"/>
              <w:bottom w:val="nil"/>
              <w:right w:val="nil"/>
            </w:tcBorders>
          </w:tcPr>
          <w:p w14:paraId="2CCF7607">
            <w:pPr>
              <w:spacing w:line="360" w:lineRule="auto"/>
              <w:rPr>
                <w:rFonts w:hAnsi="宋体" w:cs="宋体"/>
                <w:color w:val="auto"/>
                <w:sz w:val="24"/>
                <w:highlight w:val="none"/>
              </w:rPr>
            </w:pPr>
            <w:r>
              <w:rPr>
                <w:rFonts w:hint="eastAsia" w:ascii="宋体" w:hAnsi="宋体" w:cs="宋体"/>
                <w:color w:val="auto"/>
                <w:sz w:val="24"/>
                <w:highlight w:val="none"/>
              </w:rPr>
              <w:t>开户银行：</w:t>
            </w:r>
          </w:p>
        </w:tc>
        <w:tc>
          <w:tcPr>
            <w:tcW w:w="4644" w:type="dxa"/>
            <w:tcBorders>
              <w:top w:val="nil"/>
              <w:left w:val="nil"/>
              <w:bottom w:val="nil"/>
              <w:right w:val="nil"/>
            </w:tcBorders>
          </w:tcPr>
          <w:p w14:paraId="73A42F39">
            <w:pPr>
              <w:spacing w:line="360" w:lineRule="auto"/>
              <w:rPr>
                <w:rFonts w:hAnsi="宋体" w:cs="宋体"/>
                <w:color w:val="auto"/>
                <w:sz w:val="24"/>
                <w:highlight w:val="none"/>
              </w:rPr>
            </w:pPr>
            <w:r>
              <w:rPr>
                <w:rFonts w:hint="eastAsia" w:ascii="宋体" w:hAnsi="宋体" w:cs="宋体"/>
                <w:color w:val="auto"/>
                <w:sz w:val="24"/>
                <w:highlight w:val="none"/>
              </w:rPr>
              <w:t>开户银行：</w:t>
            </w:r>
          </w:p>
        </w:tc>
      </w:tr>
      <w:tr w14:paraId="3B8A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nil"/>
              <w:left w:val="nil"/>
              <w:bottom w:val="nil"/>
              <w:right w:val="nil"/>
            </w:tcBorders>
          </w:tcPr>
          <w:p w14:paraId="1BA8B97F">
            <w:pPr>
              <w:spacing w:line="360" w:lineRule="auto"/>
              <w:rPr>
                <w:rFonts w:hAnsi="宋体" w:cs="宋体"/>
                <w:color w:val="auto"/>
                <w:sz w:val="24"/>
                <w:highlight w:val="none"/>
              </w:rPr>
            </w:pPr>
            <w:r>
              <w:rPr>
                <w:rFonts w:hint="eastAsia" w:hAnsi="宋体" w:cs="宋体"/>
                <w:color w:val="auto"/>
                <w:sz w:val="24"/>
                <w:highlight w:val="none"/>
              </w:rPr>
              <w:t>账号</w:t>
            </w:r>
          </w:p>
        </w:tc>
        <w:tc>
          <w:tcPr>
            <w:tcW w:w="4644" w:type="dxa"/>
            <w:tcBorders>
              <w:top w:val="nil"/>
              <w:left w:val="nil"/>
              <w:bottom w:val="nil"/>
              <w:right w:val="nil"/>
            </w:tcBorders>
          </w:tcPr>
          <w:p w14:paraId="727D5E17">
            <w:pPr>
              <w:spacing w:line="360" w:lineRule="auto"/>
              <w:rPr>
                <w:rFonts w:hAnsi="宋体" w:cs="宋体"/>
                <w:color w:val="auto"/>
                <w:sz w:val="24"/>
                <w:highlight w:val="none"/>
              </w:rPr>
            </w:pPr>
            <w:r>
              <w:rPr>
                <w:rFonts w:hint="eastAsia" w:hAnsi="宋体" w:cs="宋体"/>
                <w:color w:val="auto"/>
                <w:sz w:val="24"/>
                <w:highlight w:val="none"/>
              </w:rPr>
              <w:t>账号</w:t>
            </w:r>
          </w:p>
        </w:tc>
      </w:tr>
    </w:tbl>
    <w:p w14:paraId="1CB180E9">
      <w:pPr>
        <w:spacing w:line="400" w:lineRule="exact"/>
        <w:jc w:val="left"/>
        <w:rPr>
          <w:rFonts w:ascii="宋体" w:hAnsi="宋体" w:cs="宋体"/>
          <w:color w:val="auto"/>
          <w:sz w:val="24"/>
          <w:highlight w:val="none"/>
        </w:rPr>
      </w:pPr>
    </w:p>
    <w:p w14:paraId="229C90A9">
      <w:pPr>
        <w:spacing w:line="400" w:lineRule="exact"/>
        <w:ind w:firstLine="5760" w:firstLineChars="2400"/>
        <w:jc w:val="left"/>
        <w:rPr>
          <w:rFonts w:ascii="宋体" w:hAnsi="宋体" w:cs="宋体"/>
          <w:color w:val="auto"/>
          <w:sz w:val="24"/>
          <w:highlight w:val="none"/>
        </w:rPr>
      </w:pPr>
      <w:r>
        <w:rPr>
          <w:rFonts w:hint="eastAsia" w:ascii="宋体" w:hAnsi="宋体" w:cs="宋体"/>
          <w:color w:val="auto"/>
          <w:sz w:val="24"/>
          <w:highlight w:val="none"/>
        </w:rPr>
        <w:t>签约时间：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99F3129">
      <w:pPr>
        <w:spacing w:line="400" w:lineRule="exact"/>
        <w:ind w:firstLine="5760" w:firstLineChars="2400"/>
        <w:jc w:val="left"/>
        <w:rPr>
          <w:rFonts w:ascii="宋体" w:hAnsi="宋体" w:cs="宋体"/>
          <w:color w:val="auto"/>
          <w:sz w:val="24"/>
          <w:highlight w:val="none"/>
          <w:u w:val="single"/>
        </w:rPr>
      </w:pPr>
      <w:r>
        <w:rPr>
          <w:rFonts w:hint="eastAsia" w:ascii="宋体" w:hAnsi="宋体" w:cs="宋体"/>
          <w:color w:val="auto"/>
          <w:sz w:val="24"/>
          <w:highlight w:val="none"/>
        </w:rPr>
        <w:t>签约地点：</w:t>
      </w:r>
      <w:r>
        <w:rPr>
          <w:rFonts w:hint="eastAsia" w:ascii="宋体" w:hAnsi="宋体" w:cs="宋体"/>
          <w:color w:val="auto"/>
          <w:sz w:val="24"/>
          <w:highlight w:val="none"/>
          <w:u w:val="single"/>
        </w:rPr>
        <w:t xml:space="preserve">                   </w:t>
      </w:r>
    </w:p>
    <w:p w14:paraId="3B73C097">
      <w:pPr>
        <w:spacing w:line="400" w:lineRule="exact"/>
        <w:ind w:firstLine="5760" w:firstLineChars="2400"/>
        <w:jc w:val="left"/>
        <w:rPr>
          <w:rFonts w:ascii="宋体" w:hAnsi="宋体" w:cs="宋体"/>
          <w:color w:val="auto"/>
          <w:sz w:val="24"/>
          <w:highlight w:val="none"/>
          <w:u w:val="single"/>
        </w:rPr>
      </w:pPr>
    </w:p>
    <w:p w14:paraId="2829A1F0">
      <w:pPr>
        <w:rPr>
          <w:color w:val="auto"/>
          <w:highlight w:val="none"/>
        </w:rPr>
      </w:pPr>
    </w:p>
    <w:p w14:paraId="79ADA4BB">
      <w:pPr>
        <w:rPr>
          <w:rFonts w:ascii="宋体" w:hAnsi="宋体" w:cs="宋体"/>
          <w:bCs/>
          <w:color w:val="auto"/>
          <w:kern w:val="44"/>
          <w:sz w:val="24"/>
          <w:highlight w:val="none"/>
        </w:rPr>
      </w:pPr>
    </w:p>
    <w:p w14:paraId="2BB5D128">
      <w:pPr>
        <w:pStyle w:val="2"/>
        <w:rPr>
          <w:rFonts w:hAnsi="宋体" w:cs="宋体"/>
          <w:bCs/>
          <w:color w:val="auto"/>
          <w:kern w:val="44"/>
          <w:highlight w:val="none"/>
        </w:rPr>
      </w:pPr>
    </w:p>
    <w:p w14:paraId="7EA5975A">
      <w:pPr>
        <w:pStyle w:val="4"/>
        <w:rPr>
          <w:color w:val="auto"/>
          <w:highlight w:val="none"/>
        </w:rPr>
      </w:pPr>
    </w:p>
    <w:p w14:paraId="6E1F16D2">
      <w:pPr>
        <w:rPr>
          <w:rFonts w:ascii="宋体" w:hAnsi="宋体" w:cs="宋体"/>
          <w:color w:val="auto"/>
          <w:sz w:val="24"/>
          <w:highlight w:val="none"/>
        </w:rPr>
      </w:pPr>
    </w:p>
    <w:p w14:paraId="45DEA8F3">
      <w:pPr>
        <w:widowControl/>
        <w:jc w:val="center"/>
        <w:rPr>
          <w:rFonts w:ascii="宋体" w:hAnsi="宋体" w:cs="宋体"/>
          <w:color w:val="auto"/>
          <w:sz w:val="24"/>
          <w:highlight w:val="none"/>
          <w:lang w:bidi="ar"/>
        </w:rPr>
      </w:pPr>
      <w:r>
        <w:rPr>
          <w:rFonts w:hint="eastAsia" w:ascii="宋体" w:hAnsi="宋体" w:cs="宋体"/>
          <w:color w:val="auto"/>
          <w:sz w:val="24"/>
          <w:highlight w:val="none"/>
          <w:lang w:bidi="ar"/>
        </w:rPr>
        <w:t>★ 此仅为合同书样本，中标单位需根据实际情况和采购人签订相应的合同！</w:t>
      </w:r>
    </w:p>
    <w:p w14:paraId="446D1DF6">
      <w:pPr>
        <w:pStyle w:val="2"/>
        <w:rPr>
          <w:color w:val="auto"/>
          <w:highlight w:val="none"/>
          <w:lang w:val="en-US"/>
        </w:rPr>
      </w:pPr>
    </w:p>
    <w:p w14:paraId="664ABE52">
      <w:pPr>
        <w:snapToGrid w:val="0"/>
        <w:spacing w:line="360" w:lineRule="auto"/>
        <w:jc w:val="center"/>
        <w:rPr>
          <w:rFonts w:ascii="仿宋" w:hAnsi="仿宋" w:eastAsia="仿宋"/>
          <w:color w:val="auto"/>
          <w:sz w:val="24"/>
          <w:highlight w:val="none"/>
        </w:rPr>
      </w:pPr>
    </w:p>
    <w:p w14:paraId="200F68C2">
      <w:pPr>
        <w:snapToGrid w:val="0"/>
        <w:spacing w:line="360" w:lineRule="auto"/>
        <w:jc w:val="center"/>
        <w:rPr>
          <w:rFonts w:ascii="仿宋" w:hAnsi="仿宋" w:eastAsia="仿宋"/>
          <w:color w:val="auto"/>
          <w:sz w:val="24"/>
          <w:highlight w:val="none"/>
        </w:rPr>
      </w:pPr>
    </w:p>
    <w:p w14:paraId="6AA9FE47">
      <w:pPr>
        <w:snapToGrid w:val="0"/>
        <w:spacing w:line="360" w:lineRule="auto"/>
        <w:jc w:val="center"/>
        <w:rPr>
          <w:rFonts w:ascii="仿宋" w:hAnsi="仿宋" w:eastAsia="仿宋"/>
          <w:color w:val="auto"/>
          <w:sz w:val="24"/>
          <w:highlight w:val="none"/>
        </w:rPr>
      </w:pPr>
    </w:p>
    <w:p w14:paraId="18463158">
      <w:pPr>
        <w:snapToGrid w:val="0"/>
        <w:spacing w:line="360" w:lineRule="auto"/>
        <w:jc w:val="center"/>
        <w:rPr>
          <w:rFonts w:ascii="仿宋" w:hAnsi="仿宋" w:eastAsia="仿宋"/>
          <w:color w:val="auto"/>
          <w:highlight w:val="none"/>
        </w:rPr>
      </w:pPr>
      <w:r>
        <w:rPr>
          <w:rFonts w:hint="eastAsia" w:ascii="仿宋" w:hAnsi="仿宋" w:eastAsia="仿宋"/>
          <w:color w:val="auto"/>
          <w:sz w:val="24"/>
          <w:highlight w:val="none"/>
        </w:rPr>
        <w:t xml:space="preserve">   </w:t>
      </w:r>
    </w:p>
    <w:bookmarkEnd w:id="395"/>
    <w:p w14:paraId="6CFFB58F">
      <w:pPr>
        <w:spacing w:line="360" w:lineRule="auto"/>
        <w:ind w:left="-420" w:leftChars="-200" w:right="-420" w:rightChars="-200" w:firstLine="480" w:firstLineChars="200"/>
        <w:jc w:val="center"/>
        <w:outlineLvl w:val="0"/>
        <w:rPr>
          <w:rFonts w:ascii="宋体" w:hAnsi="宋体" w:cs="宋体"/>
          <w:color w:val="auto"/>
          <w:sz w:val="24"/>
          <w:highlight w:val="none"/>
        </w:rPr>
      </w:pPr>
    </w:p>
    <w:p w14:paraId="57B22F3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81C63BF">
      <w:pPr>
        <w:spacing w:line="360" w:lineRule="auto"/>
        <w:jc w:val="center"/>
        <w:outlineLvl w:val="0"/>
        <w:rPr>
          <w:rFonts w:ascii="宋体" w:hAnsi="宋体" w:cs="宋体"/>
          <w:b/>
          <w:color w:val="auto"/>
          <w:kern w:val="0"/>
          <w:sz w:val="36"/>
          <w:szCs w:val="36"/>
          <w:highlight w:val="none"/>
        </w:rPr>
      </w:pPr>
    </w:p>
    <w:p w14:paraId="0AD776B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5C9527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30F4606">
      <w:pPr>
        <w:spacing w:line="360" w:lineRule="auto"/>
        <w:jc w:val="center"/>
        <w:outlineLvl w:val="0"/>
        <w:rPr>
          <w:rFonts w:ascii="宋体" w:hAnsi="宋体" w:cs="宋体"/>
          <w:b/>
          <w:color w:val="auto"/>
          <w:kern w:val="0"/>
          <w:sz w:val="36"/>
          <w:szCs w:val="36"/>
          <w:highlight w:val="none"/>
        </w:rPr>
      </w:pPr>
    </w:p>
    <w:p w14:paraId="72023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F4B6E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（2）落实政府采购政策需满足的资格要求：中小企业声明函…………（页码）</w:t>
      </w:r>
    </w:p>
    <w:p w14:paraId="2A836E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（3）本项目的特定资格要求（如果有）…………………………………（页码）</w:t>
      </w:r>
    </w:p>
    <w:p w14:paraId="2A3158F5">
      <w:pPr>
        <w:snapToGrid w:val="0"/>
        <w:spacing w:line="360" w:lineRule="auto"/>
        <w:ind w:firstLine="480" w:firstLineChars="200"/>
        <w:rPr>
          <w:rFonts w:ascii="宋体" w:hAnsi="宋体" w:cs="宋体"/>
          <w:color w:val="auto"/>
          <w:sz w:val="24"/>
          <w:highlight w:val="none"/>
        </w:rPr>
      </w:pPr>
    </w:p>
    <w:p w14:paraId="57FDA410">
      <w:pPr>
        <w:spacing w:line="360" w:lineRule="auto"/>
        <w:ind w:firstLine="480" w:firstLineChars="200"/>
        <w:rPr>
          <w:rFonts w:ascii="宋体" w:hAnsi="宋体" w:cs="宋体"/>
          <w:color w:val="auto"/>
          <w:sz w:val="24"/>
          <w:highlight w:val="none"/>
        </w:rPr>
      </w:pPr>
    </w:p>
    <w:p w14:paraId="055A7FD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一、符合参加政府采购活动应当具备的一般条件的承诺函</w:t>
      </w:r>
    </w:p>
    <w:p w14:paraId="4DD87A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485F0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C13795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798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A11DC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671DB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DA7ED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F8A2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5C688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01FE3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7774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80F7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7D1BE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64DA420">
      <w:pPr>
        <w:snapToGrid w:val="0"/>
        <w:spacing w:line="360" w:lineRule="auto"/>
        <w:ind w:firstLine="5520" w:firstLineChars="2300"/>
        <w:rPr>
          <w:rFonts w:ascii="宋体" w:hAnsi="宋体" w:cs="宋体"/>
          <w:color w:val="auto"/>
          <w:kern w:val="0"/>
          <w:sz w:val="24"/>
          <w:highlight w:val="none"/>
          <w:lang w:val="zh-CN"/>
        </w:rPr>
      </w:pPr>
    </w:p>
    <w:p w14:paraId="20B2FB0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F9C4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E4B83B6">
      <w:pPr>
        <w:snapToGrid w:val="0"/>
        <w:spacing w:line="360" w:lineRule="auto"/>
        <w:ind w:right="480"/>
        <w:jc w:val="center"/>
        <w:rPr>
          <w:rFonts w:ascii="宋体" w:hAnsi="宋体" w:cs="宋体"/>
          <w:b/>
          <w:color w:val="auto"/>
          <w:kern w:val="0"/>
          <w:sz w:val="32"/>
          <w:szCs w:val="32"/>
          <w:highlight w:val="none"/>
        </w:rPr>
      </w:pPr>
    </w:p>
    <w:p w14:paraId="1D8CCF9E">
      <w:pPr>
        <w:snapToGrid w:val="0"/>
        <w:spacing w:line="360" w:lineRule="auto"/>
        <w:ind w:right="480"/>
        <w:jc w:val="center"/>
        <w:rPr>
          <w:rFonts w:ascii="宋体" w:hAnsi="宋体" w:cs="宋体"/>
          <w:b/>
          <w:color w:val="auto"/>
          <w:kern w:val="0"/>
          <w:sz w:val="32"/>
          <w:szCs w:val="32"/>
          <w:highlight w:val="none"/>
        </w:rPr>
      </w:pPr>
    </w:p>
    <w:p w14:paraId="241929A4">
      <w:pPr>
        <w:snapToGrid w:val="0"/>
        <w:spacing w:line="360" w:lineRule="auto"/>
        <w:ind w:right="480"/>
        <w:jc w:val="center"/>
        <w:rPr>
          <w:rFonts w:ascii="宋体" w:hAnsi="宋体" w:cs="宋体"/>
          <w:b/>
          <w:color w:val="auto"/>
          <w:kern w:val="0"/>
          <w:sz w:val="32"/>
          <w:szCs w:val="32"/>
          <w:highlight w:val="none"/>
        </w:rPr>
      </w:pPr>
    </w:p>
    <w:p w14:paraId="4EC623AF">
      <w:pPr>
        <w:rPr>
          <w:rFonts w:ascii="宋体" w:hAnsi="宋体" w:cs="宋体"/>
          <w:color w:val="auto"/>
          <w:highlight w:val="none"/>
        </w:rPr>
      </w:pPr>
    </w:p>
    <w:p w14:paraId="77302639">
      <w:pPr>
        <w:snapToGrid w:val="0"/>
        <w:spacing w:line="360" w:lineRule="auto"/>
        <w:ind w:right="480"/>
        <w:jc w:val="center"/>
        <w:rPr>
          <w:rFonts w:ascii="宋体" w:hAnsi="宋体" w:cs="宋体"/>
          <w:b/>
          <w:color w:val="auto"/>
          <w:kern w:val="0"/>
          <w:sz w:val="32"/>
          <w:szCs w:val="32"/>
          <w:highlight w:val="none"/>
        </w:rPr>
      </w:pPr>
    </w:p>
    <w:p w14:paraId="7C6568CD">
      <w:pPr>
        <w:snapToGrid w:val="0"/>
        <w:spacing w:line="360" w:lineRule="auto"/>
        <w:ind w:right="480"/>
        <w:jc w:val="center"/>
        <w:rPr>
          <w:rFonts w:ascii="宋体" w:hAnsi="宋体" w:cs="宋体"/>
          <w:b/>
          <w:color w:val="auto"/>
          <w:kern w:val="0"/>
          <w:sz w:val="32"/>
          <w:szCs w:val="32"/>
          <w:highlight w:val="none"/>
        </w:rPr>
      </w:pPr>
    </w:p>
    <w:p w14:paraId="11D53696">
      <w:pPr>
        <w:widowControl/>
        <w:adjustRightInd/>
        <w:jc w:val="left"/>
        <w:rPr>
          <w:rFonts w:ascii="宋体" w:hAnsi="宋体" w:cs="宋体"/>
          <w:b/>
          <w:color w:val="auto"/>
          <w:kern w:val="0"/>
          <w:sz w:val="32"/>
          <w:szCs w:val="32"/>
          <w:highlight w:val="none"/>
        </w:rPr>
      </w:pPr>
    </w:p>
    <w:p w14:paraId="7A259EC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6B62648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9D4251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.专门面向中小企业，服务全部由符合政策要求的中小企业（或小微企业）承接的，提供相应的中小企业声明函（附件6）。 </w:t>
      </w:r>
    </w:p>
    <w:p w14:paraId="356F9F94">
      <w:pPr>
        <w:widowControl/>
        <w:spacing w:line="360" w:lineRule="auto"/>
        <w:ind w:firstLine="480"/>
        <w:jc w:val="left"/>
        <w:rPr>
          <w:rFonts w:ascii="宋体" w:hAnsi="宋体" w:cs="宋体"/>
          <w:color w:val="auto"/>
          <w:sz w:val="24"/>
          <w:highlight w:val="none"/>
        </w:rPr>
      </w:pPr>
    </w:p>
    <w:p w14:paraId="0202A4A4">
      <w:pPr>
        <w:widowControl/>
        <w:spacing w:line="360" w:lineRule="auto"/>
        <w:ind w:left="150"/>
        <w:jc w:val="center"/>
        <w:rPr>
          <w:rFonts w:ascii="宋体" w:hAnsi="宋体" w:cs="宋体"/>
          <w:b/>
          <w:color w:val="auto"/>
          <w:kern w:val="0"/>
          <w:sz w:val="32"/>
          <w:szCs w:val="32"/>
          <w:highlight w:val="none"/>
        </w:rPr>
      </w:pPr>
    </w:p>
    <w:p w14:paraId="3166474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7E461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5F819C2">
      <w:pPr>
        <w:rPr>
          <w:rFonts w:ascii="宋体" w:hAnsi="宋体" w:cs="宋体"/>
          <w:color w:val="auto"/>
          <w:highlight w:val="none"/>
        </w:rPr>
      </w:pPr>
    </w:p>
    <w:p w14:paraId="7246A4FB">
      <w:pPr>
        <w:snapToGrid w:val="0"/>
        <w:spacing w:line="360" w:lineRule="auto"/>
        <w:ind w:right="480"/>
        <w:jc w:val="center"/>
        <w:rPr>
          <w:rFonts w:ascii="宋体" w:hAnsi="宋体" w:cs="宋体"/>
          <w:b/>
          <w:color w:val="auto"/>
          <w:kern w:val="0"/>
          <w:sz w:val="32"/>
          <w:szCs w:val="32"/>
          <w:highlight w:val="none"/>
        </w:rPr>
      </w:pPr>
    </w:p>
    <w:p w14:paraId="1C9FE93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7D3CD6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F80F139">
      <w:pPr>
        <w:spacing w:line="360" w:lineRule="auto"/>
        <w:jc w:val="center"/>
        <w:outlineLvl w:val="0"/>
        <w:rPr>
          <w:rFonts w:ascii="宋体" w:hAnsi="宋体" w:cs="宋体"/>
          <w:b/>
          <w:color w:val="auto"/>
          <w:kern w:val="0"/>
          <w:sz w:val="24"/>
          <w:highlight w:val="none"/>
        </w:rPr>
      </w:pPr>
    </w:p>
    <w:p w14:paraId="544D395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8210D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915018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0D18876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（5）投标标的清单</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64F321B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2FB623C">
      <w:pPr>
        <w:snapToGrid w:val="0"/>
        <w:spacing w:line="360" w:lineRule="auto"/>
        <w:jc w:val="center"/>
        <w:rPr>
          <w:rFonts w:ascii="宋体" w:hAnsi="宋体" w:cs="宋体"/>
          <w:b/>
          <w:color w:val="auto"/>
          <w:kern w:val="0"/>
          <w:sz w:val="32"/>
          <w:szCs w:val="32"/>
          <w:highlight w:val="none"/>
          <w:lang w:val="zh-CN"/>
        </w:rPr>
      </w:pPr>
    </w:p>
    <w:p w14:paraId="2FF74C98">
      <w:pPr>
        <w:snapToGrid w:val="0"/>
        <w:spacing w:line="360" w:lineRule="auto"/>
        <w:jc w:val="center"/>
        <w:rPr>
          <w:rFonts w:ascii="宋体" w:hAnsi="宋体" w:cs="宋体"/>
          <w:b/>
          <w:color w:val="auto"/>
          <w:kern w:val="0"/>
          <w:sz w:val="32"/>
          <w:szCs w:val="32"/>
          <w:highlight w:val="none"/>
          <w:lang w:val="zh-CN"/>
        </w:rPr>
      </w:pPr>
    </w:p>
    <w:p w14:paraId="1A97BF3E">
      <w:pPr>
        <w:snapToGrid w:val="0"/>
        <w:spacing w:line="360" w:lineRule="auto"/>
        <w:jc w:val="center"/>
        <w:rPr>
          <w:rFonts w:ascii="宋体" w:hAnsi="宋体" w:cs="宋体"/>
          <w:b/>
          <w:color w:val="auto"/>
          <w:kern w:val="0"/>
          <w:sz w:val="32"/>
          <w:szCs w:val="32"/>
          <w:highlight w:val="none"/>
          <w:lang w:val="zh-CN"/>
        </w:rPr>
      </w:pPr>
    </w:p>
    <w:p w14:paraId="2C71BFEC">
      <w:pPr>
        <w:snapToGrid w:val="0"/>
        <w:spacing w:line="360" w:lineRule="auto"/>
        <w:jc w:val="center"/>
        <w:rPr>
          <w:rFonts w:ascii="宋体" w:hAnsi="宋体" w:cs="宋体"/>
          <w:b/>
          <w:color w:val="auto"/>
          <w:kern w:val="0"/>
          <w:sz w:val="32"/>
          <w:szCs w:val="32"/>
          <w:highlight w:val="none"/>
          <w:lang w:val="zh-CN"/>
        </w:rPr>
      </w:pPr>
    </w:p>
    <w:p w14:paraId="57956DB6">
      <w:pPr>
        <w:snapToGrid w:val="0"/>
        <w:spacing w:line="360" w:lineRule="auto"/>
        <w:jc w:val="center"/>
        <w:rPr>
          <w:rFonts w:ascii="宋体" w:hAnsi="宋体" w:cs="宋体"/>
          <w:b/>
          <w:color w:val="auto"/>
          <w:kern w:val="0"/>
          <w:sz w:val="32"/>
          <w:szCs w:val="32"/>
          <w:highlight w:val="none"/>
          <w:lang w:val="zh-CN"/>
        </w:rPr>
      </w:pPr>
    </w:p>
    <w:p w14:paraId="127F13CE">
      <w:pPr>
        <w:snapToGrid w:val="0"/>
        <w:spacing w:line="360" w:lineRule="auto"/>
        <w:jc w:val="center"/>
        <w:rPr>
          <w:rFonts w:ascii="宋体" w:hAnsi="宋体" w:cs="宋体"/>
          <w:b/>
          <w:color w:val="auto"/>
          <w:kern w:val="0"/>
          <w:sz w:val="32"/>
          <w:szCs w:val="32"/>
          <w:highlight w:val="none"/>
          <w:lang w:val="zh-CN"/>
        </w:rPr>
      </w:pPr>
    </w:p>
    <w:p w14:paraId="116E6147">
      <w:pPr>
        <w:snapToGrid w:val="0"/>
        <w:spacing w:line="360" w:lineRule="auto"/>
        <w:jc w:val="center"/>
        <w:rPr>
          <w:rFonts w:ascii="宋体" w:hAnsi="宋体" w:cs="宋体"/>
          <w:b/>
          <w:color w:val="auto"/>
          <w:kern w:val="0"/>
          <w:sz w:val="32"/>
          <w:szCs w:val="32"/>
          <w:highlight w:val="none"/>
          <w:lang w:val="zh-CN"/>
        </w:rPr>
      </w:pPr>
    </w:p>
    <w:p w14:paraId="317A6206">
      <w:pPr>
        <w:snapToGrid w:val="0"/>
        <w:spacing w:line="360" w:lineRule="auto"/>
        <w:jc w:val="center"/>
        <w:rPr>
          <w:rFonts w:ascii="宋体" w:hAnsi="宋体" w:cs="宋体"/>
          <w:b/>
          <w:color w:val="auto"/>
          <w:kern w:val="0"/>
          <w:sz w:val="32"/>
          <w:szCs w:val="32"/>
          <w:highlight w:val="none"/>
          <w:lang w:val="zh-CN"/>
        </w:rPr>
      </w:pPr>
    </w:p>
    <w:p w14:paraId="0E18BA02">
      <w:pPr>
        <w:snapToGrid w:val="0"/>
        <w:spacing w:line="360" w:lineRule="auto"/>
        <w:jc w:val="center"/>
        <w:rPr>
          <w:rFonts w:ascii="宋体" w:hAnsi="宋体" w:cs="宋体"/>
          <w:b/>
          <w:color w:val="auto"/>
          <w:kern w:val="0"/>
          <w:sz w:val="32"/>
          <w:szCs w:val="32"/>
          <w:highlight w:val="none"/>
          <w:lang w:val="zh-CN"/>
        </w:rPr>
      </w:pPr>
    </w:p>
    <w:p w14:paraId="1A78D862">
      <w:pPr>
        <w:snapToGrid w:val="0"/>
        <w:spacing w:line="360" w:lineRule="auto"/>
        <w:jc w:val="center"/>
        <w:rPr>
          <w:rFonts w:ascii="宋体" w:hAnsi="宋体" w:cs="宋体"/>
          <w:b/>
          <w:color w:val="auto"/>
          <w:kern w:val="0"/>
          <w:sz w:val="32"/>
          <w:szCs w:val="32"/>
          <w:highlight w:val="none"/>
          <w:lang w:val="zh-CN"/>
        </w:rPr>
      </w:pPr>
    </w:p>
    <w:p w14:paraId="6EB8677B">
      <w:pPr>
        <w:snapToGrid w:val="0"/>
        <w:spacing w:line="360" w:lineRule="auto"/>
        <w:jc w:val="center"/>
        <w:rPr>
          <w:rFonts w:ascii="宋体" w:hAnsi="宋体" w:cs="宋体"/>
          <w:b/>
          <w:color w:val="auto"/>
          <w:kern w:val="0"/>
          <w:sz w:val="32"/>
          <w:szCs w:val="32"/>
          <w:highlight w:val="none"/>
          <w:lang w:val="zh-CN"/>
        </w:rPr>
      </w:pPr>
    </w:p>
    <w:p w14:paraId="2D33A500">
      <w:pPr>
        <w:snapToGrid w:val="0"/>
        <w:spacing w:line="360" w:lineRule="auto"/>
        <w:jc w:val="center"/>
        <w:rPr>
          <w:rFonts w:ascii="宋体" w:hAnsi="宋体" w:cs="宋体"/>
          <w:b/>
          <w:color w:val="auto"/>
          <w:kern w:val="0"/>
          <w:sz w:val="32"/>
          <w:szCs w:val="32"/>
          <w:highlight w:val="none"/>
          <w:lang w:val="zh-CN"/>
        </w:rPr>
      </w:pPr>
    </w:p>
    <w:p w14:paraId="71B9F9A4">
      <w:pPr>
        <w:rPr>
          <w:rFonts w:ascii="宋体" w:hAnsi="宋体" w:cs="宋体"/>
          <w:b/>
          <w:color w:val="auto"/>
          <w:kern w:val="0"/>
          <w:sz w:val="32"/>
          <w:szCs w:val="32"/>
          <w:highlight w:val="none"/>
          <w:lang w:val="zh-CN"/>
        </w:rPr>
      </w:pPr>
    </w:p>
    <w:p w14:paraId="1C25A57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1ABEE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2E49E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D0442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912B4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7D807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09A8F1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FFE42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3ED6A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2落实政府采购政策需满足的资格要求：中小企业声明函；</w:t>
      </w:r>
    </w:p>
    <w:p w14:paraId="5C7AA4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14:paraId="179A0A0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CA3B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AADD0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3DEFD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0F189C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60BCAD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2.2.5投标标的清单；</w:t>
      </w:r>
    </w:p>
    <w:p w14:paraId="1BC269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2523B1F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A508B9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E3E34A7">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7F8F6B4">
      <w:pPr>
        <w:spacing w:line="360" w:lineRule="auto"/>
        <w:ind w:left="420" w:leftChars="200" w:firstLine="480" w:firstLineChars="200"/>
        <w:rPr>
          <w:color w:val="auto"/>
          <w:highlight w:val="none"/>
        </w:rPr>
      </w:pPr>
      <w:r>
        <w:rPr>
          <w:rFonts w:ascii="宋体" w:hAnsi="宋体" w:cs="宋体"/>
          <w:color w:val="auto"/>
          <w:sz w:val="24"/>
          <w:highlight w:val="none"/>
        </w:rPr>
        <w:t xml:space="preserve">2.3.2 </w:t>
      </w:r>
      <w:r>
        <w:rPr>
          <w:rFonts w:hint="eastAsia" w:ascii="宋体" w:hAnsi="宋体" w:cs="宋体"/>
          <w:color w:val="auto"/>
          <w:sz w:val="24"/>
          <w:highlight w:val="none"/>
        </w:rPr>
        <w:t>报价情况说明（如果有）。</w:t>
      </w:r>
    </w:p>
    <w:p w14:paraId="4A24C29F">
      <w:pPr>
        <w:pStyle w:val="80"/>
        <w:spacing w:line="360" w:lineRule="auto"/>
        <w:ind w:firstLine="480"/>
        <w:rPr>
          <w:rFonts w:ascii="宋体" w:hAnsi="宋体" w:cs="宋体"/>
          <w:color w:val="auto"/>
          <w:sz w:val="24"/>
          <w:highlight w:val="none"/>
        </w:rPr>
      </w:pPr>
      <w:r>
        <w:rPr>
          <w:rFonts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3F250B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997D40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F7B7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51EBDA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4.3在合同约定的期限内完成合同规定的全部义务。 </w:t>
      </w:r>
    </w:p>
    <w:p w14:paraId="51E38A7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E3941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5303C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FB34F08">
      <w:pPr>
        <w:snapToGrid w:val="0"/>
        <w:spacing w:line="360" w:lineRule="auto"/>
        <w:ind w:left="420" w:leftChars="200" w:firstLine="4200" w:firstLineChars="1750"/>
        <w:rPr>
          <w:rFonts w:ascii="宋体" w:hAnsi="宋体" w:cs="宋体"/>
          <w:color w:val="auto"/>
          <w:kern w:val="0"/>
          <w:sz w:val="24"/>
          <w:highlight w:val="none"/>
          <w:u w:val="single"/>
        </w:rPr>
      </w:pPr>
    </w:p>
    <w:p w14:paraId="511772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0E8A69">
      <w:pPr>
        <w:snapToGrid w:val="0"/>
        <w:spacing w:line="360" w:lineRule="auto"/>
        <w:jc w:val="center"/>
        <w:rPr>
          <w:rFonts w:ascii="宋体" w:hAnsi="宋体" w:cs="宋体"/>
          <w:b/>
          <w:color w:val="auto"/>
          <w:kern w:val="0"/>
          <w:sz w:val="32"/>
          <w:szCs w:val="32"/>
          <w:highlight w:val="none"/>
        </w:rPr>
      </w:pPr>
    </w:p>
    <w:p w14:paraId="687B1FD0">
      <w:pPr>
        <w:snapToGrid w:val="0"/>
        <w:spacing w:line="360" w:lineRule="auto"/>
        <w:rPr>
          <w:rFonts w:ascii="宋体" w:hAnsi="宋体" w:cs="宋体"/>
          <w:color w:val="auto"/>
          <w:sz w:val="24"/>
          <w:highlight w:val="none"/>
        </w:rPr>
      </w:pPr>
    </w:p>
    <w:p w14:paraId="63709AF0">
      <w:pPr>
        <w:jc w:val="center"/>
        <w:rPr>
          <w:rFonts w:ascii="宋体" w:hAnsi="宋体" w:cs="宋体"/>
          <w:b/>
          <w:color w:val="auto"/>
          <w:kern w:val="0"/>
          <w:sz w:val="32"/>
          <w:szCs w:val="32"/>
          <w:highlight w:val="none"/>
        </w:rPr>
      </w:pPr>
    </w:p>
    <w:p w14:paraId="243558AA">
      <w:pPr>
        <w:jc w:val="center"/>
        <w:rPr>
          <w:rFonts w:ascii="宋体" w:hAnsi="宋体" w:cs="宋体"/>
          <w:b/>
          <w:color w:val="auto"/>
          <w:kern w:val="0"/>
          <w:sz w:val="32"/>
          <w:szCs w:val="32"/>
          <w:highlight w:val="none"/>
        </w:rPr>
      </w:pPr>
    </w:p>
    <w:p w14:paraId="212C89D1">
      <w:pPr>
        <w:jc w:val="center"/>
        <w:rPr>
          <w:rFonts w:ascii="宋体" w:hAnsi="宋体" w:cs="宋体"/>
          <w:b/>
          <w:color w:val="auto"/>
          <w:kern w:val="0"/>
          <w:sz w:val="32"/>
          <w:szCs w:val="32"/>
          <w:highlight w:val="none"/>
        </w:rPr>
      </w:pPr>
    </w:p>
    <w:p w14:paraId="73819C64">
      <w:pPr>
        <w:jc w:val="center"/>
        <w:rPr>
          <w:rFonts w:ascii="宋体" w:hAnsi="宋体" w:cs="宋体"/>
          <w:b/>
          <w:color w:val="auto"/>
          <w:kern w:val="0"/>
          <w:sz w:val="32"/>
          <w:szCs w:val="32"/>
          <w:highlight w:val="none"/>
        </w:rPr>
      </w:pPr>
    </w:p>
    <w:p w14:paraId="089EAE48">
      <w:pPr>
        <w:jc w:val="center"/>
        <w:rPr>
          <w:rFonts w:ascii="宋体" w:hAnsi="宋体" w:cs="宋体"/>
          <w:b/>
          <w:color w:val="auto"/>
          <w:kern w:val="0"/>
          <w:sz w:val="32"/>
          <w:szCs w:val="32"/>
          <w:highlight w:val="none"/>
        </w:rPr>
      </w:pPr>
    </w:p>
    <w:p w14:paraId="1909C340">
      <w:pPr>
        <w:jc w:val="center"/>
        <w:rPr>
          <w:rFonts w:ascii="宋体" w:hAnsi="宋体" w:cs="宋体"/>
          <w:b/>
          <w:color w:val="auto"/>
          <w:kern w:val="0"/>
          <w:sz w:val="32"/>
          <w:szCs w:val="32"/>
          <w:highlight w:val="none"/>
        </w:rPr>
      </w:pPr>
    </w:p>
    <w:p w14:paraId="550E19C6">
      <w:pPr>
        <w:jc w:val="center"/>
        <w:rPr>
          <w:rFonts w:ascii="宋体" w:hAnsi="宋体" w:cs="宋体"/>
          <w:b/>
          <w:color w:val="auto"/>
          <w:kern w:val="0"/>
          <w:sz w:val="32"/>
          <w:szCs w:val="32"/>
          <w:highlight w:val="none"/>
        </w:rPr>
      </w:pPr>
    </w:p>
    <w:p w14:paraId="3C443E7F">
      <w:pPr>
        <w:jc w:val="center"/>
        <w:rPr>
          <w:rFonts w:ascii="宋体" w:hAnsi="宋体" w:cs="宋体"/>
          <w:b/>
          <w:color w:val="auto"/>
          <w:kern w:val="0"/>
          <w:sz w:val="32"/>
          <w:szCs w:val="32"/>
          <w:highlight w:val="none"/>
        </w:rPr>
      </w:pPr>
    </w:p>
    <w:p w14:paraId="43D4BFFA">
      <w:pPr>
        <w:jc w:val="center"/>
        <w:rPr>
          <w:rFonts w:ascii="宋体" w:hAnsi="宋体" w:cs="宋体"/>
          <w:b/>
          <w:color w:val="auto"/>
          <w:kern w:val="0"/>
          <w:sz w:val="32"/>
          <w:szCs w:val="32"/>
          <w:highlight w:val="none"/>
        </w:rPr>
      </w:pPr>
    </w:p>
    <w:p w14:paraId="65DF8652">
      <w:pPr>
        <w:jc w:val="center"/>
        <w:rPr>
          <w:rFonts w:ascii="宋体" w:hAnsi="宋体" w:cs="宋体"/>
          <w:b/>
          <w:color w:val="auto"/>
          <w:kern w:val="0"/>
          <w:sz w:val="32"/>
          <w:szCs w:val="32"/>
          <w:highlight w:val="none"/>
        </w:rPr>
      </w:pPr>
    </w:p>
    <w:p w14:paraId="11789265">
      <w:pPr>
        <w:jc w:val="center"/>
        <w:rPr>
          <w:rFonts w:ascii="宋体" w:hAnsi="宋体" w:cs="宋体"/>
          <w:b/>
          <w:color w:val="auto"/>
          <w:kern w:val="0"/>
          <w:sz w:val="32"/>
          <w:szCs w:val="32"/>
          <w:highlight w:val="none"/>
        </w:rPr>
      </w:pPr>
    </w:p>
    <w:p w14:paraId="025B423D">
      <w:pPr>
        <w:jc w:val="center"/>
        <w:rPr>
          <w:rFonts w:ascii="宋体" w:hAnsi="宋体" w:cs="宋体"/>
          <w:b/>
          <w:color w:val="auto"/>
          <w:kern w:val="0"/>
          <w:sz w:val="32"/>
          <w:szCs w:val="32"/>
          <w:highlight w:val="none"/>
        </w:rPr>
      </w:pPr>
    </w:p>
    <w:p w14:paraId="6F106D6B">
      <w:pPr>
        <w:jc w:val="center"/>
        <w:rPr>
          <w:rFonts w:ascii="宋体" w:hAnsi="宋体" w:cs="宋体"/>
          <w:b/>
          <w:color w:val="auto"/>
          <w:kern w:val="0"/>
          <w:sz w:val="32"/>
          <w:szCs w:val="32"/>
          <w:highlight w:val="none"/>
        </w:rPr>
      </w:pPr>
    </w:p>
    <w:p w14:paraId="4ACEC9E5">
      <w:pPr>
        <w:jc w:val="center"/>
        <w:rPr>
          <w:rFonts w:ascii="宋体" w:hAnsi="宋体" w:cs="宋体"/>
          <w:b/>
          <w:color w:val="auto"/>
          <w:kern w:val="0"/>
          <w:sz w:val="32"/>
          <w:szCs w:val="32"/>
          <w:highlight w:val="none"/>
        </w:rPr>
      </w:pPr>
    </w:p>
    <w:p w14:paraId="14853DCE">
      <w:pPr>
        <w:jc w:val="center"/>
        <w:rPr>
          <w:rFonts w:ascii="宋体" w:hAnsi="宋体" w:cs="宋体"/>
          <w:b/>
          <w:color w:val="auto"/>
          <w:kern w:val="0"/>
          <w:sz w:val="32"/>
          <w:szCs w:val="32"/>
          <w:highlight w:val="none"/>
        </w:rPr>
      </w:pPr>
    </w:p>
    <w:p w14:paraId="3C71A69B">
      <w:pPr>
        <w:jc w:val="center"/>
        <w:rPr>
          <w:rFonts w:ascii="宋体" w:hAnsi="宋体" w:cs="宋体"/>
          <w:b/>
          <w:color w:val="auto"/>
          <w:kern w:val="0"/>
          <w:sz w:val="32"/>
          <w:szCs w:val="32"/>
          <w:highlight w:val="none"/>
        </w:rPr>
      </w:pPr>
    </w:p>
    <w:p w14:paraId="7C8CCEE6">
      <w:pPr>
        <w:jc w:val="center"/>
        <w:rPr>
          <w:rFonts w:ascii="宋体" w:hAnsi="宋体" w:cs="宋体"/>
          <w:b/>
          <w:color w:val="auto"/>
          <w:kern w:val="0"/>
          <w:sz w:val="32"/>
          <w:szCs w:val="32"/>
          <w:highlight w:val="none"/>
        </w:rPr>
      </w:pPr>
    </w:p>
    <w:p w14:paraId="5A4B1D65">
      <w:pPr>
        <w:jc w:val="center"/>
        <w:rPr>
          <w:rFonts w:ascii="宋体" w:hAnsi="宋体" w:cs="宋体"/>
          <w:b/>
          <w:color w:val="auto"/>
          <w:kern w:val="0"/>
          <w:sz w:val="32"/>
          <w:szCs w:val="32"/>
          <w:highlight w:val="none"/>
        </w:rPr>
      </w:pPr>
    </w:p>
    <w:p w14:paraId="539BA9FB">
      <w:pPr>
        <w:jc w:val="center"/>
        <w:rPr>
          <w:rFonts w:ascii="宋体" w:hAnsi="宋体" w:cs="宋体"/>
          <w:b/>
          <w:color w:val="auto"/>
          <w:kern w:val="0"/>
          <w:sz w:val="32"/>
          <w:szCs w:val="32"/>
          <w:highlight w:val="none"/>
        </w:rPr>
      </w:pPr>
    </w:p>
    <w:p w14:paraId="60A05638">
      <w:pPr>
        <w:jc w:val="center"/>
        <w:rPr>
          <w:rFonts w:ascii="宋体" w:hAnsi="宋体" w:cs="宋体"/>
          <w:b/>
          <w:color w:val="auto"/>
          <w:kern w:val="0"/>
          <w:sz w:val="32"/>
          <w:szCs w:val="32"/>
          <w:highlight w:val="none"/>
        </w:rPr>
      </w:pPr>
    </w:p>
    <w:p w14:paraId="363E22EF">
      <w:pPr>
        <w:pStyle w:val="6"/>
        <w:rPr>
          <w:color w:val="auto"/>
          <w:highlight w:val="none"/>
          <w:lang w:val="en-US"/>
        </w:rPr>
      </w:pPr>
    </w:p>
    <w:p w14:paraId="0FBC9C49">
      <w:pPr>
        <w:rPr>
          <w:color w:val="auto"/>
          <w:highlight w:val="none"/>
        </w:rPr>
      </w:pPr>
    </w:p>
    <w:p w14:paraId="412140BF">
      <w:pPr>
        <w:pStyle w:val="80"/>
        <w:rPr>
          <w:color w:val="auto"/>
          <w:highlight w:val="none"/>
          <w:lang w:val="en-US"/>
        </w:rPr>
      </w:pPr>
    </w:p>
    <w:p w14:paraId="168BB767">
      <w:pPr>
        <w:jc w:val="center"/>
        <w:rPr>
          <w:rFonts w:ascii="宋体" w:hAnsi="宋体" w:cs="宋体"/>
          <w:b/>
          <w:color w:val="auto"/>
          <w:kern w:val="0"/>
          <w:sz w:val="32"/>
          <w:szCs w:val="32"/>
          <w:highlight w:val="none"/>
        </w:rPr>
      </w:pPr>
    </w:p>
    <w:p w14:paraId="35293404">
      <w:pPr>
        <w:jc w:val="center"/>
        <w:rPr>
          <w:rFonts w:ascii="宋体" w:hAnsi="宋体" w:cs="宋体"/>
          <w:b/>
          <w:color w:val="auto"/>
          <w:kern w:val="0"/>
          <w:sz w:val="32"/>
          <w:szCs w:val="32"/>
          <w:highlight w:val="none"/>
        </w:rPr>
      </w:pPr>
    </w:p>
    <w:p w14:paraId="13C2E63B">
      <w:pPr>
        <w:jc w:val="center"/>
        <w:rPr>
          <w:rFonts w:ascii="宋体" w:hAnsi="宋体" w:cs="宋体"/>
          <w:b/>
          <w:color w:val="auto"/>
          <w:kern w:val="0"/>
          <w:sz w:val="32"/>
          <w:szCs w:val="32"/>
          <w:highlight w:val="none"/>
        </w:rPr>
      </w:pPr>
    </w:p>
    <w:p w14:paraId="0954942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FBBFC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F32DD8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A41D8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1DCC5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61400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66B6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8A887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F9253E">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签发日期：  年  月   日</w:t>
      </w:r>
      <w:r>
        <w:rPr>
          <w:rFonts w:hint="eastAsia" w:ascii="宋体" w:hAnsi="宋体" w:cs="宋体"/>
          <w:b/>
          <w:color w:val="auto"/>
          <w:kern w:val="0"/>
          <w:sz w:val="32"/>
          <w:szCs w:val="32"/>
          <w:highlight w:val="none"/>
          <w:lang w:val="zh-CN"/>
        </w:rPr>
        <w:t xml:space="preserve">  </w:t>
      </w:r>
    </w:p>
    <w:p w14:paraId="7C08B3AD">
      <w:pPr>
        <w:autoSpaceDE w:val="0"/>
        <w:autoSpaceDN w:val="0"/>
        <w:spacing w:line="360" w:lineRule="auto"/>
        <w:jc w:val="center"/>
        <w:rPr>
          <w:rFonts w:ascii="宋体" w:hAnsi="宋体" w:cs="宋体"/>
          <w:b/>
          <w:color w:val="auto"/>
          <w:kern w:val="0"/>
          <w:sz w:val="32"/>
          <w:szCs w:val="32"/>
          <w:highlight w:val="none"/>
          <w:lang w:val="zh-CN"/>
        </w:rPr>
      </w:pPr>
    </w:p>
    <w:p w14:paraId="70F633C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D4BBBE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01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87D5D9">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CA16411">
            <w:pPr>
              <w:pStyle w:val="149"/>
              <w:adjustRightInd w:val="0"/>
              <w:spacing w:line="360" w:lineRule="auto"/>
              <w:rPr>
                <w:rFonts w:hAnsi="宋体" w:cs="宋体"/>
                <w:bCs/>
                <w:color w:val="auto"/>
                <w:sz w:val="24"/>
                <w:highlight w:val="none"/>
              </w:rPr>
            </w:pPr>
          </w:p>
        </w:tc>
      </w:tr>
    </w:tbl>
    <w:p w14:paraId="7CFDEA6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F93D5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1C308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684DF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70830EE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CA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872CF1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752193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7CA43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D45492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86137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82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39FFF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019FFED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A66C81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64FA9E21">
            <w:pPr>
              <w:rPr>
                <w:rFonts w:ascii="宋体" w:hAnsi="宋体" w:cs="宋体"/>
                <w:color w:val="auto"/>
                <w:sz w:val="24"/>
                <w:highlight w:val="none"/>
              </w:rPr>
            </w:pPr>
            <w:r>
              <w:rPr>
                <w:rFonts w:hint="eastAsia" w:ascii="宋体" w:hAnsi="宋体" w:cs="宋体"/>
                <w:color w:val="auto"/>
                <w:sz w:val="24"/>
                <w:highlight w:val="none"/>
              </w:rPr>
              <w:t>见投标文件</w:t>
            </w:r>
          </w:p>
          <w:p w14:paraId="067A5C6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F8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D42D5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416DC4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4E8A5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CFED0D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D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465B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2F8A271">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5A75DF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47A58E4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F0C604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ABFF7F">
      <w:pPr>
        <w:jc w:val="center"/>
        <w:rPr>
          <w:rFonts w:ascii="宋体" w:hAnsi="宋体" w:cs="宋体"/>
          <w:b/>
          <w:color w:val="auto"/>
          <w:kern w:val="0"/>
          <w:sz w:val="32"/>
          <w:szCs w:val="32"/>
          <w:highlight w:val="none"/>
        </w:rPr>
      </w:pPr>
    </w:p>
    <w:p w14:paraId="0A7187D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5174B41">
      <w:pPr>
        <w:jc w:val="center"/>
        <w:rPr>
          <w:rFonts w:ascii="宋体" w:hAnsi="宋体" w:cs="宋体"/>
          <w:b/>
          <w:color w:val="auto"/>
          <w:kern w:val="0"/>
          <w:sz w:val="32"/>
          <w:szCs w:val="32"/>
          <w:highlight w:val="none"/>
        </w:rPr>
      </w:pPr>
    </w:p>
    <w:p w14:paraId="27DDD269">
      <w:pPr>
        <w:jc w:val="center"/>
        <w:rPr>
          <w:rFonts w:ascii="宋体" w:hAnsi="宋体" w:cs="宋体"/>
          <w:b/>
          <w:color w:val="auto"/>
          <w:kern w:val="0"/>
          <w:sz w:val="32"/>
          <w:szCs w:val="32"/>
          <w:highlight w:val="none"/>
        </w:rPr>
      </w:pPr>
    </w:p>
    <w:p w14:paraId="0C7203F1">
      <w:pPr>
        <w:jc w:val="center"/>
        <w:rPr>
          <w:rFonts w:ascii="宋体" w:hAnsi="宋体" w:cs="宋体"/>
          <w:b/>
          <w:color w:val="auto"/>
          <w:kern w:val="0"/>
          <w:sz w:val="32"/>
          <w:szCs w:val="32"/>
          <w:highlight w:val="none"/>
        </w:rPr>
      </w:pPr>
    </w:p>
    <w:p w14:paraId="0223DD9E">
      <w:pPr>
        <w:jc w:val="center"/>
        <w:rPr>
          <w:rFonts w:ascii="宋体" w:hAnsi="宋体" w:cs="宋体"/>
          <w:b/>
          <w:color w:val="auto"/>
          <w:kern w:val="0"/>
          <w:sz w:val="32"/>
          <w:szCs w:val="32"/>
          <w:highlight w:val="none"/>
        </w:rPr>
      </w:pPr>
    </w:p>
    <w:p w14:paraId="03ED9624">
      <w:pPr>
        <w:jc w:val="center"/>
        <w:rPr>
          <w:rFonts w:ascii="宋体" w:hAnsi="宋体" w:cs="宋体"/>
          <w:b/>
          <w:color w:val="auto"/>
          <w:kern w:val="0"/>
          <w:sz w:val="32"/>
          <w:szCs w:val="32"/>
          <w:highlight w:val="none"/>
        </w:rPr>
      </w:pPr>
    </w:p>
    <w:p w14:paraId="2C676AC9">
      <w:pPr>
        <w:jc w:val="center"/>
        <w:rPr>
          <w:rFonts w:ascii="宋体" w:hAnsi="宋体" w:cs="宋体"/>
          <w:b/>
          <w:color w:val="auto"/>
          <w:kern w:val="0"/>
          <w:sz w:val="32"/>
          <w:szCs w:val="32"/>
          <w:highlight w:val="none"/>
        </w:rPr>
      </w:pPr>
    </w:p>
    <w:p w14:paraId="414C04A9">
      <w:pPr>
        <w:jc w:val="center"/>
        <w:rPr>
          <w:rFonts w:ascii="宋体" w:hAnsi="宋体" w:cs="宋体"/>
          <w:b/>
          <w:color w:val="auto"/>
          <w:kern w:val="0"/>
          <w:sz w:val="32"/>
          <w:szCs w:val="32"/>
          <w:highlight w:val="none"/>
        </w:rPr>
      </w:pPr>
    </w:p>
    <w:p w14:paraId="47BE45F7">
      <w:pPr>
        <w:jc w:val="center"/>
        <w:rPr>
          <w:rFonts w:ascii="宋体" w:hAnsi="宋体" w:cs="宋体"/>
          <w:b/>
          <w:color w:val="auto"/>
          <w:kern w:val="0"/>
          <w:sz w:val="32"/>
          <w:szCs w:val="32"/>
          <w:highlight w:val="none"/>
        </w:rPr>
      </w:pPr>
    </w:p>
    <w:p w14:paraId="52BBCC1D">
      <w:pPr>
        <w:jc w:val="center"/>
        <w:rPr>
          <w:rFonts w:ascii="宋体" w:hAnsi="宋体" w:cs="宋体"/>
          <w:b/>
          <w:color w:val="auto"/>
          <w:kern w:val="0"/>
          <w:sz w:val="32"/>
          <w:szCs w:val="32"/>
          <w:highlight w:val="none"/>
        </w:rPr>
      </w:pPr>
    </w:p>
    <w:p w14:paraId="279A5DDC">
      <w:pPr>
        <w:jc w:val="center"/>
        <w:rPr>
          <w:rFonts w:ascii="宋体" w:hAnsi="宋体" w:cs="宋体"/>
          <w:b/>
          <w:color w:val="auto"/>
          <w:kern w:val="0"/>
          <w:sz w:val="32"/>
          <w:szCs w:val="32"/>
          <w:highlight w:val="none"/>
        </w:rPr>
      </w:pPr>
    </w:p>
    <w:p w14:paraId="2D9618CE">
      <w:pPr>
        <w:jc w:val="center"/>
        <w:rPr>
          <w:rFonts w:ascii="宋体" w:hAnsi="宋体" w:cs="宋体"/>
          <w:b/>
          <w:color w:val="auto"/>
          <w:kern w:val="0"/>
          <w:sz w:val="32"/>
          <w:szCs w:val="32"/>
          <w:highlight w:val="none"/>
        </w:rPr>
      </w:pPr>
    </w:p>
    <w:p w14:paraId="7E887B39">
      <w:pPr>
        <w:jc w:val="center"/>
        <w:rPr>
          <w:rFonts w:ascii="宋体" w:hAnsi="宋体" w:cs="宋体"/>
          <w:b/>
          <w:color w:val="auto"/>
          <w:kern w:val="0"/>
          <w:sz w:val="32"/>
          <w:szCs w:val="32"/>
          <w:highlight w:val="none"/>
        </w:rPr>
      </w:pPr>
    </w:p>
    <w:p w14:paraId="38828B83">
      <w:pPr>
        <w:jc w:val="center"/>
        <w:rPr>
          <w:rFonts w:ascii="宋体" w:hAnsi="宋体" w:cs="宋体"/>
          <w:b/>
          <w:color w:val="auto"/>
          <w:kern w:val="0"/>
          <w:sz w:val="32"/>
          <w:szCs w:val="32"/>
          <w:highlight w:val="none"/>
        </w:rPr>
      </w:pPr>
    </w:p>
    <w:p w14:paraId="50CC3C9C">
      <w:pPr>
        <w:jc w:val="center"/>
        <w:rPr>
          <w:rFonts w:ascii="宋体" w:hAnsi="宋体" w:cs="宋体"/>
          <w:b/>
          <w:color w:val="auto"/>
          <w:kern w:val="0"/>
          <w:sz w:val="32"/>
          <w:szCs w:val="32"/>
          <w:highlight w:val="none"/>
        </w:rPr>
      </w:pPr>
    </w:p>
    <w:p w14:paraId="051BF0F6">
      <w:pPr>
        <w:jc w:val="center"/>
        <w:rPr>
          <w:rFonts w:ascii="宋体" w:hAnsi="宋体" w:cs="宋体"/>
          <w:b/>
          <w:color w:val="auto"/>
          <w:kern w:val="0"/>
          <w:sz w:val="32"/>
          <w:szCs w:val="32"/>
          <w:highlight w:val="none"/>
        </w:rPr>
      </w:pPr>
    </w:p>
    <w:p w14:paraId="28AD8206">
      <w:pPr>
        <w:jc w:val="center"/>
        <w:rPr>
          <w:rFonts w:ascii="宋体" w:hAnsi="宋体" w:cs="宋体"/>
          <w:b/>
          <w:color w:val="auto"/>
          <w:kern w:val="0"/>
          <w:sz w:val="32"/>
          <w:szCs w:val="32"/>
          <w:highlight w:val="none"/>
        </w:rPr>
      </w:pPr>
    </w:p>
    <w:p w14:paraId="21E27A03">
      <w:pPr>
        <w:jc w:val="center"/>
        <w:rPr>
          <w:rFonts w:ascii="宋体" w:hAnsi="宋体" w:cs="宋体"/>
          <w:b/>
          <w:color w:val="auto"/>
          <w:kern w:val="0"/>
          <w:sz w:val="32"/>
          <w:szCs w:val="32"/>
          <w:highlight w:val="none"/>
        </w:rPr>
      </w:pPr>
    </w:p>
    <w:p w14:paraId="0535670B">
      <w:pPr>
        <w:jc w:val="center"/>
        <w:rPr>
          <w:rFonts w:ascii="宋体" w:hAnsi="宋体" w:cs="宋体"/>
          <w:b/>
          <w:color w:val="auto"/>
          <w:kern w:val="0"/>
          <w:sz w:val="32"/>
          <w:szCs w:val="32"/>
          <w:highlight w:val="none"/>
        </w:rPr>
      </w:pPr>
    </w:p>
    <w:p w14:paraId="62145D19">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177C750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0760E2">
      <w:pPr>
        <w:jc w:val="center"/>
        <w:rPr>
          <w:rFonts w:ascii="宋体" w:hAnsi="宋体" w:cs="宋体"/>
          <w:b/>
          <w:color w:val="auto"/>
          <w:kern w:val="0"/>
          <w:sz w:val="32"/>
          <w:szCs w:val="32"/>
          <w:highlight w:val="none"/>
        </w:rPr>
      </w:pPr>
    </w:p>
    <w:p w14:paraId="7767139C">
      <w:pPr>
        <w:jc w:val="center"/>
        <w:rPr>
          <w:rFonts w:ascii="宋体" w:hAnsi="宋体" w:cs="宋体"/>
          <w:b/>
          <w:color w:val="auto"/>
          <w:kern w:val="0"/>
          <w:sz w:val="32"/>
          <w:szCs w:val="32"/>
          <w:highlight w:val="none"/>
        </w:rPr>
      </w:pPr>
    </w:p>
    <w:p w14:paraId="637B332B">
      <w:pPr>
        <w:jc w:val="center"/>
        <w:rPr>
          <w:rFonts w:ascii="宋体" w:hAnsi="宋体" w:cs="宋体"/>
          <w:b/>
          <w:color w:val="auto"/>
          <w:kern w:val="0"/>
          <w:sz w:val="32"/>
          <w:szCs w:val="32"/>
          <w:highlight w:val="none"/>
        </w:rPr>
      </w:pPr>
    </w:p>
    <w:p w14:paraId="6575A39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516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5C5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8132F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27AC3BF">
            <w:pPr>
              <w:spacing w:line="360" w:lineRule="auto"/>
              <w:jc w:val="center"/>
              <w:rPr>
                <w:rFonts w:ascii="宋体" w:hAnsi="宋体" w:cs="宋体"/>
                <w:b/>
                <w:color w:val="auto"/>
                <w:sz w:val="24"/>
                <w:highlight w:val="none"/>
              </w:rPr>
            </w:pPr>
          </w:p>
          <w:p w14:paraId="665277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F776C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AD36D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7B36D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1F1A9AA">
            <w:pPr>
              <w:spacing w:line="360" w:lineRule="auto"/>
              <w:jc w:val="center"/>
              <w:rPr>
                <w:rFonts w:ascii="宋体" w:hAnsi="宋体" w:cs="宋体"/>
                <w:b/>
                <w:color w:val="auto"/>
                <w:sz w:val="24"/>
                <w:highlight w:val="none"/>
              </w:rPr>
            </w:pPr>
          </w:p>
          <w:p w14:paraId="2680BB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809AE6C">
            <w:pPr>
              <w:spacing w:line="360" w:lineRule="auto"/>
              <w:jc w:val="center"/>
              <w:rPr>
                <w:rFonts w:ascii="宋体" w:hAnsi="宋体" w:cs="宋体"/>
                <w:b/>
                <w:color w:val="auto"/>
                <w:sz w:val="24"/>
                <w:highlight w:val="none"/>
              </w:rPr>
            </w:pPr>
          </w:p>
        </w:tc>
      </w:tr>
      <w:tr w14:paraId="6D84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144E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1D318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8CCF8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666C6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D02E3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D8190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9C5F22">
            <w:pPr>
              <w:spacing w:line="360" w:lineRule="auto"/>
              <w:jc w:val="center"/>
              <w:rPr>
                <w:rFonts w:ascii="宋体" w:hAnsi="宋体" w:cs="宋体"/>
                <w:color w:val="auto"/>
                <w:sz w:val="24"/>
                <w:highlight w:val="none"/>
              </w:rPr>
            </w:pPr>
          </w:p>
        </w:tc>
      </w:tr>
      <w:tr w14:paraId="7AE2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5028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89EDB3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F6EDA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77A05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02C8C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BEF2F8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1A61426">
            <w:pPr>
              <w:spacing w:line="360" w:lineRule="auto"/>
              <w:jc w:val="center"/>
              <w:rPr>
                <w:rFonts w:ascii="宋体" w:hAnsi="宋体" w:cs="宋体"/>
                <w:color w:val="auto"/>
                <w:sz w:val="24"/>
                <w:highlight w:val="none"/>
              </w:rPr>
            </w:pPr>
          </w:p>
        </w:tc>
      </w:tr>
      <w:tr w14:paraId="653E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62E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F2A03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0E2A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199C9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D3375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03A94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E3F17D">
            <w:pPr>
              <w:spacing w:line="360" w:lineRule="auto"/>
              <w:jc w:val="center"/>
              <w:rPr>
                <w:rFonts w:ascii="宋体" w:hAnsi="宋体" w:cs="宋体"/>
                <w:color w:val="auto"/>
                <w:sz w:val="24"/>
                <w:highlight w:val="none"/>
              </w:rPr>
            </w:pPr>
          </w:p>
        </w:tc>
      </w:tr>
    </w:tbl>
    <w:p w14:paraId="5828A6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645417">
      <w:pPr>
        <w:jc w:val="center"/>
        <w:rPr>
          <w:rFonts w:ascii="宋体" w:hAnsi="宋体" w:cs="宋体"/>
          <w:b/>
          <w:color w:val="auto"/>
          <w:kern w:val="0"/>
          <w:sz w:val="32"/>
          <w:szCs w:val="32"/>
          <w:highlight w:val="none"/>
        </w:rPr>
      </w:pPr>
    </w:p>
    <w:p w14:paraId="052582F0">
      <w:pPr>
        <w:jc w:val="center"/>
        <w:rPr>
          <w:rFonts w:ascii="宋体" w:hAnsi="宋体" w:cs="宋体"/>
          <w:b/>
          <w:color w:val="auto"/>
          <w:kern w:val="0"/>
          <w:sz w:val="32"/>
          <w:szCs w:val="32"/>
          <w:highlight w:val="none"/>
        </w:rPr>
      </w:pPr>
    </w:p>
    <w:p w14:paraId="04074A7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D28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89680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A4DBBE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4958B7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7A06F6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6D0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4D6F3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A7349F9">
            <w:pPr>
              <w:jc w:val="center"/>
              <w:rPr>
                <w:rFonts w:ascii="宋体" w:hAnsi="宋体" w:cs="宋体"/>
                <w:b/>
                <w:color w:val="auto"/>
                <w:kern w:val="0"/>
                <w:sz w:val="32"/>
                <w:szCs w:val="32"/>
                <w:highlight w:val="none"/>
              </w:rPr>
            </w:pPr>
          </w:p>
        </w:tc>
        <w:tc>
          <w:tcPr>
            <w:tcW w:w="3546" w:type="dxa"/>
          </w:tcPr>
          <w:p w14:paraId="1F35814C">
            <w:pPr>
              <w:jc w:val="center"/>
              <w:rPr>
                <w:rFonts w:ascii="宋体" w:hAnsi="宋体" w:cs="宋体"/>
                <w:b/>
                <w:color w:val="auto"/>
                <w:kern w:val="0"/>
                <w:sz w:val="32"/>
                <w:szCs w:val="32"/>
                <w:highlight w:val="none"/>
              </w:rPr>
            </w:pPr>
          </w:p>
        </w:tc>
        <w:tc>
          <w:tcPr>
            <w:tcW w:w="1276" w:type="dxa"/>
          </w:tcPr>
          <w:p w14:paraId="0482BF44">
            <w:pPr>
              <w:jc w:val="center"/>
              <w:rPr>
                <w:rFonts w:ascii="宋体" w:hAnsi="宋体" w:cs="宋体"/>
                <w:b/>
                <w:color w:val="auto"/>
                <w:kern w:val="0"/>
                <w:sz w:val="32"/>
                <w:szCs w:val="32"/>
                <w:highlight w:val="none"/>
              </w:rPr>
            </w:pPr>
          </w:p>
        </w:tc>
      </w:tr>
      <w:tr w14:paraId="7BF8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3F364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3CC450F">
            <w:pPr>
              <w:jc w:val="center"/>
              <w:rPr>
                <w:rFonts w:ascii="宋体" w:hAnsi="宋体" w:cs="宋体"/>
                <w:b/>
                <w:color w:val="auto"/>
                <w:kern w:val="0"/>
                <w:sz w:val="32"/>
                <w:szCs w:val="32"/>
                <w:highlight w:val="none"/>
              </w:rPr>
            </w:pPr>
          </w:p>
        </w:tc>
        <w:tc>
          <w:tcPr>
            <w:tcW w:w="3546" w:type="dxa"/>
          </w:tcPr>
          <w:p w14:paraId="66B6C911">
            <w:pPr>
              <w:jc w:val="center"/>
              <w:rPr>
                <w:rFonts w:ascii="宋体" w:hAnsi="宋体" w:cs="宋体"/>
                <w:b/>
                <w:color w:val="auto"/>
                <w:kern w:val="0"/>
                <w:sz w:val="32"/>
                <w:szCs w:val="32"/>
                <w:highlight w:val="none"/>
              </w:rPr>
            </w:pPr>
          </w:p>
        </w:tc>
        <w:tc>
          <w:tcPr>
            <w:tcW w:w="1276" w:type="dxa"/>
          </w:tcPr>
          <w:p w14:paraId="5DFF427A">
            <w:pPr>
              <w:jc w:val="center"/>
              <w:rPr>
                <w:rFonts w:ascii="宋体" w:hAnsi="宋体" w:cs="宋体"/>
                <w:b/>
                <w:color w:val="auto"/>
                <w:kern w:val="0"/>
                <w:sz w:val="32"/>
                <w:szCs w:val="32"/>
                <w:highlight w:val="none"/>
              </w:rPr>
            </w:pPr>
          </w:p>
        </w:tc>
      </w:tr>
      <w:tr w14:paraId="20C1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636F6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3299C62">
            <w:pPr>
              <w:jc w:val="center"/>
              <w:rPr>
                <w:rFonts w:ascii="宋体" w:hAnsi="宋体" w:cs="宋体"/>
                <w:b/>
                <w:color w:val="auto"/>
                <w:kern w:val="0"/>
                <w:sz w:val="32"/>
                <w:szCs w:val="32"/>
                <w:highlight w:val="none"/>
              </w:rPr>
            </w:pPr>
          </w:p>
        </w:tc>
        <w:tc>
          <w:tcPr>
            <w:tcW w:w="3546" w:type="dxa"/>
          </w:tcPr>
          <w:p w14:paraId="24DB107C">
            <w:pPr>
              <w:jc w:val="center"/>
              <w:rPr>
                <w:rFonts w:ascii="宋体" w:hAnsi="宋体" w:cs="宋体"/>
                <w:b/>
                <w:color w:val="auto"/>
                <w:kern w:val="0"/>
                <w:sz w:val="32"/>
                <w:szCs w:val="32"/>
                <w:highlight w:val="none"/>
              </w:rPr>
            </w:pPr>
          </w:p>
        </w:tc>
        <w:tc>
          <w:tcPr>
            <w:tcW w:w="1276" w:type="dxa"/>
          </w:tcPr>
          <w:p w14:paraId="02903183">
            <w:pPr>
              <w:jc w:val="center"/>
              <w:rPr>
                <w:rFonts w:ascii="宋体" w:hAnsi="宋体" w:cs="宋体"/>
                <w:b/>
                <w:color w:val="auto"/>
                <w:kern w:val="0"/>
                <w:sz w:val="32"/>
                <w:szCs w:val="32"/>
                <w:highlight w:val="none"/>
              </w:rPr>
            </w:pPr>
          </w:p>
        </w:tc>
      </w:tr>
    </w:tbl>
    <w:p w14:paraId="3C797F2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BFB7E9F">
      <w:pPr>
        <w:jc w:val="center"/>
        <w:rPr>
          <w:rFonts w:ascii="宋体" w:hAnsi="宋体" w:cs="宋体"/>
          <w:b/>
          <w:color w:val="auto"/>
          <w:kern w:val="0"/>
          <w:sz w:val="32"/>
          <w:szCs w:val="32"/>
          <w:highlight w:val="none"/>
        </w:rPr>
      </w:pPr>
    </w:p>
    <w:p w14:paraId="32CE0D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D690AB">
      <w:pPr>
        <w:ind w:firstLine="1911" w:firstLineChars="595"/>
        <w:rPr>
          <w:rFonts w:ascii="宋体" w:hAnsi="宋体" w:cs="宋体"/>
          <w:b/>
          <w:bCs/>
          <w:color w:val="auto"/>
          <w:sz w:val="32"/>
          <w:szCs w:val="32"/>
          <w:highlight w:val="none"/>
        </w:rPr>
      </w:pPr>
    </w:p>
    <w:p w14:paraId="43D5F5A0">
      <w:pPr>
        <w:ind w:firstLine="1911" w:firstLineChars="595"/>
        <w:rPr>
          <w:rFonts w:ascii="宋体" w:hAnsi="宋体" w:cs="宋体"/>
          <w:b/>
          <w:bCs/>
          <w:color w:val="auto"/>
          <w:sz w:val="32"/>
          <w:szCs w:val="32"/>
          <w:highlight w:val="none"/>
        </w:rPr>
      </w:pPr>
    </w:p>
    <w:p w14:paraId="239333BF">
      <w:pPr>
        <w:ind w:firstLine="1911" w:firstLineChars="595"/>
        <w:rPr>
          <w:rFonts w:ascii="宋体" w:hAnsi="宋体" w:cs="宋体"/>
          <w:b/>
          <w:bCs/>
          <w:color w:val="auto"/>
          <w:sz w:val="32"/>
          <w:szCs w:val="32"/>
          <w:highlight w:val="none"/>
        </w:rPr>
      </w:pPr>
    </w:p>
    <w:p w14:paraId="7EB5DB3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24C65C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F3A66F0">
      <w:pPr>
        <w:snapToGrid w:val="0"/>
        <w:spacing w:line="360" w:lineRule="auto"/>
        <w:rPr>
          <w:rFonts w:ascii="宋体" w:hAnsi="宋体" w:cs="宋体"/>
          <w:color w:val="auto"/>
          <w:sz w:val="24"/>
          <w:highlight w:val="none"/>
        </w:rPr>
      </w:pPr>
    </w:p>
    <w:p w14:paraId="2CDDA6C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B6475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18B960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7117D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020F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C45A60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CD809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032591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380D9B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8107B8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2212BF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66EE36B">
      <w:pPr>
        <w:autoSpaceDE w:val="0"/>
        <w:autoSpaceDN w:val="0"/>
        <w:spacing w:line="360" w:lineRule="auto"/>
        <w:ind w:left="2"/>
        <w:jc w:val="left"/>
        <w:rPr>
          <w:rFonts w:ascii="宋体" w:hAnsi="宋体" w:cs="宋体"/>
          <w:color w:val="auto"/>
          <w:kern w:val="0"/>
          <w:sz w:val="24"/>
          <w:highlight w:val="none"/>
          <w:lang w:val="zh-CN"/>
        </w:rPr>
      </w:pPr>
    </w:p>
    <w:p w14:paraId="57554FC6">
      <w:pPr>
        <w:autoSpaceDE w:val="0"/>
        <w:autoSpaceDN w:val="0"/>
        <w:spacing w:line="360" w:lineRule="auto"/>
        <w:ind w:left="2"/>
        <w:jc w:val="left"/>
        <w:rPr>
          <w:rFonts w:ascii="宋体" w:hAnsi="宋体" w:cs="宋体"/>
          <w:color w:val="auto"/>
          <w:kern w:val="0"/>
          <w:sz w:val="24"/>
          <w:highlight w:val="none"/>
          <w:lang w:val="zh-CN"/>
        </w:rPr>
      </w:pPr>
    </w:p>
    <w:p w14:paraId="314BD010">
      <w:pPr>
        <w:autoSpaceDE w:val="0"/>
        <w:autoSpaceDN w:val="0"/>
        <w:spacing w:line="360" w:lineRule="auto"/>
        <w:ind w:left="2"/>
        <w:jc w:val="left"/>
        <w:rPr>
          <w:rFonts w:ascii="宋体" w:hAnsi="宋体" w:cs="宋体"/>
          <w:color w:val="auto"/>
          <w:kern w:val="0"/>
          <w:sz w:val="24"/>
          <w:highlight w:val="none"/>
          <w:lang w:val="zh-CN"/>
        </w:rPr>
      </w:pPr>
    </w:p>
    <w:p w14:paraId="462B5B1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32B4AF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BEE367">
      <w:pPr>
        <w:spacing w:line="360" w:lineRule="auto"/>
        <w:jc w:val="center"/>
        <w:rPr>
          <w:rFonts w:ascii="宋体" w:hAnsi="宋体" w:cs="宋体"/>
          <w:b/>
          <w:bCs/>
          <w:color w:val="auto"/>
          <w:sz w:val="24"/>
          <w:highlight w:val="none"/>
        </w:rPr>
      </w:pPr>
    </w:p>
    <w:p w14:paraId="60C3E1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FA422B">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B3BDA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6E4EE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4B56E0">
      <w:pPr>
        <w:spacing w:line="360" w:lineRule="auto"/>
        <w:jc w:val="center"/>
        <w:outlineLvl w:val="0"/>
        <w:rPr>
          <w:rFonts w:ascii="宋体" w:hAnsi="宋体" w:cs="宋体"/>
          <w:b/>
          <w:color w:val="auto"/>
          <w:kern w:val="0"/>
          <w:sz w:val="36"/>
          <w:szCs w:val="36"/>
          <w:highlight w:val="none"/>
        </w:rPr>
      </w:pPr>
    </w:p>
    <w:p w14:paraId="09CDFCA2">
      <w:pPr>
        <w:numPr>
          <w:ilvl w:val="0"/>
          <w:numId w:val="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14F07E13">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报价情况说明（如果有）</w:t>
      </w:r>
      <w:r>
        <w:rPr>
          <w:rFonts w:hint="eastAsia" w:ascii="宋体" w:hAnsi="宋体" w:cs="宋体"/>
          <w:color w:val="auto"/>
          <w:sz w:val="24"/>
          <w:highlight w:val="none"/>
        </w:rPr>
        <w:t>……………………………………………………（页码）</w:t>
      </w:r>
    </w:p>
    <w:p w14:paraId="74ED7DD8">
      <w:pPr>
        <w:pStyle w:val="80"/>
        <w:rPr>
          <w:color w:val="auto"/>
          <w:highlight w:val="none"/>
        </w:rPr>
      </w:pPr>
    </w:p>
    <w:p w14:paraId="523A584E">
      <w:pPr>
        <w:pStyle w:val="80"/>
        <w:rPr>
          <w:color w:val="auto"/>
          <w:highlight w:val="none"/>
        </w:rPr>
      </w:pPr>
    </w:p>
    <w:p w14:paraId="3ACF2158">
      <w:pPr>
        <w:snapToGrid w:val="0"/>
        <w:spacing w:line="360" w:lineRule="auto"/>
        <w:ind w:right="480"/>
        <w:jc w:val="center"/>
        <w:rPr>
          <w:rFonts w:ascii="宋体" w:hAnsi="宋体" w:cs="宋体"/>
          <w:b/>
          <w:color w:val="auto"/>
          <w:kern w:val="0"/>
          <w:sz w:val="32"/>
          <w:szCs w:val="32"/>
          <w:highlight w:val="none"/>
        </w:rPr>
      </w:pPr>
    </w:p>
    <w:p w14:paraId="599338AF">
      <w:pPr>
        <w:snapToGrid w:val="0"/>
        <w:spacing w:line="360" w:lineRule="auto"/>
        <w:ind w:right="480"/>
        <w:jc w:val="center"/>
        <w:rPr>
          <w:rFonts w:ascii="宋体" w:hAnsi="宋体" w:cs="宋体"/>
          <w:b/>
          <w:color w:val="auto"/>
          <w:kern w:val="0"/>
          <w:sz w:val="32"/>
          <w:szCs w:val="32"/>
          <w:highlight w:val="none"/>
        </w:rPr>
      </w:pPr>
    </w:p>
    <w:p w14:paraId="7DB61359">
      <w:pPr>
        <w:snapToGrid w:val="0"/>
        <w:spacing w:line="360" w:lineRule="auto"/>
        <w:ind w:right="480"/>
        <w:jc w:val="center"/>
        <w:rPr>
          <w:rFonts w:ascii="宋体" w:hAnsi="宋体" w:cs="宋体"/>
          <w:b/>
          <w:color w:val="auto"/>
          <w:kern w:val="0"/>
          <w:sz w:val="32"/>
          <w:szCs w:val="32"/>
          <w:highlight w:val="none"/>
        </w:rPr>
      </w:pPr>
    </w:p>
    <w:p w14:paraId="1828CE22">
      <w:pPr>
        <w:snapToGrid w:val="0"/>
        <w:spacing w:line="360" w:lineRule="auto"/>
        <w:ind w:right="480"/>
        <w:jc w:val="center"/>
        <w:rPr>
          <w:rFonts w:ascii="宋体" w:hAnsi="宋体" w:cs="宋体"/>
          <w:b/>
          <w:color w:val="auto"/>
          <w:kern w:val="0"/>
          <w:sz w:val="32"/>
          <w:szCs w:val="32"/>
          <w:highlight w:val="none"/>
        </w:rPr>
      </w:pPr>
    </w:p>
    <w:p w14:paraId="03F3F168">
      <w:pPr>
        <w:snapToGrid w:val="0"/>
        <w:spacing w:line="360" w:lineRule="auto"/>
        <w:ind w:right="480"/>
        <w:jc w:val="center"/>
        <w:rPr>
          <w:rFonts w:ascii="宋体" w:hAnsi="宋体" w:cs="宋体"/>
          <w:b/>
          <w:color w:val="auto"/>
          <w:kern w:val="0"/>
          <w:sz w:val="32"/>
          <w:szCs w:val="32"/>
          <w:highlight w:val="none"/>
        </w:rPr>
      </w:pPr>
    </w:p>
    <w:p w14:paraId="0FA99CA0">
      <w:pPr>
        <w:snapToGrid w:val="0"/>
        <w:spacing w:line="360" w:lineRule="auto"/>
        <w:ind w:right="480"/>
        <w:jc w:val="center"/>
        <w:rPr>
          <w:rFonts w:ascii="宋体" w:hAnsi="宋体" w:cs="宋体"/>
          <w:b/>
          <w:color w:val="auto"/>
          <w:kern w:val="0"/>
          <w:sz w:val="32"/>
          <w:szCs w:val="32"/>
          <w:highlight w:val="none"/>
        </w:rPr>
      </w:pPr>
    </w:p>
    <w:p w14:paraId="3EF3A210">
      <w:pPr>
        <w:snapToGrid w:val="0"/>
        <w:spacing w:line="360" w:lineRule="auto"/>
        <w:ind w:right="480"/>
        <w:jc w:val="center"/>
        <w:rPr>
          <w:rFonts w:ascii="宋体" w:hAnsi="宋体" w:cs="宋体"/>
          <w:b/>
          <w:color w:val="auto"/>
          <w:kern w:val="0"/>
          <w:sz w:val="32"/>
          <w:szCs w:val="32"/>
          <w:highlight w:val="none"/>
        </w:rPr>
      </w:pPr>
    </w:p>
    <w:p w14:paraId="6E966F91">
      <w:pPr>
        <w:snapToGrid w:val="0"/>
        <w:spacing w:line="360" w:lineRule="auto"/>
        <w:ind w:right="480"/>
        <w:jc w:val="center"/>
        <w:rPr>
          <w:rFonts w:ascii="宋体" w:hAnsi="宋体" w:cs="宋体"/>
          <w:b/>
          <w:color w:val="auto"/>
          <w:kern w:val="0"/>
          <w:sz w:val="32"/>
          <w:szCs w:val="32"/>
          <w:highlight w:val="none"/>
        </w:rPr>
      </w:pPr>
    </w:p>
    <w:p w14:paraId="3EAB8D08">
      <w:pPr>
        <w:snapToGrid w:val="0"/>
        <w:spacing w:line="360" w:lineRule="auto"/>
        <w:ind w:right="480"/>
        <w:jc w:val="center"/>
        <w:rPr>
          <w:rFonts w:ascii="宋体" w:hAnsi="宋体" w:cs="宋体"/>
          <w:b/>
          <w:color w:val="auto"/>
          <w:kern w:val="0"/>
          <w:sz w:val="32"/>
          <w:szCs w:val="32"/>
          <w:highlight w:val="none"/>
        </w:rPr>
      </w:pPr>
    </w:p>
    <w:p w14:paraId="4A2C5A22">
      <w:pPr>
        <w:snapToGrid w:val="0"/>
        <w:spacing w:line="360" w:lineRule="auto"/>
        <w:ind w:right="480"/>
        <w:jc w:val="center"/>
        <w:rPr>
          <w:rFonts w:ascii="宋体" w:hAnsi="宋体" w:cs="宋体"/>
          <w:b/>
          <w:color w:val="auto"/>
          <w:kern w:val="0"/>
          <w:sz w:val="32"/>
          <w:szCs w:val="32"/>
          <w:highlight w:val="none"/>
        </w:rPr>
      </w:pPr>
    </w:p>
    <w:p w14:paraId="26894264">
      <w:pPr>
        <w:snapToGrid w:val="0"/>
        <w:spacing w:line="360" w:lineRule="auto"/>
        <w:ind w:right="480"/>
        <w:jc w:val="center"/>
        <w:rPr>
          <w:rFonts w:ascii="宋体" w:hAnsi="宋体" w:cs="宋体"/>
          <w:b/>
          <w:color w:val="auto"/>
          <w:kern w:val="0"/>
          <w:sz w:val="32"/>
          <w:szCs w:val="32"/>
          <w:highlight w:val="none"/>
        </w:rPr>
      </w:pPr>
    </w:p>
    <w:p w14:paraId="50DCCE67">
      <w:pPr>
        <w:snapToGrid w:val="0"/>
        <w:spacing w:line="360" w:lineRule="auto"/>
        <w:ind w:right="480"/>
        <w:jc w:val="center"/>
        <w:rPr>
          <w:rFonts w:ascii="宋体" w:hAnsi="宋体" w:cs="宋体"/>
          <w:b/>
          <w:color w:val="auto"/>
          <w:kern w:val="0"/>
          <w:sz w:val="32"/>
          <w:szCs w:val="32"/>
          <w:highlight w:val="none"/>
        </w:rPr>
      </w:pPr>
    </w:p>
    <w:p w14:paraId="2F8FB9B5">
      <w:pPr>
        <w:snapToGrid w:val="0"/>
        <w:spacing w:line="360" w:lineRule="auto"/>
        <w:ind w:right="480"/>
        <w:jc w:val="center"/>
        <w:rPr>
          <w:rFonts w:ascii="宋体" w:hAnsi="宋体" w:cs="宋体"/>
          <w:b/>
          <w:color w:val="auto"/>
          <w:kern w:val="0"/>
          <w:sz w:val="32"/>
          <w:szCs w:val="32"/>
          <w:highlight w:val="none"/>
        </w:rPr>
      </w:pPr>
    </w:p>
    <w:p w14:paraId="446CBE3C">
      <w:pPr>
        <w:snapToGrid w:val="0"/>
        <w:spacing w:line="360" w:lineRule="auto"/>
        <w:ind w:right="480"/>
        <w:jc w:val="center"/>
        <w:rPr>
          <w:rFonts w:ascii="宋体" w:hAnsi="宋体" w:cs="宋体"/>
          <w:b/>
          <w:color w:val="auto"/>
          <w:kern w:val="0"/>
          <w:sz w:val="32"/>
          <w:szCs w:val="32"/>
          <w:highlight w:val="none"/>
        </w:rPr>
      </w:pPr>
    </w:p>
    <w:p w14:paraId="469DA871">
      <w:pPr>
        <w:snapToGrid w:val="0"/>
        <w:spacing w:line="360" w:lineRule="auto"/>
        <w:ind w:right="480"/>
        <w:jc w:val="center"/>
        <w:rPr>
          <w:rFonts w:ascii="宋体" w:hAnsi="宋体" w:cs="宋体"/>
          <w:b/>
          <w:color w:val="auto"/>
          <w:kern w:val="0"/>
          <w:sz w:val="32"/>
          <w:szCs w:val="32"/>
          <w:highlight w:val="none"/>
        </w:rPr>
      </w:pPr>
    </w:p>
    <w:p w14:paraId="71BBD91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3EE2C4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C41D9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836CE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4CC25F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53"/>
        <w:gridCol w:w="2007"/>
        <w:gridCol w:w="2410"/>
        <w:gridCol w:w="2268"/>
        <w:gridCol w:w="2126"/>
        <w:gridCol w:w="2127"/>
        <w:gridCol w:w="2126"/>
      </w:tblGrid>
      <w:tr w14:paraId="49D9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3960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53" w:type="dxa"/>
            <w:vAlign w:val="center"/>
          </w:tcPr>
          <w:p w14:paraId="1CF2C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07" w:type="dxa"/>
          </w:tcPr>
          <w:p w14:paraId="42E41D2C">
            <w:pPr>
              <w:spacing w:line="360" w:lineRule="auto"/>
              <w:jc w:val="center"/>
              <w:rPr>
                <w:rFonts w:ascii="宋体" w:hAnsi="宋体" w:cs="宋体"/>
                <w:b/>
                <w:color w:val="auto"/>
                <w:sz w:val="24"/>
                <w:highlight w:val="none"/>
              </w:rPr>
            </w:pPr>
          </w:p>
          <w:p w14:paraId="3D299C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FFF01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DE206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D4A06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2218ABD">
            <w:pPr>
              <w:spacing w:line="360" w:lineRule="auto"/>
              <w:jc w:val="center"/>
              <w:rPr>
                <w:rFonts w:ascii="宋体" w:hAnsi="宋体" w:cs="宋体"/>
                <w:b/>
                <w:color w:val="auto"/>
                <w:sz w:val="24"/>
                <w:highlight w:val="none"/>
              </w:rPr>
            </w:pPr>
          </w:p>
          <w:p w14:paraId="07EC07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13C6BAA">
            <w:pPr>
              <w:spacing w:line="360" w:lineRule="auto"/>
              <w:jc w:val="center"/>
              <w:rPr>
                <w:rFonts w:ascii="宋体" w:hAnsi="宋体" w:cs="宋体"/>
                <w:b/>
                <w:color w:val="auto"/>
                <w:sz w:val="24"/>
                <w:highlight w:val="none"/>
              </w:rPr>
            </w:pPr>
          </w:p>
          <w:p w14:paraId="5DEAD0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4D7958C">
            <w:pPr>
              <w:spacing w:line="360" w:lineRule="auto"/>
              <w:jc w:val="center"/>
              <w:rPr>
                <w:rFonts w:ascii="宋体" w:hAnsi="宋体" w:cs="宋体"/>
                <w:b/>
                <w:color w:val="auto"/>
                <w:sz w:val="24"/>
                <w:highlight w:val="none"/>
              </w:rPr>
            </w:pPr>
          </w:p>
        </w:tc>
      </w:tr>
      <w:tr w14:paraId="52EB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19A63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53" w:type="dxa"/>
            <w:vAlign w:val="center"/>
          </w:tcPr>
          <w:p w14:paraId="69E88E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007" w:type="dxa"/>
            <w:vAlign w:val="center"/>
          </w:tcPr>
          <w:p w14:paraId="694F46FD">
            <w:pPr>
              <w:snapToGrid w:val="0"/>
              <w:spacing w:line="360" w:lineRule="auto"/>
              <w:jc w:val="center"/>
              <w:rPr>
                <w:rFonts w:ascii="宋体" w:hAnsi="宋体" w:cs="宋体"/>
                <w:color w:val="auto"/>
                <w:sz w:val="24"/>
                <w:highlight w:val="none"/>
              </w:rPr>
            </w:pPr>
          </w:p>
        </w:tc>
        <w:tc>
          <w:tcPr>
            <w:tcW w:w="2410" w:type="dxa"/>
            <w:vAlign w:val="center"/>
          </w:tcPr>
          <w:p w14:paraId="11127E19">
            <w:pPr>
              <w:snapToGrid w:val="0"/>
              <w:spacing w:line="360" w:lineRule="auto"/>
              <w:jc w:val="center"/>
              <w:rPr>
                <w:rFonts w:ascii="宋体" w:hAnsi="宋体" w:cs="宋体"/>
                <w:color w:val="auto"/>
                <w:sz w:val="24"/>
                <w:highlight w:val="none"/>
              </w:rPr>
            </w:pPr>
          </w:p>
        </w:tc>
        <w:tc>
          <w:tcPr>
            <w:tcW w:w="2268" w:type="dxa"/>
            <w:vAlign w:val="center"/>
          </w:tcPr>
          <w:p w14:paraId="3225F184">
            <w:pPr>
              <w:snapToGrid w:val="0"/>
              <w:spacing w:line="360" w:lineRule="auto"/>
              <w:jc w:val="center"/>
              <w:rPr>
                <w:rFonts w:ascii="宋体" w:hAnsi="宋体" w:cs="宋体"/>
                <w:color w:val="auto"/>
                <w:sz w:val="24"/>
                <w:highlight w:val="none"/>
              </w:rPr>
            </w:pPr>
          </w:p>
        </w:tc>
        <w:tc>
          <w:tcPr>
            <w:tcW w:w="2126" w:type="dxa"/>
            <w:vAlign w:val="center"/>
          </w:tcPr>
          <w:p w14:paraId="2368D3D1">
            <w:pPr>
              <w:spacing w:line="360" w:lineRule="auto"/>
              <w:jc w:val="center"/>
              <w:rPr>
                <w:rFonts w:ascii="宋体" w:hAnsi="宋体" w:cs="宋体"/>
                <w:color w:val="auto"/>
                <w:sz w:val="24"/>
                <w:highlight w:val="none"/>
              </w:rPr>
            </w:pPr>
          </w:p>
        </w:tc>
        <w:tc>
          <w:tcPr>
            <w:tcW w:w="2127" w:type="dxa"/>
          </w:tcPr>
          <w:p w14:paraId="3CB407DE">
            <w:pPr>
              <w:spacing w:line="360" w:lineRule="auto"/>
              <w:jc w:val="center"/>
              <w:rPr>
                <w:rFonts w:ascii="宋体" w:hAnsi="宋体" w:cs="宋体"/>
                <w:color w:val="auto"/>
                <w:sz w:val="24"/>
                <w:highlight w:val="none"/>
              </w:rPr>
            </w:pPr>
          </w:p>
        </w:tc>
        <w:tc>
          <w:tcPr>
            <w:tcW w:w="2126" w:type="dxa"/>
            <w:vAlign w:val="center"/>
          </w:tcPr>
          <w:p w14:paraId="4A85D73B">
            <w:pPr>
              <w:spacing w:line="360" w:lineRule="auto"/>
              <w:jc w:val="center"/>
              <w:rPr>
                <w:rFonts w:ascii="宋体" w:hAnsi="宋体" w:cs="宋体"/>
                <w:color w:val="auto"/>
                <w:sz w:val="24"/>
                <w:highlight w:val="none"/>
              </w:rPr>
            </w:pPr>
          </w:p>
        </w:tc>
      </w:tr>
      <w:tr w14:paraId="5640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BC02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53" w:type="dxa"/>
            <w:vAlign w:val="center"/>
          </w:tcPr>
          <w:p w14:paraId="269E5A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007" w:type="dxa"/>
            <w:vAlign w:val="center"/>
          </w:tcPr>
          <w:p w14:paraId="582FD4F6">
            <w:pPr>
              <w:snapToGrid w:val="0"/>
              <w:spacing w:line="360" w:lineRule="auto"/>
              <w:jc w:val="center"/>
              <w:rPr>
                <w:rFonts w:ascii="宋体" w:hAnsi="宋体" w:cs="宋体"/>
                <w:color w:val="auto"/>
                <w:sz w:val="24"/>
                <w:highlight w:val="none"/>
              </w:rPr>
            </w:pPr>
          </w:p>
        </w:tc>
        <w:tc>
          <w:tcPr>
            <w:tcW w:w="2410" w:type="dxa"/>
            <w:vAlign w:val="center"/>
          </w:tcPr>
          <w:p w14:paraId="5E8C1FD6">
            <w:pPr>
              <w:snapToGrid w:val="0"/>
              <w:spacing w:line="360" w:lineRule="auto"/>
              <w:jc w:val="center"/>
              <w:rPr>
                <w:rFonts w:ascii="宋体" w:hAnsi="宋体" w:cs="宋体"/>
                <w:color w:val="auto"/>
                <w:sz w:val="24"/>
                <w:highlight w:val="none"/>
              </w:rPr>
            </w:pPr>
          </w:p>
        </w:tc>
        <w:tc>
          <w:tcPr>
            <w:tcW w:w="2268" w:type="dxa"/>
            <w:vAlign w:val="center"/>
          </w:tcPr>
          <w:p w14:paraId="0462257E">
            <w:pPr>
              <w:snapToGrid w:val="0"/>
              <w:spacing w:line="360" w:lineRule="auto"/>
              <w:jc w:val="center"/>
              <w:rPr>
                <w:rFonts w:ascii="宋体" w:hAnsi="宋体" w:cs="宋体"/>
                <w:color w:val="auto"/>
                <w:sz w:val="24"/>
                <w:highlight w:val="none"/>
              </w:rPr>
            </w:pPr>
          </w:p>
        </w:tc>
        <w:tc>
          <w:tcPr>
            <w:tcW w:w="2126" w:type="dxa"/>
            <w:vAlign w:val="center"/>
          </w:tcPr>
          <w:p w14:paraId="0F515FC1">
            <w:pPr>
              <w:spacing w:line="360" w:lineRule="auto"/>
              <w:jc w:val="center"/>
              <w:rPr>
                <w:rFonts w:ascii="宋体" w:hAnsi="宋体" w:cs="宋体"/>
                <w:color w:val="auto"/>
                <w:sz w:val="24"/>
                <w:highlight w:val="none"/>
              </w:rPr>
            </w:pPr>
          </w:p>
        </w:tc>
        <w:tc>
          <w:tcPr>
            <w:tcW w:w="2127" w:type="dxa"/>
          </w:tcPr>
          <w:p w14:paraId="35F0DB23">
            <w:pPr>
              <w:spacing w:line="360" w:lineRule="auto"/>
              <w:jc w:val="center"/>
              <w:rPr>
                <w:rFonts w:ascii="宋体" w:hAnsi="宋体" w:cs="宋体"/>
                <w:color w:val="auto"/>
                <w:sz w:val="24"/>
                <w:highlight w:val="none"/>
              </w:rPr>
            </w:pPr>
          </w:p>
        </w:tc>
        <w:tc>
          <w:tcPr>
            <w:tcW w:w="2126" w:type="dxa"/>
            <w:vAlign w:val="center"/>
          </w:tcPr>
          <w:p w14:paraId="52A61931">
            <w:pPr>
              <w:spacing w:line="360" w:lineRule="auto"/>
              <w:jc w:val="center"/>
              <w:rPr>
                <w:rFonts w:ascii="宋体" w:hAnsi="宋体" w:cs="宋体"/>
                <w:color w:val="auto"/>
                <w:sz w:val="24"/>
                <w:highlight w:val="none"/>
              </w:rPr>
            </w:pPr>
          </w:p>
        </w:tc>
      </w:tr>
      <w:tr w14:paraId="06C4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A198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53" w:type="dxa"/>
            <w:vAlign w:val="center"/>
          </w:tcPr>
          <w:p w14:paraId="31691B40">
            <w:pPr>
              <w:snapToGrid w:val="0"/>
              <w:spacing w:line="360" w:lineRule="auto"/>
              <w:jc w:val="center"/>
              <w:rPr>
                <w:rFonts w:ascii="宋体" w:hAnsi="宋体" w:cs="宋体"/>
                <w:color w:val="auto"/>
                <w:sz w:val="24"/>
                <w:highlight w:val="none"/>
              </w:rPr>
            </w:pPr>
          </w:p>
        </w:tc>
        <w:tc>
          <w:tcPr>
            <w:tcW w:w="2007" w:type="dxa"/>
            <w:vAlign w:val="center"/>
          </w:tcPr>
          <w:p w14:paraId="001560D7">
            <w:pPr>
              <w:snapToGrid w:val="0"/>
              <w:spacing w:line="360" w:lineRule="auto"/>
              <w:jc w:val="center"/>
              <w:rPr>
                <w:rFonts w:ascii="宋体" w:hAnsi="宋体" w:cs="宋体"/>
                <w:color w:val="auto"/>
                <w:sz w:val="24"/>
                <w:highlight w:val="none"/>
              </w:rPr>
            </w:pPr>
          </w:p>
        </w:tc>
        <w:tc>
          <w:tcPr>
            <w:tcW w:w="2410" w:type="dxa"/>
            <w:vAlign w:val="center"/>
          </w:tcPr>
          <w:p w14:paraId="27075FA0">
            <w:pPr>
              <w:snapToGrid w:val="0"/>
              <w:spacing w:line="360" w:lineRule="auto"/>
              <w:jc w:val="center"/>
              <w:rPr>
                <w:rFonts w:ascii="宋体" w:hAnsi="宋体" w:cs="宋体"/>
                <w:color w:val="auto"/>
                <w:sz w:val="24"/>
                <w:highlight w:val="none"/>
              </w:rPr>
            </w:pPr>
          </w:p>
        </w:tc>
        <w:tc>
          <w:tcPr>
            <w:tcW w:w="2268" w:type="dxa"/>
            <w:vAlign w:val="center"/>
          </w:tcPr>
          <w:p w14:paraId="7AA7BCFC">
            <w:pPr>
              <w:snapToGrid w:val="0"/>
              <w:spacing w:line="360" w:lineRule="auto"/>
              <w:jc w:val="center"/>
              <w:rPr>
                <w:rFonts w:ascii="宋体" w:hAnsi="宋体" w:cs="宋体"/>
                <w:color w:val="auto"/>
                <w:sz w:val="24"/>
                <w:highlight w:val="none"/>
              </w:rPr>
            </w:pPr>
          </w:p>
        </w:tc>
        <w:tc>
          <w:tcPr>
            <w:tcW w:w="2126" w:type="dxa"/>
            <w:vAlign w:val="center"/>
          </w:tcPr>
          <w:p w14:paraId="6636261C">
            <w:pPr>
              <w:spacing w:line="360" w:lineRule="auto"/>
              <w:jc w:val="center"/>
              <w:rPr>
                <w:rFonts w:ascii="宋体" w:hAnsi="宋体" w:cs="宋体"/>
                <w:color w:val="auto"/>
                <w:sz w:val="24"/>
                <w:highlight w:val="none"/>
              </w:rPr>
            </w:pPr>
          </w:p>
        </w:tc>
        <w:tc>
          <w:tcPr>
            <w:tcW w:w="2127" w:type="dxa"/>
          </w:tcPr>
          <w:p w14:paraId="49FC30DE">
            <w:pPr>
              <w:spacing w:line="360" w:lineRule="auto"/>
              <w:jc w:val="center"/>
              <w:rPr>
                <w:rFonts w:ascii="宋体" w:hAnsi="宋体" w:cs="宋体"/>
                <w:color w:val="auto"/>
                <w:sz w:val="24"/>
                <w:highlight w:val="none"/>
              </w:rPr>
            </w:pPr>
          </w:p>
        </w:tc>
        <w:tc>
          <w:tcPr>
            <w:tcW w:w="2126" w:type="dxa"/>
            <w:vAlign w:val="center"/>
          </w:tcPr>
          <w:p w14:paraId="14828F80">
            <w:pPr>
              <w:spacing w:line="360" w:lineRule="auto"/>
              <w:jc w:val="center"/>
              <w:rPr>
                <w:rFonts w:ascii="宋体" w:hAnsi="宋体" w:cs="宋体"/>
                <w:color w:val="auto"/>
                <w:sz w:val="24"/>
                <w:highlight w:val="none"/>
              </w:rPr>
            </w:pPr>
          </w:p>
        </w:tc>
      </w:tr>
      <w:tr w14:paraId="6D98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71A4A1">
            <w:pPr>
              <w:spacing w:line="360" w:lineRule="auto"/>
              <w:jc w:val="center"/>
              <w:rPr>
                <w:rFonts w:ascii="宋体" w:hAnsi="宋体" w:cs="宋体"/>
                <w:color w:val="auto"/>
                <w:sz w:val="24"/>
                <w:highlight w:val="none"/>
              </w:rPr>
            </w:pPr>
          </w:p>
        </w:tc>
        <w:tc>
          <w:tcPr>
            <w:tcW w:w="1253" w:type="dxa"/>
            <w:vAlign w:val="center"/>
          </w:tcPr>
          <w:p w14:paraId="7AE5DD12">
            <w:pPr>
              <w:snapToGrid w:val="0"/>
              <w:spacing w:line="360" w:lineRule="auto"/>
              <w:jc w:val="center"/>
              <w:rPr>
                <w:rFonts w:ascii="宋体" w:hAnsi="宋体" w:cs="宋体"/>
                <w:color w:val="auto"/>
                <w:sz w:val="24"/>
                <w:highlight w:val="none"/>
              </w:rPr>
            </w:pPr>
          </w:p>
        </w:tc>
        <w:tc>
          <w:tcPr>
            <w:tcW w:w="2007" w:type="dxa"/>
            <w:vAlign w:val="center"/>
          </w:tcPr>
          <w:p w14:paraId="023749BC">
            <w:pPr>
              <w:snapToGrid w:val="0"/>
              <w:spacing w:line="360" w:lineRule="auto"/>
              <w:jc w:val="center"/>
              <w:rPr>
                <w:rFonts w:ascii="宋体" w:hAnsi="宋体" w:cs="宋体"/>
                <w:color w:val="auto"/>
                <w:sz w:val="24"/>
                <w:highlight w:val="none"/>
              </w:rPr>
            </w:pPr>
          </w:p>
        </w:tc>
        <w:tc>
          <w:tcPr>
            <w:tcW w:w="2410" w:type="dxa"/>
            <w:vAlign w:val="center"/>
          </w:tcPr>
          <w:p w14:paraId="0A44BB12">
            <w:pPr>
              <w:snapToGrid w:val="0"/>
              <w:spacing w:line="360" w:lineRule="auto"/>
              <w:jc w:val="center"/>
              <w:rPr>
                <w:rFonts w:ascii="宋体" w:hAnsi="宋体" w:cs="宋体"/>
                <w:color w:val="auto"/>
                <w:sz w:val="24"/>
                <w:highlight w:val="none"/>
              </w:rPr>
            </w:pPr>
          </w:p>
        </w:tc>
        <w:tc>
          <w:tcPr>
            <w:tcW w:w="2268" w:type="dxa"/>
            <w:vAlign w:val="center"/>
          </w:tcPr>
          <w:p w14:paraId="3E41EABF">
            <w:pPr>
              <w:snapToGrid w:val="0"/>
              <w:spacing w:line="360" w:lineRule="auto"/>
              <w:jc w:val="center"/>
              <w:rPr>
                <w:rFonts w:ascii="宋体" w:hAnsi="宋体" w:cs="宋体"/>
                <w:color w:val="auto"/>
                <w:sz w:val="24"/>
                <w:highlight w:val="none"/>
              </w:rPr>
            </w:pPr>
          </w:p>
        </w:tc>
        <w:tc>
          <w:tcPr>
            <w:tcW w:w="2126" w:type="dxa"/>
            <w:vAlign w:val="center"/>
          </w:tcPr>
          <w:p w14:paraId="502B14B6">
            <w:pPr>
              <w:spacing w:line="360" w:lineRule="auto"/>
              <w:jc w:val="center"/>
              <w:rPr>
                <w:rFonts w:ascii="宋体" w:hAnsi="宋体" w:cs="宋体"/>
                <w:color w:val="auto"/>
                <w:sz w:val="24"/>
                <w:highlight w:val="none"/>
              </w:rPr>
            </w:pPr>
          </w:p>
        </w:tc>
        <w:tc>
          <w:tcPr>
            <w:tcW w:w="2127" w:type="dxa"/>
          </w:tcPr>
          <w:p w14:paraId="6232FE7C">
            <w:pPr>
              <w:spacing w:line="360" w:lineRule="auto"/>
              <w:jc w:val="center"/>
              <w:rPr>
                <w:rFonts w:ascii="宋体" w:hAnsi="宋体" w:cs="宋体"/>
                <w:color w:val="auto"/>
                <w:sz w:val="24"/>
                <w:highlight w:val="none"/>
              </w:rPr>
            </w:pPr>
          </w:p>
        </w:tc>
        <w:tc>
          <w:tcPr>
            <w:tcW w:w="2126" w:type="dxa"/>
            <w:vAlign w:val="center"/>
          </w:tcPr>
          <w:p w14:paraId="6B370D9F">
            <w:pPr>
              <w:spacing w:line="360" w:lineRule="auto"/>
              <w:jc w:val="center"/>
              <w:rPr>
                <w:rFonts w:ascii="宋体" w:hAnsi="宋体" w:cs="宋体"/>
                <w:color w:val="auto"/>
                <w:sz w:val="24"/>
                <w:highlight w:val="none"/>
              </w:rPr>
            </w:pPr>
          </w:p>
        </w:tc>
      </w:tr>
      <w:tr w14:paraId="6397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BE039B">
            <w:pPr>
              <w:spacing w:line="360" w:lineRule="auto"/>
              <w:jc w:val="center"/>
              <w:rPr>
                <w:rFonts w:ascii="宋体" w:hAnsi="宋体" w:cs="宋体"/>
                <w:color w:val="auto"/>
                <w:sz w:val="24"/>
                <w:highlight w:val="none"/>
              </w:rPr>
            </w:pPr>
          </w:p>
        </w:tc>
        <w:tc>
          <w:tcPr>
            <w:tcW w:w="1253" w:type="dxa"/>
            <w:vAlign w:val="center"/>
          </w:tcPr>
          <w:p w14:paraId="758D2DCC">
            <w:pPr>
              <w:snapToGrid w:val="0"/>
              <w:spacing w:line="360" w:lineRule="auto"/>
              <w:jc w:val="center"/>
              <w:rPr>
                <w:rFonts w:ascii="宋体" w:hAnsi="宋体" w:cs="宋体"/>
                <w:color w:val="auto"/>
                <w:sz w:val="24"/>
                <w:highlight w:val="none"/>
              </w:rPr>
            </w:pPr>
          </w:p>
        </w:tc>
        <w:tc>
          <w:tcPr>
            <w:tcW w:w="2007" w:type="dxa"/>
            <w:vAlign w:val="center"/>
          </w:tcPr>
          <w:p w14:paraId="208BD94C">
            <w:pPr>
              <w:snapToGrid w:val="0"/>
              <w:spacing w:line="360" w:lineRule="auto"/>
              <w:jc w:val="center"/>
              <w:rPr>
                <w:rFonts w:ascii="宋体" w:hAnsi="宋体" w:cs="宋体"/>
                <w:color w:val="auto"/>
                <w:sz w:val="24"/>
                <w:highlight w:val="none"/>
              </w:rPr>
            </w:pPr>
          </w:p>
        </w:tc>
        <w:tc>
          <w:tcPr>
            <w:tcW w:w="2410" w:type="dxa"/>
            <w:vAlign w:val="center"/>
          </w:tcPr>
          <w:p w14:paraId="73E9B7AE">
            <w:pPr>
              <w:snapToGrid w:val="0"/>
              <w:spacing w:line="360" w:lineRule="auto"/>
              <w:jc w:val="center"/>
              <w:rPr>
                <w:rFonts w:ascii="宋体" w:hAnsi="宋体" w:cs="宋体"/>
                <w:color w:val="auto"/>
                <w:sz w:val="24"/>
                <w:highlight w:val="none"/>
              </w:rPr>
            </w:pPr>
          </w:p>
        </w:tc>
        <w:tc>
          <w:tcPr>
            <w:tcW w:w="2268" w:type="dxa"/>
            <w:vAlign w:val="center"/>
          </w:tcPr>
          <w:p w14:paraId="2844B1D8">
            <w:pPr>
              <w:snapToGrid w:val="0"/>
              <w:spacing w:line="360" w:lineRule="auto"/>
              <w:jc w:val="center"/>
              <w:rPr>
                <w:rFonts w:ascii="宋体" w:hAnsi="宋体" w:cs="宋体"/>
                <w:color w:val="auto"/>
                <w:sz w:val="24"/>
                <w:highlight w:val="none"/>
              </w:rPr>
            </w:pPr>
          </w:p>
        </w:tc>
        <w:tc>
          <w:tcPr>
            <w:tcW w:w="2126" w:type="dxa"/>
            <w:vAlign w:val="center"/>
          </w:tcPr>
          <w:p w14:paraId="31C4E43C">
            <w:pPr>
              <w:spacing w:line="360" w:lineRule="auto"/>
              <w:jc w:val="center"/>
              <w:rPr>
                <w:rFonts w:ascii="宋体" w:hAnsi="宋体" w:cs="宋体"/>
                <w:color w:val="auto"/>
                <w:sz w:val="24"/>
                <w:highlight w:val="none"/>
              </w:rPr>
            </w:pPr>
          </w:p>
        </w:tc>
        <w:tc>
          <w:tcPr>
            <w:tcW w:w="2127" w:type="dxa"/>
          </w:tcPr>
          <w:p w14:paraId="5BC9802C">
            <w:pPr>
              <w:spacing w:line="360" w:lineRule="auto"/>
              <w:jc w:val="center"/>
              <w:rPr>
                <w:rFonts w:ascii="宋体" w:hAnsi="宋体" w:cs="宋体"/>
                <w:color w:val="auto"/>
                <w:sz w:val="24"/>
                <w:highlight w:val="none"/>
              </w:rPr>
            </w:pPr>
          </w:p>
        </w:tc>
        <w:tc>
          <w:tcPr>
            <w:tcW w:w="2126" w:type="dxa"/>
            <w:vAlign w:val="center"/>
          </w:tcPr>
          <w:p w14:paraId="4F63E3BE">
            <w:pPr>
              <w:spacing w:line="360" w:lineRule="auto"/>
              <w:jc w:val="center"/>
              <w:rPr>
                <w:rFonts w:ascii="宋体" w:hAnsi="宋体" w:cs="宋体"/>
                <w:color w:val="auto"/>
                <w:sz w:val="24"/>
                <w:highlight w:val="none"/>
              </w:rPr>
            </w:pPr>
          </w:p>
        </w:tc>
      </w:tr>
      <w:tr w14:paraId="6C64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7AA54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58C7EB4">
            <w:pPr>
              <w:spacing w:line="360" w:lineRule="auto"/>
              <w:jc w:val="center"/>
              <w:rPr>
                <w:rFonts w:ascii="宋体" w:hAnsi="宋体" w:cs="宋体"/>
                <w:color w:val="auto"/>
                <w:sz w:val="24"/>
                <w:highlight w:val="none"/>
              </w:rPr>
            </w:pPr>
          </w:p>
        </w:tc>
      </w:tr>
      <w:tr w14:paraId="72E5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7C8AA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AD99A60">
            <w:pPr>
              <w:spacing w:line="360" w:lineRule="auto"/>
              <w:jc w:val="center"/>
              <w:rPr>
                <w:rFonts w:ascii="宋体" w:hAnsi="宋体" w:cs="宋体"/>
                <w:color w:val="auto"/>
                <w:sz w:val="24"/>
                <w:highlight w:val="none"/>
              </w:rPr>
            </w:pPr>
          </w:p>
        </w:tc>
      </w:tr>
    </w:tbl>
    <w:p w14:paraId="593EE01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D5B922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AC029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599FFB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EC1F3CD">
      <w:pPr>
        <w:spacing w:line="360" w:lineRule="auto"/>
        <w:ind w:firstLine="482" w:firstLineChars="200"/>
        <w:rPr>
          <w:rFonts w:ascii="宋体" w:hAnsi="宋体" w:cs="宋体"/>
          <w:b/>
          <w:color w:val="auto"/>
          <w:kern w:val="0"/>
          <w:sz w:val="24"/>
          <w:highlight w:val="none"/>
        </w:rPr>
      </w:pPr>
    </w:p>
    <w:p w14:paraId="0B49EF4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4B9A66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E440F6">
      <w:pPr>
        <w:pStyle w:val="693"/>
        <w:keepNext w:val="0"/>
        <w:numPr>
          <w:ilvl w:val="0"/>
          <w:numId w:val="2"/>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5A33415F">
      <w:pPr>
        <w:pStyle w:val="6"/>
        <w:keepNext w:val="0"/>
        <w:numPr>
          <w:ilvl w:val="255"/>
          <w:numId w:val="0"/>
        </w:numPr>
        <w:tabs>
          <w:tab w:val="clear" w:pos="432"/>
        </w:tabs>
        <w:snapToGrid w:val="0"/>
        <w:spacing w:before="120" w:after="12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51C6445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3157CEB">
      <w:pPr>
        <w:pStyle w:val="80"/>
        <w:ind w:firstLine="482"/>
        <w:rPr>
          <w:rFonts w:ascii="宋体" w:hAnsi="宋体" w:cs="宋体"/>
          <w:b/>
          <w:color w:val="auto"/>
          <w:sz w:val="24"/>
          <w:highlight w:val="none"/>
        </w:rPr>
      </w:pPr>
    </w:p>
    <w:p w14:paraId="7809F6BE">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9A69EB3">
      <w:pPr>
        <w:spacing w:line="360" w:lineRule="auto"/>
        <w:ind w:right="420" w:firstLine="3614" w:firstLineChars="1000"/>
        <w:rPr>
          <w:rFonts w:ascii="宋体" w:hAnsi="宋体" w:cs="宋体"/>
          <w:b/>
          <w:color w:val="auto"/>
          <w:kern w:val="0"/>
          <w:sz w:val="36"/>
          <w:szCs w:val="36"/>
          <w:highlight w:val="none"/>
        </w:rPr>
      </w:pPr>
    </w:p>
    <w:p w14:paraId="1E1B7654">
      <w:pPr>
        <w:spacing w:line="360" w:lineRule="auto"/>
        <w:ind w:right="420" w:firstLine="3614" w:firstLineChars="1000"/>
        <w:rPr>
          <w:rFonts w:ascii="宋体" w:hAnsi="宋体" w:cs="宋体"/>
          <w:b/>
          <w:color w:val="auto"/>
          <w:kern w:val="0"/>
          <w:sz w:val="36"/>
          <w:szCs w:val="36"/>
          <w:highlight w:val="none"/>
        </w:rPr>
      </w:pPr>
    </w:p>
    <w:p w14:paraId="1A4E7E24">
      <w:pPr>
        <w:spacing w:line="360" w:lineRule="auto"/>
        <w:ind w:right="420" w:firstLine="3614" w:firstLineChars="1000"/>
        <w:rPr>
          <w:rFonts w:ascii="宋体" w:hAnsi="宋体" w:cs="宋体"/>
          <w:b/>
          <w:color w:val="auto"/>
          <w:kern w:val="0"/>
          <w:sz w:val="36"/>
          <w:szCs w:val="36"/>
          <w:highlight w:val="none"/>
        </w:rPr>
      </w:pPr>
    </w:p>
    <w:p w14:paraId="09C250B3">
      <w:pPr>
        <w:spacing w:line="360" w:lineRule="auto"/>
        <w:ind w:right="420" w:firstLine="3614" w:firstLineChars="1000"/>
        <w:rPr>
          <w:rFonts w:ascii="宋体" w:hAnsi="宋体" w:cs="宋体"/>
          <w:b/>
          <w:color w:val="auto"/>
          <w:kern w:val="0"/>
          <w:sz w:val="36"/>
          <w:szCs w:val="36"/>
          <w:highlight w:val="none"/>
        </w:rPr>
      </w:pPr>
    </w:p>
    <w:p w14:paraId="2CC6A9BD">
      <w:pPr>
        <w:spacing w:line="360" w:lineRule="auto"/>
        <w:ind w:right="420" w:firstLine="3614" w:firstLineChars="1000"/>
        <w:rPr>
          <w:rFonts w:ascii="宋体" w:hAnsi="宋体" w:cs="宋体"/>
          <w:b/>
          <w:color w:val="auto"/>
          <w:kern w:val="0"/>
          <w:sz w:val="36"/>
          <w:szCs w:val="36"/>
          <w:highlight w:val="none"/>
        </w:rPr>
      </w:pPr>
    </w:p>
    <w:p w14:paraId="480B47B1">
      <w:pPr>
        <w:spacing w:line="360" w:lineRule="auto"/>
        <w:ind w:right="420" w:firstLine="3614" w:firstLineChars="1000"/>
        <w:rPr>
          <w:rFonts w:ascii="宋体" w:hAnsi="宋体" w:cs="宋体"/>
          <w:b/>
          <w:color w:val="auto"/>
          <w:kern w:val="0"/>
          <w:sz w:val="36"/>
          <w:szCs w:val="36"/>
          <w:highlight w:val="none"/>
        </w:rPr>
      </w:pPr>
    </w:p>
    <w:p w14:paraId="3A96C3BD">
      <w:pPr>
        <w:spacing w:line="360" w:lineRule="auto"/>
        <w:ind w:right="420" w:firstLine="3614" w:firstLineChars="1000"/>
        <w:rPr>
          <w:rFonts w:ascii="宋体" w:hAnsi="宋体" w:cs="宋体"/>
          <w:b/>
          <w:color w:val="auto"/>
          <w:kern w:val="0"/>
          <w:sz w:val="36"/>
          <w:szCs w:val="36"/>
          <w:highlight w:val="none"/>
        </w:rPr>
      </w:pPr>
    </w:p>
    <w:p w14:paraId="59D94119">
      <w:pPr>
        <w:spacing w:line="360" w:lineRule="auto"/>
        <w:ind w:right="420" w:firstLine="3614" w:firstLineChars="1000"/>
        <w:rPr>
          <w:rFonts w:ascii="宋体" w:hAnsi="宋体" w:cs="宋体"/>
          <w:b/>
          <w:color w:val="auto"/>
          <w:kern w:val="0"/>
          <w:sz w:val="36"/>
          <w:szCs w:val="36"/>
          <w:highlight w:val="none"/>
        </w:rPr>
      </w:pPr>
    </w:p>
    <w:p w14:paraId="63F8B60C">
      <w:pPr>
        <w:spacing w:line="360" w:lineRule="auto"/>
        <w:ind w:right="420" w:firstLine="3614" w:firstLineChars="1000"/>
        <w:rPr>
          <w:rFonts w:ascii="宋体" w:hAnsi="宋体" w:cs="宋体"/>
          <w:b/>
          <w:color w:val="auto"/>
          <w:kern w:val="0"/>
          <w:sz w:val="36"/>
          <w:szCs w:val="36"/>
          <w:highlight w:val="none"/>
        </w:rPr>
      </w:pPr>
    </w:p>
    <w:p w14:paraId="175AA80C">
      <w:pPr>
        <w:spacing w:line="360" w:lineRule="auto"/>
        <w:ind w:right="420" w:firstLine="3614" w:firstLineChars="1000"/>
        <w:rPr>
          <w:rFonts w:ascii="宋体" w:hAnsi="宋体" w:cs="宋体"/>
          <w:b/>
          <w:color w:val="auto"/>
          <w:kern w:val="0"/>
          <w:sz w:val="36"/>
          <w:szCs w:val="36"/>
          <w:highlight w:val="none"/>
        </w:rPr>
      </w:pPr>
    </w:p>
    <w:p w14:paraId="27DF8231">
      <w:pPr>
        <w:spacing w:line="360" w:lineRule="auto"/>
        <w:ind w:right="420" w:firstLine="3614" w:firstLineChars="1000"/>
        <w:rPr>
          <w:rFonts w:ascii="宋体" w:hAnsi="宋体" w:cs="宋体"/>
          <w:b/>
          <w:color w:val="auto"/>
          <w:kern w:val="0"/>
          <w:sz w:val="36"/>
          <w:szCs w:val="36"/>
          <w:highlight w:val="none"/>
        </w:rPr>
      </w:pPr>
    </w:p>
    <w:p w14:paraId="1F7EDEB3">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2F0DBC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1172151">
      <w:pPr>
        <w:spacing w:line="360" w:lineRule="auto"/>
        <w:jc w:val="center"/>
        <w:rPr>
          <w:rFonts w:ascii="宋体" w:hAnsi="宋体" w:cs="宋体"/>
          <w:b/>
          <w:color w:val="auto"/>
          <w:spacing w:val="6"/>
          <w:sz w:val="32"/>
          <w:szCs w:val="32"/>
          <w:highlight w:val="none"/>
        </w:rPr>
      </w:pPr>
      <w:bookmarkStart w:id="400" w:name="OLE_LINK14"/>
      <w:bookmarkStart w:id="401" w:name="OLE_LINK13"/>
      <w:r>
        <w:rPr>
          <w:rFonts w:hint="eastAsia" w:ascii="宋体" w:hAnsi="宋体" w:cs="宋体"/>
          <w:b/>
          <w:color w:val="auto"/>
          <w:spacing w:val="6"/>
          <w:sz w:val="32"/>
          <w:szCs w:val="32"/>
          <w:highlight w:val="none"/>
        </w:rPr>
        <w:t>残疾人福利性单位声明函</w:t>
      </w:r>
    </w:p>
    <w:bookmarkEnd w:id="400"/>
    <w:bookmarkEnd w:id="401"/>
    <w:p w14:paraId="289004C6">
      <w:pPr>
        <w:spacing w:line="360" w:lineRule="auto"/>
        <w:rPr>
          <w:rFonts w:ascii="宋体" w:hAnsi="宋体" w:cs="宋体"/>
          <w:b/>
          <w:color w:val="auto"/>
          <w:spacing w:val="6"/>
          <w:sz w:val="30"/>
          <w:szCs w:val="30"/>
          <w:highlight w:val="none"/>
        </w:rPr>
      </w:pPr>
    </w:p>
    <w:p w14:paraId="0A8F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4F9AC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A56B889">
      <w:pPr>
        <w:spacing w:line="360" w:lineRule="auto"/>
        <w:ind w:firstLine="480" w:firstLineChars="200"/>
        <w:rPr>
          <w:rFonts w:ascii="宋体" w:hAnsi="宋体" w:cs="宋体"/>
          <w:color w:val="auto"/>
          <w:sz w:val="24"/>
          <w:highlight w:val="none"/>
        </w:rPr>
      </w:pPr>
    </w:p>
    <w:p w14:paraId="2757BC8A">
      <w:pPr>
        <w:spacing w:line="360" w:lineRule="auto"/>
        <w:ind w:firstLine="480" w:firstLineChars="200"/>
        <w:rPr>
          <w:rFonts w:ascii="宋体" w:hAnsi="宋体" w:cs="宋体"/>
          <w:color w:val="auto"/>
          <w:sz w:val="24"/>
          <w:highlight w:val="none"/>
        </w:rPr>
      </w:pPr>
    </w:p>
    <w:p w14:paraId="6F97911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67D7FE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20BAA3D">
      <w:pPr>
        <w:spacing w:line="360" w:lineRule="auto"/>
        <w:ind w:firstLine="480" w:firstLineChars="200"/>
        <w:rPr>
          <w:rFonts w:ascii="宋体" w:hAnsi="宋体" w:cs="宋体"/>
          <w:color w:val="auto"/>
          <w:sz w:val="24"/>
          <w:highlight w:val="none"/>
        </w:rPr>
      </w:pPr>
    </w:p>
    <w:p w14:paraId="1CFFCFD2">
      <w:pPr>
        <w:spacing w:line="360" w:lineRule="auto"/>
        <w:ind w:firstLine="420" w:firstLineChars="200"/>
        <w:rPr>
          <w:rFonts w:ascii="宋体" w:hAnsi="宋体" w:cs="宋体"/>
          <w:color w:val="auto"/>
          <w:highlight w:val="none"/>
        </w:rPr>
      </w:pPr>
    </w:p>
    <w:p w14:paraId="07120077">
      <w:pPr>
        <w:spacing w:line="360" w:lineRule="auto"/>
        <w:ind w:firstLine="420" w:firstLineChars="200"/>
        <w:rPr>
          <w:rFonts w:ascii="宋体" w:hAnsi="宋体" w:cs="宋体"/>
          <w:color w:val="auto"/>
          <w:highlight w:val="none"/>
        </w:rPr>
      </w:pPr>
    </w:p>
    <w:p w14:paraId="7BE05CE0">
      <w:pPr>
        <w:spacing w:line="360" w:lineRule="auto"/>
        <w:ind w:firstLine="420" w:firstLineChars="200"/>
        <w:rPr>
          <w:rFonts w:ascii="宋体" w:hAnsi="宋体" w:cs="宋体"/>
          <w:color w:val="auto"/>
          <w:highlight w:val="none"/>
        </w:rPr>
      </w:pPr>
    </w:p>
    <w:p w14:paraId="0AE573B4">
      <w:pPr>
        <w:spacing w:line="360" w:lineRule="auto"/>
        <w:ind w:firstLine="420" w:firstLineChars="200"/>
        <w:rPr>
          <w:rFonts w:ascii="宋体" w:hAnsi="宋体" w:cs="宋体"/>
          <w:color w:val="auto"/>
          <w:highlight w:val="none"/>
        </w:rPr>
      </w:pPr>
    </w:p>
    <w:p w14:paraId="14C26464">
      <w:pPr>
        <w:spacing w:line="360" w:lineRule="auto"/>
        <w:rPr>
          <w:rFonts w:ascii="宋体" w:hAnsi="宋体" w:cs="宋体"/>
          <w:b/>
          <w:color w:val="auto"/>
          <w:sz w:val="24"/>
          <w:highlight w:val="none"/>
        </w:rPr>
      </w:pPr>
    </w:p>
    <w:p w14:paraId="58A12FA0">
      <w:pPr>
        <w:spacing w:line="360" w:lineRule="auto"/>
        <w:rPr>
          <w:rFonts w:ascii="宋体" w:hAnsi="宋体" w:cs="宋体"/>
          <w:b/>
          <w:color w:val="auto"/>
          <w:sz w:val="24"/>
          <w:highlight w:val="none"/>
        </w:rPr>
      </w:pPr>
    </w:p>
    <w:p w14:paraId="7C830A38">
      <w:pPr>
        <w:spacing w:line="360" w:lineRule="auto"/>
        <w:rPr>
          <w:rFonts w:ascii="宋体" w:hAnsi="宋体" w:cs="宋体"/>
          <w:b/>
          <w:color w:val="auto"/>
          <w:sz w:val="24"/>
          <w:highlight w:val="none"/>
        </w:rPr>
      </w:pPr>
    </w:p>
    <w:p w14:paraId="59595A6E">
      <w:pPr>
        <w:spacing w:line="360" w:lineRule="auto"/>
        <w:rPr>
          <w:rFonts w:ascii="宋体" w:hAnsi="宋体" w:cs="宋体"/>
          <w:b/>
          <w:color w:val="auto"/>
          <w:sz w:val="24"/>
          <w:highlight w:val="none"/>
        </w:rPr>
      </w:pPr>
    </w:p>
    <w:p w14:paraId="098A710E">
      <w:pPr>
        <w:spacing w:line="360" w:lineRule="auto"/>
        <w:rPr>
          <w:rFonts w:ascii="宋体" w:hAnsi="宋体" w:cs="宋体"/>
          <w:b/>
          <w:color w:val="auto"/>
          <w:sz w:val="24"/>
          <w:highlight w:val="none"/>
        </w:rPr>
      </w:pPr>
    </w:p>
    <w:p w14:paraId="38D806F0">
      <w:pPr>
        <w:spacing w:line="360" w:lineRule="auto"/>
        <w:rPr>
          <w:rFonts w:ascii="宋体" w:hAnsi="宋体" w:cs="宋体"/>
          <w:b/>
          <w:color w:val="auto"/>
          <w:sz w:val="24"/>
          <w:highlight w:val="none"/>
        </w:rPr>
      </w:pPr>
    </w:p>
    <w:p w14:paraId="1A1C41B6">
      <w:pPr>
        <w:spacing w:line="360" w:lineRule="auto"/>
        <w:rPr>
          <w:rFonts w:ascii="宋体" w:hAnsi="宋体" w:cs="宋体"/>
          <w:b/>
          <w:color w:val="auto"/>
          <w:sz w:val="24"/>
          <w:highlight w:val="none"/>
        </w:rPr>
      </w:pPr>
    </w:p>
    <w:p w14:paraId="5E7D419E">
      <w:pPr>
        <w:spacing w:line="360" w:lineRule="auto"/>
        <w:rPr>
          <w:rFonts w:ascii="宋体" w:hAnsi="宋体" w:cs="宋体"/>
          <w:b/>
          <w:color w:val="auto"/>
          <w:sz w:val="24"/>
          <w:highlight w:val="none"/>
        </w:rPr>
      </w:pPr>
    </w:p>
    <w:p w14:paraId="6232AA64">
      <w:pPr>
        <w:spacing w:line="360" w:lineRule="auto"/>
        <w:rPr>
          <w:rFonts w:ascii="宋体" w:hAnsi="宋体" w:cs="宋体"/>
          <w:b/>
          <w:color w:val="auto"/>
          <w:sz w:val="24"/>
          <w:highlight w:val="none"/>
        </w:rPr>
      </w:pPr>
    </w:p>
    <w:p w14:paraId="14EE484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EC48A0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7AEF33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37A8C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A87D3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A3110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BDDFE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FA9EC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D576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69540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67924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1FBE1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68CF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83870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697730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B4AA8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2D1C3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F1435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ADBC4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25C2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27E2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6E44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96248A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17059F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829DA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6BF8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C823913">
      <w:pPr>
        <w:spacing w:line="360" w:lineRule="auto"/>
        <w:jc w:val="center"/>
        <w:rPr>
          <w:rFonts w:ascii="宋体" w:hAnsi="宋体" w:cs="宋体"/>
          <w:b/>
          <w:bCs/>
          <w:color w:val="auto"/>
          <w:sz w:val="24"/>
          <w:highlight w:val="none"/>
        </w:rPr>
      </w:pPr>
    </w:p>
    <w:p w14:paraId="6FB8458F">
      <w:pPr>
        <w:spacing w:line="360" w:lineRule="auto"/>
        <w:rPr>
          <w:rFonts w:ascii="宋体" w:hAnsi="宋体" w:cs="宋体"/>
          <w:b/>
          <w:color w:val="auto"/>
          <w:sz w:val="24"/>
          <w:highlight w:val="none"/>
        </w:rPr>
      </w:pPr>
    </w:p>
    <w:p w14:paraId="5610DDAD">
      <w:pPr>
        <w:spacing w:line="360" w:lineRule="auto"/>
        <w:rPr>
          <w:rFonts w:ascii="宋体" w:hAnsi="宋体" w:cs="宋体"/>
          <w:b/>
          <w:color w:val="auto"/>
          <w:sz w:val="24"/>
          <w:highlight w:val="none"/>
        </w:rPr>
      </w:pPr>
    </w:p>
    <w:p w14:paraId="52FA22F1">
      <w:pPr>
        <w:spacing w:line="360" w:lineRule="auto"/>
        <w:rPr>
          <w:rFonts w:ascii="宋体" w:hAnsi="宋体" w:cs="宋体"/>
          <w:b/>
          <w:color w:val="auto"/>
          <w:sz w:val="24"/>
          <w:highlight w:val="none"/>
        </w:rPr>
      </w:pPr>
    </w:p>
    <w:p w14:paraId="1826AA0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7B722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F792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A2060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B9095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A6155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914D3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9A0594">
      <w:pPr>
        <w:widowControl/>
        <w:spacing w:line="360" w:lineRule="auto"/>
        <w:ind w:firstLine="600" w:firstLineChars="200"/>
        <w:jc w:val="left"/>
        <w:rPr>
          <w:rFonts w:ascii="宋体" w:hAnsi="宋体" w:cs="宋体"/>
          <w:color w:val="auto"/>
          <w:sz w:val="30"/>
          <w:szCs w:val="30"/>
          <w:highlight w:val="none"/>
        </w:rPr>
      </w:pPr>
    </w:p>
    <w:p w14:paraId="317621E1">
      <w:pPr>
        <w:spacing w:line="360" w:lineRule="auto"/>
        <w:jc w:val="center"/>
        <w:rPr>
          <w:rFonts w:ascii="宋体" w:hAnsi="宋体" w:cs="宋体"/>
          <w:b/>
          <w:color w:val="auto"/>
          <w:spacing w:val="6"/>
          <w:sz w:val="32"/>
          <w:szCs w:val="32"/>
          <w:highlight w:val="none"/>
        </w:rPr>
      </w:pPr>
    </w:p>
    <w:p w14:paraId="1FEFC182">
      <w:pPr>
        <w:spacing w:line="360" w:lineRule="auto"/>
        <w:jc w:val="center"/>
        <w:rPr>
          <w:rFonts w:ascii="宋体" w:hAnsi="宋体" w:cs="宋体"/>
          <w:b/>
          <w:color w:val="auto"/>
          <w:spacing w:val="6"/>
          <w:sz w:val="32"/>
          <w:szCs w:val="32"/>
          <w:highlight w:val="none"/>
        </w:rPr>
      </w:pPr>
    </w:p>
    <w:p w14:paraId="7E08C229">
      <w:pPr>
        <w:spacing w:line="360" w:lineRule="auto"/>
        <w:jc w:val="center"/>
        <w:rPr>
          <w:rFonts w:ascii="宋体" w:hAnsi="宋体" w:cs="宋体"/>
          <w:b/>
          <w:color w:val="auto"/>
          <w:spacing w:val="6"/>
          <w:sz w:val="32"/>
          <w:szCs w:val="32"/>
          <w:highlight w:val="none"/>
        </w:rPr>
      </w:pPr>
    </w:p>
    <w:p w14:paraId="7A6F1E56">
      <w:pPr>
        <w:spacing w:line="360" w:lineRule="auto"/>
        <w:jc w:val="center"/>
        <w:rPr>
          <w:rFonts w:ascii="宋体" w:hAnsi="宋体" w:cs="宋体"/>
          <w:b/>
          <w:color w:val="auto"/>
          <w:spacing w:val="6"/>
          <w:sz w:val="32"/>
          <w:szCs w:val="32"/>
          <w:highlight w:val="none"/>
        </w:rPr>
      </w:pPr>
    </w:p>
    <w:p w14:paraId="25FBF07E">
      <w:pPr>
        <w:spacing w:line="360" w:lineRule="auto"/>
        <w:jc w:val="center"/>
        <w:rPr>
          <w:rFonts w:ascii="宋体" w:hAnsi="宋体" w:cs="宋体"/>
          <w:b/>
          <w:color w:val="auto"/>
          <w:spacing w:val="6"/>
          <w:sz w:val="32"/>
          <w:szCs w:val="32"/>
          <w:highlight w:val="none"/>
        </w:rPr>
      </w:pPr>
    </w:p>
    <w:p w14:paraId="2BE76762">
      <w:pPr>
        <w:spacing w:line="360" w:lineRule="auto"/>
        <w:jc w:val="center"/>
        <w:rPr>
          <w:rFonts w:ascii="宋体" w:hAnsi="宋体" w:cs="宋体"/>
          <w:b/>
          <w:color w:val="auto"/>
          <w:spacing w:val="6"/>
          <w:sz w:val="32"/>
          <w:szCs w:val="32"/>
          <w:highlight w:val="none"/>
        </w:rPr>
      </w:pPr>
    </w:p>
    <w:p w14:paraId="558A161D">
      <w:pPr>
        <w:spacing w:line="360" w:lineRule="auto"/>
        <w:jc w:val="center"/>
        <w:rPr>
          <w:rFonts w:ascii="宋体" w:hAnsi="宋体" w:cs="宋体"/>
          <w:b/>
          <w:color w:val="auto"/>
          <w:spacing w:val="6"/>
          <w:sz w:val="32"/>
          <w:szCs w:val="32"/>
          <w:highlight w:val="none"/>
        </w:rPr>
      </w:pPr>
    </w:p>
    <w:p w14:paraId="5DF04353">
      <w:pPr>
        <w:spacing w:line="360" w:lineRule="auto"/>
        <w:jc w:val="center"/>
        <w:rPr>
          <w:rFonts w:ascii="宋体" w:hAnsi="宋体" w:cs="宋体"/>
          <w:b/>
          <w:color w:val="auto"/>
          <w:spacing w:val="6"/>
          <w:sz w:val="32"/>
          <w:szCs w:val="32"/>
          <w:highlight w:val="none"/>
        </w:rPr>
      </w:pPr>
    </w:p>
    <w:p w14:paraId="6C8F5C20">
      <w:pPr>
        <w:spacing w:line="360" w:lineRule="auto"/>
        <w:jc w:val="center"/>
        <w:rPr>
          <w:rFonts w:ascii="宋体" w:hAnsi="宋体" w:cs="宋体"/>
          <w:b/>
          <w:color w:val="auto"/>
          <w:spacing w:val="6"/>
          <w:sz w:val="32"/>
          <w:szCs w:val="32"/>
          <w:highlight w:val="none"/>
        </w:rPr>
      </w:pPr>
    </w:p>
    <w:p w14:paraId="6919D345">
      <w:pPr>
        <w:spacing w:line="360" w:lineRule="auto"/>
        <w:jc w:val="center"/>
        <w:rPr>
          <w:rFonts w:ascii="宋体" w:hAnsi="宋体" w:cs="宋体"/>
          <w:b/>
          <w:color w:val="auto"/>
          <w:spacing w:val="6"/>
          <w:sz w:val="32"/>
          <w:szCs w:val="32"/>
          <w:highlight w:val="none"/>
        </w:rPr>
      </w:pPr>
    </w:p>
    <w:p w14:paraId="45966C2C">
      <w:pPr>
        <w:spacing w:line="360" w:lineRule="auto"/>
        <w:jc w:val="center"/>
        <w:rPr>
          <w:rFonts w:ascii="宋体" w:hAnsi="宋体" w:cs="宋体"/>
          <w:b/>
          <w:color w:val="auto"/>
          <w:spacing w:val="6"/>
          <w:sz w:val="32"/>
          <w:szCs w:val="32"/>
          <w:highlight w:val="none"/>
        </w:rPr>
      </w:pPr>
    </w:p>
    <w:p w14:paraId="0307CD80">
      <w:pPr>
        <w:spacing w:line="360" w:lineRule="auto"/>
        <w:jc w:val="center"/>
        <w:rPr>
          <w:rFonts w:ascii="宋体" w:hAnsi="宋体" w:cs="宋体"/>
          <w:b/>
          <w:color w:val="auto"/>
          <w:spacing w:val="6"/>
          <w:sz w:val="32"/>
          <w:szCs w:val="32"/>
          <w:highlight w:val="none"/>
        </w:rPr>
      </w:pPr>
    </w:p>
    <w:p w14:paraId="376BD037">
      <w:pPr>
        <w:spacing w:line="360" w:lineRule="auto"/>
        <w:jc w:val="left"/>
        <w:rPr>
          <w:rFonts w:ascii="宋体" w:hAnsi="宋体" w:cs="宋体"/>
          <w:b/>
          <w:color w:val="auto"/>
          <w:spacing w:val="6"/>
          <w:sz w:val="32"/>
          <w:szCs w:val="32"/>
          <w:highlight w:val="none"/>
        </w:rPr>
      </w:pPr>
    </w:p>
    <w:p w14:paraId="753375D9">
      <w:pPr>
        <w:spacing w:line="360" w:lineRule="auto"/>
        <w:jc w:val="left"/>
        <w:rPr>
          <w:rFonts w:ascii="宋体" w:hAnsi="宋体" w:cs="宋体"/>
          <w:b/>
          <w:color w:val="auto"/>
          <w:spacing w:val="6"/>
          <w:sz w:val="32"/>
          <w:szCs w:val="32"/>
          <w:highlight w:val="none"/>
        </w:rPr>
      </w:pPr>
    </w:p>
    <w:p w14:paraId="25D5114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4AEB78C">
      <w:pPr>
        <w:spacing w:line="360" w:lineRule="auto"/>
        <w:jc w:val="center"/>
        <w:rPr>
          <w:rFonts w:ascii="宋体" w:hAnsi="宋体" w:cs="宋体"/>
          <w:b/>
          <w:color w:val="auto"/>
          <w:sz w:val="24"/>
          <w:highlight w:val="none"/>
        </w:rPr>
      </w:pPr>
    </w:p>
    <w:p w14:paraId="630CD04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651DDD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6D341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2996F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37AD9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AC5FA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A52C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83B2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9BA6E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242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149D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E69CC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6BF1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FD1D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F155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FD44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EDE0E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810ED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D8AE8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0078F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1E58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8DED5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AC8C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203B1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702941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8031D0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57ECC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911F4C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A4F83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CD1986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C8F4B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F1F3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4C90D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7D2CD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D29E4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FB9075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1F9864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7681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0CCEF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28832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FF446F">
      <w:pPr>
        <w:spacing w:line="360" w:lineRule="auto"/>
        <w:rPr>
          <w:rFonts w:ascii="宋体" w:hAnsi="宋体" w:cs="宋体"/>
          <w:b/>
          <w:color w:val="auto"/>
          <w:sz w:val="24"/>
          <w:highlight w:val="none"/>
        </w:rPr>
      </w:pPr>
    </w:p>
    <w:p w14:paraId="3DBC2826">
      <w:pPr>
        <w:spacing w:line="360" w:lineRule="auto"/>
        <w:rPr>
          <w:rFonts w:ascii="宋体" w:hAnsi="宋体" w:cs="宋体"/>
          <w:b/>
          <w:color w:val="auto"/>
          <w:sz w:val="24"/>
          <w:highlight w:val="none"/>
        </w:rPr>
      </w:pPr>
    </w:p>
    <w:p w14:paraId="2A10F6F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86E3BA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9337CF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04788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BFCBC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F9B89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15175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F186B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8937D7">
      <w:pPr>
        <w:spacing w:line="360" w:lineRule="auto"/>
        <w:rPr>
          <w:rFonts w:ascii="宋体" w:hAnsi="宋体" w:cs="宋体"/>
          <w:b/>
          <w:color w:val="auto"/>
          <w:sz w:val="24"/>
          <w:highlight w:val="none"/>
        </w:rPr>
      </w:pPr>
    </w:p>
    <w:p w14:paraId="68F45578">
      <w:pPr>
        <w:autoSpaceDE w:val="0"/>
        <w:autoSpaceDN w:val="0"/>
        <w:jc w:val="center"/>
        <w:rPr>
          <w:rFonts w:ascii="宋体" w:hAnsi="宋体" w:cs="宋体"/>
          <w:b/>
          <w:color w:val="auto"/>
          <w:spacing w:val="6"/>
          <w:sz w:val="32"/>
          <w:szCs w:val="32"/>
          <w:highlight w:val="none"/>
        </w:rPr>
      </w:pPr>
    </w:p>
    <w:p w14:paraId="506520B1">
      <w:pPr>
        <w:autoSpaceDE w:val="0"/>
        <w:autoSpaceDN w:val="0"/>
        <w:jc w:val="center"/>
        <w:rPr>
          <w:rFonts w:ascii="宋体" w:hAnsi="宋体" w:cs="宋体"/>
          <w:b/>
          <w:color w:val="auto"/>
          <w:spacing w:val="6"/>
          <w:sz w:val="32"/>
          <w:szCs w:val="32"/>
          <w:highlight w:val="none"/>
        </w:rPr>
      </w:pPr>
    </w:p>
    <w:p w14:paraId="04FB5D5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588D8A4">
      <w:pPr>
        <w:spacing w:line="360" w:lineRule="auto"/>
        <w:rPr>
          <w:rFonts w:ascii="宋体" w:hAnsi="宋体" w:cs="宋体"/>
          <w:color w:val="auto"/>
          <w:sz w:val="24"/>
          <w:highlight w:val="none"/>
          <w:u w:val="single"/>
        </w:rPr>
      </w:pPr>
    </w:p>
    <w:p w14:paraId="0DF0AB7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F28B79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484D5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14B0208">
      <w:pPr>
        <w:spacing w:line="360" w:lineRule="auto"/>
        <w:ind w:firstLine="494"/>
        <w:rPr>
          <w:rFonts w:ascii="宋体" w:hAnsi="宋体" w:cs="宋体"/>
          <w:color w:val="auto"/>
          <w:sz w:val="24"/>
          <w:highlight w:val="none"/>
        </w:rPr>
      </w:pPr>
    </w:p>
    <w:p w14:paraId="1643A3AD">
      <w:pPr>
        <w:spacing w:line="360" w:lineRule="auto"/>
        <w:ind w:firstLine="494"/>
        <w:rPr>
          <w:rFonts w:ascii="宋体" w:hAnsi="宋体" w:cs="宋体"/>
          <w:color w:val="auto"/>
          <w:sz w:val="24"/>
          <w:highlight w:val="none"/>
        </w:rPr>
      </w:pPr>
    </w:p>
    <w:p w14:paraId="12913652">
      <w:pPr>
        <w:spacing w:line="360" w:lineRule="auto"/>
        <w:ind w:firstLine="494"/>
        <w:rPr>
          <w:rFonts w:ascii="宋体" w:hAnsi="宋体" w:cs="宋体"/>
          <w:color w:val="auto"/>
          <w:sz w:val="24"/>
          <w:highlight w:val="none"/>
        </w:rPr>
      </w:pPr>
    </w:p>
    <w:p w14:paraId="6FCA20D2">
      <w:pPr>
        <w:spacing w:line="360" w:lineRule="auto"/>
        <w:ind w:firstLine="494"/>
        <w:rPr>
          <w:rFonts w:ascii="宋体" w:hAnsi="宋体" w:cs="宋体"/>
          <w:color w:val="auto"/>
          <w:sz w:val="24"/>
          <w:highlight w:val="none"/>
        </w:rPr>
      </w:pPr>
    </w:p>
    <w:p w14:paraId="7D306DC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B3FA2D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B548838">
      <w:pPr>
        <w:rPr>
          <w:rFonts w:ascii="宋体" w:hAnsi="宋体" w:cs="宋体"/>
          <w:color w:val="auto"/>
          <w:sz w:val="24"/>
          <w:highlight w:val="none"/>
        </w:rPr>
      </w:pPr>
      <w:r>
        <w:rPr>
          <w:rFonts w:hint="eastAsia" w:ascii="宋体" w:hAnsi="宋体" w:cs="宋体"/>
          <w:b/>
          <w:bCs/>
          <w:color w:val="auto"/>
          <w:sz w:val="24"/>
          <w:highlight w:val="none"/>
        </w:rPr>
        <w:t>附：</w:t>
      </w:r>
    </w:p>
    <w:p w14:paraId="353143E9">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372E9640">
      <w:pPr>
        <w:autoSpaceDE w:val="0"/>
        <w:autoSpaceDN w:val="0"/>
        <w:jc w:val="center"/>
        <w:rPr>
          <w:rFonts w:ascii="宋体" w:hAnsi="宋体" w:cs="宋体"/>
          <w:b/>
          <w:color w:val="auto"/>
          <w:spacing w:val="6"/>
          <w:sz w:val="32"/>
          <w:szCs w:val="32"/>
          <w:highlight w:val="none"/>
        </w:rPr>
      </w:pPr>
    </w:p>
    <w:p w14:paraId="687D09D8">
      <w:pPr>
        <w:autoSpaceDE w:val="0"/>
        <w:autoSpaceDN w:val="0"/>
        <w:jc w:val="center"/>
        <w:rPr>
          <w:rFonts w:ascii="宋体" w:hAnsi="宋体" w:cs="宋体"/>
          <w:b/>
          <w:color w:val="auto"/>
          <w:spacing w:val="6"/>
          <w:sz w:val="32"/>
          <w:szCs w:val="32"/>
          <w:highlight w:val="none"/>
        </w:rPr>
      </w:pPr>
    </w:p>
    <w:p w14:paraId="3F146892">
      <w:pPr>
        <w:autoSpaceDE w:val="0"/>
        <w:autoSpaceDN w:val="0"/>
        <w:jc w:val="center"/>
        <w:rPr>
          <w:rFonts w:ascii="宋体" w:hAnsi="宋体" w:cs="宋体"/>
          <w:b/>
          <w:color w:val="auto"/>
          <w:spacing w:val="6"/>
          <w:sz w:val="32"/>
          <w:szCs w:val="32"/>
          <w:highlight w:val="none"/>
        </w:rPr>
      </w:pPr>
    </w:p>
    <w:p w14:paraId="152CD321">
      <w:pPr>
        <w:autoSpaceDE w:val="0"/>
        <w:autoSpaceDN w:val="0"/>
        <w:jc w:val="center"/>
        <w:rPr>
          <w:rFonts w:ascii="宋体" w:hAnsi="宋体" w:cs="宋体"/>
          <w:b/>
          <w:color w:val="auto"/>
          <w:spacing w:val="6"/>
          <w:sz w:val="32"/>
          <w:szCs w:val="32"/>
          <w:highlight w:val="none"/>
        </w:rPr>
      </w:pPr>
    </w:p>
    <w:p w14:paraId="7C917B58">
      <w:pPr>
        <w:autoSpaceDE w:val="0"/>
        <w:autoSpaceDN w:val="0"/>
        <w:jc w:val="center"/>
        <w:rPr>
          <w:rFonts w:ascii="宋体" w:hAnsi="宋体" w:cs="宋体"/>
          <w:b/>
          <w:color w:val="auto"/>
          <w:spacing w:val="6"/>
          <w:sz w:val="32"/>
          <w:szCs w:val="32"/>
          <w:highlight w:val="none"/>
        </w:rPr>
      </w:pPr>
    </w:p>
    <w:p w14:paraId="344DB981">
      <w:pPr>
        <w:autoSpaceDE w:val="0"/>
        <w:autoSpaceDN w:val="0"/>
        <w:jc w:val="center"/>
        <w:rPr>
          <w:rFonts w:ascii="宋体" w:hAnsi="宋体" w:cs="宋体"/>
          <w:b/>
          <w:color w:val="auto"/>
          <w:spacing w:val="6"/>
          <w:sz w:val="32"/>
          <w:szCs w:val="32"/>
          <w:highlight w:val="none"/>
        </w:rPr>
      </w:pPr>
    </w:p>
    <w:p w14:paraId="6F4E13ED">
      <w:pPr>
        <w:autoSpaceDE w:val="0"/>
        <w:autoSpaceDN w:val="0"/>
        <w:jc w:val="center"/>
        <w:rPr>
          <w:rFonts w:ascii="宋体" w:hAnsi="宋体" w:cs="宋体"/>
          <w:b/>
          <w:color w:val="auto"/>
          <w:spacing w:val="6"/>
          <w:sz w:val="32"/>
          <w:szCs w:val="32"/>
          <w:highlight w:val="none"/>
        </w:rPr>
      </w:pPr>
    </w:p>
    <w:p w14:paraId="041ECDB0">
      <w:pPr>
        <w:autoSpaceDE w:val="0"/>
        <w:autoSpaceDN w:val="0"/>
        <w:jc w:val="center"/>
        <w:rPr>
          <w:rFonts w:ascii="宋体" w:hAnsi="宋体" w:cs="宋体"/>
          <w:b/>
          <w:color w:val="auto"/>
          <w:spacing w:val="6"/>
          <w:sz w:val="32"/>
          <w:szCs w:val="32"/>
          <w:highlight w:val="none"/>
        </w:rPr>
      </w:pPr>
    </w:p>
    <w:p w14:paraId="6C132CC0">
      <w:pPr>
        <w:autoSpaceDE w:val="0"/>
        <w:autoSpaceDN w:val="0"/>
        <w:jc w:val="center"/>
        <w:rPr>
          <w:rFonts w:ascii="宋体" w:hAnsi="宋体" w:cs="宋体"/>
          <w:b/>
          <w:color w:val="auto"/>
          <w:spacing w:val="6"/>
          <w:sz w:val="32"/>
          <w:szCs w:val="32"/>
          <w:highlight w:val="none"/>
        </w:rPr>
      </w:pPr>
    </w:p>
    <w:p w14:paraId="2198980A">
      <w:pPr>
        <w:autoSpaceDE w:val="0"/>
        <w:autoSpaceDN w:val="0"/>
        <w:jc w:val="center"/>
        <w:rPr>
          <w:rFonts w:ascii="宋体" w:hAnsi="宋体" w:cs="宋体"/>
          <w:b/>
          <w:color w:val="auto"/>
          <w:spacing w:val="6"/>
          <w:sz w:val="32"/>
          <w:szCs w:val="32"/>
          <w:highlight w:val="none"/>
        </w:rPr>
      </w:pPr>
    </w:p>
    <w:p w14:paraId="72503705">
      <w:pPr>
        <w:autoSpaceDE w:val="0"/>
        <w:autoSpaceDN w:val="0"/>
        <w:jc w:val="center"/>
        <w:rPr>
          <w:rFonts w:ascii="宋体" w:hAnsi="宋体" w:cs="宋体"/>
          <w:b/>
          <w:color w:val="auto"/>
          <w:spacing w:val="6"/>
          <w:sz w:val="32"/>
          <w:szCs w:val="32"/>
          <w:highlight w:val="none"/>
        </w:rPr>
      </w:pPr>
    </w:p>
    <w:p w14:paraId="0BA78CA0">
      <w:pPr>
        <w:autoSpaceDE w:val="0"/>
        <w:autoSpaceDN w:val="0"/>
        <w:jc w:val="center"/>
        <w:rPr>
          <w:rFonts w:ascii="宋体" w:hAnsi="宋体" w:cs="宋体"/>
          <w:b/>
          <w:color w:val="auto"/>
          <w:spacing w:val="6"/>
          <w:sz w:val="32"/>
          <w:szCs w:val="32"/>
          <w:highlight w:val="none"/>
        </w:rPr>
      </w:pPr>
    </w:p>
    <w:p w14:paraId="1C70334D">
      <w:pPr>
        <w:autoSpaceDE w:val="0"/>
        <w:autoSpaceDN w:val="0"/>
        <w:jc w:val="center"/>
        <w:rPr>
          <w:rFonts w:ascii="宋体" w:hAnsi="宋体" w:cs="宋体"/>
          <w:b/>
          <w:color w:val="auto"/>
          <w:spacing w:val="6"/>
          <w:sz w:val="32"/>
          <w:szCs w:val="32"/>
          <w:highlight w:val="none"/>
        </w:rPr>
      </w:pPr>
    </w:p>
    <w:p w14:paraId="04CD4DED">
      <w:pPr>
        <w:autoSpaceDE w:val="0"/>
        <w:autoSpaceDN w:val="0"/>
        <w:jc w:val="center"/>
        <w:rPr>
          <w:rFonts w:ascii="宋体" w:hAnsi="宋体" w:cs="宋体"/>
          <w:b/>
          <w:color w:val="auto"/>
          <w:spacing w:val="6"/>
          <w:sz w:val="32"/>
          <w:szCs w:val="32"/>
          <w:highlight w:val="none"/>
        </w:rPr>
      </w:pPr>
    </w:p>
    <w:p w14:paraId="19AEE9E0">
      <w:pPr>
        <w:autoSpaceDE w:val="0"/>
        <w:autoSpaceDN w:val="0"/>
        <w:jc w:val="center"/>
        <w:rPr>
          <w:rFonts w:ascii="宋体" w:hAnsi="宋体" w:cs="宋体"/>
          <w:b/>
          <w:color w:val="auto"/>
          <w:spacing w:val="6"/>
          <w:sz w:val="32"/>
          <w:szCs w:val="32"/>
          <w:highlight w:val="none"/>
        </w:rPr>
      </w:pPr>
    </w:p>
    <w:p w14:paraId="2853F178">
      <w:pPr>
        <w:autoSpaceDE w:val="0"/>
        <w:autoSpaceDN w:val="0"/>
        <w:jc w:val="center"/>
        <w:rPr>
          <w:rFonts w:ascii="宋体" w:hAnsi="宋体" w:cs="宋体"/>
          <w:b/>
          <w:color w:val="auto"/>
          <w:spacing w:val="6"/>
          <w:sz w:val="32"/>
          <w:szCs w:val="32"/>
          <w:highlight w:val="none"/>
        </w:rPr>
      </w:pPr>
    </w:p>
    <w:p w14:paraId="5853B09F">
      <w:pPr>
        <w:autoSpaceDE w:val="0"/>
        <w:autoSpaceDN w:val="0"/>
        <w:jc w:val="center"/>
        <w:rPr>
          <w:rFonts w:ascii="宋体" w:hAnsi="宋体" w:cs="宋体"/>
          <w:b/>
          <w:color w:val="auto"/>
          <w:spacing w:val="6"/>
          <w:sz w:val="32"/>
          <w:szCs w:val="32"/>
          <w:highlight w:val="none"/>
        </w:rPr>
      </w:pPr>
    </w:p>
    <w:p w14:paraId="3C0797D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492589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BF6B1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FC724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F7B0C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FE25B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BDF9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B706B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CCE17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B0DC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2C8F35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3"/>
      <w:r>
        <w:rPr>
          <w:rFonts w:hint="eastAsia" w:ascii="宋体" w:hAnsi="宋体" w:cs="宋体"/>
          <w:b/>
          <w:color w:val="auto"/>
          <w:kern w:val="0"/>
          <w:sz w:val="24"/>
          <w:highlight w:val="none"/>
          <w:lang w:val="zh-CN"/>
        </w:rPr>
        <w:t>）</w:t>
      </w:r>
    </w:p>
    <w:p w14:paraId="7D0EFB8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4"/>
    </w:p>
    <w:p w14:paraId="32FAF5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753E48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06A5DAE">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8FAD6AF">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4F371A0">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0DC962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B0779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8661D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C45DA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D364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4536CE">
      <w:pPr>
        <w:autoSpaceDE w:val="0"/>
        <w:autoSpaceDN w:val="0"/>
        <w:jc w:val="center"/>
        <w:rPr>
          <w:rFonts w:ascii="宋体" w:hAnsi="宋体" w:cs="宋体"/>
          <w:b/>
          <w:color w:val="auto"/>
          <w:spacing w:val="6"/>
          <w:sz w:val="32"/>
          <w:szCs w:val="32"/>
          <w:highlight w:val="none"/>
        </w:rPr>
      </w:pPr>
    </w:p>
    <w:p w14:paraId="44E42186">
      <w:pPr>
        <w:autoSpaceDE w:val="0"/>
        <w:autoSpaceDN w:val="0"/>
        <w:jc w:val="center"/>
        <w:rPr>
          <w:rFonts w:ascii="宋体" w:hAnsi="宋体" w:cs="宋体"/>
          <w:b/>
          <w:color w:val="auto"/>
          <w:spacing w:val="6"/>
          <w:sz w:val="32"/>
          <w:szCs w:val="32"/>
          <w:highlight w:val="none"/>
        </w:rPr>
      </w:pPr>
    </w:p>
    <w:p w14:paraId="3A448A45">
      <w:pPr>
        <w:autoSpaceDE w:val="0"/>
        <w:autoSpaceDN w:val="0"/>
        <w:jc w:val="center"/>
        <w:rPr>
          <w:rFonts w:ascii="宋体" w:hAnsi="宋体" w:cs="宋体"/>
          <w:b/>
          <w:color w:val="auto"/>
          <w:spacing w:val="6"/>
          <w:sz w:val="32"/>
          <w:szCs w:val="32"/>
          <w:highlight w:val="none"/>
        </w:rPr>
      </w:pPr>
    </w:p>
    <w:p w14:paraId="1FCA0F1A">
      <w:pPr>
        <w:autoSpaceDE w:val="0"/>
        <w:autoSpaceDN w:val="0"/>
        <w:jc w:val="center"/>
        <w:rPr>
          <w:rFonts w:ascii="宋体" w:hAnsi="宋体" w:cs="宋体"/>
          <w:b/>
          <w:color w:val="auto"/>
          <w:spacing w:val="6"/>
          <w:sz w:val="32"/>
          <w:szCs w:val="32"/>
          <w:highlight w:val="none"/>
        </w:rPr>
      </w:pPr>
    </w:p>
    <w:p w14:paraId="080895E6">
      <w:pPr>
        <w:autoSpaceDE w:val="0"/>
        <w:autoSpaceDN w:val="0"/>
        <w:jc w:val="center"/>
        <w:rPr>
          <w:rFonts w:ascii="宋体" w:hAnsi="宋体" w:cs="宋体"/>
          <w:b/>
          <w:color w:val="auto"/>
          <w:spacing w:val="6"/>
          <w:sz w:val="32"/>
          <w:szCs w:val="32"/>
          <w:highlight w:val="none"/>
        </w:rPr>
      </w:pPr>
    </w:p>
    <w:p w14:paraId="57EEB1ED">
      <w:pPr>
        <w:autoSpaceDE w:val="0"/>
        <w:autoSpaceDN w:val="0"/>
        <w:jc w:val="center"/>
        <w:rPr>
          <w:rFonts w:ascii="宋体" w:hAnsi="宋体" w:cs="宋体"/>
          <w:b/>
          <w:color w:val="auto"/>
          <w:spacing w:val="6"/>
          <w:sz w:val="32"/>
          <w:szCs w:val="32"/>
          <w:highlight w:val="none"/>
        </w:rPr>
      </w:pPr>
    </w:p>
    <w:p w14:paraId="20AF2D9C">
      <w:pPr>
        <w:autoSpaceDE w:val="0"/>
        <w:autoSpaceDN w:val="0"/>
        <w:jc w:val="center"/>
        <w:rPr>
          <w:rFonts w:ascii="宋体" w:hAnsi="宋体" w:cs="宋体"/>
          <w:b/>
          <w:color w:val="auto"/>
          <w:spacing w:val="6"/>
          <w:sz w:val="32"/>
          <w:szCs w:val="32"/>
          <w:highlight w:val="none"/>
        </w:rPr>
      </w:pPr>
    </w:p>
    <w:p w14:paraId="3D85423B">
      <w:pPr>
        <w:autoSpaceDE w:val="0"/>
        <w:autoSpaceDN w:val="0"/>
        <w:jc w:val="center"/>
        <w:rPr>
          <w:rFonts w:ascii="宋体" w:hAnsi="宋体" w:cs="宋体"/>
          <w:b/>
          <w:color w:val="auto"/>
          <w:spacing w:val="6"/>
          <w:sz w:val="32"/>
          <w:szCs w:val="32"/>
          <w:highlight w:val="none"/>
        </w:rPr>
      </w:pPr>
    </w:p>
    <w:p w14:paraId="39E74117">
      <w:pPr>
        <w:autoSpaceDE w:val="0"/>
        <w:autoSpaceDN w:val="0"/>
        <w:jc w:val="center"/>
        <w:rPr>
          <w:rFonts w:ascii="宋体" w:hAnsi="宋体" w:cs="宋体"/>
          <w:b/>
          <w:color w:val="auto"/>
          <w:spacing w:val="6"/>
          <w:sz w:val="32"/>
          <w:szCs w:val="32"/>
          <w:highlight w:val="none"/>
        </w:rPr>
      </w:pPr>
    </w:p>
    <w:p w14:paraId="4603A3E1">
      <w:pPr>
        <w:autoSpaceDE w:val="0"/>
        <w:autoSpaceDN w:val="0"/>
        <w:jc w:val="center"/>
        <w:rPr>
          <w:rFonts w:ascii="宋体" w:hAnsi="宋体" w:cs="宋体"/>
          <w:b/>
          <w:color w:val="auto"/>
          <w:spacing w:val="6"/>
          <w:sz w:val="32"/>
          <w:szCs w:val="32"/>
          <w:highlight w:val="none"/>
        </w:rPr>
      </w:pPr>
    </w:p>
    <w:p w14:paraId="3C1CB362">
      <w:pPr>
        <w:autoSpaceDE w:val="0"/>
        <w:autoSpaceDN w:val="0"/>
        <w:jc w:val="center"/>
        <w:rPr>
          <w:rFonts w:ascii="宋体" w:hAnsi="宋体" w:cs="宋体"/>
          <w:b/>
          <w:color w:val="auto"/>
          <w:spacing w:val="6"/>
          <w:sz w:val="32"/>
          <w:szCs w:val="32"/>
          <w:highlight w:val="none"/>
        </w:rPr>
      </w:pPr>
    </w:p>
    <w:p w14:paraId="349E5610">
      <w:pPr>
        <w:autoSpaceDE w:val="0"/>
        <w:autoSpaceDN w:val="0"/>
        <w:jc w:val="center"/>
        <w:rPr>
          <w:rFonts w:ascii="宋体" w:hAnsi="宋体" w:cs="宋体"/>
          <w:b/>
          <w:color w:val="auto"/>
          <w:spacing w:val="6"/>
          <w:sz w:val="32"/>
          <w:szCs w:val="32"/>
          <w:highlight w:val="none"/>
        </w:rPr>
      </w:pPr>
    </w:p>
    <w:p w14:paraId="242D3411">
      <w:pPr>
        <w:autoSpaceDE w:val="0"/>
        <w:autoSpaceDN w:val="0"/>
        <w:jc w:val="center"/>
        <w:rPr>
          <w:rFonts w:ascii="宋体" w:hAnsi="宋体" w:cs="宋体"/>
          <w:b/>
          <w:color w:val="auto"/>
          <w:spacing w:val="6"/>
          <w:sz w:val="32"/>
          <w:szCs w:val="32"/>
          <w:highlight w:val="none"/>
        </w:rPr>
      </w:pPr>
    </w:p>
    <w:p w14:paraId="65FC22F1">
      <w:pPr>
        <w:autoSpaceDE w:val="0"/>
        <w:autoSpaceDN w:val="0"/>
        <w:jc w:val="center"/>
        <w:rPr>
          <w:rFonts w:ascii="宋体" w:hAnsi="宋体" w:cs="宋体"/>
          <w:b/>
          <w:color w:val="auto"/>
          <w:spacing w:val="6"/>
          <w:sz w:val="32"/>
          <w:szCs w:val="32"/>
          <w:highlight w:val="none"/>
        </w:rPr>
      </w:pPr>
    </w:p>
    <w:p w14:paraId="29191FE8">
      <w:pPr>
        <w:autoSpaceDE w:val="0"/>
        <w:autoSpaceDN w:val="0"/>
        <w:jc w:val="center"/>
        <w:rPr>
          <w:rFonts w:ascii="宋体" w:hAnsi="宋体" w:cs="宋体"/>
          <w:b/>
          <w:color w:val="auto"/>
          <w:spacing w:val="6"/>
          <w:sz w:val="32"/>
          <w:szCs w:val="32"/>
          <w:highlight w:val="none"/>
        </w:rPr>
      </w:pPr>
    </w:p>
    <w:p w14:paraId="764B9F43">
      <w:pPr>
        <w:autoSpaceDE w:val="0"/>
        <w:autoSpaceDN w:val="0"/>
        <w:jc w:val="center"/>
        <w:rPr>
          <w:rFonts w:ascii="宋体" w:hAnsi="宋体" w:cs="宋体"/>
          <w:b/>
          <w:color w:val="auto"/>
          <w:spacing w:val="6"/>
          <w:sz w:val="32"/>
          <w:szCs w:val="32"/>
          <w:highlight w:val="none"/>
        </w:rPr>
      </w:pPr>
    </w:p>
    <w:p w14:paraId="46D1DE3C">
      <w:pPr>
        <w:autoSpaceDE w:val="0"/>
        <w:autoSpaceDN w:val="0"/>
        <w:jc w:val="center"/>
        <w:rPr>
          <w:rFonts w:ascii="宋体" w:hAnsi="宋体" w:cs="宋体"/>
          <w:b/>
          <w:color w:val="auto"/>
          <w:spacing w:val="6"/>
          <w:sz w:val="32"/>
          <w:szCs w:val="32"/>
          <w:highlight w:val="none"/>
        </w:rPr>
      </w:pPr>
    </w:p>
    <w:p w14:paraId="0F4F00A5">
      <w:pPr>
        <w:autoSpaceDE w:val="0"/>
        <w:autoSpaceDN w:val="0"/>
        <w:jc w:val="center"/>
        <w:rPr>
          <w:rFonts w:ascii="宋体" w:hAnsi="宋体" w:cs="宋体"/>
          <w:b/>
          <w:color w:val="auto"/>
          <w:spacing w:val="6"/>
          <w:sz w:val="32"/>
          <w:szCs w:val="32"/>
          <w:highlight w:val="none"/>
        </w:rPr>
      </w:pPr>
    </w:p>
    <w:p w14:paraId="37AC1F76">
      <w:pPr>
        <w:autoSpaceDE w:val="0"/>
        <w:autoSpaceDN w:val="0"/>
        <w:jc w:val="center"/>
        <w:rPr>
          <w:rFonts w:ascii="宋体" w:hAnsi="宋体" w:cs="宋体"/>
          <w:b/>
          <w:color w:val="auto"/>
          <w:spacing w:val="6"/>
          <w:sz w:val="32"/>
          <w:szCs w:val="32"/>
          <w:highlight w:val="none"/>
        </w:rPr>
      </w:pPr>
    </w:p>
    <w:p w14:paraId="7489BE83">
      <w:pPr>
        <w:autoSpaceDE w:val="0"/>
        <w:autoSpaceDN w:val="0"/>
        <w:jc w:val="center"/>
        <w:rPr>
          <w:rFonts w:ascii="宋体" w:hAnsi="宋体" w:cs="宋体"/>
          <w:b/>
          <w:color w:val="auto"/>
          <w:spacing w:val="6"/>
          <w:sz w:val="32"/>
          <w:szCs w:val="32"/>
          <w:highlight w:val="none"/>
        </w:rPr>
      </w:pPr>
    </w:p>
    <w:p w14:paraId="577A552D">
      <w:pPr>
        <w:autoSpaceDE w:val="0"/>
        <w:autoSpaceDN w:val="0"/>
        <w:jc w:val="center"/>
        <w:rPr>
          <w:rFonts w:ascii="宋体" w:hAnsi="宋体" w:cs="宋体"/>
          <w:b/>
          <w:color w:val="auto"/>
          <w:spacing w:val="6"/>
          <w:sz w:val="32"/>
          <w:szCs w:val="32"/>
          <w:highlight w:val="none"/>
        </w:rPr>
      </w:pPr>
    </w:p>
    <w:p w14:paraId="7397EA44">
      <w:pPr>
        <w:autoSpaceDE w:val="0"/>
        <w:autoSpaceDN w:val="0"/>
        <w:jc w:val="center"/>
        <w:rPr>
          <w:rFonts w:ascii="宋体" w:hAnsi="宋体" w:cs="宋体"/>
          <w:b/>
          <w:color w:val="auto"/>
          <w:spacing w:val="6"/>
          <w:sz w:val="32"/>
          <w:szCs w:val="32"/>
          <w:highlight w:val="none"/>
        </w:rPr>
      </w:pPr>
    </w:p>
    <w:p w14:paraId="69BA1743">
      <w:pPr>
        <w:autoSpaceDE w:val="0"/>
        <w:autoSpaceDN w:val="0"/>
        <w:jc w:val="center"/>
        <w:rPr>
          <w:rFonts w:ascii="宋体" w:hAnsi="宋体" w:cs="宋体"/>
          <w:b/>
          <w:color w:val="auto"/>
          <w:spacing w:val="6"/>
          <w:sz w:val="32"/>
          <w:szCs w:val="32"/>
          <w:highlight w:val="none"/>
        </w:rPr>
      </w:pPr>
    </w:p>
    <w:p w14:paraId="6B323892">
      <w:pPr>
        <w:snapToGrid w:val="0"/>
        <w:spacing w:line="360" w:lineRule="auto"/>
        <w:ind w:firstLine="3666" w:firstLineChars="1100"/>
        <w:rPr>
          <w:rFonts w:ascii="宋体" w:hAnsi="宋体" w:cs="宋体"/>
          <w:b/>
          <w:color w:val="auto"/>
          <w:spacing w:val="6"/>
          <w:sz w:val="32"/>
          <w:szCs w:val="32"/>
          <w:highlight w:val="none"/>
        </w:rPr>
      </w:pPr>
    </w:p>
    <w:p w14:paraId="54EBAE7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5E0B58F">
      <w:pPr>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附件6：中小企业声明函</w:t>
      </w:r>
    </w:p>
    <w:p w14:paraId="7D12D8C5">
      <w:pPr>
        <w:spacing w:line="360" w:lineRule="auto"/>
        <w:jc w:val="center"/>
        <w:rPr>
          <w:rFonts w:ascii="宋体" w:hAnsi="宋体" w:cs="宋体"/>
          <w:color w:val="auto"/>
          <w:sz w:val="24"/>
          <w:highlight w:val="none"/>
          <w:u w:val="single"/>
        </w:rPr>
      </w:pPr>
    </w:p>
    <w:p w14:paraId="4B108F7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87146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采购活动服务全部由符合政策要求的中小企业承接。相关企业（含联合体中的中小企业）的具体情况如下：</w:t>
      </w:r>
    </w:p>
    <w:p w14:paraId="60259F5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AB831D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7D94F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4934B6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81EA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D52C29C">
      <w:pPr>
        <w:spacing w:line="360" w:lineRule="auto"/>
        <w:ind w:right="152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0BFA92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18CE6E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7412739">
      <w:pPr>
        <w:spacing w:line="360" w:lineRule="auto"/>
        <w:ind w:right="420"/>
        <w:rPr>
          <w:rFonts w:ascii="宋体" w:hAnsi="宋体" w:cs="宋体"/>
          <w:color w:val="auto"/>
          <w:sz w:val="24"/>
          <w:highlight w:val="none"/>
        </w:rPr>
      </w:pPr>
    </w:p>
    <w:p w14:paraId="78AC7D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w:t>
      </w:r>
    </w:p>
    <w:p w14:paraId="09E769D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71793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235DC7">
      <w:pPr>
        <w:pStyle w:val="6"/>
        <w:rPr>
          <w:rFonts w:ascii="宋体" w:hAnsi="宋体" w:eastAsia="宋体" w:cs="宋体"/>
          <w:color w:val="auto"/>
          <w:highlight w:val="none"/>
          <w:lang w:val="en-US"/>
        </w:rPr>
      </w:pPr>
    </w:p>
    <w:p w14:paraId="05339DEC">
      <w:pPr>
        <w:spacing w:line="360" w:lineRule="auto"/>
        <w:ind w:right="420"/>
        <w:rPr>
          <w:rFonts w:ascii="宋体" w:hAnsi="宋体" w:cs="宋体"/>
          <w:color w:val="auto"/>
          <w:highlight w:val="none"/>
        </w:rPr>
      </w:pPr>
    </w:p>
    <w:p w14:paraId="2C8D757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微软雅黑"/>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9" w:usb3="00000000" w:csb0="400001FF" w:csb1="FFFF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A21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D60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8829">
    <w:pPr>
      <w:pStyle w:val="41"/>
      <w:framePr w:wrap="around" w:vAnchor="text" w:hAnchor="margin" w:xAlign="right" w:y="1"/>
      <w:rPr>
        <w:rStyle w:val="72"/>
      </w:rPr>
    </w:pPr>
    <w:r>
      <w:fldChar w:fldCharType="begin"/>
    </w:r>
    <w:r>
      <w:rPr>
        <w:rStyle w:val="72"/>
      </w:rPr>
      <w:instrText xml:space="preserve">PAGE  </w:instrText>
    </w:r>
    <w:r>
      <w:fldChar w:fldCharType="end"/>
    </w:r>
  </w:p>
  <w:p w14:paraId="42AC28B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FB0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05" w:name="_Toc164085800"/>
    <w:bookmarkStart w:id="406" w:name="_Toc131845147"/>
    <w:bookmarkStart w:id="407" w:name="_Toc91899912"/>
    <w:bookmarkStart w:id="408" w:name="_Toc3611018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F049">
    <w:pPr>
      <w:pStyle w:val="41"/>
      <w:framePr w:wrap="around" w:vAnchor="text" w:hAnchor="margin" w:xAlign="right" w:y="1"/>
      <w:rPr>
        <w:rStyle w:val="72"/>
      </w:rPr>
    </w:pPr>
    <w:r>
      <w:fldChar w:fldCharType="begin"/>
    </w:r>
    <w:r>
      <w:rPr>
        <w:rStyle w:val="72"/>
      </w:rPr>
      <w:instrText xml:space="preserve">PAGE  </w:instrText>
    </w:r>
    <w:r>
      <w:fldChar w:fldCharType="end"/>
    </w:r>
  </w:p>
  <w:p w14:paraId="7BF47D4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22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C51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125B3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B86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763E4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57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19D11E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3D4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78ECE5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C9F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6E8892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A27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38839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1B36">
    <w:pPr>
      <w:pStyle w:val="42"/>
      <w:pBdr>
        <w:bottom w:val="single" w:color="auto" w:sz="6" w:space="4"/>
      </w:pBdr>
      <w:jc w:val="right"/>
    </w:pPr>
    <w:r>
      <w:t></w:t>
    </w:r>
    <w:r>
      <w:rPr>
        <w:rFonts w:hint="eastAsia"/>
      </w:rPr>
      <w:t xml:space="preserve">             </w:t>
    </w:r>
    <w:r>
      <w:t>杭州市政府采购公开招标文件</w:t>
    </w:r>
  </w:p>
  <w:p w14:paraId="610DB1C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AEA9">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0067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5406">
    <w:pPr>
      <w:pStyle w:val="42"/>
      <w:rPr>
        <w:rFonts w:ascii="仿宋_GB2312" w:eastAsia="仿宋_GB2312"/>
        <w:b/>
        <w:i/>
        <w:u w:val="single"/>
      </w:rPr>
    </w:pPr>
    <w:r>
      <w:t></w:t>
    </w:r>
    <w:r>
      <w:rPr>
        <w:rFonts w:hint="eastAsia"/>
      </w:rPr>
      <w:t xml:space="preserve">                                                  </w:t>
    </w:r>
    <w:r>
      <w:t xml:space="preserve">            </w:t>
    </w:r>
    <w:r>
      <w:rPr>
        <w:rFonts w:hint="eastAsia"/>
      </w:rPr>
      <w:t xml:space="preserve">       </w:t>
    </w:r>
    <w:r>
      <w:t xml:space="preserve"> 杭州市政府采购公开招标文件</w:t>
    </w:r>
  </w:p>
  <w:p w14:paraId="434787B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D252">
    <w:pPr>
      <w:pStyle w:val="42"/>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C1DD">
    <w:pPr>
      <w:pStyle w:val="42"/>
      <w:rPr>
        <w:rFonts w:ascii="仿宋_GB2312" w:eastAsia="仿宋_GB2312"/>
        <w:b/>
        <w:i/>
        <w:u w:val="single"/>
      </w:rPr>
    </w:pPr>
    <w:r>
      <w:t></w:t>
    </w:r>
    <w:r>
      <w:rPr>
        <w:rFonts w:hint="eastAsia"/>
      </w:rPr>
      <w:t xml:space="preserve">                                                  </w:t>
    </w:r>
    <w:r>
      <w:t>杭州市政府采购公开招标文件</w:t>
    </w:r>
  </w:p>
  <w:p w14:paraId="07B5087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466E">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FBFF">
    <w:pPr>
      <w:pStyle w:val="42"/>
      <w:jc w:val="right"/>
      <w:rPr>
        <w:rFonts w:ascii="仿宋_GB2312" w:eastAsia="仿宋_GB2312"/>
        <w:b/>
        <w:i/>
        <w:u w:val="single"/>
      </w:rPr>
    </w:pPr>
    <w:r>
      <w:rPr>
        <w:rFonts w:hint="eastAsia"/>
      </w:rPr>
      <w:t xml:space="preserve">                                  </w:t>
    </w:r>
    <w:r>
      <w:t>杭州市政府采购公开招标文件</w:t>
    </w:r>
  </w:p>
  <w:p w14:paraId="1E290A4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7E5D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857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0NGQ1NDVlZjM5YmY0NmVmMjEzYTc4YWVkYTQ0MGEifQ=="/>
  </w:docVars>
  <w:rsids>
    <w:rsidRoot w:val="00172A27"/>
    <w:rsid w:val="00000451"/>
    <w:rsid w:val="0000108B"/>
    <w:rsid w:val="0000133D"/>
    <w:rsid w:val="00001509"/>
    <w:rsid w:val="000018C1"/>
    <w:rsid w:val="00001E3F"/>
    <w:rsid w:val="000032B2"/>
    <w:rsid w:val="0000363B"/>
    <w:rsid w:val="000058BD"/>
    <w:rsid w:val="00006109"/>
    <w:rsid w:val="00006150"/>
    <w:rsid w:val="000063E8"/>
    <w:rsid w:val="00006725"/>
    <w:rsid w:val="0000675E"/>
    <w:rsid w:val="000071E3"/>
    <w:rsid w:val="0000778E"/>
    <w:rsid w:val="00007CAA"/>
    <w:rsid w:val="00010FE9"/>
    <w:rsid w:val="0001122F"/>
    <w:rsid w:val="00011A4B"/>
    <w:rsid w:val="00011FEC"/>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296"/>
    <w:rsid w:val="00047354"/>
    <w:rsid w:val="00050656"/>
    <w:rsid w:val="00050A19"/>
    <w:rsid w:val="000511B6"/>
    <w:rsid w:val="00051891"/>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9C1"/>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C9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5D4"/>
    <w:rsid w:val="000936BF"/>
    <w:rsid w:val="0009382F"/>
    <w:rsid w:val="00093A30"/>
    <w:rsid w:val="00094342"/>
    <w:rsid w:val="000944C7"/>
    <w:rsid w:val="000945BA"/>
    <w:rsid w:val="00095954"/>
    <w:rsid w:val="000960BA"/>
    <w:rsid w:val="0009662A"/>
    <w:rsid w:val="0009690D"/>
    <w:rsid w:val="00096DFF"/>
    <w:rsid w:val="00097CDB"/>
    <w:rsid w:val="000A0729"/>
    <w:rsid w:val="000A0E69"/>
    <w:rsid w:val="000A1A52"/>
    <w:rsid w:val="000A1F98"/>
    <w:rsid w:val="000A25AA"/>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2D2A"/>
    <w:rsid w:val="000B456C"/>
    <w:rsid w:val="000B45B9"/>
    <w:rsid w:val="000B47CE"/>
    <w:rsid w:val="000B4B56"/>
    <w:rsid w:val="000B4C62"/>
    <w:rsid w:val="000B541D"/>
    <w:rsid w:val="000B54C1"/>
    <w:rsid w:val="000B5553"/>
    <w:rsid w:val="000B5FE8"/>
    <w:rsid w:val="000B666E"/>
    <w:rsid w:val="000B6AC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399"/>
    <w:rsid w:val="000C64CC"/>
    <w:rsid w:val="000C6688"/>
    <w:rsid w:val="000C692E"/>
    <w:rsid w:val="000C6B28"/>
    <w:rsid w:val="000C7BEB"/>
    <w:rsid w:val="000D0124"/>
    <w:rsid w:val="000D11E5"/>
    <w:rsid w:val="000D1316"/>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E81"/>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15D"/>
    <w:rsid w:val="000E7632"/>
    <w:rsid w:val="000E7737"/>
    <w:rsid w:val="000E7739"/>
    <w:rsid w:val="000E77EE"/>
    <w:rsid w:val="000F1604"/>
    <w:rsid w:val="000F1BD0"/>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4EA"/>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E8B"/>
    <w:rsid w:val="00110033"/>
    <w:rsid w:val="001102B5"/>
    <w:rsid w:val="00110E16"/>
    <w:rsid w:val="00110F57"/>
    <w:rsid w:val="00111993"/>
    <w:rsid w:val="00111BCD"/>
    <w:rsid w:val="00111C7D"/>
    <w:rsid w:val="00112038"/>
    <w:rsid w:val="001121C6"/>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674"/>
    <w:rsid w:val="00133707"/>
    <w:rsid w:val="00133742"/>
    <w:rsid w:val="00133B70"/>
    <w:rsid w:val="00133E97"/>
    <w:rsid w:val="00134F8D"/>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F74"/>
    <w:rsid w:val="00153859"/>
    <w:rsid w:val="00153915"/>
    <w:rsid w:val="001539F0"/>
    <w:rsid w:val="00154BBA"/>
    <w:rsid w:val="00155B95"/>
    <w:rsid w:val="00156853"/>
    <w:rsid w:val="00157432"/>
    <w:rsid w:val="00160A84"/>
    <w:rsid w:val="00161185"/>
    <w:rsid w:val="001620BA"/>
    <w:rsid w:val="001623AC"/>
    <w:rsid w:val="00162BAA"/>
    <w:rsid w:val="00163214"/>
    <w:rsid w:val="00163C40"/>
    <w:rsid w:val="0016470A"/>
    <w:rsid w:val="0016488B"/>
    <w:rsid w:val="00165758"/>
    <w:rsid w:val="00165A65"/>
    <w:rsid w:val="00166317"/>
    <w:rsid w:val="00166E24"/>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00"/>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2E7"/>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4FE4"/>
    <w:rsid w:val="001B572D"/>
    <w:rsid w:val="001B576E"/>
    <w:rsid w:val="001B5900"/>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7D0"/>
    <w:rsid w:val="001D0947"/>
    <w:rsid w:val="001D16F5"/>
    <w:rsid w:val="001D1970"/>
    <w:rsid w:val="001D1BA4"/>
    <w:rsid w:val="001D1D55"/>
    <w:rsid w:val="001D21EF"/>
    <w:rsid w:val="001D29A4"/>
    <w:rsid w:val="001D2B73"/>
    <w:rsid w:val="001D3136"/>
    <w:rsid w:val="001D330D"/>
    <w:rsid w:val="001D4AB6"/>
    <w:rsid w:val="001D4AD3"/>
    <w:rsid w:val="001D5281"/>
    <w:rsid w:val="001D7272"/>
    <w:rsid w:val="001E0AC9"/>
    <w:rsid w:val="001E0F77"/>
    <w:rsid w:val="001E17E3"/>
    <w:rsid w:val="001E2052"/>
    <w:rsid w:val="001E2492"/>
    <w:rsid w:val="001E257C"/>
    <w:rsid w:val="001E286C"/>
    <w:rsid w:val="001E2F34"/>
    <w:rsid w:val="001E35EE"/>
    <w:rsid w:val="001E3B5B"/>
    <w:rsid w:val="001E4B2C"/>
    <w:rsid w:val="001E4CFB"/>
    <w:rsid w:val="001E507F"/>
    <w:rsid w:val="001E56C2"/>
    <w:rsid w:val="001E59FB"/>
    <w:rsid w:val="001E6192"/>
    <w:rsid w:val="001E681A"/>
    <w:rsid w:val="001E7F81"/>
    <w:rsid w:val="001F0FD1"/>
    <w:rsid w:val="001F1526"/>
    <w:rsid w:val="001F19D1"/>
    <w:rsid w:val="001F1CB9"/>
    <w:rsid w:val="001F1F18"/>
    <w:rsid w:val="001F2F92"/>
    <w:rsid w:val="001F456F"/>
    <w:rsid w:val="001F5DA1"/>
    <w:rsid w:val="001F5DDF"/>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26"/>
    <w:rsid w:val="00217E1F"/>
    <w:rsid w:val="002204BC"/>
    <w:rsid w:val="00220F7B"/>
    <w:rsid w:val="002213CE"/>
    <w:rsid w:val="00221AF7"/>
    <w:rsid w:val="00222494"/>
    <w:rsid w:val="00222775"/>
    <w:rsid w:val="0022279A"/>
    <w:rsid w:val="00222A31"/>
    <w:rsid w:val="00222CF6"/>
    <w:rsid w:val="00224037"/>
    <w:rsid w:val="002244E4"/>
    <w:rsid w:val="00224D2A"/>
    <w:rsid w:val="00224D8D"/>
    <w:rsid w:val="0022555A"/>
    <w:rsid w:val="00227214"/>
    <w:rsid w:val="00227DDC"/>
    <w:rsid w:val="0023079F"/>
    <w:rsid w:val="002309D2"/>
    <w:rsid w:val="00231135"/>
    <w:rsid w:val="00231B0B"/>
    <w:rsid w:val="00232555"/>
    <w:rsid w:val="002325FF"/>
    <w:rsid w:val="00233538"/>
    <w:rsid w:val="00234248"/>
    <w:rsid w:val="0023449F"/>
    <w:rsid w:val="002344F5"/>
    <w:rsid w:val="0023454D"/>
    <w:rsid w:val="00234679"/>
    <w:rsid w:val="002359FC"/>
    <w:rsid w:val="002361C8"/>
    <w:rsid w:val="00236690"/>
    <w:rsid w:val="0023669D"/>
    <w:rsid w:val="00237AFE"/>
    <w:rsid w:val="00237EAE"/>
    <w:rsid w:val="00237FA2"/>
    <w:rsid w:val="002403D5"/>
    <w:rsid w:val="00240C1F"/>
    <w:rsid w:val="00240F55"/>
    <w:rsid w:val="00240F67"/>
    <w:rsid w:val="00241144"/>
    <w:rsid w:val="00242510"/>
    <w:rsid w:val="00242F79"/>
    <w:rsid w:val="0024415B"/>
    <w:rsid w:val="00245565"/>
    <w:rsid w:val="002458C1"/>
    <w:rsid w:val="002459D0"/>
    <w:rsid w:val="00245E62"/>
    <w:rsid w:val="002460D0"/>
    <w:rsid w:val="00246357"/>
    <w:rsid w:val="00247422"/>
    <w:rsid w:val="00247BA2"/>
    <w:rsid w:val="00250870"/>
    <w:rsid w:val="0025151C"/>
    <w:rsid w:val="0025184F"/>
    <w:rsid w:val="00251967"/>
    <w:rsid w:val="002527CC"/>
    <w:rsid w:val="00252F48"/>
    <w:rsid w:val="002530C0"/>
    <w:rsid w:val="00253586"/>
    <w:rsid w:val="002537C8"/>
    <w:rsid w:val="002537FC"/>
    <w:rsid w:val="002542F8"/>
    <w:rsid w:val="002543EF"/>
    <w:rsid w:val="00254F2A"/>
    <w:rsid w:val="00255784"/>
    <w:rsid w:val="00255A29"/>
    <w:rsid w:val="0025631F"/>
    <w:rsid w:val="00256986"/>
    <w:rsid w:val="00256D61"/>
    <w:rsid w:val="00256E23"/>
    <w:rsid w:val="00257246"/>
    <w:rsid w:val="00257438"/>
    <w:rsid w:val="00260EB6"/>
    <w:rsid w:val="0026119C"/>
    <w:rsid w:val="00261AFE"/>
    <w:rsid w:val="00261E58"/>
    <w:rsid w:val="0026212A"/>
    <w:rsid w:val="002621D7"/>
    <w:rsid w:val="00262996"/>
    <w:rsid w:val="00263044"/>
    <w:rsid w:val="00263759"/>
    <w:rsid w:val="002638BD"/>
    <w:rsid w:val="0026470B"/>
    <w:rsid w:val="0026486D"/>
    <w:rsid w:val="002649BD"/>
    <w:rsid w:val="00264A33"/>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24"/>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125"/>
    <w:rsid w:val="0029159A"/>
    <w:rsid w:val="00291CF1"/>
    <w:rsid w:val="0029298B"/>
    <w:rsid w:val="00292AA1"/>
    <w:rsid w:val="00294012"/>
    <w:rsid w:val="002942F8"/>
    <w:rsid w:val="002945B0"/>
    <w:rsid w:val="0029499D"/>
    <w:rsid w:val="00294A13"/>
    <w:rsid w:val="00294B10"/>
    <w:rsid w:val="00294DF9"/>
    <w:rsid w:val="00295073"/>
    <w:rsid w:val="00295468"/>
    <w:rsid w:val="00296C32"/>
    <w:rsid w:val="00296DBA"/>
    <w:rsid w:val="002977CE"/>
    <w:rsid w:val="00297AF5"/>
    <w:rsid w:val="002A02D6"/>
    <w:rsid w:val="002A07C4"/>
    <w:rsid w:val="002A0921"/>
    <w:rsid w:val="002A0CB3"/>
    <w:rsid w:val="002A1887"/>
    <w:rsid w:val="002A2001"/>
    <w:rsid w:val="002A3AD6"/>
    <w:rsid w:val="002A4060"/>
    <w:rsid w:val="002A41AB"/>
    <w:rsid w:val="002A4868"/>
    <w:rsid w:val="002A4A05"/>
    <w:rsid w:val="002A4EB3"/>
    <w:rsid w:val="002A51D9"/>
    <w:rsid w:val="002A525A"/>
    <w:rsid w:val="002A5968"/>
    <w:rsid w:val="002A5CAB"/>
    <w:rsid w:val="002A5D40"/>
    <w:rsid w:val="002A622E"/>
    <w:rsid w:val="002A6424"/>
    <w:rsid w:val="002A64E7"/>
    <w:rsid w:val="002A6788"/>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ECC"/>
    <w:rsid w:val="002C02BA"/>
    <w:rsid w:val="002C0301"/>
    <w:rsid w:val="002C0326"/>
    <w:rsid w:val="002C0A9F"/>
    <w:rsid w:val="002C1AB3"/>
    <w:rsid w:val="002C1BB7"/>
    <w:rsid w:val="002C1FB3"/>
    <w:rsid w:val="002C2665"/>
    <w:rsid w:val="002C28E1"/>
    <w:rsid w:val="002C2F18"/>
    <w:rsid w:val="002C327D"/>
    <w:rsid w:val="002C3890"/>
    <w:rsid w:val="002C3AD9"/>
    <w:rsid w:val="002C4286"/>
    <w:rsid w:val="002C43FC"/>
    <w:rsid w:val="002C45C3"/>
    <w:rsid w:val="002C478B"/>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F87"/>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DF8"/>
    <w:rsid w:val="00333337"/>
    <w:rsid w:val="00333A28"/>
    <w:rsid w:val="00333B6C"/>
    <w:rsid w:val="00333EB3"/>
    <w:rsid w:val="00334927"/>
    <w:rsid w:val="003360AD"/>
    <w:rsid w:val="003360E0"/>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84"/>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57C29"/>
    <w:rsid w:val="00360304"/>
    <w:rsid w:val="00360A78"/>
    <w:rsid w:val="00361750"/>
    <w:rsid w:val="00363894"/>
    <w:rsid w:val="00363B2A"/>
    <w:rsid w:val="00363BF1"/>
    <w:rsid w:val="00365EB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6F"/>
    <w:rsid w:val="00375850"/>
    <w:rsid w:val="0037632F"/>
    <w:rsid w:val="00377B26"/>
    <w:rsid w:val="00381014"/>
    <w:rsid w:val="00381604"/>
    <w:rsid w:val="00381C68"/>
    <w:rsid w:val="00381F60"/>
    <w:rsid w:val="00383204"/>
    <w:rsid w:val="00383AB0"/>
    <w:rsid w:val="003847BB"/>
    <w:rsid w:val="00384814"/>
    <w:rsid w:val="00384BEE"/>
    <w:rsid w:val="00384C0A"/>
    <w:rsid w:val="00385915"/>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98A"/>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152"/>
    <w:rsid w:val="003A5378"/>
    <w:rsid w:val="003A553C"/>
    <w:rsid w:val="003A56DF"/>
    <w:rsid w:val="003A6008"/>
    <w:rsid w:val="003A6F72"/>
    <w:rsid w:val="003A703F"/>
    <w:rsid w:val="003A7E2B"/>
    <w:rsid w:val="003A7E40"/>
    <w:rsid w:val="003B0336"/>
    <w:rsid w:val="003B0A3A"/>
    <w:rsid w:val="003B0D79"/>
    <w:rsid w:val="003B2930"/>
    <w:rsid w:val="003B2EC0"/>
    <w:rsid w:val="003B31A7"/>
    <w:rsid w:val="003B4587"/>
    <w:rsid w:val="003B4747"/>
    <w:rsid w:val="003B48D0"/>
    <w:rsid w:val="003B4B51"/>
    <w:rsid w:val="003B4FE1"/>
    <w:rsid w:val="003B514E"/>
    <w:rsid w:val="003B5531"/>
    <w:rsid w:val="003B636A"/>
    <w:rsid w:val="003B69CE"/>
    <w:rsid w:val="003B6B7B"/>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5A9"/>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D40"/>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5F1"/>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91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4B0"/>
    <w:rsid w:val="0045057B"/>
    <w:rsid w:val="0045069B"/>
    <w:rsid w:val="00450B22"/>
    <w:rsid w:val="00451709"/>
    <w:rsid w:val="004518FA"/>
    <w:rsid w:val="00451A02"/>
    <w:rsid w:val="00451DB7"/>
    <w:rsid w:val="0045277C"/>
    <w:rsid w:val="00453507"/>
    <w:rsid w:val="00453592"/>
    <w:rsid w:val="004543AB"/>
    <w:rsid w:val="00454559"/>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30F"/>
    <w:rsid w:val="00464DD7"/>
    <w:rsid w:val="00465A21"/>
    <w:rsid w:val="00465DE5"/>
    <w:rsid w:val="00466151"/>
    <w:rsid w:val="00466978"/>
    <w:rsid w:val="00466ABA"/>
    <w:rsid w:val="004672E3"/>
    <w:rsid w:val="0046775D"/>
    <w:rsid w:val="00467823"/>
    <w:rsid w:val="004705FA"/>
    <w:rsid w:val="004708AC"/>
    <w:rsid w:val="00470B42"/>
    <w:rsid w:val="00470E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62"/>
    <w:rsid w:val="00484D4D"/>
    <w:rsid w:val="00485C01"/>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CDB"/>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B80"/>
    <w:rsid w:val="004C4F8F"/>
    <w:rsid w:val="004C5F4B"/>
    <w:rsid w:val="004C612E"/>
    <w:rsid w:val="004C61B8"/>
    <w:rsid w:val="004C69FE"/>
    <w:rsid w:val="004C6C0A"/>
    <w:rsid w:val="004C6C6D"/>
    <w:rsid w:val="004C6E20"/>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8BE"/>
    <w:rsid w:val="004D4523"/>
    <w:rsid w:val="004D4990"/>
    <w:rsid w:val="004D51D6"/>
    <w:rsid w:val="004D6BF2"/>
    <w:rsid w:val="004D6F29"/>
    <w:rsid w:val="004D7BF5"/>
    <w:rsid w:val="004D7F9C"/>
    <w:rsid w:val="004E0227"/>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CC3"/>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155"/>
    <w:rsid w:val="004F43A7"/>
    <w:rsid w:val="004F447B"/>
    <w:rsid w:val="004F497C"/>
    <w:rsid w:val="004F4FAC"/>
    <w:rsid w:val="004F4FE8"/>
    <w:rsid w:val="004F531B"/>
    <w:rsid w:val="004F560C"/>
    <w:rsid w:val="004F5DBB"/>
    <w:rsid w:val="004F60B4"/>
    <w:rsid w:val="004F61A3"/>
    <w:rsid w:val="004F6874"/>
    <w:rsid w:val="004F77F5"/>
    <w:rsid w:val="004F7922"/>
    <w:rsid w:val="004F7A1F"/>
    <w:rsid w:val="004F7B47"/>
    <w:rsid w:val="0050079C"/>
    <w:rsid w:val="0050106A"/>
    <w:rsid w:val="005010BC"/>
    <w:rsid w:val="00501848"/>
    <w:rsid w:val="00502B31"/>
    <w:rsid w:val="0050434C"/>
    <w:rsid w:val="0050537D"/>
    <w:rsid w:val="0050591C"/>
    <w:rsid w:val="005059BD"/>
    <w:rsid w:val="005060AE"/>
    <w:rsid w:val="005067C1"/>
    <w:rsid w:val="0050790B"/>
    <w:rsid w:val="00507FDF"/>
    <w:rsid w:val="0051037C"/>
    <w:rsid w:val="0051050F"/>
    <w:rsid w:val="0051058B"/>
    <w:rsid w:val="00510DDC"/>
    <w:rsid w:val="00511166"/>
    <w:rsid w:val="00512217"/>
    <w:rsid w:val="00512459"/>
    <w:rsid w:val="005131A2"/>
    <w:rsid w:val="005137E4"/>
    <w:rsid w:val="00513B05"/>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2F5"/>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07"/>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D03"/>
    <w:rsid w:val="00556D46"/>
    <w:rsid w:val="00557031"/>
    <w:rsid w:val="00557F87"/>
    <w:rsid w:val="00560841"/>
    <w:rsid w:val="00560FCB"/>
    <w:rsid w:val="00561001"/>
    <w:rsid w:val="0056111C"/>
    <w:rsid w:val="00561140"/>
    <w:rsid w:val="00561412"/>
    <w:rsid w:val="00561903"/>
    <w:rsid w:val="00561A9B"/>
    <w:rsid w:val="00561DAF"/>
    <w:rsid w:val="00561E54"/>
    <w:rsid w:val="00561F73"/>
    <w:rsid w:val="005621F7"/>
    <w:rsid w:val="0056278F"/>
    <w:rsid w:val="005627C7"/>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08C"/>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07D"/>
    <w:rsid w:val="00583D43"/>
    <w:rsid w:val="005846C3"/>
    <w:rsid w:val="00584F04"/>
    <w:rsid w:val="0058544C"/>
    <w:rsid w:val="00585623"/>
    <w:rsid w:val="005857F7"/>
    <w:rsid w:val="005865E9"/>
    <w:rsid w:val="005868FD"/>
    <w:rsid w:val="00587D7B"/>
    <w:rsid w:val="005904DB"/>
    <w:rsid w:val="005905ED"/>
    <w:rsid w:val="00590D11"/>
    <w:rsid w:val="0059169A"/>
    <w:rsid w:val="00591BA6"/>
    <w:rsid w:val="00592825"/>
    <w:rsid w:val="00594437"/>
    <w:rsid w:val="00594B70"/>
    <w:rsid w:val="00596CFA"/>
    <w:rsid w:val="00596EC6"/>
    <w:rsid w:val="00597144"/>
    <w:rsid w:val="005975CE"/>
    <w:rsid w:val="005A0088"/>
    <w:rsid w:val="005A04F6"/>
    <w:rsid w:val="005A0D92"/>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CFD"/>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C1"/>
    <w:rsid w:val="005D4854"/>
    <w:rsid w:val="005D5BCF"/>
    <w:rsid w:val="005D65BF"/>
    <w:rsid w:val="005D6D84"/>
    <w:rsid w:val="005D70A1"/>
    <w:rsid w:val="005D79F2"/>
    <w:rsid w:val="005D7CB1"/>
    <w:rsid w:val="005D7F57"/>
    <w:rsid w:val="005E0067"/>
    <w:rsid w:val="005E0141"/>
    <w:rsid w:val="005E09CA"/>
    <w:rsid w:val="005E1AB4"/>
    <w:rsid w:val="005E255B"/>
    <w:rsid w:val="005E2AC3"/>
    <w:rsid w:val="005E2CF7"/>
    <w:rsid w:val="005E37FD"/>
    <w:rsid w:val="005E4543"/>
    <w:rsid w:val="005E4A1C"/>
    <w:rsid w:val="005E56C9"/>
    <w:rsid w:val="005E5CF7"/>
    <w:rsid w:val="005E5FF0"/>
    <w:rsid w:val="005E642A"/>
    <w:rsid w:val="005E65A7"/>
    <w:rsid w:val="005E6A54"/>
    <w:rsid w:val="005E721E"/>
    <w:rsid w:val="005F0829"/>
    <w:rsid w:val="005F0857"/>
    <w:rsid w:val="005F1470"/>
    <w:rsid w:val="005F15A9"/>
    <w:rsid w:val="005F1E91"/>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21F"/>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A1D"/>
    <w:rsid w:val="00603B1C"/>
    <w:rsid w:val="006042CD"/>
    <w:rsid w:val="00605217"/>
    <w:rsid w:val="006054A5"/>
    <w:rsid w:val="006059E4"/>
    <w:rsid w:val="00605D60"/>
    <w:rsid w:val="006062A0"/>
    <w:rsid w:val="00607015"/>
    <w:rsid w:val="00610927"/>
    <w:rsid w:val="0061098D"/>
    <w:rsid w:val="00610B78"/>
    <w:rsid w:val="00611043"/>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5FB"/>
    <w:rsid w:val="00621639"/>
    <w:rsid w:val="00622B22"/>
    <w:rsid w:val="00622F67"/>
    <w:rsid w:val="00623571"/>
    <w:rsid w:val="00623A5E"/>
    <w:rsid w:val="006241E9"/>
    <w:rsid w:val="00625008"/>
    <w:rsid w:val="0062501A"/>
    <w:rsid w:val="0062548B"/>
    <w:rsid w:val="00626710"/>
    <w:rsid w:val="00626930"/>
    <w:rsid w:val="00626AD3"/>
    <w:rsid w:val="00626BAC"/>
    <w:rsid w:val="006271C3"/>
    <w:rsid w:val="00627B14"/>
    <w:rsid w:val="00627F7E"/>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226"/>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6A2"/>
    <w:rsid w:val="00656998"/>
    <w:rsid w:val="00656E4D"/>
    <w:rsid w:val="006576BA"/>
    <w:rsid w:val="006600BF"/>
    <w:rsid w:val="00660AF7"/>
    <w:rsid w:val="00660D3E"/>
    <w:rsid w:val="00661691"/>
    <w:rsid w:val="00662D3D"/>
    <w:rsid w:val="00662F1F"/>
    <w:rsid w:val="00663CEB"/>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B8D"/>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A58"/>
    <w:rsid w:val="00685D65"/>
    <w:rsid w:val="00685FC8"/>
    <w:rsid w:val="0068625A"/>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3CC"/>
    <w:rsid w:val="006A150D"/>
    <w:rsid w:val="006A1B00"/>
    <w:rsid w:val="006A2766"/>
    <w:rsid w:val="006A343F"/>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C41"/>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4D76"/>
    <w:rsid w:val="006C53A4"/>
    <w:rsid w:val="006C54DF"/>
    <w:rsid w:val="006C5D2E"/>
    <w:rsid w:val="006C5D5D"/>
    <w:rsid w:val="006C627E"/>
    <w:rsid w:val="006C6303"/>
    <w:rsid w:val="006C6A51"/>
    <w:rsid w:val="006C6EBD"/>
    <w:rsid w:val="006C7889"/>
    <w:rsid w:val="006C7E04"/>
    <w:rsid w:val="006C7F79"/>
    <w:rsid w:val="006D0004"/>
    <w:rsid w:val="006D015F"/>
    <w:rsid w:val="006D060E"/>
    <w:rsid w:val="006D0665"/>
    <w:rsid w:val="006D0681"/>
    <w:rsid w:val="006D0A80"/>
    <w:rsid w:val="006D0AE8"/>
    <w:rsid w:val="006D135C"/>
    <w:rsid w:val="006D1AEB"/>
    <w:rsid w:val="006D2F72"/>
    <w:rsid w:val="006D43C1"/>
    <w:rsid w:val="006D5442"/>
    <w:rsid w:val="006D6E4E"/>
    <w:rsid w:val="006D7171"/>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D"/>
    <w:rsid w:val="006F1DE9"/>
    <w:rsid w:val="006F2046"/>
    <w:rsid w:val="006F2F59"/>
    <w:rsid w:val="006F311E"/>
    <w:rsid w:val="006F3442"/>
    <w:rsid w:val="006F36A5"/>
    <w:rsid w:val="006F41F4"/>
    <w:rsid w:val="006F4576"/>
    <w:rsid w:val="006F49D2"/>
    <w:rsid w:val="006F4E45"/>
    <w:rsid w:val="006F5813"/>
    <w:rsid w:val="006F59A8"/>
    <w:rsid w:val="006F5A1D"/>
    <w:rsid w:val="006F71A6"/>
    <w:rsid w:val="006F7974"/>
    <w:rsid w:val="006F7C2C"/>
    <w:rsid w:val="006F7F10"/>
    <w:rsid w:val="006F7FD5"/>
    <w:rsid w:val="00700405"/>
    <w:rsid w:val="00700D18"/>
    <w:rsid w:val="0070168D"/>
    <w:rsid w:val="00701C36"/>
    <w:rsid w:val="00702C73"/>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7EC"/>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D99"/>
    <w:rsid w:val="00757029"/>
    <w:rsid w:val="007571FD"/>
    <w:rsid w:val="0075723D"/>
    <w:rsid w:val="007602D4"/>
    <w:rsid w:val="00760D96"/>
    <w:rsid w:val="0076124A"/>
    <w:rsid w:val="00761365"/>
    <w:rsid w:val="0076161B"/>
    <w:rsid w:val="0076182A"/>
    <w:rsid w:val="00761950"/>
    <w:rsid w:val="00761CB5"/>
    <w:rsid w:val="0076216B"/>
    <w:rsid w:val="00762948"/>
    <w:rsid w:val="00762A81"/>
    <w:rsid w:val="00763137"/>
    <w:rsid w:val="00763AED"/>
    <w:rsid w:val="00763BF0"/>
    <w:rsid w:val="00763F8B"/>
    <w:rsid w:val="007640F3"/>
    <w:rsid w:val="0076417E"/>
    <w:rsid w:val="00764959"/>
    <w:rsid w:val="0076497F"/>
    <w:rsid w:val="007660EC"/>
    <w:rsid w:val="007662C7"/>
    <w:rsid w:val="00766862"/>
    <w:rsid w:val="007675DD"/>
    <w:rsid w:val="00767864"/>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7DE"/>
    <w:rsid w:val="007869F9"/>
    <w:rsid w:val="00786CBB"/>
    <w:rsid w:val="00786E21"/>
    <w:rsid w:val="007873E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6D6"/>
    <w:rsid w:val="007A2DB8"/>
    <w:rsid w:val="007A2FCB"/>
    <w:rsid w:val="007A3520"/>
    <w:rsid w:val="007A3604"/>
    <w:rsid w:val="007A3878"/>
    <w:rsid w:val="007A3D85"/>
    <w:rsid w:val="007A3E0D"/>
    <w:rsid w:val="007A436D"/>
    <w:rsid w:val="007A54F6"/>
    <w:rsid w:val="007A55FE"/>
    <w:rsid w:val="007A582C"/>
    <w:rsid w:val="007A5950"/>
    <w:rsid w:val="007A6D91"/>
    <w:rsid w:val="007A7608"/>
    <w:rsid w:val="007A7618"/>
    <w:rsid w:val="007B00C9"/>
    <w:rsid w:val="007B02C7"/>
    <w:rsid w:val="007B0306"/>
    <w:rsid w:val="007B08E4"/>
    <w:rsid w:val="007B0D86"/>
    <w:rsid w:val="007B206B"/>
    <w:rsid w:val="007B258F"/>
    <w:rsid w:val="007B28C3"/>
    <w:rsid w:val="007B3A8E"/>
    <w:rsid w:val="007B3C9B"/>
    <w:rsid w:val="007B4271"/>
    <w:rsid w:val="007B43BF"/>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9ED"/>
    <w:rsid w:val="007C3A0D"/>
    <w:rsid w:val="007C3EB0"/>
    <w:rsid w:val="007C43D6"/>
    <w:rsid w:val="007C47FF"/>
    <w:rsid w:val="007C4A5A"/>
    <w:rsid w:val="007C59AD"/>
    <w:rsid w:val="007C60A8"/>
    <w:rsid w:val="007C660F"/>
    <w:rsid w:val="007C6664"/>
    <w:rsid w:val="007C66FF"/>
    <w:rsid w:val="007C69AE"/>
    <w:rsid w:val="007C6FE9"/>
    <w:rsid w:val="007C7688"/>
    <w:rsid w:val="007C76E3"/>
    <w:rsid w:val="007C76F3"/>
    <w:rsid w:val="007C7DD9"/>
    <w:rsid w:val="007D03BC"/>
    <w:rsid w:val="007D0DC9"/>
    <w:rsid w:val="007D0ECD"/>
    <w:rsid w:val="007D157E"/>
    <w:rsid w:val="007D2882"/>
    <w:rsid w:val="007D296C"/>
    <w:rsid w:val="007D2C31"/>
    <w:rsid w:val="007D2E50"/>
    <w:rsid w:val="007D3D74"/>
    <w:rsid w:val="007D445F"/>
    <w:rsid w:val="007D4DED"/>
    <w:rsid w:val="007D5BA2"/>
    <w:rsid w:val="007D5ED3"/>
    <w:rsid w:val="007D682F"/>
    <w:rsid w:val="007D6C00"/>
    <w:rsid w:val="007D6FB9"/>
    <w:rsid w:val="007D7211"/>
    <w:rsid w:val="007E0595"/>
    <w:rsid w:val="007E0A63"/>
    <w:rsid w:val="007E0C63"/>
    <w:rsid w:val="007E0E05"/>
    <w:rsid w:val="007E0F5D"/>
    <w:rsid w:val="007E23A1"/>
    <w:rsid w:val="007E259F"/>
    <w:rsid w:val="007E2DBA"/>
    <w:rsid w:val="007E347E"/>
    <w:rsid w:val="007E41A4"/>
    <w:rsid w:val="007E43E3"/>
    <w:rsid w:val="007E54B8"/>
    <w:rsid w:val="007E5D12"/>
    <w:rsid w:val="007E6420"/>
    <w:rsid w:val="007E677F"/>
    <w:rsid w:val="007E6B25"/>
    <w:rsid w:val="007E6E06"/>
    <w:rsid w:val="007E6F4A"/>
    <w:rsid w:val="007E726F"/>
    <w:rsid w:val="007E79CC"/>
    <w:rsid w:val="007E7CE1"/>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6D5"/>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A0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04E"/>
    <w:rsid w:val="00834FEF"/>
    <w:rsid w:val="00835BAA"/>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AB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B0E"/>
    <w:rsid w:val="00877C5D"/>
    <w:rsid w:val="00880354"/>
    <w:rsid w:val="00880793"/>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798"/>
    <w:rsid w:val="00890A64"/>
    <w:rsid w:val="00890C40"/>
    <w:rsid w:val="0089122E"/>
    <w:rsid w:val="008912A7"/>
    <w:rsid w:val="0089183A"/>
    <w:rsid w:val="008918B3"/>
    <w:rsid w:val="008920B4"/>
    <w:rsid w:val="008921D4"/>
    <w:rsid w:val="008925EB"/>
    <w:rsid w:val="0089275E"/>
    <w:rsid w:val="00892B43"/>
    <w:rsid w:val="00893432"/>
    <w:rsid w:val="00893936"/>
    <w:rsid w:val="00893CE2"/>
    <w:rsid w:val="00893F41"/>
    <w:rsid w:val="00895144"/>
    <w:rsid w:val="00895963"/>
    <w:rsid w:val="00895C17"/>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4CB"/>
    <w:rsid w:val="008A5F2F"/>
    <w:rsid w:val="008A6BAE"/>
    <w:rsid w:val="008A7350"/>
    <w:rsid w:val="008A7A72"/>
    <w:rsid w:val="008B09F3"/>
    <w:rsid w:val="008B111A"/>
    <w:rsid w:val="008B16E6"/>
    <w:rsid w:val="008B1AB2"/>
    <w:rsid w:val="008B1D17"/>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80"/>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1DD"/>
    <w:rsid w:val="008D05DF"/>
    <w:rsid w:val="008D09E8"/>
    <w:rsid w:val="008D0E65"/>
    <w:rsid w:val="008D110A"/>
    <w:rsid w:val="008D1612"/>
    <w:rsid w:val="008D1AA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9F1"/>
    <w:rsid w:val="008E0EE4"/>
    <w:rsid w:val="008E12BE"/>
    <w:rsid w:val="008E13FD"/>
    <w:rsid w:val="008E1C24"/>
    <w:rsid w:val="008E2626"/>
    <w:rsid w:val="008E27A9"/>
    <w:rsid w:val="008E323C"/>
    <w:rsid w:val="008E32E0"/>
    <w:rsid w:val="008E35A6"/>
    <w:rsid w:val="008E36D9"/>
    <w:rsid w:val="008E3A5C"/>
    <w:rsid w:val="008E3A9A"/>
    <w:rsid w:val="008E429E"/>
    <w:rsid w:val="008E4B65"/>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B63"/>
    <w:rsid w:val="008F5D5A"/>
    <w:rsid w:val="008F60F3"/>
    <w:rsid w:val="008F6200"/>
    <w:rsid w:val="008F62F8"/>
    <w:rsid w:val="008F6529"/>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E6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877"/>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538"/>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70E"/>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D2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391"/>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9EA"/>
    <w:rsid w:val="00971F54"/>
    <w:rsid w:val="00972057"/>
    <w:rsid w:val="0097227B"/>
    <w:rsid w:val="0097262E"/>
    <w:rsid w:val="0097293F"/>
    <w:rsid w:val="00973103"/>
    <w:rsid w:val="0097351E"/>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5DB"/>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157"/>
    <w:rsid w:val="009A7E7C"/>
    <w:rsid w:val="009B05D2"/>
    <w:rsid w:val="009B152B"/>
    <w:rsid w:val="009B2731"/>
    <w:rsid w:val="009B2DCF"/>
    <w:rsid w:val="009B39D8"/>
    <w:rsid w:val="009B3A6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DCC"/>
    <w:rsid w:val="009E7013"/>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02B"/>
    <w:rsid w:val="00A01221"/>
    <w:rsid w:val="00A012A8"/>
    <w:rsid w:val="00A012F1"/>
    <w:rsid w:val="00A016FF"/>
    <w:rsid w:val="00A01886"/>
    <w:rsid w:val="00A0207F"/>
    <w:rsid w:val="00A021AF"/>
    <w:rsid w:val="00A027B1"/>
    <w:rsid w:val="00A0307A"/>
    <w:rsid w:val="00A03697"/>
    <w:rsid w:val="00A03A7C"/>
    <w:rsid w:val="00A044AA"/>
    <w:rsid w:val="00A05882"/>
    <w:rsid w:val="00A06462"/>
    <w:rsid w:val="00A0686F"/>
    <w:rsid w:val="00A0700C"/>
    <w:rsid w:val="00A0784F"/>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57F"/>
    <w:rsid w:val="00A176DD"/>
    <w:rsid w:val="00A20FEF"/>
    <w:rsid w:val="00A21838"/>
    <w:rsid w:val="00A22C3E"/>
    <w:rsid w:val="00A22C4D"/>
    <w:rsid w:val="00A2334E"/>
    <w:rsid w:val="00A23442"/>
    <w:rsid w:val="00A249D2"/>
    <w:rsid w:val="00A254AB"/>
    <w:rsid w:val="00A259F2"/>
    <w:rsid w:val="00A266CC"/>
    <w:rsid w:val="00A26765"/>
    <w:rsid w:val="00A26DB4"/>
    <w:rsid w:val="00A27425"/>
    <w:rsid w:val="00A3023E"/>
    <w:rsid w:val="00A305C5"/>
    <w:rsid w:val="00A30919"/>
    <w:rsid w:val="00A31F05"/>
    <w:rsid w:val="00A31FD2"/>
    <w:rsid w:val="00A3404D"/>
    <w:rsid w:val="00A341AB"/>
    <w:rsid w:val="00A34290"/>
    <w:rsid w:val="00A3436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84D"/>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9C5"/>
    <w:rsid w:val="00A519C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04"/>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D85"/>
    <w:rsid w:val="00A74E67"/>
    <w:rsid w:val="00A75423"/>
    <w:rsid w:val="00A758E2"/>
    <w:rsid w:val="00A765B1"/>
    <w:rsid w:val="00A7691D"/>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6DC"/>
    <w:rsid w:val="00AA57C9"/>
    <w:rsid w:val="00AA5A5C"/>
    <w:rsid w:val="00AA5A6F"/>
    <w:rsid w:val="00AA634D"/>
    <w:rsid w:val="00AA6F6C"/>
    <w:rsid w:val="00AA721D"/>
    <w:rsid w:val="00AA7519"/>
    <w:rsid w:val="00AA790A"/>
    <w:rsid w:val="00AB02EA"/>
    <w:rsid w:val="00AB110C"/>
    <w:rsid w:val="00AB227A"/>
    <w:rsid w:val="00AB22BF"/>
    <w:rsid w:val="00AB239B"/>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0CA"/>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B7"/>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63B"/>
    <w:rsid w:val="00B00D91"/>
    <w:rsid w:val="00B00E84"/>
    <w:rsid w:val="00B01DD9"/>
    <w:rsid w:val="00B01F0E"/>
    <w:rsid w:val="00B038F1"/>
    <w:rsid w:val="00B03C1B"/>
    <w:rsid w:val="00B0464F"/>
    <w:rsid w:val="00B04678"/>
    <w:rsid w:val="00B047C9"/>
    <w:rsid w:val="00B04A04"/>
    <w:rsid w:val="00B04B78"/>
    <w:rsid w:val="00B04C37"/>
    <w:rsid w:val="00B04F00"/>
    <w:rsid w:val="00B05BA6"/>
    <w:rsid w:val="00B066FE"/>
    <w:rsid w:val="00B06912"/>
    <w:rsid w:val="00B06B4F"/>
    <w:rsid w:val="00B06BEA"/>
    <w:rsid w:val="00B07316"/>
    <w:rsid w:val="00B07940"/>
    <w:rsid w:val="00B07A43"/>
    <w:rsid w:val="00B07F74"/>
    <w:rsid w:val="00B10618"/>
    <w:rsid w:val="00B10B04"/>
    <w:rsid w:val="00B10CC6"/>
    <w:rsid w:val="00B111C8"/>
    <w:rsid w:val="00B11932"/>
    <w:rsid w:val="00B11A61"/>
    <w:rsid w:val="00B1203F"/>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68B"/>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92A"/>
    <w:rsid w:val="00B87F1C"/>
    <w:rsid w:val="00B90D8D"/>
    <w:rsid w:val="00B91263"/>
    <w:rsid w:val="00B91663"/>
    <w:rsid w:val="00B91B61"/>
    <w:rsid w:val="00B9291A"/>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DB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14E7"/>
    <w:rsid w:val="00BC25D1"/>
    <w:rsid w:val="00BC2DBD"/>
    <w:rsid w:val="00BC372E"/>
    <w:rsid w:val="00BC3BCB"/>
    <w:rsid w:val="00BC3CF1"/>
    <w:rsid w:val="00BC3F2A"/>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BB1"/>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55D"/>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87D"/>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3C7"/>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249"/>
    <w:rsid w:val="00C45512"/>
    <w:rsid w:val="00C4602B"/>
    <w:rsid w:val="00C46564"/>
    <w:rsid w:val="00C46BFA"/>
    <w:rsid w:val="00C46DDF"/>
    <w:rsid w:val="00C500A1"/>
    <w:rsid w:val="00C50A02"/>
    <w:rsid w:val="00C51149"/>
    <w:rsid w:val="00C5117E"/>
    <w:rsid w:val="00C512D1"/>
    <w:rsid w:val="00C51856"/>
    <w:rsid w:val="00C51B04"/>
    <w:rsid w:val="00C51DB5"/>
    <w:rsid w:val="00C52F26"/>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45A"/>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422"/>
    <w:rsid w:val="00C8786A"/>
    <w:rsid w:val="00C87BBA"/>
    <w:rsid w:val="00C87BD0"/>
    <w:rsid w:val="00C905E5"/>
    <w:rsid w:val="00C90754"/>
    <w:rsid w:val="00C90B95"/>
    <w:rsid w:val="00C90BC4"/>
    <w:rsid w:val="00C90CA9"/>
    <w:rsid w:val="00C9110E"/>
    <w:rsid w:val="00C91802"/>
    <w:rsid w:val="00C92E1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26E"/>
    <w:rsid w:val="00CA3CAB"/>
    <w:rsid w:val="00CA3FC0"/>
    <w:rsid w:val="00CA5685"/>
    <w:rsid w:val="00CA6A2E"/>
    <w:rsid w:val="00CA6B56"/>
    <w:rsid w:val="00CA6D4F"/>
    <w:rsid w:val="00CA7D3E"/>
    <w:rsid w:val="00CB0317"/>
    <w:rsid w:val="00CB0662"/>
    <w:rsid w:val="00CB07EB"/>
    <w:rsid w:val="00CB0A82"/>
    <w:rsid w:val="00CB0F2F"/>
    <w:rsid w:val="00CB0F76"/>
    <w:rsid w:val="00CB1556"/>
    <w:rsid w:val="00CB2913"/>
    <w:rsid w:val="00CB3970"/>
    <w:rsid w:val="00CB42B9"/>
    <w:rsid w:val="00CB4550"/>
    <w:rsid w:val="00CB4F39"/>
    <w:rsid w:val="00CB5278"/>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116"/>
    <w:rsid w:val="00CC33B5"/>
    <w:rsid w:val="00CC4701"/>
    <w:rsid w:val="00CC56B4"/>
    <w:rsid w:val="00CC5743"/>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A83"/>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09F"/>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A47"/>
    <w:rsid w:val="00D20FD1"/>
    <w:rsid w:val="00D20FF0"/>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CCC"/>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59"/>
    <w:rsid w:val="00D61E1D"/>
    <w:rsid w:val="00D629A4"/>
    <w:rsid w:val="00D62BDF"/>
    <w:rsid w:val="00D62E47"/>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269"/>
    <w:rsid w:val="00D774F4"/>
    <w:rsid w:val="00D77687"/>
    <w:rsid w:val="00D77AF6"/>
    <w:rsid w:val="00D804C5"/>
    <w:rsid w:val="00D806A3"/>
    <w:rsid w:val="00D815E6"/>
    <w:rsid w:val="00D81A28"/>
    <w:rsid w:val="00D81BDE"/>
    <w:rsid w:val="00D8201D"/>
    <w:rsid w:val="00D82B00"/>
    <w:rsid w:val="00D82B04"/>
    <w:rsid w:val="00D82BE4"/>
    <w:rsid w:val="00D82E05"/>
    <w:rsid w:val="00D838FE"/>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CA0"/>
    <w:rsid w:val="00D92078"/>
    <w:rsid w:val="00D926F0"/>
    <w:rsid w:val="00D92A87"/>
    <w:rsid w:val="00D9384E"/>
    <w:rsid w:val="00D93AEE"/>
    <w:rsid w:val="00D93C2B"/>
    <w:rsid w:val="00D9413E"/>
    <w:rsid w:val="00D948CA"/>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854"/>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6F0"/>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7B5"/>
    <w:rsid w:val="00DC5860"/>
    <w:rsid w:val="00DC5BD0"/>
    <w:rsid w:val="00DC5BE2"/>
    <w:rsid w:val="00DC6284"/>
    <w:rsid w:val="00DC628E"/>
    <w:rsid w:val="00DC6747"/>
    <w:rsid w:val="00DC6AF3"/>
    <w:rsid w:val="00DC7230"/>
    <w:rsid w:val="00DC7608"/>
    <w:rsid w:val="00DC761E"/>
    <w:rsid w:val="00DC7B3B"/>
    <w:rsid w:val="00DC7CFC"/>
    <w:rsid w:val="00DD09F2"/>
    <w:rsid w:val="00DD0DEE"/>
    <w:rsid w:val="00DD0F09"/>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D1"/>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65B"/>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A29"/>
    <w:rsid w:val="00E0232F"/>
    <w:rsid w:val="00E026A9"/>
    <w:rsid w:val="00E02EC4"/>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6CA7"/>
    <w:rsid w:val="00E1720B"/>
    <w:rsid w:val="00E203DE"/>
    <w:rsid w:val="00E204A6"/>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5CD"/>
    <w:rsid w:val="00E333D5"/>
    <w:rsid w:val="00E3394F"/>
    <w:rsid w:val="00E33A0B"/>
    <w:rsid w:val="00E34824"/>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1D8"/>
    <w:rsid w:val="00E4208F"/>
    <w:rsid w:val="00E42E94"/>
    <w:rsid w:val="00E43006"/>
    <w:rsid w:val="00E4312A"/>
    <w:rsid w:val="00E4331B"/>
    <w:rsid w:val="00E43551"/>
    <w:rsid w:val="00E437FA"/>
    <w:rsid w:val="00E4407C"/>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FD4"/>
    <w:rsid w:val="00E574BB"/>
    <w:rsid w:val="00E57932"/>
    <w:rsid w:val="00E606C4"/>
    <w:rsid w:val="00E60811"/>
    <w:rsid w:val="00E60AB8"/>
    <w:rsid w:val="00E6103E"/>
    <w:rsid w:val="00E6185F"/>
    <w:rsid w:val="00E61D32"/>
    <w:rsid w:val="00E63C60"/>
    <w:rsid w:val="00E63F94"/>
    <w:rsid w:val="00E64050"/>
    <w:rsid w:val="00E64B7B"/>
    <w:rsid w:val="00E6514D"/>
    <w:rsid w:val="00E65161"/>
    <w:rsid w:val="00E652C9"/>
    <w:rsid w:val="00E65323"/>
    <w:rsid w:val="00E6593B"/>
    <w:rsid w:val="00E65D74"/>
    <w:rsid w:val="00E66E11"/>
    <w:rsid w:val="00E672C6"/>
    <w:rsid w:val="00E70192"/>
    <w:rsid w:val="00E70C55"/>
    <w:rsid w:val="00E70E34"/>
    <w:rsid w:val="00E7153E"/>
    <w:rsid w:val="00E71809"/>
    <w:rsid w:val="00E71D1E"/>
    <w:rsid w:val="00E725F7"/>
    <w:rsid w:val="00E726F2"/>
    <w:rsid w:val="00E728E2"/>
    <w:rsid w:val="00E72D0A"/>
    <w:rsid w:val="00E738FA"/>
    <w:rsid w:val="00E739B6"/>
    <w:rsid w:val="00E74A2B"/>
    <w:rsid w:val="00E75667"/>
    <w:rsid w:val="00E756D3"/>
    <w:rsid w:val="00E75A5A"/>
    <w:rsid w:val="00E75E55"/>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33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053"/>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5F0A"/>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DAE"/>
    <w:rsid w:val="00EE499F"/>
    <w:rsid w:val="00EE503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4FD"/>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2BB"/>
    <w:rsid w:val="00F10B81"/>
    <w:rsid w:val="00F10BC9"/>
    <w:rsid w:val="00F11078"/>
    <w:rsid w:val="00F113C9"/>
    <w:rsid w:val="00F11C01"/>
    <w:rsid w:val="00F11D80"/>
    <w:rsid w:val="00F12929"/>
    <w:rsid w:val="00F129F2"/>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84"/>
    <w:rsid w:val="00F234A4"/>
    <w:rsid w:val="00F2363A"/>
    <w:rsid w:val="00F238F7"/>
    <w:rsid w:val="00F23BA0"/>
    <w:rsid w:val="00F2420C"/>
    <w:rsid w:val="00F24C28"/>
    <w:rsid w:val="00F24C9E"/>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D05"/>
    <w:rsid w:val="00F52065"/>
    <w:rsid w:val="00F521CE"/>
    <w:rsid w:val="00F5253E"/>
    <w:rsid w:val="00F5254B"/>
    <w:rsid w:val="00F52CB7"/>
    <w:rsid w:val="00F53A44"/>
    <w:rsid w:val="00F54E5E"/>
    <w:rsid w:val="00F551A7"/>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6C1"/>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5CE"/>
    <w:rsid w:val="00F74C0C"/>
    <w:rsid w:val="00F7549C"/>
    <w:rsid w:val="00F758E1"/>
    <w:rsid w:val="00F75BB5"/>
    <w:rsid w:val="00F75FBF"/>
    <w:rsid w:val="00F75FD5"/>
    <w:rsid w:val="00F7604C"/>
    <w:rsid w:val="00F773A9"/>
    <w:rsid w:val="00F8056E"/>
    <w:rsid w:val="00F805B7"/>
    <w:rsid w:val="00F80A69"/>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128"/>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EAC"/>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EE6"/>
    <w:rsid w:val="00FD10B3"/>
    <w:rsid w:val="00FD11C3"/>
    <w:rsid w:val="00FD154E"/>
    <w:rsid w:val="00FD1F39"/>
    <w:rsid w:val="00FD24D7"/>
    <w:rsid w:val="00FD299A"/>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7EF"/>
    <w:rsid w:val="00FE6870"/>
    <w:rsid w:val="00FE713E"/>
    <w:rsid w:val="00FE7877"/>
    <w:rsid w:val="00FE7DD1"/>
    <w:rsid w:val="00FF0B4F"/>
    <w:rsid w:val="00FF0F58"/>
    <w:rsid w:val="00FF183C"/>
    <w:rsid w:val="00FF1A06"/>
    <w:rsid w:val="00FF1AD3"/>
    <w:rsid w:val="00FF1B46"/>
    <w:rsid w:val="00FF219D"/>
    <w:rsid w:val="00FF2A7B"/>
    <w:rsid w:val="00FF3D2B"/>
    <w:rsid w:val="00FF44E6"/>
    <w:rsid w:val="00FF49B4"/>
    <w:rsid w:val="00FF49F4"/>
    <w:rsid w:val="00FF5C6A"/>
    <w:rsid w:val="00FF651D"/>
    <w:rsid w:val="00FF6843"/>
    <w:rsid w:val="00FF6C25"/>
    <w:rsid w:val="010651D9"/>
    <w:rsid w:val="011F6449"/>
    <w:rsid w:val="01236AFB"/>
    <w:rsid w:val="01430E25"/>
    <w:rsid w:val="019F7441"/>
    <w:rsid w:val="01B37585"/>
    <w:rsid w:val="01B71860"/>
    <w:rsid w:val="01D55165"/>
    <w:rsid w:val="01DF6BF8"/>
    <w:rsid w:val="01EC2C57"/>
    <w:rsid w:val="025F0711"/>
    <w:rsid w:val="026B2E25"/>
    <w:rsid w:val="02824D4D"/>
    <w:rsid w:val="02A2532E"/>
    <w:rsid w:val="02B0310F"/>
    <w:rsid w:val="02DC4B10"/>
    <w:rsid w:val="02DD76CE"/>
    <w:rsid w:val="02F36323"/>
    <w:rsid w:val="02F5619C"/>
    <w:rsid w:val="0326446A"/>
    <w:rsid w:val="032D5555"/>
    <w:rsid w:val="036634D2"/>
    <w:rsid w:val="03DD35E4"/>
    <w:rsid w:val="03E2379C"/>
    <w:rsid w:val="04076900"/>
    <w:rsid w:val="041A5A3B"/>
    <w:rsid w:val="042311BA"/>
    <w:rsid w:val="042B157A"/>
    <w:rsid w:val="048F763B"/>
    <w:rsid w:val="049F330E"/>
    <w:rsid w:val="04AA775C"/>
    <w:rsid w:val="04AF1889"/>
    <w:rsid w:val="04BA0982"/>
    <w:rsid w:val="04F66F48"/>
    <w:rsid w:val="05251E14"/>
    <w:rsid w:val="05A16594"/>
    <w:rsid w:val="05A7762D"/>
    <w:rsid w:val="060E5941"/>
    <w:rsid w:val="06110FAF"/>
    <w:rsid w:val="06493CA7"/>
    <w:rsid w:val="065A6178"/>
    <w:rsid w:val="066F1CF3"/>
    <w:rsid w:val="06930BB8"/>
    <w:rsid w:val="06B70F10"/>
    <w:rsid w:val="07245D42"/>
    <w:rsid w:val="07264C62"/>
    <w:rsid w:val="0779354C"/>
    <w:rsid w:val="07B60AD8"/>
    <w:rsid w:val="08061376"/>
    <w:rsid w:val="08452D77"/>
    <w:rsid w:val="086401F8"/>
    <w:rsid w:val="08751CAA"/>
    <w:rsid w:val="087E4C40"/>
    <w:rsid w:val="08A871D0"/>
    <w:rsid w:val="08D66AD6"/>
    <w:rsid w:val="08DA33A3"/>
    <w:rsid w:val="08E80F13"/>
    <w:rsid w:val="090D5D13"/>
    <w:rsid w:val="09335624"/>
    <w:rsid w:val="0944690F"/>
    <w:rsid w:val="09535675"/>
    <w:rsid w:val="095F057D"/>
    <w:rsid w:val="09642282"/>
    <w:rsid w:val="09733572"/>
    <w:rsid w:val="09772C16"/>
    <w:rsid w:val="098353B5"/>
    <w:rsid w:val="09A92330"/>
    <w:rsid w:val="09B06B87"/>
    <w:rsid w:val="09B87A90"/>
    <w:rsid w:val="09C13146"/>
    <w:rsid w:val="09E04166"/>
    <w:rsid w:val="0A1C0718"/>
    <w:rsid w:val="0A3E7710"/>
    <w:rsid w:val="0A4E70E3"/>
    <w:rsid w:val="0A5B7E63"/>
    <w:rsid w:val="0A9B5DF6"/>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E3D74"/>
    <w:rsid w:val="0D4A7419"/>
    <w:rsid w:val="0D827401"/>
    <w:rsid w:val="0D84094E"/>
    <w:rsid w:val="0D8A00E9"/>
    <w:rsid w:val="0D8D589E"/>
    <w:rsid w:val="0DA01C73"/>
    <w:rsid w:val="0DD63300"/>
    <w:rsid w:val="0DF50604"/>
    <w:rsid w:val="0DF702FE"/>
    <w:rsid w:val="0E060E51"/>
    <w:rsid w:val="0E0B4A8C"/>
    <w:rsid w:val="0E5604B2"/>
    <w:rsid w:val="0E6D5D79"/>
    <w:rsid w:val="0E9D0089"/>
    <w:rsid w:val="0EB803EE"/>
    <w:rsid w:val="0EF94D4B"/>
    <w:rsid w:val="0F015D2A"/>
    <w:rsid w:val="0F4958DC"/>
    <w:rsid w:val="0F515DF7"/>
    <w:rsid w:val="0F596BA8"/>
    <w:rsid w:val="0F6248D2"/>
    <w:rsid w:val="0F690AFE"/>
    <w:rsid w:val="0F693536"/>
    <w:rsid w:val="0F7B0511"/>
    <w:rsid w:val="0F7B76D9"/>
    <w:rsid w:val="0F811D0E"/>
    <w:rsid w:val="0F816ACD"/>
    <w:rsid w:val="0F9832DB"/>
    <w:rsid w:val="0FBF05FB"/>
    <w:rsid w:val="0FBF3FD2"/>
    <w:rsid w:val="0FBF7FF3"/>
    <w:rsid w:val="10646583"/>
    <w:rsid w:val="107D4B15"/>
    <w:rsid w:val="108A3C80"/>
    <w:rsid w:val="10C26171"/>
    <w:rsid w:val="10F33360"/>
    <w:rsid w:val="10FC16EA"/>
    <w:rsid w:val="110F1D40"/>
    <w:rsid w:val="11266F33"/>
    <w:rsid w:val="1154301B"/>
    <w:rsid w:val="118963A1"/>
    <w:rsid w:val="11C6522A"/>
    <w:rsid w:val="11E104CC"/>
    <w:rsid w:val="11E20309"/>
    <w:rsid w:val="12255233"/>
    <w:rsid w:val="12530213"/>
    <w:rsid w:val="127723A9"/>
    <w:rsid w:val="12862074"/>
    <w:rsid w:val="12883966"/>
    <w:rsid w:val="129E45B4"/>
    <w:rsid w:val="12D81596"/>
    <w:rsid w:val="13072A44"/>
    <w:rsid w:val="1357161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7E31AB"/>
    <w:rsid w:val="16A8729C"/>
    <w:rsid w:val="16B33777"/>
    <w:rsid w:val="16B965DF"/>
    <w:rsid w:val="16BC70A7"/>
    <w:rsid w:val="16C6339E"/>
    <w:rsid w:val="172F2D79"/>
    <w:rsid w:val="17557BEF"/>
    <w:rsid w:val="17D349C1"/>
    <w:rsid w:val="1830729E"/>
    <w:rsid w:val="1870062C"/>
    <w:rsid w:val="18817102"/>
    <w:rsid w:val="18830A15"/>
    <w:rsid w:val="18852B28"/>
    <w:rsid w:val="188B5321"/>
    <w:rsid w:val="190B1ADE"/>
    <w:rsid w:val="19932372"/>
    <w:rsid w:val="19A20DD5"/>
    <w:rsid w:val="19AE03F1"/>
    <w:rsid w:val="1A071A03"/>
    <w:rsid w:val="1A1F16AE"/>
    <w:rsid w:val="1A3B5C77"/>
    <w:rsid w:val="1A984BAD"/>
    <w:rsid w:val="1AB8220E"/>
    <w:rsid w:val="1AE4166C"/>
    <w:rsid w:val="1AF06CFB"/>
    <w:rsid w:val="1AF11B8D"/>
    <w:rsid w:val="1B11359C"/>
    <w:rsid w:val="1B2A271F"/>
    <w:rsid w:val="1B521CAA"/>
    <w:rsid w:val="1B530544"/>
    <w:rsid w:val="1B713184"/>
    <w:rsid w:val="1BA209CF"/>
    <w:rsid w:val="1BB4777D"/>
    <w:rsid w:val="1BD75AB8"/>
    <w:rsid w:val="1C0459C2"/>
    <w:rsid w:val="1C1B3B4A"/>
    <w:rsid w:val="1C88086E"/>
    <w:rsid w:val="1D1F4CC2"/>
    <w:rsid w:val="1D266CE1"/>
    <w:rsid w:val="1D3963AF"/>
    <w:rsid w:val="1D6A673C"/>
    <w:rsid w:val="1D8E6A3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C3E51"/>
    <w:rsid w:val="216133FC"/>
    <w:rsid w:val="21D56769"/>
    <w:rsid w:val="21E52EF3"/>
    <w:rsid w:val="21FB5D7B"/>
    <w:rsid w:val="22015E94"/>
    <w:rsid w:val="220B1C3D"/>
    <w:rsid w:val="221D1D20"/>
    <w:rsid w:val="22334A87"/>
    <w:rsid w:val="225F6CC7"/>
    <w:rsid w:val="226D06CE"/>
    <w:rsid w:val="22B22A9C"/>
    <w:rsid w:val="22BE6801"/>
    <w:rsid w:val="233500BF"/>
    <w:rsid w:val="23377FF7"/>
    <w:rsid w:val="236B425F"/>
    <w:rsid w:val="23836192"/>
    <w:rsid w:val="23901F29"/>
    <w:rsid w:val="239C0061"/>
    <w:rsid w:val="23B908A4"/>
    <w:rsid w:val="23E95BEF"/>
    <w:rsid w:val="23FA5EC4"/>
    <w:rsid w:val="23FD0064"/>
    <w:rsid w:val="245375B0"/>
    <w:rsid w:val="24642C0A"/>
    <w:rsid w:val="24B22173"/>
    <w:rsid w:val="24B95AD9"/>
    <w:rsid w:val="24BE24DA"/>
    <w:rsid w:val="24CF5825"/>
    <w:rsid w:val="24D663E6"/>
    <w:rsid w:val="24D77F2B"/>
    <w:rsid w:val="24F84776"/>
    <w:rsid w:val="25755DC7"/>
    <w:rsid w:val="257D4C7B"/>
    <w:rsid w:val="258B00E2"/>
    <w:rsid w:val="25A917A6"/>
    <w:rsid w:val="25BE27CC"/>
    <w:rsid w:val="25E07439"/>
    <w:rsid w:val="25F74A5C"/>
    <w:rsid w:val="261627C8"/>
    <w:rsid w:val="2628662C"/>
    <w:rsid w:val="262D45DE"/>
    <w:rsid w:val="26871DC8"/>
    <w:rsid w:val="26A53EF9"/>
    <w:rsid w:val="26A94201"/>
    <w:rsid w:val="26AC274F"/>
    <w:rsid w:val="2702368A"/>
    <w:rsid w:val="27044A29"/>
    <w:rsid w:val="271D34C8"/>
    <w:rsid w:val="276142BF"/>
    <w:rsid w:val="27783712"/>
    <w:rsid w:val="27907362"/>
    <w:rsid w:val="28333E1D"/>
    <w:rsid w:val="28454BD6"/>
    <w:rsid w:val="28455253"/>
    <w:rsid w:val="284F2EFD"/>
    <w:rsid w:val="28551971"/>
    <w:rsid w:val="285B1C53"/>
    <w:rsid w:val="289F7086"/>
    <w:rsid w:val="28C32028"/>
    <w:rsid w:val="28CC490F"/>
    <w:rsid w:val="28D64DCE"/>
    <w:rsid w:val="28DE40AA"/>
    <w:rsid w:val="29345E77"/>
    <w:rsid w:val="294C65AD"/>
    <w:rsid w:val="296028EA"/>
    <w:rsid w:val="297A2D65"/>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20DC9"/>
    <w:rsid w:val="2C95574B"/>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64BE3"/>
    <w:rsid w:val="30733ACD"/>
    <w:rsid w:val="308C3862"/>
    <w:rsid w:val="309379D8"/>
    <w:rsid w:val="30A270F7"/>
    <w:rsid w:val="30DF1478"/>
    <w:rsid w:val="30EC586F"/>
    <w:rsid w:val="310402C4"/>
    <w:rsid w:val="314550B7"/>
    <w:rsid w:val="31892A88"/>
    <w:rsid w:val="319C6071"/>
    <w:rsid w:val="31AC537E"/>
    <w:rsid w:val="31C003CA"/>
    <w:rsid w:val="31E3679B"/>
    <w:rsid w:val="31E732FD"/>
    <w:rsid w:val="32517576"/>
    <w:rsid w:val="32547C70"/>
    <w:rsid w:val="32BE5C2C"/>
    <w:rsid w:val="32FB6478"/>
    <w:rsid w:val="33263B3F"/>
    <w:rsid w:val="336963EB"/>
    <w:rsid w:val="33816EEB"/>
    <w:rsid w:val="339A10EE"/>
    <w:rsid w:val="33EB55CD"/>
    <w:rsid w:val="33EC4C02"/>
    <w:rsid w:val="340D2360"/>
    <w:rsid w:val="3410665D"/>
    <w:rsid w:val="34211214"/>
    <w:rsid w:val="342E63AB"/>
    <w:rsid w:val="346A4A7D"/>
    <w:rsid w:val="34950E68"/>
    <w:rsid w:val="34986E94"/>
    <w:rsid w:val="34AF62C9"/>
    <w:rsid w:val="34CB4388"/>
    <w:rsid w:val="34FA6E12"/>
    <w:rsid w:val="354D7158"/>
    <w:rsid w:val="358D5588"/>
    <w:rsid w:val="36064819"/>
    <w:rsid w:val="363A3B40"/>
    <w:rsid w:val="365302AE"/>
    <w:rsid w:val="36607A0A"/>
    <w:rsid w:val="366E227C"/>
    <w:rsid w:val="366F2E0D"/>
    <w:rsid w:val="367B6A5C"/>
    <w:rsid w:val="36A62B29"/>
    <w:rsid w:val="36A74ADA"/>
    <w:rsid w:val="36AD60D5"/>
    <w:rsid w:val="36B224F9"/>
    <w:rsid w:val="36EC0CC9"/>
    <w:rsid w:val="373F410B"/>
    <w:rsid w:val="37EC247C"/>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572CE"/>
    <w:rsid w:val="3C105946"/>
    <w:rsid w:val="3C471448"/>
    <w:rsid w:val="3C5F759A"/>
    <w:rsid w:val="3C6C525A"/>
    <w:rsid w:val="3CCE23CB"/>
    <w:rsid w:val="3CD17D17"/>
    <w:rsid w:val="3CE508CA"/>
    <w:rsid w:val="3D3C7F39"/>
    <w:rsid w:val="3D440F09"/>
    <w:rsid w:val="3D4504A0"/>
    <w:rsid w:val="3D7F1816"/>
    <w:rsid w:val="3D8734BB"/>
    <w:rsid w:val="3D9A11D4"/>
    <w:rsid w:val="3DA16D89"/>
    <w:rsid w:val="3DA364BE"/>
    <w:rsid w:val="3DE041CB"/>
    <w:rsid w:val="3E0D48F6"/>
    <w:rsid w:val="3E1868B4"/>
    <w:rsid w:val="3E377251"/>
    <w:rsid w:val="3E42664B"/>
    <w:rsid w:val="3E533699"/>
    <w:rsid w:val="3E5A7334"/>
    <w:rsid w:val="3E7B5D6B"/>
    <w:rsid w:val="3E843E66"/>
    <w:rsid w:val="3E8F51FE"/>
    <w:rsid w:val="3E926F87"/>
    <w:rsid w:val="3E9A59DE"/>
    <w:rsid w:val="3EAF4836"/>
    <w:rsid w:val="3EB67051"/>
    <w:rsid w:val="3EC33DFA"/>
    <w:rsid w:val="3F060E16"/>
    <w:rsid w:val="3F122481"/>
    <w:rsid w:val="3F1D1096"/>
    <w:rsid w:val="3F2F0234"/>
    <w:rsid w:val="3F6363FE"/>
    <w:rsid w:val="3F756B8F"/>
    <w:rsid w:val="3F95482B"/>
    <w:rsid w:val="3FC1012F"/>
    <w:rsid w:val="3FD57736"/>
    <w:rsid w:val="4019356B"/>
    <w:rsid w:val="4030351A"/>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A3726"/>
    <w:rsid w:val="449101DD"/>
    <w:rsid w:val="44DE1391"/>
    <w:rsid w:val="451B225C"/>
    <w:rsid w:val="452410C9"/>
    <w:rsid w:val="45317DFB"/>
    <w:rsid w:val="456D3CE4"/>
    <w:rsid w:val="4579042C"/>
    <w:rsid w:val="457F0571"/>
    <w:rsid w:val="45851176"/>
    <w:rsid w:val="45C63B94"/>
    <w:rsid w:val="460E7DA5"/>
    <w:rsid w:val="461D3BE5"/>
    <w:rsid w:val="46422483"/>
    <w:rsid w:val="4659254A"/>
    <w:rsid w:val="465B0637"/>
    <w:rsid w:val="465E3F0D"/>
    <w:rsid w:val="466A16E6"/>
    <w:rsid w:val="46893F2B"/>
    <w:rsid w:val="46C4686E"/>
    <w:rsid w:val="47170B1D"/>
    <w:rsid w:val="471E5E67"/>
    <w:rsid w:val="47686699"/>
    <w:rsid w:val="477B778F"/>
    <w:rsid w:val="478203EC"/>
    <w:rsid w:val="47B025FA"/>
    <w:rsid w:val="4809698F"/>
    <w:rsid w:val="4811697D"/>
    <w:rsid w:val="487A3E25"/>
    <w:rsid w:val="488B5503"/>
    <w:rsid w:val="48937E21"/>
    <w:rsid w:val="489A0361"/>
    <w:rsid w:val="489B3EAF"/>
    <w:rsid w:val="48B94FF3"/>
    <w:rsid w:val="48E37AAB"/>
    <w:rsid w:val="48FD4B4C"/>
    <w:rsid w:val="490A68E0"/>
    <w:rsid w:val="491055FE"/>
    <w:rsid w:val="495F5B3E"/>
    <w:rsid w:val="49697BF9"/>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5217F8"/>
    <w:rsid w:val="4CB6685F"/>
    <w:rsid w:val="4CC367FE"/>
    <w:rsid w:val="4D077F3C"/>
    <w:rsid w:val="4D123355"/>
    <w:rsid w:val="4D2A3B31"/>
    <w:rsid w:val="4D312C52"/>
    <w:rsid w:val="4D905305"/>
    <w:rsid w:val="4D964A72"/>
    <w:rsid w:val="4D9C1254"/>
    <w:rsid w:val="4E287D9F"/>
    <w:rsid w:val="4E793892"/>
    <w:rsid w:val="4E800872"/>
    <w:rsid w:val="4EC569ED"/>
    <w:rsid w:val="4ED50EA1"/>
    <w:rsid w:val="4EEC050C"/>
    <w:rsid w:val="4F104EC3"/>
    <w:rsid w:val="4F47354A"/>
    <w:rsid w:val="4F6D4A83"/>
    <w:rsid w:val="4F911C54"/>
    <w:rsid w:val="4FAA0AA1"/>
    <w:rsid w:val="4FE625E0"/>
    <w:rsid w:val="5021480F"/>
    <w:rsid w:val="5058723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17AAE"/>
    <w:rsid w:val="51A86090"/>
    <w:rsid w:val="51B7396D"/>
    <w:rsid w:val="51B96BA5"/>
    <w:rsid w:val="522E4CC3"/>
    <w:rsid w:val="5244713B"/>
    <w:rsid w:val="524F5CF2"/>
    <w:rsid w:val="52615633"/>
    <w:rsid w:val="526F4DE4"/>
    <w:rsid w:val="52977FD4"/>
    <w:rsid w:val="52A25790"/>
    <w:rsid w:val="52A96B6F"/>
    <w:rsid w:val="52B45975"/>
    <w:rsid w:val="52D94AA4"/>
    <w:rsid w:val="52EA3A62"/>
    <w:rsid w:val="52F50BB8"/>
    <w:rsid w:val="53097272"/>
    <w:rsid w:val="53544462"/>
    <w:rsid w:val="5397158E"/>
    <w:rsid w:val="54013861"/>
    <w:rsid w:val="54451139"/>
    <w:rsid w:val="54487265"/>
    <w:rsid w:val="544D6070"/>
    <w:rsid w:val="54522468"/>
    <w:rsid w:val="54605E1E"/>
    <w:rsid w:val="54B3506A"/>
    <w:rsid w:val="54CA0D16"/>
    <w:rsid w:val="54DD4057"/>
    <w:rsid w:val="54E7490F"/>
    <w:rsid w:val="550764A4"/>
    <w:rsid w:val="550B2BF6"/>
    <w:rsid w:val="55214EB5"/>
    <w:rsid w:val="55364EFD"/>
    <w:rsid w:val="555D4828"/>
    <w:rsid w:val="5560061D"/>
    <w:rsid w:val="557A4C8B"/>
    <w:rsid w:val="558931E1"/>
    <w:rsid w:val="55923347"/>
    <w:rsid w:val="55925180"/>
    <w:rsid w:val="55983B1B"/>
    <w:rsid w:val="55A8376B"/>
    <w:rsid w:val="55DC29B6"/>
    <w:rsid w:val="55DD4241"/>
    <w:rsid w:val="566B6D1E"/>
    <w:rsid w:val="57032A2C"/>
    <w:rsid w:val="57074DB4"/>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15B2E"/>
    <w:rsid w:val="59AA2C98"/>
    <w:rsid w:val="59F80043"/>
    <w:rsid w:val="5A09252F"/>
    <w:rsid w:val="5A0B2778"/>
    <w:rsid w:val="5A2A7C7B"/>
    <w:rsid w:val="5A3E2560"/>
    <w:rsid w:val="5A5D3B6E"/>
    <w:rsid w:val="5A637A76"/>
    <w:rsid w:val="5A6D33BA"/>
    <w:rsid w:val="5A792B1F"/>
    <w:rsid w:val="5A874767"/>
    <w:rsid w:val="5A8E0803"/>
    <w:rsid w:val="5AA85BE2"/>
    <w:rsid w:val="5AAD6F28"/>
    <w:rsid w:val="5AD63A24"/>
    <w:rsid w:val="5B2E1A1D"/>
    <w:rsid w:val="5B843A1C"/>
    <w:rsid w:val="5B873E3F"/>
    <w:rsid w:val="5C02690E"/>
    <w:rsid w:val="5C196DA7"/>
    <w:rsid w:val="5C2A048C"/>
    <w:rsid w:val="5C80234E"/>
    <w:rsid w:val="5C8A680C"/>
    <w:rsid w:val="5C8E5F80"/>
    <w:rsid w:val="5C9B1B8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55834"/>
    <w:rsid w:val="5F06174D"/>
    <w:rsid w:val="5F3A3602"/>
    <w:rsid w:val="5F45733B"/>
    <w:rsid w:val="5F6277C6"/>
    <w:rsid w:val="5F6D0B1D"/>
    <w:rsid w:val="5F8D0B82"/>
    <w:rsid w:val="5F9E7EF3"/>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7520AC"/>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E7F5E"/>
    <w:rsid w:val="65C76DB3"/>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93CF1"/>
    <w:rsid w:val="6B5B6274"/>
    <w:rsid w:val="6B935D53"/>
    <w:rsid w:val="6BD66460"/>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0A0C12"/>
    <w:rsid w:val="72154626"/>
    <w:rsid w:val="72262B5D"/>
    <w:rsid w:val="72283FF7"/>
    <w:rsid w:val="722E7212"/>
    <w:rsid w:val="723A0474"/>
    <w:rsid w:val="725923E4"/>
    <w:rsid w:val="72864BF7"/>
    <w:rsid w:val="729023FC"/>
    <w:rsid w:val="72954B61"/>
    <w:rsid w:val="73BD4F97"/>
    <w:rsid w:val="73C0646E"/>
    <w:rsid w:val="742222F5"/>
    <w:rsid w:val="74476126"/>
    <w:rsid w:val="74706664"/>
    <w:rsid w:val="747F3682"/>
    <w:rsid w:val="749C4185"/>
    <w:rsid w:val="74FE7444"/>
    <w:rsid w:val="75067759"/>
    <w:rsid w:val="752E6DCD"/>
    <w:rsid w:val="7551380D"/>
    <w:rsid w:val="75600BE5"/>
    <w:rsid w:val="7564475C"/>
    <w:rsid w:val="7583797F"/>
    <w:rsid w:val="75965D1C"/>
    <w:rsid w:val="75D20F1D"/>
    <w:rsid w:val="75DA2C18"/>
    <w:rsid w:val="75F54412"/>
    <w:rsid w:val="760616F0"/>
    <w:rsid w:val="761D08E0"/>
    <w:rsid w:val="765D347C"/>
    <w:rsid w:val="76826699"/>
    <w:rsid w:val="76B63116"/>
    <w:rsid w:val="76C87133"/>
    <w:rsid w:val="76CD08D5"/>
    <w:rsid w:val="76DB4B92"/>
    <w:rsid w:val="76FD013A"/>
    <w:rsid w:val="77052AA4"/>
    <w:rsid w:val="77136511"/>
    <w:rsid w:val="77340A39"/>
    <w:rsid w:val="77351FD0"/>
    <w:rsid w:val="77472422"/>
    <w:rsid w:val="777F31F2"/>
    <w:rsid w:val="77D1700D"/>
    <w:rsid w:val="77EC04CC"/>
    <w:rsid w:val="78713799"/>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35E02"/>
    <w:rsid w:val="7AD05746"/>
    <w:rsid w:val="7B214ED0"/>
    <w:rsid w:val="7B257FFD"/>
    <w:rsid w:val="7B273D20"/>
    <w:rsid w:val="7B343476"/>
    <w:rsid w:val="7B5A2978"/>
    <w:rsid w:val="7B5A7E4C"/>
    <w:rsid w:val="7B667AF9"/>
    <w:rsid w:val="7B7468F8"/>
    <w:rsid w:val="7BA9702E"/>
    <w:rsid w:val="7BEE0103"/>
    <w:rsid w:val="7BEF1405"/>
    <w:rsid w:val="7C0A0FE4"/>
    <w:rsid w:val="7C126B26"/>
    <w:rsid w:val="7C254906"/>
    <w:rsid w:val="7C5514A3"/>
    <w:rsid w:val="7C590818"/>
    <w:rsid w:val="7C7C10F6"/>
    <w:rsid w:val="7C853BEA"/>
    <w:rsid w:val="7C881368"/>
    <w:rsid w:val="7CE27788"/>
    <w:rsid w:val="7D0C32F1"/>
    <w:rsid w:val="7D0F408D"/>
    <w:rsid w:val="7D491C6C"/>
    <w:rsid w:val="7D5429C0"/>
    <w:rsid w:val="7D6E6D43"/>
    <w:rsid w:val="7D8C4BD1"/>
    <w:rsid w:val="7DB57A34"/>
    <w:rsid w:val="7DC0487A"/>
    <w:rsid w:val="7DE60973"/>
    <w:rsid w:val="7DEF0916"/>
    <w:rsid w:val="7E1E5218"/>
    <w:rsid w:val="7E772CEE"/>
    <w:rsid w:val="7E9A4E1F"/>
    <w:rsid w:val="7EA7723A"/>
    <w:rsid w:val="7EF56FBB"/>
    <w:rsid w:val="7F0256F5"/>
    <w:rsid w:val="7F0768EB"/>
    <w:rsid w:val="7F143BEC"/>
    <w:rsid w:val="7F715AF2"/>
    <w:rsid w:val="7F886E69"/>
    <w:rsid w:val="7FCA0455"/>
    <w:rsid w:val="7FEB71F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39"/>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3027</Words>
  <Characters>3556</Characters>
  <Lines>313</Lines>
  <Paragraphs>88</Paragraphs>
  <TotalTime>62</TotalTime>
  <ScaleCrop>false</ScaleCrop>
  <LinksUpToDate>false</LinksUpToDate>
  <CharactersWithSpaces>3733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既然青春留不住</cp:lastModifiedBy>
  <cp:lastPrinted>2021-12-27T11:06:00Z</cp:lastPrinted>
  <dcterms:modified xsi:type="dcterms:W3CDTF">2024-12-26T04:22:50Z</dcterms:modified>
  <dc:title>杭州市市民卡扩大发卡工程</dc:title>
  <cp:revision>571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eyJoZGlkIjoiMDUwYTc1ZmZlMjQ1NTkzMDA2NjUyY2M5N2FiMmNhMmQiLCJ1c2VySWQiOiIxMzM5NTc0NDYwIn0=</vt:lpwstr>
  </property>
</Properties>
</file>