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6F3988FF">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2025年花港管理处零星维修服务</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000000" w:themeColor="text1"/>
          <w:sz w:val="30"/>
          <w:szCs w:val="30"/>
          <w:highlight w:val="none"/>
          <w:lang w:eastAsia="zh-CN"/>
          <w14:textFill>
            <w14:solidFill>
              <w14:schemeClr w14:val="tx1"/>
            </w14:solidFill>
          </w14:textFill>
        </w:rPr>
        <w:t>FYC012503-35</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291ECDFD">
      <w:pPr>
        <w:snapToGrid w:val="0"/>
        <w:spacing w:line="360" w:lineRule="auto"/>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杭州西湖风景名胜区花港管理处</w:t>
      </w:r>
    </w:p>
    <w:p w14:paraId="1DD13EC6">
      <w:pPr>
        <w:spacing w:line="360" w:lineRule="auto"/>
        <w:jc w:val="center"/>
        <w:rPr>
          <w:rFonts w:hint="eastAsia" w:ascii="宋体" w:hAnsi="宋体" w:eastAsia="宋体" w:cs="宋体"/>
          <w:bCs/>
          <w:color w:val="000000" w:themeColor="text1"/>
          <w:sz w:val="32"/>
          <w:szCs w:val="32"/>
          <w:highlight w:val="none"/>
          <w:lang w:eastAsia="zh-CN"/>
          <w14:textFill>
            <w14:solidFill>
              <w14:schemeClr w14:val="tx1"/>
            </w14:solidFill>
          </w14:textFill>
        </w:rPr>
      </w:pPr>
      <w:r>
        <w:rPr>
          <w:rFonts w:hint="eastAsia" w:ascii="宋体" w:hAnsi="宋体" w:cs="宋体"/>
          <w:bCs/>
          <w:color w:val="000000" w:themeColor="text1"/>
          <w:sz w:val="32"/>
          <w:szCs w:val="32"/>
          <w:highlight w:val="none"/>
          <w:lang w:eastAsia="zh-CN"/>
          <w14:textFill>
            <w14:solidFill>
              <w14:schemeClr w14:val="tx1"/>
            </w14:solidFill>
          </w14:textFill>
        </w:rPr>
        <w:t>浙江泛亚工程咨询有限公司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仿宋_GB2312"/>
          <w:color w:val="000000" w:themeColor="text1"/>
          <w:sz w:val="24"/>
          <w:highlight w:val="none"/>
          <w:u w:val="single"/>
          <w:lang w:eastAsia="zh-CN"/>
          <w14:textFill>
            <w14:solidFill>
              <w14:schemeClr w14:val="tx1"/>
            </w14:solidFill>
          </w14:textFill>
        </w:rPr>
        <w:t>2025年花港管理处零星维修服务</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3</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31</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00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000000" w:themeColor="text1"/>
          <w:sz w:val="24"/>
          <w:highlight w:val="none"/>
          <w:lang w:eastAsia="zh-CN"/>
          <w14:textFill>
            <w14:solidFill>
              <w14:schemeClr w14:val="tx1"/>
            </w14:solidFill>
          </w14:textFill>
        </w:rPr>
        <w:t>FYC012503-35</w:t>
      </w:r>
    </w:p>
    <w:p w14:paraId="0312DF7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000000" w:themeColor="text1"/>
          <w:sz w:val="24"/>
          <w:highlight w:val="none"/>
          <w:lang w:eastAsia="zh-CN"/>
          <w14:textFill>
            <w14:solidFill>
              <w14:schemeClr w14:val="tx1"/>
            </w14:solidFill>
          </w14:textFill>
        </w:rPr>
        <w:t>2025年花港管理处零星维修服务</w:t>
      </w:r>
    </w:p>
    <w:p w14:paraId="1C6D4CA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1800000</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1800000</w:t>
      </w:r>
      <w:r>
        <w:rPr>
          <w:rFonts w:ascii="宋体" w:hAnsi="宋体" w:cs="宋体"/>
          <w:color w:val="auto"/>
          <w:sz w:val="24"/>
          <w:highlight w:val="none"/>
        </w:rPr>
        <w:t xml:space="preserve"> </w:t>
      </w:r>
    </w:p>
    <w:p w14:paraId="38B6D032">
      <w:pPr>
        <w:spacing w:line="360" w:lineRule="auto"/>
        <w:ind w:firstLine="482" w:firstLineChars="200"/>
        <w:rPr>
          <w:rFonts w:ascii="宋体" w:hAnsi="宋体"/>
          <w:color w:val="000000" w:themeColor="text1"/>
          <w:sz w:val="24"/>
          <w:highlight w:val="none"/>
          <w14:textFill>
            <w14:solidFill>
              <w14:schemeClr w14:val="tx1"/>
            </w14:solidFill>
          </w14:textFill>
        </w:rPr>
      </w:pPr>
      <w:r>
        <w:rPr>
          <w:rFonts w:hint="eastAsia" w:hAnsi="宋体" w:cs="宋体"/>
          <w:b/>
          <w:color w:val="auto"/>
          <w:sz w:val="24"/>
          <w:highlight w:val="none"/>
        </w:rPr>
        <w:t>采购需求：</w:t>
      </w:r>
      <w:bookmarkStart w:id="11" w:name="_Hlk150782363"/>
      <w:r>
        <w:rPr>
          <w:rFonts w:hint="eastAsia" w:ascii="宋体" w:hAnsi="宋体" w:cs="宋体"/>
          <w:color w:val="000000" w:themeColor="text1"/>
          <w:sz w:val="24"/>
          <w:highlight w:val="none"/>
          <w14:textFill>
            <w14:solidFill>
              <w14:schemeClr w14:val="tx1"/>
            </w14:solidFill>
          </w14:textFill>
        </w:rPr>
        <w:t>主要包含公园景点零星维修项目（建筑、设施、道路、驳坎等）、管道紧急抢修、公园设施（垃圾桶、园椅、栏杆）维修更新、标示牌说明牌更新等零星工程</w:t>
      </w:r>
      <w:r>
        <w:rPr>
          <w:rFonts w:hint="eastAsia" w:ascii="宋体" w:hAnsi="宋体"/>
          <w:color w:val="000000" w:themeColor="text1"/>
          <w:sz w:val="24"/>
          <w:highlight w:val="none"/>
          <w14:textFill>
            <w14:solidFill>
              <w14:schemeClr w14:val="tx1"/>
            </w14:solidFill>
          </w14:textFill>
        </w:rPr>
        <w:t>。</w:t>
      </w:r>
      <w:bookmarkEnd w:id="11"/>
      <w:r>
        <w:rPr>
          <w:rFonts w:hint="eastAsia" w:hAnsi="宋体" w:cs="宋体"/>
          <w:bCs/>
          <w:color w:val="000000" w:themeColor="text1"/>
          <w:sz w:val="24"/>
          <w:highlight w:val="none"/>
          <w14:textFill>
            <w14:solidFill>
              <w14:schemeClr w14:val="tx1"/>
            </w14:solidFill>
          </w14:textFill>
        </w:rPr>
        <w:t>具体以招标文件第三部分采购需求为准，供应商可点击本公告下方“</w:t>
      </w:r>
      <w:r>
        <w:rPr>
          <w:rFonts w:hint="eastAsia" w:hAnsi="宋体"/>
          <w:color w:val="000000" w:themeColor="text1"/>
          <w:sz w:val="24"/>
          <w:highlight w:val="none"/>
          <w14:textFill>
            <w14:solidFill>
              <w14:schemeClr w14:val="tx1"/>
            </w14:solidFill>
          </w14:textFill>
        </w:rPr>
        <w:t>浏览采购文件”查看采购需求。</w:t>
      </w: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ascii="宋体" w:hAnsi="宋体" w:cs="宋体"/>
          <w:b/>
          <w:color w:val="000000" w:themeColor="text1"/>
          <w:highlight w:val="none"/>
          <w:u w:val="single"/>
          <w14:textFill>
            <w14:solidFill>
              <w14:schemeClr w14:val="tx1"/>
            </w14:solidFill>
          </w14:textFill>
        </w:rPr>
        <w:t xml:space="preserve"> </w:t>
      </w:r>
      <w:r>
        <w:rPr>
          <w:rFonts w:hint="eastAsia" w:ascii="宋体" w:hAnsi="宋体" w:cs="宋体"/>
          <w:b/>
          <w:color w:val="000000" w:themeColor="text1"/>
          <w:highlight w:val="none"/>
          <w:u w:val="single"/>
          <w14:textFill>
            <w14:solidFill>
              <w14:schemeClr w14:val="tx1"/>
            </w14:solidFill>
          </w14:textFill>
        </w:rPr>
        <w:t>12</w:t>
      </w:r>
      <w:r>
        <w:rPr>
          <w:rFonts w:ascii="宋体" w:hAnsi="宋体" w:cs="宋体"/>
          <w:b/>
          <w:color w:val="000000" w:themeColor="text1"/>
          <w:highlight w:val="none"/>
          <w:u w:val="single"/>
          <w14:textFill>
            <w14:solidFill>
              <w14:schemeClr w14:val="tx1"/>
            </w14:solidFill>
          </w14:textFill>
        </w:rPr>
        <w:t xml:space="preserve"> </w:t>
      </w:r>
      <w:r>
        <w:rPr>
          <w:rFonts w:hint="eastAsia" w:ascii="宋体" w:hAnsi="宋体" w:cs="宋体"/>
          <w:b/>
          <w:color w:val="000000" w:themeColor="text1"/>
          <w:highlight w:val="none"/>
          <w14:textFill>
            <w14:solidFill>
              <w14:schemeClr w14:val="tx1"/>
            </w14:solidFill>
          </w14:textFill>
        </w:rPr>
        <w:t>个月，</w:t>
      </w:r>
      <w:r>
        <w:rPr>
          <w:rFonts w:hint="eastAsia" w:ascii="宋体" w:hAnsi="宋体" w:cs="宋体"/>
          <w:bCs/>
          <w:color w:val="000000" w:themeColor="text1"/>
          <w:highlight w:val="none"/>
          <w14:textFill>
            <w14:solidFill>
              <w14:schemeClr w14:val="tx1"/>
            </w14:solidFill>
          </w14:textFill>
        </w:rPr>
        <w:t>合同签订至本项目实施完成止。</w:t>
      </w:r>
      <w:r>
        <w:rPr>
          <w:rFonts w:ascii="宋体" w:hAnsi="宋体" w:cs="宋体"/>
          <w:color w:val="auto"/>
          <w:highlight w:val="none"/>
        </w:rPr>
        <w:t xml:space="preserve"> </w:t>
      </w:r>
    </w:p>
    <w:p w14:paraId="07281B02">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253AD27">
      <w:pPr>
        <w:spacing w:line="360" w:lineRule="auto"/>
        <w:ind w:firstLine="480" w:firstLineChars="200"/>
        <w:rPr>
          <w:rFonts w:ascii="宋体" w:hAnsi="宋体" w:cs="宋体"/>
          <w:color w:val="auto"/>
          <w:sz w:val="24"/>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r>
        <w:rPr>
          <w:rFonts w:hint="eastAsia" w:ascii="宋体" w:hAnsi="宋体" w:cs="宋体"/>
          <w:color w:val="auto"/>
          <w:sz w:val="24"/>
          <w:highlight w:val="none"/>
        </w:rPr>
        <w:t>服务全部由符合政策要求的中小企业承接，提供中小企业声明函；</w:t>
      </w:r>
    </w:p>
    <w:p w14:paraId="54F80419">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000000" w:themeColor="text1"/>
          <w:kern w:val="0"/>
          <w:sz w:val="24"/>
          <w:highlight w:val="none"/>
          <w:shd w:val="clear" w:color="auto" w:fill="FFFFFF"/>
          <w14:textFill>
            <w14:solidFill>
              <w14:schemeClr w14:val="tx1"/>
            </w14:solidFill>
          </w14:textFill>
        </w:rPr>
        <w:t>①具备建筑工程施工总承包叁级及以上且市政公用工程施工总承包叁级及以上资质；②拟派项目经理具有建筑工程贰级及以上建造师注册证书；③具有有效《企业安全生产许可证》，项目负责人（项目经理）具有“三类人员”B类证书</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31</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31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31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000000" w:themeColor="text1"/>
          <w:sz w:val="24"/>
          <w:highlight w:val="none"/>
          <w14:textFill>
            <w14:solidFill>
              <w14:schemeClr w14:val="tx1"/>
            </w14:solidFill>
          </w14:textFill>
        </w:rPr>
        <w:t xml:space="preserve">杭州西湖风景名胜区花港管理处 </w:t>
      </w:r>
      <w:r>
        <w:rPr>
          <w:rFonts w:hint="eastAsia" w:ascii="宋体" w:hAnsi="宋体" w:cs="宋体"/>
          <w:color w:val="auto"/>
          <w:sz w:val="24"/>
          <w:highlight w:val="none"/>
        </w:rPr>
        <w:t xml:space="preserve"> </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000000" w:themeColor="text1"/>
          <w:sz w:val="24"/>
          <w:highlight w:val="none"/>
          <w14:textFill>
            <w14:solidFill>
              <w14:schemeClr w14:val="tx1"/>
            </w14:solidFill>
          </w14:textFill>
        </w:rPr>
        <w:t>杭州市西湖区杨公堤23号</w:t>
      </w:r>
      <w:r>
        <w:rPr>
          <w:rFonts w:hint="eastAsia" w:ascii="宋体" w:hAnsi="宋体" w:cs="宋体"/>
          <w:color w:val="auto"/>
          <w:sz w:val="24"/>
          <w:highlight w:val="none"/>
        </w:rPr>
        <w:t xml:space="preserve">       </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911895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000000" w:themeColor="text1"/>
          <w:sz w:val="24"/>
          <w:highlight w:val="none"/>
          <w14:textFill>
            <w14:solidFill>
              <w14:schemeClr w14:val="tx1"/>
            </w14:solidFill>
          </w14:textFill>
        </w:rPr>
        <w:t xml:space="preserve">於波 </w:t>
      </w:r>
      <w:r>
        <w:rPr>
          <w:rFonts w:hint="eastAsia" w:ascii="宋体" w:hAnsi="宋体" w:cs="宋体"/>
          <w:color w:val="auto"/>
          <w:sz w:val="24"/>
          <w:highlight w:val="none"/>
        </w:rPr>
        <w:t xml:space="preserve">  </w:t>
      </w:r>
    </w:p>
    <w:p w14:paraId="31CC70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ascii="宋体" w:hAnsi="宋体" w:cs="宋体"/>
          <w:color w:val="000000" w:themeColor="text1"/>
          <w:sz w:val="24"/>
          <w:highlight w:val="none"/>
          <w14:textFill>
            <w14:solidFill>
              <w14:schemeClr w14:val="tx1"/>
            </w14:solidFill>
          </w14:textFill>
        </w:rPr>
        <w:t>0571-87977419</w:t>
      </w:r>
      <w:r>
        <w:rPr>
          <w:rFonts w:hint="eastAsia" w:ascii="宋体" w:hAnsi="宋体" w:cs="宋体"/>
          <w:color w:val="auto"/>
          <w:sz w:val="24"/>
          <w:highlight w:val="none"/>
        </w:rPr>
        <w:t xml:space="preserve"> </w:t>
      </w:r>
    </w:p>
    <w:p w14:paraId="160DB7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000000" w:themeColor="text1"/>
          <w:sz w:val="24"/>
          <w:highlight w:val="none"/>
          <w14:textFill>
            <w14:solidFill>
              <w14:schemeClr w14:val="tx1"/>
            </w14:solidFill>
          </w14:textFill>
        </w:rPr>
        <w:t>俞惠芳</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ascii="宋体" w:hAnsi="宋体" w:cs="宋体"/>
          <w:color w:val="000000" w:themeColor="text1"/>
          <w:sz w:val="24"/>
          <w:highlight w:val="none"/>
          <w14:textFill>
            <w14:solidFill>
              <w14:schemeClr w14:val="tx1"/>
            </w14:solidFill>
          </w14:textFill>
        </w:rPr>
        <w:t>0571-87967384</w:t>
      </w:r>
      <w:r>
        <w:rPr>
          <w:rFonts w:hint="eastAsia" w:ascii="宋体" w:hAnsi="宋体" w:cs="宋体"/>
          <w:color w:val="auto"/>
          <w:sz w:val="24"/>
          <w:highlight w:val="none"/>
        </w:rPr>
        <w:t xml:space="preserve">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sz w:val="24"/>
          <w:highlight w:val="none"/>
        </w:rPr>
        <w:t>浙江泛亚工程咨询有限公司 </w:t>
      </w:r>
    </w:p>
    <w:p w14:paraId="16C39B4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sz w:val="24"/>
          <w:highlight w:val="none"/>
        </w:rPr>
        <w:t>州市天目山路181号天际大厦803</w:t>
      </w:r>
    </w:p>
    <w:p w14:paraId="4E949C17">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14:paraId="100F33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sz w:val="24"/>
          <w:highlight w:val="none"/>
        </w:rPr>
        <w:t>黄林承</w:t>
      </w:r>
    </w:p>
    <w:p w14:paraId="5C2D7216">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0571-87359305</w:t>
      </w:r>
    </w:p>
    <w:p w14:paraId="44BADC8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sz w:val="24"/>
          <w:highlight w:val="none"/>
        </w:rPr>
        <w:t>童晓玲</w:t>
      </w:r>
      <w:r>
        <w:rPr>
          <w:rFonts w:hint="eastAsia" w:ascii="宋体" w:hAnsi="宋体" w:cs="宋体"/>
          <w:color w:val="auto"/>
          <w:sz w:val="24"/>
          <w:highlight w:val="none"/>
        </w:rPr>
        <w:t xml:space="preserve"> </w:t>
      </w:r>
    </w:p>
    <w:p w14:paraId="23E21F3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sz w:val="24"/>
          <w:highlight w:val="none"/>
        </w:rPr>
        <w:t>0571-87993215</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344A6D2B">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57"/>
        <w:gridCol w:w="6281"/>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657"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281"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657"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281"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657"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281"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000000" w:themeColor="text1"/>
                <w:kern w:val="0"/>
                <w:sz w:val="24"/>
                <w:highlight w:val="none"/>
                <w:u w:val="single"/>
                <w:lang w:eastAsia="zh-CN"/>
                <w14:textFill>
                  <w14:solidFill>
                    <w14:schemeClr w14:val="tx1"/>
                  </w14:solidFill>
                </w14:textFill>
              </w:rPr>
              <w:t>2025年花港管理处零星维修服务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bCs/>
                <w:color w:val="000000" w:themeColor="text1"/>
                <w:sz w:val="24"/>
                <w:highlight w:val="none"/>
                <w:u w:val="single"/>
                <w14:textFill>
                  <w14:solidFill>
                    <w14:schemeClr w14:val="tx1"/>
                  </w14:solidFill>
                </w14:textFill>
              </w:rPr>
              <w:t>其他未列明</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auto"/>
                <w:kern w:val="0"/>
                <w:sz w:val="24"/>
                <w:highlight w:val="none"/>
              </w:rPr>
              <w:t>行业；</w:t>
            </w:r>
          </w:p>
          <w:p w14:paraId="27019300">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bCs/>
                <w:color w:val="000000" w:themeColor="text1"/>
                <w:sz w:val="24"/>
                <w:highlight w:val="none"/>
                <w:u w:val="single"/>
                <w14:textFill>
                  <w14:solidFill>
                    <w14:schemeClr w14:val="tx1"/>
                  </w14:solidFill>
                </w14:textFill>
              </w:rPr>
              <w:t>其他未列明</w:t>
            </w:r>
            <w:r>
              <w:rPr>
                <w:rFonts w:hint="eastAsia" w:ascii="宋体" w:hAnsi="宋体" w:eastAsia="宋体" w:cs="宋体"/>
                <w:b w:val="0"/>
                <w:bCs w:val="0"/>
                <w:color w:val="auto"/>
                <w:kern w:val="0"/>
                <w:sz w:val="24"/>
                <w:szCs w:val="24"/>
                <w:highlight w:val="none"/>
                <w:lang w:val="en-US" w:eastAsia="zh-CN" w:bidi="ar-SA"/>
              </w:rPr>
              <w:t>行业。</w:t>
            </w:r>
            <w:r>
              <w:rPr>
                <w:rFonts w:hint="eastAsia" w:ascii="宋体" w:hAnsi="宋体" w:cs="宋体"/>
                <w:color w:val="000000" w:themeColor="text1"/>
                <w:kern w:val="0"/>
                <w:sz w:val="24"/>
                <w:highlight w:val="none"/>
                <w14:textFill>
                  <w14:solidFill>
                    <w14:schemeClr w14:val="tx1"/>
                  </w14:solidFill>
                </w14:textFill>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657"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281" w:type="dxa"/>
            <w:tcBorders>
              <w:top w:val="single" w:color="000000" w:sz="8" w:space="0"/>
              <w:left w:val="single" w:color="000000" w:sz="2" w:space="0"/>
              <w:bottom w:val="single" w:color="000000" w:sz="8" w:space="0"/>
              <w:right w:val="single" w:color="000000" w:sz="8" w:space="0"/>
            </w:tcBorders>
            <w:vAlign w:val="center"/>
          </w:tcPr>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657"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281" w:type="dxa"/>
            <w:tcBorders>
              <w:top w:val="single" w:color="000000" w:sz="8" w:space="0"/>
              <w:left w:val="single" w:color="000000" w:sz="2" w:space="0"/>
              <w:bottom w:val="single" w:color="000000" w:sz="8" w:space="0"/>
              <w:right w:val="single" w:color="000000" w:sz="8" w:space="0"/>
            </w:tcBorders>
            <w:vAlign w:val="center"/>
          </w:tcPr>
          <w:p w14:paraId="7574827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657"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281" w:type="dxa"/>
            <w:tcBorders>
              <w:top w:val="single" w:color="000000" w:sz="8" w:space="0"/>
              <w:left w:val="single" w:color="000000" w:sz="2" w:space="0"/>
              <w:bottom w:val="single" w:color="000000" w:sz="8" w:space="0"/>
              <w:right w:val="single" w:color="000000" w:sz="8" w:space="0"/>
            </w:tcBorders>
            <w:vAlign w:val="center"/>
          </w:tcPr>
          <w:p w14:paraId="418E5266">
            <w:pPr>
              <w:spacing w:line="360" w:lineRule="auto"/>
              <w:rPr>
                <w:color w:val="auto"/>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657"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281" w:type="dxa"/>
            <w:tcBorders>
              <w:top w:val="single" w:color="000000" w:sz="8" w:space="0"/>
              <w:left w:val="single" w:color="000000" w:sz="2" w:space="0"/>
              <w:bottom w:val="single" w:color="000000" w:sz="8" w:space="0"/>
              <w:right w:val="single" w:color="000000" w:sz="8" w:space="0"/>
            </w:tcBorders>
            <w:vAlign w:val="center"/>
          </w:tcPr>
          <w:p w14:paraId="78AD61E6">
            <w:pPr>
              <w:spacing w:line="360" w:lineRule="auto"/>
              <w:rPr>
                <w:rFonts w:ascii="宋体" w:hAnsi="宋体" w:cs="宋体"/>
                <w:b/>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657"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281" w:type="dxa"/>
            <w:tcBorders>
              <w:top w:val="single" w:color="000000" w:sz="8" w:space="0"/>
              <w:left w:val="single" w:color="000000" w:sz="2" w:space="0"/>
              <w:bottom w:val="single" w:color="000000" w:sz="8" w:space="0"/>
              <w:right w:val="single" w:color="000000" w:sz="8" w:space="0"/>
            </w:tcBorders>
            <w:vAlign w:val="center"/>
          </w:tcPr>
          <w:p w14:paraId="552D1C2A">
            <w:pPr>
              <w:spacing w:line="360" w:lineRule="auto"/>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657"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281"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657"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281"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657"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281" w:type="dxa"/>
            <w:tcBorders>
              <w:top w:val="single" w:color="000000" w:sz="8" w:space="0"/>
              <w:left w:val="single" w:color="000000" w:sz="2" w:space="0"/>
              <w:bottom w:val="single" w:color="000000" w:sz="8" w:space="0"/>
              <w:right w:val="single" w:color="000000" w:sz="8" w:space="0"/>
            </w:tcBorders>
            <w:vAlign w:val="center"/>
          </w:tcPr>
          <w:p w14:paraId="36C9C289">
            <w:pPr>
              <w:pStyle w:val="79"/>
              <w:snapToGrid w:val="0"/>
              <w:spacing w:line="360" w:lineRule="auto"/>
              <w:ind w:firstLine="0" w:firstLineChars="0"/>
              <w:rPr>
                <w:color w:val="auto"/>
                <w:highlight w:val="none"/>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657"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281"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72"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657"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281" w:type="dxa"/>
            <w:tcBorders>
              <w:top w:val="single" w:color="000000" w:sz="8" w:space="0"/>
              <w:left w:val="single" w:color="000000" w:sz="2" w:space="0"/>
              <w:right w:val="single" w:color="000000" w:sz="8" w:space="0"/>
            </w:tcBorders>
            <w:vAlign w:val="center"/>
          </w:tcPr>
          <w:p w14:paraId="204574E8">
            <w:pPr>
              <w:spacing w:line="360" w:lineRule="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657"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281" w:type="dxa"/>
            <w:tcBorders>
              <w:top w:val="single" w:color="000000" w:sz="8" w:space="0"/>
              <w:left w:val="single" w:color="000000" w:sz="2" w:space="0"/>
              <w:bottom w:val="single" w:color="000000" w:sz="8" w:space="0"/>
              <w:right w:val="single" w:color="000000" w:sz="8" w:space="0"/>
            </w:tcBorders>
            <w:vAlign w:val="center"/>
          </w:tcPr>
          <w:p w14:paraId="1C4D0354">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ascii="宋体" w:hAnsi="宋体" w:cs="宋体"/>
                <w:kern w:val="0"/>
                <w:sz w:val="24"/>
                <w:highlight w:val="none"/>
                <w:u w:val="single"/>
              </w:rPr>
              <w:t>杭州市天目山路181号天际大厦803</w:t>
            </w:r>
            <w:r>
              <w:rPr>
                <w:rFonts w:hint="eastAsia" w:ascii="宋体" w:hAnsi="宋体" w:cs="宋体"/>
                <w:kern w:val="0"/>
                <w:sz w:val="24"/>
                <w:highlight w:val="none"/>
                <w:u w:val="single"/>
                <w:lang w:val="en-US" w:eastAsia="zh-CN"/>
              </w:rPr>
              <w:t>室黄林承</w:t>
            </w:r>
            <w:r>
              <w:rPr>
                <w:rFonts w:hint="eastAsia" w:hAnsi="宋体" w:cs="宋体"/>
                <w:color w:val="000000" w:themeColor="text1"/>
                <w:sz w:val="24"/>
                <w:highlight w:val="none"/>
                <w:u w:val="single"/>
                <w14:textFill>
                  <w14:solidFill>
                    <w14:schemeClr w14:val="tx1"/>
                  </w14:solidFill>
                </w14:textFill>
              </w:rPr>
              <w:t>收</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000000" w:themeColor="text1"/>
                <w:sz w:val="24"/>
                <w:highlight w:val="none"/>
                <w:u w:val="single"/>
                <w:lang w:val="en-US" w:eastAsia="zh-CN"/>
                <w14:textFill>
                  <w14:solidFill>
                    <w14:schemeClr w14:val="tx1"/>
                  </w14:solidFill>
                </w14:textFill>
              </w:rPr>
              <w:t>13588898757</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657"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281"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657"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281" w:type="dxa"/>
            <w:tcBorders>
              <w:top w:val="single" w:color="000000" w:sz="8" w:space="0"/>
              <w:left w:val="single" w:color="000000" w:sz="2" w:space="0"/>
              <w:bottom w:val="single" w:color="000000" w:sz="8" w:space="0"/>
              <w:right w:val="single" w:color="000000" w:sz="8" w:space="0"/>
            </w:tcBorders>
            <w:vAlign w:val="center"/>
          </w:tcPr>
          <w:p w14:paraId="273E0D79">
            <w:pPr>
              <w:spacing w:line="360" w:lineRule="auto"/>
              <w:jc w:val="left"/>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657"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281"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5</w:t>
            </w:r>
          </w:p>
        </w:tc>
        <w:tc>
          <w:tcPr>
            <w:tcW w:w="1657"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default" w:cs="仿宋_GB2312" w:asciiTheme="minorEastAsia" w:hAnsiTheme="minorEastAsia" w:eastAsiaTheme="minorEastAsia"/>
                <w:b/>
                <w:color w:val="auto"/>
                <w:sz w:val="24"/>
                <w:highlight w:val="none"/>
                <w:lang w:val="en-US" w:eastAsia="zh-CN"/>
              </w:rPr>
            </w:pPr>
            <w:r>
              <w:rPr>
                <w:rFonts w:hint="eastAsia" w:cs="仿宋_GB2312" w:asciiTheme="minorEastAsia" w:hAnsiTheme="minorEastAsia" w:eastAsiaTheme="minorEastAsia"/>
                <w:b/>
                <w:color w:val="auto"/>
                <w:sz w:val="24"/>
                <w:highlight w:val="none"/>
                <w:lang w:val="en-US" w:eastAsia="zh-CN"/>
              </w:rPr>
              <w:t>其他说明和</w:t>
            </w:r>
            <w:r>
              <w:rPr>
                <w:rFonts w:hint="eastAsia" w:cs="仿宋_GB2312" w:asciiTheme="minorEastAsia" w:hAnsiTheme="minorEastAsia" w:eastAsiaTheme="minorEastAsia"/>
                <w:b/>
                <w:color w:val="auto"/>
                <w:sz w:val="24"/>
                <w:highlight w:val="none"/>
                <w:lang w:val="en" w:eastAsia="zh-CN"/>
              </w:rPr>
              <w:t>代理费用收取方式及标准</w:t>
            </w:r>
          </w:p>
        </w:tc>
        <w:tc>
          <w:tcPr>
            <w:tcW w:w="6281" w:type="dxa"/>
            <w:tcBorders>
              <w:top w:val="single" w:color="000000" w:sz="8" w:space="0"/>
              <w:left w:val="single" w:color="auto" w:sz="4" w:space="0"/>
              <w:bottom w:val="single" w:color="000000" w:sz="8" w:space="0"/>
              <w:right w:val="single" w:color="auto" w:sz="4" w:space="0"/>
            </w:tcBorders>
            <w:vAlign w:val="center"/>
          </w:tcPr>
          <w:p w14:paraId="1AB96691">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1、中标人应在合同签订前完成政府采购云平台（https://www.zcygov.cn/）全部注册步骤并成为正式注册入库供应商，否则将导致合同款无法正常支付，责任由中标人承担。请供应商尽早完成注册。https://middle.zcygov.cn/settle-front/#/registry。（供应商注册页面）</w:t>
            </w:r>
          </w:p>
          <w:p w14:paraId="55A08C56">
            <w:pPr>
              <w:spacing w:line="360" w:lineRule="auto"/>
              <w:rPr>
                <w:rFonts w:ascii="宋体" w:hAnsi="宋体" w:cs="宋体"/>
                <w:b/>
                <w:bCs/>
                <w:snapToGrid w:val="0"/>
                <w:color w:val="000000" w:themeColor="text1"/>
                <w:kern w:val="28"/>
                <w:sz w:val="24"/>
                <w:highlight w:val="none"/>
                <w14:textFill>
                  <w14:solidFill>
                    <w14:schemeClr w14:val="tx1"/>
                  </w14:solidFill>
                </w14:textFill>
              </w:rPr>
            </w:pPr>
            <w:r>
              <w:rPr>
                <w:rFonts w:hint="eastAsia" w:ascii="宋体" w:hAnsi="宋体" w:cs="宋体"/>
                <w:b/>
                <w:bCs/>
                <w:snapToGrid w:val="0"/>
                <w:color w:val="000000" w:themeColor="text1"/>
                <w:kern w:val="28"/>
                <w:sz w:val="24"/>
                <w:highlight w:val="none"/>
                <w14:textFill>
                  <w14:solidFill>
                    <w14:schemeClr w14:val="tx1"/>
                  </w14:solidFill>
                </w14:textFill>
              </w:rPr>
              <w:t>2、中标人在领取中标通知书时应提供与电子投标文件内容一致的纸质投标文件一正三副，装订成册，采用胶订或线订，不得采用活页夹等可随时拆换的方式装订。（胶订或线订以外装订形式视为活页装订）</w:t>
            </w:r>
          </w:p>
          <w:p w14:paraId="78844098">
            <w:pPr>
              <w:spacing w:line="360" w:lineRule="auto"/>
              <w:rPr>
                <w:rFonts w:hint="eastAsia" w:ascii="宋体" w:hAnsi="宋体" w:eastAsia="宋体" w:cs="宋体"/>
                <w:color w:val="auto"/>
                <w:kern w:val="0"/>
                <w:sz w:val="24"/>
                <w:highlight w:val="none"/>
                <w:lang w:val="en" w:eastAsia="zh-CN"/>
              </w:rPr>
            </w:pPr>
            <w:r>
              <w:rPr>
                <w:rFonts w:hint="eastAsia" w:ascii="宋体" w:hAnsi="宋体" w:cs="宋体"/>
                <w:b/>
                <w:bCs/>
                <w:snapToGrid w:val="0"/>
                <w:color w:val="000000" w:themeColor="text1"/>
                <w:kern w:val="28"/>
                <w:sz w:val="24"/>
                <w:highlight w:val="none"/>
                <w14:textFill>
                  <w14:solidFill>
                    <w14:schemeClr w14:val="tx1"/>
                  </w14:solidFill>
                </w14:textFill>
              </w:rPr>
              <w:t>3、</w:t>
            </w:r>
            <w:r>
              <w:rPr>
                <w:rFonts w:ascii="宋体" w:hAnsi="宋体" w:cs="宋体"/>
                <w:b/>
                <w:bCs/>
                <w:snapToGrid w:val="0"/>
                <w:color w:val="000000" w:themeColor="text1"/>
                <w:kern w:val="28"/>
                <w:sz w:val="24"/>
                <w:highlight w:val="none"/>
                <w14:textFill>
                  <w14:solidFill>
                    <w14:schemeClr w14:val="tx1"/>
                  </w14:solidFill>
                </w14:textFill>
              </w:rPr>
              <w:t>本项目的采购代理费由中标人支付，</w:t>
            </w:r>
            <w:r>
              <w:rPr>
                <w:rFonts w:hint="eastAsia" w:ascii="宋体" w:hAnsi="宋体" w:cs="宋体"/>
                <w:b/>
                <w:bCs/>
                <w:snapToGrid w:val="0"/>
                <w:color w:val="000000" w:themeColor="text1"/>
                <w:kern w:val="28"/>
                <w:sz w:val="24"/>
                <w:highlight w:val="none"/>
                <w14:textFill>
                  <w14:solidFill>
                    <w14:schemeClr w14:val="tx1"/>
                  </w14:solidFill>
                </w14:textFill>
              </w:rPr>
              <w:t>按发改价格【2011】534号文件收费标准的</w:t>
            </w:r>
            <w:r>
              <w:rPr>
                <w:rFonts w:ascii="宋体" w:hAnsi="宋体" w:cs="宋体"/>
                <w:b/>
                <w:bCs/>
                <w:snapToGrid w:val="0"/>
                <w:color w:val="000000" w:themeColor="text1"/>
                <w:kern w:val="28"/>
                <w:sz w:val="24"/>
                <w:highlight w:val="none"/>
                <w14:textFill>
                  <w14:solidFill>
                    <w14:schemeClr w14:val="tx1"/>
                  </w14:solidFill>
                </w14:textFill>
              </w:rPr>
              <w:t>80</w:t>
            </w:r>
            <w:r>
              <w:rPr>
                <w:rFonts w:hint="eastAsia" w:ascii="宋体" w:hAnsi="宋体" w:cs="宋体"/>
                <w:b/>
                <w:bCs/>
                <w:snapToGrid w:val="0"/>
                <w:color w:val="000000" w:themeColor="text1"/>
                <w:kern w:val="28"/>
                <w:sz w:val="24"/>
                <w:highlight w:val="none"/>
                <w14:textFill>
                  <w14:solidFill>
                    <w14:schemeClr w14:val="tx1"/>
                  </w14:solidFill>
                </w14:textFill>
              </w:rPr>
              <w:t>%计取，以项目中标价为计费基数。</w:t>
            </w:r>
            <w:r>
              <w:rPr>
                <w:rFonts w:ascii="宋体" w:hAnsi="宋体" w:cs="宋体"/>
                <w:b/>
                <w:bCs/>
                <w:snapToGrid w:val="0"/>
                <w:color w:val="000000" w:themeColor="text1"/>
                <w:kern w:val="28"/>
                <w:sz w:val="24"/>
                <w:highlight w:val="none"/>
                <w14:textFill>
                  <w14:solidFill>
                    <w14:schemeClr w14:val="tx1"/>
                  </w14:solidFill>
                </w14:textFill>
              </w:rPr>
              <w:t>该费用考虑在总报价中，不必单列。结算方式及时间为：在领取中标通知书时由中标人一次性向采购代理机构付清。</w:t>
            </w:r>
          </w:p>
        </w:tc>
      </w:tr>
      <w:tr w14:paraId="62395B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439EFD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657" w:type="dxa"/>
            <w:tcBorders>
              <w:top w:val="single" w:color="auto" w:sz="4" w:space="0"/>
              <w:left w:val="single" w:color="000000" w:sz="2" w:space="0"/>
              <w:bottom w:val="single" w:color="auto" w:sz="4" w:space="0"/>
              <w:right w:val="single" w:color="auto" w:sz="4" w:space="0"/>
            </w:tcBorders>
            <w:vAlign w:val="center"/>
          </w:tcPr>
          <w:p w14:paraId="7263133D">
            <w:pPr>
              <w:pStyle w:val="131"/>
              <w:spacing w:before="0" w:line="240" w:lineRule="auto"/>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供应商投标报价说明</w:t>
            </w:r>
          </w:p>
          <w:p w14:paraId="12FB0B5F">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p>
        </w:tc>
        <w:tc>
          <w:tcPr>
            <w:tcW w:w="6281" w:type="dxa"/>
            <w:tcBorders>
              <w:top w:val="single" w:color="000000" w:sz="8" w:space="0"/>
              <w:left w:val="single" w:color="auto" w:sz="4" w:space="0"/>
              <w:bottom w:val="single" w:color="auto" w:sz="4" w:space="0"/>
              <w:right w:val="single" w:color="auto" w:sz="4" w:space="0"/>
            </w:tcBorders>
            <w:vAlign w:val="center"/>
          </w:tcPr>
          <w:p w14:paraId="5B23F991">
            <w:pPr>
              <w:pStyle w:val="483"/>
              <w:snapToGrid w:val="0"/>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1、本项目投标应以</w:t>
            </w:r>
            <w:r>
              <w:rPr>
                <w:rFonts w:hint="eastAsia" w:ascii="宋体" w:hAnsi="宋体" w:cs="宋体"/>
                <w:b/>
                <w:bCs/>
                <w:color w:val="000000" w:themeColor="text1"/>
                <w:sz w:val="24"/>
                <w:szCs w:val="24"/>
                <w:highlight w:val="none"/>
                <w:u w:val="single"/>
                <w:lang w:val="zh-CN"/>
                <w14:textFill>
                  <w14:solidFill>
                    <w14:schemeClr w14:val="tx1"/>
                  </w14:solidFill>
                </w14:textFill>
              </w:rPr>
              <w:t>投标总价</w:t>
            </w:r>
            <w:r>
              <w:rPr>
                <w:rFonts w:hint="eastAsia" w:ascii="宋体" w:hAnsi="宋体" w:cs="宋体"/>
                <w:b/>
                <w:bCs/>
                <w:color w:val="000000" w:themeColor="text1"/>
                <w:sz w:val="24"/>
                <w:szCs w:val="24"/>
                <w:highlight w:val="none"/>
                <w:lang w:val="zh-CN"/>
                <w14:textFill>
                  <w14:solidFill>
                    <w14:schemeClr w14:val="tx1"/>
                  </w14:solidFill>
                </w14:textFill>
              </w:rPr>
              <w:t>、</w:t>
            </w:r>
            <w:r>
              <w:rPr>
                <w:rFonts w:hint="eastAsia" w:ascii="宋体" w:hAnsi="宋体" w:cs="宋体"/>
                <w:b/>
                <w:bCs/>
                <w:color w:val="000000" w:themeColor="text1"/>
                <w:sz w:val="24"/>
                <w:szCs w:val="24"/>
                <w:highlight w:val="none"/>
                <w:u w:val="single"/>
                <w:lang w:val="zh-CN"/>
                <w14:textFill>
                  <w14:solidFill>
                    <w14:schemeClr w14:val="tx1"/>
                  </w14:solidFill>
                </w14:textFill>
              </w:rPr>
              <w:t>投标折扣率</w:t>
            </w:r>
            <w:r>
              <w:rPr>
                <w:rFonts w:hint="eastAsia" w:ascii="宋体" w:hAnsi="宋体" w:cs="宋体"/>
                <w:b/>
                <w:bCs/>
                <w:color w:val="000000" w:themeColor="text1"/>
                <w:sz w:val="24"/>
                <w:szCs w:val="24"/>
                <w:highlight w:val="none"/>
                <w:lang w:val="zh-CN"/>
                <w14:textFill>
                  <w14:solidFill>
                    <w14:schemeClr w14:val="tx1"/>
                  </w14:solidFill>
                </w14:textFill>
              </w:rPr>
              <w:t>和</w:t>
            </w:r>
            <w:r>
              <w:rPr>
                <w:rFonts w:hint="eastAsia" w:ascii="宋体" w:hAnsi="宋体" w:cs="宋体"/>
                <w:b/>
                <w:bCs/>
                <w:color w:val="000000" w:themeColor="text1"/>
                <w:sz w:val="24"/>
                <w:szCs w:val="24"/>
                <w:highlight w:val="none"/>
                <w:u w:val="single"/>
                <w:lang w:val="zh-CN"/>
                <w14:textFill>
                  <w14:solidFill>
                    <w14:schemeClr w14:val="tx1"/>
                  </w14:solidFill>
                </w14:textFill>
              </w:rPr>
              <w:t>零星计日工投标单价</w:t>
            </w:r>
            <w:r>
              <w:rPr>
                <w:rFonts w:hint="eastAsia" w:ascii="宋体" w:hAnsi="宋体" w:cs="宋体"/>
                <w:color w:val="000000" w:themeColor="text1"/>
                <w:sz w:val="24"/>
                <w:szCs w:val="24"/>
                <w:highlight w:val="none"/>
                <w:lang w:val="zh-CN"/>
                <w14:textFill>
                  <w14:solidFill>
                    <w14:schemeClr w14:val="tx1"/>
                  </w14:solidFill>
                </w14:textFill>
              </w:rPr>
              <w:t>进行报价。投标总价应与投标折扣率保持取费一致（即投标总价</w:t>
            </w:r>
            <w:r>
              <w:rPr>
                <w:rFonts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最高限价*投标折扣率）。如未按上述要求报价，则视为投标文件出现不是唯一的、有选择性投标报价，其投标文件按无效标处理。</w:t>
            </w:r>
          </w:p>
          <w:p w14:paraId="4B602664">
            <w:pPr>
              <w:spacing w:line="360" w:lineRule="auto"/>
              <w:rPr>
                <w:rFonts w:hint="eastAsia" w:ascii="宋体" w:hAnsi="宋体" w:eastAsia="宋体" w:cs="宋体"/>
                <w:color w:val="auto"/>
                <w:kern w:val="0"/>
                <w:sz w:val="24"/>
                <w:highlight w:val="none"/>
                <w:lang w:val="en" w:eastAsia="zh-CN"/>
              </w:rPr>
            </w:pPr>
            <w:r>
              <w:rPr>
                <w:rFonts w:hint="eastAsia" w:ascii="宋体" w:hAnsi="宋体"/>
                <w:b/>
                <w:bCs/>
                <w:color w:val="000000" w:themeColor="text1"/>
                <w:sz w:val="24"/>
                <w:highlight w:val="none"/>
                <w14:textFill>
                  <w14:solidFill>
                    <w14:schemeClr w14:val="tx1"/>
                  </w14:solidFill>
                </w14:textFill>
              </w:rPr>
              <w:t>2、</w:t>
            </w:r>
            <w:r>
              <w:rPr>
                <w:rFonts w:hint="eastAsia" w:ascii="宋体" w:hAnsi="宋体"/>
                <w:b/>
                <w:bCs/>
                <w:color w:val="000000" w:themeColor="text1"/>
                <w:sz w:val="24"/>
                <w:highlight w:val="none"/>
                <w:lang w:val="zh-CN"/>
                <w14:textFill>
                  <w14:solidFill>
                    <w14:schemeClr w14:val="tx1"/>
                  </w14:solidFill>
                </w14:textFill>
              </w:rPr>
              <w:t>投标</w:t>
            </w:r>
            <w:r>
              <w:rPr>
                <w:rFonts w:hint="eastAsia" w:ascii="宋体" w:hAnsi="宋体" w:cs="宋体"/>
                <w:b/>
                <w:bCs/>
                <w:color w:val="000000" w:themeColor="text1"/>
                <w:sz w:val="24"/>
                <w:highlight w:val="none"/>
                <w14:textFill>
                  <w14:solidFill>
                    <w14:schemeClr w14:val="tx1"/>
                  </w14:solidFill>
                </w14:textFill>
              </w:rPr>
              <w:t>折扣率以依据《浙江省建设工程计价规则》（2018版）编制的预算造价为报价基础，区间范围为</w:t>
            </w:r>
            <w:r>
              <w:rPr>
                <w:rFonts w:hint="eastAsia" w:ascii="宋体" w:hAnsi="宋体" w:cs="宋体"/>
                <w:b/>
                <w:bCs/>
                <w:color w:val="000000" w:themeColor="text1"/>
                <w:sz w:val="24"/>
                <w:highlight w:val="none"/>
                <w:u w:val="single"/>
                <w14:textFill>
                  <w14:solidFill>
                    <w14:schemeClr w14:val="tx1"/>
                  </w14:solidFill>
                </w14:textFill>
              </w:rPr>
              <w:t>80%（含）～100%（不含）</w:t>
            </w:r>
            <w:r>
              <w:rPr>
                <w:rFonts w:hint="eastAsia" w:ascii="宋体" w:hAnsi="宋体" w:cs="宋体"/>
                <w:b/>
                <w:bCs/>
                <w:color w:val="000000" w:themeColor="text1"/>
                <w:sz w:val="24"/>
                <w:highlight w:val="none"/>
                <w14:textFill>
                  <w14:solidFill>
                    <w14:schemeClr w14:val="tx1"/>
                  </w14:solidFill>
                </w14:textFill>
              </w:rPr>
              <w:t>，零星计日工投标单价最高限价为</w:t>
            </w:r>
            <w:r>
              <w:rPr>
                <w:rFonts w:hint="eastAsia" w:ascii="宋体" w:hAnsi="宋体" w:cs="宋体"/>
                <w:b/>
                <w:bCs/>
                <w:color w:val="000000" w:themeColor="text1"/>
                <w:sz w:val="24"/>
                <w:highlight w:val="none"/>
                <w:u w:val="single"/>
                <w14:textFill>
                  <w14:solidFill>
                    <w14:schemeClr w14:val="tx1"/>
                  </w14:solidFill>
                </w14:textFill>
              </w:rPr>
              <w:t>人民币</w:t>
            </w:r>
            <w:r>
              <w:rPr>
                <w:rFonts w:ascii="宋体" w:hAnsi="宋体" w:cs="宋体"/>
                <w:b/>
                <w:bCs/>
                <w:color w:val="000000" w:themeColor="text1"/>
                <w:sz w:val="24"/>
                <w:highlight w:val="none"/>
                <w:u w:val="single"/>
                <w14:textFill>
                  <w14:solidFill>
                    <w14:schemeClr w14:val="tx1"/>
                  </w14:solidFill>
                </w14:textFill>
              </w:rPr>
              <w:t>250</w:t>
            </w:r>
            <w:r>
              <w:rPr>
                <w:rFonts w:hint="eastAsia" w:ascii="宋体" w:hAnsi="宋体" w:cs="宋体"/>
                <w:b/>
                <w:bCs/>
                <w:color w:val="000000" w:themeColor="text1"/>
                <w:sz w:val="24"/>
                <w:highlight w:val="none"/>
                <w:u w:val="single"/>
                <w14:textFill>
                  <w14:solidFill>
                    <w14:schemeClr w14:val="tx1"/>
                  </w14:solidFill>
                </w14:textFill>
              </w:rPr>
              <w:t>元/工日。</w:t>
            </w:r>
            <w:r>
              <w:rPr>
                <w:rFonts w:hint="eastAsia" w:ascii="宋体" w:hAnsi="宋体"/>
                <w:b/>
                <w:bCs/>
                <w:color w:val="000000" w:themeColor="text1"/>
                <w:sz w:val="24"/>
                <w:highlight w:val="none"/>
                <w:lang w:val="zh-CN"/>
                <w14:textFill>
                  <w14:solidFill>
                    <w14:schemeClr w14:val="tx1"/>
                  </w14:solidFill>
                </w14:textFill>
              </w:rPr>
              <w:t>（1个工日按8小时计）。超出折扣率区间范围或最高限价的投标报价均按无效标处理。</w:t>
            </w:r>
          </w:p>
        </w:tc>
      </w:tr>
    </w:tbl>
    <w:p w14:paraId="5F1E16A4">
      <w:pPr>
        <w:snapToGrid w:val="0"/>
        <w:spacing w:line="360" w:lineRule="auto"/>
        <w:jc w:val="center"/>
        <w:rPr>
          <w:rFonts w:ascii="宋体" w:hAnsi="宋体" w:cs="宋体"/>
          <w:b/>
          <w:color w:val="auto"/>
          <w:sz w:val="32"/>
          <w:szCs w:val="20"/>
          <w:highlight w:val="none"/>
        </w:rPr>
      </w:pPr>
    </w:p>
    <w:bookmarkEnd w:id="10"/>
    <w:p w14:paraId="0BD9ABDF">
      <w:pPr>
        <w:adjustRightInd/>
        <w:spacing w:line="360" w:lineRule="auto"/>
        <w:ind w:firstLine="3845" w:firstLineChars="1197"/>
        <w:outlineLvl w:val="0"/>
        <w:rPr>
          <w:rFonts w:hint="eastAsia" w:ascii="宋体" w:hAnsi="宋体" w:cs="宋体"/>
          <w:b/>
          <w:color w:val="auto"/>
          <w:sz w:val="32"/>
          <w:szCs w:val="20"/>
          <w:highlight w:val="none"/>
        </w:rPr>
      </w:pPr>
      <w:bookmarkStart w:id="12" w:name="第三部分"/>
      <w:bookmarkStart w:id="13" w:name="_Toc164416483"/>
    </w:p>
    <w:p w14:paraId="0AFB046E">
      <w:pPr>
        <w:adjustRightInd/>
        <w:spacing w:line="360" w:lineRule="auto"/>
        <w:ind w:firstLine="3845" w:firstLineChars="1197"/>
        <w:outlineLvl w:val="0"/>
        <w:rPr>
          <w:rFonts w:hint="eastAsia" w:ascii="宋体" w:hAnsi="宋体" w:cs="宋体"/>
          <w:b/>
          <w:color w:val="auto"/>
          <w:sz w:val="32"/>
          <w:szCs w:val="20"/>
          <w:highlight w:val="none"/>
        </w:rPr>
      </w:pPr>
    </w:p>
    <w:p w14:paraId="75264CA2">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2"/>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2"/>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bookmarkStart w:id="411" w:name="_GoBack"/>
      <w:bookmarkEnd w:id="411"/>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4"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5" w:name="_Hlk101184471"/>
      <w:r>
        <w:rPr>
          <w:rFonts w:hint="eastAsia" w:ascii="宋体" w:hAnsi="宋体" w:cs="宋体"/>
          <w:color w:val="auto"/>
          <w:sz w:val="24"/>
          <w:highlight w:val="none"/>
        </w:rPr>
        <w:t>资格审查情况、评审专家抽取规则、符合性审查情况、</w:t>
      </w:r>
      <w:bookmarkEnd w:id="15"/>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2"/>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4"/>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4"/>
    <w:p w14:paraId="5118926B">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74729768"/>
      <w:bookmarkEnd w:id="16"/>
      <w:bookmarkStart w:id="17" w:name="_Hlt68057669"/>
      <w:bookmarkEnd w:id="17"/>
      <w:bookmarkStart w:id="18" w:name="_Hlt75236101"/>
      <w:bookmarkEnd w:id="18"/>
      <w:bookmarkStart w:id="19" w:name="_Hlt75236290"/>
      <w:bookmarkEnd w:id="19"/>
      <w:bookmarkStart w:id="20" w:name="_Hlt74714665"/>
      <w:bookmarkEnd w:id="20"/>
      <w:bookmarkStart w:id="21" w:name="_Hlt68403820"/>
      <w:bookmarkEnd w:id="21"/>
      <w:bookmarkStart w:id="22" w:name="_Hlt74730295"/>
      <w:bookmarkEnd w:id="22"/>
      <w:bookmarkStart w:id="23" w:name="_Hlt74707468"/>
      <w:bookmarkEnd w:id="23"/>
      <w:bookmarkStart w:id="24" w:name="_Hlt75236011"/>
      <w:bookmarkEnd w:id="24"/>
      <w:bookmarkStart w:id="25" w:name="_Hlt68073093"/>
      <w:bookmarkEnd w:id="25"/>
      <w:bookmarkStart w:id="26" w:name="_Hlt68072998"/>
      <w:bookmarkEnd w:id="26"/>
      <w:bookmarkStart w:id="27" w:name="_Hlt68072990"/>
      <w:bookmarkEnd w:id="27"/>
    </w:p>
    <w:bookmarkEnd w:id="12"/>
    <w:bookmarkEnd w:id="13"/>
    <w:p w14:paraId="5EB35967">
      <w:pPr>
        <w:spacing w:line="360" w:lineRule="auto"/>
        <w:jc w:val="center"/>
        <w:outlineLvl w:val="0"/>
        <w:rPr>
          <w:rFonts w:ascii="宋体" w:hAnsi="宋体" w:cs="宋体"/>
          <w:b/>
          <w:color w:val="auto"/>
          <w:sz w:val="36"/>
          <w:szCs w:val="36"/>
          <w:highlight w:val="none"/>
        </w:rPr>
      </w:pPr>
      <w:bookmarkStart w:id="28" w:name="第四部分"/>
      <w:r>
        <w:rPr>
          <w:rFonts w:hint="eastAsia" w:ascii="宋体" w:hAnsi="宋体" w:cs="宋体"/>
          <w:b/>
          <w:color w:val="auto"/>
          <w:sz w:val="36"/>
          <w:szCs w:val="36"/>
          <w:highlight w:val="none"/>
        </w:rPr>
        <w:t>第三部分   采购需求</w:t>
      </w:r>
    </w:p>
    <w:p w14:paraId="02881F16">
      <w:pPr>
        <w:widowControl/>
        <w:spacing w:line="360" w:lineRule="auto"/>
        <w:outlineLvl w:val="1"/>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一、项目概况</w:t>
      </w:r>
    </w:p>
    <w:p w14:paraId="3B1D3E0C">
      <w:pPr>
        <w:pStyle w:val="3"/>
        <w:spacing w:before="0" w:after="0" w:line="360" w:lineRule="auto"/>
        <w:ind w:left="0" w:firstLine="480" w:firstLine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本项目为</w:t>
      </w:r>
      <w:r>
        <w:rPr>
          <w:rFonts w:hint="eastAsia" w:ascii="宋体" w:hAnsi="宋体" w:cs="宋体"/>
          <w:b w:val="0"/>
          <w:bCs w:val="0"/>
          <w:color w:val="000000" w:themeColor="text1"/>
          <w:kern w:val="2"/>
          <w:sz w:val="24"/>
          <w:szCs w:val="24"/>
          <w:highlight w:val="none"/>
          <w:lang w:eastAsia="zh-CN"/>
          <w14:textFill>
            <w14:solidFill>
              <w14:schemeClr w14:val="tx1"/>
            </w14:solidFill>
          </w14:textFill>
        </w:rPr>
        <w:t>2025年花港管理处零星维修服务</w:t>
      </w:r>
      <w:r>
        <w:rPr>
          <w:rFonts w:hint="eastAsia" w:ascii="宋体" w:hAnsi="宋体" w:cs="宋体"/>
          <w:b w:val="0"/>
          <w:bCs w:val="0"/>
          <w:color w:val="000000" w:themeColor="text1"/>
          <w:kern w:val="2"/>
          <w:sz w:val="24"/>
          <w:szCs w:val="24"/>
          <w:highlight w:val="none"/>
          <w14:textFill>
            <w14:solidFill>
              <w14:schemeClr w14:val="tx1"/>
            </w14:solidFill>
          </w14:textFill>
        </w:rPr>
        <w:t>，主要包含公园景点零星维修项目（建筑、设施、道路、驳坎等）、管道紧急抢修、公园设施（垃圾桶、园椅、栏杆）维修更新、标示牌说明牌更新等零星工程，服务期限为12个月。</w:t>
      </w:r>
    </w:p>
    <w:p w14:paraId="6BE22EE5">
      <w:pPr>
        <w:pStyle w:val="3"/>
        <w:spacing w:before="0" w:after="0" w:line="360" w:lineRule="auto"/>
        <w:rPr>
          <w:rFonts w:ascii="宋体" w:hAnsi="宋体" w:cs="宋体"/>
          <w:b w:val="0"/>
          <w:bCs w:val="0"/>
          <w:color w:val="000000" w:themeColor="text1"/>
          <w:kern w:val="2"/>
          <w:sz w:val="24"/>
          <w:szCs w:val="24"/>
          <w:highlight w:val="none"/>
          <w14:textFill>
            <w14:solidFill>
              <w14:schemeClr w14:val="tx1"/>
            </w14:solidFill>
          </w14:textFill>
        </w:rPr>
      </w:pPr>
    </w:p>
    <w:p w14:paraId="5F2E048B">
      <w:pPr>
        <w:pStyle w:val="3"/>
        <w:spacing w:before="0" w:after="0" w:line="360" w:lineRule="auto"/>
        <w:rPr>
          <w:rFonts w:ascii="宋体" w:hAnsi="宋体" w:cs="宋体"/>
          <w:bCs w:val="0"/>
          <w:color w:val="000000" w:themeColor="text1"/>
          <w:kern w:val="2"/>
          <w:sz w:val="24"/>
          <w:szCs w:val="24"/>
          <w:highlight w:val="none"/>
          <w14:textFill>
            <w14:solidFill>
              <w14:schemeClr w14:val="tx1"/>
            </w14:solidFill>
          </w14:textFill>
        </w:rPr>
      </w:pPr>
      <w:r>
        <w:rPr>
          <w:rFonts w:hint="eastAsia" w:ascii="宋体" w:hAnsi="宋体" w:cs="宋体"/>
          <w:bCs w:val="0"/>
          <w:color w:val="000000" w:themeColor="text1"/>
          <w:kern w:val="2"/>
          <w:sz w:val="24"/>
          <w:szCs w:val="24"/>
          <w:highlight w:val="none"/>
          <w14:textFill>
            <w14:solidFill>
              <w14:schemeClr w14:val="tx1"/>
            </w14:solidFill>
          </w14:textFill>
        </w:rPr>
        <w:t>二、工程费用结算及投标报价</w:t>
      </w:r>
    </w:p>
    <w:p w14:paraId="0371445B">
      <w:pPr>
        <w:pStyle w:val="3"/>
        <w:spacing w:before="0" w:after="0" w:line="360" w:lineRule="auto"/>
        <w:ind w:left="0" w:firstLine="480" w:firstLine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1、本次报价依据《浙江省建设工程计价规则》（2018版）编制预算造价，并在此基础上报投标折扣率,折扣率区间范围为</w:t>
      </w:r>
      <w:r>
        <w:rPr>
          <w:rFonts w:hint="eastAsia" w:ascii="宋体" w:hAnsi="宋体" w:cs="宋体"/>
          <w:b w:val="0"/>
          <w:bCs w:val="0"/>
          <w:color w:val="000000" w:themeColor="text1"/>
          <w:kern w:val="2"/>
          <w:sz w:val="24"/>
          <w:szCs w:val="24"/>
          <w:highlight w:val="none"/>
          <w:u w:val="single"/>
          <w14:textFill>
            <w14:solidFill>
              <w14:schemeClr w14:val="tx1"/>
            </w14:solidFill>
          </w14:textFill>
        </w:rPr>
        <w:t>80%（含）～100%（不含）</w:t>
      </w:r>
      <w:r>
        <w:rPr>
          <w:rFonts w:hint="eastAsia" w:ascii="宋体" w:hAnsi="宋体" w:cs="宋体"/>
          <w:b w:val="0"/>
          <w:bCs w:val="0"/>
          <w:color w:val="000000" w:themeColor="text1"/>
          <w:kern w:val="2"/>
          <w:sz w:val="24"/>
          <w:szCs w:val="24"/>
          <w:highlight w:val="none"/>
          <w14:textFill>
            <w14:solidFill>
              <w14:schemeClr w14:val="tx1"/>
            </w14:solidFill>
          </w14:textFill>
        </w:rPr>
        <w:t>，零星计日工投标单价最高限价为</w:t>
      </w:r>
      <w:r>
        <w:rPr>
          <w:rFonts w:hint="eastAsia" w:ascii="宋体" w:hAnsi="宋体" w:cs="宋体"/>
          <w:b w:val="0"/>
          <w:bCs w:val="0"/>
          <w:color w:val="000000" w:themeColor="text1"/>
          <w:kern w:val="2"/>
          <w:sz w:val="24"/>
          <w:szCs w:val="24"/>
          <w:highlight w:val="none"/>
          <w:u w:val="single"/>
          <w14:textFill>
            <w14:solidFill>
              <w14:schemeClr w14:val="tx1"/>
            </w14:solidFill>
          </w14:textFill>
        </w:rPr>
        <w:t>人民币250元/工日</w:t>
      </w:r>
      <w:r>
        <w:rPr>
          <w:rFonts w:hint="eastAsia" w:ascii="宋体" w:hAnsi="宋体" w:cs="宋体"/>
          <w:b w:val="0"/>
          <w:bCs w:val="0"/>
          <w:color w:val="000000" w:themeColor="text1"/>
          <w:kern w:val="2"/>
          <w:sz w:val="24"/>
          <w:szCs w:val="24"/>
          <w:highlight w:val="none"/>
          <w14:textFill>
            <w14:solidFill>
              <w14:schemeClr w14:val="tx1"/>
            </w14:solidFill>
          </w14:textFill>
        </w:rPr>
        <w:t>。</w:t>
      </w:r>
    </w:p>
    <w:p w14:paraId="2B581434">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2、工程造价预算编制口径：</w:t>
      </w:r>
    </w:p>
    <w:p w14:paraId="6D0BCAC2">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2.1编制依据：</w:t>
      </w:r>
    </w:p>
    <w:p w14:paraId="786E5355">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《浙江省房屋建筑与装饰工程预算定额》（2018 版）</w:t>
      </w:r>
    </w:p>
    <w:p w14:paraId="3B7FE295">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《浙江省通用安装工程预算定额》（2018 版）</w:t>
      </w:r>
    </w:p>
    <w:p w14:paraId="34244DF7">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《浙江省市政工程预算定额》（2018 版）</w:t>
      </w:r>
    </w:p>
    <w:p w14:paraId="6FCFBC6B">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《浙江省园林绿化及仿古建筑工程预算定额》（2018 版）</w:t>
      </w:r>
    </w:p>
    <w:p w14:paraId="0F7C3DD9">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《浙江省建设工程计价规则》（2018版）</w:t>
      </w:r>
    </w:p>
    <w:p w14:paraId="2C5D73BE">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《关于增值税调整后我省建设工程计价依据增值税税率及有关计价调整的通知》（浙建建发[2019]92号 ）；</w:t>
      </w:r>
    </w:p>
    <w:p w14:paraId="182E058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关于贯彻《省建设厅关于调整建筑工程安全文明施工费的通知》的通知（杭建市发[2022]54号）；</w:t>
      </w:r>
    </w:p>
    <w:p w14:paraId="3898080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省、市建设行政主管部门以及工程造价管理机构颁发的相关计价办法和计价规定。</w:t>
      </w:r>
    </w:p>
    <w:p w14:paraId="3B77EC06">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以上编制依据若发生政策性调整的，按新政策执行，但本次报价折扣率不变。</w:t>
      </w:r>
    </w:p>
    <w:p w14:paraId="02A67DF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2.2编制原则：综合单价法；</w:t>
      </w:r>
    </w:p>
    <w:p w14:paraId="483B5A2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2.3工程类别：本项目工程取费暂按三类工程计取；</w:t>
      </w:r>
    </w:p>
    <w:p w14:paraId="27FD5EF6">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2.4建设工程农民工工伤保险费用按杭州市有关规定计算；</w:t>
      </w:r>
    </w:p>
    <w:p w14:paraId="3E30CBF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2.5危险作业意外伤害保险费不另计取，由投标人报价时充分考虑；</w:t>
      </w:r>
    </w:p>
    <w:p w14:paraId="710DE9A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2.6风险费用不另计取，由投标人报价时充分考虑；</w:t>
      </w:r>
    </w:p>
    <w:p w14:paraId="3DCA39A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w:t>
      </w:r>
      <w:bookmarkStart w:id="29" w:name="_Hlk134778490"/>
      <w:r>
        <w:rPr>
          <w:rFonts w:hint="eastAsia" w:ascii="宋体" w:hAnsi="宋体" w:cs="宋体"/>
          <w:color w:val="000000" w:themeColor="text1"/>
          <w:sz w:val="24"/>
          <w:highlight w:val="none"/>
          <w14:textFill>
            <w14:solidFill>
              <w14:schemeClr w14:val="tx1"/>
            </w14:solidFill>
          </w14:textFill>
        </w:rPr>
        <w:t>乙供材料单价按《杭州造价信息》正刊、《浙江造价信息》正刊计取。如杭州正刊无信息价则参考浙江省信息价，没有信息价则由双方协商定价，并须经甲方签证确认。</w:t>
      </w:r>
      <w:bookmarkEnd w:id="29"/>
    </w:p>
    <w:p w14:paraId="1211E71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2.8 税金按浙建建发[2019]92号文件规定计取：税率为9%；</w:t>
      </w:r>
    </w:p>
    <w:p w14:paraId="53DA9AF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2.9机械费单价按现行定额及信息价计取；</w:t>
      </w:r>
    </w:p>
    <w:p w14:paraId="0477F87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2.10垃圾清运费，倾倒至政府规定合法地点，运距自行考虑（含消纳费）；</w:t>
      </w:r>
    </w:p>
    <w:p w14:paraId="09845F1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2.11工程量按实结算，预算费用按中标折扣率进行下浮。</w:t>
      </w:r>
    </w:p>
    <w:p w14:paraId="12A4F429">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3、项目结算相关说明</w:t>
      </w:r>
    </w:p>
    <w:p w14:paraId="03683F8F">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r>
        <w:rPr>
          <w:rFonts w:ascii="宋体" w:hAnsi="宋体" w:eastAsia="PMingLiU" w:cs="宋体"/>
          <w:color w:val="000000" w:themeColor="text1"/>
          <w:sz w:val="24"/>
          <w:highlight w:val="none"/>
          <w:lang w:eastAsia="zh-TW"/>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工程量按实际发生计取，有施工图纸的按施工图纸计算，无施工图纸的按现场实际测量或经业主签证的其他方式计算工程量。工程量的计算规则应按省、市行业主管部门颁布的现行各专业工程定额的工程量计算规则执行。定额人工单价、主材单价按施工</w:t>
      </w:r>
      <w:r>
        <w:rPr>
          <w:rFonts w:hint="eastAsia" w:ascii="宋体" w:hAnsi="宋体" w:eastAsia="宋体" w:cs="宋体"/>
          <w:b/>
          <w:bCs/>
          <w:color w:val="000000" w:themeColor="text1"/>
          <w:sz w:val="24"/>
          <w:highlight w:val="none"/>
          <w14:textFill>
            <w14:solidFill>
              <w14:schemeClr w14:val="tx1"/>
            </w14:solidFill>
          </w14:textFill>
        </w:rPr>
        <w:t>当期《浙江造价信息》、《杭州造价信息》</w:t>
      </w:r>
      <w:r>
        <w:rPr>
          <w:rFonts w:hint="eastAsia" w:ascii="宋体" w:hAnsi="宋体" w:eastAsia="宋体" w:cs="宋体"/>
          <w:color w:val="000000" w:themeColor="text1"/>
          <w:sz w:val="24"/>
          <w:highlight w:val="none"/>
          <w14:textFill>
            <w14:solidFill>
              <w14:schemeClr w14:val="tx1"/>
            </w14:solidFill>
          </w14:textFill>
        </w:rPr>
        <w:t>计取；无价材料或无计价依据的子项内容按市场价为准。</w:t>
      </w:r>
    </w:p>
    <w:p w14:paraId="515B11E9">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ascii="宋体" w:hAnsi="宋体" w:eastAsia="PMingLiU" w:cs="宋体"/>
          <w:color w:val="000000" w:themeColor="text1"/>
          <w:sz w:val="24"/>
          <w:highlight w:val="none"/>
          <w:lang w:eastAsia="zh-TW"/>
          <w14:textFill>
            <w14:solidFill>
              <w14:schemeClr w14:val="tx1"/>
            </w14:solidFill>
          </w14:textFill>
        </w:rPr>
        <w:t>3.2</w:t>
      </w:r>
      <w:r>
        <w:rPr>
          <w:rFonts w:hint="eastAsia" w:ascii="宋体" w:hAnsi="宋体" w:eastAsia="宋体" w:cs="宋体"/>
          <w:b/>
          <w:color w:val="000000" w:themeColor="text1"/>
          <w:sz w:val="24"/>
          <w:highlight w:val="none"/>
          <w14:textFill>
            <w14:solidFill>
              <w14:schemeClr w14:val="tx1"/>
            </w14:solidFill>
          </w14:textFill>
        </w:rPr>
        <w:t>采用综合单价法结算，综合单价包含完成一个清单或定额项目所需人工费、机械费、材料费及除此外的全费用服务单价，施工组织措施费、技术措施费、管理费、利润、安全文明费、规费、税金等费用，均包含在服务单价内不单独计取。</w:t>
      </w:r>
    </w:p>
    <w:p w14:paraId="2DCB03FE">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ascii="宋体" w:hAnsi="宋体" w:eastAsia="PMingLiU" w:cs="宋体"/>
          <w:color w:val="000000" w:themeColor="text1"/>
          <w:sz w:val="24"/>
          <w:highlight w:val="none"/>
          <w:lang w:eastAsia="zh-TW"/>
          <w14:textFill>
            <w14:solidFill>
              <w14:schemeClr w14:val="tx1"/>
            </w14:solidFill>
          </w14:textFill>
        </w:rPr>
        <w:t>3.3</w:t>
      </w:r>
      <w:r>
        <w:rPr>
          <w:rFonts w:hint="eastAsia" w:ascii="宋体" w:hAnsi="宋体" w:eastAsia="宋体" w:cs="宋体"/>
          <w:color w:val="000000" w:themeColor="text1"/>
          <w:sz w:val="24"/>
          <w:highlight w:val="none"/>
          <w14:textFill>
            <w14:solidFill>
              <w14:schemeClr w14:val="tx1"/>
            </w14:solidFill>
          </w14:textFill>
        </w:rPr>
        <w:t>按照上述方法计算后</w:t>
      </w:r>
      <w:r>
        <w:rPr>
          <w:rFonts w:hint="eastAsia" w:ascii="宋体" w:hAnsi="宋体" w:eastAsia="宋体" w:cs="宋体"/>
          <w:color w:val="000000" w:themeColor="text1"/>
          <w:sz w:val="24"/>
          <w:highlight w:val="none"/>
          <w:lang w:val="en-US"/>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（投标折扣率）作为结算价，经第三方咨询公司审计后结算。</w:t>
      </w:r>
    </w:p>
    <w:p w14:paraId="364128CF">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ascii="宋体" w:hAnsi="宋体" w:eastAsia="PMingLiU" w:cs="宋体"/>
          <w:color w:val="000000" w:themeColor="text1"/>
          <w:sz w:val="24"/>
          <w:highlight w:val="none"/>
          <w:lang w:eastAsia="zh-TW"/>
          <w14:textFill>
            <w14:solidFill>
              <w14:schemeClr w14:val="tx1"/>
            </w14:solidFill>
          </w14:textFill>
        </w:rPr>
        <w:t>3.4</w:t>
      </w:r>
      <w:r>
        <w:rPr>
          <w:rFonts w:hint="eastAsia" w:ascii="宋体" w:hAnsi="宋体" w:eastAsia="宋体" w:cs="宋体"/>
          <w:color w:val="000000" w:themeColor="text1"/>
          <w:sz w:val="24"/>
          <w:highlight w:val="none"/>
          <w14:textFill>
            <w14:solidFill>
              <w14:schemeClr w14:val="tx1"/>
            </w14:solidFill>
          </w14:textFill>
        </w:rPr>
        <w:t>计日工按实际发生计取，1个工日按8小时计。</w:t>
      </w:r>
    </w:p>
    <w:p w14:paraId="7CC76829">
      <w:pPr>
        <w:spacing w:line="360" w:lineRule="auto"/>
        <w:rPr>
          <w:rFonts w:ascii="宋体" w:hAnsi="宋体" w:cs="宋体"/>
          <w:color w:val="000000" w:themeColor="text1"/>
          <w:sz w:val="24"/>
          <w:highlight w:val="none"/>
          <w14:textFill>
            <w14:solidFill>
              <w14:schemeClr w14:val="tx1"/>
            </w14:solidFill>
          </w14:textFill>
        </w:rPr>
      </w:pPr>
    </w:p>
    <w:p w14:paraId="08F3DA5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三、工程质量要求</w:t>
      </w:r>
    </w:p>
    <w:p w14:paraId="0E0D0A2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工程质量必须符合国家的有关质量验收标准，达到合格要求。</w:t>
      </w:r>
    </w:p>
    <w:p w14:paraId="254BA1B6">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61877C49">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四、施工工期</w:t>
      </w:r>
    </w:p>
    <w:p w14:paraId="25B7ED1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1、施工工期须严格按照招标人要求，不得拖延工期。</w:t>
      </w:r>
    </w:p>
    <w:p w14:paraId="1C0E51E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2、本工程的关键在于及时性，投标人应当具有土建安装等施工维修经验和综合的抢修处理能力。</w:t>
      </w:r>
    </w:p>
    <w:p w14:paraId="6C691BFA">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176338D7">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五、服务期</w:t>
      </w:r>
    </w:p>
    <w:p w14:paraId="54883CB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个月，服务期限自</w:t>
      </w:r>
      <w:r>
        <w:rPr>
          <w:rFonts w:ascii="宋体" w:hAnsi="宋体" w:cs="宋体"/>
          <w:color w:val="000000" w:themeColor="text1"/>
          <w:sz w:val="24"/>
          <w:highlight w:val="none"/>
          <w14:textFill>
            <w14:solidFill>
              <w14:schemeClr w14:val="tx1"/>
            </w14:solidFill>
          </w14:textFill>
        </w:rPr>
        <w:t>20</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en-US" w:eastAsia="zh-CN"/>
          <w14:textFill>
            <w14:solidFill>
              <w14:schemeClr w14:val="tx1"/>
            </w14:solidFill>
          </w14:textFill>
        </w:rPr>
        <w:t>5</w:t>
      </w:r>
      <w:r>
        <w:rPr>
          <w:rFonts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日至202</w:t>
      </w:r>
      <w:r>
        <w:rPr>
          <w:rFonts w:hint="eastAsia" w:ascii="宋体" w:hAnsi="宋体" w:cs="宋体"/>
          <w:color w:val="000000" w:themeColor="text1"/>
          <w:sz w:val="24"/>
          <w:highlight w:val="none"/>
          <w:lang w:val="en-US" w:eastAsia="zh-CN"/>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日（以合同约定日期为准）。</w:t>
      </w:r>
    </w:p>
    <w:p w14:paraId="098D08B4">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02938FED">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六、施工要求</w:t>
      </w:r>
    </w:p>
    <w:p w14:paraId="720522D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1、尊重工作人员的安排，协商施工。</w:t>
      </w:r>
    </w:p>
    <w:p w14:paraId="4A17086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2、有噪声的施工项目应提前告知招标人。具体应服从招标人安排。</w:t>
      </w:r>
    </w:p>
    <w:p w14:paraId="70A9FD8E">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3、加强对施工人员的安全教育，施工人员必须有安全保障，实施全程安全监管，施工区域应有标准提示牌。</w:t>
      </w:r>
    </w:p>
    <w:p w14:paraId="44711BE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4、施工时造成不必要的其它损坏，由招标人认定后按实际赔偿。</w:t>
      </w:r>
    </w:p>
    <w:p w14:paraId="42478B2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5、施工人员资料必须报备招标人审核。</w:t>
      </w:r>
    </w:p>
    <w:p w14:paraId="4DB195FB">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6、注重文明施工。施工人员施工必须服从招标人人员安排，文明施工，尘埃控制及遮挡必须到位。</w:t>
      </w:r>
    </w:p>
    <w:p w14:paraId="30D396F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7、施工期间及质保期内，由于设备安装问题造成招标人或者第三方损失，由中标单位负责。</w:t>
      </w:r>
    </w:p>
    <w:p w14:paraId="4053B1A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8、施工人员要求：必须严格遵守国家法律法规施工规范要求。</w:t>
      </w:r>
    </w:p>
    <w:p w14:paraId="65D38D1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9、施工期间，材料、人员进出不得影响发包人的工作秩序。</w:t>
      </w:r>
    </w:p>
    <w:p w14:paraId="7FD980E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10、投标人必须保质保量按期完成施工任务,投标人应采取相关的施工组织和技术措施，确保按时完成施工任务。</w:t>
      </w:r>
    </w:p>
    <w:p w14:paraId="56320E6E">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11、本工程位于景区内,投标单位应在施工过程中采取必要的降噪措施和防尘措施，不得干扰景区的正常工作秩序。</w:t>
      </w:r>
    </w:p>
    <w:p w14:paraId="596071F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12、投标人应对施工现场进行踏勘，充分了解建筑物结构、现场情况等，对技术难度和安全性引起特别重视。</w:t>
      </w:r>
    </w:p>
    <w:p w14:paraId="64001E8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13、大件材料的运输，按照招标人要求合理安排运输时间。</w:t>
      </w:r>
    </w:p>
    <w:p w14:paraId="73A074D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14、中标单位有责任为招标人等进行工程检查时免费提供安全保护用具和各种设施的方便。</w:t>
      </w:r>
    </w:p>
    <w:p w14:paraId="6DB02F3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15、招标范围内的垃圾清运由投标人自行负责处理，倾倒至政府规定合法地点，运距自行考虑。</w:t>
      </w:r>
    </w:p>
    <w:p w14:paraId="1B10C87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16、施工人员应到招标人相关科室登记备案，施工期间如要动用明火施工单位必须到招标人相关科室审批。</w:t>
      </w:r>
    </w:p>
    <w:p w14:paraId="6DE77BE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17、管线部分应暗敷，如确须明敷报管理科室同意后方可实施。</w:t>
      </w:r>
    </w:p>
    <w:p w14:paraId="648A5F95">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2B81B65D">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七、人员要求</w:t>
      </w:r>
    </w:p>
    <w:p w14:paraId="2A3DE27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1、必须配备下列常驻人员，须随叫随到，人员住宿应在景区附近，住宿由投标人自行解决。</w:t>
      </w:r>
    </w:p>
    <w:p w14:paraId="23255FB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（1）泥工2名；</w:t>
      </w:r>
    </w:p>
    <w:p w14:paraId="6BD5FF0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（2）水工1名；</w:t>
      </w:r>
    </w:p>
    <w:p w14:paraId="0BA623B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普通电工1名、电焊工1名、高配电工1名；</w:t>
      </w:r>
    </w:p>
    <w:p w14:paraId="7FB5BBE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（4）木工1名；</w:t>
      </w:r>
    </w:p>
    <w:p w14:paraId="79F7BB7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（5）油漆工1名。</w:t>
      </w:r>
    </w:p>
    <w:p w14:paraId="2FDF464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2、现场施工人员应统一着装，持证上岗。电工需具备高压电工作业证，低压电工作业证，具备相关电工维修经验。</w:t>
      </w:r>
    </w:p>
    <w:p w14:paraId="239701D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3、投标人拟派本项目水电工、木工、泥工等工种，须人员配备充足、经验丰富、操作技能熟练、具备优秀的专业技能，服从招标人的管理。</w:t>
      </w:r>
    </w:p>
    <w:p w14:paraId="732F0B04">
      <w:pPr>
        <w:rPr>
          <w:rFonts w:ascii="宋体" w:hAnsi="宋体" w:cs="宋体"/>
          <w:color w:val="000000" w:themeColor="text1"/>
          <w:sz w:val="24"/>
          <w:highlight w:val="none"/>
          <w14:textFill>
            <w14:solidFill>
              <w14:schemeClr w14:val="tx1"/>
            </w14:solidFill>
          </w14:textFill>
        </w:rPr>
      </w:pPr>
    </w:p>
    <w:p w14:paraId="6EC69E33">
      <w:pPr>
        <w:pStyle w:val="2"/>
        <w:rPr>
          <w:rFonts w:ascii="宋体" w:hAnsi="宋体" w:eastAsia="宋体" w:cs="宋体"/>
          <w:color w:val="000000" w:themeColor="text1"/>
          <w:sz w:val="24"/>
          <w:szCs w:val="24"/>
          <w:highlight w:val="none"/>
          <w14:textFill>
            <w14:solidFill>
              <w14:schemeClr w14:val="tx1"/>
            </w14:solidFill>
          </w14:textFill>
        </w:rPr>
      </w:pPr>
      <w:bookmarkStart w:id="30" w:name="_Toc479705406"/>
      <w:bookmarkStart w:id="31" w:name="_Toc471994779"/>
      <w:bookmarkStart w:id="32" w:name="_Toc479705459"/>
      <w:bookmarkStart w:id="33" w:name="_Toc450810609"/>
      <w:r>
        <w:rPr>
          <w:rFonts w:hint="eastAsia" w:ascii="宋体" w:hAnsi="宋体" w:eastAsia="宋体" w:cs="宋体"/>
          <w:color w:val="000000" w:themeColor="text1"/>
          <w:sz w:val="24"/>
          <w:szCs w:val="24"/>
          <w:highlight w:val="none"/>
          <w14:textFill>
            <w14:solidFill>
              <w14:schemeClr w14:val="tx1"/>
            </w14:solidFill>
          </w14:textFill>
        </w:rPr>
        <w:t>八、主要材料要求</w:t>
      </w:r>
      <w:bookmarkEnd w:id="30"/>
      <w:bookmarkEnd w:id="31"/>
      <w:bookmarkEnd w:id="32"/>
      <w:bookmarkEnd w:id="33"/>
    </w:p>
    <w:p w14:paraId="54AFED35">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8.1材料选择</w:t>
      </w:r>
    </w:p>
    <w:p w14:paraId="7C2BECA2">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招标人在项目实施时提供《主要材料品牌表》，本项目涉及的主要材料和设备，投标人必须按招标人指定品牌及设计施工图要求的产品，投入实施。若由于特殊原因，无法使用招标人指定品牌的，则要求投标人提供相当于招标人指定品牌同档次品牌的产品投入使用。</w:t>
      </w:r>
    </w:p>
    <w:p w14:paraId="3C21EFA6">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（2）若招标人无指定品牌，各投标人必须根据设计施工图的要求及意图按中高档的用材标准进行选材并报价，所有设备材料要求在行业内具有一定知名度的品牌。</w:t>
      </w:r>
    </w:p>
    <w:p w14:paraId="7CF38340">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（3）所有材料必须在原厂生产加工，不允许采用下属、联营、协作、控股厂家产品投标和实际使用。</w:t>
      </w:r>
    </w:p>
    <w:p w14:paraId="24FF2730">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（4）所有提供的材料必须是优等品或“A”级品。</w:t>
      </w:r>
    </w:p>
    <w:p w14:paraId="6B8F1681">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（5）所有提供的材料必须符合环保标准。</w:t>
      </w:r>
    </w:p>
    <w:p w14:paraId="6B5F4A4C">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8.2材料的质量要求：</w:t>
      </w:r>
    </w:p>
    <w:p w14:paraId="41B23421">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（1）在免费保修期内，中标人对有缺陷的部位必须无偿地给予修理与更换，并承担一切由此引起的对招标人或第三者的直接损失，除非该缺陷是由于人为破坏或合同规定的不可抗力因素造成的损坏。</w:t>
      </w:r>
    </w:p>
    <w:p w14:paraId="6C86ACD4">
      <w:pPr>
        <w:tabs>
          <w:tab w:val="left" w:pos="0"/>
        </w:tabs>
        <w:snapToGrid w:val="0"/>
        <w:spacing w:line="360" w:lineRule="auto"/>
        <w:ind w:firstLine="482" w:firstLineChars="20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标人应对所选用的材料的技术满足度和质量负全部责任，其责任不因该品牌是否为招标人推荐减轻或更改。当承包人选定的产品质量达不到设计要求和招标文件要求的技术指标时，招标人保留更换的权利，且中标价不予调整。</w:t>
      </w:r>
    </w:p>
    <w:p w14:paraId="59F1257A">
      <w:pPr>
        <w:spacing w:line="360" w:lineRule="auto"/>
        <w:ind w:firstLine="181" w:firstLineChars="50"/>
        <w:rPr>
          <w:rFonts w:ascii="宋体" w:hAnsi="宋体" w:cs="宋体"/>
          <w:b/>
          <w:color w:val="auto"/>
          <w:sz w:val="36"/>
          <w:szCs w:val="36"/>
          <w:highlight w:val="none"/>
        </w:rPr>
      </w:pPr>
    </w:p>
    <w:p w14:paraId="16A70E79">
      <w:pPr>
        <w:spacing w:line="360" w:lineRule="auto"/>
        <w:rPr>
          <w:rFonts w:ascii="宋体" w:hAnsi="宋体" w:cs="宋体"/>
          <w:color w:val="auto"/>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4" w:name="_Toc184313251"/>
      <w:bookmarkEnd w:id="34"/>
      <w:bookmarkStart w:id="35" w:name="_Toc184314427"/>
      <w:bookmarkEnd w:id="35"/>
      <w:bookmarkStart w:id="36" w:name="_Toc184310310"/>
      <w:bookmarkEnd w:id="36"/>
      <w:bookmarkStart w:id="37" w:name="_Toc184313310"/>
      <w:bookmarkEnd w:id="37"/>
      <w:bookmarkStart w:id="38" w:name="_Toc184313293"/>
      <w:bookmarkEnd w:id="38"/>
      <w:bookmarkStart w:id="39" w:name="_Toc184308074"/>
      <w:bookmarkEnd w:id="39"/>
      <w:bookmarkStart w:id="40" w:name="_Toc184310331"/>
      <w:bookmarkEnd w:id="40"/>
      <w:bookmarkStart w:id="41" w:name="_Toc184313308"/>
      <w:bookmarkEnd w:id="41"/>
      <w:bookmarkStart w:id="42" w:name="_Toc184308104"/>
      <w:bookmarkEnd w:id="42"/>
      <w:bookmarkStart w:id="43" w:name="_Toc184310344"/>
      <w:bookmarkEnd w:id="43"/>
      <w:bookmarkStart w:id="44" w:name="_Toc184314473"/>
      <w:bookmarkEnd w:id="44"/>
      <w:bookmarkStart w:id="45" w:name="_Toc184312130"/>
      <w:bookmarkEnd w:id="45"/>
      <w:bookmarkStart w:id="46" w:name="_Toc184310311"/>
      <w:bookmarkEnd w:id="46"/>
      <w:bookmarkStart w:id="47" w:name="_Toc184314436"/>
      <w:bookmarkEnd w:id="47"/>
      <w:bookmarkStart w:id="48" w:name="_Toc184312106"/>
      <w:bookmarkEnd w:id="48"/>
      <w:bookmarkStart w:id="49" w:name="_Toc184310292"/>
      <w:bookmarkEnd w:id="49"/>
      <w:bookmarkStart w:id="50" w:name="_Toc184310323"/>
      <w:bookmarkEnd w:id="50"/>
      <w:bookmarkStart w:id="51" w:name="_Toc184308064"/>
      <w:bookmarkEnd w:id="51"/>
      <w:bookmarkStart w:id="52" w:name="_Toc184308078"/>
      <w:bookmarkEnd w:id="52"/>
      <w:bookmarkStart w:id="53" w:name="_Toc184308101"/>
      <w:bookmarkEnd w:id="53"/>
      <w:bookmarkStart w:id="54" w:name="_Toc184308068"/>
      <w:bookmarkEnd w:id="54"/>
      <w:bookmarkStart w:id="55" w:name="_Toc184308088"/>
      <w:bookmarkEnd w:id="55"/>
      <w:bookmarkStart w:id="56" w:name="_Toc184308065"/>
      <w:bookmarkEnd w:id="56"/>
      <w:bookmarkStart w:id="57" w:name="_Toc184308070"/>
      <w:bookmarkEnd w:id="57"/>
      <w:bookmarkStart w:id="58" w:name="_Toc184314412"/>
      <w:bookmarkEnd w:id="58"/>
      <w:bookmarkStart w:id="59" w:name="_Toc184313271"/>
      <w:bookmarkEnd w:id="59"/>
      <w:bookmarkStart w:id="60" w:name="_Toc184310314"/>
      <w:bookmarkEnd w:id="60"/>
      <w:bookmarkStart w:id="61" w:name="_Toc184312122"/>
      <w:bookmarkEnd w:id="61"/>
      <w:bookmarkStart w:id="62" w:name="_Toc184312100"/>
      <w:bookmarkEnd w:id="62"/>
      <w:bookmarkStart w:id="63" w:name="_Toc184310317"/>
      <w:bookmarkEnd w:id="63"/>
      <w:bookmarkStart w:id="64" w:name="_Toc184308049"/>
      <w:bookmarkEnd w:id="64"/>
      <w:bookmarkStart w:id="65" w:name="_Toc184314460"/>
      <w:bookmarkEnd w:id="65"/>
      <w:bookmarkStart w:id="66" w:name="_Toc184310283"/>
      <w:bookmarkEnd w:id="66"/>
      <w:bookmarkStart w:id="67" w:name="_Toc184310303"/>
      <w:bookmarkEnd w:id="67"/>
      <w:bookmarkStart w:id="68" w:name="_Toc184314475"/>
      <w:bookmarkEnd w:id="68"/>
      <w:bookmarkStart w:id="69" w:name="_Toc184310290"/>
      <w:bookmarkEnd w:id="69"/>
      <w:bookmarkStart w:id="70" w:name="_Toc184308099"/>
      <w:bookmarkEnd w:id="70"/>
      <w:bookmarkStart w:id="71" w:name="_Toc184310342"/>
      <w:bookmarkEnd w:id="71"/>
      <w:bookmarkStart w:id="72" w:name="_Toc184313252"/>
      <w:bookmarkEnd w:id="72"/>
      <w:bookmarkStart w:id="73" w:name="_Toc184314428"/>
      <w:bookmarkEnd w:id="73"/>
      <w:bookmarkStart w:id="74" w:name="_Toc184314471"/>
      <w:bookmarkEnd w:id="74"/>
      <w:bookmarkStart w:id="75" w:name="_Toc184313282"/>
      <w:bookmarkEnd w:id="75"/>
      <w:bookmarkStart w:id="76" w:name="_Toc184310279"/>
      <w:bookmarkEnd w:id="76"/>
      <w:bookmarkStart w:id="77" w:name="_Toc184314426"/>
      <w:bookmarkEnd w:id="77"/>
      <w:bookmarkStart w:id="78" w:name="_Toc184312087"/>
      <w:bookmarkEnd w:id="78"/>
      <w:bookmarkStart w:id="79" w:name="_Toc184312118"/>
      <w:bookmarkEnd w:id="79"/>
      <w:bookmarkStart w:id="80" w:name="_Toc184308058"/>
      <w:bookmarkEnd w:id="80"/>
      <w:bookmarkStart w:id="81" w:name="_Toc184314444"/>
      <w:bookmarkEnd w:id="81"/>
      <w:bookmarkStart w:id="82" w:name="_Toc184310304"/>
      <w:bookmarkEnd w:id="82"/>
      <w:bookmarkStart w:id="83" w:name="_Toc184313246"/>
      <w:bookmarkEnd w:id="83"/>
      <w:bookmarkStart w:id="84" w:name="_Toc184314433"/>
      <w:bookmarkEnd w:id="84"/>
      <w:bookmarkStart w:id="85" w:name="_Toc184310335"/>
      <w:bookmarkEnd w:id="85"/>
      <w:bookmarkStart w:id="86" w:name="_Toc184312092"/>
      <w:bookmarkEnd w:id="86"/>
      <w:bookmarkStart w:id="87" w:name="_Toc184313287"/>
      <w:bookmarkEnd w:id="87"/>
      <w:bookmarkStart w:id="88" w:name="_Toc184308066"/>
      <w:bookmarkEnd w:id="88"/>
      <w:bookmarkStart w:id="89" w:name="_Toc184314410"/>
      <w:bookmarkEnd w:id="89"/>
      <w:bookmarkStart w:id="90" w:name="_Toc184308062"/>
      <w:bookmarkEnd w:id="90"/>
      <w:bookmarkStart w:id="91" w:name="_Toc184308105"/>
      <w:bookmarkEnd w:id="91"/>
      <w:bookmarkStart w:id="92" w:name="_Toc184314477"/>
      <w:bookmarkEnd w:id="92"/>
      <w:bookmarkStart w:id="93" w:name="_Toc184314441"/>
      <w:bookmarkEnd w:id="93"/>
      <w:bookmarkStart w:id="94" w:name="_Toc184312085"/>
      <w:bookmarkEnd w:id="94"/>
      <w:bookmarkStart w:id="95" w:name="_Toc184314431"/>
      <w:bookmarkEnd w:id="95"/>
      <w:bookmarkStart w:id="96" w:name="_Toc184312139"/>
      <w:bookmarkEnd w:id="96"/>
      <w:bookmarkStart w:id="97" w:name="_Toc184313277"/>
      <w:bookmarkEnd w:id="97"/>
      <w:bookmarkStart w:id="98" w:name="_Toc184308089"/>
      <w:bookmarkEnd w:id="98"/>
      <w:bookmarkStart w:id="99" w:name="_Toc184314466"/>
      <w:bookmarkEnd w:id="99"/>
      <w:bookmarkStart w:id="100" w:name="_Toc184312080"/>
      <w:bookmarkEnd w:id="100"/>
      <w:bookmarkStart w:id="101" w:name="_Toc184308056"/>
      <w:bookmarkEnd w:id="101"/>
      <w:bookmarkStart w:id="102" w:name="_Toc184314448"/>
      <w:bookmarkEnd w:id="102"/>
      <w:bookmarkStart w:id="103" w:name="_Toc184313247"/>
      <w:bookmarkEnd w:id="103"/>
      <w:bookmarkStart w:id="104" w:name="_Toc184314449"/>
      <w:bookmarkEnd w:id="104"/>
      <w:bookmarkStart w:id="105" w:name="_Toc184313241"/>
      <w:bookmarkEnd w:id="105"/>
      <w:bookmarkStart w:id="106" w:name="_Toc184310327"/>
      <w:bookmarkEnd w:id="106"/>
      <w:bookmarkStart w:id="107" w:name="_Toc184314421"/>
      <w:bookmarkEnd w:id="107"/>
      <w:bookmarkStart w:id="108" w:name="_Toc184312128"/>
      <w:bookmarkEnd w:id="108"/>
      <w:bookmarkStart w:id="109" w:name="_Toc184313286"/>
      <w:bookmarkEnd w:id="109"/>
      <w:bookmarkStart w:id="110" w:name="_Toc184310338"/>
      <w:bookmarkEnd w:id="110"/>
      <w:bookmarkStart w:id="111" w:name="_Toc184312111"/>
      <w:bookmarkEnd w:id="111"/>
      <w:bookmarkStart w:id="112" w:name="_Toc184308052"/>
      <w:bookmarkEnd w:id="112"/>
      <w:bookmarkStart w:id="113" w:name="_Toc184310316"/>
      <w:bookmarkEnd w:id="113"/>
      <w:bookmarkStart w:id="114" w:name="_Toc184312117"/>
      <w:bookmarkEnd w:id="114"/>
      <w:bookmarkStart w:id="115" w:name="_Toc184314432"/>
      <w:bookmarkEnd w:id="115"/>
      <w:bookmarkStart w:id="116" w:name="_Toc184310328"/>
      <w:bookmarkEnd w:id="116"/>
      <w:bookmarkStart w:id="117" w:name="_Toc184313253"/>
      <w:bookmarkEnd w:id="117"/>
      <w:bookmarkStart w:id="118" w:name="_Toc184310333"/>
      <w:bookmarkEnd w:id="118"/>
      <w:bookmarkStart w:id="119" w:name="_Toc184314413"/>
      <w:bookmarkEnd w:id="119"/>
      <w:bookmarkStart w:id="120" w:name="_Toc184310291"/>
      <w:bookmarkEnd w:id="120"/>
      <w:bookmarkStart w:id="121" w:name="_Toc184312116"/>
      <w:bookmarkEnd w:id="121"/>
      <w:bookmarkStart w:id="122" w:name="_Toc184314472"/>
      <w:bookmarkEnd w:id="122"/>
      <w:bookmarkStart w:id="123" w:name="_Toc184313307"/>
      <w:bookmarkEnd w:id="123"/>
      <w:bookmarkStart w:id="124" w:name="_Toc184314416"/>
      <w:bookmarkEnd w:id="124"/>
      <w:bookmarkStart w:id="125" w:name="_Toc184308083"/>
      <w:bookmarkEnd w:id="125"/>
      <w:bookmarkStart w:id="126" w:name="_Toc184310289"/>
      <w:bookmarkEnd w:id="126"/>
      <w:bookmarkStart w:id="127" w:name="_Toc184312089"/>
      <w:bookmarkEnd w:id="127"/>
      <w:bookmarkStart w:id="128" w:name="_Toc184312071"/>
      <w:bookmarkEnd w:id="128"/>
      <w:bookmarkStart w:id="129" w:name="_Toc184310299"/>
      <w:bookmarkEnd w:id="129"/>
      <w:bookmarkStart w:id="130" w:name="_Toc184314461"/>
      <w:bookmarkEnd w:id="130"/>
      <w:bookmarkStart w:id="131" w:name="_Toc184313243"/>
      <w:bookmarkEnd w:id="131"/>
      <w:bookmarkStart w:id="132" w:name="_Toc184308093"/>
      <w:bookmarkEnd w:id="132"/>
      <w:bookmarkStart w:id="133" w:name="_Toc184310305"/>
      <w:bookmarkEnd w:id="133"/>
      <w:bookmarkStart w:id="134" w:name="_Toc184308063"/>
      <w:bookmarkEnd w:id="134"/>
      <w:bookmarkStart w:id="135" w:name="_Toc184308047"/>
      <w:bookmarkEnd w:id="135"/>
      <w:bookmarkStart w:id="136" w:name="_Toc184310280"/>
      <w:bookmarkEnd w:id="136"/>
      <w:bookmarkStart w:id="137" w:name="_Toc184308100"/>
      <w:bookmarkEnd w:id="137"/>
      <w:bookmarkStart w:id="138" w:name="_Toc184313254"/>
      <w:bookmarkEnd w:id="138"/>
      <w:bookmarkStart w:id="139" w:name="_Toc184313298"/>
      <w:bookmarkEnd w:id="139"/>
      <w:bookmarkStart w:id="140" w:name="_Toc184312135"/>
      <w:bookmarkEnd w:id="140"/>
      <w:bookmarkStart w:id="141" w:name="_Toc184312073"/>
      <w:bookmarkEnd w:id="141"/>
      <w:bookmarkStart w:id="142" w:name="_Toc184310298"/>
      <w:bookmarkEnd w:id="142"/>
      <w:bookmarkStart w:id="143" w:name="_Toc184308037"/>
      <w:bookmarkEnd w:id="143"/>
      <w:bookmarkStart w:id="144" w:name="_Toc184314450"/>
      <w:bookmarkEnd w:id="144"/>
      <w:bookmarkStart w:id="145" w:name="_Toc184310302"/>
      <w:bookmarkEnd w:id="145"/>
      <w:bookmarkStart w:id="146" w:name="_Toc184310339"/>
      <w:bookmarkEnd w:id="146"/>
      <w:bookmarkStart w:id="147" w:name="_Toc184314465"/>
      <w:bookmarkEnd w:id="147"/>
      <w:bookmarkStart w:id="148" w:name="_Toc184312132"/>
      <w:bookmarkEnd w:id="148"/>
      <w:bookmarkStart w:id="149" w:name="_Toc184308038"/>
      <w:bookmarkEnd w:id="149"/>
      <w:bookmarkStart w:id="150" w:name="_Toc184310336"/>
      <w:bookmarkEnd w:id="150"/>
      <w:bookmarkStart w:id="151" w:name="_Toc184308051"/>
      <w:bookmarkEnd w:id="151"/>
      <w:bookmarkStart w:id="152" w:name="_Toc184308090"/>
      <w:bookmarkEnd w:id="152"/>
      <w:bookmarkStart w:id="153" w:name="_Toc184313283"/>
      <w:bookmarkEnd w:id="153"/>
      <w:bookmarkStart w:id="154" w:name="_Toc184313255"/>
      <w:bookmarkEnd w:id="154"/>
      <w:bookmarkStart w:id="155" w:name="_Toc184310297"/>
      <w:bookmarkEnd w:id="155"/>
      <w:bookmarkStart w:id="156" w:name="_Toc184312124"/>
      <w:bookmarkEnd w:id="156"/>
      <w:bookmarkStart w:id="157" w:name="_Toc184308091"/>
      <w:bookmarkEnd w:id="157"/>
      <w:bookmarkStart w:id="158" w:name="_Toc184308043"/>
      <w:bookmarkEnd w:id="158"/>
      <w:bookmarkStart w:id="159" w:name="_Toc184308050"/>
      <w:bookmarkEnd w:id="159"/>
      <w:bookmarkStart w:id="160" w:name="_Toc184313258"/>
      <w:bookmarkEnd w:id="160"/>
      <w:bookmarkStart w:id="161" w:name="_Toc184313304"/>
      <w:bookmarkEnd w:id="161"/>
      <w:bookmarkStart w:id="162" w:name="_Toc184308079"/>
      <w:bookmarkEnd w:id="162"/>
      <w:bookmarkStart w:id="163" w:name="_Toc184310325"/>
      <w:bookmarkEnd w:id="163"/>
      <w:bookmarkStart w:id="164" w:name="_Toc184312068"/>
      <w:bookmarkEnd w:id="164"/>
      <w:bookmarkStart w:id="165" w:name="_Toc184314435"/>
      <w:bookmarkEnd w:id="165"/>
      <w:bookmarkStart w:id="166" w:name="_Toc184314464"/>
      <w:bookmarkEnd w:id="166"/>
      <w:bookmarkStart w:id="167" w:name="_Toc184310340"/>
      <w:bookmarkEnd w:id="167"/>
      <w:bookmarkStart w:id="168" w:name="_Toc184314438"/>
      <w:bookmarkEnd w:id="168"/>
      <w:bookmarkStart w:id="169" w:name="_Toc184313289"/>
      <w:bookmarkEnd w:id="169"/>
      <w:bookmarkStart w:id="170" w:name="_Toc184314479"/>
      <w:bookmarkEnd w:id="170"/>
      <w:bookmarkStart w:id="171" w:name="_Toc184314418"/>
      <w:bookmarkEnd w:id="171"/>
      <w:bookmarkStart w:id="172" w:name="_Toc184310318"/>
      <w:bookmarkEnd w:id="172"/>
      <w:bookmarkStart w:id="173" w:name="_Toc184314414"/>
      <w:bookmarkEnd w:id="173"/>
      <w:bookmarkStart w:id="174" w:name="_Toc184312133"/>
      <w:bookmarkEnd w:id="174"/>
      <w:bookmarkStart w:id="175" w:name="_Toc184313240"/>
      <w:bookmarkEnd w:id="175"/>
      <w:bookmarkStart w:id="176" w:name="_Toc184312102"/>
      <w:bookmarkEnd w:id="176"/>
      <w:bookmarkStart w:id="177" w:name="_Toc184312131"/>
      <w:bookmarkEnd w:id="177"/>
      <w:bookmarkStart w:id="178" w:name="_Toc184314442"/>
      <w:bookmarkEnd w:id="178"/>
      <w:bookmarkStart w:id="179" w:name="_Toc184310312"/>
      <w:bookmarkEnd w:id="179"/>
      <w:bookmarkStart w:id="180" w:name="_Toc184308036"/>
      <w:bookmarkEnd w:id="180"/>
      <w:bookmarkStart w:id="181" w:name="_Toc184314458"/>
      <w:bookmarkEnd w:id="181"/>
      <w:bookmarkStart w:id="182" w:name="_Toc184314423"/>
      <w:bookmarkEnd w:id="182"/>
      <w:bookmarkStart w:id="183" w:name="_Toc184308103"/>
      <w:bookmarkEnd w:id="183"/>
      <w:bookmarkStart w:id="184" w:name="_Toc184308096"/>
      <w:bookmarkEnd w:id="184"/>
      <w:bookmarkStart w:id="185" w:name="_Toc184314454"/>
      <w:bookmarkEnd w:id="185"/>
      <w:bookmarkStart w:id="186" w:name="_Toc184310273"/>
      <w:bookmarkEnd w:id="186"/>
      <w:bookmarkStart w:id="187" w:name="_Toc184312127"/>
      <w:bookmarkEnd w:id="187"/>
      <w:bookmarkStart w:id="188" w:name="_Toc184313302"/>
      <w:bookmarkEnd w:id="188"/>
      <w:bookmarkStart w:id="189" w:name="_Toc184310300"/>
      <w:bookmarkEnd w:id="189"/>
      <w:bookmarkStart w:id="190" w:name="_Toc184312119"/>
      <w:bookmarkEnd w:id="190"/>
      <w:bookmarkStart w:id="191" w:name="_Toc184313263"/>
      <w:bookmarkEnd w:id="191"/>
      <w:bookmarkStart w:id="192" w:name="_Toc184308092"/>
      <w:bookmarkEnd w:id="192"/>
      <w:bookmarkStart w:id="193" w:name="_Toc184312070"/>
      <w:bookmarkEnd w:id="193"/>
      <w:bookmarkStart w:id="194" w:name="_Toc184314443"/>
      <w:bookmarkEnd w:id="194"/>
      <w:bookmarkStart w:id="195" w:name="_Toc184313294"/>
      <w:bookmarkEnd w:id="195"/>
      <w:bookmarkStart w:id="196" w:name="_Toc184314457"/>
      <w:bookmarkEnd w:id="196"/>
      <w:bookmarkStart w:id="197" w:name="_Toc184312136"/>
      <w:bookmarkEnd w:id="197"/>
      <w:bookmarkStart w:id="198" w:name="_Toc184314476"/>
      <w:bookmarkEnd w:id="198"/>
      <w:bookmarkStart w:id="199" w:name="_Toc184313266"/>
      <w:bookmarkEnd w:id="199"/>
      <w:bookmarkStart w:id="200" w:name="_Toc184313290"/>
      <w:bookmarkEnd w:id="200"/>
      <w:bookmarkStart w:id="201" w:name="_Toc184308059"/>
      <w:bookmarkEnd w:id="201"/>
      <w:bookmarkStart w:id="202" w:name="_Toc184310301"/>
      <w:bookmarkEnd w:id="202"/>
      <w:bookmarkStart w:id="203" w:name="_Toc184314468"/>
      <w:bookmarkEnd w:id="203"/>
      <w:bookmarkStart w:id="204" w:name="_Toc184312077"/>
      <w:bookmarkEnd w:id="204"/>
      <w:bookmarkStart w:id="205" w:name="_Toc184313288"/>
      <w:bookmarkEnd w:id="205"/>
      <w:bookmarkStart w:id="206" w:name="_Toc184312108"/>
      <w:bookmarkEnd w:id="206"/>
      <w:bookmarkStart w:id="207" w:name="_Toc184308071"/>
      <w:bookmarkEnd w:id="207"/>
      <w:bookmarkStart w:id="208" w:name="_Toc184310321"/>
      <w:bookmarkEnd w:id="208"/>
      <w:bookmarkStart w:id="209" w:name="_Toc184314439"/>
      <w:bookmarkEnd w:id="209"/>
      <w:bookmarkStart w:id="210" w:name="_Toc184314430"/>
      <w:bookmarkEnd w:id="210"/>
      <w:bookmarkStart w:id="211" w:name="_Toc184313275"/>
      <w:bookmarkEnd w:id="211"/>
      <w:bookmarkStart w:id="212" w:name="_Toc184312098"/>
      <w:bookmarkEnd w:id="212"/>
      <w:bookmarkStart w:id="213" w:name="_Toc184312120"/>
      <w:bookmarkEnd w:id="213"/>
      <w:bookmarkStart w:id="214" w:name="_Toc184312123"/>
      <w:bookmarkEnd w:id="214"/>
      <w:bookmarkStart w:id="215" w:name="_Toc184313301"/>
      <w:bookmarkEnd w:id="215"/>
      <w:bookmarkStart w:id="216" w:name="_Toc184312094"/>
      <w:bookmarkEnd w:id="216"/>
      <w:bookmarkStart w:id="217" w:name="_Toc184308073"/>
      <w:bookmarkEnd w:id="217"/>
      <w:bookmarkStart w:id="218" w:name="_Toc184313257"/>
      <w:bookmarkEnd w:id="218"/>
      <w:bookmarkStart w:id="219" w:name="_Toc184312099"/>
      <w:bookmarkEnd w:id="219"/>
      <w:bookmarkStart w:id="220" w:name="_Toc184310277"/>
      <w:bookmarkEnd w:id="220"/>
      <w:bookmarkStart w:id="221" w:name="_Toc184313261"/>
      <w:bookmarkEnd w:id="221"/>
      <w:bookmarkStart w:id="222" w:name="_Toc184308082"/>
      <w:bookmarkEnd w:id="222"/>
      <w:bookmarkStart w:id="223" w:name="_Toc184313291"/>
      <w:bookmarkEnd w:id="223"/>
      <w:bookmarkStart w:id="224" w:name="_Toc184310332"/>
      <w:bookmarkEnd w:id="224"/>
      <w:bookmarkStart w:id="225" w:name="_Toc184310295"/>
      <w:bookmarkEnd w:id="225"/>
      <w:bookmarkStart w:id="226" w:name="_Toc184313260"/>
      <w:bookmarkEnd w:id="226"/>
      <w:bookmarkStart w:id="227" w:name="_Toc184310285"/>
      <w:bookmarkEnd w:id="227"/>
      <w:bookmarkStart w:id="228" w:name="_Toc184313292"/>
      <w:bookmarkEnd w:id="228"/>
      <w:bookmarkStart w:id="229" w:name="_Toc184308086"/>
      <w:bookmarkEnd w:id="229"/>
      <w:bookmarkStart w:id="230" w:name="_Toc184314411"/>
      <w:bookmarkEnd w:id="230"/>
      <w:bookmarkStart w:id="231" w:name="_Toc184308097"/>
      <w:bookmarkEnd w:id="231"/>
      <w:bookmarkStart w:id="232" w:name="_Toc184314463"/>
      <w:bookmarkEnd w:id="232"/>
      <w:bookmarkStart w:id="233" w:name="_Toc184314429"/>
      <w:bookmarkEnd w:id="233"/>
      <w:bookmarkStart w:id="234" w:name="_Toc184314420"/>
      <w:bookmarkEnd w:id="234"/>
      <w:bookmarkStart w:id="235" w:name="_Toc184313239"/>
      <w:bookmarkEnd w:id="235"/>
      <w:bookmarkStart w:id="236" w:name="_Toc184312096"/>
      <w:bookmarkEnd w:id="236"/>
      <w:bookmarkStart w:id="237" w:name="_Toc184312104"/>
      <w:bookmarkEnd w:id="237"/>
      <w:bookmarkStart w:id="238" w:name="_Toc184312112"/>
      <w:bookmarkEnd w:id="238"/>
      <w:bookmarkStart w:id="239" w:name="_Toc184310294"/>
      <w:bookmarkEnd w:id="239"/>
      <w:bookmarkStart w:id="240" w:name="_Toc184312086"/>
      <w:bookmarkEnd w:id="240"/>
      <w:bookmarkStart w:id="241" w:name="_Toc184312072"/>
      <w:bookmarkEnd w:id="241"/>
      <w:bookmarkStart w:id="242" w:name="_Toc184314419"/>
      <w:bookmarkEnd w:id="242"/>
      <w:bookmarkStart w:id="243" w:name="_Toc184312067"/>
      <w:bookmarkEnd w:id="243"/>
      <w:bookmarkStart w:id="244" w:name="_Toc184308102"/>
      <w:bookmarkEnd w:id="244"/>
      <w:bookmarkStart w:id="245" w:name="_Toc184314425"/>
      <w:bookmarkEnd w:id="245"/>
      <w:bookmarkStart w:id="246" w:name="_Toc184313295"/>
      <w:bookmarkEnd w:id="246"/>
      <w:bookmarkStart w:id="247" w:name="_Toc184310284"/>
      <w:bookmarkEnd w:id="247"/>
      <w:bookmarkStart w:id="248" w:name="_Toc184312107"/>
      <w:bookmarkEnd w:id="248"/>
      <w:bookmarkStart w:id="249" w:name="_Toc184313300"/>
      <w:bookmarkEnd w:id="249"/>
      <w:bookmarkStart w:id="250" w:name="_Toc184312138"/>
      <w:bookmarkEnd w:id="250"/>
      <w:bookmarkStart w:id="251" w:name="_Toc184310288"/>
      <w:bookmarkEnd w:id="251"/>
      <w:bookmarkStart w:id="252" w:name="_Toc184313242"/>
      <w:bookmarkEnd w:id="252"/>
      <w:bookmarkStart w:id="253" w:name="_Toc184308085"/>
      <w:bookmarkEnd w:id="253"/>
      <w:bookmarkStart w:id="254" w:name="_Toc184313306"/>
      <w:bookmarkEnd w:id="254"/>
      <w:bookmarkStart w:id="255" w:name="_Toc184313244"/>
      <w:bookmarkEnd w:id="255"/>
      <w:bookmarkStart w:id="256" w:name="_Toc184312081"/>
      <w:bookmarkEnd w:id="256"/>
      <w:bookmarkStart w:id="257" w:name="_Toc184313285"/>
      <w:bookmarkEnd w:id="257"/>
      <w:bookmarkStart w:id="258" w:name="_Toc184310309"/>
      <w:bookmarkEnd w:id="258"/>
      <w:bookmarkStart w:id="259" w:name="_Toc184312125"/>
      <w:bookmarkEnd w:id="259"/>
      <w:bookmarkStart w:id="260" w:name="_Toc184310276"/>
      <w:bookmarkEnd w:id="260"/>
      <w:bookmarkStart w:id="261" w:name="_Toc184308077"/>
      <w:bookmarkEnd w:id="261"/>
      <w:bookmarkStart w:id="262" w:name="_Toc184310322"/>
      <w:bookmarkEnd w:id="262"/>
      <w:bookmarkStart w:id="263" w:name="_Toc184314424"/>
      <w:bookmarkEnd w:id="263"/>
      <w:bookmarkStart w:id="264" w:name="_Toc184312105"/>
      <w:bookmarkEnd w:id="264"/>
      <w:bookmarkStart w:id="265" w:name="_Toc184308075"/>
      <w:bookmarkEnd w:id="265"/>
      <w:bookmarkStart w:id="266" w:name="_Toc184312090"/>
      <w:bookmarkEnd w:id="266"/>
      <w:bookmarkStart w:id="267" w:name="_Toc184308057"/>
      <w:bookmarkEnd w:id="267"/>
      <w:bookmarkStart w:id="268" w:name="_Toc184308044"/>
      <w:bookmarkEnd w:id="268"/>
      <w:bookmarkStart w:id="269" w:name="_Toc184310274"/>
      <w:bookmarkEnd w:id="269"/>
      <w:bookmarkStart w:id="270" w:name="_Toc184312129"/>
      <w:bookmarkEnd w:id="270"/>
      <w:bookmarkStart w:id="271" w:name="_Toc184310313"/>
      <w:bookmarkEnd w:id="271"/>
      <w:bookmarkStart w:id="272" w:name="_Toc184313267"/>
      <w:bookmarkEnd w:id="272"/>
      <w:bookmarkStart w:id="273" w:name="_Toc184312126"/>
      <w:bookmarkEnd w:id="273"/>
      <w:bookmarkStart w:id="274" w:name="_Toc184308054"/>
      <w:bookmarkEnd w:id="274"/>
      <w:bookmarkStart w:id="275" w:name="_Toc184313281"/>
      <w:bookmarkEnd w:id="275"/>
      <w:bookmarkStart w:id="276" w:name="_Toc184312115"/>
      <w:bookmarkEnd w:id="276"/>
      <w:bookmarkStart w:id="277" w:name="_Toc184313268"/>
      <w:bookmarkEnd w:id="277"/>
      <w:bookmarkStart w:id="278" w:name="_Toc184314456"/>
      <w:bookmarkEnd w:id="278"/>
      <w:bookmarkStart w:id="279" w:name="_Toc184310306"/>
      <w:bookmarkEnd w:id="279"/>
      <w:bookmarkStart w:id="280" w:name="_Toc184313264"/>
      <w:bookmarkEnd w:id="280"/>
      <w:bookmarkStart w:id="281" w:name="_Toc184308081"/>
      <w:bookmarkEnd w:id="281"/>
      <w:bookmarkStart w:id="282" w:name="_Toc184312121"/>
      <w:bookmarkEnd w:id="282"/>
      <w:bookmarkStart w:id="283" w:name="_Toc184313296"/>
      <w:bookmarkEnd w:id="283"/>
      <w:bookmarkStart w:id="284" w:name="_Toc184313280"/>
      <w:bookmarkEnd w:id="284"/>
      <w:bookmarkStart w:id="285" w:name="_Toc184308106"/>
      <w:bookmarkEnd w:id="285"/>
      <w:bookmarkStart w:id="286" w:name="_Toc184314451"/>
      <w:bookmarkEnd w:id="286"/>
      <w:bookmarkStart w:id="287" w:name="_Toc184313248"/>
      <w:bookmarkEnd w:id="287"/>
      <w:bookmarkStart w:id="288" w:name="_Toc184308069"/>
      <w:bookmarkEnd w:id="288"/>
      <w:bookmarkStart w:id="289" w:name="_Toc184313297"/>
      <w:bookmarkEnd w:id="289"/>
      <w:bookmarkStart w:id="290" w:name="_Toc184314481"/>
      <w:bookmarkEnd w:id="290"/>
      <w:bookmarkStart w:id="291" w:name="_Toc184313250"/>
      <w:bookmarkEnd w:id="291"/>
      <w:bookmarkStart w:id="292" w:name="_Toc184308084"/>
      <w:bookmarkEnd w:id="292"/>
      <w:bookmarkStart w:id="293" w:name="_Toc184314467"/>
      <w:bookmarkEnd w:id="293"/>
      <w:bookmarkStart w:id="294" w:name="_Toc184308060"/>
      <w:bookmarkEnd w:id="294"/>
      <w:bookmarkStart w:id="295" w:name="_Toc184312097"/>
      <w:bookmarkEnd w:id="295"/>
      <w:bookmarkStart w:id="296" w:name="_Toc184308053"/>
      <w:bookmarkEnd w:id="296"/>
      <w:bookmarkStart w:id="297" w:name="_Toc184310307"/>
      <w:bookmarkEnd w:id="297"/>
      <w:bookmarkStart w:id="298" w:name="_Toc184313273"/>
      <w:bookmarkEnd w:id="298"/>
      <w:bookmarkStart w:id="299" w:name="_Toc184313259"/>
      <w:bookmarkEnd w:id="299"/>
      <w:bookmarkStart w:id="300" w:name="_Toc184310308"/>
      <w:bookmarkEnd w:id="300"/>
      <w:bookmarkStart w:id="301" w:name="_Toc184314437"/>
      <w:bookmarkEnd w:id="301"/>
      <w:bookmarkStart w:id="302" w:name="_Toc184308067"/>
      <w:bookmarkEnd w:id="302"/>
      <w:bookmarkStart w:id="303" w:name="_Toc184314422"/>
      <w:bookmarkEnd w:id="303"/>
      <w:bookmarkStart w:id="304" w:name="_Toc184312078"/>
      <w:bookmarkEnd w:id="304"/>
      <w:bookmarkStart w:id="305" w:name="_Toc184310330"/>
      <w:bookmarkEnd w:id="305"/>
      <w:bookmarkStart w:id="306" w:name="_Toc184313249"/>
      <w:bookmarkEnd w:id="306"/>
      <w:bookmarkStart w:id="307" w:name="_Toc184308061"/>
      <w:bookmarkEnd w:id="307"/>
      <w:bookmarkStart w:id="308" w:name="_Toc184313256"/>
      <w:bookmarkEnd w:id="308"/>
      <w:bookmarkStart w:id="309" w:name="_Toc184310281"/>
      <w:bookmarkEnd w:id="309"/>
      <w:bookmarkStart w:id="310" w:name="_Toc184313272"/>
      <w:bookmarkEnd w:id="310"/>
      <w:bookmarkStart w:id="311" w:name="_Toc184312093"/>
      <w:bookmarkEnd w:id="311"/>
      <w:bookmarkStart w:id="312" w:name="_Toc184308095"/>
      <w:bookmarkEnd w:id="312"/>
      <w:bookmarkStart w:id="313" w:name="_Toc184308039"/>
      <w:bookmarkEnd w:id="313"/>
      <w:bookmarkStart w:id="314" w:name="_Toc184314445"/>
      <w:bookmarkEnd w:id="314"/>
      <w:bookmarkStart w:id="315" w:name="_Toc184308098"/>
      <w:bookmarkEnd w:id="315"/>
      <w:bookmarkStart w:id="316" w:name="_Toc184313309"/>
      <w:bookmarkEnd w:id="316"/>
      <w:bookmarkStart w:id="317" w:name="_Toc184312095"/>
      <w:bookmarkEnd w:id="317"/>
      <w:bookmarkStart w:id="318" w:name="_Toc184310334"/>
      <w:bookmarkEnd w:id="318"/>
      <w:bookmarkStart w:id="319" w:name="_Toc184312091"/>
      <w:bookmarkEnd w:id="319"/>
      <w:bookmarkStart w:id="320" w:name="_Toc184314447"/>
      <w:bookmarkEnd w:id="320"/>
      <w:bookmarkStart w:id="321" w:name="_Toc184313270"/>
      <w:bookmarkEnd w:id="321"/>
      <w:bookmarkStart w:id="322" w:name="_Toc184310275"/>
      <w:bookmarkEnd w:id="322"/>
      <w:bookmarkStart w:id="323" w:name="_Toc184314459"/>
      <w:bookmarkEnd w:id="323"/>
      <w:bookmarkStart w:id="324" w:name="_Toc184314453"/>
      <w:bookmarkEnd w:id="324"/>
      <w:bookmarkStart w:id="325" w:name="_Toc184313305"/>
      <w:bookmarkEnd w:id="325"/>
      <w:bookmarkStart w:id="326" w:name="_Toc184312082"/>
      <w:bookmarkEnd w:id="326"/>
      <w:bookmarkStart w:id="327" w:name="_Toc184313279"/>
      <w:bookmarkEnd w:id="327"/>
      <w:bookmarkStart w:id="328" w:name="_Toc184308080"/>
      <w:bookmarkEnd w:id="328"/>
      <w:bookmarkStart w:id="329" w:name="_Toc184308087"/>
      <w:bookmarkEnd w:id="329"/>
      <w:bookmarkStart w:id="330" w:name="_Toc184310272"/>
      <w:bookmarkEnd w:id="330"/>
      <w:bookmarkStart w:id="331" w:name="_Toc184308094"/>
      <w:bookmarkEnd w:id="331"/>
      <w:bookmarkStart w:id="332" w:name="_Toc184310320"/>
      <w:bookmarkEnd w:id="332"/>
      <w:bookmarkStart w:id="333" w:name="_Toc184314478"/>
      <w:bookmarkEnd w:id="333"/>
      <w:bookmarkStart w:id="334" w:name="_Toc184310296"/>
      <w:bookmarkEnd w:id="334"/>
      <w:bookmarkStart w:id="335" w:name="_Toc184314462"/>
      <w:bookmarkEnd w:id="335"/>
      <w:bookmarkStart w:id="336" w:name="_Toc184314415"/>
      <w:bookmarkEnd w:id="336"/>
      <w:bookmarkStart w:id="337" w:name="_Toc184312113"/>
      <w:bookmarkEnd w:id="337"/>
      <w:bookmarkStart w:id="338" w:name="_Toc184310287"/>
      <w:bookmarkEnd w:id="338"/>
      <w:bookmarkStart w:id="339" w:name="_Toc184312084"/>
      <w:bookmarkEnd w:id="339"/>
      <w:bookmarkStart w:id="340" w:name="_Toc184314452"/>
      <w:bookmarkEnd w:id="340"/>
      <w:bookmarkStart w:id="341" w:name="_Toc184308040"/>
      <w:bookmarkEnd w:id="341"/>
      <w:bookmarkStart w:id="342" w:name="_Toc184314434"/>
      <w:bookmarkEnd w:id="342"/>
      <w:bookmarkStart w:id="343" w:name="_Toc184308072"/>
      <w:bookmarkEnd w:id="343"/>
      <w:bookmarkStart w:id="344" w:name="_Toc184314440"/>
      <w:bookmarkEnd w:id="344"/>
      <w:bookmarkStart w:id="345" w:name="_Toc184312074"/>
      <w:bookmarkEnd w:id="345"/>
      <w:bookmarkStart w:id="346" w:name="_Toc184312083"/>
      <w:bookmarkEnd w:id="346"/>
      <w:bookmarkStart w:id="347" w:name="_Toc184314474"/>
      <w:bookmarkEnd w:id="347"/>
      <w:bookmarkStart w:id="348" w:name="_Toc184310343"/>
      <w:bookmarkEnd w:id="348"/>
      <w:bookmarkStart w:id="349" w:name="_Toc184312109"/>
      <w:bookmarkEnd w:id="349"/>
      <w:bookmarkStart w:id="350" w:name="_Toc184313303"/>
      <w:bookmarkEnd w:id="350"/>
      <w:bookmarkStart w:id="351" w:name="_Toc184310282"/>
      <w:bookmarkEnd w:id="351"/>
      <w:bookmarkStart w:id="352" w:name="_Toc184313238"/>
      <w:bookmarkEnd w:id="352"/>
      <w:bookmarkStart w:id="353" w:name="_Toc184313262"/>
      <w:bookmarkEnd w:id="353"/>
      <w:bookmarkStart w:id="354" w:name="_Toc184314482"/>
      <w:bookmarkEnd w:id="354"/>
      <w:bookmarkStart w:id="355" w:name="_Toc184313299"/>
      <w:bookmarkEnd w:id="355"/>
      <w:bookmarkStart w:id="356" w:name="_Toc184314446"/>
      <w:bookmarkEnd w:id="356"/>
      <w:bookmarkStart w:id="357" w:name="_Toc184308045"/>
      <w:bookmarkEnd w:id="357"/>
      <w:bookmarkStart w:id="358" w:name="_Toc184313245"/>
      <w:bookmarkEnd w:id="358"/>
      <w:bookmarkStart w:id="359" w:name="_Toc184313274"/>
      <w:bookmarkEnd w:id="359"/>
      <w:bookmarkStart w:id="360" w:name="_Toc184312110"/>
      <w:bookmarkEnd w:id="360"/>
      <w:bookmarkStart w:id="361" w:name="_Toc184310324"/>
      <w:bookmarkEnd w:id="361"/>
      <w:bookmarkStart w:id="362" w:name="_Toc184310319"/>
      <w:bookmarkEnd w:id="362"/>
      <w:bookmarkStart w:id="363" w:name="_Toc184313269"/>
      <w:bookmarkEnd w:id="363"/>
      <w:bookmarkStart w:id="364" w:name="_Toc184308046"/>
      <w:bookmarkEnd w:id="364"/>
      <w:bookmarkStart w:id="365" w:name="_Toc184314417"/>
      <w:bookmarkEnd w:id="365"/>
      <w:bookmarkStart w:id="366" w:name="_Toc184313278"/>
      <w:bookmarkEnd w:id="366"/>
      <w:bookmarkStart w:id="367" w:name="_Toc184310341"/>
      <w:bookmarkEnd w:id="367"/>
      <w:bookmarkStart w:id="368" w:name="_Toc184313276"/>
      <w:bookmarkEnd w:id="368"/>
      <w:bookmarkStart w:id="369" w:name="_Toc184314470"/>
      <w:bookmarkEnd w:id="369"/>
      <w:bookmarkStart w:id="370" w:name="_Toc184313265"/>
      <w:bookmarkEnd w:id="370"/>
      <w:bookmarkStart w:id="371" w:name="_Toc184312103"/>
      <w:bookmarkEnd w:id="371"/>
      <w:bookmarkStart w:id="372" w:name="_Toc184310286"/>
      <w:bookmarkEnd w:id="372"/>
      <w:bookmarkStart w:id="373" w:name="_Toc184310315"/>
      <w:bookmarkEnd w:id="373"/>
      <w:bookmarkStart w:id="374" w:name="_Toc184312114"/>
      <w:bookmarkEnd w:id="374"/>
      <w:bookmarkStart w:id="375" w:name="_Toc184312079"/>
      <w:bookmarkEnd w:id="375"/>
      <w:bookmarkStart w:id="376" w:name="_Toc184308076"/>
      <w:bookmarkEnd w:id="376"/>
      <w:bookmarkStart w:id="377" w:name="_Toc184310337"/>
      <w:bookmarkEnd w:id="377"/>
      <w:bookmarkStart w:id="378" w:name="_Toc184312076"/>
      <w:bookmarkEnd w:id="378"/>
      <w:bookmarkStart w:id="379" w:name="_Toc184313284"/>
      <w:bookmarkEnd w:id="379"/>
      <w:bookmarkStart w:id="380" w:name="_Toc184314480"/>
      <w:bookmarkEnd w:id="380"/>
      <w:bookmarkStart w:id="381" w:name="_Toc184312137"/>
      <w:bookmarkEnd w:id="381"/>
      <w:bookmarkStart w:id="382" w:name="_Toc184312075"/>
      <w:bookmarkEnd w:id="382"/>
      <w:bookmarkStart w:id="383" w:name="_Toc184310326"/>
      <w:bookmarkEnd w:id="383"/>
      <w:bookmarkStart w:id="384" w:name="_Toc184314455"/>
      <w:bookmarkEnd w:id="384"/>
      <w:bookmarkStart w:id="385" w:name="_Toc184312088"/>
      <w:bookmarkEnd w:id="385"/>
      <w:bookmarkStart w:id="386" w:name="_Toc184310278"/>
      <w:bookmarkEnd w:id="386"/>
      <w:bookmarkStart w:id="387" w:name="_Toc184308055"/>
      <w:bookmarkEnd w:id="387"/>
      <w:bookmarkStart w:id="388" w:name="_Toc184308041"/>
      <w:bookmarkEnd w:id="388"/>
      <w:bookmarkStart w:id="389" w:name="_Toc184308107"/>
      <w:bookmarkEnd w:id="389"/>
      <w:bookmarkStart w:id="390" w:name="_Toc184312069"/>
      <w:bookmarkEnd w:id="390"/>
      <w:bookmarkStart w:id="391" w:name="_Toc184308048"/>
      <w:bookmarkEnd w:id="391"/>
      <w:bookmarkStart w:id="392" w:name="_Toc184310293"/>
      <w:bookmarkEnd w:id="392"/>
      <w:bookmarkStart w:id="393" w:name="_Toc184308042"/>
      <w:bookmarkEnd w:id="393"/>
      <w:bookmarkStart w:id="394" w:name="_Toc184312101"/>
      <w:bookmarkEnd w:id="394"/>
      <w:bookmarkStart w:id="395" w:name="_Toc184310329"/>
      <w:bookmarkEnd w:id="395"/>
      <w:bookmarkStart w:id="396" w:name="_Toc184312134"/>
      <w:bookmarkEnd w:id="396"/>
      <w:bookmarkStart w:id="397" w:name="_Toc184314469"/>
      <w:bookmarkEnd w:id="397"/>
      <w:bookmarkStart w:id="398" w:name="_Toc184308108"/>
      <w:bookmarkEnd w:id="398"/>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2"/>
        <w:gridCol w:w="3923"/>
        <w:gridCol w:w="846"/>
        <w:gridCol w:w="1269"/>
        <w:gridCol w:w="2379"/>
      </w:tblGrid>
      <w:tr w14:paraId="7F9C7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02F353CD">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序号</w:t>
            </w:r>
          </w:p>
        </w:tc>
        <w:tc>
          <w:tcPr>
            <w:tcW w:w="2086" w:type="pct"/>
            <w:vAlign w:val="center"/>
          </w:tcPr>
          <w:p w14:paraId="4BE2986B">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评标标准</w:t>
            </w:r>
          </w:p>
        </w:tc>
        <w:tc>
          <w:tcPr>
            <w:tcW w:w="450" w:type="pct"/>
            <w:vAlign w:val="center"/>
          </w:tcPr>
          <w:p w14:paraId="4EFE1C83">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权重</w:t>
            </w:r>
          </w:p>
        </w:tc>
        <w:tc>
          <w:tcPr>
            <w:tcW w:w="675" w:type="pct"/>
            <w:vAlign w:val="center"/>
          </w:tcPr>
          <w:p w14:paraId="05989DB1">
            <w:pPr>
              <w:snapToGrid w:val="0"/>
              <w:spacing w:line="360" w:lineRule="auto"/>
              <w:jc w:val="center"/>
              <w:rPr>
                <w:rFonts w:ascii="宋体" w:hAnsi="宋体" w:cs="宋体"/>
                <w:bCs/>
                <w:color w:val="000000" w:themeColor="text1"/>
                <w:kern w:val="0"/>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主观分/客观分属性</w:t>
            </w:r>
          </w:p>
        </w:tc>
        <w:tc>
          <w:tcPr>
            <w:tcW w:w="1265" w:type="pct"/>
          </w:tcPr>
          <w:p w14:paraId="4AE64972">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投标文件中评标标准相应的商务技术资料目录*</w:t>
            </w:r>
          </w:p>
        </w:tc>
      </w:tr>
      <w:tr w14:paraId="75A3D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2FDFB664">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2086" w:type="pct"/>
          </w:tcPr>
          <w:p w14:paraId="3464E3AF">
            <w:pPr>
              <w:snapToGrid w:val="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供应商自202</w:t>
            </w:r>
            <w:r>
              <w:rPr>
                <w:rFonts w:hint="eastAsia" w:ascii="宋体" w:hAnsi="宋体" w:cs="宋体"/>
                <w:color w:val="000000" w:themeColor="text1"/>
                <w:kern w:val="0"/>
                <w:sz w:val="24"/>
                <w:szCs w:val="20"/>
                <w:highlight w:val="none"/>
                <w:lang w:val="en-US" w:eastAsia="zh-CN"/>
                <w14:textFill>
                  <w14:solidFill>
                    <w14:schemeClr w14:val="tx1"/>
                  </w14:solidFill>
                </w14:textFill>
              </w:rPr>
              <w:t>2</w:t>
            </w:r>
            <w:r>
              <w:rPr>
                <w:rFonts w:hint="eastAsia" w:ascii="宋体" w:hAnsi="宋体" w:cs="宋体"/>
                <w:color w:val="000000" w:themeColor="text1"/>
                <w:kern w:val="0"/>
                <w:sz w:val="24"/>
                <w:szCs w:val="20"/>
                <w:highlight w:val="none"/>
                <w14:textFill>
                  <w14:solidFill>
                    <w14:schemeClr w14:val="tx1"/>
                  </w14:solidFill>
                </w14:textFill>
              </w:rPr>
              <w:t>年1月1日以来（以合同签订时间为准）</w:t>
            </w:r>
            <w:r>
              <w:rPr>
                <w:rFonts w:hint="eastAsia" w:ascii="宋体" w:hAnsi="宋体"/>
                <w:color w:val="000000" w:themeColor="text1"/>
                <w:sz w:val="24"/>
                <w:highlight w:val="none"/>
                <w:lang w:val="zh-CN"/>
                <w14:textFill>
                  <w14:solidFill>
                    <w14:schemeClr w14:val="tx1"/>
                  </w14:solidFill>
                </w14:textFill>
              </w:rPr>
              <w:t>具有年度零星维修工程施工业绩</w:t>
            </w:r>
            <w:r>
              <w:rPr>
                <w:rFonts w:hint="eastAsia" w:ascii="宋体" w:hAnsi="宋体" w:cs="宋体"/>
                <w:color w:val="000000" w:themeColor="text1"/>
                <w:kern w:val="0"/>
                <w:sz w:val="24"/>
                <w:szCs w:val="20"/>
                <w:highlight w:val="none"/>
                <w14:textFill>
                  <w14:solidFill>
                    <w14:schemeClr w14:val="tx1"/>
                  </w14:solidFill>
                </w14:textFill>
              </w:rPr>
              <w:t>的，每提供1个业绩证明材料的得0.5分，最高得1分。（须提供有效合同或成交（中标）通知书，复印件加盖公章）</w:t>
            </w:r>
          </w:p>
        </w:tc>
        <w:tc>
          <w:tcPr>
            <w:tcW w:w="450" w:type="pct"/>
            <w:vAlign w:val="center"/>
          </w:tcPr>
          <w:p w14:paraId="1D7F83BF">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675" w:type="pct"/>
            <w:vAlign w:val="center"/>
          </w:tcPr>
          <w:p w14:paraId="3FEE01B1">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tcPr>
          <w:p w14:paraId="28C3ABD5">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41797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2A7A1566">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2086" w:type="pct"/>
          </w:tcPr>
          <w:p w14:paraId="2893AE9E">
            <w:pPr>
              <w:snapToGrid w:val="0"/>
              <w:jc w:val="left"/>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供应商具有有效的质量体系认证、环境体系认证、职业健康体系认证，每个证书得1分，最多得3分。（须提供有效证书复印件加盖公章为证明材料，否则不得分）</w:t>
            </w:r>
          </w:p>
        </w:tc>
        <w:tc>
          <w:tcPr>
            <w:tcW w:w="450" w:type="pct"/>
            <w:vAlign w:val="center"/>
          </w:tcPr>
          <w:p w14:paraId="449E9E98">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w:t>
            </w:r>
          </w:p>
        </w:tc>
        <w:tc>
          <w:tcPr>
            <w:tcW w:w="675" w:type="pct"/>
            <w:vAlign w:val="center"/>
          </w:tcPr>
          <w:p w14:paraId="1436F3BB">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tcPr>
          <w:p w14:paraId="1B30FD7D">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0C325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6B384294">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w:t>
            </w:r>
          </w:p>
        </w:tc>
        <w:tc>
          <w:tcPr>
            <w:tcW w:w="2086" w:type="pct"/>
            <w:vAlign w:val="center"/>
          </w:tcPr>
          <w:p w14:paraId="685F0DBE">
            <w:pPr>
              <w:snapToGrid w:val="0"/>
              <w:jc w:val="left"/>
              <w:rPr>
                <w:rFonts w:ascii="宋体" w:hAnsi="宋体"/>
                <w:color w:val="000000" w:themeColor="text1"/>
                <w:sz w:val="24"/>
                <w:highlight w:val="none"/>
                <w:lang w:val="zh-CN"/>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供应商拟派项目负责人情况：①拟派项目负责人业绩</w:t>
            </w:r>
            <w:r>
              <w:rPr>
                <w:rFonts w:hint="eastAsia" w:ascii="宋体" w:hAnsi="宋体"/>
                <w:color w:val="000000" w:themeColor="text1"/>
                <w:sz w:val="24"/>
                <w:highlight w:val="none"/>
                <w:lang w:val="zh-CN"/>
                <w14:textFill>
                  <w14:solidFill>
                    <w14:schemeClr w14:val="tx1"/>
                  </w14:solidFill>
                </w14:textFill>
              </w:rPr>
              <w:t>自20</w:t>
            </w:r>
            <w:r>
              <w:rPr>
                <w:rFonts w:hint="eastAsia" w:ascii="宋体" w:hAnsi="宋体"/>
                <w:color w:val="000000" w:themeColor="text1"/>
                <w:sz w:val="24"/>
                <w:highlight w:val="none"/>
                <w14:textFill>
                  <w14:solidFill>
                    <w14:schemeClr w14:val="tx1"/>
                  </w14:solidFill>
                </w14:textFill>
              </w:rPr>
              <w:t>2</w:t>
            </w:r>
            <w:r>
              <w:rPr>
                <w:rFonts w:hint="eastAsia" w:ascii="宋体" w:hAnsi="宋体"/>
                <w:color w:val="000000" w:themeColor="text1"/>
                <w:sz w:val="24"/>
                <w:highlight w:val="none"/>
                <w:lang w:val="en-US" w:eastAsia="zh-CN"/>
                <w14:textFill>
                  <w14:solidFill>
                    <w14:schemeClr w14:val="tx1"/>
                  </w14:solidFill>
                </w14:textFill>
              </w:rPr>
              <w:t>2</w:t>
            </w:r>
            <w:r>
              <w:rPr>
                <w:rFonts w:hint="eastAsia" w:ascii="宋体" w:hAnsi="宋体"/>
                <w:color w:val="000000" w:themeColor="text1"/>
                <w:sz w:val="24"/>
                <w:highlight w:val="none"/>
                <w:lang w:val="zh-CN"/>
                <w14:textFill>
                  <w14:solidFill>
                    <w14:schemeClr w14:val="tx1"/>
                  </w14:solidFill>
                </w14:textFill>
              </w:rPr>
              <w:t>年</w:t>
            </w:r>
            <w:r>
              <w:rPr>
                <w:rFonts w:hint="eastAsia"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lang w:val="zh-CN"/>
                <w14:textFill>
                  <w14:solidFill>
                    <w14:schemeClr w14:val="tx1"/>
                  </w14:solidFill>
                </w14:textFill>
              </w:rPr>
              <w:t>月1日以来（以合同签订时间为准）具有年度零星维修工程施工业绩的，每个业绩得</w:t>
            </w: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lang w:val="zh-CN"/>
                <w14:textFill>
                  <w14:solidFill>
                    <w14:schemeClr w14:val="tx1"/>
                  </w14:solidFill>
                </w14:textFill>
              </w:rPr>
              <w:t>分，</w:t>
            </w:r>
            <w:r>
              <w:rPr>
                <w:rFonts w:hint="eastAsia" w:ascii="宋体" w:hAnsi="宋体" w:cs="宋体"/>
                <w:color w:val="000000" w:themeColor="text1"/>
                <w:kern w:val="0"/>
                <w:sz w:val="24"/>
                <w:szCs w:val="20"/>
                <w:highlight w:val="none"/>
                <w14:textFill>
                  <w14:solidFill>
                    <w14:schemeClr w14:val="tx1"/>
                  </w14:solidFill>
                </w14:textFill>
              </w:rPr>
              <w:t>最高得</w:t>
            </w:r>
            <w:r>
              <w:rPr>
                <w:rFonts w:ascii="宋体" w:hAnsi="宋体" w:cs="宋体"/>
                <w:color w:val="000000" w:themeColor="text1"/>
                <w:kern w:val="0"/>
                <w:sz w:val="24"/>
                <w:szCs w:val="20"/>
                <w:highlight w:val="none"/>
                <w14:textFill>
                  <w14:solidFill>
                    <w14:schemeClr w14:val="tx1"/>
                  </w14:solidFill>
                </w14:textFill>
              </w:rPr>
              <w:t>2</w:t>
            </w:r>
            <w:r>
              <w:rPr>
                <w:rFonts w:hint="eastAsia" w:ascii="宋体" w:hAnsi="宋体" w:cs="宋体"/>
                <w:color w:val="000000" w:themeColor="text1"/>
                <w:kern w:val="0"/>
                <w:sz w:val="24"/>
                <w:szCs w:val="20"/>
                <w:highlight w:val="none"/>
                <w14:textFill>
                  <w14:solidFill>
                    <w14:schemeClr w14:val="tx1"/>
                  </w14:solidFill>
                </w14:textFill>
              </w:rPr>
              <w:t>分</w:t>
            </w:r>
            <w:r>
              <w:rPr>
                <w:rFonts w:hint="eastAsia" w:ascii="宋体" w:hAnsi="宋体"/>
                <w:color w:val="000000" w:themeColor="text1"/>
                <w:sz w:val="24"/>
                <w:highlight w:val="none"/>
                <w:lang w:val="zh-CN"/>
                <w14:textFill>
                  <w14:solidFill>
                    <w14:schemeClr w14:val="tx1"/>
                  </w14:solidFill>
                </w14:textFill>
              </w:rPr>
              <w:t>。业绩证明材料为提供有效合同或竣工验收报告复印件（提供资料中须体现项目经理姓名，</w:t>
            </w:r>
            <w:r>
              <w:rPr>
                <w:rFonts w:hint="eastAsia" w:ascii="宋体" w:hAnsi="宋体" w:cs="宋体"/>
                <w:color w:val="000000" w:themeColor="text1"/>
                <w:kern w:val="0"/>
                <w:sz w:val="24"/>
                <w:szCs w:val="20"/>
                <w:highlight w:val="none"/>
                <w14:textFill>
                  <w14:solidFill>
                    <w14:schemeClr w14:val="tx1"/>
                  </w14:solidFill>
                </w14:textFill>
              </w:rPr>
              <w:t>复印件加盖公章</w:t>
            </w:r>
            <w:r>
              <w:rPr>
                <w:rFonts w:hint="eastAsia" w:ascii="宋体" w:hAnsi="宋体"/>
                <w:color w:val="000000" w:themeColor="text1"/>
                <w:sz w:val="24"/>
                <w:highlight w:val="none"/>
                <w:lang w:val="zh-CN"/>
                <w14:textFill>
                  <w14:solidFill>
                    <w14:schemeClr w14:val="tx1"/>
                  </w14:solidFill>
                </w14:textFill>
              </w:rPr>
              <w:t>）。</w:t>
            </w:r>
          </w:p>
          <w:p w14:paraId="219F141B">
            <w:pPr>
              <w:snapToGrid w:val="0"/>
              <w:jc w:val="lef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②</w:t>
            </w:r>
            <w:r>
              <w:rPr>
                <w:rFonts w:hint="eastAsia" w:ascii="宋体" w:hAnsi="宋体" w:cs="宋体"/>
                <w:color w:val="000000" w:themeColor="text1"/>
                <w:kern w:val="0"/>
                <w:sz w:val="24"/>
                <w:szCs w:val="20"/>
                <w:highlight w:val="none"/>
                <w14:textFill>
                  <w14:solidFill>
                    <w14:schemeClr w14:val="tx1"/>
                  </w14:solidFill>
                </w14:textFill>
              </w:rPr>
              <w:t>拟派项目负责人证书：具有中级职称的得1分，具有高级及以上职称的得2分。（须提供相关职称证书复印件，否则不得分）</w:t>
            </w:r>
          </w:p>
        </w:tc>
        <w:tc>
          <w:tcPr>
            <w:tcW w:w="450" w:type="pct"/>
            <w:vAlign w:val="center"/>
          </w:tcPr>
          <w:p w14:paraId="6ED320BB">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w:t>
            </w:r>
          </w:p>
        </w:tc>
        <w:tc>
          <w:tcPr>
            <w:tcW w:w="675" w:type="pct"/>
            <w:vAlign w:val="center"/>
          </w:tcPr>
          <w:p w14:paraId="349B865E">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tcPr>
          <w:p w14:paraId="4D7E954C">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06EAD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01BD6635">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w:t>
            </w:r>
          </w:p>
        </w:tc>
        <w:tc>
          <w:tcPr>
            <w:tcW w:w="2086" w:type="pct"/>
            <w:vAlign w:val="center"/>
          </w:tcPr>
          <w:p w14:paraId="5A06A205">
            <w:pPr>
              <w:snapToGrid w:val="0"/>
              <w:jc w:val="left"/>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w:t>
            </w:r>
            <w:r>
              <w:rPr>
                <w:rFonts w:hint="eastAsia" w:ascii="宋体" w:hAnsi="宋体"/>
                <w:color w:val="000000" w:themeColor="text1"/>
                <w:sz w:val="24"/>
                <w:highlight w:val="none"/>
                <w:lang w:val="zh-CN"/>
                <w14:textFill>
                  <w14:solidFill>
                    <w14:schemeClr w14:val="tx1"/>
                  </w14:solidFill>
                </w14:textFill>
              </w:rPr>
              <w:t>专项施工方案</w:t>
            </w:r>
            <w:r>
              <w:rPr>
                <w:rFonts w:hint="eastAsia" w:ascii="宋体" w:hAnsi="宋体" w:cs="宋体"/>
                <w:color w:val="000000" w:themeColor="text1"/>
                <w:kern w:val="0"/>
                <w:sz w:val="24"/>
                <w:szCs w:val="20"/>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供应商</w:t>
            </w:r>
            <w:r>
              <w:rPr>
                <w:rFonts w:hint="eastAsia" w:ascii="宋体" w:hAnsi="宋体"/>
                <w:color w:val="000000" w:themeColor="text1"/>
                <w:sz w:val="24"/>
                <w:highlight w:val="none"/>
                <w:lang w:val="zh-CN"/>
                <w14:textFill>
                  <w14:solidFill>
                    <w14:schemeClr w14:val="tx1"/>
                  </w14:solidFill>
                </w14:textFill>
              </w:rPr>
              <w:t>针对土建、装修、仿古建筑工程、市政、绿化、给排水专业</w:t>
            </w:r>
            <w:r>
              <w:rPr>
                <w:rFonts w:hint="eastAsia" w:ascii="宋体" w:hAnsi="宋体"/>
                <w:color w:val="000000" w:themeColor="text1"/>
                <w:sz w:val="24"/>
                <w:highlight w:val="none"/>
                <w14:textFill>
                  <w14:solidFill>
                    <w14:schemeClr w14:val="tx1"/>
                  </w14:solidFill>
                </w14:textFill>
              </w:rPr>
              <w:t>工程</w:t>
            </w:r>
            <w:r>
              <w:rPr>
                <w:rFonts w:hint="eastAsia" w:ascii="宋体" w:hAnsi="宋体"/>
                <w:color w:val="000000" w:themeColor="text1"/>
                <w:sz w:val="24"/>
                <w:highlight w:val="none"/>
                <w:lang w:val="zh-CN"/>
                <w14:textFill>
                  <w14:solidFill>
                    <w14:schemeClr w14:val="tx1"/>
                  </w14:solidFill>
                </w14:textFill>
              </w:rPr>
              <w:t>分别编制专项施工</w:t>
            </w:r>
            <w:r>
              <w:rPr>
                <w:rFonts w:hint="eastAsia" w:ascii="宋体" w:hAnsi="宋体"/>
                <w:color w:val="000000" w:themeColor="text1"/>
                <w:sz w:val="24"/>
                <w:highlight w:val="none"/>
                <w14:textFill>
                  <w14:solidFill>
                    <w14:schemeClr w14:val="tx1"/>
                  </w14:solidFill>
                </w14:textFill>
              </w:rPr>
              <w:t>技术</w:t>
            </w:r>
            <w:r>
              <w:rPr>
                <w:rFonts w:hint="eastAsia" w:ascii="宋体" w:hAnsi="宋体"/>
                <w:color w:val="000000" w:themeColor="text1"/>
                <w:sz w:val="24"/>
                <w:highlight w:val="none"/>
                <w:lang w:val="zh-CN"/>
                <w14:textFill>
                  <w14:solidFill>
                    <w14:schemeClr w14:val="tx1"/>
                  </w14:solidFill>
                </w14:textFill>
              </w:rPr>
              <w:t>方案</w:t>
            </w:r>
            <w:r>
              <w:rPr>
                <w:rFonts w:hint="eastAsia" w:ascii="宋体" w:hAnsi="宋体" w:cs="宋体"/>
                <w:color w:val="000000" w:themeColor="text1"/>
                <w:kern w:val="0"/>
                <w:sz w:val="24"/>
                <w:szCs w:val="20"/>
                <w:highlight w:val="none"/>
                <w14:textFill>
                  <w14:solidFill>
                    <w14:schemeClr w14:val="tx1"/>
                  </w14:solidFill>
                </w14:textFill>
              </w:rPr>
              <w:t>及组织措施。每个专业工程的施工技术及组织措施针对性强且可行的得3分；施工技术及组织措施完整可行的得2分；方案基本可行的得分；方案不完整有瑕疵的0.5分。每个专业工程最高得3分，本项最高得18分。</w:t>
            </w:r>
          </w:p>
        </w:tc>
        <w:tc>
          <w:tcPr>
            <w:tcW w:w="450" w:type="pct"/>
            <w:vAlign w:val="center"/>
          </w:tcPr>
          <w:p w14:paraId="4B827E72">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18</w:t>
            </w:r>
          </w:p>
        </w:tc>
        <w:tc>
          <w:tcPr>
            <w:tcW w:w="675" w:type="pct"/>
            <w:vAlign w:val="center"/>
          </w:tcPr>
          <w:p w14:paraId="6839CA15">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0C0A6C56">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097DE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7A5AA63C">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2086" w:type="pct"/>
            <w:vAlign w:val="center"/>
          </w:tcPr>
          <w:p w14:paraId="02A85059">
            <w:pPr>
              <w:snapToGrid w:val="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针对本项目拟派人员中市政施工员、安全员、市政施工质量员、资料员、材料员具有工程类中级及以上职称的每类人员得1分，本项最高得5分。（须同时提供人员专业证书，未提供证书的不得分）</w:t>
            </w:r>
          </w:p>
        </w:tc>
        <w:tc>
          <w:tcPr>
            <w:tcW w:w="450" w:type="pct"/>
            <w:vAlign w:val="center"/>
          </w:tcPr>
          <w:p w14:paraId="0E1F2640">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5C0B1667">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tcPr>
          <w:p w14:paraId="30676441">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5D1BA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3F374D62">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6</w:t>
            </w:r>
          </w:p>
        </w:tc>
        <w:tc>
          <w:tcPr>
            <w:tcW w:w="2086" w:type="pct"/>
            <w:vAlign w:val="center"/>
          </w:tcPr>
          <w:p w14:paraId="47A06E5C">
            <w:pPr>
              <w:snapToGrid w:val="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人员配置方案：项目实施管理人员，人员配置合理、齐全、数量充足，经验丰富的得5分；人员可满足本项目需求，并具有相关经验的得4分；人员数量基本满足需求，经验一般的得3分；人员数量偏少，经验不丰富的得2分；人员不足，无相关经验的得1分；不提供不得分。（须同时提供人员上岗证书或专业证书，未提供证书的不得分）</w:t>
            </w:r>
          </w:p>
        </w:tc>
        <w:tc>
          <w:tcPr>
            <w:tcW w:w="450" w:type="pct"/>
            <w:vAlign w:val="center"/>
          </w:tcPr>
          <w:p w14:paraId="70B69D61">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28C089E7">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7D77198A">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14B08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09C61296">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7</w:t>
            </w:r>
          </w:p>
        </w:tc>
        <w:tc>
          <w:tcPr>
            <w:tcW w:w="2086" w:type="pct"/>
            <w:vAlign w:val="center"/>
          </w:tcPr>
          <w:p w14:paraId="0EC3BC18">
            <w:pPr>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工期承诺、进度控制措施方案：工期承诺和项目进度计划和措施完善、合理的得5分，工期承诺和项目进度计划和措施基本合理的得4分；缺少工期承诺或工期承诺和项目进度计划和措施存在不足的给3分；缺少工期承诺或工期承诺和项目进度计划和措施较差的得2分；工期承诺或项目进度计划和措施严重不足的得1分；不提供不得分。</w:t>
            </w:r>
          </w:p>
        </w:tc>
        <w:tc>
          <w:tcPr>
            <w:tcW w:w="450" w:type="pct"/>
            <w:vAlign w:val="center"/>
          </w:tcPr>
          <w:p w14:paraId="06138FA8">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377AD694">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7E86CE98">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754EF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542FC59A">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8</w:t>
            </w:r>
          </w:p>
        </w:tc>
        <w:tc>
          <w:tcPr>
            <w:tcW w:w="2086" w:type="pct"/>
            <w:vAlign w:val="center"/>
          </w:tcPr>
          <w:p w14:paraId="1556CC00">
            <w:pPr>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施工质量控制措施方案：方案全面合理、理解正确且具有针对性，与采购需求完全相适应的得5分；方案详细且与采购需求相适应，但存在不足的得4分；方案基本与采购需求相适应，但存在欠缺的得3分；方案存在缺项的得2分；方案与采购需求不适应的得1分；未提供的得0分。</w:t>
            </w:r>
          </w:p>
        </w:tc>
        <w:tc>
          <w:tcPr>
            <w:tcW w:w="450" w:type="pct"/>
            <w:vAlign w:val="center"/>
          </w:tcPr>
          <w:p w14:paraId="3DDCD086">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5B388B2E">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23405022">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289C1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721F8E76">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9</w:t>
            </w:r>
          </w:p>
        </w:tc>
        <w:tc>
          <w:tcPr>
            <w:tcW w:w="2086" w:type="pct"/>
            <w:vAlign w:val="center"/>
          </w:tcPr>
          <w:p w14:paraId="3D40337D">
            <w:pPr>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针对投入本项目的主要施工设备方案：方案全面合理、理解正确且具有针对性，与采购需求完全相适应的得5分；方案详细且与采购需求相适应，但存在不足的得4分；方案基本与采购需求相适应，但存在欠缺的得3分；方案存在缺项的得2分；方案与采购需求不适应的得1分；未提供的得0分。</w:t>
            </w:r>
          </w:p>
        </w:tc>
        <w:tc>
          <w:tcPr>
            <w:tcW w:w="450" w:type="pct"/>
            <w:vAlign w:val="center"/>
          </w:tcPr>
          <w:p w14:paraId="63040744">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2C97B922">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53A629BD">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361AF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06218FA2">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10</w:t>
            </w:r>
          </w:p>
        </w:tc>
        <w:tc>
          <w:tcPr>
            <w:tcW w:w="2086" w:type="pct"/>
            <w:vAlign w:val="center"/>
          </w:tcPr>
          <w:p w14:paraId="6D90B7C3">
            <w:pPr>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安全、文明施工及景区的环境、消防等保证措施方案：方案全面合理、理解正确且具有针对性，与采购需求完全相适应的得5分；方案详细且与采购需求相适应，但存在不足的得4分；方案基本与采购需求相适应，但存在欠缺的得3分；方案存在缺项的得2分；方案与采购需求不适应的得1分；未提供的得0分。</w:t>
            </w:r>
          </w:p>
        </w:tc>
        <w:tc>
          <w:tcPr>
            <w:tcW w:w="450" w:type="pct"/>
            <w:vAlign w:val="center"/>
          </w:tcPr>
          <w:p w14:paraId="63E6B324">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24735D4C">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78CEF1B1">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03B3C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44BFF087">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11</w:t>
            </w:r>
          </w:p>
        </w:tc>
        <w:tc>
          <w:tcPr>
            <w:tcW w:w="2086" w:type="pct"/>
            <w:vAlign w:val="center"/>
          </w:tcPr>
          <w:p w14:paraId="3BBB99F4">
            <w:pPr>
              <w:pStyle w:val="19"/>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项目实施过程中针对成品保护的各项措施方案：方案全面合理、理解正确且具有针对性，与采购需求完全相适应的得5分；方案详细且与采购需求相适应，但存在不足的得4分；方案基本与采购需求相适应，但存在欠缺的得3分；方案存在缺项的得2分；方案与采购需求不适应的得1分；未提供的得0分。</w:t>
            </w:r>
          </w:p>
        </w:tc>
        <w:tc>
          <w:tcPr>
            <w:tcW w:w="450" w:type="pct"/>
            <w:vAlign w:val="center"/>
          </w:tcPr>
          <w:p w14:paraId="270E004E">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5F2E81EE">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163B8040">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44C72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2255A02D">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12</w:t>
            </w:r>
          </w:p>
        </w:tc>
        <w:tc>
          <w:tcPr>
            <w:tcW w:w="2086" w:type="pct"/>
            <w:vAlign w:val="center"/>
          </w:tcPr>
          <w:p w14:paraId="64902CF4">
            <w:pPr>
              <w:pStyle w:val="19"/>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景区施工的降噪措施方案：方案全面合理、理解正确且具有针对性，与采购需求完全相适应的得5分；</w:t>
            </w:r>
          </w:p>
          <w:p w14:paraId="718A6F9E">
            <w:pPr>
              <w:pStyle w:val="19"/>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方案详细且与采购需求相适应，但存在不足的得4分；方案基本与采购需求相适应，但存在欠缺的得3分；方案存在缺项的得2分；方案与采购需求不适应的得1分；未提供的得0分。</w:t>
            </w:r>
          </w:p>
        </w:tc>
        <w:tc>
          <w:tcPr>
            <w:tcW w:w="450" w:type="pct"/>
            <w:vAlign w:val="center"/>
          </w:tcPr>
          <w:p w14:paraId="66E8E207">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0F341A76">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tcPr>
          <w:p w14:paraId="5CE7D444">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p>
        </w:tc>
      </w:tr>
      <w:tr w14:paraId="5104A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2700D414">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13</w:t>
            </w:r>
          </w:p>
        </w:tc>
        <w:tc>
          <w:tcPr>
            <w:tcW w:w="2086" w:type="pct"/>
            <w:vAlign w:val="center"/>
          </w:tcPr>
          <w:p w14:paraId="07517753">
            <w:pPr>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检验与验收方案：方案全面合理、理解正确且具有针对性，与采购需求完全相适应的得5分；方案详细且与采购需求相适应，但存在不足的得4分；方案基本与采购需求相适应，但存在欠缺的得3分；方案存在缺项的得2分；方案与采购需求不适应的得1分；未提供的得0分。</w:t>
            </w:r>
          </w:p>
        </w:tc>
        <w:tc>
          <w:tcPr>
            <w:tcW w:w="450" w:type="pct"/>
            <w:vAlign w:val="center"/>
          </w:tcPr>
          <w:p w14:paraId="5B5B51AA">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5958CE88">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vAlign w:val="center"/>
          </w:tcPr>
          <w:p w14:paraId="3EF82733">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6DFB6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3AEDCC4E">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14</w:t>
            </w:r>
          </w:p>
        </w:tc>
        <w:tc>
          <w:tcPr>
            <w:tcW w:w="2086" w:type="pct"/>
            <w:vAlign w:val="center"/>
          </w:tcPr>
          <w:p w14:paraId="58D4C7CF">
            <w:pPr>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对</w:t>
            </w:r>
            <w:r>
              <w:rPr>
                <w:rFonts w:hint="eastAsia" w:ascii="宋体" w:hAnsi="宋体"/>
                <w:color w:val="000000" w:themeColor="text1"/>
                <w:sz w:val="24"/>
                <w:highlight w:val="none"/>
                <w:lang w:val="zh-CN"/>
                <w14:textFill>
                  <w14:solidFill>
                    <w14:schemeClr w14:val="tx1"/>
                  </w14:solidFill>
                </w14:textFill>
              </w:rPr>
              <w:t>应急抢修的方案及响应时间承诺</w:t>
            </w:r>
            <w:r>
              <w:rPr>
                <w:rFonts w:hint="eastAsia" w:ascii="宋体" w:hAnsi="宋体" w:cs="宋体"/>
                <w:color w:val="000000" w:themeColor="text1"/>
                <w:kern w:val="0"/>
                <w:sz w:val="24"/>
                <w:szCs w:val="20"/>
                <w:highlight w:val="none"/>
                <w14:textFill>
                  <w14:solidFill>
                    <w14:schemeClr w14:val="tx1"/>
                  </w14:solidFill>
                </w14:textFill>
              </w:rPr>
              <w:t>进行评审：方案全面合理、理解正确且具有针对性，与采购需求完全相适应的得5分；方案详细且与采购需求相适应，但存在不足的得4分；方案基本与采购需求相适应，但存在欠缺的得3分；方案存在缺项的得2分；方案与采购需求不适应的得1分；未提供的得0分。</w:t>
            </w:r>
          </w:p>
        </w:tc>
        <w:tc>
          <w:tcPr>
            <w:tcW w:w="450" w:type="pct"/>
            <w:vAlign w:val="center"/>
          </w:tcPr>
          <w:p w14:paraId="76022FBB">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675" w:type="pct"/>
            <w:vAlign w:val="center"/>
          </w:tcPr>
          <w:p w14:paraId="4CEE097A">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主观分</w:t>
            </w:r>
          </w:p>
        </w:tc>
        <w:tc>
          <w:tcPr>
            <w:tcW w:w="1265" w:type="pct"/>
            <w:vAlign w:val="center"/>
          </w:tcPr>
          <w:p w14:paraId="62EE6090">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6811B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618F6AAF">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15</w:t>
            </w:r>
          </w:p>
        </w:tc>
        <w:tc>
          <w:tcPr>
            <w:tcW w:w="2086" w:type="pct"/>
            <w:vAlign w:val="center"/>
          </w:tcPr>
          <w:p w14:paraId="55FCB5A2">
            <w:pPr>
              <w:snapToGrid w:val="0"/>
              <w:rPr>
                <w:rFonts w:ascii="宋体" w:hAnsi="宋体" w:cs="宋体"/>
                <w:color w:val="000000" w:themeColor="text1"/>
                <w:kern w:val="0"/>
                <w:sz w:val="24"/>
                <w:szCs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员工住宿的安排情况：供应商为施工人员在景区内提供租房服务的，每提供1处得2分。（须提供相应的租赁合同证明材料。）</w:t>
            </w:r>
          </w:p>
        </w:tc>
        <w:tc>
          <w:tcPr>
            <w:tcW w:w="450" w:type="pct"/>
            <w:vAlign w:val="center"/>
          </w:tcPr>
          <w:p w14:paraId="5AD0DD91">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675" w:type="pct"/>
            <w:vAlign w:val="center"/>
          </w:tcPr>
          <w:p w14:paraId="19D0FC17">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vAlign w:val="center"/>
          </w:tcPr>
          <w:p w14:paraId="0163ADDD">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2E606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09BC81E9">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16</w:t>
            </w:r>
          </w:p>
        </w:tc>
        <w:tc>
          <w:tcPr>
            <w:tcW w:w="2086" w:type="pct"/>
            <w:vAlign w:val="center"/>
          </w:tcPr>
          <w:p w14:paraId="1FD08D7B">
            <w:pPr>
              <w:pStyle w:val="2"/>
              <w:spacing w:line="240" w:lineRule="auto"/>
              <w:ind w:left="0" w:firstLine="0"/>
              <w:rPr>
                <w:color w:val="000000" w:themeColor="text1"/>
                <w:kern w:val="0"/>
                <w:highlight w:val="none"/>
                <w14:textFill>
                  <w14:solidFill>
                    <w14:schemeClr w14:val="tx1"/>
                  </w14:solidFill>
                </w14:textFill>
              </w:rPr>
            </w:pPr>
            <w:r>
              <w:rPr>
                <w:rFonts w:hint="eastAsia" w:ascii="宋体" w:hAnsi="宋体" w:eastAsia="宋体" w:cs="宋体"/>
                <w:b w:val="0"/>
                <w:bCs w:val="0"/>
                <w:color w:val="000000" w:themeColor="text1"/>
                <w:kern w:val="0"/>
                <w:sz w:val="24"/>
                <w:szCs w:val="20"/>
                <w:highlight w:val="none"/>
                <w:lang w:val="en-US"/>
                <w14:textFill>
                  <w14:solidFill>
                    <w14:schemeClr w14:val="tx1"/>
                  </w14:solidFill>
                </w14:textFill>
              </w:rPr>
              <w:t>供应商在景区周边具有材料工器具仓库配置的，每提供1处得2分。（需提供自有仓库证明或租赁合同及租赁费用相关付款凭证）</w:t>
            </w:r>
          </w:p>
        </w:tc>
        <w:tc>
          <w:tcPr>
            <w:tcW w:w="450" w:type="pct"/>
            <w:vAlign w:val="center"/>
          </w:tcPr>
          <w:p w14:paraId="1ED06640">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675" w:type="pct"/>
            <w:vAlign w:val="center"/>
          </w:tcPr>
          <w:p w14:paraId="3BEF726D">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vAlign w:val="center"/>
          </w:tcPr>
          <w:p w14:paraId="6C059CE2">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15906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43B8BCC8">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17</w:t>
            </w:r>
          </w:p>
        </w:tc>
        <w:tc>
          <w:tcPr>
            <w:tcW w:w="2086" w:type="pct"/>
            <w:vAlign w:val="center"/>
          </w:tcPr>
          <w:p w14:paraId="212F241E">
            <w:pPr>
              <w:snapToGrid w:val="0"/>
              <w:rPr>
                <w:rFonts w:ascii="宋体" w:hAnsi="宋体" w:cs="宋体"/>
                <w:color w:val="000000" w:themeColor="text1"/>
                <w:kern w:val="0"/>
                <w:sz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供应商承诺</w:t>
            </w:r>
          </w:p>
        </w:tc>
        <w:tc>
          <w:tcPr>
            <w:tcW w:w="450" w:type="pct"/>
            <w:vAlign w:val="center"/>
          </w:tcPr>
          <w:p w14:paraId="2889561C">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c>
          <w:tcPr>
            <w:tcW w:w="675" w:type="pct"/>
            <w:vAlign w:val="center"/>
          </w:tcPr>
          <w:p w14:paraId="37B94764">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c>
          <w:tcPr>
            <w:tcW w:w="1265" w:type="pct"/>
            <w:vAlign w:val="center"/>
          </w:tcPr>
          <w:p w14:paraId="59F48B49">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135C6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5FA80E8F">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17.1</w:t>
            </w:r>
          </w:p>
        </w:tc>
        <w:tc>
          <w:tcPr>
            <w:tcW w:w="2086" w:type="pct"/>
            <w:vAlign w:val="center"/>
          </w:tcPr>
          <w:p w14:paraId="4D437E3B">
            <w:pPr>
              <w:snapToGrid w:val="0"/>
              <w:rPr>
                <w:rFonts w:ascii="宋体" w:hAnsi="宋体" w:cs="宋体"/>
                <w:b/>
                <w:bCs/>
                <w:color w:val="000000" w:themeColor="text1"/>
                <w:kern w:val="0"/>
                <w:sz w:val="20"/>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供应商承诺选用材料的绿色、环保的给2分，否则不得分。</w:t>
            </w:r>
          </w:p>
        </w:tc>
        <w:tc>
          <w:tcPr>
            <w:tcW w:w="450" w:type="pct"/>
            <w:vAlign w:val="center"/>
          </w:tcPr>
          <w:p w14:paraId="314E880F">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675" w:type="pct"/>
            <w:vAlign w:val="center"/>
          </w:tcPr>
          <w:p w14:paraId="2CC66D22">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vAlign w:val="center"/>
          </w:tcPr>
          <w:p w14:paraId="53558858">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63150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5BDD4B80">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17.2</w:t>
            </w:r>
          </w:p>
        </w:tc>
        <w:tc>
          <w:tcPr>
            <w:tcW w:w="2086" w:type="pct"/>
            <w:vAlign w:val="center"/>
          </w:tcPr>
          <w:p w14:paraId="53A653DA">
            <w:pPr>
              <w:snapToGrid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供应商承诺零星机械使用费已包含在综合单价中，不再额外收取的得2分，提供承诺书，否则不得分。</w:t>
            </w:r>
          </w:p>
        </w:tc>
        <w:tc>
          <w:tcPr>
            <w:tcW w:w="450" w:type="pct"/>
            <w:vAlign w:val="center"/>
          </w:tcPr>
          <w:p w14:paraId="2EEBB0AE">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675" w:type="pct"/>
            <w:vAlign w:val="center"/>
          </w:tcPr>
          <w:p w14:paraId="22E5DEED">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vAlign w:val="center"/>
          </w:tcPr>
          <w:p w14:paraId="67A5EA29">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20B53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398789ED">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17.3</w:t>
            </w:r>
          </w:p>
        </w:tc>
        <w:tc>
          <w:tcPr>
            <w:tcW w:w="2086" w:type="pct"/>
            <w:vAlign w:val="center"/>
          </w:tcPr>
          <w:p w14:paraId="1FC3098A">
            <w:pPr>
              <w:snapToGrid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供应商承诺材料（设备）的二次搬运已包含在综合单价中，不再额外收取的得2分，提供承诺书，否则不得分。</w:t>
            </w:r>
          </w:p>
        </w:tc>
        <w:tc>
          <w:tcPr>
            <w:tcW w:w="450" w:type="pct"/>
            <w:vAlign w:val="center"/>
          </w:tcPr>
          <w:p w14:paraId="1851AEB4">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675" w:type="pct"/>
            <w:vAlign w:val="center"/>
          </w:tcPr>
          <w:p w14:paraId="10A7F261">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vAlign w:val="center"/>
          </w:tcPr>
          <w:p w14:paraId="160A358D">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03579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6260F3E8">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17.4</w:t>
            </w:r>
          </w:p>
        </w:tc>
        <w:tc>
          <w:tcPr>
            <w:tcW w:w="2086" w:type="pct"/>
            <w:vAlign w:val="center"/>
          </w:tcPr>
          <w:p w14:paraId="3C79FD53">
            <w:pPr>
              <w:snapToGrid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供应商承诺材料（设备）的保管费已包含在综合单价中，不再额外收取的得2分，提供承诺书，否则不得分。</w:t>
            </w:r>
          </w:p>
        </w:tc>
        <w:tc>
          <w:tcPr>
            <w:tcW w:w="450" w:type="pct"/>
            <w:vAlign w:val="center"/>
          </w:tcPr>
          <w:p w14:paraId="2EF81E2A">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675" w:type="pct"/>
            <w:vAlign w:val="center"/>
          </w:tcPr>
          <w:p w14:paraId="7FA9EFE5">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vAlign w:val="center"/>
          </w:tcPr>
          <w:p w14:paraId="35651EB3">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0364B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5193215B">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17.5</w:t>
            </w:r>
          </w:p>
        </w:tc>
        <w:tc>
          <w:tcPr>
            <w:tcW w:w="2086" w:type="pct"/>
            <w:vAlign w:val="center"/>
          </w:tcPr>
          <w:p w14:paraId="1473740E">
            <w:pPr>
              <w:snapToGrid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szCs w:val="20"/>
                <w:highlight w:val="none"/>
                <w14:textFill>
                  <w14:solidFill>
                    <w14:schemeClr w14:val="tx1"/>
                  </w14:solidFill>
                </w14:textFill>
              </w:rPr>
              <w:t>供应商承诺由施工引起的各类设施、设备损坏，以及其他可能造成损坏的内容，由供应商负责修复并承担可能发生费用的得2分，否则本项不得分。</w:t>
            </w:r>
          </w:p>
        </w:tc>
        <w:tc>
          <w:tcPr>
            <w:tcW w:w="450" w:type="pct"/>
            <w:vAlign w:val="center"/>
          </w:tcPr>
          <w:p w14:paraId="2C380851">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675" w:type="pct"/>
            <w:vAlign w:val="center"/>
          </w:tcPr>
          <w:p w14:paraId="7CA3CCFC">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客观分</w:t>
            </w:r>
          </w:p>
        </w:tc>
        <w:tc>
          <w:tcPr>
            <w:tcW w:w="1265" w:type="pct"/>
            <w:vAlign w:val="center"/>
          </w:tcPr>
          <w:p w14:paraId="32FBDD47">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r>
      <w:tr w14:paraId="2F6E7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4AFA13F9">
            <w:pPr>
              <w:snapToGrid w:val="0"/>
              <w:spacing w:line="360" w:lineRule="auto"/>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18</w:t>
            </w:r>
          </w:p>
        </w:tc>
        <w:tc>
          <w:tcPr>
            <w:tcW w:w="2086" w:type="pct"/>
          </w:tcPr>
          <w:p w14:paraId="76DD1770">
            <w:pPr>
              <w:numPr>
                <w:ilvl w:val="0"/>
                <w:numId w:val="1"/>
              </w:numPr>
              <w:snapToGrid w:val="0"/>
              <w:outlineLvl w:val="0"/>
              <w:rPr>
                <w:rFonts w:ascii="宋体" w:hAnsi="宋体"/>
                <w:b/>
                <w:color w:val="000000" w:themeColor="text1"/>
                <w:kern w:val="0"/>
                <w:sz w:val="24"/>
                <w:highlight w:val="none"/>
                <w:lang w:val="zh-CN"/>
                <w14:textFill>
                  <w14:solidFill>
                    <w14:schemeClr w14:val="tx1"/>
                  </w14:solidFill>
                </w14:textFill>
              </w:rPr>
            </w:pPr>
            <w:r>
              <w:rPr>
                <w:rFonts w:hint="eastAsia" w:ascii="宋体" w:hAnsi="宋体"/>
                <w:b/>
                <w:color w:val="000000" w:themeColor="text1"/>
                <w:kern w:val="0"/>
                <w:sz w:val="24"/>
                <w:highlight w:val="none"/>
                <w:lang w:val="zh-CN"/>
                <w14:textFill>
                  <w14:solidFill>
                    <w14:schemeClr w14:val="tx1"/>
                  </w14:solidFill>
                </w14:textFill>
              </w:rPr>
              <w:t>投标折扣率（</w:t>
            </w:r>
            <w:r>
              <w:rPr>
                <w:rFonts w:ascii="宋体" w:hAnsi="宋体"/>
                <w:b/>
                <w:color w:val="000000" w:themeColor="text1"/>
                <w:kern w:val="0"/>
                <w:sz w:val="24"/>
                <w:highlight w:val="none"/>
                <w14:textFill>
                  <w14:solidFill>
                    <w14:schemeClr w14:val="tx1"/>
                  </w14:solidFill>
                </w14:textFill>
              </w:rPr>
              <w:t>5</w:t>
            </w:r>
            <w:r>
              <w:rPr>
                <w:rFonts w:hint="eastAsia" w:ascii="宋体" w:hAnsi="宋体"/>
                <w:b/>
                <w:color w:val="000000" w:themeColor="text1"/>
                <w:kern w:val="0"/>
                <w:sz w:val="24"/>
                <w:highlight w:val="none"/>
                <w14:textFill>
                  <w14:solidFill>
                    <w14:schemeClr w14:val="tx1"/>
                  </w14:solidFill>
                </w14:textFill>
              </w:rPr>
              <w:t>分</w:t>
            </w:r>
            <w:r>
              <w:rPr>
                <w:rFonts w:hint="eastAsia" w:ascii="宋体" w:hAnsi="宋体"/>
                <w:b/>
                <w:color w:val="000000" w:themeColor="text1"/>
                <w:kern w:val="0"/>
                <w:sz w:val="24"/>
                <w:highlight w:val="none"/>
                <w:lang w:val="zh-CN"/>
                <w14:textFill>
                  <w14:solidFill>
                    <w14:schemeClr w14:val="tx1"/>
                  </w14:solidFill>
                </w14:textFill>
              </w:rPr>
              <w:t>）</w:t>
            </w:r>
          </w:p>
          <w:p w14:paraId="1AD917AE">
            <w:pPr>
              <w:numPr>
                <w:ilvl w:val="0"/>
                <w:numId w:val="1"/>
              </w:numPr>
              <w:snapToGrid w:val="0"/>
              <w:outlineLvl w:val="0"/>
              <w:rPr>
                <w:rFonts w:ascii="宋体" w:hAnsi="宋体"/>
                <w:b/>
                <w:color w:val="000000" w:themeColor="text1"/>
                <w:kern w:val="0"/>
                <w:sz w:val="24"/>
                <w:highlight w:val="none"/>
                <w:lang w:val="zh-CN"/>
                <w14:textFill>
                  <w14:solidFill>
                    <w14:schemeClr w14:val="tx1"/>
                  </w14:solidFill>
                </w14:textFill>
              </w:rPr>
            </w:pPr>
            <w:r>
              <w:rPr>
                <w:rFonts w:hint="eastAsia" w:ascii="宋体" w:hAnsi="宋体"/>
                <w:b/>
                <w:color w:val="000000" w:themeColor="text1"/>
                <w:kern w:val="0"/>
                <w:sz w:val="24"/>
                <w:highlight w:val="none"/>
                <w:lang w:val="zh-CN"/>
                <w14:textFill>
                  <w14:solidFill>
                    <w14:schemeClr w14:val="tx1"/>
                  </w14:solidFill>
                </w14:textFill>
              </w:rPr>
              <w:t>零星计日工投标单价（</w:t>
            </w:r>
            <w:r>
              <w:rPr>
                <w:rFonts w:hint="eastAsia" w:ascii="宋体" w:hAnsi="宋体"/>
                <w:b/>
                <w:color w:val="000000" w:themeColor="text1"/>
                <w:kern w:val="0"/>
                <w:sz w:val="24"/>
                <w:highlight w:val="none"/>
                <w14:textFill>
                  <w14:solidFill>
                    <w14:schemeClr w14:val="tx1"/>
                  </w14:solidFill>
                </w14:textFill>
              </w:rPr>
              <w:t>5分</w:t>
            </w:r>
            <w:r>
              <w:rPr>
                <w:rFonts w:hint="eastAsia" w:ascii="宋体" w:hAnsi="宋体"/>
                <w:b/>
                <w:color w:val="000000" w:themeColor="text1"/>
                <w:kern w:val="0"/>
                <w:sz w:val="24"/>
                <w:highlight w:val="none"/>
                <w:lang w:val="zh-CN"/>
                <w14:textFill>
                  <w14:solidFill>
                    <w14:schemeClr w14:val="tx1"/>
                  </w14:solidFill>
                </w14:textFill>
              </w:rPr>
              <w:t>）</w:t>
            </w:r>
          </w:p>
          <w:p w14:paraId="156E2895">
            <w:pPr>
              <w:snapToGrid w:val="0"/>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以上各报价的有效投标报价的最低价作为评标基准价，其最低报价为满分；按【投标报价得分=（评标基准价/投标报价）* 各报价的分值权重】的计算公式计算。</w:t>
            </w:r>
          </w:p>
          <w:p w14:paraId="3E17A2B6">
            <w:pPr>
              <w:widowControl/>
              <w:shd w:val="clear" w:color="auto" w:fill="FFFFFF"/>
              <w:snapToGrid w:val="0"/>
              <w:ind w:firstLine="42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评标过程中，不得去掉报价中的最高报价和最低报价。</w:t>
            </w:r>
          </w:p>
        </w:tc>
        <w:tc>
          <w:tcPr>
            <w:tcW w:w="450" w:type="pct"/>
            <w:vAlign w:val="center"/>
          </w:tcPr>
          <w:p w14:paraId="2BC9FE01">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10</w:t>
            </w:r>
          </w:p>
        </w:tc>
        <w:tc>
          <w:tcPr>
            <w:tcW w:w="675" w:type="pct"/>
            <w:vAlign w:val="center"/>
          </w:tcPr>
          <w:p w14:paraId="7F2236B0">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p>
        </w:tc>
        <w:tc>
          <w:tcPr>
            <w:tcW w:w="1265" w:type="pct"/>
            <w:vAlign w:val="center"/>
          </w:tcPr>
          <w:p w14:paraId="5E990555">
            <w:pPr>
              <w:spacing w:line="360" w:lineRule="auto"/>
              <w:jc w:val="center"/>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r>
    </w:tbl>
    <w:p w14:paraId="759D4017">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4"/>
        <w:snapToGrid w:val="0"/>
        <w:spacing w:line="360" w:lineRule="auto"/>
        <w:ind w:firstLine="0" w:firstLineChars="0"/>
        <w:rPr>
          <w:rFonts w:cs="宋体"/>
          <w:color w:val="auto"/>
          <w:highlight w:val="none"/>
        </w:rPr>
      </w:pPr>
    </w:p>
    <w:bookmarkEnd w:id="28"/>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9" w:name="第五部分"/>
      <w:bookmarkStart w:id="400"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1315111D">
      <w:pPr>
        <w:pStyle w:val="702"/>
        <w:spacing w:after="0"/>
        <w:ind w:left="0" w:leftChars="0" w:firstLine="0" w:firstLineChars="0"/>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第一部分 合 同 书</w:t>
      </w:r>
    </w:p>
    <w:p w14:paraId="2A3E4334">
      <w:pPr>
        <w:spacing w:line="360" w:lineRule="auto"/>
        <w:jc w:val="center"/>
        <w:rPr>
          <w:rFonts w:ascii="宋体" w:hAnsi="宋体" w:cs="宋体"/>
          <w:color w:val="000000" w:themeColor="text1"/>
          <w:sz w:val="24"/>
          <w:highlight w:val="none"/>
          <w14:textFill>
            <w14:solidFill>
              <w14:schemeClr w14:val="tx1"/>
            </w14:solidFill>
          </w14:textFill>
        </w:rPr>
      </w:pPr>
    </w:p>
    <w:p w14:paraId="31A4E82D">
      <w:pPr>
        <w:spacing w:line="360" w:lineRule="auto"/>
        <w:jc w:val="center"/>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合同编号：</w:t>
      </w:r>
    </w:p>
    <w:p w14:paraId="1E6BC85D">
      <w:pPr>
        <w:pStyle w:val="24"/>
        <w:rPr>
          <w:color w:val="000000" w:themeColor="text1"/>
          <w:highlight w:val="none"/>
          <w14:textFill>
            <w14:solidFill>
              <w14:schemeClr w14:val="tx1"/>
            </w14:solidFill>
          </w14:textFill>
        </w:rPr>
      </w:pPr>
    </w:p>
    <w:p w14:paraId="27F24C3D">
      <w:pPr>
        <w:pStyle w:val="2"/>
        <w:rPr>
          <w:rFonts w:ascii="宋体" w:hAnsi="宋体" w:eastAsia="宋体" w:cs="宋体"/>
          <w:color w:val="000000" w:themeColor="text1"/>
          <w:sz w:val="24"/>
          <w:szCs w:val="24"/>
          <w:highlight w:val="none"/>
          <w14:textFill>
            <w14:solidFill>
              <w14:schemeClr w14:val="tx1"/>
            </w14:solidFill>
          </w14:textFill>
        </w:rPr>
      </w:pPr>
    </w:p>
    <w:p w14:paraId="15637955">
      <w:pPr>
        <w:spacing w:line="360" w:lineRule="auto"/>
        <w:rPr>
          <w:rFonts w:ascii="宋体" w:hAnsi="宋体" w:cs="宋体"/>
          <w:color w:val="000000" w:themeColor="text1"/>
          <w:sz w:val="24"/>
          <w:highlight w:val="none"/>
          <w14:textFill>
            <w14:solidFill>
              <w14:schemeClr w14:val="tx1"/>
            </w14:solidFill>
          </w14:textFill>
        </w:rPr>
      </w:pPr>
    </w:p>
    <w:p w14:paraId="24327C0F">
      <w:pPr>
        <w:spacing w:line="360" w:lineRule="auto"/>
        <w:ind w:left="96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项目名称：</w:t>
      </w:r>
      <w:r>
        <w:rPr>
          <w:rFonts w:hint="eastAsia" w:ascii="宋体" w:hAnsi="宋体" w:cs="宋体"/>
          <w:color w:val="000000" w:themeColor="text1"/>
          <w:sz w:val="24"/>
          <w:highlight w:val="none"/>
          <w:u w:val="single"/>
          <w14:textFill>
            <w14:solidFill>
              <w14:schemeClr w14:val="tx1"/>
            </w14:solidFill>
          </w14:textFill>
        </w:rPr>
        <w:t xml:space="preserve">                                            </w:t>
      </w:r>
    </w:p>
    <w:p w14:paraId="3FCE1E8C">
      <w:pPr>
        <w:spacing w:line="360" w:lineRule="auto"/>
        <w:rPr>
          <w:rFonts w:ascii="宋体" w:hAnsi="宋体" w:cs="宋体"/>
          <w:color w:val="000000" w:themeColor="text1"/>
          <w:sz w:val="24"/>
          <w:highlight w:val="none"/>
          <w14:textFill>
            <w14:solidFill>
              <w14:schemeClr w14:val="tx1"/>
            </w14:solidFill>
          </w14:textFill>
        </w:rPr>
      </w:pPr>
    </w:p>
    <w:p w14:paraId="6176A531">
      <w:pPr>
        <w:spacing w:line="360" w:lineRule="auto"/>
        <w:ind w:left="96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甲方：</w:t>
      </w:r>
      <w:r>
        <w:rPr>
          <w:rFonts w:hint="eastAsia" w:ascii="宋体" w:hAnsi="宋体" w:cs="宋体"/>
          <w:color w:val="000000" w:themeColor="text1"/>
          <w:sz w:val="24"/>
          <w:highlight w:val="none"/>
          <w:u w:val="single"/>
          <w14:textFill>
            <w14:solidFill>
              <w14:schemeClr w14:val="tx1"/>
            </w14:solidFill>
          </w14:textFill>
        </w:rPr>
        <w:t xml:space="preserve">                                                </w:t>
      </w:r>
    </w:p>
    <w:p w14:paraId="1FAC3BD1">
      <w:pPr>
        <w:spacing w:line="360" w:lineRule="auto"/>
        <w:ind w:left="960"/>
        <w:rPr>
          <w:rFonts w:ascii="宋体" w:hAnsi="宋体" w:cs="宋体"/>
          <w:color w:val="000000" w:themeColor="text1"/>
          <w:sz w:val="24"/>
          <w:highlight w:val="none"/>
          <w14:textFill>
            <w14:solidFill>
              <w14:schemeClr w14:val="tx1"/>
            </w14:solidFill>
          </w14:textFill>
        </w:rPr>
      </w:pPr>
    </w:p>
    <w:p w14:paraId="2D7F93CC">
      <w:pPr>
        <w:spacing w:line="360" w:lineRule="auto"/>
        <w:ind w:left="96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乙方：</w:t>
      </w:r>
      <w:r>
        <w:rPr>
          <w:rFonts w:hint="eastAsia" w:ascii="宋体" w:hAnsi="宋体" w:cs="宋体"/>
          <w:color w:val="000000" w:themeColor="text1"/>
          <w:sz w:val="24"/>
          <w:highlight w:val="none"/>
          <w:u w:val="single"/>
          <w14:textFill>
            <w14:solidFill>
              <w14:schemeClr w14:val="tx1"/>
            </w14:solidFill>
          </w14:textFill>
        </w:rPr>
        <w:t xml:space="preserve">                                                </w:t>
      </w:r>
    </w:p>
    <w:p w14:paraId="1255CEE8">
      <w:pPr>
        <w:spacing w:line="360" w:lineRule="auto"/>
        <w:ind w:firstLine="960" w:firstLineChars="400"/>
        <w:rPr>
          <w:rFonts w:ascii="宋体" w:hAnsi="宋体" w:cs="宋体"/>
          <w:color w:val="000000" w:themeColor="text1"/>
          <w:sz w:val="24"/>
          <w:highlight w:val="none"/>
          <w14:textFill>
            <w14:solidFill>
              <w14:schemeClr w14:val="tx1"/>
            </w14:solidFill>
          </w14:textFill>
        </w:rPr>
      </w:pPr>
    </w:p>
    <w:p w14:paraId="00EF4CF0">
      <w:pPr>
        <w:spacing w:line="360" w:lineRule="auto"/>
        <w:ind w:firstLine="960" w:firstLineChars="4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签订地：</w:t>
      </w:r>
      <w:r>
        <w:rPr>
          <w:rFonts w:hint="eastAsia" w:ascii="宋体" w:hAnsi="宋体" w:cs="宋体"/>
          <w:color w:val="000000" w:themeColor="text1"/>
          <w:sz w:val="24"/>
          <w:highlight w:val="none"/>
          <w:u w:val="single"/>
          <w14:textFill>
            <w14:solidFill>
              <w14:schemeClr w14:val="tx1"/>
            </w14:solidFill>
          </w14:textFill>
        </w:rPr>
        <w:t xml:space="preserve">                                              </w:t>
      </w:r>
    </w:p>
    <w:p w14:paraId="77673E91">
      <w:pPr>
        <w:spacing w:line="360" w:lineRule="auto"/>
        <w:ind w:firstLine="960" w:firstLineChars="400"/>
        <w:rPr>
          <w:rFonts w:ascii="宋体" w:hAnsi="宋体" w:cs="宋体"/>
          <w:color w:val="000000" w:themeColor="text1"/>
          <w:sz w:val="24"/>
          <w:highlight w:val="none"/>
          <w14:textFill>
            <w14:solidFill>
              <w14:schemeClr w14:val="tx1"/>
            </w14:solidFill>
          </w14:textFill>
        </w:rPr>
      </w:pPr>
    </w:p>
    <w:p w14:paraId="4ED84766">
      <w:pPr>
        <w:spacing w:line="360" w:lineRule="auto"/>
        <w:ind w:firstLine="960" w:firstLineChars="4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签订日期：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w:t>
      </w:r>
    </w:p>
    <w:p w14:paraId="08B669BA">
      <w:pPr>
        <w:widowControl/>
        <w:spacing w:line="360" w:lineRule="auto"/>
        <w:jc w:val="left"/>
        <w:rPr>
          <w:rFonts w:ascii="宋体" w:hAnsi="宋体" w:cs="宋体"/>
          <w:color w:val="000000" w:themeColor="text1"/>
          <w:kern w:val="0"/>
          <w:sz w:val="24"/>
          <w:highlight w:val="none"/>
          <w14:textFill>
            <w14:solidFill>
              <w14:schemeClr w14:val="tx1"/>
            </w14:solidFill>
          </w14:textFill>
        </w:rPr>
        <w:sectPr>
          <w:pgSz w:w="11905" w:h="16838"/>
          <w:pgMar w:top="1134" w:right="1361" w:bottom="1134" w:left="1361" w:header="851" w:footer="992" w:gutter="0"/>
          <w:cols w:space="720" w:num="1"/>
          <w:docGrid w:linePitch="1" w:charSpace="0"/>
        </w:sectPr>
      </w:pPr>
    </w:p>
    <w:p w14:paraId="2E0D431B">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甲方：</w:t>
      </w:r>
      <w:r>
        <w:rPr>
          <w:rFonts w:hint="eastAsia" w:ascii="宋体" w:hAnsi="宋体"/>
          <w:color w:val="000000" w:themeColor="text1"/>
          <w:sz w:val="24"/>
          <w:highlight w:val="none"/>
          <w:u w:val="single"/>
          <w14:textFill>
            <w14:solidFill>
              <w14:schemeClr w14:val="tx1"/>
            </w14:solidFill>
          </w14:textFill>
        </w:rPr>
        <w:t>杭州西湖风景名胜区花港管理处</w:t>
      </w:r>
      <w:r>
        <w:rPr>
          <w:rFonts w:hint="eastAsia" w:ascii="宋体" w:hAnsi="宋体"/>
          <w:color w:val="000000" w:themeColor="text1"/>
          <w:sz w:val="24"/>
          <w:highlight w:val="none"/>
          <w14:textFill>
            <w14:solidFill>
              <w14:schemeClr w14:val="tx1"/>
            </w14:solidFill>
          </w14:textFill>
        </w:rPr>
        <w:t>（以下简称甲方）</w:t>
      </w:r>
    </w:p>
    <w:p w14:paraId="4DD43CCC">
      <w:pPr>
        <w:snapToGrid w:val="0"/>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乙方：</w:t>
      </w:r>
      <w:r>
        <w:rPr>
          <w:rFonts w:hint="eastAsia"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（以下简称乙方）</w:t>
      </w:r>
    </w:p>
    <w:p w14:paraId="622D3DB7">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甲、乙双方根据有关法律规定，本着友好合作、协商一致的原则，就乙方承包甲方零星维修工程的有关事宜达成协议如下：</w:t>
      </w:r>
    </w:p>
    <w:p w14:paraId="7CA58CFD">
      <w:pPr>
        <w:pStyle w:val="32"/>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一、承包范围和要求：</w:t>
      </w:r>
    </w:p>
    <w:p w14:paraId="761EBB3F">
      <w:pPr>
        <w:pStyle w:val="32"/>
        <w:spacing w:line="360" w:lineRule="auto"/>
        <w:ind w:firstLine="360" w:firstLineChars="15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1、承包区域和要求：</w:t>
      </w:r>
      <w:r>
        <w:rPr>
          <w:rFonts w:hint="eastAsia" w:hAnsi="宋体" w:cs="宋体"/>
          <w:color w:val="000000" w:themeColor="text1"/>
          <w:sz w:val="24"/>
          <w:szCs w:val="24"/>
          <w:highlight w:val="none"/>
          <w:u w:val="single"/>
          <w14:textFill>
            <w14:solidFill>
              <w14:schemeClr w14:val="tx1"/>
            </w14:solidFill>
          </w14:textFill>
        </w:rPr>
        <w:t>花港管理处辖区范围</w:t>
      </w:r>
      <w:r>
        <w:rPr>
          <w:rFonts w:hint="eastAsia" w:hAnsi="宋体" w:cs="宋体"/>
          <w:color w:val="000000" w:themeColor="text1"/>
          <w:sz w:val="24"/>
          <w:szCs w:val="24"/>
          <w:highlight w:val="none"/>
          <w14:textFill>
            <w14:solidFill>
              <w14:schemeClr w14:val="tx1"/>
            </w14:solidFill>
          </w14:textFill>
        </w:rPr>
        <w:t>，质量要求符合（工程施工质量验收规范）合格标准。</w:t>
      </w:r>
    </w:p>
    <w:p w14:paraId="14024B1D">
      <w:pPr>
        <w:pStyle w:val="32"/>
        <w:spacing w:line="360" w:lineRule="auto"/>
        <w:ind w:firstLine="360" w:firstLineChars="15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2、承包期限：承包期为</w:t>
      </w:r>
      <w:r>
        <w:rPr>
          <w:rFonts w:hint="eastAsia" w:hAnsi="宋体" w:cs="宋体"/>
          <w:color w:val="000000" w:themeColor="text1"/>
          <w:sz w:val="24"/>
          <w:szCs w:val="24"/>
          <w:highlight w:val="none"/>
          <w:u w:val="single"/>
          <w14:textFill>
            <w14:solidFill>
              <w14:schemeClr w14:val="tx1"/>
            </w14:solidFill>
          </w14:textFill>
        </w:rPr>
        <w:t xml:space="preserve"> </w:t>
      </w:r>
      <w:r>
        <w:rPr>
          <w:rFonts w:hAnsi="宋体" w:cs="宋体"/>
          <w:color w:val="000000" w:themeColor="text1"/>
          <w:sz w:val="24"/>
          <w:szCs w:val="24"/>
          <w:highlight w:val="none"/>
          <w:u w:val="single"/>
          <w14:textFill>
            <w14:solidFill>
              <w14:schemeClr w14:val="tx1"/>
            </w14:solidFill>
          </w14:textFill>
        </w:rPr>
        <w:t xml:space="preserve">12 </w:t>
      </w:r>
      <w:r>
        <w:rPr>
          <w:rFonts w:hint="eastAsia" w:hAnsi="宋体" w:cs="宋体"/>
          <w:color w:val="000000" w:themeColor="text1"/>
          <w:sz w:val="24"/>
          <w:szCs w:val="24"/>
          <w:highlight w:val="none"/>
          <w14:textFill>
            <w14:solidFill>
              <w14:schemeClr w14:val="tx1"/>
            </w14:solidFill>
          </w14:textFill>
        </w:rPr>
        <w:t>个月，____年___月__日至___年___月__日。</w:t>
      </w:r>
    </w:p>
    <w:p w14:paraId="37084850">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二、零星工程承包价格：</w:t>
      </w:r>
    </w:p>
    <w:p w14:paraId="53CB086B">
      <w:pPr>
        <w:pStyle w:val="483"/>
        <w:snapToGrid w:val="0"/>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1、工程费用结算：</w:t>
      </w:r>
    </w:p>
    <w:p w14:paraId="2F0EC52B">
      <w:pPr>
        <w:pStyle w:val="483"/>
        <w:snapToGrid w:val="0"/>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1.1结算依据：</w:t>
      </w:r>
    </w:p>
    <w:p w14:paraId="64AEC35B">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《浙江省房屋建筑与装饰工程预算定额》（2018 版）</w:t>
      </w:r>
    </w:p>
    <w:p w14:paraId="1F8977DE">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《浙江省通用安装工程预算定额》（2018 版）</w:t>
      </w:r>
    </w:p>
    <w:p w14:paraId="77C83226">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《浙江省市政工程预算定额》（2018 版）</w:t>
      </w:r>
    </w:p>
    <w:p w14:paraId="5638C5FA">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《浙江省园林绿化及仿古建筑工程预算定额》（2018 版）</w:t>
      </w:r>
    </w:p>
    <w:p w14:paraId="5B0FF07E">
      <w:pPr>
        <w:pStyle w:val="3"/>
        <w:spacing w:before="0" w:after="0" w:line="360" w:lineRule="auto"/>
        <w:ind w:left="852" w:leftChars="200"/>
        <w:rPr>
          <w:rFonts w:ascii="宋体" w:hAnsi="宋体" w:cs="宋体"/>
          <w:b w:val="0"/>
          <w:bCs w:val="0"/>
          <w:color w:val="000000" w:themeColor="text1"/>
          <w:kern w:val="2"/>
          <w:sz w:val="24"/>
          <w:szCs w:val="24"/>
          <w:highlight w:val="none"/>
          <w14:textFill>
            <w14:solidFill>
              <w14:schemeClr w14:val="tx1"/>
            </w14:solidFill>
          </w14:textFill>
        </w:rPr>
      </w:pPr>
      <w:r>
        <w:rPr>
          <w:rFonts w:hint="eastAsia" w:ascii="宋体" w:hAnsi="宋体" w:cs="宋体"/>
          <w:b w:val="0"/>
          <w:bCs w:val="0"/>
          <w:color w:val="000000" w:themeColor="text1"/>
          <w:kern w:val="2"/>
          <w:sz w:val="24"/>
          <w:szCs w:val="24"/>
          <w:highlight w:val="none"/>
          <w14:textFill>
            <w14:solidFill>
              <w14:schemeClr w14:val="tx1"/>
            </w14:solidFill>
          </w14:textFill>
        </w:rPr>
        <w:t>《浙江省建设工程计价规则》（2018版）</w:t>
      </w:r>
    </w:p>
    <w:p w14:paraId="0D8A087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《关于增值税调整后我省建设工程计价依据增值税税率及有关计价调整的通知》（浙建建发[2019]92号）；</w:t>
      </w:r>
    </w:p>
    <w:p w14:paraId="037365E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关于贯彻《省建设厅关于调整建筑工程安全文明施工费的通知》的通知（杭建市发[2022]54号）；</w:t>
      </w:r>
    </w:p>
    <w:p w14:paraId="7D19B40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省、市建设行政主管部门以及工程造价管理机构颁发的相关计价办法和计价规定。</w:t>
      </w:r>
    </w:p>
    <w:p w14:paraId="5E1D1BBB">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以上编制依据若发生政策性调整的，按新政策执行，但本次报价折扣率不变。</w:t>
      </w:r>
    </w:p>
    <w:p w14:paraId="1DBDBA0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1.2编制原则：综合单价法；</w:t>
      </w:r>
    </w:p>
    <w:p w14:paraId="1295E03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1.3工程类别：本项目工程取费暂按三类工程计取；</w:t>
      </w:r>
    </w:p>
    <w:p w14:paraId="1AC6FFF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1.4建设工程农民工工伤保险费用按杭州市有关规定计算；</w:t>
      </w:r>
    </w:p>
    <w:p w14:paraId="5F5553E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1.5危险作业意外伤害保险费不另计取，由投标人报价时充分考虑；</w:t>
      </w:r>
    </w:p>
    <w:p w14:paraId="677FD9B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1.6风险费用不另计取，由投标人报价时充分考虑；</w:t>
      </w:r>
    </w:p>
    <w:p w14:paraId="2ECF5E4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1.7乙供材料单价按《杭州造价信息》正刊、《浙江造价信息》正刊计取。如杭州正刊无信息价则参考浙江省信息价，没有信息价则由双方协商定价，并须经甲方签证确认。</w:t>
      </w:r>
    </w:p>
    <w:p w14:paraId="646090C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 税金按浙建建发[2019]92号文件规定计取：税率为9%；</w:t>
      </w:r>
    </w:p>
    <w:p w14:paraId="679DF01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1.9机械费单价按现行定额及信息价计取；</w:t>
      </w:r>
    </w:p>
    <w:p w14:paraId="311164A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1.10垃圾清运费，倾倒至政府规定合法地点，运距自行考虑（含消纳费）；</w:t>
      </w:r>
    </w:p>
    <w:p w14:paraId="034E0AA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1.11工程量按实结算，预算费用按中标折扣率进行下浮。</w:t>
      </w:r>
    </w:p>
    <w:p w14:paraId="7315CFB0">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2</w:t>
      </w:r>
      <w:r>
        <w:rPr>
          <w:rFonts w:hint="eastAsia" w:ascii="宋体" w:hAnsi="宋体" w:cs="宋体"/>
          <w:b/>
          <w:bCs/>
          <w:color w:val="000000" w:themeColor="text1"/>
          <w:sz w:val="24"/>
          <w:highlight w:val="none"/>
          <w14:textFill>
            <w14:solidFill>
              <w14:schemeClr w14:val="tx1"/>
            </w14:solidFill>
          </w14:textFill>
        </w:rPr>
        <w:t>、项目结算相关说明</w:t>
      </w:r>
    </w:p>
    <w:p w14:paraId="26CD9730">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ascii="宋体" w:hAnsi="宋体" w:eastAsia="PMingLiU" w:cs="宋体"/>
          <w:color w:val="000000" w:themeColor="text1"/>
          <w:sz w:val="24"/>
          <w:highlight w:val="none"/>
          <w:lang w:eastAsia="zh-TW"/>
          <w14:textFill>
            <w14:solidFill>
              <w14:schemeClr w14:val="tx1"/>
            </w14:solidFill>
          </w14:textFill>
        </w:rPr>
        <w:t>2.1</w:t>
      </w:r>
      <w:r>
        <w:rPr>
          <w:rFonts w:hint="eastAsia" w:ascii="宋体" w:hAnsi="宋体" w:eastAsia="宋体" w:cs="宋体"/>
          <w:color w:val="000000" w:themeColor="text1"/>
          <w:sz w:val="24"/>
          <w:highlight w:val="none"/>
          <w14:textFill>
            <w14:solidFill>
              <w14:schemeClr w14:val="tx1"/>
            </w14:solidFill>
          </w14:textFill>
        </w:rPr>
        <w:t>工程量按实际发生计取，有施工图纸的按施工图纸计算，无施工图纸的按现场实际测量或经业主签证的其他方式计算工程量。工程量的计算规则应按省、市行业主管部门颁布的现行各专业工程定额的工程量计算规则执行。定额人工单价、主材单价按施工</w:t>
      </w:r>
      <w:r>
        <w:rPr>
          <w:rFonts w:hint="eastAsia" w:ascii="宋体" w:hAnsi="宋体" w:eastAsia="宋体" w:cs="宋体"/>
          <w:b/>
          <w:bCs/>
          <w:color w:val="000000" w:themeColor="text1"/>
          <w:sz w:val="24"/>
          <w:highlight w:val="none"/>
          <w14:textFill>
            <w14:solidFill>
              <w14:schemeClr w14:val="tx1"/>
            </w14:solidFill>
          </w14:textFill>
        </w:rPr>
        <w:t>当期《浙江造价信息》、《杭州造价信息》</w:t>
      </w:r>
      <w:r>
        <w:rPr>
          <w:rFonts w:hint="eastAsia" w:ascii="宋体" w:hAnsi="宋体" w:eastAsia="宋体" w:cs="宋体"/>
          <w:color w:val="000000" w:themeColor="text1"/>
          <w:sz w:val="24"/>
          <w:highlight w:val="none"/>
          <w14:textFill>
            <w14:solidFill>
              <w14:schemeClr w14:val="tx1"/>
            </w14:solidFill>
          </w14:textFill>
        </w:rPr>
        <w:t>计取；无价材料或无计价依据的子项内容按市场价为准。</w:t>
      </w:r>
    </w:p>
    <w:p w14:paraId="382DD6D8">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ascii="宋体" w:hAnsi="宋体" w:eastAsia="PMingLiU" w:cs="宋体"/>
          <w:color w:val="000000" w:themeColor="text1"/>
          <w:sz w:val="24"/>
          <w:highlight w:val="none"/>
          <w:lang w:eastAsia="zh-TW"/>
          <w14:textFill>
            <w14:solidFill>
              <w14:schemeClr w14:val="tx1"/>
            </w14:solidFill>
          </w14:textFill>
        </w:rPr>
        <w:t>2.2</w:t>
      </w:r>
      <w:r>
        <w:rPr>
          <w:rFonts w:hint="eastAsia" w:ascii="宋体" w:hAnsi="宋体" w:eastAsia="宋体" w:cs="宋体"/>
          <w:b/>
          <w:color w:val="000000" w:themeColor="text1"/>
          <w:sz w:val="24"/>
          <w:highlight w:val="none"/>
          <w14:textFill>
            <w14:solidFill>
              <w14:schemeClr w14:val="tx1"/>
            </w14:solidFill>
          </w14:textFill>
        </w:rPr>
        <w:t>采用综合单价法结算，综合单价包含完成一个清单或定额项目所需人工费、机械费、材料费及除此外的全费用服务单价，施工组织措施费、技术措施费、管理费、利润、安全文明费、规费、税金等费用，均包含在服务单价内不单独计取。</w:t>
      </w:r>
    </w:p>
    <w:p w14:paraId="5197DE1B">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ascii="宋体" w:hAnsi="宋体" w:eastAsia="PMingLiU" w:cs="宋体"/>
          <w:color w:val="000000" w:themeColor="text1"/>
          <w:sz w:val="24"/>
          <w:highlight w:val="none"/>
          <w:lang w:eastAsia="zh-TW"/>
          <w14:textFill>
            <w14:solidFill>
              <w14:schemeClr w14:val="tx1"/>
            </w14:solidFill>
          </w14:textFill>
        </w:rPr>
        <w:t>2.3</w:t>
      </w:r>
      <w:r>
        <w:rPr>
          <w:rFonts w:hint="eastAsia" w:ascii="宋体" w:hAnsi="宋体" w:eastAsia="宋体" w:cs="宋体"/>
          <w:color w:val="000000" w:themeColor="text1"/>
          <w:sz w:val="24"/>
          <w:highlight w:val="none"/>
          <w14:textFill>
            <w14:solidFill>
              <w14:schemeClr w14:val="tx1"/>
            </w14:solidFill>
          </w14:textFill>
        </w:rPr>
        <w:t>按照上述方法计算后</w:t>
      </w:r>
      <w:r>
        <w:rPr>
          <w:rFonts w:hint="eastAsia" w:ascii="宋体" w:hAnsi="宋体" w:eastAsia="宋体" w:cs="宋体"/>
          <w:color w:val="000000" w:themeColor="text1"/>
          <w:sz w:val="24"/>
          <w:highlight w:val="none"/>
          <w:lang w:val="en-US"/>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（投标折扣率）作为结算价，经第三方咨询公司审计后结算。</w:t>
      </w:r>
    </w:p>
    <w:p w14:paraId="4A309025">
      <w:pPr>
        <w:pStyle w:val="80"/>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ascii="宋体" w:hAnsi="宋体" w:eastAsia="PMingLiU" w:cs="宋体"/>
          <w:color w:val="000000" w:themeColor="text1"/>
          <w:sz w:val="24"/>
          <w:highlight w:val="none"/>
          <w:lang w:eastAsia="zh-TW"/>
          <w14:textFill>
            <w14:solidFill>
              <w14:schemeClr w14:val="tx1"/>
            </w14:solidFill>
          </w14:textFill>
        </w:rPr>
        <w:t>2.4</w:t>
      </w:r>
      <w:r>
        <w:rPr>
          <w:rFonts w:hint="eastAsia" w:ascii="宋体" w:hAnsi="宋体" w:eastAsia="宋体" w:cs="宋体"/>
          <w:color w:val="000000" w:themeColor="text1"/>
          <w:sz w:val="24"/>
          <w:highlight w:val="none"/>
          <w14:textFill>
            <w14:solidFill>
              <w14:schemeClr w14:val="tx1"/>
            </w14:solidFill>
          </w14:textFill>
        </w:rPr>
        <w:t>计日工按实际发生计取，1个工日按8小时计。</w:t>
      </w:r>
    </w:p>
    <w:p w14:paraId="58708D8F">
      <w:pPr>
        <w:pStyle w:val="32"/>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三、履约保证金</w:t>
      </w:r>
    </w:p>
    <w:p w14:paraId="0E163119">
      <w:pPr>
        <w:pStyle w:val="32"/>
        <w:spacing w:line="360" w:lineRule="auto"/>
        <w:ind w:firstLine="480" w:firstLineChars="200"/>
        <w:rPr>
          <w:rFonts w:hint="default"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hAnsi="宋体" w:cs="宋体"/>
          <w:color w:val="000000" w:themeColor="text1"/>
          <w:sz w:val="24"/>
          <w:highlight w:val="none"/>
          <w:lang w:val="en-US" w:eastAsia="zh-CN"/>
          <w14:textFill>
            <w14:solidFill>
              <w14:schemeClr w14:val="tx1"/>
            </w14:solidFill>
          </w14:textFill>
        </w:rPr>
        <w:t>本项目不收取履约保证金。</w:t>
      </w:r>
    </w:p>
    <w:p w14:paraId="61D4E04B">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四、付款方式：</w:t>
      </w:r>
    </w:p>
    <w:p w14:paraId="3EAD792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1、合同签订生效后，甲方不支付预付款。</w:t>
      </w:r>
    </w:p>
    <w:p w14:paraId="200ED50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2、工程费用根据每</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1</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个月所完成的工程量经验收合格后结算一次，每</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个月的工程决算经审计审定后同时收到乙方提供合法票据后20个工作日内全额支付</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auto"/>
          <w:sz w:val="24"/>
          <w:highlight w:val="none"/>
        </w:rPr>
        <w:t>如甲方有具体要求的，依照甲方要求执行</w:t>
      </w:r>
      <w:r>
        <w:rPr>
          <w:rFonts w:hint="eastAsia" w:ascii="宋体" w:hAnsi="宋体" w:cs="宋体"/>
          <w:color w:val="000000" w:themeColor="text1"/>
          <w:sz w:val="24"/>
          <w:highlight w:val="none"/>
          <w14:textFill>
            <w14:solidFill>
              <w14:schemeClr w14:val="tx1"/>
            </w14:solidFill>
          </w14:textFill>
        </w:rPr>
        <w:t>。</w:t>
      </w:r>
    </w:p>
    <w:p w14:paraId="201484B6">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五、双方承诺</w:t>
      </w:r>
    </w:p>
    <w:p w14:paraId="4E33EFF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1、乙方对甲方作出如下承诺：</w:t>
      </w:r>
    </w:p>
    <w:p w14:paraId="398AADC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1.1、在承包区域内开展工作，其工作时间及工作质量必须满足甲方的工作要求,否则甲方有权终止合同。</w:t>
      </w:r>
    </w:p>
    <w:p w14:paraId="18388DB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1.2、乙方必须指定一位负责人，全权代表乙方与甲方保持密切联系并保证承包区域服务工作。</w:t>
      </w:r>
    </w:p>
    <w:p w14:paraId="4CA1A60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1.3、乙方所聘用的工作人员必须符合劳动部门有关用工规定。</w:t>
      </w:r>
    </w:p>
    <w:p w14:paraId="706C5B9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1.4、禁止事项</w:t>
      </w:r>
    </w:p>
    <w:p w14:paraId="0802E7B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1.4.1、乙方不得以任何理由向甲方工作人员支付好处费或赠送实物，违者将终止合同。甲方人员也不得以任何形式向乙方的相关人员索取好处费或钱物等。</w:t>
      </w:r>
    </w:p>
    <w:p w14:paraId="7280C12E">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1.4.2、不得在承包区域住宿或从事非法活动，也不得从事有损甲方利益的活动，同时不允许在承包区域对甲方活动进行滋扰性的行为。</w:t>
      </w:r>
    </w:p>
    <w:p w14:paraId="507FF028">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1.4.3、除经甲方批准进行必要的维修工程外，乙方不得损毁承包区域原有的设施和装潢，不得更改已铺设的电缆、电线等电力装置。 </w:t>
      </w:r>
    </w:p>
    <w:p w14:paraId="572CFE7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1.5、安全</w:t>
      </w:r>
    </w:p>
    <w:p w14:paraId="742B874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1.5.1、在承包期内，乙方所有人员的事故由乙方自行全权负责，乙方应对其员工投保保险，并加强安全教育。</w:t>
      </w:r>
    </w:p>
    <w:p w14:paraId="44F0A8E5">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1.5.2、乙方及其员工遵守甲方的一切行政管理、消防安全等规定和制度。</w:t>
      </w:r>
    </w:p>
    <w:p w14:paraId="5F8C42C4">
      <w:pPr>
        <w:pStyle w:val="32"/>
        <w:spacing w:line="360" w:lineRule="auto"/>
        <w:ind w:firstLine="480" w:firstLineChars="200"/>
        <w:rPr>
          <w:rFonts w:hAnsi="宋体" w:cs="宋体"/>
          <w:color w:val="000000" w:themeColor="text1"/>
          <w:kern w:val="0"/>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1.5.3、乙方</w:t>
      </w:r>
      <w:r>
        <w:rPr>
          <w:rFonts w:hint="eastAsia" w:hAnsi="宋体" w:cs="宋体"/>
          <w:color w:val="000000" w:themeColor="text1"/>
          <w:kern w:val="0"/>
          <w:sz w:val="24"/>
          <w:szCs w:val="24"/>
          <w:highlight w:val="none"/>
          <w14:textFill>
            <w14:solidFill>
              <w14:schemeClr w14:val="tx1"/>
            </w14:solidFill>
          </w14:textFill>
        </w:rPr>
        <w:t>必须按国家有关安全操作规程施工。若发生因</w:t>
      </w:r>
      <w:r>
        <w:rPr>
          <w:rFonts w:hint="eastAsia" w:hAnsi="宋体" w:cs="宋体"/>
          <w:color w:val="000000" w:themeColor="text1"/>
          <w:sz w:val="24"/>
          <w:szCs w:val="24"/>
          <w:highlight w:val="none"/>
          <w14:textFill>
            <w14:solidFill>
              <w14:schemeClr w14:val="tx1"/>
            </w14:solidFill>
          </w14:textFill>
        </w:rPr>
        <w:t>乙方</w:t>
      </w:r>
      <w:r>
        <w:rPr>
          <w:rFonts w:hint="eastAsia" w:hAnsi="宋体" w:cs="宋体"/>
          <w:color w:val="000000" w:themeColor="text1"/>
          <w:kern w:val="0"/>
          <w:sz w:val="24"/>
          <w:szCs w:val="24"/>
          <w:highlight w:val="none"/>
          <w14:textFill>
            <w14:solidFill>
              <w14:schemeClr w14:val="tx1"/>
            </w14:solidFill>
          </w14:textFill>
        </w:rPr>
        <w:t>措施不力而造成的安全事故，其责任及费用由</w:t>
      </w:r>
      <w:r>
        <w:rPr>
          <w:rFonts w:hint="eastAsia" w:hAnsi="宋体" w:cs="宋体"/>
          <w:color w:val="000000" w:themeColor="text1"/>
          <w:sz w:val="24"/>
          <w:szCs w:val="24"/>
          <w:highlight w:val="none"/>
          <w14:textFill>
            <w14:solidFill>
              <w14:schemeClr w14:val="tx1"/>
            </w14:solidFill>
          </w14:textFill>
        </w:rPr>
        <w:t>乙方</w:t>
      </w:r>
      <w:r>
        <w:rPr>
          <w:rFonts w:hint="eastAsia" w:hAnsi="宋体" w:cs="宋体"/>
          <w:color w:val="000000" w:themeColor="text1"/>
          <w:kern w:val="0"/>
          <w:sz w:val="24"/>
          <w:szCs w:val="24"/>
          <w:highlight w:val="none"/>
          <w14:textFill>
            <w14:solidFill>
              <w14:schemeClr w14:val="tx1"/>
            </w14:solidFill>
          </w14:textFill>
        </w:rPr>
        <w:t>自行负责。</w:t>
      </w:r>
    </w:p>
    <w:p w14:paraId="22EA306C">
      <w:pPr>
        <w:pStyle w:val="32"/>
        <w:spacing w:line="360" w:lineRule="auto"/>
        <w:rPr>
          <w:rFonts w:hAnsi="宋体" w:cs="宋体"/>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六、不可抗力</w:t>
      </w:r>
    </w:p>
    <w:p w14:paraId="0D506333">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1、在承包期间发生地震、火灾及其他双方不能控制的原因，导致承包区域不能正常经营，合同不能全部履行。双方可以按以下各项执行：</w:t>
      </w:r>
    </w:p>
    <w:p w14:paraId="5FFA4556">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1.1、任何一方可以书面形式终止合同无需做出任何赔偿。</w:t>
      </w:r>
    </w:p>
    <w:p w14:paraId="1F42DBB8">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1.2、因不可抗力导致合同终止，并不影响任何一方对不可抗力先前发生的违约行为合法追偿。</w:t>
      </w:r>
    </w:p>
    <w:p w14:paraId="62F3F5C3">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1.3、甲方不负责因不可抗力造成合同不能正常履行的责任。</w:t>
      </w:r>
    </w:p>
    <w:p w14:paraId="44282476">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2、遇国家政策性调整，影响合同履行，双方协商解决。</w:t>
      </w:r>
    </w:p>
    <w:p w14:paraId="530BAEEA">
      <w:pPr>
        <w:pStyle w:val="32"/>
        <w:spacing w:line="360" w:lineRule="auto"/>
        <w:ind w:hanging="15"/>
        <w:rPr>
          <w:rFonts w:hAnsi="宋体" w:cs="宋体"/>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七、合同生效和终止</w:t>
      </w:r>
    </w:p>
    <w:p w14:paraId="02421E01">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1、本合同经双方授权代表签字盖章并在乙方提交履约保证金后生效。</w:t>
      </w:r>
    </w:p>
    <w:p w14:paraId="3D85BB6B">
      <w:pPr>
        <w:pStyle w:val="32"/>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2、乙方未能履行合同和遵守有关规定，在甲方发出书面警告后仍无采取补救措施可立即终止承包。</w:t>
      </w:r>
    </w:p>
    <w:p w14:paraId="4E73D469">
      <w:pPr>
        <w:pStyle w:val="32"/>
        <w:spacing w:line="360" w:lineRule="auto"/>
        <w:ind w:left="487" w:hanging="487" w:hangingChars="202"/>
        <w:rPr>
          <w:rFonts w:hAnsi="宋体" w:cs="宋体"/>
          <w:b/>
          <w:color w:val="000000" w:themeColor="text1"/>
          <w:sz w:val="24"/>
          <w:szCs w:val="24"/>
          <w:highlight w:val="none"/>
          <w14:textFill>
            <w14:solidFill>
              <w14:schemeClr w14:val="tx1"/>
            </w14:solidFill>
          </w14:textFill>
        </w:rPr>
      </w:pPr>
      <w:r>
        <w:rPr>
          <w:rFonts w:hint="eastAsia" w:hAnsi="宋体" w:cs="宋体"/>
          <w:b/>
          <w:bCs/>
          <w:color w:val="000000" w:themeColor="text1"/>
          <w:kern w:val="0"/>
          <w:sz w:val="24"/>
          <w:szCs w:val="24"/>
          <w:highlight w:val="none"/>
          <w14:textFill>
            <w14:solidFill>
              <w14:schemeClr w14:val="tx1"/>
            </w14:solidFill>
          </w14:textFill>
        </w:rPr>
        <w:t>八、争议解决</w:t>
      </w:r>
    </w:p>
    <w:p w14:paraId="4CA89723">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1、双方在执行合同中所发生的一切争议，应通过协商解决。如协商不成，向甲方法定地址所在人民法院起诉。</w:t>
      </w:r>
    </w:p>
    <w:p w14:paraId="7ABAEF21">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2、在争议解决期间，本合同未涉及争议的其他部份应继续执行．</w:t>
      </w:r>
    </w:p>
    <w:p w14:paraId="7074C7E3">
      <w:pPr>
        <w:pStyle w:val="5"/>
        <w:spacing w:line="360" w:lineRule="auto"/>
        <w:ind w:firstLine="0"/>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九、其他</w:t>
      </w:r>
    </w:p>
    <w:p w14:paraId="4B2535E4">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1、该项目施工用水用电费用若不装表计量则按照审计审定价的0.7%予以扣除。</w:t>
      </w:r>
    </w:p>
    <w:p w14:paraId="6D91515A">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2、工程决算审计的审减率应控制在5%（含5%）之内，若审减率超过5%以上，则超过部分的审计费用按浙物价（2009）84号文件规定计取，由承包人直接支付。</w:t>
      </w:r>
    </w:p>
    <w:p w14:paraId="7AEAEE9D">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3、施工期间，材料、人员进出不得影响景区正常的医疗。</w:t>
      </w:r>
    </w:p>
    <w:p w14:paraId="21D1063B">
      <w:pPr>
        <w:pStyle w:val="5"/>
        <w:spacing w:line="360" w:lineRule="auto"/>
        <w:ind w:firstLine="480" w:firstLineChars="200"/>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4、承包人应严格遵守杭州市有关文明施工管理的规定，若本工程施工工地受到通报批评，发包人全额扣除承包人工程履约保证金中的文明施工费用。</w:t>
      </w:r>
    </w:p>
    <w:p w14:paraId="3DE42059">
      <w:pPr>
        <w:pStyle w:val="5"/>
        <w:spacing w:line="360" w:lineRule="auto"/>
        <w:ind w:firstLine="480" w:firstLineChars="200"/>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5、本项目</w:t>
      </w:r>
      <w:r>
        <w:rPr>
          <w:rFonts w:hint="eastAsia" w:hAnsi="宋体" w:cs="宋体"/>
          <w:color w:val="000000" w:themeColor="text1"/>
          <w:sz w:val="24"/>
          <w:szCs w:val="24"/>
          <w:highlight w:val="none"/>
          <w14:textFill>
            <w14:solidFill>
              <w14:schemeClr w14:val="tx1"/>
            </w14:solidFill>
          </w14:textFill>
        </w:rPr>
        <w:t>的质量保修期</w:t>
      </w:r>
      <w:r>
        <w:rPr>
          <w:rFonts w:hint="eastAsia" w:hAnsi="宋体" w:cs="宋体"/>
          <w:color w:val="000000" w:themeColor="text1"/>
          <w:sz w:val="24"/>
          <w:szCs w:val="24"/>
          <w:highlight w:val="none"/>
          <w:lang w:val="en-US" w:eastAsia="zh-CN"/>
          <w14:textFill>
            <w14:solidFill>
              <w14:schemeClr w14:val="tx1"/>
            </w14:solidFill>
          </w14:textFill>
        </w:rPr>
        <w:t>为1年，</w:t>
      </w:r>
      <w:r>
        <w:rPr>
          <w:rFonts w:hint="eastAsia" w:hAnsi="宋体" w:cs="宋体"/>
          <w:color w:val="000000" w:themeColor="text1"/>
          <w:sz w:val="24"/>
          <w:szCs w:val="24"/>
          <w:highlight w:val="none"/>
          <w14:textFill>
            <w14:solidFill>
              <w14:schemeClr w14:val="tx1"/>
            </w14:solidFill>
          </w14:textFill>
        </w:rPr>
        <w:t>质量保修期自维修完成合格之日起计算。发生质量问题时，乙方应当及时、有效、充分地履行维修义务。甲方不承担材料、工钱、交通、食宿等任何费用，但非乙方人为原因或不可抗力造成破坏的情形除外。乙方拒不修复的，甲方有权请其他单位负责维修，费用从该项目结算费用中扣除。</w:t>
      </w:r>
    </w:p>
    <w:p w14:paraId="6AE8CF63">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6</w:t>
      </w:r>
      <w:r>
        <w:rPr>
          <w:rFonts w:hint="eastAsia" w:hAnsi="宋体" w:cs="宋体"/>
          <w:color w:val="000000" w:themeColor="text1"/>
          <w:sz w:val="24"/>
          <w:szCs w:val="24"/>
          <w:highlight w:val="none"/>
          <w14:textFill>
            <w14:solidFill>
              <w14:schemeClr w14:val="tx1"/>
            </w14:solidFill>
          </w14:textFill>
        </w:rPr>
        <w:t>、在乙方的责任区内由于乙方原因导致第三方的事故由乙方负责，甲方不承担任何责任。</w:t>
      </w:r>
    </w:p>
    <w:p w14:paraId="0068ED86">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7</w:t>
      </w:r>
      <w:r>
        <w:rPr>
          <w:rFonts w:hint="eastAsia" w:hAnsi="宋体" w:cs="宋体"/>
          <w:color w:val="000000" w:themeColor="text1"/>
          <w:sz w:val="24"/>
          <w:szCs w:val="24"/>
          <w:highlight w:val="none"/>
          <w14:textFill>
            <w14:solidFill>
              <w14:schemeClr w14:val="tx1"/>
            </w14:solidFill>
          </w14:textFill>
        </w:rPr>
        <w:t>、本合同中所述通知，必须为书面形式，并有送达签收。</w:t>
      </w:r>
    </w:p>
    <w:p w14:paraId="546CD82A">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8</w:t>
      </w:r>
      <w:r>
        <w:rPr>
          <w:rFonts w:hint="eastAsia" w:hAnsi="宋体" w:cs="宋体"/>
          <w:color w:val="000000" w:themeColor="text1"/>
          <w:sz w:val="24"/>
          <w:szCs w:val="24"/>
          <w:highlight w:val="none"/>
          <w14:textFill>
            <w14:solidFill>
              <w14:schemeClr w14:val="tx1"/>
            </w14:solidFill>
          </w14:textFill>
        </w:rPr>
        <w:t>、该项目的招标文件、投标文件、承诺书等作为合同组成文件，司法解释按逆时执行。如双方同意，可以书面修改或补充本合同条款；合同的附件、修改（补充）件均与本主合同同效。</w:t>
      </w:r>
    </w:p>
    <w:p w14:paraId="6EAD9CB9">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9</w:t>
      </w:r>
      <w:r>
        <w:rPr>
          <w:rFonts w:hint="eastAsia" w:hAnsi="宋体" w:cs="宋体"/>
          <w:color w:val="000000" w:themeColor="text1"/>
          <w:sz w:val="24"/>
          <w:szCs w:val="24"/>
          <w:highlight w:val="none"/>
          <w14:textFill>
            <w14:solidFill>
              <w14:schemeClr w14:val="tx1"/>
            </w14:solidFill>
          </w14:textFill>
        </w:rPr>
        <w:t>、本合同一式陆份，甲乙双方各执叁份。</w:t>
      </w:r>
    </w:p>
    <w:p w14:paraId="156248CA">
      <w:pPr>
        <w:pStyle w:val="5"/>
        <w:spacing w:line="360" w:lineRule="auto"/>
        <w:ind w:firstLine="480" w:firstLineChars="200"/>
        <w:rPr>
          <w:rFonts w:hAnsi="宋体" w:cs="宋体"/>
          <w:color w:val="000000" w:themeColor="text1"/>
          <w:sz w:val="24"/>
          <w:szCs w:val="24"/>
          <w:highlight w:val="none"/>
          <w14:textFill>
            <w14:solidFill>
              <w14:schemeClr w14:val="tx1"/>
            </w14:solidFill>
          </w14:textFill>
        </w:rPr>
      </w:pPr>
    </w:p>
    <w:p w14:paraId="768F304A">
      <w:pPr>
        <w:pStyle w:val="32"/>
        <w:spacing w:line="360" w:lineRule="auto"/>
        <w:ind w:left="85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甲方：                                        乙方： 　　 </w:t>
      </w:r>
    </w:p>
    <w:p w14:paraId="6E3C8EF3">
      <w:pPr>
        <w:pStyle w:val="32"/>
        <w:spacing w:line="360" w:lineRule="auto"/>
        <w:ind w:left="85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（盖章）　　　　　　　　　　　                （盖章）</w:t>
      </w:r>
    </w:p>
    <w:p w14:paraId="2444FB16">
      <w:pPr>
        <w:pStyle w:val="32"/>
        <w:spacing w:line="360" w:lineRule="auto"/>
        <w:ind w:left="85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授权代表（签字）：　　　　　　                 授权代表（签字）：</w:t>
      </w:r>
    </w:p>
    <w:p w14:paraId="056149BF">
      <w:pPr>
        <w:pStyle w:val="32"/>
        <w:spacing w:line="360" w:lineRule="auto"/>
        <w:ind w:left="85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联系电话：　　　　　　　　　　                联系电话：</w:t>
      </w:r>
    </w:p>
    <w:p w14:paraId="0056D432">
      <w:pPr>
        <w:pStyle w:val="32"/>
        <w:spacing w:line="360" w:lineRule="auto"/>
        <w:ind w:left="85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联系地址：　　　　　　　　　　                联系地址：</w:t>
      </w:r>
    </w:p>
    <w:p w14:paraId="3E0D37F5">
      <w:pPr>
        <w:widowControl/>
        <w:spacing w:line="560" w:lineRule="exact"/>
        <w:jc w:val="right"/>
        <w:rPr>
          <w:rFonts w:ascii="宋体" w:hAnsi="宋体"/>
          <w:b/>
          <w:color w:val="auto"/>
          <w:sz w:val="24"/>
          <w:highlight w:val="none"/>
        </w:rPr>
      </w:pPr>
      <w:r>
        <w:rPr>
          <w:rFonts w:hint="eastAsia" w:ascii="宋体" w:hAnsi="宋体" w:cs="宋体"/>
          <w:bCs/>
          <w:color w:val="000000" w:themeColor="text1"/>
          <w:sz w:val="24"/>
          <w:highlight w:val="none"/>
          <w14:textFill>
            <w14:solidFill>
              <w14:schemeClr w14:val="tx1"/>
            </w14:solidFill>
          </w14:textFill>
        </w:rPr>
        <w:t xml:space="preserve">签订日期： </w:t>
      </w:r>
    </w:p>
    <w:p w14:paraId="408D6C86">
      <w:pPr>
        <w:widowControl/>
        <w:adjustRightInd/>
        <w:jc w:val="left"/>
        <w:rPr>
          <w:rFonts w:ascii="宋体" w:hAnsi="宋体" w:cs="宋体"/>
          <w:color w:val="auto"/>
          <w:sz w:val="24"/>
          <w:highlight w:val="none"/>
        </w:rPr>
      </w:pPr>
      <w:r>
        <w:rPr>
          <w:rFonts w:ascii="宋体" w:hAnsi="宋体"/>
          <w:b/>
          <w:color w:val="auto"/>
          <w:highlight w:val="none"/>
        </w:rPr>
        <w:br w:type="page"/>
      </w:r>
    </w:p>
    <w:p w14:paraId="1C9D7740">
      <w:pPr>
        <w:rPr>
          <w:rFonts w:hint="eastAsia" w:ascii="宋体" w:hAnsi="宋体" w:cs="宋体"/>
          <w:b/>
          <w:color w:val="auto"/>
          <w:sz w:val="36"/>
          <w:szCs w:val="20"/>
          <w:highlight w:val="none"/>
        </w:rPr>
      </w:pP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9"/>
      <w:r>
        <w:rPr>
          <w:rFonts w:hint="eastAsia" w:ascii="宋体" w:hAnsi="宋体" w:cs="宋体"/>
          <w:b/>
          <w:color w:val="auto"/>
          <w:sz w:val="36"/>
          <w:szCs w:val="20"/>
          <w:highlight w:val="none"/>
        </w:rPr>
        <w:t xml:space="preserve"> </w:t>
      </w:r>
      <w:bookmarkEnd w:id="400"/>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1" w:name="_Hlk101257010"/>
      <w:r>
        <w:rPr>
          <w:rFonts w:hint="eastAsia" w:ascii="宋体" w:hAnsi="宋体" w:cs="宋体"/>
          <w:color w:val="auto"/>
          <w:sz w:val="24"/>
          <w:highlight w:val="none"/>
        </w:rPr>
        <w:t>（如果有)</w:t>
      </w:r>
      <w:bookmarkEnd w:id="401"/>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spacing w:line="360" w:lineRule="auto"/>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530876D2">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424792B0">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0B4F1144">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7CB85D5">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45D35C3E">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0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2"/>
        <w:gridCol w:w="13858"/>
      </w:tblGrid>
      <w:tr w14:paraId="78935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jc w:val="center"/>
        </w:trPr>
        <w:tc>
          <w:tcPr>
            <w:tcW w:w="1162" w:type="dxa"/>
            <w:vAlign w:val="center"/>
          </w:tcPr>
          <w:p w14:paraId="2475E732">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13858" w:type="dxa"/>
            <w:vAlign w:val="center"/>
          </w:tcPr>
          <w:p w14:paraId="5A332EB2">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报价表</w:t>
            </w:r>
          </w:p>
        </w:tc>
      </w:tr>
      <w:tr w14:paraId="58852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162" w:type="dxa"/>
            <w:vAlign w:val="center"/>
          </w:tcPr>
          <w:p w14:paraId="46C0CD4A">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3858" w:type="dxa"/>
            <w:vAlign w:val="center"/>
          </w:tcPr>
          <w:p w14:paraId="6D906BD1">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投标总价：</w:t>
            </w:r>
            <w:r>
              <w:rPr>
                <w:rFonts w:hint="eastAsia" w:ascii="宋体" w:hAnsi="宋体" w:cs="宋体"/>
                <w:color w:val="000000" w:themeColor="text1"/>
                <w:sz w:val="24"/>
                <w:highlight w:val="none"/>
                <w:u w:val="single"/>
                <w14:textFill>
                  <w14:solidFill>
                    <w14:schemeClr w14:val="tx1"/>
                  </w14:solidFill>
                </w14:textFill>
              </w:rPr>
              <w:t xml:space="preserve">小写：人民币      元（大写： </w:t>
            </w: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元）</w:t>
            </w:r>
          </w:p>
        </w:tc>
      </w:tr>
      <w:tr w14:paraId="2F886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162" w:type="dxa"/>
            <w:vAlign w:val="center"/>
          </w:tcPr>
          <w:p w14:paraId="07FFB938">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3858" w:type="dxa"/>
            <w:vAlign w:val="center"/>
          </w:tcPr>
          <w:p w14:paraId="787159A1">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在现行浙江省2018预算定额基础上编制预算造价，在此基础上报投标折扣率，投标折扣率为</w:t>
            </w:r>
            <w:r>
              <w:rPr>
                <w:rFonts w:hint="eastAsia" w:ascii="宋体" w:hAnsi="宋体" w:cs="宋体"/>
                <w:color w:val="000000" w:themeColor="text1"/>
                <w:sz w:val="24"/>
                <w:highlight w:val="none"/>
                <w:u w:val="single"/>
                <w14:textFill>
                  <w14:solidFill>
                    <w14:schemeClr w14:val="tx1"/>
                  </w14:solidFill>
                </w14:textFill>
              </w:rPr>
              <w:t xml:space="preserve">      %</w:t>
            </w:r>
          </w:p>
        </w:tc>
      </w:tr>
      <w:tr w14:paraId="19B2C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1162" w:type="dxa"/>
            <w:vAlign w:val="center"/>
          </w:tcPr>
          <w:p w14:paraId="2037A323">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3858" w:type="dxa"/>
            <w:vAlign w:val="center"/>
          </w:tcPr>
          <w:p w14:paraId="117A3E40">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零星计日工投标单价为人民币</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元/工日</w:t>
            </w:r>
          </w:p>
        </w:tc>
      </w:tr>
      <w:tr w14:paraId="28CF0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162" w:type="dxa"/>
            <w:vAlign w:val="center"/>
          </w:tcPr>
          <w:p w14:paraId="7B014C9F">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3858" w:type="dxa"/>
            <w:vAlign w:val="center"/>
          </w:tcPr>
          <w:p w14:paraId="7BE55A88">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项目负责人（姓名）：</w:t>
            </w:r>
            <w:r>
              <w:rPr>
                <w:rFonts w:hint="eastAsia" w:ascii="宋体" w:hAnsi="宋体" w:cs="宋体"/>
                <w:color w:val="000000" w:themeColor="text1"/>
                <w:sz w:val="24"/>
                <w:highlight w:val="none"/>
                <w:u w:val="single"/>
                <w14:textFill>
                  <w14:solidFill>
                    <w14:schemeClr w14:val="tx1"/>
                  </w14:solidFill>
                </w14:textFill>
              </w:rPr>
              <w:t xml:space="preserve"> </w:t>
            </w:r>
            <w:r>
              <w:rPr>
                <w:rFonts w:ascii="宋体" w:hAnsi="宋体" w:cs="宋体"/>
                <w:color w:val="000000" w:themeColor="text1"/>
                <w:sz w:val="24"/>
                <w:highlight w:val="none"/>
                <w:u w:val="single"/>
                <w14:textFill>
                  <w14:solidFill>
                    <w14:schemeClr w14:val="tx1"/>
                  </w14:solidFill>
                </w14:textFill>
              </w:rPr>
              <w:t xml:space="preserve">      </w:t>
            </w: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51D25C6F">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402" w:name="OLE_LINK14"/>
      <w:bookmarkStart w:id="403" w:name="OLE_LINK13"/>
      <w:r>
        <w:rPr>
          <w:rFonts w:hint="eastAsia" w:ascii="宋体" w:hAnsi="宋体" w:cs="宋体"/>
          <w:b/>
          <w:color w:val="auto"/>
          <w:spacing w:val="6"/>
          <w:sz w:val="32"/>
          <w:szCs w:val="32"/>
          <w:highlight w:val="none"/>
        </w:rPr>
        <w:t>残疾人福利性单位声明函</w:t>
      </w:r>
    </w:p>
    <w:bookmarkEnd w:id="402"/>
    <w:bookmarkEnd w:id="403"/>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3AC4C26F">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7F6B1A72">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7492995A">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C65DFE0">
      <w:pPr>
        <w:autoSpaceDE w:val="0"/>
        <w:autoSpaceDN w:val="0"/>
        <w:jc w:val="both"/>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6575625F">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53887FC">
      <w:pPr>
        <w:autoSpaceDE w:val="0"/>
        <w:autoSpaceDN w:val="0"/>
        <w:jc w:val="both"/>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4"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04"/>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5"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5"/>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6"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6"/>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60F6E19D">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EA60D8D">
      <w:pPr>
        <w:snapToGrid w:val="0"/>
        <w:spacing w:line="360" w:lineRule="auto"/>
        <w:jc w:val="left"/>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3D6252EE">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Arial Unicode MS"/>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PMingLiU">
    <w:altName w:val="PMingLiU-ExtB"/>
    <w:panose1 w:val="02020500000000000000"/>
    <w:charset w:val="88"/>
    <w:family w:val="roman"/>
    <w:pitch w:val="default"/>
    <w:sig w:usb0="00000000" w:usb1="00000000"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7" w:name="_Toc164085800"/>
    <w:bookmarkStart w:id="408" w:name="_Toc131845147"/>
    <w:bookmarkStart w:id="409" w:name="_Toc36110187"/>
    <w:bookmarkStart w:id="410" w:name="_Toc91899912"/>
    <w:r>
      <w:rPr>
        <w:rFonts w:hint="eastAsia" w:ascii="仿宋_GB2312" w:eastAsia="仿宋_GB2312"/>
        <w:kern w:val="0"/>
        <w:szCs w:val="21"/>
      </w:rPr>
      <w:t xml:space="preserve"> 页</w:t>
    </w:r>
    <w:bookmarkEnd w:id="407"/>
    <w:bookmarkEnd w:id="408"/>
    <w:bookmarkEnd w:id="409"/>
    <w:bookmarkEnd w:id="41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abstractNum w:abstractNumId="1">
    <w:nsid w:val="42332857"/>
    <w:multiLevelType w:val="singleLevel"/>
    <w:tmpl w:val="42332857"/>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hNGZiMTY1NDZhOTFlODBjNjFjY2IzYzc2ODJlZ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37D9E"/>
    <w:rsid w:val="0D84094E"/>
    <w:rsid w:val="0D8A00E9"/>
    <w:rsid w:val="0D8D589E"/>
    <w:rsid w:val="0DA01C73"/>
    <w:rsid w:val="0DD63300"/>
    <w:rsid w:val="0DF50604"/>
    <w:rsid w:val="0DF702FE"/>
    <w:rsid w:val="0E060E51"/>
    <w:rsid w:val="0E5604B2"/>
    <w:rsid w:val="0E6D5D79"/>
    <w:rsid w:val="0E9D0089"/>
    <w:rsid w:val="0E9D7523"/>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162CD7"/>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BEA2D97"/>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38513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565784"/>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8E3850"/>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7F7420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92ECE"/>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AA4A52"/>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0A194F"/>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66</Pages>
  <Words>19174</Words>
  <Characters>20491</Characters>
  <Lines>281</Lines>
  <Paragraphs>79</Paragraphs>
  <TotalTime>13</TotalTime>
  <ScaleCrop>false</ScaleCrop>
  <LinksUpToDate>false</LinksUpToDate>
  <CharactersWithSpaces>20878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既然青春留不住</cp:lastModifiedBy>
  <cp:lastPrinted>2021-12-28T03:06:00Z</cp:lastPrinted>
  <dcterms:modified xsi:type="dcterms:W3CDTF">2025-03-10T03:51:08Z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ies>
</file>