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181C5">
      <w:pPr>
        <w:adjustRightInd/>
        <w:spacing w:line="360" w:lineRule="auto"/>
        <w:jc w:val="center"/>
        <w:rPr>
          <w:rFonts w:hint="eastAsia" w:ascii="仿宋" w:hAnsi="仿宋" w:eastAsia="仿宋" w:cs="仿宋"/>
          <w:color w:val="auto"/>
          <w:sz w:val="48"/>
          <w:szCs w:val="48"/>
          <w:highlight w:val="none"/>
        </w:rPr>
      </w:pPr>
    </w:p>
    <w:p w14:paraId="5BD5C4C8">
      <w:pPr>
        <w:adjustRightInd/>
        <w:spacing w:line="360" w:lineRule="auto"/>
        <w:jc w:val="center"/>
        <w:rPr>
          <w:rFonts w:hint="eastAsia" w:ascii="仿宋" w:hAnsi="仿宋" w:eastAsia="仿宋" w:cs="仿宋"/>
          <w:color w:val="auto"/>
          <w:sz w:val="48"/>
          <w:szCs w:val="48"/>
          <w:highlight w:val="none"/>
        </w:rPr>
      </w:pPr>
    </w:p>
    <w:p w14:paraId="4A557696">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战鹰**巡逻队服务项目</w:t>
      </w:r>
    </w:p>
    <w:p w14:paraId="7E3716CE">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2060DFBC">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5D59B7CD">
      <w:pPr>
        <w:snapToGrid w:val="0"/>
        <w:spacing w:line="192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编号:FYC02241</w:t>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-44</w:t>
      </w:r>
    </w:p>
    <w:p w14:paraId="114E9234">
      <w:pPr>
        <w:snapToGrid w:val="0"/>
        <w:spacing w:line="360" w:lineRule="auto"/>
        <w:jc w:val="center"/>
        <w:rPr>
          <w:rFonts w:hint="eastAsia" w:ascii="仿宋" w:hAnsi="仿宋" w:eastAsia="仿宋" w:cs="仿宋"/>
          <w:color w:val="auto"/>
          <w:sz w:val="32"/>
          <w:szCs w:val="32"/>
          <w:highlight w:val="none"/>
        </w:rPr>
      </w:pPr>
    </w:p>
    <w:p w14:paraId="461E3F1B">
      <w:pPr>
        <w:snapToGrid w:val="0"/>
        <w:spacing w:line="360" w:lineRule="auto"/>
        <w:jc w:val="center"/>
        <w:rPr>
          <w:rFonts w:hint="eastAsia" w:ascii="仿宋" w:hAnsi="仿宋" w:eastAsia="仿宋" w:cs="仿宋"/>
          <w:color w:val="auto"/>
          <w:sz w:val="32"/>
          <w:szCs w:val="32"/>
          <w:highlight w:val="none"/>
        </w:rPr>
      </w:pPr>
    </w:p>
    <w:p w14:paraId="55145466">
      <w:pPr>
        <w:snapToGrid w:val="0"/>
        <w:spacing w:line="360" w:lineRule="auto"/>
        <w:jc w:val="center"/>
        <w:rPr>
          <w:rFonts w:hint="eastAsia" w:ascii="仿宋" w:hAnsi="仿宋" w:eastAsia="仿宋" w:cs="仿宋"/>
          <w:color w:val="auto"/>
          <w:sz w:val="32"/>
          <w:szCs w:val="32"/>
          <w:highlight w:val="none"/>
        </w:rPr>
      </w:pPr>
    </w:p>
    <w:p w14:paraId="18A8CFF1">
      <w:pPr>
        <w:snapToGrid w:val="0"/>
        <w:spacing w:line="360" w:lineRule="auto"/>
        <w:jc w:val="center"/>
        <w:rPr>
          <w:rFonts w:hint="eastAsia" w:ascii="仿宋" w:hAnsi="仿宋" w:eastAsia="仿宋" w:cs="仿宋"/>
          <w:color w:val="auto"/>
          <w:sz w:val="32"/>
          <w:szCs w:val="32"/>
          <w:highlight w:val="none"/>
        </w:rPr>
      </w:pPr>
    </w:p>
    <w:p w14:paraId="29EAC6BA">
      <w:pPr>
        <w:snapToGrid w:val="0"/>
        <w:spacing w:line="360" w:lineRule="auto"/>
        <w:jc w:val="center"/>
        <w:rPr>
          <w:rFonts w:hint="eastAsia" w:ascii="仿宋" w:hAnsi="仿宋" w:eastAsia="仿宋" w:cs="仿宋"/>
          <w:color w:val="auto"/>
          <w:sz w:val="32"/>
          <w:szCs w:val="32"/>
          <w:highlight w:val="none"/>
        </w:rPr>
      </w:pPr>
    </w:p>
    <w:p w14:paraId="317E2F9E">
      <w:pPr>
        <w:snapToGrid w:val="0"/>
        <w:spacing w:line="360" w:lineRule="auto"/>
        <w:jc w:val="center"/>
        <w:rPr>
          <w:rFonts w:hint="eastAsia" w:ascii="仿宋" w:hAnsi="仿宋" w:eastAsia="仿宋" w:cs="仿宋"/>
          <w:color w:val="auto"/>
          <w:sz w:val="32"/>
          <w:szCs w:val="32"/>
          <w:highlight w:val="none"/>
        </w:rPr>
      </w:pPr>
    </w:p>
    <w:p w14:paraId="156EB3E7">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杭州东站枢纽管理委员会</w:t>
      </w:r>
    </w:p>
    <w:p w14:paraId="19F9E9A4">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浙江泛亚工程咨询有限公司</w:t>
      </w:r>
    </w:p>
    <w:p w14:paraId="67B9010C">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二〇二四年十</w:t>
      </w:r>
      <w:r>
        <w:rPr>
          <w:rFonts w:hint="eastAsia" w:ascii="仿宋" w:hAnsi="仿宋" w:eastAsia="仿宋" w:cs="仿宋"/>
          <w:bCs/>
          <w:color w:val="auto"/>
          <w:sz w:val="32"/>
          <w:szCs w:val="32"/>
          <w:highlight w:val="none"/>
          <w:lang w:val="en-US" w:eastAsia="zh-CN"/>
        </w:rPr>
        <w:t>二</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十九</w:t>
      </w:r>
      <w:r>
        <w:rPr>
          <w:rFonts w:hint="eastAsia" w:ascii="仿宋" w:hAnsi="仿宋" w:eastAsia="仿宋" w:cs="仿宋"/>
          <w:bCs/>
          <w:color w:val="auto"/>
          <w:sz w:val="32"/>
          <w:szCs w:val="32"/>
          <w:highlight w:val="none"/>
        </w:rPr>
        <w:t>日</w:t>
      </w:r>
      <w:bookmarkStart w:id="0" w:name="_Hlt67893495"/>
      <w:bookmarkEnd w:id="0"/>
    </w:p>
    <w:p w14:paraId="424402A0">
      <w:pPr>
        <w:spacing w:line="360" w:lineRule="auto"/>
        <w:jc w:val="center"/>
        <w:rPr>
          <w:rFonts w:hint="eastAsia" w:ascii="仿宋" w:hAnsi="仿宋" w:eastAsia="仿宋" w:cs="仿宋"/>
          <w:b/>
          <w:color w:val="auto"/>
          <w:sz w:val="48"/>
          <w:szCs w:val="48"/>
          <w:highlight w:val="none"/>
        </w:rPr>
        <w:sectPr>
          <w:headerReference r:id="rId4" w:type="first"/>
          <w:footerReference r:id="rId6" w:type="first"/>
          <w:headerReference r:id="rId3" w:type="default"/>
          <w:footerReference r:id="rId5" w:type="even"/>
          <w:pgSz w:w="11906" w:h="16838"/>
          <w:pgMar w:top="680" w:right="1418" w:bottom="468" w:left="1418" w:header="851" w:footer="992" w:gutter="0"/>
          <w:cols w:space="720" w:num="1"/>
          <w:docGrid w:linePitch="312" w:charSpace="0"/>
        </w:sectPr>
      </w:pPr>
    </w:p>
    <w:p w14:paraId="695E8B0C">
      <w:pPr>
        <w:spacing w:line="60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pacing w:val="484"/>
          <w:kern w:val="0"/>
          <w:sz w:val="48"/>
          <w:szCs w:val="48"/>
          <w:highlight w:val="none"/>
          <w:fitText w:val="1928" w:id="-982755328"/>
        </w:rPr>
        <w:t>目</w:t>
      </w:r>
      <w:r>
        <w:rPr>
          <w:rFonts w:hint="eastAsia" w:ascii="仿宋" w:hAnsi="仿宋" w:eastAsia="仿宋" w:cs="仿宋"/>
          <w:b/>
          <w:color w:val="auto"/>
          <w:spacing w:val="0"/>
          <w:kern w:val="0"/>
          <w:sz w:val="48"/>
          <w:szCs w:val="48"/>
          <w:highlight w:val="none"/>
          <w:fitText w:val="1928" w:id="-982755328"/>
        </w:rPr>
        <w:t>录</w:t>
      </w:r>
    </w:p>
    <w:p w14:paraId="0236967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w:t>
      </w:r>
      <w:r>
        <w:rPr>
          <w:rFonts w:hint="eastAsia" w:ascii="仿宋" w:hAnsi="仿宋" w:eastAsia="仿宋" w:cs="仿宋"/>
          <w:color w:val="auto"/>
          <w:spacing w:val="320"/>
          <w:kern w:val="0"/>
          <w:sz w:val="32"/>
          <w:szCs w:val="32"/>
          <w:highlight w:val="none"/>
          <w:fitText w:val="1280" w:id="-982755067"/>
        </w:rPr>
        <w:t>分</w:t>
      </w:r>
      <w:r>
        <w:rPr>
          <w:rFonts w:hint="eastAsia" w:ascii="仿宋" w:hAnsi="仿宋" w:eastAsia="仿宋" w:cs="仿宋"/>
          <w:color w:val="auto"/>
          <w:spacing w:val="0"/>
          <w:kern w:val="0"/>
          <w:sz w:val="32"/>
          <w:szCs w:val="32"/>
          <w:highlight w:val="none"/>
          <w:fitText w:val="1280" w:id="-982755067"/>
        </w:rPr>
        <w:t>招</w:t>
      </w:r>
      <w:r>
        <w:rPr>
          <w:rFonts w:hint="eastAsia" w:ascii="仿宋" w:hAnsi="仿宋" w:eastAsia="仿宋" w:cs="仿宋"/>
          <w:color w:val="auto"/>
          <w:sz w:val="32"/>
          <w:szCs w:val="32"/>
          <w:highlight w:val="none"/>
        </w:rPr>
        <w:t>标公告</w:t>
      </w:r>
    </w:p>
    <w:p w14:paraId="254ECCB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w:t>
      </w:r>
      <w:r>
        <w:rPr>
          <w:rFonts w:hint="eastAsia" w:ascii="仿宋" w:hAnsi="仿宋" w:eastAsia="仿宋" w:cs="仿宋"/>
          <w:color w:val="auto"/>
          <w:spacing w:val="320"/>
          <w:kern w:val="0"/>
          <w:sz w:val="32"/>
          <w:szCs w:val="32"/>
          <w:highlight w:val="none"/>
          <w:fitText w:val="1280" w:id="-982755068"/>
        </w:rPr>
        <w:t>分</w:t>
      </w:r>
      <w:r>
        <w:rPr>
          <w:rFonts w:hint="eastAsia" w:ascii="仿宋" w:hAnsi="仿宋" w:eastAsia="仿宋" w:cs="仿宋"/>
          <w:color w:val="auto"/>
          <w:spacing w:val="0"/>
          <w:kern w:val="0"/>
          <w:sz w:val="32"/>
          <w:szCs w:val="32"/>
          <w:highlight w:val="none"/>
          <w:fitText w:val="1280" w:id="-982755068"/>
        </w:rPr>
        <w:t>投</w:t>
      </w:r>
      <w:r>
        <w:rPr>
          <w:rFonts w:hint="eastAsia" w:ascii="仿宋" w:hAnsi="仿宋" w:eastAsia="仿宋" w:cs="仿宋"/>
          <w:color w:val="auto"/>
          <w:sz w:val="32"/>
          <w:szCs w:val="32"/>
          <w:highlight w:val="none"/>
        </w:rPr>
        <w:t>标人须知</w:t>
      </w:r>
    </w:p>
    <w:p w14:paraId="2235B97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w:t>
      </w:r>
      <w:r>
        <w:rPr>
          <w:rFonts w:hint="eastAsia" w:ascii="仿宋" w:hAnsi="仿宋" w:eastAsia="仿宋" w:cs="仿宋"/>
          <w:color w:val="auto"/>
          <w:spacing w:val="320"/>
          <w:kern w:val="0"/>
          <w:sz w:val="32"/>
          <w:szCs w:val="32"/>
          <w:highlight w:val="none"/>
          <w:fitText w:val="1280" w:id="-982755069"/>
        </w:rPr>
        <w:t>分</w:t>
      </w:r>
      <w:r>
        <w:rPr>
          <w:rFonts w:hint="eastAsia" w:ascii="仿宋" w:hAnsi="仿宋" w:eastAsia="仿宋" w:cs="仿宋"/>
          <w:color w:val="auto"/>
          <w:spacing w:val="0"/>
          <w:kern w:val="0"/>
          <w:sz w:val="32"/>
          <w:szCs w:val="32"/>
          <w:highlight w:val="none"/>
          <w:fitText w:val="1280" w:id="-982755069"/>
        </w:rPr>
        <w:t>采</w:t>
      </w:r>
      <w:r>
        <w:rPr>
          <w:rFonts w:hint="eastAsia" w:ascii="仿宋" w:hAnsi="仿宋" w:eastAsia="仿宋" w:cs="仿宋"/>
          <w:color w:val="auto"/>
          <w:sz w:val="32"/>
          <w:szCs w:val="32"/>
          <w:highlight w:val="none"/>
        </w:rPr>
        <w:t>购需求</w:t>
      </w:r>
    </w:p>
    <w:p w14:paraId="7E6101B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w:t>
      </w:r>
      <w:r>
        <w:rPr>
          <w:rFonts w:hint="eastAsia" w:ascii="仿宋" w:hAnsi="仿宋" w:eastAsia="仿宋" w:cs="仿宋"/>
          <w:color w:val="auto"/>
          <w:spacing w:val="320"/>
          <w:kern w:val="0"/>
          <w:sz w:val="32"/>
          <w:szCs w:val="32"/>
          <w:highlight w:val="none"/>
          <w:fitText w:val="1280" w:id="-982755070"/>
        </w:rPr>
        <w:t>分</w:t>
      </w:r>
      <w:r>
        <w:rPr>
          <w:rFonts w:hint="eastAsia" w:ascii="仿宋" w:hAnsi="仿宋" w:eastAsia="仿宋" w:cs="仿宋"/>
          <w:color w:val="auto"/>
          <w:spacing w:val="0"/>
          <w:kern w:val="0"/>
          <w:sz w:val="32"/>
          <w:szCs w:val="32"/>
          <w:highlight w:val="none"/>
          <w:fitText w:val="1280" w:id="-982755070"/>
        </w:rPr>
        <w:t>评</w:t>
      </w:r>
      <w:r>
        <w:rPr>
          <w:rFonts w:hint="eastAsia" w:ascii="仿宋" w:hAnsi="仿宋" w:eastAsia="仿宋" w:cs="仿宋"/>
          <w:color w:val="auto"/>
          <w:sz w:val="32"/>
          <w:szCs w:val="32"/>
          <w:highlight w:val="none"/>
        </w:rPr>
        <w:t>标办法</w:t>
      </w:r>
    </w:p>
    <w:p w14:paraId="377716B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w:t>
      </w:r>
      <w:r>
        <w:rPr>
          <w:rFonts w:hint="eastAsia" w:ascii="仿宋" w:hAnsi="仿宋" w:eastAsia="仿宋" w:cs="仿宋"/>
          <w:color w:val="auto"/>
          <w:spacing w:val="320"/>
          <w:kern w:val="0"/>
          <w:sz w:val="32"/>
          <w:szCs w:val="32"/>
          <w:highlight w:val="none"/>
          <w:fitText w:val="1280" w:id="-982755071"/>
        </w:rPr>
        <w:t>分</w:t>
      </w:r>
      <w:r>
        <w:rPr>
          <w:rFonts w:hint="eastAsia" w:ascii="仿宋" w:hAnsi="仿宋" w:eastAsia="仿宋" w:cs="仿宋"/>
          <w:color w:val="auto"/>
          <w:spacing w:val="0"/>
          <w:kern w:val="0"/>
          <w:sz w:val="32"/>
          <w:szCs w:val="32"/>
          <w:highlight w:val="none"/>
          <w:fitText w:val="1280" w:id="-982755071"/>
        </w:rPr>
        <w:t>拟</w:t>
      </w:r>
      <w:r>
        <w:rPr>
          <w:rFonts w:hint="eastAsia" w:ascii="仿宋" w:hAnsi="仿宋" w:eastAsia="仿宋" w:cs="仿宋"/>
          <w:color w:val="auto"/>
          <w:sz w:val="32"/>
          <w:szCs w:val="32"/>
          <w:highlight w:val="none"/>
        </w:rPr>
        <w:t>签订的合同文本</w:t>
      </w:r>
    </w:p>
    <w:p w14:paraId="6FC584D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w:t>
      </w:r>
      <w:r>
        <w:rPr>
          <w:rFonts w:hint="eastAsia" w:ascii="仿宋" w:hAnsi="仿宋" w:eastAsia="仿宋" w:cs="仿宋"/>
          <w:color w:val="auto"/>
          <w:spacing w:val="320"/>
          <w:kern w:val="0"/>
          <w:sz w:val="32"/>
          <w:szCs w:val="32"/>
          <w:highlight w:val="none"/>
          <w:fitText w:val="1280" w:id="-982755072"/>
        </w:rPr>
        <w:t>分</w:t>
      </w:r>
      <w:r>
        <w:rPr>
          <w:rFonts w:hint="eastAsia" w:ascii="仿宋" w:hAnsi="仿宋" w:eastAsia="仿宋" w:cs="仿宋"/>
          <w:color w:val="auto"/>
          <w:spacing w:val="0"/>
          <w:kern w:val="0"/>
          <w:sz w:val="32"/>
          <w:szCs w:val="32"/>
          <w:highlight w:val="none"/>
          <w:fitText w:val="1280" w:id="-982755072"/>
        </w:rPr>
        <w:t>应</w:t>
      </w:r>
      <w:r>
        <w:rPr>
          <w:rFonts w:hint="eastAsia" w:ascii="仿宋" w:hAnsi="仿宋" w:eastAsia="仿宋" w:cs="仿宋"/>
          <w:color w:val="auto"/>
          <w:sz w:val="32"/>
          <w:szCs w:val="32"/>
          <w:highlight w:val="none"/>
        </w:rPr>
        <w:t>提交的有关格式范例</w:t>
      </w:r>
      <w:bookmarkStart w:id="1" w:name="_Hlt91233176"/>
      <w:bookmarkEnd w:id="1"/>
      <w:bookmarkStart w:id="2" w:name="_Toc91899869"/>
    </w:p>
    <w:bookmarkEnd w:id="2"/>
    <w:p w14:paraId="4C15BF58">
      <w:pPr>
        <w:adjustRightInd/>
        <w:spacing w:line="360" w:lineRule="auto"/>
        <w:jc w:val="center"/>
        <w:outlineLvl w:val="0"/>
        <w:rPr>
          <w:rFonts w:hint="eastAsia" w:ascii="仿宋" w:hAnsi="仿宋" w:eastAsia="仿宋" w:cs="仿宋"/>
          <w:b/>
          <w:color w:val="auto"/>
          <w:sz w:val="36"/>
          <w:szCs w:val="20"/>
          <w:highlight w:val="none"/>
        </w:rPr>
        <w:sectPr>
          <w:footerReference r:id="rId8" w:type="first"/>
          <w:footerReference r:id="rId7" w:type="default"/>
          <w:pgSz w:w="11906" w:h="16838"/>
          <w:pgMar w:top="680" w:right="1418" w:bottom="468" w:left="1418" w:header="851" w:footer="992" w:gutter="0"/>
          <w:pgNumType w:start="1"/>
          <w:cols w:space="720" w:num="1"/>
          <w:titlePg/>
          <w:docGrid w:linePitch="312" w:charSpace="0"/>
        </w:sectPr>
      </w:pPr>
      <w:bookmarkStart w:id="3" w:name="_Hlt74728647"/>
      <w:bookmarkEnd w:id="3"/>
      <w:bookmarkStart w:id="4" w:name="_Hlt74707423"/>
      <w:bookmarkEnd w:id="4"/>
      <w:bookmarkStart w:id="5" w:name="_Hlt74649545"/>
      <w:bookmarkEnd w:id="5"/>
      <w:bookmarkStart w:id="6" w:name="_Hlt74729822"/>
      <w:bookmarkEnd w:id="6"/>
      <w:bookmarkStart w:id="7" w:name="_Toc91899870"/>
      <w:bookmarkStart w:id="8" w:name="_Toc91899871"/>
    </w:p>
    <w:p w14:paraId="6BDCDD69">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 xml:space="preserve">第一部分 </w:t>
      </w:r>
      <w:r>
        <w:rPr>
          <w:rFonts w:ascii="仿宋" w:hAnsi="仿宋" w:eastAsia="仿宋" w:cs="仿宋"/>
          <w:b/>
          <w:color w:val="auto"/>
          <w:sz w:val="36"/>
          <w:szCs w:val="20"/>
          <w:highlight w:val="none"/>
        </w:rPr>
        <w:t xml:space="preserve"> </w:t>
      </w:r>
      <w:r>
        <w:rPr>
          <w:rFonts w:hint="eastAsia" w:ascii="仿宋" w:hAnsi="仿宋" w:eastAsia="仿宋" w:cs="仿宋"/>
          <w:b/>
          <w:color w:val="auto"/>
          <w:sz w:val="36"/>
          <w:szCs w:val="20"/>
          <w:highlight w:val="none"/>
        </w:rPr>
        <w:t>招标公告</w:t>
      </w:r>
    </w:p>
    <w:p w14:paraId="0C0B5E7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5A8F37B7">
      <w:pPr>
        <w:pBdr>
          <w:top w:val="single" w:color="auto" w:sz="4" w:space="1"/>
          <w:left w:val="single" w:color="auto" w:sz="4" w:space="4"/>
          <w:bottom w:val="single" w:color="auto" w:sz="4" w:space="1"/>
          <w:right w:val="single" w:color="auto" w:sz="4" w:space="4"/>
        </w:pBdr>
        <w:spacing w:line="3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战鹰**巡逻队服务项目</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w:t>
      </w:r>
      <w:r>
        <w:rPr>
          <w:rStyle w:val="76"/>
          <w:rFonts w:hint="eastAsia" w:ascii="仿宋" w:hAnsi="仿宋" w:eastAsia="仿宋" w:cs="仿宋"/>
          <w:snapToGrid/>
          <w:color w:val="auto"/>
          <w:kern w:val="2"/>
          <w:sz w:val="24"/>
          <w:szCs w:val="24"/>
          <w:highlight w:val="none"/>
          <w:lang w:val="en-US" w:eastAsia="zh-CN"/>
        </w:rPr>
        <w:t>5</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01</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09</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14</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30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7B6052F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5873B9DE">
      <w:pPr>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项目编号：FYC022411-44</w:t>
      </w:r>
    </w:p>
    <w:p w14:paraId="26422D33">
      <w:pPr>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项目名称：战鹰**巡逻队服务项目</w:t>
      </w:r>
    </w:p>
    <w:p w14:paraId="36ACC079">
      <w:pPr>
        <w:spacing w:line="360" w:lineRule="auto"/>
        <w:ind w:firstLine="48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bCs/>
          <w:color w:val="auto"/>
          <w:sz w:val="24"/>
          <w:highlight w:val="none"/>
        </w:rPr>
        <w:t>2840000.00（142万元/年）</w:t>
      </w:r>
    </w:p>
    <w:p w14:paraId="69DA1941">
      <w:pPr>
        <w:spacing w:line="360" w:lineRule="auto"/>
        <w:ind w:firstLine="48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Cs/>
          <w:color w:val="auto"/>
          <w:sz w:val="24"/>
          <w:highlight w:val="none"/>
        </w:rPr>
        <w:t>2840000.00（142万元/年）</w:t>
      </w:r>
    </w:p>
    <w:p w14:paraId="6D8A8B1B">
      <w:pPr>
        <w:pStyle w:val="5"/>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rPr>
        <w:t>战鹰**巡逻队服务项目主要内容：</w:t>
      </w:r>
      <w:r>
        <w:rPr>
          <w:rFonts w:hint="eastAsia" w:ascii="仿宋" w:hAnsi="仿宋" w:eastAsia="仿宋" w:cs="仿宋"/>
          <w:bCs/>
          <w:color w:val="auto"/>
          <w:sz w:val="24"/>
          <w:highlight w:val="none"/>
        </w:rPr>
        <w:t>根据杭州东站、城站日常**、维稳等突发应急事件处置相关工作需要，在规定工作时间内，协助公安等部门在杭州东站开展巡逻值勤、**防暴等安保工作，特殊时期需在城站协助公安开展**防暴等相关安保工作</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w:t>
      </w:r>
    </w:p>
    <w:p w14:paraId="6E851794">
      <w:pPr>
        <w:spacing w:line="360" w:lineRule="auto"/>
        <w:ind w:firstLine="48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合同履约期限：</w:t>
      </w:r>
      <w:r>
        <w:rPr>
          <w:rFonts w:hint="eastAsia" w:ascii="仿宋" w:hAnsi="仿宋" w:eastAsia="仿宋" w:cs="仿宋"/>
          <w:bCs/>
          <w:color w:val="auto"/>
          <w:sz w:val="24"/>
          <w:highlight w:val="none"/>
        </w:rPr>
        <w:t>两年，具体以招标文件第三部分采购需求为准。</w:t>
      </w:r>
    </w:p>
    <w:p w14:paraId="647AE2D4">
      <w:pPr>
        <w:pStyle w:val="5"/>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44183695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59162419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30869FD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46889FBB">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FF19F90">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2.以联合体形式投标的，提供联合协议(本项目不接受联合体投标或者投标人不以联合体形式投标的，则不需要提供)；</w:t>
      </w:r>
    </w:p>
    <w:p w14:paraId="5B4A9EB0">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58D4A0C2">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4A33D0DC">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3368540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sz w:val="24"/>
          <w:highlight w:val="none"/>
        </w:rPr>
        <w:t>服务全部由符合政策要求的中小企业承接，提供中小企业声明函；</w:t>
      </w:r>
    </w:p>
    <w:p w14:paraId="080B72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4.本项目的特定资格要求：无；</w:t>
      </w:r>
    </w:p>
    <w:p w14:paraId="49DB5F0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B2CB27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三、获取招标文件</w:t>
      </w:r>
    </w:p>
    <w:p w14:paraId="069BA99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，每天上午00:00至12:00，下午12:00至23:59（北京时间，线上获取法定节假日均可，线下获取文件法定节假日除外）</w:t>
      </w:r>
    </w:p>
    <w:p w14:paraId="292C950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政采云平台（https://www.zcygov.cn/）</w:t>
      </w:r>
    </w:p>
    <w:p w14:paraId="3D5ACBD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供应商登录政采云平台https://www.zcygov.cn/在线申请获取采购文件（进入“项目采购”应用，在获取采购文件菜单中选择项目，申请获取采购文件）。</w:t>
      </w:r>
    </w:p>
    <w:p w14:paraId="4852AE9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0</w:t>
      </w:r>
    </w:p>
    <w:p w14:paraId="0F59461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6CF7845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点30分00秒</w:t>
      </w:r>
      <w:r>
        <w:rPr>
          <w:rFonts w:hint="eastAsia" w:ascii="仿宋" w:hAnsi="仿宋" w:eastAsia="仿宋" w:cs="仿宋"/>
          <w:color w:val="auto"/>
          <w:sz w:val="24"/>
          <w:highlight w:val="none"/>
        </w:rPr>
        <w:t>（北京时间）</w:t>
      </w:r>
    </w:p>
    <w:p w14:paraId="4E24E171">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0F0A193F">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点30分00秒</w:t>
      </w:r>
    </w:p>
    <w:p w14:paraId="1D6089F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杭州市西湖区天目山路181号天际大厦804会议室/政采云平台（https://www.zcygov.cn/）</w:t>
      </w:r>
    </w:p>
    <w:p w14:paraId="7174219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五、采购意向公开链接</w:t>
      </w:r>
    </w:p>
    <w:p w14:paraId="3BB98B3E">
      <w:pPr>
        <w:spacing w:line="360" w:lineRule="auto"/>
        <w:ind w:firstLine="42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https://zfcg.czt.zj.gov.cn/site/detail?categoryCode=ZcyAnnouncement&amp;parentId=600007&amp;articleId=/0lnFoHBJtFowS6doFlEcQ==</w:t>
      </w:r>
    </w:p>
    <w:p w14:paraId="4EEFC656">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六、公告期限</w:t>
      </w:r>
    </w:p>
    <w:p w14:paraId="7CF417B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6121806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25C7719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056B78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AF58FF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2603F7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5ED51A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14:paraId="2A807CED">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1.采购人信息</w:t>
      </w:r>
    </w:p>
    <w:p w14:paraId="67DD5F32">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82738682"/>
        </w:rPr>
        <w:t>名</w:t>
      </w:r>
      <w:r>
        <w:rPr>
          <w:rFonts w:hint="eastAsia" w:ascii="仿宋" w:hAnsi="仿宋" w:eastAsia="仿宋" w:cs="仿宋"/>
          <w:color w:val="auto"/>
          <w:spacing w:val="0"/>
          <w:kern w:val="0"/>
          <w:sz w:val="24"/>
          <w:highlight w:val="none"/>
          <w:fitText w:val="960" w:id="-982738682"/>
        </w:rPr>
        <w:t>称</w:t>
      </w:r>
      <w:r>
        <w:rPr>
          <w:rFonts w:hint="eastAsia" w:ascii="仿宋" w:hAnsi="仿宋" w:eastAsia="仿宋" w:cs="仿宋"/>
          <w:color w:val="auto"/>
          <w:sz w:val="24"/>
          <w:highlight w:val="none"/>
        </w:rPr>
        <w:t>：杭州东站枢纽管理委员会</w:t>
      </w:r>
    </w:p>
    <w:p w14:paraId="480D9EFB">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82738683"/>
        </w:rPr>
        <w:t>地</w:t>
      </w:r>
      <w:r>
        <w:rPr>
          <w:rFonts w:hint="eastAsia" w:ascii="仿宋" w:hAnsi="仿宋" w:eastAsia="仿宋" w:cs="仿宋"/>
          <w:color w:val="auto"/>
          <w:spacing w:val="0"/>
          <w:kern w:val="0"/>
          <w:sz w:val="24"/>
          <w:highlight w:val="none"/>
          <w:fitText w:val="960" w:id="-982738683"/>
        </w:rPr>
        <w:t>址</w:t>
      </w:r>
      <w:r>
        <w:rPr>
          <w:rFonts w:hint="eastAsia" w:ascii="仿宋" w:hAnsi="仿宋" w:eastAsia="仿宋" w:cs="仿宋"/>
          <w:color w:val="auto"/>
          <w:sz w:val="24"/>
          <w:highlight w:val="none"/>
        </w:rPr>
        <w:t>：杭州市上城区环站北路999号</w:t>
      </w:r>
    </w:p>
    <w:p w14:paraId="42655AC7">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82738684"/>
        </w:rPr>
        <w:t>传</w:t>
      </w:r>
      <w:r>
        <w:rPr>
          <w:rFonts w:hint="eastAsia" w:ascii="仿宋" w:hAnsi="仿宋" w:eastAsia="仿宋" w:cs="仿宋"/>
          <w:color w:val="auto"/>
          <w:spacing w:val="0"/>
          <w:kern w:val="0"/>
          <w:sz w:val="24"/>
          <w:highlight w:val="none"/>
          <w:fitText w:val="960" w:id="-982738684"/>
        </w:rPr>
        <w:t>真</w:t>
      </w:r>
      <w:r>
        <w:rPr>
          <w:rFonts w:hint="eastAsia" w:ascii="仿宋" w:hAnsi="仿宋" w:eastAsia="仿宋" w:cs="仿宋"/>
          <w:color w:val="auto"/>
          <w:sz w:val="24"/>
          <w:highlight w:val="none"/>
        </w:rPr>
        <w:t>：/</w:t>
      </w:r>
    </w:p>
    <w:p w14:paraId="69A3E3C0">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项目联系人（询问）：彭工</w:t>
      </w:r>
    </w:p>
    <w:p w14:paraId="57D0E77B">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项目联系方式（询问）：0571-89502907</w:t>
      </w:r>
      <w:bookmarkStart w:id="524" w:name="_GoBack"/>
      <w:bookmarkEnd w:id="524"/>
    </w:p>
    <w:p w14:paraId="52BAB21F">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质疑联系人：章工</w:t>
      </w:r>
    </w:p>
    <w:p w14:paraId="5B9660B0">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w:t>
      </w:r>
      <w:r>
        <w:rPr>
          <w:rFonts w:hint="eastAsia" w:ascii="仿宋" w:hAnsi="仿宋" w:eastAsia="仿宋" w:cs="仿宋"/>
          <w:color w:val="auto"/>
          <w:sz w:val="24"/>
          <w:highlight w:val="none"/>
          <w:lang w:val="en-US" w:eastAsia="zh-CN"/>
        </w:rPr>
        <w:t>89502899</w:t>
      </w:r>
      <w:r>
        <w:rPr>
          <w:rFonts w:hint="eastAsia" w:ascii="仿宋" w:hAnsi="仿宋" w:eastAsia="仿宋" w:cs="仿宋"/>
          <w:color w:val="auto"/>
          <w:sz w:val="24"/>
          <w:highlight w:val="none"/>
        </w:rPr>
        <w:t>（请通过以下路径在线提起质疑：政采云-项目采购-询问质疑投诉-质疑列表）</w:t>
      </w:r>
    </w:p>
    <w:p w14:paraId="1BE96BDA">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2.采购代理机构信息</w:t>
      </w:r>
    </w:p>
    <w:p w14:paraId="243C93A1">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82738681"/>
        </w:rPr>
        <w:t>名</w:t>
      </w:r>
      <w:r>
        <w:rPr>
          <w:rFonts w:hint="eastAsia" w:ascii="仿宋" w:hAnsi="仿宋" w:eastAsia="仿宋" w:cs="仿宋"/>
          <w:color w:val="auto"/>
          <w:spacing w:val="0"/>
          <w:kern w:val="0"/>
          <w:sz w:val="24"/>
          <w:highlight w:val="none"/>
          <w:fitText w:val="960" w:id="-982738681"/>
        </w:rPr>
        <w:t>称</w:t>
      </w:r>
      <w:r>
        <w:rPr>
          <w:rFonts w:hint="eastAsia" w:ascii="仿宋" w:hAnsi="仿宋" w:eastAsia="仿宋" w:cs="仿宋"/>
          <w:color w:val="auto"/>
          <w:sz w:val="24"/>
          <w:highlight w:val="none"/>
        </w:rPr>
        <w:t>：浙江泛亚工程咨询有限公司</w:t>
      </w:r>
    </w:p>
    <w:p w14:paraId="17D37AD5">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82738687"/>
        </w:rPr>
        <w:t>地</w:t>
      </w:r>
      <w:r>
        <w:rPr>
          <w:rFonts w:hint="eastAsia" w:ascii="仿宋" w:hAnsi="仿宋" w:eastAsia="仿宋" w:cs="仿宋"/>
          <w:color w:val="auto"/>
          <w:spacing w:val="0"/>
          <w:kern w:val="0"/>
          <w:sz w:val="24"/>
          <w:highlight w:val="none"/>
          <w:fitText w:val="960" w:id="-982738687"/>
        </w:rPr>
        <w:t>址</w:t>
      </w:r>
      <w:r>
        <w:rPr>
          <w:rFonts w:hint="eastAsia" w:ascii="仿宋" w:hAnsi="仿宋" w:eastAsia="仿宋" w:cs="仿宋"/>
          <w:color w:val="auto"/>
          <w:sz w:val="24"/>
          <w:highlight w:val="none"/>
        </w:rPr>
        <w:t>：杭州市西湖区天目山路181号天际大厦803室</w:t>
      </w:r>
    </w:p>
    <w:p w14:paraId="7F1C6268">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82738688"/>
        </w:rPr>
        <w:t>传</w:t>
      </w:r>
      <w:r>
        <w:rPr>
          <w:rFonts w:hint="eastAsia" w:ascii="仿宋" w:hAnsi="仿宋" w:eastAsia="仿宋" w:cs="仿宋"/>
          <w:color w:val="auto"/>
          <w:spacing w:val="0"/>
          <w:kern w:val="0"/>
          <w:sz w:val="24"/>
          <w:highlight w:val="none"/>
          <w:fitText w:val="960" w:id="-982738688"/>
        </w:rPr>
        <w:t>真</w:t>
      </w:r>
      <w:r>
        <w:rPr>
          <w:rFonts w:hint="eastAsia" w:ascii="仿宋" w:hAnsi="仿宋" w:eastAsia="仿宋" w:cs="仿宋"/>
          <w:color w:val="auto"/>
          <w:sz w:val="24"/>
          <w:highlight w:val="none"/>
        </w:rPr>
        <w:t>：/</w:t>
      </w:r>
    </w:p>
    <w:p w14:paraId="5DE28FA4">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项目联系人（询问）：黄工</w:t>
      </w:r>
    </w:p>
    <w:p w14:paraId="441180E0">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项目联系方式（询问）：19858153552</w:t>
      </w:r>
    </w:p>
    <w:p w14:paraId="75A373F2">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质疑联系人：童工</w:t>
      </w:r>
    </w:p>
    <w:p w14:paraId="2FBF7A8B">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质疑联系方式：18329110338（请通过以下路径在线提起质疑：政采云-项目采购-询问质疑投诉-质疑列表）</w:t>
      </w:r>
    </w:p>
    <w:p w14:paraId="586225D4">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3.同级政府采购监督管理部门</w:t>
      </w:r>
    </w:p>
    <w:p w14:paraId="765C1250">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82738678"/>
        </w:rPr>
        <w:t>名</w:t>
      </w:r>
      <w:r>
        <w:rPr>
          <w:rFonts w:hint="eastAsia" w:ascii="仿宋" w:hAnsi="仿宋" w:eastAsia="仿宋" w:cs="仿宋"/>
          <w:color w:val="auto"/>
          <w:spacing w:val="0"/>
          <w:kern w:val="0"/>
          <w:sz w:val="24"/>
          <w:highlight w:val="none"/>
          <w:fitText w:val="960" w:id="-982738678"/>
        </w:rPr>
        <w:t>称</w:t>
      </w:r>
      <w:r>
        <w:rPr>
          <w:rFonts w:hint="eastAsia" w:ascii="仿宋" w:hAnsi="仿宋" w:eastAsia="仿宋" w:cs="仿宋"/>
          <w:color w:val="auto"/>
          <w:sz w:val="24"/>
          <w:highlight w:val="none"/>
        </w:rPr>
        <w:t>：杭州市上城区财政局/浙江省政府采购行政裁决服务中心（杭州）</w:t>
      </w:r>
    </w:p>
    <w:p w14:paraId="59DBED8D">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pacing w:val="240"/>
          <w:kern w:val="0"/>
          <w:sz w:val="24"/>
          <w:highlight w:val="none"/>
          <w:fitText w:val="960" w:id="-982738679"/>
        </w:rPr>
        <w:t>地</w:t>
      </w:r>
      <w:r>
        <w:rPr>
          <w:rFonts w:hint="eastAsia" w:ascii="仿宋" w:hAnsi="仿宋" w:eastAsia="仿宋" w:cs="仿宋"/>
          <w:color w:val="auto"/>
          <w:spacing w:val="0"/>
          <w:kern w:val="0"/>
          <w:sz w:val="24"/>
          <w:highlight w:val="none"/>
          <w:fitText w:val="960" w:id="-982738679"/>
        </w:rPr>
        <w:t>址</w:t>
      </w:r>
      <w:r>
        <w:rPr>
          <w:rFonts w:hint="eastAsia" w:ascii="仿宋" w:hAnsi="仿宋" w:eastAsia="仿宋" w:cs="仿宋"/>
          <w:color w:val="auto"/>
          <w:sz w:val="24"/>
          <w:highlight w:val="none"/>
        </w:rPr>
        <w:t>：杭州市上城区清泰街549号城建综合大楼11楼（快递仅限ems或顺丰）</w:t>
      </w:r>
      <w:r>
        <w:rPr>
          <w:rFonts w:hint="eastAsia" w:ascii="仿宋" w:hAnsi="仿宋" w:eastAsia="仿宋" w:cs="仿宋"/>
          <w:color w:val="auto"/>
          <w:spacing w:val="240"/>
          <w:kern w:val="0"/>
          <w:sz w:val="24"/>
          <w:highlight w:val="none"/>
          <w:fitText w:val="960" w:id="-982738680"/>
        </w:rPr>
        <w:t>传</w:t>
      </w:r>
      <w:r>
        <w:rPr>
          <w:rFonts w:hint="eastAsia" w:ascii="仿宋" w:hAnsi="仿宋" w:eastAsia="仿宋" w:cs="仿宋"/>
          <w:color w:val="auto"/>
          <w:spacing w:val="0"/>
          <w:kern w:val="0"/>
          <w:sz w:val="24"/>
          <w:highlight w:val="none"/>
          <w:fitText w:val="960" w:id="-982738680"/>
        </w:rPr>
        <w:t>真</w:t>
      </w:r>
      <w:r>
        <w:rPr>
          <w:rFonts w:hint="eastAsia" w:ascii="仿宋" w:hAnsi="仿宋" w:eastAsia="仿宋" w:cs="仿宋"/>
          <w:color w:val="auto"/>
          <w:sz w:val="24"/>
          <w:highlight w:val="none"/>
        </w:rPr>
        <w:t>：/</w:t>
      </w:r>
    </w:p>
    <w:p w14:paraId="745D62E3">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联系人：朱女士/王女士</w:t>
      </w:r>
    </w:p>
    <w:p w14:paraId="76EDC440">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监督投诉电话：0571-87227671,0571-87800218（仅限投诉事项）</w:t>
      </w:r>
    </w:p>
    <w:p w14:paraId="52CDF4FC">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B39119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w:t>
      </w:r>
      <w:r>
        <w:rPr>
          <w:rFonts w:hint="eastAsia" w:ascii="仿宋" w:hAnsi="仿宋" w:eastAsia="仿宋" w:cs="仿宋"/>
          <w:color w:val="auto"/>
          <w:spacing w:val="240"/>
          <w:kern w:val="0"/>
          <w:sz w:val="24"/>
          <w:highlight w:val="none"/>
          <w:fitText w:val="480" w:id="-982738431"/>
        </w:rPr>
        <w:t>A</w:t>
      </w:r>
      <w:r>
        <w:rPr>
          <w:rFonts w:hint="eastAsia" w:ascii="仿宋" w:hAnsi="仿宋" w:eastAsia="仿宋" w:cs="仿宋"/>
          <w:color w:val="auto"/>
          <w:spacing w:val="0"/>
          <w:kern w:val="0"/>
          <w:sz w:val="24"/>
          <w:highlight w:val="none"/>
          <w:fitText w:val="480" w:id="-982738431"/>
        </w:rPr>
        <w:t>4</w:t>
      </w:r>
      <w:r>
        <w:rPr>
          <w:rFonts w:hint="eastAsia" w:ascii="仿宋" w:hAnsi="仿宋" w:eastAsia="仿宋" w:cs="仿宋"/>
          <w:color w:val="auto"/>
          <w:sz w:val="24"/>
          <w:highlight w:val="none"/>
        </w:rPr>
        <w:t>00-888-4636；天谷C</w:t>
      </w:r>
      <w:r>
        <w:rPr>
          <w:rFonts w:hint="eastAsia" w:ascii="仿宋" w:hAnsi="仿宋" w:eastAsia="仿宋" w:cs="仿宋"/>
          <w:color w:val="auto"/>
          <w:spacing w:val="240"/>
          <w:kern w:val="0"/>
          <w:sz w:val="24"/>
          <w:highlight w:val="none"/>
          <w:fitText w:val="480" w:id="-982738432"/>
        </w:rPr>
        <w:t>A</w:t>
      </w:r>
      <w:r>
        <w:rPr>
          <w:rFonts w:hint="eastAsia" w:ascii="仿宋" w:hAnsi="仿宋" w:eastAsia="仿宋" w:cs="仿宋"/>
          <w:color w:val="auto"/>
          <w:spacing w:val="0"/>
          <w:kern w:val="0"/>
          <w:sz w:val="24"/>
          <w:highlight w:val="none"/>
          <w:fitText w:val="480" w:id="-982738432"/>
        </w:rPr>
        <w:t>4</w:t>
      </w:r>
      <w:r>
        <w:rPr>
          <w:rFonts w:hint="eastAsia" w:ascii="仿宋" w:hAnsi="仿宋" w:eastAsia="仿宋" w:cs="仿宋"/>
          <w:color w:val="auto"/>
          <w:sz w:val="24"/>
          <w:highlight w:val="none"/>
        </w:rPr>
        <w:t>00-087-8198。</w:t>
      </w:r>
    </w:p>
    <w:p w14:paraId="4B358FC1">
      <w:pPr>
        <w:adjustRightInd/>
        <w:spacing w:line="360" w:lineRule="auto"/>
        <w:jc w:val="center"/>
        <w:outlineLvl w:val="0"/>
        <w:rPr>
          <w:rFonts w:hint="eastAsia" w:ascii="仿宋" w:hAnsi="仿宋" w:eastAsia="仿宋" w:cs="仿宋"/>
          <w:b/>
          <w:color w:val="auto"/>
          <w:sz w:val="36"/>
          <w:szCs w:val="20"/>
          <w:highlight w:val="none"/>
        </w:rPr>
        <w:sectPr>
          <w:footerReference r:id="rId10" w:type="first"/>
          <w:footerReference r:id="rId9" w:type="default"/>
          <w:pgSz w:w="11906" w:h="16838"/>
          <w:pgMar w:top="680" w:right="1418" w:bottom="468" w:left="1418" w:header="851" w:footer="992" w:gutter="0"/>
          <w:pgNumType w:start="1"/>
          <w:cols w:space="720" w:num="1"/>
          <w:titlePg/>
          <w:docGrid w:linePitch="312" w:charSpace="0"/>
        </w:sectPr>
      </w:pPr>
    </w:p>
    <w:p w14:paraId="4A2E639C">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w:t>
      </w:r>
      <w:r>
        <w:rPr>
          <w:rFonts w:hint="eastAsia" w:ascii="仿宋" w:hAnsi="仿宋" w:eastAsia="仿宋" w:cs="仿宋"/>
          <w:b/>
          <w:color w:val="auto"/>
          <w:spacing w:val="362"/>
          <w:kern w:val="0"/>
          <w:sz w:val="36"/>
          <w:szCs w:val="20"/>
          <w:highlight w:val="none"/>
          <w:fitText w:val="1444" w:id="-982738176"/>
        </w:rPr>
        <w:t>分</w:t>
      </w:r>
      <w:r>
        <w:rPr>
          <w:rFonts w:hint="eastAsia" w:ascii="仿宋" w:hAnsi="仿宋" w:eastAsia="仿宋" w:cs="仿宋"/>
          <w:b/>
          <w:color w:val="auto"/>
          <w:spacing w:val="0"/>
          <w:kern w:val="0"/>
          <w:sz w:val="36"/>
          <w:szCs w:val="20"/>
          <w:highlight w:val="none"/>
          <w:fitText w:val="1444" w:id="-982738176"/>
        </w:rPr>
        <w:t>投</w:t>
      </w:r>
      <w:r>
        <w:rPr>
          <w:rFonts w:hint="eastAsia" w:ascii="仿宋" w:hAnsi="仿宋" w:eastAsia="仿宋" w:cs="仿宋"/>
          <w:b/>
          <w:color w:val="auto"/>
          <w:sz w:val="36"/>
          <w:szCs w:val="20"/>
          <w:highlight w:val="none"/>
        </w:rPr>
        <w:t>标人须知</w:t>
      </w:r>
      <w:bookmarkEnd w:id="7"/>
    </w:p>
    <w:p w14:paraId="1FA2A21A">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7B532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629" w:type="dxa"/>
            <w:vAlign w:val="center"/>
          </w:tcPr>
          <w:p w14:paraId="4B58E557">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vAlign w:val="center"/>
          </w:tcPr>
          <w:p w14:paraId="32547784">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vAlign w:val="center"/>
          </w:tcPr>
          <w:p w14:paraId="0687271E">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688F7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tblHeader/>
          <w:jc w:val="center"/>
        </w:trPr>
        <w:tc>
          <w:tcPr>
            <w:tcW w:w="629" w:type="dxa"/>
            <w:vAlign w:val="center"/>
          </w:tcPr>
          <w:p w14:paraId="72E789E0">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vAlign w:val="center"/>
          </w:tcPr>
          <w:p w14:paraId="30F1A7EA">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vAlign w:val="center"/>
          </w:tcPr>
          <w:p w14:paraId="3F322E2B">
            <w:pP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46D6D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23" w:hRule="atLeast"/>
          <w:tblHeader/>
          <w:jc w:val="center"/>
        </w:trPr>
        <w:tc>
          <w:tcPr>
            <w:tcW w:w="629" w:type="dxa"/>
            <w:vAlign w:val="center"/>
          </w:tcPr>
          <w:p w14:paraId="4665A6A9">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vAlign w:val="center"/>
          </w:tcPr>
          <w:p w14:paraId="087F43FF">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vAlign w:val="center"/>
          </w:tcPr>
          <w:p w14:paraId="6E1CA1AA">
            <w:pPr>
              <w:numPr>
                <w:ilvl w:val="0"/>
                <w:numId w:val="1"/>
              </w:numPr>
              <w:snapToGrid w:val="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标的：</w:t>
            </w:r>
            <w:r>
              <w:rPr>
                <w:rFonts w:hint="eastAsia" w:ascii="仿宋" w:hAnsi="仿宋" w:eastAsia="仿宋" w:cs="宋体"/>
                <w:color w:val="auto"/>
                <w:kern w:val="0"/>
                <w:sz w:val="24"/>
                <w:highlight w:val="none"/>
                <w:u w:val="single"/>
              </w:rPr>
              <w:t>战鹰**巡逻队服务项目</w:t>
            </w:r>
            <w:r>
              <w:rPr>
                <w:rFonts w:hint="eastAsia" w:ascii="仿宋" w:hAnsi="仿宋" w:eastAsia="仿宋" w:cs="宋体"/>
                <w:color w:val="auto"/>
                <w:kern w:val="0"/>
                <w:sz w:val="24"/>
                <w:highlight w:val="none"/>
              </w:rPr>
              <w:t>，属于</w:t>
            </w:r>
            <w:r>
              <w:rPr>
                <w:rFonts w:hint="eastAsia" w:ascii="仿宋" w:hAnsi="仿宋" w:eastAsia="仿宋" w:cs="宋体"/>
                <w:color w:val="auto"/>
                <w:kern w:val="0"/>
                <w:sz w:val="24"/>
                <w:highlight w:val="none"/>
                <w:u w:val="single"/>
              </w:rPr>
              <w:t>租赁和商务服务业</w:t>
            </w:r>
            <w:r>
              <w:rPr>
                <w:rFonts w:hint="eastAsia" w:ascii="仿宋" w:hAnsi="仿宋" w:eastAsia="仿宋" w:cs="宋体"/>
                <w:color w:val="auto"/>
                <w:kern w:val="0"/>
                <w:sz w:val="24"/>
                <w:highlight w:val="none"/>
              </w:rPr>
              <w:t>行业；</w:t>
            </w:r>
          </w:p>
          <w:p w14:paraId="1AFB7B4F">
            <w:pPr>
              <w:snapToGrid w:val="0"/>
              <w:rPr>
                <w:rFonts w:hint="eastAsia" w:ascii="仿宋" w:hAnsi="仿宋" w:eastAsia="仿宋" w:cs="仿宋"/>
                <w:color w:val="auto"/>
                <w:highlight w:val="none"/>
              </w:rPr>
            </w:pPr>
            <w:r>
              <w:rPr>
                <w:rFonts w:hint="eastAsia" w:ascii="仿宋" w:hAnsi="仿宋" w:eastAsia="仿宋" w:cs="宋体"/>
                <w:color w:val="auto"/>
                <w:kern w:val="0"/>
                <w:sz w:val="24"/>
                <w:highlight w:val="none"/>
              </w:rPr>
              <w:t>（2）备注：《关于印发中小企业划型标准规定的通知》（工信部联企业〔2011〕300）：</w:t>
            </w:r>
            <w:r>
              <w:rPr>
                <w:rFonts w:hint="eastAsia" w:ascii="仿宋" w:hAnsi="仿宋" w:eastAsia="仿宋" w:cs="宋体"/>
                <w:color w:val="auto"/>
                <w:kern w:val="0"/>
                <w:sz w:val="24"/>
                <w:highlight w:val="none"/>
                <w:u w:val="singl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66F44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9" w:hRule="atLeast"/>
          <w:tblHeader/>
          <w:jc w:val="center"/>
        </w:trPr>
        <w:tc>
          <w:tcPr>
            <w:tcW w:w="629" w:type="dxa"/>
            <w:vAlign w:val="center"/>
          </w:tcPr>
          <w:p w14:paraId="7EB53F0D">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vAlign w:val="center"/>
          </w:tcPr>
          <w:p w14:paraId="56556DC1">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vAlign w:val="center"/>
          </w:tcPr>
          <w:p w14:paraId="7FC5902A">
            <w:pPr>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21712A95">
            <w:pPr>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采购进口产品。</w:t>
            </w:r>
          </w:p>
        </w:tc>
      </w:tr>
      <w:tr w14:paraId="2905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55" w:hRule="atLeast"/>
          <w:tblHeader/>
          <w:jc w:val="center"/>
        </w:trPr>
        <w:tc>
          <w:tcPr>
            <w:tcW w:w="629" w:type="dxa"/>
            <w:vAlign w:val="center"/>
          </w:tcPr>
          <w:p w14:paraId="584A16F5">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vAlign w:val="center"/>
          </w:tcPr>
          <w:p w14:paraId="6DAD5845">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vAlign w:val="center"/>
          </w:tcPr>
          <w:p w14:paraId="49276C9D">
            <w:pPr>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同意将非主体、非关键性的工作分包。</w:t>
            </w:r>
          </w:p>
          <w:p w14:paraId="339C3E3A">
            <w:pPr>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p w14:paraId="0F3DD0B6">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注：不得限制大中型企业向小微企业合理分包。分包份额不得超过总包单位。投标人中标后以分包方式履行合同的，提供分包意向协议（附件7）；不以分包方式履行合同的，则无需提供。</w:t>
            </w:r>
          </w:p>
        </w:tc>
      </w:tr>
      <w:tr w14:paraId="6F2A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89" w:hRule="atLeast"/>
          <w:tblHeader/>
          <w:jc w:val="center"/>
        </w:trPr>
        <w:tc>
          <w:tcPr>
            <w:tcW w:w="629" w:type="dxa"/>
            <w:vAlign w:val="center"/>
          </w:tcPr>
          <w:p w14:paraId="7178B83A">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vAlign w:val="center"/>
          </w:tcPr>
          <w:p w14:paraId="132DA7E9">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vAlign w:val="center"/>
          </w:tcPr>
          <w:p w14:paraId="6D84E572">
            <w:pPr>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投标截止前，投标人可自行到项目所在地予以踏勘，对项目实施现场及周边环境等进行勘察，以获取编制投标文件和签署合同所需的所有资料。无论投标人是否踏勘现场，均被视作对项目现场的了解已完全满足本采购项目投标报价的需要。有关踏勘现场需要发生的一切费用由投标人自理，投标人自行负责在踏勘现场中所发生的任何风险责任和财产损失。</w:t>
            </w:r>
          </w:p>
          <w:p w14:paraId="220DB41E">
            <w:pPr>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szCs w:val="20"/>
                <w:highlight w:val="none"/>
              </w:rPr>
              <w:t>。</w:t>
            </w:r>
          </w:p>
        </w:tc>
      </w:tr>
      <w:tr w14:paraId="505CF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0" w:hRule="atLeast"/>
          <w:tblHeader/>
          <w:jc w:val="center"/>
        </w:trPr>
        <w:tc>
          <w:tcPr>
            <w:tcW w:w="629" w:type="dxa"/>
            <w:vAlign w:val="center"/>
          </w:tcPr>
          <w:p w14:paraId="0BA8FDCE">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vAlign w:val="center"/>
          </w:tcPr>
          <w:p w14:paraId="3E85D5D5">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vAlign w:val="center"/>
          </w:tcPr>
          <w:p w14:paraId="6F9A08A8">
            <w:pPr>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4A64968E">
            <w:pPr>
              <w:rPr>
                <w:rFonts w:hint="eastAsia" w:ascii="仿宋" w:hAnsi="仿宋" w:eastAsia="仿宋" w:cs="仿宋"/>
                <w:b/>
                <w:color w:val="auto"/>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tc>
      </w:tr>
      <w:tr w14:paraId="1EF6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7" w:hRule="atLeast"/>
          <w:tblHeader/>
          <w:jc w:val="center"/>
        </w:trPr>
        <w:tc>
          <w:tcPr>
            <w:tcW w:w="629" w:type="dxa"/>
            <w:vAlign w:val="center"/>
          </w:tcPr>
          <w:p w14:paraId="7530031B">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vAlign w:val="center"/>
          </w:tcPr>
          <w:p w14:paraId="553EBD86">
            <w:pPr>
              <w:snapToGrid w:val="0"/>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vAlign w:val="center"/>
          </w:tcPr>
          <w:p w14:paraId="595EC52B">
            <w:pPr>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385ED50A">
            <w:pPr>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tc>
      </w:tr>
      <w:tr w14:paraId="0627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atLeast"/>
          <w:tblHeader/>
          <w:jc w:val="center"/>
        </w:trPr>
        <w:tc>
          <w:tcPr>
            <w:tcW w:w="629" w:type="dxa"/>
            <w:vMerge w:val="restart"/>
            <w:vAlign w:val="center"/>
          </w:tcPr>
          <w:p w14:paraId="11AEE73D">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vAlign w:val="center"/>
          </w:tcPr>
          <w:p w14:paraId="24844F66">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vAlign w:val="center"/>
          </w:tcPr>
          <w:p w14:paraId="3CCB5A9D">
            <w:pPr>
              <w:rPr>
                <w:rFonts w:hint="eastAsia" w:ascii="仿宋" w:hAnsi="仿宋" w:eastAsia="仿宋" w:cs="仿宋"/>
                <w:snapToGrid w:val="0"/>
                <w:color w:val="auto"/>
                <w:kern w:val="0"/>
                <w:szCs w:val="21"/>
                <w:highlight w:val="none"/>
              </w:rPr>
            </w:pPr>
            <w:r>
              <w:rPr>
                <w:rFonts w:hint="eastAsia" w:ascii="仿宋" w:hAnsi="仿宋" w:eastAsia="仿宋" w:cs="仿宋"/>
                <w:color w:val="auto"/>
                <w:sz w:val="24"/>
                <w:highlight w:val="none"/>
              </w:rPr>
              <w:t>（1）资格证明文件：</w:t>
            </w: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3019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8" w:hRule="atLeast"/>
          <w:tblHeader/>
          <w:jc w:val="center"/>
        </w:trPr>
        <w:tc>
          <w:tcPr>
            <w:tcW w:w="629" w:type="dxa"/>
            <w:vMerge w:val="continue"/>
            <w:vAlign w:val="center"/>
          </w:tcPr>
          <w:p w14:paraId="5300F817">
            <w:pPr>
              <w:snapToGrid w:val="0"/>
              <w:jc w:val="center"/>
              <w:rPr>
                <w:rFonts w:hint="eastAsia" w:ascii="仿宋" w:hAnsi="仿宋" w:eastAsia="仿宋" w:cs="仿宋"/>
                <w:color w:val="auto"/>
                <w:sz w:val="24"/>
                <w:highlight w:val="none"/>
              </w:rPr>
            </w:pPr>
          </w:p>
        </w:tc>
        <w:tc>
          <w:tcPr>
            <w:tcW w:w="1843" w:type="dxa"/>
            <w:vMerge w:val="continue"/>
            <w:vAlign w:val="center"/>
          </w:tcPr>
          <w:p w14:paraId="1732C3AE">
            <w:pPr>
              <w:snapToGrid w:val="0"/>
              <w:jc w:val="center"/>
              <w:rPr>
                <w:rFonts w:hint="eastAsia" w:ascii="仿宋" w:hAnsi="仿宋" w:eastAsia="仿宋" w:cs="仿宋"/>
                <w:b/>
                <w:color w:val="auto"/>
                <w:sz w:val="24"/>
                <w:highlight w:val="none"/>
              </w:rPr>
            </w:pPr>
          </w:p>
        </w:tc>
        <w:tc>
          <w:tcPr>
            <w:tcW w:w="6095" w:type="dxa"/>
            <w:vAlign w:val="center"/>
          </w:tcPr>
          <w:p w14:paraId="4E4FEDAE">
            <w:pPr>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31D50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78" w:hRule="atLeast"/>
          <w:tblHeader/>
          <w:jc w:val="center"/>
        </w:trPr>
        <w:tc>
          <w:tcPr>
            <w:tcW w:w="629" w:type="dxa"/>
            <w:vAlign w:val="center"/>
          </w:tcPr>
          <w:p w14:paraId="090247DB">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vAlign w:val="center"/>
          </w:tcPr>
          <w:p w14:paraId="2841AF3D">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vAlign w:val="center"/>
          </w:tcPr>
          <w:p w14:paraId="1FF2DB13">
            <w:pPr>
              <w:snapToGrid w:val="0"/>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AFC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jc w:val="center"/>
        </w:trPr>
        <w:tc>
          <w:tcPr>
            <w:tcW w:w="629" w:type="dxa"/>
            <w:vAlign w:val="center"/>
          </w:tcPr>
          <w:p w14:paraId="1011B173">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vAlign w:val="center"/>
          </w:tcPr>
          <w:p w14:paraId="0C6EFDC1">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vAlign w:val="center"/>
          </w:tcPr>
          <w:p w14:paraId="089FFA37">
            <w:pPr>
              <w:snapToGrid w:val="0"/>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5C732569">
            <w:pPr>
              <w:snapToGrid w:val="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3429725F">
            <w:pPr>
              <w:snapToGrid w:val="0"/>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6210FF48">
            <w:pPr>
              <w:snapToGrid w:val="0"/>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5A722B74">
            <w:pPr>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73F081A7">
            <w:pPr>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3C043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47" w:hRule="atLeast"/>
          <w:tblHeader/>
          <w:jc w:val="center"/>
        </w:trPr>
        <w:tc>
          <w:tcPr>
            <w:tcW w:w="629" w:type="dxa"/>
            <w:vAlign w:val="center"/>
          </w:tcPr>
          <w:p w14:paraId="1AE7D01C">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Align w:val="center"/>
          </w:tcPr>
          <w:p w14:paraId="5215852C">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vAlign w:val="center"/>
          </w:tcPr>
          <w:p w14:paraId="492E77E5">
            <w:pPr>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2ECB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jc w:val="center"/>
        </w:trPr>
        <w:tc>
          <w:tcPr>
            <w:tcW w:w="629" w:type="dxa"/>
            <w:vAlign w:val="center"/>
          </w:tcPr>
          <w:p w14:paraId="244E4DF7">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vAlign w:val="center"/>
          </w:tcPr>
          <w:p w14:paraId="7A4AE0EE">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vAlign w:val="center"/>
          </w:tcPr>
          <w:p w14:paraId="68E0E635">
            <w:pPr>
              <w:pStyle w:val="32"/>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u w:val="single"/>
              </w:rPr>
              <w:t>杭州市西湖区天目山路181号天际大厦803室</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rPr>
              <w:t>黄工，19858153552</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采购人、采购代理机构不强制或变相强制投标人提交备份投标文件。</w:t>
            </w:r>
          </w:p>
        </w:tc>
      </w:tr>
      <w:tr w14:paraId="5A96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vMerge w:val="restart"/>
            <w:vAlign w:val="center"/>
          </w:tcPr>
          <w:p w14:paraId="31983DE6">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Merge w:val="restart"/>
            <w:vAlign w:val="center"/>
          </w:tcPr>
          <w:p w14:paraId="37E41C12">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vAlign w:val="center"/>
          </w:tcPr>
          <w:p w14:paraId="08A9C174">
            <w:pPr>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02AC2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vMerge w:val="continue"/>
            <w:vAlign w:val="center"/>
          </w:tcPr>
          <w:p w14:paraId="6F5AF614">
            <w:pPr>
              <w:snapToGrid w:val="0"/>
              <w:jc w:val="center"/>
              <w:rPr>
                <w:rFonts w:hint="eastAsia" w:ascii="仿宋" w:hAnsi="仿宋" w:eastAsia="仿宋" w:cs="仿宋"/>
                <w:color w:val="auto"/>
                <w:sz w:val="24"/>
                <w:highlight w:val="none"/>
              </w:rPr>
            </w:pPr>
          </w:p>
        </w:tc>
        <w:tc>
          <w:tcPr>
            <w:tcW w:w="1843" w:type="dxa"/>
            <w:vMerge w:val="continue"/>
            <w:vAlign w:val="center"/>
          </w:tcPr>
          <w:p w14:paraId="1D3491A6">
            <w:pPr>
              <w:snapToGrid w:val="0"/>
              <w:jc w:val="center"/>
              <w:rPr>
                <w:rFonts w:hint="eastAsia" w:ascii="仿宋" w:hAnsi="仿宋" w:eastAsia="仿宋" w:cs="仿宋"/>
                <w:b/>
                <w:color w:val="auto"/>
                <w:sz w:val="24"/>
                <w:highlight w:val="none"/>
              </w:rPr>
            </w:pPr>
          </w:p>
        </w:tc>
        <w:tc>
          <w:tcPr>
            <w:tcW w:w="6095" w:type="dxa"/>
            <w:vAlign w:val="center"/>
          </w:tcPr>
          <w:p w14:paraId="5772F124">
            <w:pPr>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81633666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48D07EEA">
            <w:pPr>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23231189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066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50" w:hRule="atLeast"/>
          <w:tblHeader/>
          <w:jc w:val="center"/>
        </w:trPr>
        <w:tc>
          <w:tcPr>
            <w:tcW w:w="629" w:type="dxa"/>
            <w:vMerge w:val="continue"/>
            <w:vAlign w:val="center"/>
          </w:tcPr>
          <w:p w14:paraId="34E4FEBC">
            <w:pPr>
              <w:snapToGrid w:val="0"/>
              <w:jc w:val="center"/>
              <w:rPr>
                <w:rFonts w:hint="eastAsia" w:ascii="仿宋" w:hAnsi="仿宋" w:eastAsia="仿宋" w:cs="仿宋"/>
                <w:color w:val="auto"/>
                <w:sz w:val="24"/>
                <w:highlight w:val="none"/>
              </w:rPr>
            </w:pPr>
          </w:p>
        </w:tc>
        <w:tc>
          <w:tcPr>
            <w:tcW w:w="1843" w:type="dxa"/>
            <w:vMerge w:val="continue"/>
            <w:vAlign w:val="center"/>
          </w:tcPr>
          <w:p w14:paraId="6F87264D">
            <w:pPr>
              <w:snapToGrid w:val="0"/>
              <w:jc w:val="center"/>
              <w:rPr>
                <w:rFonts w:hint="eastAsia" w:ascii="仿宋" w:hAnsi="仿宋" w:eastAsia="仿宋" w:cs="仿宋"/>
                <w:b/>
                <w:color w:val="auto"/>
                <w:sz w:val="24"/>
                <w:highlight w:val="none"/>
              </w:rPr>
            </w:pPr>
          </w:p>
        </w:tc>
        <w:tc>
          <w:tcPr>
            <w:tcW w:w="6095" w:type="dxa"/>
            <w:vAlign w:val="center"/>
          </w:tcPr>
          <w:p w14:paraId="61881FC0">
            <w:pPr>
              <w:pStyle w:val="32"/>
              <w:jc w:val="left"/>
              <w:rPr>
                <w:rFonts w:hint="eastAsia" w:ascii="仿宋" w:hAnsi="仿宋" w:eastAsia="仿宋"/>
                <w:color w:val="auto"/>
                <w:kern w:val="28"/>
                <w:sz w:val="24"/>
                <w:szCs w:val="24"/>
                <w:highlight w:val="none"/>
              </w:rPr>
            </w:pPr>
            <w:r>
              <w:rPr>
                <w:rFonts w:hint="eastAsia" w:ascii="仿宋" w:hAnsi="仿宋" w:eastAsia="仿宋"/>
                <w:color w:val="auto"/>
                <w:kern w:val="28"/>
                <w:sz w:val="24"/>
                <w:szCs w:val="24"/>
                <w:highlight w:val="none"/>
              </w:rPr>
              <w:t>（1）本项目代理服务费以中标金额为计算基础，参照计价格【2002】1980号文的收费标准向中标供应商收取。以上费用，中标供应商应当自中标结果公告发布之日起5个工作日内一次性向采购代理机构支付。</w:t>
            </w:r>
          </w:p>
          <w:p w14:paraId="57FD6F38">
            <w:pPr>
              <w:pStyle w:val="32"/>
              <w:jc w:val="left"/>
              <w:rPr>
                <w:rFonts w:hint="eastAsia" w:ascii="仿宋" w:hAnsi="仿宋" w:eastAsia="仿宋"/>
                <w:color w:val="auto"/>
                <w:kern w:val="28"/>
                <w:sz w:val="24"/>
                <w:szCs w:val="24"/>
                <w:highlight w:val="none"/>
              </w:rPr>
            </w:pPr>
            <w:r>
              <w:rPr>
                <w:rFonts w:hint="eastAsia" w:ascii="仿宋" w:hAnsi="仿宋" w:eastAsia="仿宋"/>
                <w:color w:val="auto"/>
                <w:kern w:val="28"/>
                <w:sz w:val="24"/>
                <w:szCs w:val="24"/>
                <w:highlight w:val="none"/>
              </w:rPr>
              <w:t>（2）代理服务费支付：</w:t>
            </w:r>
          </w:p>
          <w:p w14:paraId="2DCE2DDE">
            <w:pPr>
              <w:pStyle w:val="32"/>
              <w:jc w:val="left"/>
              <w:rPr>
                <w:rFonts w:hint="eastAsia" w:ascii="仿宋" w:hAnsi="仿宋" w:eastAsia="仿宋"/>
                <w:color w:val="auto"/>
                <w:kern w:val="28"/>
                <w:sz w:val="24"/>
                <w:szCs w:val="24"/>
                <w:highlight w:val="none"/>
              </w:rPr>
            </w:pPr>
            <w:r>
              <w:rPr>
                <w:rFonts w:hint="eastAsia" w:ascii="仿宋" w:hAnsi="仿宋" w:eastAsia="仿宋"/>
                <w:color w:val="auto"/>
                <w:kern w:val="28"/>
                <w:sz w:val="24"/>
                <w:szCs w:val="24"/>
                <w:highlight w:val="none"/>
              </w:rPr>
              <w:t>①代理服务费缴纳形式：汇票/支票/电汇/现金</w:t>
            </w:r>
          </w:p>
          <w:p w14:paraId="20F53FF5">
            <w:pPr>
              <w:pStyle w:val="32"/>
              <w:jc w:val="left"/>
              <w:rPr>
                <w:rFonts w:hint="eastAsia" w:ascii="仿宋" w:hAnsi="仿宋" w:eastAsia="仿宋"/>
                <w:color w:val="auto"/>
                <w:kern w:val="28"/>
                <w:sz w:val="24"/>
                <w:szCs w:val="24"/>
                <w:highlight w:val="none"/>
              </w:rPr>
            </w:pPr>
            <w:r>
              <w:rPr>
                <w:rFonts w:hint="eastAsia" w:ascii="仿宋" w:hAnsi="仿宋" w:eastAsia="仿宋"/>
                <w:color w:val="auto"/>
                <w:kern w:val="28"/>
                <w:sz w:val="24"/>
                <w:szCs w:val="24"/>
                <w:highlight w:val="none"/>
              </w:rPr>
              <w:t>②代理服务费汇入以下账户：</w:t>
            </w:r>
          </w:p>
          <w:p w14:paraId="58117F00">
            <w:pPr>
              <w:pStyle w:val="32"/>
              <w:jc w:val="left"/>
              <w:rPr>
                <w:rFonts w:hint="eastAsia" w:ascii="仿宋" w:hAnsi="仿宋" w:eastAsia="仿宋"/>
                <w:color w:val="auto"/>
                <w:kern w:val="28"/>
                <w:sz w:val="24"/>
                <w:szCs w:val="24"/>
                <w:highlight w:val="none"/>
              </w:rPr>
            </w:pPr>
            <w:r>
              <w:rPr>
                <w:rFonts w:hint="eastAsia" w:ascii="仿宋" w:hAnsi="仿宋" w:eastAsia="仿宋"/>
                <w:color w:val="auto"/>
                <w:kern w:val="28"/>
                <w:sz w:val="24"/>
                <w:szCs w:val="24"/>
                <w:highlight w:val="none"/>
              </w:rPr>
              <w:t>收款单位（户名）：浙江泛亚工程咨询有限公司</w:t>
            </w:r>
          </w:p>
          <w:p w14:paraId="1629272A">
            <w:pPr>
              <w:pStyle w:val="32"/>
              <w:jc w:val="left"/>
              <w:rPr>
                <w:rFonts w:hint="eastAsia" w:ascii="仿宋" w:hAnsi="仿宋" w:eastAsia="仿宋"/>
                <w:color w:val="auto"/>
                <w:kern w:val="28"/>
                <w:sz w:val="24"/>
                <w:szCs w:val="24"/>
                <w:highlight w:val="none"/>
              </w:rPr>
            </w:pPr>
            <w:r>
              <w:rPr>
                <w:rFonts w:hint="eastAsia" w:ascii="仿宋" w:hAnsi="仿宋" w:eastAsia="仿宋"/>
                <w:color w:val="auto"/>
                <w:kern w:val="28"/>
                <w:sz w:val="24"/>
                <w:szCs w:val="24"/>
                <w:highlight w:val="none"/>
              </w:rPr>
              <w:t>开  户：</w:t>
            </w:r>
            <w:r>
              <w:rPr>
                <w:rFonts w:hint="eastAsia" w:ascii="仿宋" w:hAnsi="仿宋" w:eastAsia="仿宋"/>
                <w:color w:val="auto"/>
                <w:kern w:val="0"/>
                <w:sz w:val="24"/>
                <w:highlight w:val="none"/>
              </w:rPr>
              <w:t>中国建设银行杭州西湖支行</w:t>
            </w:r>
          </w:p>
          <w:p w14:paraId="0ACDF1F5">
            <w:pPr>
              <w:rPr>
                <w:rFonts w:hint="eastAsia" w:ascii="仿宋" w:hAnsi="仿宋" w:eastAsia="仿宋"/>
                <w:color w:val="auto"/>
                <w:kern w:val="28"/>
                <w:sz w:val="24"/>
                <w:highlight w:val="none"/>
              </w:rPr>
            </w:pPr>
            <w:r>
              <w:rPr>
                <w:rFonts w:hint="eastAsia" w:ascii="仿宋" w:hAnsi="仿宋" w:eastAsia="仿宋"/>
                <w:color w:val="auto"/>
                <w:kern w:val="28"/>
                <w:sz w:val="24"/>
                <w:highlight w:val="none"/>
              </w:rPr>
              <w:t>账  号：</w:t>
            </w:r>
            <w:r>
              <w:rPr>
                <w:rFonts w:hint="eastAsia" w:ascii="仿宋" w:hAnsi="仿宋" w:eastAsia="仿宋" w:cs="Arial"/>
                <w:color w:val="auto"/>
                <w:kern w:val="0"/>
                <w:sz w:val="24"/>
                <w:highlight w:val="none"/>
              </w:rPr>
              <w:t>3300 1619 6350 5000 0853</w:t>
            </w:r>
          </w:p>
          <w:p w14:paraId="2F8D3B4B">
            <w:pPr>
              <w:rPr>
                <w:rFonts w:hint="eastAsia" w:ascii="仿宋" w:hAnsi="仿宋" w:eastAsia="仿宋" w:cs="仿宋"/>
                <w:color w:val="auto"/>
                <w:kern w:val="0"/>
                <w:sz w:val="24"/>
                <w:highlight w:val="none"/>
              </w:rPr>
            </w:pPr>
            <w:r>
              <w:rPr>
                <w:rFonts w:hint="eastAsia" w:ascii="仿宋" w:hAnsi="仿宋" w:eastAsia="仿宋"/>
                <w:color w:val="auto"/>
                <w:kern w:val="28"/>
                <w:sz w:val="24"/>
                <w:highlight w:val="none"/>
              </w:rPr>
              <w:t>（3）增值税发票开具资料：单位名称、税号（统一社会信用代码）、开户行名称、账号、地址及联系电话。</w:t>
            </w:r>
          </w:p>
        </w:tc>
      </w:tr>
      <w:tr w14:paraId="1DF1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vMerge w:val="continue"/>
            <w:vAlign w:val="center"/>
          </w:tcPr>
          <w:p w14:paraId="4F95DA89">
            <w:pPr>
              <w:snapToGrid w:val="0"/>
              <w:jc w:val="center"/>
              <w:rPr>
                <w:rFonts w:hint="eastAsia" w:ascii="仿宋" w:hAnsi="仿宋" w:eastAsia="仿宋" w:cs="仿宋"/>
                <w:color w:val="auto"/>
                <w:sz w:val="24"/>
                <w:highlight w:val="none"/>
              </w:rPr>
            </w:pPr>
          </w:p>
        </w:tc>
        <w:tc>
          <w:tcPr>
            <w:tcW w:w="1843" w:type="dxa"/>
            <w:vMerge w:val="continue"/>
            <w:vAlign w:val="center"/>
          </w:tcPr>
          <w:p w14:paraId="4F209362">
            <w:pPr>
              <w:snapToGrid w:val="0"/>
              <w:jc w:val="center"/>
              <w:rPr>
                <w:rFonts w:hint="eastAsia" w:ascii="仿宋" w:hAnsi="仿宋" w:eastAsia="仿宋" w:cs="仿宋"/>
                <w:b/>
                <w:color w:val="auto"/>
                <w:sz w:val="24"/>
                <w:highlight w:val="none"/>
              </w:rPr>
            </w:pPr>
          </w:p>
        </w:tc>
        <w:tc>
          <w:tcPr>
            <w:tcW w:w="6095" w:type="dxa"/>
            <w:vAlign w:val="center"/>
          </w:tcPr>
          <w:p w14:paraId="1C07AC4F">
            <w:pPr>
              <w:rPr>
                <w:rFonts w:hint="eastAsia" w:ascii="仿宋" w:hAnsi="仿宋" w:eastAsia="仿宋"/>
                <w:color w:val="auto"/>
                <w:kern w:val="28"/>
                <w:sz w:val="24"/>
                <w:highlight w:val="none"/>
              </w:rPr>
            </w:pPr>
            <w:r>
              <w:rPr>
                <w:rFonts w:hint="eastAsia" w:ascii="仿宋" w:hAnsi="仿宋" w:eastAsia="仿宋" w:cs="宋体"/>
                <w:snapToGrid w:val="0"/>
                <w:color w:val="auto"/>
                <w:kern w:val="28"/>
                <w:sz w:val="24"/>
                <w:highlight w:val="none"/>
              </w:rPr>
              <w:t>如遇“政府采购云平台”电子化开标或评审程序调整的，按调整后程序执行。</w:t>
            </w:r>
          </w:p>
        </w:tc>
      </w:tr>
      <w:tr w14:paraId="4943C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vMerge w:val="continue"/>
            <w:vAlign w:val="center"/>
          </w:tcPr>
          <w:p w14:paraId="04D514B2">
            <w:pPr>
              <w:snapToGrid w:val="0"/>
              <w:jc w:val="center"/>
              <w:rPr>
                <w:rFonts w:hint="eastAsia" w:ascii="仿宋" w:hAnsi="仿宋" w:eastAsia="仿宋" w:cs="仿宋"/>
                <w:color w:val="auto"/>
                <w:sz w:val="24"/>
                <w:highlight w:val="none"/>
              </w:rPr>
            </w:pPr>
          </w:p>
        </w:tc>
        <w:tc>
          <w:tcPr>
            <w:tcW w:w="1843" w:type="dxa"/>
            <w:vMerge w:val="continue"/>
            <w:vAlign w:val="center"/>
          </w:tcPr>
          <w:p w14:paraId="63BCEE91">
            <w:pPr>
              <w:snapToGrid w:val="0"/>
              <w:jc w:val="center"/>
              <w:rPr>
                <w:rFonts w:hint="eastAsia" w:ascii="仿宋" w:hAnsi="仿宋" w:eastAsia="仿宋" w:cs="仿宋"/>
                <w:b/>
                <w:color w:val="auto"/>
                <w:sz w:val="24"/>
                <w:highlight w:val="none"/>
              </w:rPr>
            </w:pPr>
          </w:p>
        </w:tc>
        <w:tc>
          <w:tcPr>
            <w:tcW w:w="6095" w:type="dxa"/>
            <w:vAlign w:val="center"/>
          </w:tcPr>
          <w:p w14:paraId="0366A324">
            <w:pPr>
              <w:rPr>
                <w:rFonts w:hint="eastAsia" w:ascii="仿宋" w:hAnsi="仿宋" w:eastAsia="仿宋" w:cs="宋体"/>
                <w:snapToGrid w:val="0"/>
                <w:color w:val="auto"/>
                <w:kern w:val="28"/>
                <w:sz w:val="24"/>
                <w:highlight w:val="none"/>
              </w:rPr>
            </w:pPr>
            <w:r>
              <w:rPr>
                <w:rFonts w:hint="eastAsia" w:ascii="仿宋" w:hAnsi="仿宋" w:eastAsia="仿宋" w:cs="宋体"/>
                <w:snapToGrid w:val="0"/>
                <w:color w:val="auto"/>
                <w:kern w:val="28"/>
                <w:sz w:val="24"/>
                <w:highlight w:val="none"/>
              </w:rPr>
              <w:t>通过“政府采购云平台”公布开标一览表有关内容后，供应商应通过“政府采购云平台”进行确认，在收到采购人或采购代理机构的通知后仍不予确认的应说明理由，否则视为无异议。</w:t>
            </w:r>
          </w:p>
        </w:tc>
      </w:tr>
      <w:tr w14:paraId="7180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jc w:val="center"/>
        </w:trPr>
        <w:tc>
          <w:tcPr>
            <w:tcW w:w="629" w:type="dxa"/>
            <w:vMerge w:val="continue"/>
            <w:vAlign w:val="center"/>
          </w:tcPr>
          <w:p w14:paraId="6C0D877C">
            <w:pPr>
              <w:snapToGrid w:val="0"/>
              <w:jc w:val="center"/>
              <w:rPr>
                <w:rFonts w:hint="eastAsia" w:ascii="仿宋" w:hAnsi="仿宋" w:eastAsia="仿宋" w:cs="仿宋"/>
                <w:color w:val="auto"/>
                <w:sz w:val="24"/>
                <w:highlight w:val="none"/>
              </w:rPr>
            </w:pPr>
          </w:p>
        </w:tc>
        <w:tc>
          <w:tcPr>
            <w:tcW w:w="1843" w:type="dxa"/>
            <w:vMerge w:val="continue"/>
            <w:vAlign w:val="center"/>
          </w:tcPr>
          <w:p w14:paraId="2EBF9DE5">
            <w:pPr>
              <w:snapToGrid w:val="0"/>
              <w:jc w:val="center"/>
              <w:rPr>
                <w:rFonts w:hint="eastAsia" w:ascii="仿宋" w:hAnsi="仿宋" w:eastAsia="仿宋" w:cs="仿宋"/>
                <w:b/>
                <w:color w:val="auto"/>
                <w:sz w:val="24"/>
                <w:highlight w:val="none"/>
              </w:rPr>
            </w:pPr>
          </w:p>
        </w:tc>
        <w:tc>
          <w:tcPr>
            <w:tcW w:w="6095" w:type="dxa"/>
            <w:vAlign w:val="center"/>
          </w:tcPr>
          <w:p w14:paraId="62E2DA80">
            <w:pPr>
              <w:rPr>
                <w:rFonts w:hint="eastAsia" w:ascii="仿宋" w:hAnsi="仿宋" w:eastAsia="仿宋" w:cs="宋体"/>
                <w:snapToGrid w:val="0"/>
                <w:color w:val="auto"/>
                <w:kern w:val="28"/>
                <w:sz w:val="24"/>
                <w:highlight w:val="none"/>
              </w:rPr>
            </w:pPr>
            <w:r>
              <w:rPr>
                <w:rFonts w:hint="eastAsia" w:ascii="仿宋" w:hAnsi="仿宋" w:eastAsia="仿宋" w:cs="宋体"/>
                <w:snapToGrid w:val="0"/>
                <w:color w:val="auto"/>
                <w:kern w:val="28"/>
                <w:sz w:val="24"/>
                <w:highlight w:val="none"/>
              </w:rPr>
              <w:t>评审因素对应的要求视为采购需求的一部分。</w:t>
            </w:r>
          </w:p>
        </w:tc>
      </w:tr>
      <w:bookmarkEnd w:id="8"/>
    </w:tbl>
    <w:p w14:paraId="5C585AB2">
      <w:pPr>
        <w:adjustRightInd/>
        <w:spacing w:line="360" w:lineRule="auto"/>
        <w:jc w:val="center"/>
        <w:outlineLvl w:val="0"/>
        <w:rPr>
          <w:rFonts w:hint="eastAsia" w:ascii="仿宋" w:hAnsi="仿宋" w:eastAsia="仿宋" w:cs="仿宋"/>
          <w:b/>
          <w:color w:val="auto"/>
          <w:sz w:val="32"/>
          <w:szCs w:val="20"/>
          <w:highlight w:val="none"/>
        </w:rPr>
        <w:sectPr>
          <w:pgSz w:w="11906" w:h="16838"/>
          <w:pgMar w:top="680" w:right="1418" w:bottom="468" w:left="1418" w:header="851" w:footer="992" w:gutter="0"/>
          <w:cols w:space="720" w:num="1"/>
          <w:titlePg/>
          <w:docGrid w:linePitch="312" w:charSpace="0"/>
        </w:sectPr>
      </w:pPr>
      <w:bookmarkStart w:id="9" w:name="_Toc164416483"/>
    </w:p>
    <w:p w14:paraId="60B39588">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28283E4D">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6F171783">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0378BA98">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77946C4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2.1“采购人”系指招标公告中载明的本项目的采购人。</w:t>
      </w:r>
    </w:p>
    <w:p w14:paraId="3DA01D5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2.2“采购代理机构”系指招标公告中载明的本项目的采购代理机构。</w:t>
      </w:r>
    </w:p>
    <w:p w14:paraId="3FB0FAF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2.3“投标人”系指是指响应招标、参加投标竞争的法人、其他组织或者自然人。</w:t>
      </w:r>
    </w:p>
    <w:p w14:paraId="5AF2B20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2.4“负责人”系指法人企业的法定负责人，或其他组织为法律、行政法规规定代表单位行使职权的主要负责人，或自然人本人。</w:t>
      </w:r>
    </w:p>
    <w:p w14:paraId="2D42E59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3DBE1A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3C4B961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sz w:val="24"/>
          <w:highlight w:val="none"/>
        </w:rPr>
        <w:t>”系指适用本项目的要求，“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14:paraId="1FFC5C05">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29D4D3E6">
      <w:pPr>
        <w:snapToGrid w:val="0"/>
        <w:spacing w:line="360" w:lineRule="auto"/>
        <w:ind w:firstLine="480" w:firstLineChars="200"/>
        <w:jc w:val="left"/>
        <w:outlineLvl w:val="1"/>
        <w:rPr>
          <w:rFonts w:hint="eastAsia" w:ascii="仿宋" w:hAnsi="仿宋" w:eastAsia="仿宋" w:cs="仿宋"/>
          <w:b/>
          <w:color w:val="auto"/>
          <w:sz w:val="24"/>
          <w:highlight w:val="none"/>
        </w:rPr>
      </w:pPr>
      <w:r>
        <w:rPr>
          <w:rFonts w:hint="eastAsia" w:ascii="仿宋" w:hAnsi="仿宋" w:eastAsia="仿宋" w:cs="仿宋"/>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4F550953">
      <w:pPr>
        <w:snapToGrid w:val="0"/>
        <w:spacing w:line="360" w:lineRule="auto"/>
        <w:ind w:firstLine="480" w:firstLineChars="200"/>
        <w:jc w:val="left"/>
        <w:outlineLvl w:val="1"/>
        <w:rPr>
          <w:rFonts w:hint="eastAsia" w:ascii="仿宋" w:hAnsi="仿宋" w:eastAsia="仿宋" w:cs="仿宋"/>
          <w:b/>
          <w:color w:val="auto"/>
          <w:sz w:val="24"/>
          <w:highlight w:val="none"/>
        </w:rPr>
      </w:pPr>
      <w:r>
        <w:rPr>
          <w:rFonts w:hint="eastAsia" w:ascii="仿宋" w:hAnsi="仿宋" w:eastAsia="仿宋" w:cs="仿宋"/>
          <w:color w:val="auto"/>
          <w:sz w:val="24"/>
          <w:highlight w:val="none"/>
        </w:rPr>
        <w:t>3.2支持绿色发展</w:t>
      </w:r>
    </w:p>
    <w:p w14:paraId="0186D375">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6A3CC3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3.2.2修缮、装修类项目采购建材的，采购人应将绿色建筑和绿色建材性能、指标等作为实质性条件纳入招标文件和合同。</w:t>
      </w:r>
    </w:p>
    <w:p w14:paraId="104C25F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28DD3C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0A32B76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3469710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40EC1F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58CF9CC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F7AD2D7">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52C905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w:t>
      </w:r>
      <w:r>
        <w:rPr>
          <w:rFonts w:hint="eastAsia" w:ascii="仿宋" w:hAnsi="仿宋" w:eastAsia="仿宋" w:cs="仿宋"/>
          <w:b/>
          <w:bCs/>
          <w:color w:val="auto"/>
          <w:sz w:val="24"/>
          <w:highlight w:val="none"/>
        </w:rPr>
        <w:t>10%-20%（招标文件第四部分评标办法明确具体的扣除比例，未明确的，给予10%的扣除）</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b/>
          <w:bCs/>
          <w:color w:val="auto"/>
          <w:sz w:val="24"/>
          <w:highlight w:val="none"/>
        </w:rPr>
        <w:t>4%-6%（招标文件第四部分评标办法明确具体的扣除比例，未明确的，给予4%的扣除）</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45546BB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5ADC568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671A29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2A9CBA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07CFA441">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6B73048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3.4.1采购人优先采购被认定为首台套产品和“制造精品”的自主创新产品。</w:t>
      </w:r>
    </w:p>
    <w:p w14:paraId="5F6B8BF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6E4C261">
      <w:pPr>
        <w:spacing w:line="360" w:lineRule="auto"/>
        <w:ind w:firstLine="480" w:firstLineChars="200"/>
        <w:rPr>
          <w:rFonts w:hint="eastAsia" w:ascii="仿宋" w:hAnsi="仿宋" w:eastAsia="仿宋" w:cs="仿宋"/>
          <w:color w:val="auto"/>
          <w:sz w:val="24"/>
          <w:highlight w:val="none"/>
        </w:rPr>
      </w:pPr>
      <w:r>
        <w:rPr>
          <w:rFonts w:hint="eastAsia" w:ascii="仿宋" w:eastAsia="仿宋" w:cs="仿宋"/>
          <w:color w:val="auto"/>
          <w:sz w:val="24"/>
          <w:highlight w:val="none"/>
        </w:rPr>
        <w:t>3.4.3采购人应当贯彻落实知识产权保护相关法律法规，应当采购使用正版软件。</w:t>
      </w:r>
    </w:p>
    <w:p w14:paraId="19159DB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457DA8FB">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4.询问、质疑、投诉</w:t>
      </w:r>
      <w:r>
        <w:rPr>
          <w:rFonts w:hint="eastAsia" w:ascii="仿宋" w:hAnsi="仿宋" w:eastAsia="仿宋" w:cs="仿宋"/>
          <w:b/>
          <w:bCs/>
          <w:color w:val="auto"/>
          <w:sz w:val="24"/>
          <w:highlight w:val="none"/>
        </w:rPr>
        <w:t>、补偿救济</w:t>
      </w:r>
    </w:p>
    <w:p w14:paraId="7CCAB6F1">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0EA113">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0845043B">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AD4705C">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0D13C858">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74CDA84E">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81356A1">
      <w:pPr>
        <w:pStyle w:val="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75D29985">
      <w:pPr>
        <w:pStyle w:val="32"/>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1F5929DC">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7BD3AB3E">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4.3.3.1供应商的姓名或者名称、地址、邮编、联系人及联系电话；</w:t>
      </w:r>
    </w:p>
    <w:p w14:paraId="5BDF6D9F">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4.3.3.2质疑项目的名称、编号；</w:t>
      </w:r>
    </w:p>
    <w:p w14:paraId="7F1150C3">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4.3.3.3具体、明确的质疑事项和与质疑事项相关的请求；</w:t>
      </w:r>
    </w:p>
    <w:p w14:paraId="415C632A">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4.3.3.4事实依据；</w:t>
      </w:r>
    </w:p>
    <w:p w14:paraId="4DD3044D">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4.3.3.5必要的法律依据；</w:t>
      </w:r>
    </w:p>
    <w:p w14:paraId="4B704D5E">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4.3.3.6提出质疑的日期。</w:t>
      </w:r>
    </w:p>
    <w:p w14:paraId="10A40DAB">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0EDB1809">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质疑函范本及制作说明详见附件2。</w:t>
      </w:r>
    </w:p>
    <w:p w14:paraId="23F47708">
      <w:pPr>
        <w:pStyle w:val="32"/>
        <w:spacing w:line="360" w:lineRule="auto"/>
        <w:ind w:firstLine="480" w:firstLineChars="200"/>
        <w:rPr>
          <w:rFonts w:hint="eastAsia"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4.3.4对同一采购程序环节的质疑，供应商须在法定质疑期内一次性提出。</w:t>
      </w:r>
    </w:p>
    <w:p w14:paraId="21695234">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4.3</w:t>
      </w:r>
      <w:r>
        <w:rPr>
          <w:rFonts w:hint="eastAsia" w:ascii="仿宋" w:hAnsi="仿宋" w:eastAsia="仿宋" w:cs="仿宋"/>
          <w:color w:val="auto"/>
          <w:sz w:val="24"/>
          <w:szCs w:val="24"/>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B21EB5B">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4.3</w:t>
      </w:r>
      <w:r>
        <w:rPr>
          <w:rFonts w:hint="eastAsia" w:ascii="仿宋" w:hAnsi="仿宋" w:eastAsia="仿宋" w:cs="仿宋"/>
          <w:color w:val="auto"/>
          <w:sz w:val="24"/>
          <w:szCs w:val="24"/>
          <w:highlight w:val="none"/>
        </w:rPr>
        <w:t>.6询问或者质疑事项可能影响采购结果的，采购人应当暂停签订合同，已经签订合同的，应当中止履行合同。</w:t>
      </w:r>
    </w:p>
    <w:p w14:paraId="023C53EE">
      <w:pPr>
        <w:pStyle w:val="32"/>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4.4供应商投诉</w:t>
      </w:r>
    </w:p>
    <w:p w14:paraId="30C43678">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BCD81D5">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4.4.2</w:t>
      </w:r>
      <w:r>
        <w:rPr>
          <w:rFonts w:hint="eastAsia" w:ascii="仿宋" w:hAnsi="仿宋" w:eastAsia="仿宋" w:cs="仿宋"/>
          <w:color w:val="auto"/>
          <w:sz w:val="24"/>
          <w:szCs w:val="24"/>
          <w:highlight w:val="none"/>
        </w:rPr>
        <w:t>供应商投诉的事项不得超出已质疑事项的范围，基于质疑答复内容提出的投诉事项除外。</w:t>
      </w:r>
    </w:p>
    <w:p w14:paraId="2A2E1E20">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4.4.3供应商投诉应当有明确的请求和必要的证明材料。</w:t>
      </w:r>
    </w:p>
    <w:p w14:paraId="2044D6A7">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4.4.4以联合体形式参加政府采购活动的，其投诉应当由组成联合体的所有供应商共同提出。</w:t>
      </w:r>
    </w:p>
    <w:p w14:paraId="76BCAC81">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2D829627">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4.5补偿救济</w:t>
      </w:r>
    </w:p>
    <w:p w14:paraId="570CDB30">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采购人（行政机关）因政策变化、规划调整而不履行政府采购合同的，供应商可依据《杭州市涉企补偿救济实施办法（试行）》向采购人（行政机关）提起补偿申请。</w:t>
      </w:r>
    </w:p>
    <w:p w14:paraId="7811068C">
      <w:pPr>
        <w:pStyle w:val="32"/>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投诉书范本及制作说明详见附件3。</w:t>
      </w:r>
    </w:p>
    <w:p w14:paraId="0C2B2691">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618F4338">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0329155E">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5.1招标文件包括下列文件及附件：</w:t>
      </w:r>
    </w:p>
    <w:p w14:paraId="549F5CBB">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79A4D7A9">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406FEC6A">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18B3A8E1">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6DB07F37">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4813A02B">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0448918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0985ABBB">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6.招标文件的澄清、修改</w:t>
      </w:r>
    </w:p>
    <w:p w14:paraId="625B4A4E">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518E9E30">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25E27BD">
      <w:pPr>
        <w:pStyle w:val="23"/>
        <w:jc w:val="center"/>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0071581B">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7.招标文件的获取</w:t>
      </w:r>
    </w:p>
    <w:p w14:paraId="01A2CFB9">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79A006D3">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3D7950D7">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05D7AFA0">
      <w:pPr>
        <w:pStyle w:val="32"/>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21A369F3">
      <w:pPr>
        <w:pStyle w:val="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254101C0">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10.投标文件的语言</w:t>
      </w:r>
    </w:p>
    <w:p w14:paraId="04CE133E">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2DC0D5E2">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11.投标文件的组成</w:t>
      </w:r>
    </w:p>
    <w:p w14:paraId="6CF86E0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5713F39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4C81CDA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424925F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宋体"/>
          <w:snapToGrid w:val="0"/>
          <w:color w:val="auto"/>
          <w:kern w:val="28"/>
          <w:sz w:val="24"/>
          <w:szCs w:val="20"/>
          <w:highlight w:val="none"/>
        </w:rPr>
        <w:t>，专门面向中小企业采购的项目须提供《中小企业声明函》</w:t>
      </w:r>
      <w:r>
        <w:rPr>
          <w:rFonts w:hint="eastAsia" w:ascii="仿宋" w:hAnsi="仿宋" w:eastAsia="仿宋" w:cs="仿宋"/>
          <w:snapToGrid w:val="0"/>
          <w:color w:val="auto"/>
          <w:kern w:val="28"/>
          <w:sz w:val="24"/>
          <w:szCs w:val="20"/>
          <w:highlight w:val="none"/>
        </w:rPr>
        <w:t>)</w:t>
      </w:r>
      <w:r>
        <w:rPr>
          <w:rFonts w:hint="eastAsia" w:ascii="仿宋" w:hAnsi="仿宋" w:eastAsia="仿宋" w:cs="仿宋"/>
          <w:color w:val="auto"/>
          <w:sz w:val="24"/>
          <w:highlight w:val="none"/>
        </w:rPr>
        <w:t>；</w:t>
      </w:r>
    </w:p>
    <w:p w14:paraId="673D691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020BEF2">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15686C8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p>
    <w:p w14:paraId="04E0F32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7BEE939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14:paraId="7F69784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389D8E9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13D9504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41B70F6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21711B4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11.2.8政府采购供应商廉洁自律承诺书；</w:t>
      </w:r>
    </w:p>
    <w:p w14:paraId="57103605">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14:paraId="26D5992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44921F5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11.3.2报价情况说明（如供应商报价低于项目预算50%的，应当提交本文档，详细阐述不影响产品质量或者诚信履约的具体原因）；</w:t>
      </w:r>
    </w:p>
    <w:p w14:paraId="0D989B2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11.3.3中小企业声明函。</w:t>
      </w:r>
    </w:p>
    <w:p w14:paraId="2BBF2096">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1C512581">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426BBA6E">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highlight w:val="none"/>
          <w:shd w:val="clear" w:color="auto" w:fill="FFFFFF"/>
        </w:rPr>
        <w:t>投标人应对投标文件中材料的真实性、合法性负责。</w:t>
      </w:r>
    </w:p>
    <w:p w14:paraId="21CDA819">
      <w:pPr>
        <w:pStyle w:val="130"/>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投标文件的编制</w:t>
      </w:r>
    </w:p>
    <w:p w14:paraId="0A222AB1">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D60AE5">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14A9347">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6E27257">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10E04744">
      <w:pPr>
        <w:pStyle w:val="130"/>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0B738587">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AF4115A">
      <w:pPr>
        <w:pStyle w:val="13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6EAAB2FF">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14.投标文件的提交、补充、修改、撤回</w:t>
      </w:r>
    </w:p>
    <w:p w14:paraId="7E2E2B91">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3E4F8BB">
      <w:pPr>
        <w:pStyle w:val="13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8D2019A">
      <w:pPr>
        <w:pStyle w:val="13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DA33D2B">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7530CB5B">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57D7A81F">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2150E0E9">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329431B2">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5B0212D">
      <w:pPr>
        <w:pStyle w:val="32"/>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4FC8D0B4">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0FF8740D">
      <w:pPr>
        <w:pStyle w:val="24"/>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5402D50E">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3FEC2FA6">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2060C818">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5099FE33">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B8F2583">
      <w:pPr>
        <w:pStyle w:val="130"/>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4CC473AA">
      <w:pPr>
        <w:pStyle w:val="556"/>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14:paraId="05E884CA">
      <w:pPr>
        <w:pStyle w:val="556"/>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02D788FC">
      <w:pPr>
        <w:pStyle w:val="556"/>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2CD21533">
      <w:pPr>
        <w:pStyle w:val="556"/>
        <w:spacing w:before="0" w:line="360" w:lineRule="auto"/>
        <w:ind w:left="0" w:firstLine="482" w:firstLineChars="200"/>
        <w:contextualSpacing/>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18.3投标文件未按时解密，投标人提供了备份投标文件的，以备份投标文件作为依据，否则视为投标文件撤回。投标文件已按时解密的，备份投标文件自动失效。</w:t>
      </w:r>
    </w:p>
    <w:p w14:paraId="2131B5A3">
      <w:pPr>
        <w:pStyle w:val="556"/>
        <w:spacing w:before="0" w:line="360" w:lineRule="auto"/>
        <w:ind w:left="0" w:firstLine="482" w:firstLineChars="200"/>
        <w:contextualSpacing/>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18.4结束解密后30分钟内，供应商应通过邮件形式将经授权代表签署的《政府采购活动现场确认声明书》（格式见采购文件最后一页内容）扫描件发至代理机构经办人邮箱（邮箱地址：</w:t>
      </w:r>
      <w:r>
        <w:rPr>
          <w:color w:val="auto"/>
          <w:highlight w:val="none"/>
        </w:rPr>
        <w:fldChar w:fldCharType="begin"/>
      </w:r>
      <w:r>
        <w:rPr>
          <w:color w:val="auto"/>
          <w:highlight w:val="none"/>
        </w:rPr>
        <w:instrText xml:space="preserve"> HYPERLINK "mailto:1905135046@qq.com，联系人：严淳，电话：18007898088" </w:instrText>
      </w:r>
      <w:r>
        <w:rPr>
          <w:color w:val="auto"/>
          <w:highlight w:val="none"/>
        </w:rPr>
        <w:fldChar w:fldCharType="separate"/>
      </w:r>
      <w:r>
        <w:rPr>
          <w:rFonts w:hint="eastAsia" w:ascii="仿宋" w:hAnsi="仿宋" w:eastAsia="仿宋" w:cs="仿宋"/>
          <w:b/>
          <w:color w:val="auto"/>
          <w:sz w:val="24"/>
          <w:highlight w:val="none"/>
        </w:rPr>
        <w:t>1697976919@qq.com，联系人：黄工，电话：19858153552</w:t>
      </w:r>
      <w:r>
        <w:rPr>
          <w:rFonts w:hint="eastAsia" w:ascii="仿宋" w:hAnsi="仿宋" w:eastAsia="仿宋" w:cs="仿宋"/>
          <w:b/>
          <w:color w:val="auto"/>
          <w:sz w:val="24"/>
          <w:highlight w:val="none"/>
        </w:rPr>
        <w:fldChar w:fldCharType="end"/>
      </w:r>
      <w:r>
        <w:rPr>
          <w:rFonts w:hint="eastAsia" w:ascii="仿宋" w:hAnsi="仿宋" w:eastAsia="仿宋" w:cs="仿宋"/>
          <w:b/>
          <w:color w:val="auto"/>
          <w:sz w:val="24"/>
          <w:highlight w:val="none"/>
        </w:rPr>
        <w:t>），未发送视为对开标过程及结果无异议。</w:t>
      </w:r>
    </w:p>
    <w:p w14:paraId="59C90402">
      <w:pPr>
        <w:pStyle w:val="556"/>
        <w:spacing w:before="0" w:line="360" w:lineRule="auto"/>
        <w:ind w:left="0" w:firstLine="241" w:firstLineChars="100"/>
        <w:contextualSpacing/>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18.5采购机构点击【开启报价文件】，开启报价成功后进入报价评审流程。各供应商代表应当在接到系统通知后30分钟内自行完成在线签字确认，逾期未在线签字确认的视为对开标过程及结果无异议。</w:t>
      </w:r>
    </w:p>
    <w:p w14:paraId="3A88CFB9">
      <w:pPr>
        <w:pStyle w:val="556"/>
        <w:spacing w:before="0" w:line="360" w:lineRule="auto"/>
        <w:ind w:left="0" w:firstLine="241" w:firstLineChars="100"/>
        <w:contextualSpacing/>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19.资格审查</w:t>
      </w:r>
    </w:p>
    <w:p w14:paraId="64B8567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7ACEDFEF">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56DF2746">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6AF9B570">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7BF1BABD">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3A8E77B">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w:t>
      </w:r>
      <w:r>
        <w:rPr>
          <w:rFonts w:hint="eastAsia" w:ascii="仿宋" w:hAnsi="仿宋" w:eastAsia="仿宋" w:cs="仿宋"/>
          <w:b/>
          <w:color w:val="auto"/>
          <w:highlight w:val="none"/>
        </w:rPr>
        <w:t>.</w:t>
      </w:r>
      <w:r>
        <w:rPr>
          <w:rFonts w:hint="eastAsia" w:ascii="仿宋" w:hAnsi="仿宋" w:eastAsia="仿宋" w:cs="仿宋"/>
          <w:b/>
          <w:color w:val="auto"/>
          <w:szCs w:val="24"/>
          <w:highlight w:val="none"/>
        </w:rPr>
        <w:t>信用信息查询</w:t>
      </w:r>
    </w:p>
    <w:p w14:paraId="626338F1">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45D8D64C">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55C9DBC9">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41EE1B5">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44542958">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581FACF3">
      <w:pPr>
        <w:spacing w:line="360" w:lineRule="auto"/>
        <w:rPr>
          <w:rFonts w:hint="eastAsia" w:ascii="仿宋" w:hAnsi="仿宋" w:eastAsia="仿宋" w:cs="仿宋"/>
          <w:b/>
          <w:color w:val="auto"/>
          <w:sz w:val="24"/>
          <w:highlight w:val="none"/>
        </w:rPr>
      </w:pPr>
      <w:bookmarkStart w:id="10"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394DDF6B">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六、定标</w:t>
      </w:r>
    </w:p>
    <w:p w14:paraId="738CF53E">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22.确定中标供应商</w:t>
      </w:r>
    </w:p>
    <w:p w14:paraId="07B7F8EA">
      <w:pPr>
        <w:pStyle w:val="130"/>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2E48339">
      <w:pPr>
        <w:pStyle w:val="130"/>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14:paraId="375190AA">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35B8266">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1" w:name="_Hlk101184471"/>
      <w:r>
        <w:rPr>
          <w:rFonts w:hint="eastAsia" w:ascii="仿宋" w:hAnsi="仿宋" w:eastAsia="仿宋" w:cs="仿宋"/>
          <w:color w:val="auto"/>
          <w:sz w:val="24"/>
          <w:highlight w:val="none"/>
        </w:rPr>
        <w:t>资格审查情况、评审专家抽取规则、符合性审查情况、</w:t>
      </w:r>
      <w:bookmarkEnd w:id="11"/>
      <w:r>
        <w:rPr>
          <w:rFonts w:hint="eastAsia" w:ascii="仿宋" w:hAnsi="仿宋" w:eastAsia="仿宋" w:cs="仿宋"/>
          <w:color w:val="auto"/>
          <w:sz w:val="24"/>
          <w:highlight w:val="none"/>
        </w:rPr>
        <w:t>未中标情况说明、中标公告期限以及评审专家名单、评分汇总及明细。</w:t>
      </w:r>
    </w:p>
    <w:p w14:paraId="110FA7AF">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18F745BE">
      <w:pPr>
        <w:pStyle w:val="130"/>
        <w:snapToGrid w:val="0"/>
        <w:spacing w:before="0"/>
        <w:ind w:firstLine="482"/>
        <w:rPr>
          <w:rFonts w:hint="eastAsia" w:ascii="仿宋" w:hAnsi="仿宋" w:eastAsia="仿宋" w:cs="仿宋"/>
          <w:color w:val="auto"/>
          <w:sz w:val="21"/>
          <w:szCs w:val="21"/>
          <w:highlight w:val="none"/>
        </w:rPr>
      </w:pPr>
      <w:r>
        <w:rPr>
          <w:rFonts w:hint="eastAsia" w:ascii="仿宋" w:hAnsi="仿宋" w:eastAsia="仿宋" w:cs="仿宋"/>
          <w:b/>
          <w:color w:val="auto"/>
          <w:szCs w:val="24"/>
          <w:highlight w:val="none"/>
        </w:rPr>
        <w:t>23.4</w:t>
      </w:r>
      <w:r>
        <w:rPr>
          <w:rFonts w:hint="eastAsia" w:ascii="仿宋" w:hAnsi="仿宋" w:eastAsia="仿宋" w:cs="仿宋"/>
          <w:bCs/>
          <w:color w:val="auto"/>
          <w:szCs w:val="24"/>
          <w:highlight w:val="none"/>
        </w:rPr>
        <w:t>由于中标、成交供应商原因导致重新采购的，应当承担支付代理费和专家评审费等费用在内的赔偿责任。</w:t>
      </w:r>
    </w:p>
    <w:p w14:paraId="41D122E3">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6DE42160">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14:paraId="21AE2B47">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25.合同的签订</w:t>
      </w:r>
    </w:p>
    <w:p w14:paraId="1D213899">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72BA4EA">
      <w:pPr>
        <w:pStyle w:val="130"/>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B4F60F2">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47A11909">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5396CC59">
      <w:pPr>
        <w:pStyle w:val="130"/>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6C99B917">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26.履约保证金</w:t>
      </w:r>
    </w:p>
    <w:p w14:paraId="6748A7A5">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6F046CE">
      <w:pPr>
        <w:tabs>
          <w:tab w:val="left" w:pos="0"/>
        </w:tabs>
        <w:spacing w:line="360" w:lineRule="auto"/>
        <w:ind w:firstLine="482"/>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DE6C4C0">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27.预付款</w:t>
      </w:r>
    </w:p>
    <w:p w14:paraId="6F118C56">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400-903-9583。</w:t>
      </w:r>
    </w:p>
    <w:p w14:paraId="16B2F1B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0ECB01E3">
      <w:pPr>
        <w:pStyle w:val="130"/>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7E6DC893">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28.1电子交易平台发生故障而无法登录访问的；</w:t>
      </w:r>
    </w:p>
    <w:p w14:paraId="0C10C59E">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55BD6079">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55D80B23">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28.4病毒发作导致不能进行正常操作的；</w:t>
      </w:r>
    </w:p>
    <w:p w14:paraId="6780E889">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1D915D01">
      <w:pPr>
        <w:pStyle w:val="130"/>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49CA7702">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247E88D1">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2E46520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3593F2">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368A7EC8">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D003504">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EAD7FA6">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eastAsia="仿宋" w:cs="仿宋"/>
          <w:color w:val="auto"/>
          <w:kern w:val="0"/>
          <w:sz w:val="24"/>
          <w:highlight w:val="none"/>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0"/>
    <w:p w14:paraId="78DFD6D8">
      <w:pPr>
        <w:tabs>
          <w:tab w:val="left" w:pos="0"/>
        </w:tabs>
        <w:spacing w:line="360" w:lineRule="auto"/>
        <w:ind w:firstLine="480"/>
        <w:rPr>
          <w:rFonts w:hint="eastAsia" w:ascii="仿宋" w:hAnsi="仿宋" w:eastAsia="仿宋" w:cs="仿宋"/>
          <w:color w:val="auto"/>
          <w:kern w:val="0"/>
          <w:sz w:val="24"/>
          <w:highlight w:val="none"/>
        </w:rPr>
        <w:sectPr>
          <w:pgSz w:w="11906" w:h="16838"/>
          <w:pgMar w:top="680" w:right="1418" w:bottom="468" w:left="1418" w:header="851" w:footer="992" w:gutter="0"/>
          <w:cols w:space="720" w:num="1"/>
          <w:titlePg/>
          <w:docGrid w:linePitch="312" w:charSpace="0"/>
        </w:sectPr>
      </w:pPr>
      <w:bookmarkStart w:id="12" w:name="_Hlt75236290"/>
      <w:bookmarkEnd w:id="12"/>
      <w:bookmarkStart w:id="13" w:name="_Hlt68057669"/>
      <w:bookmarkEnd w:id="13"/>
      <w:bookmarkStart w:id="14" w:name="_Hlt68403820"/>
      <w:bookmarkEnd w:id="14"/>
      <w:bookmarkStart w:id="15" w:name="_Hlt74714665"/>
      <w:bookmarkEnd w:id="15"/>
      <w:bookmarkStart w:id="16" w:name="_Hlt68072990"/>
      <w:bookmarkEnd w:id="16"/>
      <w:bookmarkStart w:id="17" w:name="_Hlt74730295"/>
      <w:bookmarkEnd w:id="17"/>
      <w:bookmarkStart w:id="18" w:name="_Hlt74707468"/>
      <w:bookmarkEnd w:id="18"/>
      <w:bookmarkStart w:id="19" w:name="_Hlt75236011"/>
      <w:bookmarkEnd w:id="19"/>
      <w:bookmarkStart w:id="20" w:name="_Hlt74729768"/>
      <w:bookmarkEnd w:id="20"/>
      <w:bookmarkStart w:id="21" w:name="_Hlt75236101"/>
      <w:bookmarkEnd w:id="21"/>
      <w:bookmarkStart w:id="22" w:name="_Hlt68072998"/>
      <w:bookmarkEnd w:id="22"/>
      <w:bookmarkStart w:id="23" w:name="_Hlt68073093"/>
      <w:bookmarkEnd w:id="23"/>
    </w:p>
    <w:bookmarkEnd w:id="9"/>
    <w:p w14:paraId="22AB3960">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w:t>
      </w:r>
      <w:r>
        <w:rPr>
          <w:rFonts w:hint="eastAsia" w:ascii="仿宋" w:hAnsi="仿宋" w:eastAsia="仿宋" w:cs="仿宋"/>
          <w:b/>
          <w:color w:val="auto"/>
          <w:spacing w:val="362"/>
          <w:kern w:val="0"/>
          <w:sz w:val="36"/>
          <w:szCs w:val="36"/>
          <w:highlight w:val="none"/>
          <w:fitText w:val="1444" w:id="-982737920"/>
        </w:rPr>
        <w:t>分</w:t>
      </w:r>
      <w:r>
        <w:rPr>
          <w:rFonts w:hint="eastAsia" w:ascii="仿宋" w:hAnsi="仿宋" w:eastAsia="仿宋" w:cs="仿宋"/>
          <w:b/>
          <w:color w:val="auto"/>
          <w:spacing w:val="0"/>
          <w:kern w:val="0"/>
          <w:sz w:val="36"/>
          <w:szCs w:val="36"/>
          <w:highlight w:val="none"/>
          <w:fitText w:val="1444" w:id="-982737920"/>
        </w:rPr>
        <w:t>采</w:t>
      </w:r>
      <w:r>
        <w:rPr>
          <w:rFonts w:hint="eastAsia" w:ascii="仿宋" w:hAnsi="仿宋" w:eastAsia="仿宋" w:cs="仿宋"/>
          <w:b/>
          <w:color w:val="auto"/>
          <w:sz w:val="36"/>
          <w:szCs w:val="36"/>
          <w:highlight w:val="none"/>
        </w:rPr>
        <w:t>购需求</w:t>
      </w:r>
    </w:p>
    <w:p w14:paraId="25ABA3DB">
      <w:pPr>
        <w:pStyle w:val="24"/>
        <w:spacing w:line="360" w:lineRule="exact"/>
        <w:ind w:firstLine="0" w:firstLineChars="0"/>
        <w:rPr>
          <w:rFonts w:hint="eastAsia" w:ascii="仿宋" w:hAnsi="仿宋" w:eastAsia="仿宋" w:cs="宋体"/>
          <w:b/>
          <w:color w:val="auto"/>
          <w:highlight w:val="none"/>
        </w:rPr>
      </w:pPr>
      <w:bookmarkStart w:id="24" w:name="_Hlk152262250"/>
      <w:r>
        <w:rPr>
          <w:rFonts w:hint="eastAsia" w:ascii="仿宋" w:hAnsi="仿宋" w:eastAsia="仿宋" w:cs="宋体"/>
          <w:b/>
          <w:color w:val="auto"/>
          <w:highlight w:val="none"/>
        </w:rPr>
        <w:t>一、项目背景</w:t>
      </w:r>
    </w:p>
    <w:p w14:paraId="2E9B89D1">
      <w:pPr>
        <w:pStyle w:val="24"/>
        <w:spacing w:line="360" w:lineRule="exact"/>
        <w:rPr>
          <w:rFonts w:hint="eastAsia" w:ascii="仿宋" w:hAnsi="仿宋" w:eastAsia="仿宋" w:cs="宋体"/>
          <w:bCs/>
          <w:color w:val="auto"/>
          <w:highlight w:val="none"/>
        </w:rPr>
      </w:pPr>
      <w:bookmarkStart w:id="25" w:name="_Toc9307"/>
      <w:bookmarkStart w:id="26" w:name="_Toc29516"/>
      <w:r>
        <w:rPr>
          <w:rFonts w:hint="eastAsia" w:ascii="仿宋" w:hAnsi="仿宋" w:eastAsia="仿宋" w:cs="宋体"/>
          <w:bCs/>
          <w:color w:val="auto"/>
          <w:highlight w:val="none"/>
        </w:rPr>
        <w:t>本采购项目为战鹰**巡逻队服务项目，采购人为杭州东站枢纽管理委员会。本项目要求投标人具有丰富的同类服务工作经验，有科学合理的组织结构、严格的管理细则和岗位责任制度，能提供完善的服务和保障管理能力。需要投标人在获取招标文件后详细了解采购需求，凭借各投标人管理服务的体系和类似服务的经验，构建科学合理、组织结构精简高效、管理手段先进、适合采购人具体情况，并能良好运作的服务体系。</w:t>
      </w:r>
    </w:p>
    <w:p w14:paraId="4E738502">
      <w:pPr>
        <w:pStyle w:val="24"/>
        <w:spacing w:line="360" w:lineRule="exact"/>
        <w:ind w:firstLine="0" w:firstLineChars="0"/>
        <w:rPr>
          <w:rFonts w:hint="eastAsia" w:ascii="仿宋" w:hAnsi="仿宋" w:eastAsia="仿宋" w:cs="宋体"/>
          <w:b/>
          <w:color w:val="auto"/>
          <w:highlight w:val="none"/>
        </w:rPr>
      </w:pPr>
      <w:bookmarkStart w:id="27" w:name="_Toc25235"/>
      <w:r>
        <w:rPr>
          <w:rFonts w:hint="eastAsia" w:ascii="仿宋" w:hAnsi="仿宋" w:eastAsia="仿宋" w:cs="宋体"/>
          <w:b/>
          <w:color w:val="auto"/>
          <w:highlight w:val="none"/>
        </w:rPr>
        <w:t>二、</w:t>
      </w:r>
      <w:bookmarkEnd w:id="25"/>
      <w:bookmarkEnd w:id="26"/>
      <w:r>
        <w:rPr>
          <w:rFonts w:hint="eastAsia" w:ascii="仿宋" w:hAnsi="仿宋" w:eastAsia="仿宋" w:cs="宋体"/>
          <w:b/>
          <w:color w:val="auto"/>
          <w:highlight w:val="none"/>
        </w:rPr>
        <w:t>服务要求、内容和范围</w:t>
      </w:r>
      <w:bookmarkEnd w:id="27"/>
    </w:p>
    <w:p w14:paraId="275D7418">
      <w:pPr>
        <w:pStyle w:val="24"/>
        <w:spacing w:line="360" w:lineRule="exact"/>
        <w:ind w:firstLine="482"/>
        <w:rPr>
          <w:rFonts w:hint="eastAsia" w:ascii="仿宋" w:hAnsi="仿宋" w:eastAsia="仿宋" w:cs="宋体"/>
          <w:bCs/>
          <w:color w:val="auto"/>
          <w:highlight w:val="none"/>
        </w:rPr>
      </w:pPr>
      <w:r>
        <w:rPr>
          <w:rFonts w:hint="eastAsia" w:ascii="仿宋" w:hAnsi="仿宋" w:eastAsia="仿宋" w:cs="宋体"/>
          <w:b/>
          <w:color w:val="auto"/>
          <w:highlight w:val="none"/>
        </w:rPr>
        <w:t>（一）服务期：</w:t>
      </w:r>
      <w:r>
        <w:rPr>
          <w:rFonts w:hint="eastAsia" w:ascii="仿宋" w:hAnsi="仿宋" w:eastAsia="仿宋" w:cs="宋体"/>
          <w:bCs/>
          <w:color w:val="auto"/>
          <w:highlight w:val="none"/>
        </w:rPr>
        <w:t>两年，具体以签订合同之日起为准（合同一年一签）。如遇政策调整等问题，或服务期内年末采购人组织对中标单位服务情况未通过综合考评，采购人有权提前终止合同。</w:t>
      </w:r>
    </w:p>
    <w:p w14:paraId="5F0411E8">
      <w:pPr>
        <w:pStyle w:val="24"/>
        <w:spacing w:line="360" w:lineRule="exact"/>
        <w:ind w:firstLine="482"/>
        <w:rPr>
          <w:rFonts w:hint="eastAsia" w:ascii="仿宋" w:hAnsi="仿宋" w:eastAsia="仿宋" w:cs="宋体"/>
          <w:bCs/>
          <w:color w:val="auto"/>
          <w:highlight w:val="none"/>
        </w:rPr>
      </w:pPr>
      <w:r>
        <w:rPr>
          <w:rFonts w:hint="eastAsia" w:ascii="仿宋" w:hAnsi="仿宋" w:eastAsia="仿宋" w:cs="宋体"/>
          <w:b/>
          <w:color w:val="auto"/>
          <w:highlight w:val="none"/>
        </w:rPr>
        <w:t>（二）服务地点：</w:t>
      </w:r>
      <w:r>
        <w:rPr>
          <w:rFonts w:hint="eastAsia" w:ascii="仿宋" w:hAnsi="仿宋" w:eastAsia="仿宋" w:cs="宋体"/>
          <w:bCs/>
          <w:color w:val="auto"/>
          <w:highlight w:val="none"/>
        </w:rPr>
        <w:t>杭州东站、城站（具体以采购人要求为准）。</w:t>
      </w:r>
    </w:p>
    <w:p w14:paraId="0C488123">
      <w:pPr>
        <w:pStyle w:val="24"/>
        <w:spacing w:line="360" w:lineRule="exact"/>
        <w:ind w:firstLine="482"/>
        <w:rPr>
          <w:rFonts w:hint="eastAsia" w:ascii="仿宋" w:hAnsi="仿宋" w:eastAsia="仿宋" w:cs="宋体"/>
          <w:b/>
          <w:color w:val="auto"/>
          <w:highlight w:val="none"/>
        </w:rPr>
      </w:pPr>
      <w:r>
        <w:rPr>
          <w:rFonts w:hint="eastAsia" w:ascii="仿宋" w:hAnsi="仿宋" w:eastAsia="仿宋" w:cs="宋体"/>
          <w:b/>
          <w:color w:val="auto"/>
          <w:highlight w:val="none"/>
        </w:rPr>
        <w:t>（三）日常管理：</w:t>
      </w:r>
    </w:p>
    <w:p w14:paraId="617E39C9">
      <w:pPr>
        <w:pStyle w:val="24"/>
        <w:spacing w:line="360" w:lineRule="exact"/>
        <w:rPr>
          <w:rFonts w:hint="eastAsia" w:ascii="仿宋" w:hAnsi="仿宋" w:eastAsia="仿宋" w:cs="宋体"/>
          <w:bCs/>
          <w:color w:val="auto"/>
          <w:highlight w:val="none"/>
        </w:rPr>
      </w:pPr>
      <w:r>
        <w:rPr>
          <w:rFonts w:hint="eastAsia" w:ascii="仿宋" w:hAnsi="仿宋" w:eastAsia="仿宋" w:cs="宋体"/>
          <w:bCs/>
          <w:color w:val="auto"/>
          <w:highlight w:val="none"/>
        </w:rPr>
        <w:t>1、根据杭州东站、城站日常**、维稳等突发应急事件处置相关工作需要，在规定工作时间内，协助公安等部门在杭州东站开展巡逻值勤、**防暴等安保工作，特殊时期需在城站协助公安开展**防暴等相关安保工作为主要服务内容。</w:t>
      </w:r>
    </w:p>
    <w:p w14:paraId="7AE5D773">
      <w:pPr>
        <w:pStyle w:val="24"/>
        <w:spacing w:line="360" w:lineRule="exact"/>
        <w:rPr>
          <w:rFonts w:hint="eastAsia" w:ascii="仿宋" w:hAnsi="仿宋" w:eastAsia="仿宋" w:cs="宋体"/>
          <w:bCs/>
          <w:color w:val="auto"/>
          <w:highlight w:val="none"/>
        </w:rPr>
      </w:pPr>
      <w:r>
        <w:rPr>
          <w:rFonts w:hint="eastAsia" w:ascii="仿宋" w:hAnsi="仿宋" w:eastAsia="仿宋" w:cs="宋体"/>
          <w:bCs/>
          <w:color w:val="auto"/>
          <w:highlight w:val="none"/>
        </w:rPr>
        <w:t>2、中标供应商按照管理内容编制检查表，每日进行检查，发现问题及时整改。</w:t>
      </w:r>
    </w:p>
    <w:p w14:paraId="4B91AFAE">
      <w:pPr>
        <w:pStyle w:val="24"/>
        <w:spacing w:line="360" w:lineRule="exact"/>
        <w:rPr>
          <w:rFonts w:hint="eastAsia" w:ascii="仿宋" w:hAnsi="仿宋" w:eastAsia="仿宋" w:cs="宋体"/>
          <w:bCs/>
          <w:color w:val="auto"/>
          <w:highlight w:val="none"/>
        </w:rPr>
      </w:pPr>
      <w:r>
        <w:rPr>
          <w:rFonts w:hint="eastAsia" w:ascii="仿宋" w:hAnsi="仿宋" w:eastAsia="仿宋" w:cs="宋体"/>
          <w:bCs/>
          <w:color w:val="auto"/>
          <w:highlight w:val="none"/>
        </w:rPr>
        <w:t>3、采购人对中标供应商各工作岗位的服务质量随时进行抽查。发现问题，及时书面通知整改。</w:t>
      </w:r>
    </w:p>
    <w:p w14:paraId="11663E0C">
      <w:pPr>
        <w:pStyle w:val="24"/>
        <w:spacing w:line="360" w:lineRule="exact"/>
        <w:rPr>
          <w:rFonts w:hint="eastAsia" w:ascii="仿宋" w:hAnsi="仿宋" w:eastAsia="仿宋" w:cs="宋体"/>
          <w:bCs/>
          <w:color w:val="auto"/>
          <w:highlight w:val="none"/>
        </w:rPr>
      </w:pPr>
      <w:r>
        <w:rPr>
          <w:rFonts w:hint="eastAsia" w:ascii="仿宋" w:hAnsi="仿宋" w:eastAsia="仿宋" w:cs="宋体"/>
          <w:bCs/>
          <w:color w:val="auto"/>
          <w:highlight w:val="none"/>
        </w:rPr>
        <w:t>4、除中标供应商自行对服务人员的培训外，如有需要，需接受采购人对服务人员的集中进行培训。</w:t>
      </w:r>
    </w:p>
    <w:p w14:paraId="45321E55">
      <w:pPr>
        <w:pStyle w:val="24"/>
        <w:spacing w:line="360" w:lineRule="exact"/>
        <w:rPr>
          <w:rFonts w:hint="eastAsia" w:ascii="仿宋" w:hAnsi="仿宋" w:eastAsia="仿宋" w:cs="宋体"/>
          <w:bCs/>
          <w:color w:val="auto"/>
          <w:highlight w:val="none"/>
        </w:rPr>
      </w:pPr>
      <w:r>
        <w:rPr>
          <w:rFonts w:hint="eastAsia" w:ascii="仿宋" w:hAnsi="仿宋" w:eastAsia="仿宋" w:cs="宋体"/>
          <w:bCs/>
          <w:color w:val="auto"/>
          <w:highlight w:val="none"/>
        </w:rPr>
        <w:t>5、所有岗位建立岗位责任制与运作程序、工作质量标准，并无条件接受采购人监督检查。</w:t>
      </w:r>
    </w:p>
    <w:p w14:paraId="1E599B2A">
      <w:pPr>
        <w:pStyle w:val="24"/>
        <w:spacing w:line="360" w:lineRule="exact"/>
        <w:rPr>
          <w:rFonts w:hint="eastAsia" w:ascii="仿宋" w:hAnsi="仿宋" w:eastAsia="仿宋" w:cs="宋体"/>
          <w:bCs/>
          <w:color w:val="auto"/>
          <w:highlight w:val="none"/>
        </w:rPr>
      </w:pPr>
      <w:r>
        <w:rPr>
          <w:rFonts w:hint="eastAsia" w:ascii="仿宋" w:hAnsi="仿宋" w:eastAsia="仿宋" w:cs="宋体"/>
          <w:bCs/>
          <w:color w:val="auto"/>
          <w:highlight w:val="none"/>
        </w:rPr>
        <w:t>6、中标供应商建立各类应急预案（如防暴、群体事件、个人极端等），并培训相关人员达到相关要求。</w:t>
      </w:r>
    </w:p>
    <w:p w14:paraId="3FFB9939">
      <w:pPr>
        <w:pStyle w:val="24"/>
        <w:spacing w:line="360" w:lineRule="exact"/>
        <w:rPr>
          <w:rFonts w:hint="eastAsia" w:ascii="仿宋" w:hAnsi="仿宋" w:eastAsia="仿宋" w:cs="宋体"/>
          <w:bCs/>
          <w:color w:val="auto"/>
          <w:highlight w:val="none"/>
        </w:rPr>
      </w:pPr>
      <w:r>
        <w:rPr>
          <w:rFonts w:hint="eastAsia" w:ascii="仿宋" w:hAnsi="仿宋" w:eastAsia="仿宋" w:cs="宋体"/>
          <w:bCs/>
          <w:color w:val="auto"/>
          <w:highlight w:val="none"/>
        </w:rPr>
        <w:t>7、重大接待任务必须事先制订周密的接待工作计划，并严格按照计划实施。</w:t>
      </w:r>
    </w:p>
    <w:p w14:paraId="7894357D">
      <w:pPr>
        <w:pStyle w:val="24"/>
        <w:spacing w:line="360" w:lineRule="exact"/>
        <w:rPr>
          <w:rFonts w:hint="eastAsia" w:ascii="仿宋" w:hAnsi="仿宋" w:eastAsia="仿宋" w:cs="宋体"/>
          <w:bCs/>
          <w:color w:val="auto"/>
          <w:highlight w:val="none"/>
        </w:rPr>
      </w:pPr>
      <w:r>
        <w:rPr>
          <w:rFonts w:hint="eastAsia" w:ascii="仿宋" w:hAnsi="仿宋" w:eastAsia="仿宋" w:cs="宋体"/>
          <w:bCs/>
          <w:color w:val="auto"/>
          <w:highlight w:val="none"/>
        </w:rPr>
        <w:t>8、日常保安管理细则必须按采购人要求规定执行。</w:t>
      </w:r>
    </w:p>
    <w:p w14:paraId="59911113">
      <w:pPr>
        <w:pStyle w:val="24"/>
        <w:spacing w:line="360" w:lineRule="exact"/>
        <w:rPr>
          <w:rFonts w:hint="eastAsia" w:ascii="仿宋" w:hAnsi="仿宋" w:eastAsia="仿宋" w:cs="宋体"/>
          <w:bCs/>
          <w:color w:val="auto"/>
          <w:highlight w:val="none"/>
        </w:rPr>
      </w:pPr>
      <w:r>
        <w:rPr>
          <w:rFonts w:hint="eastAsia" w:ascii="仿宋" w:hAnsi="仿宋" w:eastAsia="仿宋" w:cs="宋体"/>
          <w:bCs/>
          <w:color w:val="auto"/>
          <w:highlight w:val="none"/>
        </w:rPr>
        <w:t>9、中标供应商需在采购人附近提供备勤值班休息室（宿舍）。</w:t>
      </w:r>
    </w:p>
    <w:p w14:paraId="3680BD6A">
      <w:pPr>
        <w:pStyle w:val="24"/>
        <w:spacing w:line="360" w:lineRule="exact"/>
        <w:ind w:firstLine="482"/>
        <w:rPr>
          <w:rFonts w:hint="eastAsia" w:ascii="仿宋" w:hAnsi="仿宋" w:eastAsia="仿宋" w:cs="宋体"/>
          <w:b/>
          <w:color w:val="auto"/>
          <w:highlight w:val="none"/>
        </w:rPr>
      </w:pPr>
      <w:r>
        <w:rPr>
          <w:rFonts w:hint="eastAsia" w:ascii="仿宋" w:hAnsi="仿宋" w:eastAsia="仿宋" w:cs="宋体"/>
          <w:b/>
          <w:color w:val="auto"/>
          <w:highlight w:val="none"/>
        </w:rPr>
        <w:t>（四）具体要求：</w:t>
      </w:r>
    </w:p>
    <w:p w14:paraId="7ED08894">
      <w:pPr>
        <w:pStyle w:val="24"/>
        <w:spacing w:line="360" w:lineRule="exact"/>
        <w:ind w:firstLine="482"/>
        <w:rPr>
          <w:rFonts w:hint="eastAsia" w:ascii="仿宋" w:hAnsi="仿宋" w:eastAsia="仿宋" w:cs="宋体"/>
          <w:b/>
          <w:color w:val="auto"/>
          <w:highlight w:val="none"/>
        </w:rPr>
      </w:pPr>
      <w:r>
        <w:rPr>
          <w:rFonts w:hint="eastAsia" w:ascii="仿宋" w:hAnsi="仿宋" w:eastAsia="仿宋" w:cs="宋体"/>
          <w:b/>
          <w:color w:val="auto"/>
          <w:highlight w:val="none"/>
        </w:rPr>
        <w:t>1、岗位服务规范及职责</w:t>
      </w:r>
    </w:p>
    <w:p w14:paraId="6FEB38E0">
      <w:pPr>
        <w:pStyle w:val="24"/>
        <w:spacing w:line="360" w:lineRule="exact"/>
        <w:rPr>
          <w:rFonts w:hint="eastAsia" w:ascii="仿宋" w:hAnsi="仿宋" w:eastAsia="仿宋" w:cs="宋体"/>
          <w:bCs/>
          <w:color w:val="auto"/>
          <w:highlight w:val="none"/>
        </w:rPr>
      </w:pPr>
      <w:r>
        <w:rPr>
          <w:rFonts w:hint="eastAsia" w:ascii="仿宋" w:hAnsi="仿宋" w:eastAsia="仿宋" w:cs="宋体"/>
          <w:bCs/>
          <w:color w:val="auto"/>
          <w:highlight w:val="none"/>
        </w:rPr>
        <w:t>安保人员服务范围包括杭州东站、城站整个区域。人员在范围内进行定岗定时值勤（每个岗位保持24小时待命状态），设立固定岗位和流动巡逻岗，确保服务范围内的人身和财产安全。对违法违纪行为要及时处理。由于安保服务不到位造成财产与设施损失的，中标供应商须承担相应的赔偿责任。</w:t>
      </w:r>
    </w:p>
    <w:p w14:paraId="6E65B29C">
      <w:pPr>
        <w:pStyle w:val="24"/>
        <w:spacing w:line="360" w:lineRule="exact"/>
        <w:rPr>
          <w:rFonts w:hint="eastAsia" w:ascii="仿宋" w:hAnsi="仿宋" w:eastAsia="仿宋" w:cs="宋体"/>
          <w:bCs/>
          <w:color w:val="auto"/>
          <w:highlight w:val="none"/>
        </w:rPr>
      </w:pPr>
      <w:r>
        <w:rPr>
          <w:rFonts w:hint="eastAsia" w:ascii="仿宋" w:hAnsi="仿宋" w:eastAsia="仿宋" w:cs="宋体"/>
          <w:bCs/>
          <w:color w:val="auto"/>
          <w:highlight w:val="none"/>
        </w:rPr>
        <w:t>安保人员具体的流动及固定岗位设定，巡更点及路线，全天巡更次数等实施细则必须按采购人要求，中标供应商须无条件执行。</w:t>
      </w:r>
    </w:p>
    <w:p w14:paraId="3D6159E5">
      <w:pPr>
        <w:pStyle w:val="24"/>
        <w:spacing w:line="360" w:lineRule="exact"/>
        <w:ind w:firstLine="482"/>
        <w:rPr>
          <w:rFonts w:hint="eastAsia" w:ascii="仿宋" w:hAnsi="仿宋" w:eastAsia="仿宋" w:cs="宋体"/>
          <w:b/>
          <w:color w:val="auto"/>
          <w:highlight w:val="none"/>
        </w:rPr>
      </w:pPr>
      <w:r>
        <w:rPr>
          <w:rFonts w:hint="eastAsia" w:ascii="仿宋" w:hAnsi="仿宋" w:eastAsia="仿宋" w:cs="宋体"/>
          <w:b/>
          <w:color w:val="auto"/>
          <w:highlight w:val="none"/>
        </w:rPr>
        <w:t>2、安保人员具体要求</w:t>
      </w:r>
    </w:p>
    <w:p w14:paraId="3B3C98C8">
      <w:pPr>
        <w:pStyle w:val="24"/>
        <w:spacing w:line="360" w:lineRule="exact"/>
        <w:ind w:firstLine="482"/>
        <w:rPr>
          <w:rFonts w:hint="eastAsia" w:ascii="仿宋" w:hAnsi="仿宋" w:eastAsia="仿宋" w:cs="宋体"/>
          <w:bCs/>
          <w:color w:val="auto"/>
          <w:highlight w:val="none"/>
        </w:rPr>
      </w:pPr>
      <w:r>
        <w:rPr>
          <w:rFonts w:hint="eastAsia" w:ascii="仿宋" w:hAnsi="仿宋" w:eastAsia="仿宋" w:cs="宋体"/>
          <w:b/>
          <w:color w:val="auto"/>
          <w:highlight w:val="none"/>
        </w:rPr>
        <w:t>①日常管理：</w:t>
      </w:r>
      <w:r>
        <w:rPr>
          <w:rFonts w:hint="eastAsia" w:ascii="仿宋" w:hAnsi="仿宋" w:eastAsia="仿宋" w:cs="宋体"/>
          <w:bCs/>
          <w:color w:val="auto"/>
          <w:highlight w:val="none"/>
        </w:rPr>
        <w:t>所涉岗位工作日配备8小时专业安保人员，同时确保所涉岗位7×24小时人员处于待命状态，并实行工作时间巡逻值班服务，安保人员统一制服，工作规范，作风严谨。</w:t>
      </w:r>
    </w:p>
    <w:p w14:paraId="1094538D">
      <w:pPr>
        <w:pStyle w:val="24"/>
        <w:spacing w:line="360" w:lineRule="exact"/>
        <w:rPr>
          <w:rFonts w:hint="eastAsia" w:ascii="仿宋" w:hAnsi="仿宋" w:eastAsia="仿宋" w:cs="宋体"/>
          <w:bCs/>
          <w:color w:val="auto"/>
          <w:highlight w:val="none"/>
        </w:rPr>
      </w:pPr>
      <w:r>
        <w:rPr>
          <w:rFonts w:hint="eastAsia" w:ascii="仿宋" w:hAnsi="仿宋" w:eastAsia="仿宋" w:cs="宋体"/>
          <w:bCs/>
          <w:color w:val="auto"/>
          <w:highlight w:val="none"/>
        </w:rPr>
        <w:t>A、注意自身仪表、仪容形象、精神饱满。</w:t>
      </w:r>
    </w:p>
    <w:p w14:paraId="0A3B830F">
      <w:pPr>
        <w:pStyle w:val="24"/>
        <w:spacing w:line="360" w:lineRule="exact"/>
        <w:rPr>
          <w:rFonts w:hint="eastAsia" w:ascii="仿宋" w:hAnsi="仿宋" w:eastAsia="仿宋" w:cs="宋体"/>
          <w:bCs/>
          <w:color w:val="auto"/>
          <w:highlight w:val="none"/>
        </w:rPr>
      </w:pPr>
      <w:r>
        <w:rPr>
          <w:rFonts w:hint="eastAsia" w:ascii="仿宋" w:hAnsi="仿宋" w:eastAsia="仿宋" w:cs="宋体"/>
          <w:bCs/>
          <w:color w:val="auto"/>
          <w:highlight w:val="none"/>
        </w:rPr>
        <w:t>B、根据杭州东站、城站日常**、维稳等突发应急事件处置相关工作需要，在规定工作时间内，协助公安等部门在杭州东站开展巡逻值勤、**防暴等安保工作，特殊时期需在城站协助公安开展**防暴等相关安保工作。</w:t>
      </w:r>
    </w:p>
    <w:p w14:paraId="2CC036AC">
      <w:pPr>
        <w:pStyle w:val="24"/>
        <w:spacing w:line="360" w:lineRule="exact"/>
        <w:rPr>
          <w:rFonts w:hint="eastAsia" w:ascii="仿宋" w:hAnsi="仿宋" w:eastAsia="仿宋" w:cs="宋体"/>
          <w:bCs/>
          <w:color w:val="auto"/>
          <w:highlight w:val="none"/>
        </w:rPr>
      </w:pPr>
      <w:r>
        <w:rPr>
          <w:rFonts w:hint="eastAsia" w:ascii="仿宋" w:hAnsi="仿宋" w:eastAsia="仿宋" w:cs="宋体"/>
          <w:bCs/>
          <w:color w:val="auto"/>
          <w:highlight w:val="none"/>
        </w:rPr>
        <w:t>C、做好值班岗位的卫生工作。</w:t>
      </w:r>
    </w:p>
    <w:p w14:paraId="0A031662">
      <w:pPr>
        <w:pStyle w:val="24"/>
        <w:spacing w:line="360" w:lineRule="exact"/>
        <w:rPr>
          <w:rFonts w:hint="eastAsia" w:ascii="仿宋" w:hAnsi="仿宋" w:eastAsia="仿宋" w:cs="宋体"/>
          <w:bCs/>
          <w:color w:val="auto"/>
          <w:highlight w:val="none"/>
        </w:rPr>
      </w:pPr>
      <w:r>
        <w:rPr>
          <w:rFonts w:hint="eastAsia" w:ascii="仿宋" w:hAnsi="仿宋" w:eastAsia="仿宋" w:cs="宋体"/>
          <w:bCs/>
          <w:color w:val="auto"/>
          <w:highlight w:val="none"/>
        </w:rPr>
        <w:t>D、完成</w:t>
      </w:r>
      <w:r>
        <w:rPr>
          <w:rFonts w:hint="eastAsia" w:ascii="仿宋" w:hAnsi="仿宋" w:eastAsia="仿宋" w:cs="宋体"/>
          <w:bCs/>
          <w:color w:val="auto"/>
          <w:highlight w:val="none"/>
          <w:lang w:val="en-US" w:eastAsia="zh-CN"/>
        </w:rPr>
        <w:t>采购人</w:t>
      </w:r>
      <w:r>
        <w:rPr>
          <w:rFonts w:hint="eastAsia" w:ascii="仿宋" w:hAnsi="仿宋" w:eastAsia="仿宋" w:cs="宋体"/>
          <w:bCs/>
          <w:color w:val="auto"/>
          <w:highlight w:val="none"/>
        </w:rPr>
        <w:t>交办的其他工作。</w:t>
      </w:r>
    </w:p>
    <w:p w14:paraId="040E7C47">
      <w:pPr>
        <w:pStyle w:val="24"/>
        <w:spacing w:line="360" w:lineRule="exact"/>
        <w:ind w:firstLine="482"/>
        <w:rPr>
          <w:rFonts w:hint="eastAsia" w:ascii="仿宋" w:hAnsi="仿宋" w:eastAsia="仿宋" w:cs="宋体"/>
          <w:b/>
          <w:color w:val="auto"/>
          <w:highlight w:val="none"/>
        </w:rPr>
      </w:pPr>
      <w:r>
        <w:rPr>
          <w:rFonts w:hint="eastAsia" w:ascii="仿宋" w:hAnsi="仿宋" w:eastAsia="仿宋" w:cs="宋体"/>
          <w:b/>
          <w:color w:val="auto"/>
          <w:highlight w:val="none"/>
        </w:rPr>
        <w:t>②巡逻检查：</w:t>
      </w:r>
    </w:p>
    <w:p w14:paraId="2EF2F9A5">
      <w:pPr>
        <w:pStyle w:val="24"/>
        <w:spacing w:line="360" w:lineRule="exact"/>
        <w:rPr>
          <w:rFonts w:hint="eastAsia" w:ascii="仿宋" w:hAnsi="仿宋" w:eastAsia="仿宋" w:cs="宋体"/>
          <w:bCs/>
          <w:color w:val="auto"/>
          <w:highlight w:val="none"/>
        </w:rPr>
      </w:pPr>
      <w:r>
        <w:rPr>
          <w:rFonts w:hint="eastAsia" w:ascii="仿宋" w:hAnsi="仿宋" w:eastAsia="仿宋" w:cs="宋体"/>
          <w:bCs/>
          <w:color w:val="auto"/>
          <w:highlight w:val="none"/>
        </w:rPr>
        <w:t>A、巡逻人员要认真负责，提高警惕，注意发现可疑人员及可疑情况，及时汇报并制止违反规定的行为。</w:t>
      </w:r>
    </w:p>
    <w:p w14:paraId="7A96312B">
      <w:pPr>
        <w:pStyle w:val="24"/>
        <w:spacing w:line="360" w:lineRule="exact"/>
        <w:rPr>
          <w:rFonts w:hint="eastAsia" w:ascii="仿宋" w:hAnsi="仿宋" w:eastAsia="仿宋" w:cs="宋体"/>
          <w:bCs/>
          <w:color w:val="auto"/>
          <w:highlight w:val="none"/>
        </w:rPr>
      </w:pPr>
      <w:r>
        <w:rPr>
          <w:rFonts w:hint="eastAsia" w:ascii="仿宋" w:hAnsi="仿宋" w:eastAsia="仿宋" w:cs="宋体"/>
          <w:bCs/>
          <w:color w:val="auto"/>
          <w:highlight w:val="none"/>
        </w:rPr>
        <w:t>B、发现反常或意外情况，除及时向领导报告外，要采取必要措施以防止火灾事故及破坏行为的发生。</w:t>
      </w:r>
    </w:p>
    <w:p w14:paraId="484C8E6F">
      <w:pPr>
        <w:pStyle w:val="24"/>
        <w:spacing w:line="360" w:lineRule="exact"/>
        <w:rPr>
          <w:rFonts w:hint="eastAsia" w:ascii="仿宋" w:hAnsi="仿宋" w:eastAsia="仿宋" w:cs="宋体"/>
          <w:bCs/>
          <w:color w:val="auto"/>
          <w:highlight w:val="none"/>
        </w:rPr>
      </w:pPr>
      <w:r>
        <w:rPr>
          <w:rFonts w:hint="eastAsia" w:ascii="仿宋" w:hAnsi="仿宋" w:eastAsia="仿宋" w:cs="宋体"/>
          <w:bCs/>
          <w:color w:val="auto"/>
          <w:highlight w:val="none"/>
        </w:rPr>
        <w:t>C、发现偷盗、闹事、斗殴、凶杀、放火、投毒、爆炸等犯罪分子，要坚决果断地采取措施，力争抓获犯罪分子。</w:t>
      </w:r>
    </w:p>
    <w:p w14:paraId="7EE6BCE2">
      <w:pPr>
        <w:pStyle w:val="24"/>
        <w:spacing w:line="360" w:lineRule="exact"/>
        <w:rPr>
          <w:rFonts w:hint="eastAsia" w:ascii="仿宋" w:hAnsi="仿宋" w:eastAsia="仿宋" w:cs="宋体"/>
          <w:bCs/>
          <w:color w:val="auto"/>
          <w:highlight w:val="none"/>
        </w:rPr>
      </w:pPr>
      <w:r>
        <w:rPr>
          <w:rFonts w:hint="eastAsia" w:ascii="仿宋" w:hAnsi="仿宋" w:eastAsia="仿宋" w:cs="宋体"/>
          <w:bCs/>
          <w:color w:val="auto"/>
          <w:highlight w:val="none"/>
        </w:rPr>
        <w:t>D、若发现盗窃、凶案、火灾、投毒、损毁财物，以及一切有现场的案件或事件，要妥善保护好现场、迅速上报并积极协助调查。</w:t>
      </w:r>
    </w:p>
    <w:p w14:paraId="70C31E4F">
      <w:pPr>
        <w:pStyle w:val="24"/>
        <w:spacing w:line="360" w:lineRule="exact"/>
        <w:rPr>
          <w:rFonts w:hint="eastAsia" w:ascii="仿宋" w:hAnsi="仿宋" w:eastAsia="仿宋" w:cs="宋体"/>
          <w:bCs/>
          <w:color w:val="auto"/>
          <w:highlight w:val="none"/>
        </w:rPr>
      </w:pPr>
      <w:r>
        <w:rPr>
          <w:rFonts w:hint="eastAsia" w:ascii="仿宋" w:hAnsi="仿宋" w:eastAsia="仿宋" w:cs="宋体"/>
          <w:bCs/>
          <w:color w:val="auto"/>
          <w:highlight w:val="none"/>
        </w:rPr>
        <w:t>E、巡逻人员要定时定点查看，对重要部门、要害部位要勤查看，做好巡逻记录。法定节假日或者重大事件时，增加巡逻强度，确保在契约期间的治安消防保卫工作不出问题。</w:t>
      </w:r>
    </w:p>
    <w:p w14:paraId="3D1690E6">
      <w:pPr>
        <w:pStyle w:val="24"/>
        <w:spacing w:line="360" w:lineRule="exact"/>
        <w:rPr>
          <w:rFonts w:hint="eastAsia" w:ascii="仿宋" w:hAnsi="仿宋" w:eastAsia="仿宋" w:cs="宋体"/>
          <w:bCs/>
          <w:color w:val="auto"/>
          <w:highlight w:val="none"/>
        </w:rPr>
      </w:pPr>
      <w:r>
        <w:rPr>
          <w:rFonts w:hint="eastAsia" w:ascii="仿宋" w:hAnsi="仿宋" w:eastAsia="仿宋" w:cs="宋体"/>
          <w:bCs/>
          <w:color w:val="auto"/>
          <w:highlight w:val="none"/>
        </w:rPr>
        <w:t>F、巡逻人员应熟练掌握灭火常识，会使用消防器材，对初起火灾能及时扑灭。</w:t>
      </w:r>
    </w:p>
    <w:p w14:paraId="397CA8F2">
      <w:pPr>
        <w:pStyle w:val="24"/>
        <w:spacing w:line="360" w:lineRule="exact"/>
        <w:ind w:firstLine="0" w:firstLineChars="0"/>
        <w:rPr>
          <w:rFonts w:hint="eastAsia" w:ascii="仿宋" w:hAnsi="仿宋" w:eastAsia="仿宋" w:cs="宋体"/>
          <w:b/>
          <w:color w:val="auto"/>
          <w:highlight w:val="none"/>
        </w:rPr>
      </w:pPr>
      <w:bookmarkStart w:id="28" w:name="_Toc5973"/>
      <w:r>
        <w:rPr>
          <w:rFonts w:hint="eastAsia" w:ascii="仿宋" w:hAnsi="仿宋" w:eastAsia="仿宋" w:cs="宋体"/>
          <w:b/>
          <w:color w:val="auto"/>
          <w:highlight w:val="none"/>
        </w:rPr>
        <w:t>三、人员配置要求</w:t>
      </w:r>
      <w:bookmarkEnd w:id="28"/>
    </w:p>
    <w:p w14:paraId="043E960E">
      <w:pPr>
        <w:pStyle w:val="24"/>
        <w:spacing w:line="360" w:lineRule="exact"/>
        <w:rPr>
          <w:rFonts w:hint="eastAsia" w:ascii="仿宋" w:hAnsi="仿宋" w:eastAsia="仿宋" w:cs="宋体"/>
          <w:bCs/>
          <w:color w:val="auto"/>
          <w:highlight w:val="none"/>
        </w:rPr>
      </w:pPr>
      <w:bookmarkStart w:id="29" w:name="_Toc4739"/>
      <w:bookmarkStart w:id="30" w:name="_Toc223249715"/>
      <w:bookmarkStart w:id="31" w:name="_Toc427331322"/>
      <w:bookmarkStart w:id="32" w:name="_Toc25493"/>
      <w:bookmarkStart w:id="33" w:name="_Toc418865232"/>
      <w:bookmarkStart w:id="34" w:name="_Toc421285404"/>
      <w:bookmarkStart w:id="35" w:name="_Toc132888837"/>
      <w:r>
        <w:rPr>
          <w:rFonts w:hint="eastAsia" w:ascii="仿宋" w:hAnsi="仿宋" w:eastAsia="仿宋" w:cs="宋体"/>
          <w:bCs/>
          <w:color w:val="auto"/>
          <w:highlight w:val="none"/>
        </w:rPr>
        <w:t>1、以下规定了供应商人员配备数量的最低要求：</w:t>
      </w:r>
    </w:p>
    <w:p w14:paraId="4F84B660">
      <w:pPr>
        <w:pStyle w:val="24"/>
        <w:spacing w:line="360" w:lineRule="exact"/>
        <w:rPr>
          <w:rFonts w:hint="eastAsia" w:ascii="仿宋" w:hAnsi="仿宋" w:eastAsia="仿宋" w:cs="宋体"/>
          <w:bCs/>
          <w:color w:val="auto"/>
          <w:highlight w:val="none"/>
        </w:rPr>
      </w:pPr>
      <w:r>
        <w:rPr>
          <w:rFonts w:hint="eastAsia" w:ascii="仿宋" w:hAnsi="仿宋" w:eastAsia="仿宋"/>
          <w:snapToGrid w:val="0"/>
          <w:color w:val="auto"/>
          <w:kern w:val="0"/>
          <w:highlight w:val="none"/>
        </w:rPr>
        <w:t>每日设置10个岗位（东、西区各5个岗位），确保每岗至少有1人，每日每岗累计工作时长不得少于12小时</w:t>
      </w:r>
      <w:r>
        <w:rPr>
          <w:rFonts w:hint="eastAsia" w:ascii="仿宋" w:hAnsi="仿宋" w:eastAsia="仿宋"/>
          <w:color w:val="auto"/>
          <w:highlight w:val="none"/>
        </w:rPr>
        <w:t>（</w:t>
      </w:r>
      <w:r>
        <w:rPr>
          <w:rFonts w:hint="eastAsia" w:ascii="仿宋" w:hAnsi="仿宋" w:eastAsia="仿宋" w:cs="宋体"/>
          <w:bCs/>
          <w:color w:val="auto"/>
          <w:highlight w:val="none"/>
        </w:rPr>
        <w:t>供应商</w:t>
      </w:r>
      <w:r>
        <w:rPr>
          <w:rFonts w:hint="eastAsia" w:ascii="仿宋" w:hAnsi="仿宋" w:eastAsia="仿宋"/>
          <w:color w:val="auto"/>
          <w:highlight w:val="none"/>
        </w:rPr>
        <w:t>需确保其委</w:t>
      </w:r>
      <w:r>
        <w:rPr>
          <w:rFonts w:hint="eastAsia" w:ascii="仿宋" w:hAnsi="仿宋" w:eastAsia="仿宋"/>
          <w:snapToGrid w:val="0"/>
          <w:color w:val="auto"/>
          <w:kern w:val="0"/>
          <w:highlight w:val="none"/>
        </w:rPr>
        <w:t>派人员工作时间符合《劳动合同法》相关规定）。</w:t>
      </w:r>
      <w:r>
        <w:rPr>
          <w:rFonts w:hint="eastAsia" w:ascii="仿宋" w:hAnsi="仿宋" w:eastAsia="仿宋" w:cs="宋体"/>
          <w:bCs/>
          <w:color w:val="auto"/>
          <w:highlight w:val="none"/>
        </w:rPr>
        <w:t>所需安保人员为男性，身高1.70米（含）以上，五官端正，身体健康，双眼裸视 1.0以上，无残疾，无纹身，普通话标准；具备高中以上学历，初次入职年龄不超过30周岁（含本数）；中共党员、退伍军人、有特殊技能专长的优先录用；未通过体能测试及背景审查的人员不得入职。</w:t>
      </w:r>
    </w:p>
    <w:p w14:paraId="439C204B">
      <w:pPr>
        <w:pStyle w:val="24"/>
        <w:numPr>
          <w:ilvl w:val="0"/>
          <w:numId w:val="2"/>
        </w:numPr>
        <w:spacing w:line="360" w:lineRule="exact"/>
        <w:ind w:firstLineChars="0"/>
        <w:rPr>
          <w:rFonts w:hint="eastAsia" w:ascii="仿宋" w:hAnsi="仿宋" w:eastAsia="仿宋" w:cs="宋体"/>
          <w:bCs/>
          <w:color w:val="auto"/>
          <w:highlight w:val="none"/>
        </w:rPr>
      </w:pPr>
      <w:r>
        <w:rPr>
          <w:rFonts w:hint="eastAsia" w:ascii="仿宋" w:hAnsi="仿宋" w:eastAsia="仿宋" w:cs="宋体"/>
          <w:bCs/>
          <w:color w:val="auto"/>
          <w:highlight w:val="none"/>
        </w:rPr>
        <w:t>所有安保人员必须持保安员证上岗。</w:t>
      </w:r>
    </w:p>
    <w:p w14:paraId="1C0B75B7">
      <w:pPr>
        <w:pStyle w:val="24"/>
        <w:numPr>
          <w:ilvl w:val="0"/>
          <w:numId w:val="2"/>
        </w:numPr>
        <w:spacing w:line="360" w:lineRule="exact"/>
        <w:ind w:firstLineChars="0"/>
        <w:rPr>
          <w:rFonts w:hint="eastAsia" w:ascii="仿宋" w:hAnsi="仿宋" w:eastAsia="仿宋"/>
          <w:color w:val="auto"/>
          <w:highlight w:val="none"/>
        </w:rPr>
      </w:pPr>
      <w:r>
        <w:rPr>
          <w:rFonts w:hint="eastAsia" w:ascii="仿宋" w:hAnsi="仿宋" w:eastAsia="仿宋"/>
          <w:color w:val="auto"/>
          <w:highlight w:val="none"/>
        </w:rPr>
        <w:t>非工作时段，发生需要战鹰出勤的突发事件，</w:t>
      </w:r>
      <w:r>
        <w:rPr>
          <w:rFonts w:hint="eastAsia" w:ascii="仿宋" w:hAnsi="仿宋" w:eastAsia="仿宋" w:cs="宋体"/>
          <w:bCs/>
          <w:color w:val="auto"/>
          <w:highlight w:val="none"/>
        </w:rPr>
        <w:t>中标供应商</w:t>
      </w:r>
      <w:r>
        <w:rPr>
          <w:rFonts w:hint="eastAsia" w:ascii="仿宋" w:hAnsi="仿宋" w:eastAsia="仿宋"/>
          <w:color w:val="auto"/>
          <w:highlight w:val="none"/>
        </w:rPr>
        <w:t>需保证战鹰至少5人要在规定时间内赶赴现场。</w:t>
      </w:r>
    </w:p>
    <w:p w14:paraId="2D98596C">
      <w:pPr>
        <w:pStyle w:val="24"/>
        <w:numPr>
          <w:ilvl w:val="0"/>
          <w:numId w:val="2"/>
        </w:numPr>
        <w:spacing w:line="360" w:lineRule="exact"/>
        <w:ind w:firstLineChars="0"/>
        <w:rPr>
          <w:rFonts w:hint="eastAsia" w:ascii="仿宋" w:hAnsi="仿宋" w:eastAsia="仿宋"/>
          <w:color w:val="auto"/>
          <w:highlight w:val="none"/>
        </w:rPr>
      </w:pPr>
      <w:r>
        <w:rPr>
          <w:rFonts w:hint="eastAsia" w:ascii="仿宋" w:hAnsi="仿宋" w:eastAsia="仿宋"/>
          <w:color w:val="auto"/>
          <w:highlight w:val="none"/>
        </w:rPr>
        <w:t>特殊时间节点，需适当延长工作时长，</w:t>
      </w:r>
      <w:r>
        <w:rPr>
          <w:rFonts w:hint="eastAsia" w:ascii="仿宋" w:hAnsi="仿宋" w:eastAsia="仿宋" w:cs="宋体"/>
          <w:bCs/>
          <w:color w:val="auto"/>
          <w:highlight w:val="none"/>
        </w:rPr>
        <w:t>中标供应商</w:t>
      </w:r>
      <w:r>
        <w:rPr>
          <w:rFonts w:hint="eastAsia" w:ascii="仿宋" w:hAnsi="仿宋" w:eastAsia="仿宋"/>
          <w:color w:val="auto"/>
          <w:highlight w:val="none"/>
        </w:rPr>
        <w:t>应对人员及时间予以协调，确保既能符合</w:t>
      </w:r>
      <w:r>
        <w:rPr>
          <w:rFonts w:hint="eastAsia" w:ascii="仿宋" w:hAnsi="仿宋" w:eastAsia="仿宋"/>
          <w:color w:val="auto"/>
          <w:highlight w:val="none"/>
          <w:lang w:val="en-US" w:eastAsia="zh-CN"/>
        </w:rPr>
        <w:t>采购人</w:t>
      </w:r>
      <w:r>
        <w:rPr>
          <w:rFonts w:hint="eastAsia" w:ascii="仿宋" w:hAnsi="仿宋" w:eastAsia="仿宋"/>
          <w:color w:val="auto"/>
          <w:highlight w:val="none"/>
        </w:rPr>
        <w:t>的实际要求，又能符合法律相关规定。</w:t>
      </w:r>
    </w:p>
    <w:p w14:paraId="0CD8C5D7">
      <w:pPr>
        <w:pStyle w:val="24"/>
        <w:spacing w:line="360" w:lineRule="exact"/>
        <w:rPr>
          <w:rFonts w:hint="eastAsia" w:ascii="仿宋" w:hAnsi="仿宋" w:eastAsia="仿宋" w:cs="宋体"/>
          <w:bCs/>
          <w:color w:val="auto"/>
          <w:highlight w:val="none"/>
        </w:rPr>
      </w:pPr>
      <w:r>
        <w:rPr>
          <w:rFonts w:hint="eastAsia" w:ascii="仿宋" w:hAnsi="仿宋" w:eastAsia="仿宋" w:cs="宋体"/>
          <w:bCs/>
          <w:color w:val="auto"/>
          <w:highlight w:val="none"/>
        </w:rPr>
        <w:t>5、中标供应商必须在合同签订前提供所有保安人员的有效公安机关颁发的《保安员证》原件供采购人审核，并须经过杭州市公安局备案合格，如果中标供应商不能提供所有保安人员的有效《保安员证》原件，或保安人员不能通过杭州市公安局备案，则采购人有权废除中标供应商的中标资格。</w:t>
      </w:r>
    </w:p>
    <w:p w14:paraId="61EAD88D">
      <w:pPr>
        <w:pStyle w:val="24"/>
        <w:spacing w:line="360" w:lineRule="exact"/>
        <w:rPr>
          <w:rFonts w:hint="eastAsia" w:ascii="仿宋" w:hAnsi="仿宋" w:eastAsia="仿宋" w:cs="宋体"/>
          <w:bCs/>
          <w:color w:val="auto"/>
          <w:highlight w:val="none"/>
        </w:rPr>
      </w:pPr>
      <w:r>
        <w:rPr>
          <w:rFonts w:hint="eastAsia" w:ascii="仿宋" w:hAnsi="仿宋" w:eastAsia="仿宋" w:cs="宋体"/>
          <w:bCs/>
          <w:color w:val="auto"/>
          <w:highlight w:val="none"/>
        </w:rPr>
        <w:t>6、所有保安人员必须专职为杭州东站枢纽管理委员会服务，不得兼职。中标后保安服务人员需要更换，须及时上报采购人，经采购人认可后方可更换。</w:t>
      </w:r>
    </w:p>
    <w:bookmarkEnd w:id="29"/>
    <w:p w14:paraId="5DCF3EB0">
      <w:pPr>
        <w:pStyle w:val="24"/>
        <w:spacing w:line="360" w:lineRule="exact"/>
        <w:ind w:firstLine="0" w:firstLineChars="0"/>
        <w:rPr>
          <w:rFonts w:hint="eastAsia" w:ascii="仿宋" w:hAnsi="仿宋" w:eastAsia="仿宋" w:cs="宋体"/>
          <w:b/>
          <w:color w:val="auto"/>
          <w:highlight w:val="none"/>
        </w:rPr>
      </w:pPr>
      <w:bookmarkStart w:id="36" w:name="_Toc626"/>
      <w:r>
        <w:rPr>
          <w:rFonts w:hint="eastAsia" w:ascii="仿宋" w:hAnsi="仿宋" w:eastAsia="仿宋" w:cs="宋体"/>
          <w:b/>
          <w:color w:val="auto"/>
          <w:highlight w:val="none"/>
        </w:rPr>
        <w:t>四、相关场地、装备提供</w:t>
      </w:r>
      <w:bookmarkEnd w:id="36"/>
    </w:p>
    <w:bookmarkEnd w:id="30"/>
    <w:bookmarkEnd w:id="31"/>
    <w:bookmarkEnd w:id="32"/>
    <w:bookmarkEnd w:id="33"/>
    <w:bookmarkEnd w:id="34"/>
    <w:bookmarkEnd w:id="35"/>
    <w:p w14:paraId="4E589DC9">
      <w:pPr>
        <w:pStyle w:val="24"/>
        <w:spacing w:line="360" w:lineRule="exact"/>
        <w:rPr>
          <w:rFonts w:hint="eastAsia" w:ascii="仿宋" w:hAnsi="仿宋" w:eastAsia="仿宋" w:cs="宋体"/>
          <w:bCs/>
          <w:color w:val="auto"/>
          <w:highlight w:val="none"/>
        </w:rPr>
      </w:pPr>
      <w:bookmarkStart w:id="37" w:name="_Toc23078"/>
      <w:r>
        <w:rPr>
          <w:rFonts w:hint="eastAsia" w:ascii="仿宋" w:hAnsi="仿宋" w:eastAsia="仿宋" w:cs="宋体"/>
          <w:bCs/>
          <w:color w:val="auto"/>
          <w:highlight w:val="none"/>
        </w:rPr>
        <w:t>1、采购人提供主管人员的办公场地，但办公用品由供应商自行解决。</w:t>
      </w:r>
    </w:p>
    <w:p w14:paraId="2FB815F4">
      <w:pPr>
        <w:pStyle w:val="24"/>
        <w:spacing w:line="360" w:lineRule="exact"/>
        <w:rPr>
          <w:rFonts w:hint="eastAsia" w:ascii="仿宋" w:hAnsi="仿宋" w:eastAsia="仿宋" w:cs="宋体"/>
          <w:bCs/>
          <w:color w:val="auto"/>
          <w:highlight w:val="none"/>
        </w:rPr>
      </w:pPr>
      <w:r>
        <w:rPr>
          <w:rFonts w:hint="eastAsia" w:ascii="仿宋" w:hAnsi="仿宋" w:eastAsia="仿宋" w:cs="宋体"/>
          <w:bCs/>
          <w:color w:val="auto"/>
          <w:highlight w:val="none"/>
        </w:rPr>
        <w:t>2、安保装备由供应商自行负责。</w:t>
      </w:r>
    </w:p>
    <w:p w14:paraId="34E27D07">
      <w:pPr>
        <w:pStyle w:val="24"/>
        <w:spacing w:line="360" w:lineRule="exact"/>
        <w:rPr>
          <w:rFonts w:hint="eastAsia" w:ascii="仿宋" w:hAnsi="仿宋" w:eastAsia="仿宋" w:cs="宋体"/>
          <w:bCs/>
          <w:color w:val="auto"/>
          <w:highlight w:val="none"/>
        </w:rPr>
      </w:pPr>
      <w:r>
        <w:rPr>
          <w:rFonts w:hint="eastAsia" w:ascii="仿宋" w:hAnsi="仿宋" w:eastAsia="仿宋" w:cs="宋体"/>
          <w:bCs/>
          <w:color w:val="auto"/>
          <w:highlight w:val="none"/>
        </w:rPr>
        <w:t>3、相关安保人员服装由中标供应商提供，标准如下：</w:t>
      </w:r>
    </w:p>
    <w:p w14:paraId="338C2FD6">
      <w:pPr>
        <w:pStyle w:val="24"/>
        <w:spacing w:line="360" w:lineRule="exact"/>
        <w:rPr>
          <w:rFonts w:hint="eastAsia" w:ascii="仿宋" w:hAnsi="仿宋" w:eastAsia="仿宋"/>
          <w:color w:val="auto"/>
          <w:highlight w:val="none"/>
        </w:rPr>
      </w:pPr>
      <w:r>
        <w:rPr>
          <w:rFonts w:hint="eastAsia" w:ascii="仿宋" w:hAnsi="仿宋" w:eastAsia="仿宋" w:cs="宋体"/>
          <w:bCs/>
          <w:color w:val="auto"/>
          <w:highlight w:val="none"/>
        </w:rPr>
        <w:t>每人需配发</w:t>
      </w:r>
      <w:r>
        <w:rPr>
          <w:rFonts w:hint="eastAsia" w:ascii="仿宋" w:hAnsi="仿宋" w:eastAsia="仿宋"/>
          <w:color w:val="auto"/>
          <w:highlight w:val="none"/>
        </w:rPr>
        <w:t>春、秋战训服两套 （含帽子），冬季战训服两套（含帽子），夏季短袖T恤两套 ，冬季、夏季作战靴各两双，标志和肩章两套，冬大衣一</w:t>
      </w:r>
      <w:r>
        <w:rPr>
          <w:rFonts w:hint="eastAsia" w:ascii="仿宋" w:hAnsi="仿宋" w:eastAsia="仿宋"/>
          <w:color w:val="auto"/>
          <w:highlight w:val="none"/>
          <w:lang w:eastAsia="zh-CN"/>
        </w:rPr>
        <w:t>件</w:t>
      </w:r>
      <w:r>
        <w:rPr>
          <w:rFonts w:hint="eastAsia" w:ascii="仿宋" w:hAnsi="仿宋" w:eastAsia="仿宋"/>
          <w:color w:val="auto"/>
          <w:highlight w:val="none"/>
        </w:rPr>
        <w:t>，警用内置毛衣一件，战术手套一副，战术背心一套，服装制式、款式、材质等需符合采购方特色并征得采购方同意。</w:t>
      </w:r>
    </w:p>
    <w:bookmarkEnd w:id="37"/>
    <w:p w14:paraId="779FDEA7">
      <w:pPr>
        <w:pStyle w:val="24"/>
        <w:numPr>
          <w:ilvl w:val="0"/>
          <w:numId w:val="3"/>
        </w:numPr>
        <w:spacing w:line="360" w:lineRule="exact"/>
        <w:ind w:firstLine="0" w:firstLineChars="0"/>
        <w:rPr>
          <w:rFonts w:hint="eastAsia" w:ascii="仿宋" w:hAnsi="仿宋" w:eastAsia="仿宋" w:cs="宋体"/>
          <w:b/>
          <w:color w:val="auto"/>
          <w:highlight w:val="none"/>
        </w:rPr>
      </w:pPr>
      <w:bookmarkStart w:id="38" w:name="_Toc13538"/>
      <w:r>
        <w:rPr>
          <w:rFonts w:hint="eastAsia" w:ascii="仿宋" w:hAnsi="仿宋" w:eastAsia="仿宋" w:cs="宋体"/>
          <w:b/>
          <w:color w:val="auto"/>
          <w:highlight w:val="none"/>
        </w:rPr>
        <w:t>服务质量要求</w:t>
      </w:r>
      <w:bookmarkEnd w:id="38"/>
    </w:p>
    <w:p w14:paraId="14D0C854">
      <w:pPr>
        <w:pStyle w:val="24"/>
        <w:spacing w:line="360" w:lineRule="exact"/>
        <w:rPr>
          <w:rFonts w:hint="eastAsia" w:ascii="仿宋" w:hAnsi="仿宋" w:eastAsia="仿宋" w:cs="宋体"/>
          <w:bCs/>
          <w:color w:val="auto"/>
          <w:highlight w:val="none"/>
        </w:rPr>
      </w:pPr>
      <w:r>
        <w:rPr>
          <w:rFonts w:hint="eastAsia" w:ascii="仿宋" w:hAnsi="仿宋" w:eastAsia="仿宋" w:cs="宋体"/>
          <w:bCs/>
          <w:color w:val="auto"/>
          <w:highlight w:val="none"/>
        </w:rPr>
        <w:t>1、各供应商需本着对企业品牌的延伸，以社会效益为重的原则进行报价。</w:t>
      </w:r>
    </w:p>
    <w:p w14:paraId="1961D5B8">
      <w:pPr>
        <w:pStyle w:val="24"/>
        <w:spacing w:line="360" w:lineRule="exact"/>
        <w:rPr>
          <w:rFonts w:hint="eastAsia" w:ascii="仿宋" w:hAnsi="仿宋" w:eastAsia="仿宋" w:cs="宋体"/>
          <w:bCs/>
          <w:color w:val="auto"/>
          <w:highlight w:val="none"/>
        </w:rPr>
      </w:pPr>
      <w:r>
        <w:rPr>
          <w:rFonts w:hint="eastAsia" w:ascii="仿宋" w:hAnsi="仿宋" w:eastAsia="仿宋" w:cs="宋体"/>
          <w:bCs/>
          <w:color w:val="auto"/>
          <w:highlight w:val="none"/>
        </w:rPr>
        <w:t>2、各供应商须在对现场、周边环境全面了解的情况下编制科学合理、切实可行的组织实施计划以及具体的保障措施、工作程序。</w:t>
      </w:r>
    </w:p>
    <w:p w14:paraId="6D10C1A9">
      <w:pPr>
        <w:pStyle w:val="24"/>
        <w:spacing w:line="360" w:lineRule="exact"/>
        <w:rPr>
          <w:rFonts w:hint="eastAsia" w:ascii="仿宋" w:hAnsi="仿宋" w:eastAsia="仿宋" w:cs="宋体"/>
          <w:bCs/>
          <w:color w:val="auto"/>
          <w:highlight w:val="none"/>
        </w:rPr>
      </w:pPr>
      <w:r>
        <w:rPr>
          <w:rFonts w:hint="eastAsia" w:ascii="仿宋" w:hAnsi="仿宋" w:eastAsia="仿宋" w:cs="宋体"/>
          <w:bCs/>
          <w:color w:val="auto"/>
          <w:highlight w:val="none"/>
        </w:rPr>
        <w:t>3、服务质量标准要求按采购人要求订立服务规程。供应商应制订具体的质量保证措施及质量保证和相关服务承诺。如因质量未达到目标，供应商应因此承担责任和经济赔偿。</w:t>
      </w:r>
    </w:p>
    <w:p w14:paraId="51788D39">
      <w:pPr>
        <w:pStyle w:val="24"/>
        <w:spacing w:line="360" w:lineRule="exact"/>
        <w:rPr>
          <w:rFonts w:hint="eastAsia" w:ascii="仿宋" w:hAnsi="仿宋" w:eastAsia="仿宋" w:cs="宋体"/>
          <w:bCs/>
          <w:color w:val="auto"/>
          <w:highlight w:val="none"/>
        </w:rPr>
      </w:pPr>
      <w:r>
        <w:rPr>
          <w:rFonts w:hint="eastAsia" w:ascii="仿宋" w:hAnsi="仿宋" w:eastAsia="仿宋" w:cs="宋体"/>
          <w:bCs/>
          <w:color w:val="auto"/>
          <w:highlight w:val="none"/>
        </w:rPr>
        <w:t>4、供应商须按现代企业制度运行，发挥自身优势，以热心、爱心、专心、贴心的服务，为浙江省杭州东站枢纽管理委员会提供全方位、一体化的专业服务保障。</w:t>
      </w:r>
    </w:p>
    <w:p w14:paraId="048D2279">
      <w:pPr>
        <w:pStyle w:val="24"/>
        <w:spacing w:line="360" w:lineRule="exact"/>
        <w:rPr>
          <w:rFonts w:hint="eastAsia" w:ascii="仿宋" w:hAnsi="仿宋" w:eastAsia="仿宋" w:cs="宋体"/>
          <w:bCs/>
          <w:color w:val="auto"/>
          <w:highlight w:val="none"/>
        </w:rPr>
      </w:pPr>
      <w:r>
        <w:rPr>
          <w:rFonts w:hint="eastAsia" w:ascii="仿宋" w:hAnsi="仿宋" w:eastAsia="仿宋" w:cs="宋体"/>
          <w:bCs/>
          <w:color w:val="auto"/>
          <w:highlight w:val="none"/>
        </w:rPr>
        <w:t>5、采购人有权在需要时对相关人员做集中调配并以调休、补休等方式进行补偿。此方式供应商必须认可。</w:t>
      </w:r>
    </w:p>
    <w:p w14:paraId="39A5D66E">
      <w:pPr>
        <w:pStyle w:val="24"/>
        <w:spacing w:line="360" w:lineRule="exact"/>
        <w:rPr>
          <w:rFonts w:hint="eastAsia" w:ascii="仿宋" w:hAnsi="仿宋" w:eastAsia="仿宋" w:cs="宋体"/>
          <w:bCs/>
          <w:color w:val="auto"/>
          <w:highlight w:val="none"/>
        </w:rPr>
      </w:pPr>
      <w:r>
        <w:rPr>
          <w:rFonts w:hint="eastAsia" w:ascii="仿宋" w:hAnsi="仿宋" w:eastAsia="仿宋" w:cs="宋体"/>
          <w:bCs/>
          <w:color w:val="auto"/>
          <w:highlight w:val="none"/>
        </w:rPr>
        <w:t>6、供应商达不到采购人要求及供应商投标时各项服务承诺，采购人有权要求其整改并进行罚款，直至终止合同。</w:t>
      </w:r>
    </w:p>
    <w:p w14:paraId="43D75D03">
      <w:pPr>
        <w:pStyle w:val="24"/>
        <w:spacing w:line="360" w:lineRule="exact"/>
        <w:rPr>
          <w:rFonts w:hint="eastAsia" w:ascii="仿宋" w:hAnsi="仿宋" w:eastAsia="仿宋" w:cs="宋体"/>
          <w:bCs/>
          <w:color w:val="auto"/>
          <w:highlight w:val="none"/>
        </w:rPr>
      </w:pPr>
      <w:r>
        <w:rPr>
          <w:rFonts w:hint="eastAsia" w:ascii="仿宋" w:hAnsi="仿宋" w:eastAsia="仿宋" w:cs="宋体"/>
          <w:bCs/>
          <w:color w:val="auto"/>
          <w:highlight w:val="none"/>
        </w:rPr>
        <w:t>7、供应商所有的工作除应按供应商的内部流程实施外还应接受采购人或采购人组织的检查组的检查。</w:t>
      </w:r>
    </w:p>
    <w:p w14:paraId="7191B501">
      <w:pPr>
        <w:pStyle w:val="24"/>
        <w:spacing w:line="360" w:lineRule="exact"/>
        <w:rPr>
          <w:rFonts w:hint="eastAsia" w:ascii="仿宋" w:hAnsi="仿宋" w:eastAsia="仿宋" w:cs="宋体"/>
          <w:bCs/>
          <w:color w:val="auto"/>
          <w:highlight w:val="none"/>
        </w:rPr>
      </w:pPr>
      <w:r>
        <w:rPr>
          <w:rFonts w:hint="eastAsia" w:ascii="仿宋" w:hAnsi="仿宋" w:eastAsia="仿宋" w:cs="宋体"/>
          <w:bCs/>
          <w:color w:val="auto"/>
          <w:highlight w:val="none"/>
        </w:rPr>
        <w:t>8、供应商需制定防暴、群体事件、个人极端等紧急预案，并切实地培训到每个岗位人员。</w:t>
      </w:r>
    </w:p>
    <w:p w14:paraId="0CBCFBAE">
      <w:pPr>
        <w:pStyle w:val="24"/>
        <w:spacing w:line="360" w:lineRule="exact"/>
        <w:rPr>
          <w:rFonts w:hint="eastAsia" w:ascii="仿宋" w:hAnsi="仿宋" w:eastAsia="仿宋" w:cs="宋体"/>
          <w:bCs/>
          <w:color w:val="auto"/>
          <w:highlight w:val="none"/>
        </w:rPr>
      </w:pPr>
      <w:r>
        <w:rPr>
          <w:rFonts w:hint="eastAsia" w:ascii="仿宋" w:hAnsi="仿宋" w:eastAsia="仿宋" w:cs="宋体"/>
          <w:bCs/>
          <w:color w:val="auto"/>
          <w:highlight w:val="none"/>
        </w:rPr>
        <w:t>9、供应商需积极完成政府接待过程中的礼仪（外交、政府级的接待）工作。</w:t>
      </w:r>
    </w:p>
    <w:p w14:paraId="1C36BAAE">
      <w:pPr>
        <w:pStyle w:val="24"/>
        <w:spacing w:line="360" w:lineRule="exact"/>
        <w:ind w:firstLine="0" w:firstLineChars="0"/>
        <w:rPr>
          <w:rFonts w:hint="eastAsia" w:ascii="仿宋" w:hAnsi="仿宋" w:eastAsia="仿宋" w:cs="宋体"/>
          <w:b/>
          <w:color w:val="auto"/>
          <w:highlight w:val="none"/>
        </w:rPr>
      </w:pPr>
      <w:bookmarkStart w:id="39" w:name="_Toc21103"/>
      <w:r>
        <w:rPr>
          <w:rFonts w:hint="eastAsia" w:ascii="仿宋" w:hAnsi="仿宋" w:eastAsia="仿宋" w:cs="宋体"/>
          <w:b/>
          <w:color w:val="auto"/>
          <w:highlight w:val="none"/>
        </w:rPr>
        <w:t>六、合同执行约束</w:t>
      </w:r>
      <w:bookmarkEnd w:id="39"/>
    </w:p>
    <w:p w14:paraId="3020CB16">
      <w:pPr>
        <w:pStyle w:val="24"/>
        <w:spacing w:line="360" w:lineRule="exact"/>
        <w:rPr>
          <w:rFonts w:hint="eastAsia" w:ascii="仿宋" w:hAnsi="仿宋" w:eastAsia="仿宋" w:cs="宋体"/>
          <w:bCs/>
          <w:color w:val="auto"/>
          <w:highlight w:val="none"/>
        </w:rPr>
      </w:pPr>
      <w:r>
        <w:rPr>
          <w:rFonts w:hint="eastAsia" w:ascii="仿宋" w:hAnsi="仿宋" w:eastAsia="仿宋" w:cs="宋体"/>
          <w:bCs/>
          <w:color w:val="auto"/>
          <w:highlight w:val="none"/>
        </w:rPr>
        <w:t>1、采购人可以不定期组织检查班子根据考核要求对中标供应商服务质量进行考核，供应商须无条件接受检查班子的检查，采购人有权根据考核结果对中标供应商进行处罚。</w:t>
      </w:r>
    </w:p>
    <w:p w14:paraId="4404AEB3">
      <w:pPr>
        <w:pStyle w:val="24"/>
        <w:spacing w:line="360" w:lineRule="exact"/>
        <w:rPr>
          <w:rFonts w:hint="eastAsia" w:ascii="仿宋" w:hAnsi="仿宋" w:eastAsia="仿宋" w:cs="宋体"/>
          <w:bCs/>
          <w:color w:val="auto"/>
          <w:highlight w:val="none"/>
        </w:rPr>
      </w:pPr>
      <w:r>
        <w:rPr>
          <w:rFonts w:hint="eastAsia" w:ascii="仿宋" w:hAnsi="仿宋" w:eastAsia="仿宋"/>
          <w:color w:val="auto"/>
          <w:highlight w:val="none"/>
        </w:rPr>
        <w:t>2、供应商及其人员不得以采购人的名义从事任何经济活动，且由此发生的一切债权、债务、损失、对外支出由</w:t>
      </w:r>
      <w:r>
        <w:rPr>
          <w:rFonts w:hint="eastAsia" w:ascii="仿宋" w:hAnsi="仿宋" w:eastAsia="仿宋" w:cs="宋体"/>
          <w:bCs/>
          <w:color w:val="auto"/>
          <w:highlight w:val="none"/>
        </w:rPr>
        <w:t>供应商</w:t>
      </w:r>
      <w:r>
        <w:rPr>
          <w:rFonts w:hint="eastAsia" w:ascii="仿宋" w:hAnsi="仿宋" w:eastAsia="仿宋"/>
          <w:color w:val="auto"/>
          <w:highlight w:val="none"/>
        </w:rPr>
        <w:t>负责，与</w:t>
      </w:r>
      <w:r>
        <w:rPr>
          <w:rFonts w:hint="eastAsia" w:ascii="仿宋" w:hAnsi="仿宋" w:eastAsia="仿宋"/>
          <w:color w:val="auto"/>
          <w:highlight w:val="none"/>
          <w:lang w:val="en-US" w:eastAsia="zh-CN"/>
        </w:rPr>
        <w:t>采购人</w:t>
      </w:r>
      <w:r>
        <w:rPr>
          <w:rFonts w:hint="eastAsia" w:ascii="仿宋" w:hAnsi="仿宋" w:eastAsia="仿宋"/>
          <w:color w:val="auto"/>
          <w:highlight w:val="none"/>
        </w:rPr>
        <w:t>无关。</w:t>
      </w:r>
    </w:p>
    <w:p w14:paraId="787935C0">
      <w:pPr>
        <w:pStyle w:val="24"/>
        <w:spacing w:line="360" w:lineRule="exact"/>
        <w:ind w:firstLine="0" w:firstLineChars="0"/>
        <w:rPr>
          <w:rFonts w:hint="eastAsia" w:ascii="仿宋" w:hAnsi="仿宋" w:eastAsia="仿宋" w:cs="宋体"/>
          <w:b/>
          <w:color w:val="auto"/>
          <w:highlight w:val="none"/>
        </w:rPr>
      </w:pPr>
      <w:bookmarkStart w:id="40" w:name="_Toc27296"/>
      <w:r>
        <w:rPr>
          <w:rFonts w:hint="eastAsia" w:ascii="仿宋" w:hAnsi="仿宋" w:eastAsia="仿宋" w:cs="宋体"/>
          <w:b/>
          <w:color w:val="auto"/>
          <w:highlight w:val="none"/>
        </w:rPr>
        <w:t>七、报价要求</w:t>
      </w:r>
      <w:bookmarkEnd w:id="40"/>
    </w:p>
    <w:p w14:paraId="21978A16">
      <w:pPr>
        <w:pStyle w:val="24"/>
        <w:spacing w:line="360" w:lineRule="exact"/>
        <w:rPr>
          <w:rFonts w:hint="eastAsia" w:ascii="仿宋" w:hAnsi="仿宋" w:eastAsia="仿宋" w:cs="宋体"/>
          <w:bCs/>
          <w:color w:val="auto"/>
          <w:highlight w:val="none"/>
        </w:rPr>
      </w:pPr>
      <w:r>
        <w:rPr>
          <w:rFonts w:hint="eastAsia" w:ascii="仿宋" w:hAnsi="仿宋" w:eastAsia="仿宋" w:cs="宋体"/>
          <w:bCs/>
          <w:color w:val="auto"/>
          <w:highlight w:val="none"/>
        </w:rPr>
        <w:t>1、投标人应考虑企业自身实力、经验及项目实施过程中的各种因素，根据采购要求，详细说明所能提供的各项具体服务内容，自主确定报价，实行总价包干，并按服务的内容分别独立报价并提供报价组成与成本分析。</w:t>
      </w:r>
    </w:p>
    <w:p w14:paraId="394BB5A4">
      <w:pPr>
        <w:pStyle w:val="24"/>
        <w:spacing w:line="360" w:lineRule="exact"/>
        <w:rPr>
          <w:rFonts w:hint="eastAsia" w:ascii="仿宋" w:hAnsi="仿宋" w:eastAsia="仿宋" w:cs="宋体"/>
          <w:bCs/>
          <w:color w:val="auto"/>
          <w:highlight w:val="none"/>
        </w:rPr>
      </w:pPr>
      <w:r>
        <w:rPr>
          <w:rFonts w:hint="eastAsia" w:ascii="仿宋" w:hAnsi="仿宋" w:eastAsia="仿宋" w:cs="宋体"/>
          <w:bCs/>
          <w:color w:val="auto"/>
          <w:highlight w:val="none"/>
        </w:rPr>
        <w:t>2、投标人的报价应包括为完成本项目服务可能发生的全部费用及投标人的利润和应交纳的税金等（包括人员工资、各种社会保险、人员食宿与交通、办公费等）。投标人对合同内容的费用、质量、安全、文明服务等实行全面承包。</w:t>
      </w:r>
    </w:p>
    <w:p w14:paraId="03CDC51A">
      <w:pPr>
        <w:pStyle w:val="24"/>
        <w:spacing w:line="360" w:lineRule="exact"/>
        <w:rPr>
          <w:rFonts w:hint="eastAsia" w:ascii="仿宋" w:hAnsi="仿宋" w:eastAsia="仿宋" w:cs="宋体"/>
          <w:bCs/>
          <w:color w:val="auto"/>
          <w:highlight w:val="none"/>
        </w:rPr>
      </w:pPr>
      <w:r>
        <w:rPr>
          <w:rFonts w:hint="eastAsia" w:ascii="仿宋" w:hAnsi="仿宋" w:eastAsia="仿宋" w:cs="宋体"/>
          <w:bCs/>
          <w:color w:val="auto"/>
          <w:highlight w:val="none"/>
        </w:rPr>
        <w:t>▲3、投标人员工基本工资不得低于当年杭州市最低工资标准。</w:t>
      </w:r>
    </w:p>
    <w:p w14:paraId="0A38B565">
      <w:pPr>
        <w:pStyle w:val="24"/>
        <w:spacing w:line="360" w:lineRule="exact"/>
        <w:rPr>
          <w:rFonts w:hint="eastAsia" w:ascii="仿宋" w:hAnsi="仿宋" w:eastAsia="仿宋" w:cs="宋体"/>
          <w:bCs/>
          <w:color w:val="auto"/>
          <w:highlight w:val="none"/>
        </w:rPr>
      </w:pPr>
      <w:r>
        <w:rPr>
          <w:rFonts w:hint="eastAsia" w:ascii="仿宋" w:hAnsi="仿宋" w:eastAsia="仿宋" w:cs="宋体"/>
          <w:bCs/>
          <w:color w:val="auto"/>
          <w:highlight w:val="none"/>
        </w:rPr>
        <w:t>4、根据浙江省与杭州市相关文件规定，并结合本项目具体情况缴纳基本社会保险企业承担部分（基本养老保险、基本医疗保险、失业保险、工伤保险、生育保险）。</w:t>
      </w:r>
    </w:p>
    <w:p w14:paraId="07CE5D4B">
      <w:pPr>
        <w:pStyle w:val="24"/>
        <w:spacing w:line="360" w:lineRule="exact"/>
        <w:ind w:firstLine="0" w:firstLineChars="0"/>
        <w:rPr>
          <w:rFonts w:hint="eastAsia" w:ascii="仿宋" w:hAnsi="仿宋" w:eastAsia="仿宋" w:cs="宋体"/>
          <w:b/>
          <w:color w:val="auto"/>
          <w:highlight w:val="none"/>
        </w:rPr>
      </w:pPr>
      <w:r>
        <w:rPr>
          <w:rFonts w:ascii="仿宋" w:hAnsi="仿宋" w:eastAsia="仿宋" w:cs="宋体"/>
          <w:b/>
          <w:color w:val="auto"/>
          <w:highlight w:val="none"/>
        </w:rPr>
        <w:t>八、验收要求</w:t>
      </w:r>
    </w:p>
    <w:p w14:paraId="62C4D23F">
      <w:pPr>
        <w:pStyle w:val="24"/>
        <w:spacing w:line="360" w:lineRule="exact"/>
        <w:rPr>
          <w:rFonts w:hint="eastAsia" w:ascii="仿宋" w:hAnsi="仿宋" w:eastAsia="仿宋" w:cs="宋体"/>
          <w:bCs/>
          <w:color w:val="auto"/>
          <w:highlight w:val="none"/>
        </w:rPr>
      </w:pPr>
      <w:r>
        <w:rPr>
          <w:rFonts w:ascii="仿宋" w:hAnsi="仿宋" w:eastAsia="仿宋" w:cs="宋体"/>
          <w:bCs/>
          <w:color w:val="auto"/>
          <w:highlight w:val="none"/>
        </w:rPr>
        <w:t>1</w:t>
      </w:r>
      <w:r>
        <w:rPr>
          <w:rFonts w:hint="eastAsia" w:ascii="仿宋" w:hAnsi="仿宋" w:eastAsia="仿宋" w:cs="宋体"/>
          <w:bCs/>
          <w:color w:val="auto"/>
          <w:highlight w:val="none"/>
        </w:rPr>
        <w:t>、</w:t>
      </w:r>
      <w:r>
        <w:rPr>
          <w:rFonts w:ascii="仿宋" w:hAnsi="仿宋" w:eastAsia="仿宋" w:cs="宋体"/>
          <w:bCs/>
          <w:color w:val="auto"/>
          <w:highlight w:val="none"/>
        </w:rPr>
        <w:t>按照政府采购履约验收相关规定组织对供应商履约的验收。验收方成员应当在验收书上签字，并承担相应的法律责任。如果发现与合同中要求不符，供应商须承担由此发生的一切损失和费用，并接受相应的处理。</w:t>
      </w:r>
    </w:p>
    <w:p w14:paraId="7F86011F">
      <w:pPr>
        <w:pStyle w:val="24"/>
        <w:spacing w:line="360" w:lineRule="exact"/>
        <w:rPr>
          <w:rFonts w:hint="eastAsia" w:ascii="仿宋" w:hAnsi="仿宋" w:eastAsia="仿宋" w:cs="宋体"/>
          <w:bCs/>
          <w:color w:val="auto"/>
          <w:highlight w:val="none"/>
        </w:rPr>
      </w:pPr>
      <w:r>
        <w:rPr>
          <w:rFonts w:ascii="仿宋" w:hAnsi="仿宋" w:eastAsia="仿宋" w:cs="宋体"/>
          <w:bCs/>
          <w:color w:val="auto"/>
          <w:highlight w:val="none"/>
        </w:rPr>
        <w:t>2</w:t>
      </w:r>
      <w:r>
        <w:rPr>
          <w:rFonts w:hint="eastAsia" w:ascii="仿宋" w:hAnsi="仿宋" w:eastAsia="仿宋" w:cs="宋体"/>
          <w:bCs/>
          <w:color w:val="auto"/>
          <w:highlight w:val="none"/>
        </w:rPr>
        <w:t>、</w:t>
      </w:r>
      <w:r>
        <w:rPr>
          <w:rFonts w:ascii="仿宋" w:hAnsi="仿宋" w:eastAsia="仿宋" w:cs="宋体"/>
          <w:bCs/>
          <w:color w:val="auto"/>
          <w:highlight w:val="none"/>
        </w:rPr>
        <w:t>严格按照采购合同开展履约验收。按照采购合同的约定对供应商履约情况进行验收，验收时，按照采购合同的约定对每一项技术、服务、安全标准的履约情况进行确认，出具验收报告并经验收小组全体成员签字。</w:t>
      </w:r>
    </w:p>
    <w:p w14:paraId="7B2F11B1">
      <w:pPr>
        <w:pStyle w:val="24"/>
        <w:spacing w:line="360" w:lineRule="exact"/>
        <w:rPr>
          <w:rFonts w:hint="eastAsia" w:ascii="仿宋" w:hAnsi="仿宋" w:eastAsia="仿宋" w:cs="宋体"/>
          <w:bCs/>
          <w:color w:val="auto"/>
          <w:highlight w:val="none"/>
        </w:rPr>
      </w:pPr>
      <w:r>
        <w:rPr>
          <w:rFonts w:ascii="仿宋" w:hAnsi="仿宋" w:eastAsia="仿宋" w:cs="宋体"/>
          <w:bCs/>
          <w:color w:val="auto"/>
          <w:highlight w:val="none"/>
        </w:rPr>
        <w:t>3</w:t>
      </w:r>
      <w:r>
        <w:rPr>
          <w:rFonts w:hint="eastAsia" w:ascii="仿宋" w:hAnsi="仿宋" w:eastAsia="仿宋" w:cs="宋体"/>
          <w:bCs/>
          <w:color w:val="auto"/>
          <w:highlight w:val="none"/>
        </w:rPr>
        <w:t>、</w:t>
      </w:r>
      <w:r>
        <w:rPr>
          <w:rFonts w:ascii="仿宋" w:hAnsi="仿宋" w:eastAsia="仿宋" w:cs="宋体"/>
          <w:bCs/>
          <w:color w:val="auto"/>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7894BCFB">
      <w:pPr>
        <w:pStyle w:val="24"/>
        <w:spacing w:line="360" w:lineRule="exact"/>
        <w:rPr>
          <w:rFonts w:hint="eastAsia" w:ascii="仿宋" w:hAnsi="仿宋" w:eastAsia="仿宋" w:cs="宋体"/>
          <w:bCs/>
          <w:color w:val="auto"/>
          <w:highlight w:val="none"/>
        </w:rPr>
      </w:pPr>
      <w:r>
        <w:rPr>
          <w:rFonts w:ascii="仿宋" w:hAnsi="仿宋" w:eastAsia="仿宋" w:cs="宋体"/>
          <w:bCs/>
          <w:color w:val="auto"/>
          <w:highlight w:val="none"/>
        </w:rPr>
        <w:t>4</w:t>
      </w:r>
      <w:r>
        <w:rPr>
          <w:rFonts w:hint="eastAsia" w:ascii="仿宋" w:hAnsi="仿宋" w:eastAsia="仿宋" w:cs="宋体"/>
          <w:bCs/>
          <w:color w:val="auto"/>
          <w:highlight w:val="none"/>
        </w:rPr>
        <w:t>、</w:t>
      </w:r>
      <w:r>
        <w:rPr>
          <w:rFonts w:ascii="仿宋" w:hAnsi="仿宋" w:eastAsia="仿宋" w:cs="宋体"/>
          <w:bCs/>
          <w:color w:val="auto"/>
          <w:highlight w:val="none"/>
        </w:rPr>
        <w:t>验收产生的费用</w:t>
      </w:r>
      <w:r>
        <w:rPr>
          <w:rFonts w:hint="eastAsia" w:ascii="仿宋" w:hAnsi="仿宋" w:eastAsia="仿宋" w:cs="宋体"/>
          <w:bCs/>
          <w:color w:val="auto"/>
          <w:highlight w:val="none"/>
        </w:rPr>
        <w:t>：</w:t>
      </w:r>
      <w:r>
        <w:rPr>
          <w:rFonts w:ascii="仿宋" w:hAnsi="仿宋" w:eastAsia="仿宋" w:cs="宋体"/>
          <w:bCs/>
          <w:color w:val="auto"/>
          <w:highlight w:val="none"/>
        </w:rPr>
        <w:t>首次验收费用由采购人承担，如首次验收不合格，后续验收费用由中标人支付。</w:t>
      </w:r>
    </w:p>
    <w:p w14:paraId="61B10F60">
      <w:pPr>
        <w:pStyle w:val="24"/>
        <w:spacing w:line="360" w:lineRule="exact"/>
        <w:rPr>
          <w:rFonts w:hint="eastAsia" w:ascii="仿宋" w:hAnsi="仿宋" w:eastAsia="仿宋" w:cs="宋体"/>
          <w:bCs/>
          <w:color w:val="auto"/>
          <w:highlight w:val="none"/>
        </w:rPr>
      </w:pPr>
      <w:r>
        <w:rPr>
          <w:rFonts w:ascii="仿宋" w:hAnsi="仿宋" w:eastAsia="仿宋" w:cs="宋体"/>
          <w:bCs/>
          <w:color w:val="auto"/>
          <w:highlight w:val="none"/>
        </w:rPr>
        <w:t>5</w:t>
      </w:r>
      <w:r>
        <w:rPr>
          <w:rFonts w:hint="eastAsia" w:ascii="仿宋" w:hAnsi="仿宋" w:eastAsia="仿宋" w:cs="宋体"/>
          <w:bCs/>
          <w:color w:val="auto"/>
          <w:highlight w:val="none"/>
        </w:rPr>
        <w:t>、</w:t>
      </w:r>
      <w:r>
        <w:rPr>
          <w:rFonts w:ascii="仿宋" w:hAnsi="仿宋" w:eastAsia="仿宋" w:cs="宋体"/>
          <w:bCs/>
          <w:color w:val="auto"/>
          <w:highlight w:val="none"/>
        </w:rPr>
        <w:t>验收内容及资料要求：</w:t>
      </w:r>
    </w:p>
    <w:p w14:paraId="2AD354C5">
      <w:pPr>
        <w:pStyle w:val="24"/>
        <w:spacing w:line="360" w:lineRule="exact"/>
        <w:rPr>
          <w:rFonts w:hint="eastAsia" w:ascii="仿宋" w:hAnsi="仿宋" w:eastAsia="仿宋" w:cs="宋体"/>
          <w:bCs/>
          <w:color w:val="auto"/>
          <w:highlight w:val="none"/>
        </w:rPr>
      </w:pPr>
      <w:r>
        <w:rPr>
          <w:rFonts w:ascii="仿宋" w:hAnsi="仿宋" w:eastAsia="仿宋" w:cs="宋体"/>
          <w:bCs/>
          <w:color w:val="auto"/>
          <w:highlight w:val="none"/>
        </w:rPr>
        <w:t>根据采购文件确定的技术指标或者服务要求确定验收指标和标准。未进行相应约定的，应当符合国家强制性规定、政策要求、安全标准、行业或企业有关标准等。</w:t>
      </w:r>
    </w:p>
    <w:p w14:paraId="73D8B158">
      <w:pPr>
        <w:pStyle w:val="24"/>
        <w:spacing w:line="360" w:lineRule="exact"/>
        <w:rPr>
          <w:rFonts w:hint="eastAsia" w:ascii="仿宋" w:hAnsi="仿宋" w:eastAsia="仿宋" w:cs="宋体"/>
          <w:bCs/>
          <w:color w:val="auto"/>
          <w:highlight w:val="none"/>
        </w:rPr>
      </w:pPr>
      <w:r>
        <w:rPr>
          <w:rFonts w:ascii="仿宋" w:hAnsi="仿宋" w:eastAsia="仿宋" w:cs="宋体"/>
          <w:bCs/>
          <w:color w:val="auto"/>
          <w:highlight w:val="none"/>
        </w:rPr>
        <w:t>5.1验收内容</w:t>
      </w:r>
    </w:p>
    <w:tbl>
      <w:tblPr>
        <w:tblStyle w:val="6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2528"/>
        <w:gridCol w:w="5213"/>
      </w:tblGrid>
      <w:tr w14:paraId="4F394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Align w:val="center"/>
          </w:tcPr>
          <w:p w14:paraId="79A90F4A">
            <w:pPr>
              <w:pStyle w:val="24"/>
              <w:spacing w:line="360" w:lineRule="exact"/>
              <w:ind w:firstLine="0" w:firstLineChars="0"/>
              <w:jc w:val="center"/>
              <w:rPr>
                <w:rFonts w:hint="eastAsia" w:ascii="仿宋" w:hAnsi="仿宋" w:eastAsia="仿宋" w:cs="宋体"/>
                <w:b/>
                <w:color w:val="auto"/>
                <w:highlight w:val="none"/>
              </w:rPr>
            </w:pPr>
            <w:r>
              <w:rPr>
                <w:rFonts w:hint="eastAsia" w:ascii="仿宋" w:hAnsi="仿宋" w:eastAsia="仿宋" w:cs="宋体"/>
                <w:b/>
                <w:color w:val="auto"/>
                <w:highlight w:val="none"/>
              </w:rPr>
              <w:t>序号</w:t>
            </w:r>
          </w:p>
        </w:tc>
        <w:tc>
          <w:tcPr>
            <w:tcW w:w="1488" w:type="pct"/>
            <w:vAlign w:val="center"/>
          </w:tcPr>
          <w:p w14:paraId="0F19E6C3">
            <w:pPr>
              <w:pStyle w:val="24"/>
              <w:spacing w:line="360" w:lineRule="exact"/>
              <w:ind w:firstLine="0" w:firstLineChars="0"/>
              <w:jc w:val="center"/>
              <w:rPr>
                <w:rFonts w:hint="eastAsia" w:ascii="仿宋" w:hAnsi="仿宋" w:eastAsia="仿宋" w:cs="宋体"/>
                <w:b/>
                <w:color w:val="auto"/>
                <w:highlight w:val="none"/>
              </w:rPr>
            </w:pPr>
            <w:r>
              <w:rPr>
                <w:rFonts w:ascii="仿宋" w:hAnsi="仿宋" w:eastAsia="仿宋" w:cs="宋体"/>
                <w:b/>
                <w:color w:val="auto"/>
                <w:highlight w:val="none"/>
              </w:rPr>
              <w:t>验收内容</w:t>
            </w:r>
          </w:p>
        </w:tc>
        <w:tc>
          <w:tcPr>
            <w:tcW w:w="3068" w:type="pct"/>
            <w:vAlign w:val="center"/>
          </w:tcPr>
          <w:p w14:paraId="7A8B7BF6">
            <w:pPr>
              <w:pStyle w:val="24"/>
              <w:spacing w:line="360" w:lineRule="exact"/>
              <w:ind w:firstLine="0" w:firstLineChars="0"/>
              <w:jc w:val="center"/>
              <w:rPr>
                <w:rFonts w:hint="eastAsia" w:ascii="仿宋" w:hAnsi="仿宋" w:eastAsia="仿宋" w:cs="宋体"/>
                <w:b/>
                <w:color w:val="auto"/>
                <w:highlight w:val="none"/>
              </w:rPr>
            </w:pPr>
            <w:r>
              <w:rPr>
                <w:rFonts w:ascii="仿宋" w:hAnsi="仿宋" w:eastAsia="仿宋" w:cs="宋体"/>
                <w:b/>
                <w:color w:val="auto"/>
                <w:highlight w:val="none"/>
              </w:rPr>
              <w:t>验收标准</w:t>
            </w:r>
          </w:p>
        </w:tc>
      </w:tr>
      <w:tr w14:paraId="67A0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Align w:val="center"/>
          </w:tcPr>
          <w:p w14:paraId="6486BC05">
            <w:pPr>
              <w:pStyle w:val="24"/>
              <w:spacing w:line="360" w:lineRule="exact"/>
              <w:ind w:firstLine="0" w:firstLineChars="0"/>
              <w:jc w:val="center"/>
              <w:rPr>
                <w:rFonts w:hint="eastAsia" w:ascii="仿宋" w:hAnsi="仿宋" w:eastAsia="仿宋" w:cs="宋体"/>
                <w:bCs/>
                <w:color w:val="auto"/>
                <w:highlight w:val="none"/>
              </w:rPr>
            </w:pPr>
            <w:r>
              <w:rPr>
                <w:rFonts w:hint="eastAsia" w:ascii="仿宋" w:hAnsi="仿宋" w:eastAsia="仿宋" w:cs="宋体"/>
                <w:bCs/>
                <w:color w:val="auto"/>
                <w:highlight w:val="none"/>
              </w:rPr>
              <w:t>1</w:t>
            </w:r>
          </w:p>
        </w:tc>
        <w:tc>
          <w:tcPr>
            <w:tcW w:w="1488" w:type="pct"/>
            <w:vAlign w:val="center"/>
          </w:tcPr>
          <w:p w14:paraId="5485512E">
            <w:pPr>
              <w:pStyle w:val="24"/>
              <w:spacing w:line="360" w:lineRule="exact"/>
              <w:ind w:firstLine="0" w:firstLineChars="0"/>
              <w:jc w:val="center"/>
              <w:rPr>
                <w:rFonts w:hint="eastAsia" w:ascii="仿宋" w:hAnsi="仿宋" w:eastAsia="仿宋" w:cs="宋体"/>
                <w:bCs/>
                <w:color w:val="auto"/>
                <w:highlight w:val="none"/>
              </w:rPr>
            </w:pPr>
            <w:r>
              <w:rPr>
                <w:rFonts w:ascii="仿宋" w:hAnsi="仿宋" w:eastAsia="仿宋" w:cs="宋体"/>
                <w:bCs/>
                <w:color w:val="auto"/>
                <w:highlight w:val="none"/>
              </w:rPr>
              <w:t>响应程度</w:t>
            </w:r>
          </w:p>
        </w:tc>
        <w:tc>
          <w:tcPr>
            <w:tcW w:w="3068" w:type="pct"/>
            <w:vAlign w:val="center"/>
          </w:tcPr>
          <w:p w14:paraId="65BC39EE">
            <w:pPr>
              <w:pStyle w:val="24"/>
              <w:spacing w:line="360" w:lineRule="exact"/>
              <w:ind w:firstLine="0" w:firstLineChars="0"/>
              <w:jc w:val="left"/>
              <w:rPr>
                <w:rFonts w:hint="eastAsia" w:ascii="仿宋" w:hAnsi="仿宋" w:eastAsia="仿宋" w:cs="宋体"/>
                <w:bCs/>
                <w:color w:val="auto"/>
                <w:highlight w:val="none"/>
              </w:rPr>
            </w:pPr>
            <w:r>
              <w:rPr>
                <w:rFonts w:hint="eastAsia" w:ascii="仿宋" w:hAnsi="仿宋" w:eastAsia="仿宋" w:cs="宋体"/>
                <w:bCs/>
                <w:color w:val="auto"/>
                <w:highlight w:val="none"/>
              </w:rPr>
              <w:t>安保</w:t>
            </w:r>
            <w:r>
              <w:rPr>
                <w:rFonts w:ascii="仿宋" w:hAnsi="仿宋" w:eastAsia="仿宋" w:cs="宋体"/>
                <w:bCs/>
                <w:color w:val="auto"/>
                <w:highlight w:val="none"/>
              </w:rPr>
              <w:t>队员标准、数量达到采购需求要求队伍训练的情况</w:t>
            </w:r>
          </w:p>
        </w:tc>
      </w:tr>
      <w:tr w14:paraId="6D0B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Align w:val="center"/>
          </w:tcPr>
          <w:p w14:paraId="103D368A">
            <w:pPr>
              <w:pStyle w:val="24"/>
              <w:spacing w:line="360" w:lineRule="exact"/>
              <w:ind w:firstLine="0" w:firstLineChars="0"/>
              <w:jc w:val="center"/>
              <w:rPr>
                <w:rFonts w:hint="eastAsia" w:ascii="仿宋" w:hAnsi="仿宋" w:eastAsia="仿宋" w:cs="宋体"/>
                <w:bCs/>
                <w:color w:val="auto"/>
                <w:highlight w:val="none"/>
              </w:rPr>
            </w:pPr>
            <w:r>
              <w:rPr>
                <w:rFonts w:hint="eastAsia" w:ascii="仿宋" w:hAnsi="仿宋" w:eastAsia="仿宋" w:cs="宋体"/>
                <w:bCs/>
                <w:color w:val="auto"/>
                <w:highlight w:val="none"/>
              </w:rPr>
              <w:t>2</w:t>
            </w:r>
          </w:p>
        </w:tc>
        <w:tc>
          <w:tcPr>
            <w:tcW w:w="1488" w:type="pct"/>
            <w:vAlign w:val="center"/>
          </w:tcPr>
          <w:p w14:paraId="2DBF981C">
            <w:pPr>
              <w:pStyle w:val="24"/>
              <w:spacing w:line="360" w:lineRule="exact"/>
              <w:ind w:firstLine="0" w:firstLineChars="0"/>
              <w:jc w:val="center"/>
              <w:rPr>
                <w:rFonts w:hint="eastAsia" w:ascii="仿宋" w:hAnsi="仿宋" w:eastAsia="仿宋" w:cs="宋体"/>
                <w:bCs/>
                <w:color w:val="auto"/>
                <w:highlight w:val="none"/>
              </w:rPr>
            </w:pPr>
            <w:r>
              <w:rPr>
                <w:rFonts w:ascii="仿宋" w:hAnsi="仿宋" w:eastAsia="仿宋" w:cs="宋体"/>
                <w:bCs/>
                <w:color w:val="auto"/>
                <w:highlight w:val="none"/>
              </w:rPr>
              <w:t>服务满意度</w:t>
            </w:r>
          </w:p>
        </w:tc>
        <w:tc>
          <w:tcPr>
            <w:tcW w:w="3068" w:type="pct"/>
            <w:vAlign w:val="center"/>
          </w:tcPr>
          <w:p w14:paraId="23526172">
            <w:pPr>
              <w:pStyle w:val="24"/>
              <w:spacing w:line="360" w:lineRule="exact"/>
              <w:ind w:firstLine="0" w:firstLineChars="0"/>
              <w:jc w:val="left"/>
              <w:rPr>
                <w:rFonts w:hint="eastAsia" w:ascii="仿宋" w:hAnsi="仿宋" w:eastAsia="仿宋" w:cs="宋体"/>
                <w:bCs/>
                <w:color w:val="auto"/>
                <w:highlight w:val="none"/>
              </w:rPr>
            </w:pPr>
            <w:r>
              <w:rPr>
                <w:rFonts w:ascii="仿宋" w:hAnsi="仿宋" w:eastAsia="仿宋" w:cs="宋体"/>
                <w:bCs/>
                <w:color w:val="auto"/>
                <w:highlight w:val="none"/>
              </w:rPr>
              <w:t>管理部门对</w:t>
            </w:r>
            <w:r>
              <w:rPr>
                <w:rFonts w:hint="eastAsia" w:ascii="仿宋" w:hAnsi="仿宋" w:eastAsia="仿宋" w:cs="宋体"/>
                <w:bCs/>
                <w:color w:val="auto"/>
                <w:highlight w:val="none"/>
              </w:rPr>
              <w:t>安保</w:t>
            </w:r>
            <w:r>
              <w:rPr>
                <w:rFonts w:ascii="仿宋" w:hAnsi="仿宋" w:eastAsia="仿宋" w:cs="宋体"/>
                <w:bCs/>
                <w:color w:val="auto"/>
                <w:highlight w:val="none"/>
              </w:rPr>
              <w:t>队员日常训练、管理服务的满意度</w:t>
            </w:r>
          </w:p>
        </w:tc>
      </w:tr>
      <w:tr w14:paraId="30BD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restart"/>
            <w:vAlign w:val="center"/>
          </w:tcPr>
          <w:p w14:paraId="3C49EAC2">
            <w:pPr>
              <w:pStyle w:val="24"/>
              <w:spacing w:line="360" w:lineRule="exact"/>
              <w:ind w:firstLine="0" w:firstLineChars="0"/>
              <w:jc w:val="center"/>
              <w:rPr>
                <w:rFonts w:hint="eastAsia" w:ascii="仿宋" w:hAnsi="仿宋" w:eastAsia="仿宋" w:cs="宋体"/>
                <w:bCs/>
                <w:color w:val="auto"/>
                <w:highlight w:val="none"/>
              </w:rPr>
            </w:pPr>
            <w:r>
              <w:rPr>
                <w:rFonts w:hint="eastAsia" w:ascii="仿宋" w:hAnsi="仿宋" w:eastAsia="仿宋" w:cs="宋体"/>
                <w:bCs/>
                <w:color w:val="auto"/>
                <w:highlight w:val="none"/>
              </w:rPr>
              <w:t>3</w:t>
            </w:r>
          </w:p>
        </w:tc>
        <w:tc>
          <w:tcPr>
            <w:tcW w:w="1488" w:type="pct"/>
            <w:vMerge w:val="restart"/>
            <w:vAlign w:val="center"/>
          </w:tcPr>
          <w:p w14:paraId="3E695187">
            <w:pPr>
              <w:pStyle w:val="24"/>
              <w:spacing w:line="360" w:lineRule="exact"/>
              <w:ind w:firstLine="0" w:firstLineChars="0"/>
              <w:jc w:val="center"/>
              <w:rPr>
                <w:rFonts w:hint="eastAsia" w:ascii="仿宋" w:hAnsi="仿宋" w:eastAsia="仿宋" w:cs="宋体"/>
                <w:bCs/>
                <w:color w:val="auto"/>
                <w:highlight w:val="none"/>
              </w:rPr>
            </w:pPr>
            <w:r>
              <w:rPr>
                <w:rFonts w:ascii="仿宋" w:hAnsi="仿宋" w:eastAsia="仿宋" w:cs="宋体"/>
                <w:bCs/>
                <w:color w:val="auto"/>
                <w:highlight w:val="none"/>
              </w:rPr>
              <w:t>服务质量</w:t>
            </w:r>
          </w:p>
        </w:tc>
        <w:tc>
          <w:tcPr>
            <w:tcW w:w="3068" w:type="pct"/>
            <w:vAlign w:val="center"/>
          </w:tcPr>
          <w:p w14:paraId="66DCE733">
            <w:pPr>
              <w:pStyle w:val="24"/>
              <w:spacing w:line="360" w:lineRule="exact"/>
              <w:ind w:firstLine="0" w:firstLineChars="0"/>
              <w:jc w:val="left"/>
              <w:rPr>
                <w:rFonts w:hint="eastAsia" w:ascii="仿宋" w:hAnsi="仿宋" w:eastAsia="仿宋" w:cs="宋体"/>
                <w:bCs/>
                <w:color w:val="auto"/>
                <w:highlight w:val="none"/>
              </w:rPr>
            </w:pPr>
            <w:r>
              <w:rPr>
                <w:rFonts w:ascii="仿宋" w:hAnsi="仿宋" w:eastAsia="仿宋" w:cs="宋体"/>
                <w:bCs/>
                <w:color w:val="auto"/>
                <w:highlight w:val="none"/>
              </w:rPr>
              <w:t>统一着装、统一管理、值班备勤情况</w:t>
            </w:r>
          </w:p>
        </w:tc>
      </w:tr>
      <w:tr w14:paraId="1DCF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vAlign w:val="center"/>
          </w:tcPr>
          <w:p w14:paraId="6D28C8E4">
            <w:pPr>
              <w:pStyle w:val="24"/>
              <w:spacing w:line="360" w:lineRule="exact"/>
              <w:ind w:firstLine="0" w:firstLineChars="0"/>
              <w:jc w:val="center"/>
              <w:rPr>
                <w:rFonts w:hint="eastAsia" w:ascii="仿宋" w:hAnsi="仿宋" w:eastAsia="仿宋" w:cs="宋体"/>
                <w:bCs/>
                <w:color w:val="auto"/>
                <w:highlight w:val="none"/>
              </w:rPr>
            </w:pPr>
          </w:p>
        </w:tc>
        <w:tc>
          <w:tcPr>
            <w:tcW w:w="1488" w:type="pct"/>
            <w:vMerge w:val="continue"/>
            <w:vAlign w:val="center"/>
          </w:tcPr>
          <w:p w14:paraId="5F67BC94">
            <w:pPr>
              <w:pStyle w:val="24"/>
              <w:spacing w:line="360" w:lineRule="exact"/>
              <w:ind w:firstLine="0" w:firstLineChars="0"/>
              <w:jc w:val="center"/>
              <w:rPr>
                <w:rFonts w:hint="eastAsia" w:ascii="仿宋" w:hAnsi="仿宋" w:eastAsia="仿宋" w:cs="宋体"/>
                <w:bCs/>
                <w:color w:val="auto"/>
                <w:highlight w:val="none"/>
              </w:rPr>
            </w:pPr>
          </w:p>
        </w:tc>
        <w:tc>
          <w:tcPr>
            <w:tcW w:w="3068" w:type="pct"/>
            <w:vAlign w:val="center"/>
          </w:tcPr>
          <w:p w14:paraId="505FBDA1">
            <w:pPr>
              <w:pStyle w:val="24"/>
              <w:spacing w:line="360" w:lineRule="exact"/>
              <w:ind w:firstLine="0" w:firstLineChars="0"/>
              <w:jc w:val="left"/>
              <w:rPr>
                <w:rFonts w:hint="eastAsia" w:ascii="仿宋" w:hAnsi="仿宋" w:eastAsia="仿宋" w:cs="宋体"/>
                <w:bCs/>
                <w:color w:val="auto"/>
                <w:highlight w:val="none"/>
              </w:rPr>
            </w:pPr>
            <w:r>
              <w:rPr>
                <w:rFonts w:hint="eastAsia" w:ascii="仿宋" w:hAnsi="仿宋" w:eastAsia="仿宋" w:cs="宋体"/>
                <w:bCs/>
                <w:color w:val="auto"/>
                <w:highlight w:val="none"/>
              </w:rPr>
              <w:t>安保</w:t>
            </w:r>
            <w:r>
              <w:rPr>
                <w:rFonts w:ascii="仿宋" w:hAnsi="仿宋" w:eastAsia="仿宋" w:cs="宋体"/>
                <w:bCs/>
                <w:color w:val="auto"/>
                <w:highlight w:val="none"/>
              </w:rPr>
              <w:t>管理人员管理工作</w:t>
            </w:r>
          </w:p>
        </w:tc>
      </w:tr>
      <w:tr w14:paraId="13001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vAlign w:val="center"/>
          </w:tcPr>
          <w:p w14:paraId="14A9E8F3">
            <w:pPr>
              <w:pStyle w:val="24"/>
              <w:spacing w:line="360" w:lineRule="exact"/>
              <w:ind w:firstLine="0" w:firstLineChars="0"/>
              <w:jc w:val="center"/>
              <w:rPr>
                <w:rFonts w:hint="eastAsia" w:ascii="仿宋" w:hAnsi="仿宋" w:eastAsia="仿宋" w:cs="宋体"/>
                <w:bCs/>
                <w:color w:val="auto"/>
                <w:highlight w:val="none"/>
              </w:rPr>
            </w:pPr>
          </w:p>
        </w:tc>
        <w:tc>
          <w:tcPr>
            <w:tcW w:w="1488" w:type="pct"/>
            <w:vMerge w:val="continue"/>
            <w:vAlign w:val="center"/>
          </w:tcPr>
          <w:p w14:paraId="518049D7">
            <w:pPr>
              <w:pStyle w:val="24"/>
              <w:spacing w:line="360" w:lineRule="exact"/>
              <w:ind w:firstLine="0" w:firstLineChars="0"/>
              <w:jc w:val="center"/>
              <w:rPr>
                <w:rFonts w:hint="eastAsia" w:ascii="仿宋" w:hAnsi="仿宋" w:eastAsia="仿宋" w:cs="宋体"/>
                <w:bCs/>
                <w:color w:val="auto"/>
                <w:highlight w:val="none"/>
              </w:rPr>
            </w:pPr>
          </w:p>
        </w:tc>
        <w:tc>
          <w:tcPr>
            <w:tcW w:w="3068" w:type="pct"/>
            <w:vAlign w:val="center"/>
          </w:tcPr>
          <w:p w14:paraId="30AB8AF8">
            <w:pPr>
              <w:pStyle w:val="24"/>
              <w:spacing w:line="360" w:lineRule="exact"/>
              <w:ind w:firstLine="0" w:firstLineChars="0"/>
              <w:jc w:val="left"/>
              <w:rPr>
                <w:rFonts w:hint="eastAsia" w:ascii="仿宋" w:hAnsi="仿宋" w:eastAsia="仿宋" w:cs="宋体"/>
                <w:bCs/>
                <w:color w:val="auto"/>
                <w:highlight w:val="none"/>
              </w:rPr>
            </w:pPr>
            <w:r>
              <w:rPr>
                <w:rFonts w:ascii="仿宋" w:hAnsi="仿宋" w:eastAsia="仿宋" w:cs="宋体"/>
                <w:bCs/>
                <w:color w:val="auto"/>
                <w:highlight w:val="none"/>
              </w:rPr>
              <w:t>处理应急突发事件情况</w:t>
            </w:r>
          </w:p>
        </w:tc>
      </w:tr>
      <w:tr w14:paraId="364E6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restart"/>
            <w:vAlign w:val="center"/>
          </w:tcPr>
          <w:p w14:paraId="47B1A3D6">
            <w:pPr>
              <w:pStyle w:val="24"/>
              <w:spacing w:line="360" w:lineRule="exact"/>
              <w:ind w:firstLine="0" w:firstLineChars="0"/>
              <w:jc w:val="center"/>
              <w:rPr>
                <w:rFonts w:hint="eastAsia" w:ascii="仿宋" w:hAnsi="仿宋" w:eastAsia="仿宋" w:cs="宋体"/>
                <w:bCs/>
                <w:color w:val="auto"/>
                <w:highlight w:val="none"/>
              </w:rPr>
            </w:pPr>
            <w:r>
              <w:rPr>
                <w:rFonts w:hint="eastAsia" w:ascii="仿宋" w:hAnsi="仿宋" w:eastAsia="仿宋" w:cs="宋体"/>
                <w:bCs/>
                <w:color w:val="auto"/>
                <w:highlight w:val="none"/>
              </w:rPr>
              <w:t>4</w:t>
            </w:r>
          </w:p>
        </w:tc>
        <w:tc>
          <w:tcPr>
            <w:tcW w:w="1488" w:type="pct"/>
            <w:vMerge w:val="restart"/>
            <w:vAlign w:val="center"/>
          </w:tcPr>
          <w:p w14:paraId="1BD0A3DC">
            <w:pPr>
              <w:pStyle w:val="24"/>
              <w:spacing w:line="360" w:lineRule="exact"/>
              <w:ind w:firstLine="0" w:firstLineChars="0"/>
              <w:jc w:val="center"/>
              <w:rPr>
                <w:rFonts w:hint="eastAsia" w:ascii="仿宋" w:hAnsi="仿宋" w:eastAsia="仿宋" w:cs="宋体"/>
                <w:bCs/>
                <w:color w:val="auto"/>
                <w:highlight w:val="none"/>
              </w:rPr>
            </w:pPr>
            <w:r>
              <w:rPr>
                <w:rFonts w:ascii="仿宋" w:hAnsi="仿宋" w:eastAsia="仿宋" w:cs="宋体"/>
                <w:bCs/>
                <w:color w:val="auto"/>
                <w:highlight w:val="none"/>
              </w:rPr>
              <w:t>人员、装备等配备情况</w:t>
            </w:r>
          </w:p>
        </w:tc>
        <w:tc>
          <w:tcPr>
            <w:tcW w:w="3068" w:type="pct"/>
            <w:vAlign w:val="center"/>
          </w:tcPr>
          <w:p w14:paraId="1812385D">
            <w:pPr>
              <w:pStyle w:val="24"/>
              <w:spacing w:line="360" w:lineRule="exact"/>
              <w:ind w:firstLine="0" w:firstLineChars="0"/>
              <w:jc w:val="left"/>
              <w:rPr>
                <w:rFonts w:hint="eastAsia" w:ascii="仿宋" w:hAnsi="仿宋" w:eastAsia="仿宋" w:cs="宋体"/>
                <w:bCs/>
                <w:color w:val="auto"/>
                <w:highlight w:val="none"/>
              </w:rPr>
            </w:pPr>
            <w:r>
              <w:rPr>
                <w:rFonts w:ascii="仿宋" w:hAnsi="仿宋" w:eastAsia="仿宋" w:cs="宋体"/>
                <w:bCs/>
                <w:color w:val="auto"/>
                <w:highlight w:val="none"/>
              </w:rPr>
              <w:t>人员按响应文件到位</w:t>
            </w:r>
          </w:p>
        </w:tc>
      </w:tr>
      <w:tr w14:paraId="163B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vAlign w:val="center"/>
          </w:tcPr>
          <w:p w14:paraId="1DA82BBD">
            <w:pPr>
              <w:pStyle w:val="24"/>
              <w:spacing w:line="360" w:lineRule="exact"/>
              <w:ind w:firstLine="0" w:firstLineChars="0"/>
              <w:jc w:val="center"/>
              <w:rPr>
                <w:rFonts w:hint="eastAsia" w:ascii="仿宋" w:hAnsi="仿宋" w:eastAsia="仿宋" w:cs="宋体"/>
                <w:bCs/>
                <w:color w:val="auto"/>
                <w:highlight w:val="none"/>
              </w:rPr>
            </w:pPr>
          </w:p>
        </w:tc>
        <w:tc>
          <w:tcPr>
            <w:tcW w:w="1488" w:type="pct"/>
            <w:vMerge w:val="continue"/>
            <w:vAlign w:val="center"/>
          </w:tcPr>
          <w:p w14:paraId="5904F19E">
            <w:pPr>
              <w:pStyle w:val="24"/>
              <w:spacing w:line="360" w:lineRule="exact"/>
              <w:ind w:firstLine="0" w:firstLineChars="0"/>
              <w:jc w:val="center"/>
              <w:rPr>
                <w:rFonts w:hint="eastAsia" w:ascii="仿宋" w:hAnsi="仿宋" w:eastAsia="仿宋" w:cs="宋体"/>
                <w:bCs/>
                <w:color w:val="auto"/>
                <w:highlight w:val="none"/>
              </w:rPr>
            </w:pPr>
          </w:p>
        </w:tc>
        <w:tc>
          <w:tcPr>
            <w:tcW w:w="3068" w:type="pct"/>
            <w:vAlign w:val="center"/>
          </w:tcPr>
          <w:p w14:paraId="1AC3218D">
            <w:pPr>
              <w:pStyle w:val="24"/>
              <w:spacing w:line="360" w:lineRule="exact"/>
              <w:ind w:firstLine="0" w:firstLineChars="0"/>
              <w:jc w:val="left"/>
              <w:rPr>
                <w:rFonts w:hint="eastAsia" w:ascii="仿宋" w:hAnsi="仿宋" w:eastAsia="仿宋" w:cs="宋体"/>
                <w:bCs/>
                <w:color w:val="auto"/>
                <w:highlight w:val="none"/>
              </w:rPr>
            </w:pPr>
            <w:r>
              <w:rPr>
                <w:rFonts w:ascii="仿宋" w:hAnsi="仿宋" w:eastAsia="仿宋" w:cs="宋体"/>
                <w:bCs/>
                <w:color w:val="auto"/>
                <w:highlight w:val="none"/>
              </w:rPr>
              <w:t>装备、服装按响应文件配备</w:t>
            </w:r>
          </w:p>
        </w:tc>
      </w:tr>
      <w:tr w14:paraId="1B83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restart"/>
            <w:vAlign w:val="center"/>
          </w:tcPr>
          <w:p w14:paraId="346B76E7">
            <w:pPr>
              <w:pStyle w:val="24"/>
              <w:spacing w:line="360" w:lineRule="exact"/>
              <w:ind w:firstLine="0" w:firstLineChars="0"/>
              <w:jc w:val="center"/>
              <w:rPr>
                <w:rFonts w:hint="eastAsia" w:ascii="仿宋" w:hAnsi="仿宋" w:eastAsia="仿宋" w:cs="宋体"/>
                <w:bCs/>
                <w:color w:val="auto"/>
                <w:highlight w:val="none"/>
              </w:rPr>
            </w:pPr>
            <w:r>
              <w:rPr>
                <w:rFonts w:hint="eastAsia" w:ascii="仿宋" w:hAnsi="仿宋" w:eastAsia="仿宋" w:cs="宋体"/>
                <w:bCs/>
                <w:color w:val="auto"/>
                <w:highlight w:val="none"/>
              </w:rPr>
              <w:t>5</w:t>
            </w:r>
          </w:p>
        </w:tc>
        <w:tc>
          <w:tcPr>
            <w:tcW w:w="1488" w:type="pct"/>
            <w:vMerge w:val="restart"/>
            <w:vAlign w:val="center"/>
          </w:tcPr>
          <w:p w14:paraId="40BB29EF">
            <w:pPr>
              <w:pStyle w:val="24"/>
              <w:spacing w:line="360" w:lineRule="exact"/>
              <w:ind w:firstLine="0" w:firstLineChars="0"/>
              <w:jc w:val="center"/>
              <w:rPr>
                <w:rFonts w:hint="eastAsia" w:ascii="仿宋" w:hAnsi="仿宋" w:eastAsia="仿宋" w:cs="宋体"/>
                <w:bCs/>
                <w:color w:val="auto"/>
                <w:highlight w:val="none"/>
              </w:rPr>
            </w:pPr>
            <w:r>
              <w:rPr>
                <w:rFonts w:ascii="仿宋" w:hAnsi="仿宋" w:eastAsia="仿宋" w:cs="宋体"/>
                <w:bCs/>
                <w:color w:val="auto"/>
                <w:highlight w:val="none"/>
              </w:rPr>
              <w:t>服务承诺实现</w:t>
            </w:r>
          </w:p>
        </w:tc>
        <w:tc>
          <w:tcPr>
            <w:tcW w:w="3068" w:type="pct"/>
            <w:vAlign w:val="center"/>
          </w:tcPr>
          <w:p w14:paraId="3B864D23">
            <w:pPr>
              <w:pStyle w:val="24"/>
              <w:spacing w:line="360" w:lineRule="exact"/>
              <w:ind w:firstLine="0" w:firstLineChars="0"/>
              <w:jc w:val="left"/>
              <w:rPr>
                <w:rFonts w:hint="eastAsia" w:ascii="仿宋" w:hAnsi="仿宋" w:eastAsia="仿宋" w:cs="宋体"/>
                <w:bCs/>
                <w:color w:val="auto"/>
                <w:highlight w:val="none"/>
              </w:rPr>
            </w:pPr>
            <w:r>
              <w:rPr>
                <w:rFonts w:ascii="仿宋" w:hAnsi="仿宋" w:eastAsia="仿宋" w:cs="宋体"/>
                <w:bCs/>
                <w:color w:val="auto"/>
                <w:highlight w:val="none"/>
              </w:rPr>
              <w:t>人员离职程序</w:t>
            </w:r>
          </w:p>
        </w:tc>
      </w:tr>
      <w:tr w14:paraId="40C1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vAlign w:val="center"/>
          </w:tcPr>
          <w:p w14:paraId="5501C72B">
            <w:pPr>
              <w:pStyle w:val="24"/>
              <w:spacing w:line="360" w:lineRule="exact"/>
              <w:ind w:firstLine="0" w:firstLineChars="0"/>
              <w:jc w:val="center"/>
              <w:rPr>
                <w:rFonts w:hint="eastAsia" w:ascii="仿宋" w:hAnsi="仿宋" w:eastAsia="仿宋" w:cs="宋体"/>
                <w:bCs/>
                <w:color w:val="auto"/>
                <w:highlight w:val="none"/>
              </w:rPr>
            </w:pPr>
          </w:p>
        </w:tc>
        <w:tc>
          <w:tcPr>
            <w:tcW w:w="1488" w:type="pct"/>
            <w:vMerge w:val="continue"/>
            <w:vAlign w:val="center"/>
          </w:tcPr>
          <w:p w14:paraId="7179F542">
            <w:pPr>
              <w:pStyle w:val="24"/>
              <w:spacing w:line="360" w:lineRule="exact"/>
              <w:ind w:firstLine="0" w:firstLineChars="0"/>
              <w:jc w:val="center"/>
              <w:rPr>
                <w:rFonts w:hint="eastAsia" w:ascii="仿宋" w:hAnsi="仿宋" w:eastAsia="仿宋" w:cs="宋体"/>
                <w:bCs/>
                <w:color w:val="auto"/>
                <w:highlight w:val="none"/>
              </w:rPr>
            </w:pPr>
          </w:p>
        </w:tc>
        <w:tc>
          <w:tcPr>
            <w:tcW w:w="3068" w:type="pct"/>
            <w:vAlign w:val="center"/>
          </w:tcPr>
          <w:p w14:paraId="476FF049">
            <w:pPr>
              <w:pStyle w:val="24"/>
              <w:spacing w:line="360" w:lineRule="exact"/>
              <w:ind w:firstLine="0" w:firstLineChars="0"/>
              <w:jc w:val="left"/>
              <w:rPr>
                <w:rFonts w:hint="eastAsia" w:ascii="仿宋" w:hAnsi="仿宋" w:eastAsia="仿宋" w:cs="宋体"/>
                <w:bCs/>
                <w:color w:val="auto"/>
                <w:highlight w:val="none"/>
              </w:rPr>
            </w:pPr>
            <w:r>
              <w:rPr>
                <w:rFonts w:ascii="仿宋" w:hAnsi="仿宋" w:eastAsia="仿宋" w:cs="宋体"/>
                <w:bCs/>
                <w:color w:val="auto"/>
                <w:highlight w:val="none"/>
              </w:rPr>
              <w:t>体检情况</w:t>
            </w:r>
          </w:p>
        </w:tc>
      </w:tr>
      <w:tr w14:paraId="67B1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Align w:val="center"/>
          </w:tcPr>
          <w:p w14:paraId="496E002C">
            <w:pPr>
              <w:pStyle w:val="24"/>
              <w:spacing w:line="360" w:lineRule="exact"/>
              <w:ind w:firstLine="0" w:firstLineChars="0"/>
              <w:jc w:val="center"/>
              <w:rPr>
                <w:rFonts w:hint="eastAsia" w:ascii="仿宋" w:hAnsi="仿宋" w:eastAsia="仿宋" w:cs="宋体"/>
                <w:bCs/>
                <w:color w:val="auto"/>
                <w:highlight w:val="none"/>
              </w:rPr>
            </w:pPr>
            <w:r>
              <w:rPr>
                <w:rFonts w:hint="eastAsia" w:ascii="仿宋" w:hAnsi="仿宋" w:eastAsia="仿宋" w:cs="宋体"/>
                <w:bCs/>
                <w:color w:val="auto"/>
                <w:highlight w:val="none"/>
              </w:rPr>
              <w:t>6</w:t>
            </w:r>
          </w:p>
        </w:tc>
        <w:tc>
          <w:tcPr>
            <w:tcW w:w="1488" w:type="pct"/>
            <w:vAlign w:val="center"/>
          </w:tcPr>
          <w:p w14:paraId="484DC09A">
            <w:pPr>
              <w:pStyle w:val="24"/>
              <w:spacing w:line="360" w:lineRule="exact"/>
              <w:ind w:firstLine="0" w:firstLineChars="0"/>
              <w:jc w:val="center"/>
              <w:rPr>
                <w:rFonts w:hint="eastAsia" w:ascii="仿宋" w:hAnsi="仿宋" w:eastAsia="仿宋" w:cs="宋体"/>
                <w:bCs/>
                <w:color w:val="auto"/>
                <w:highlight w:val="none"/>
              </w:rPr>
            </w:pPr>
            <w:r>
              <w:rPr>
                <w:rFonts w:ascii="仿宋" w:hAnsi="仿宋" w:eastAsia="仿宋" w:cs="宋体"/>
                <w:bCs/>
                <w:color w:val="auto"/>
                <w:highlight w:val="none"/>
              </w:rPr>
              <w:t>台账</w:t>
            </w:r>
          </w:p>
        </w:tc>
        <w:tc>
          <w:tcPr>
            <w:tcW w:w="3068" w:type="pct"/>
            <w:vAlign w:val="center"/>
          </w:tcPr>
          <w:p w14:paraId="49D024E5">
            <w:pPr>
              <w:pStyle w:val="24"/>
              <w:spacing w:line="360" w:lineRule="exact"/>
              <w:ind w:firstLine="0" w:firstLineChars="0"/>
              <w:jc w:val="left"/>
              <w:rPr>
                <w:rFonts w:hint="eastAsia" w:ascii="仿宋" w:hAnsi="仿宋" w:eastAsia="仿宋" w:cs="宋体"/>
                <w:bCs/>
                <w:color w:val="auto"/>
                <w:highlight w:val="none"/>
              </w:rPr>
            </w:pPr>
            <w:r>
              <w:rPr>
                <w:rFonts w:ascii="仿宋" w:hAnsi="仿宋" w:eastAsia="仿宋" w:cs="宋体"/>
                <w:bCs/>
                <w:color w:val="auto"/>
                <w:highlight w:val="none"/>
              </w:rPr>
              <w:t>根据工作安排制定的相关台账记录情况</w:t>
            </w:r>
          </w:p>
        </w:tc>
      </w:tr>
      <w:tr w14:paraId="4AF58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Align w:val="center"/>
          </w:tcPr>
          <w:p w14:paraId="5DCDE674">
            <w:pPr>
              <w:pStyle w:val="24"/>
              <w:spacing w:line="360" w:lineRule="exact"/>
              <w:ind w:firstLine="0" w:firstLineChars="0"/>
              <w:jc w:val="center"/>
              <w:rPr>
                <w:rFonts w:hint="eastAsia" w:ascii="仿宋" w:hAnsi="仿宋" w:eastAsia="仿宋" w:cs="宋体"/>
                <w:bCs/>
                <w:color w:val="auto"/>
                <w:highlight w:val="none"/>
              </w:rPr>
            </w:pPr>
            <w:r>
              <w:rPr>
                <w:rFonts w:hint="eastAsia" w:ascii="仿宋" w:hAnsi="仿宋" w:eastAsia="仿宋" w:cs="宋体"/>
                <w:bCs/>
                <w:color w:val="auto"/>
                <w:highlight w:val="none"/>
              </w:rPr>
              <w:t>7</w:t>
            </w:r>
          </w:p>
        </w:tc>
        <w:tc>
          <w:tcPr>
            <w:tcW w:w="1488" w:type="pct"/>
            <w:vAlign w:val="center"/>
          </w:tcPr>
          <w:p w14:paraId="1616B43C">
            <w:pPr>
              <w:pStyle w:val="24"/>
              <w:spacing w:line="360" w:lineRule="exact"/>
              <w:ind w:firstLine="0" w:firstLineChars="0"/>
              <w:jc w:val="center"/>
              <w:rPr>
                <w:rFonts w:hint="eastAsia" w:ascii="仿宋" w:hAnsi="仿宋" w:eastAsia="仿宋" w:cs="宋体"/>
                <w:bCs/>
                <w:color w:val="auto"/>
                <w:highlight w:val="none"/>
              </w:rPr>
            </w:pPr>
            <w:r>
              <w:rPr>
                <w:rFonts w:ascii="仿宋" w:hAnsi="仿宋" w:eastAsia="仿宋" w:cs="宋体"/>
                <w:bCs/>
                <w:color w:val="auto"/>
                <w:highlight w:val="none"/>
              </w:rPr>
              <w:t>其他工作</w:t>
            </w:r>
          </w:p>
        </w:tc>
        <w:tc>
          <w:tcPr>
            <w:tcW w:w="3068" w:type="pct"/>
            <w:vAlign w:val="center"/>
          </w:tcPr>
          <w:p w14:paraId="075851C9">
            <w:pPr>
              <w:pStyle w:val="24"/>
              <w:spacing w:line="360" w:lineRule="exact"/>
              <w:ind w:firstLine="0" w:firstLineChars="0"/>
              <w:jc w:val="left"/>
              <w:rPr>
                <w:rFonts w:hint="eastAsia" w:ascii="仿宋" w:hAnsi="仿宋" w:eastAsia="仿宋" w:cs="宋体"/>
                <w:bCs/>
                <w:color w:val="auto"/>
                <w:highlight w:val="none"/>
              </w:rPr>
            </w:pPr>
            <w:r>
              <w:rPr>
                <w:rFonts w:ascii="仿宋" w:hAnsi="仿宋" w:eastAsia="仿宋" w:cs="宋体"/>
                <w:bCs/>
                <w:color w:val="auto"/>
                <w:highlight w:val="none"/>
              </w:rPr>
              <w:t>履行项目采购文件、投标文件、合同条款中涉及的其他承诺</w:t>
            </w:r>
          </w:p>
        </w:tc>
      </w:tr>
    </w:tbl>
    <w:p w14:paraId="1E9B9F9B">
      <w:pPr>
        <w:pStyle w:val="24"/>
        <w:spacing w:line="360" w:lineRule="exact"/>
        <w:rPr>
          <w:rFonts w:hint="eastAsia" w:ascii="仿宋" w:hAnsi="仿宋" w:eastAsia="仿宋" w:cs="宋体"/>
          <w:bCs/>
          <w:color w:val="auto"/>
          <w:highlight w:val="none"/>
        </w:rPr>
      </w:pPr>
      <w:r>
        <w:rPr>
          <w:rFonts w:ascii="仿宋" w:hAnsi="仿宋" w:eastAsia="仿宋" w:cs="宋体"/>
          <w:bCs/>
          <w:color w:val="auto"/>
          <w:highlight w:val="none"/>
        </w:rPr>
        <w:t>5.2验收资料要求</w:t>
      </w:r>
    </w:p>
    <w:p w14:paraId="2AE9D39A">
      <w:pPr>
        <w:pStyle w:val="24"/>
        <w:spacing w:line="360" w:lineRule="exact"/>
        <w:rPr>
          <w:rFonts w:hint="eastAsia" w:ascii="仿宋" w:hAnsi="仿宋" w:eastAsia="仿宋" w:cs="宋体"/>
          <w:bCs/>
          <w:color w:val="auto"/>
          <w:highlight w:val="none"/>
        </w:rPr>
      </w:pPr>
      <w:r>
        <w:rPr>
          <w:rFonts w:ascii="仿宋" w:hAnsi="仿宋" w:eastAsia="仿宋" w:cs="宋体"/>
          <w:bCs/>
          <w:color w:val="auto"/>
          <w:highlight w:val="none"/>
        </w:rPr>
        <w:t>验收资料要求包括（不限于）以下内容：</w:t>
      </w:r>
    </w:p>
    <w:p w14:paraId="76112D0C">
      <w:pPr>
        <w:pStyle w:val="24"/>
        <w:spacing w:line="360" w:lineRule="exact"/>
        <w:rPr>
          <w:rFonts w:hint="eastAsia" w:ascii="仿宋" w:hAnsi="仿宋" w:eastAsia="仿宋" w:cs="宋体"/>
          <w:bCs/>
          <w:color w:val="auto"/>
          <w:highlight w:val="none"/>
        </w:rPr>
      </w:pPr>
      <w:r>
        <w:rPr>
          <w:rFonts w:ascii="仿宋" w:hAnsi="仿宋" w:eastAsia="仿宋" w:cs="宋体"/>
          <w:bCs/>
          <w:color w:val="auto"/>
          <w:highlight w:val="none"/>
        </w:rPr>
        <w:t>（1）采购文件</w:t>
      </w:r>
    </w:p>
    <w:p w14:paraId="4912E049">
      <w:pPr>
        <w:pStyle w:val="24"/>
        <w:spacing w:line="360" w:lineRule="exact"/>
        <w:rPr>
          <w:rFonts w:hint="eastAsia" w:ascii="仿宋" w:hAnsi="仿宋" w:eastAsia="仿宋" w:cs="宋体"/>
          <w:bCs/>
          <w:color w:val="auto"/>
          <w:highlight w:val="none"/>
        </w:rPr>
      </w:pPr>
      <w:r>
        <w:rPr>
          <w:rFonts w:ascii="仿宋" w:hAnsi="仿宋" w:eastAsia="仿宋" w:cs="宋体"/>
          <w:bCs/>
          <w:color w:val="auto"/>
          <w:highlight w:val="none"/>
        </w:rPr>
        <w:t>（2）投标文件</w:t>
      </w:r>
    </w:p>
    <w:p w14:paraId="5137FF39">
      <w:pPr>
        <w:pStyle w:val="24"/>
        <w:spacing w:line="360" w:lineRule="exact"/>
        <w:rPr>
          <w:rFonts w:hint="eastAsia" w:ascii="仿宋" w:hAnsi="仿宋" w:eastAsia="仿宋" w:cs="宋体"/>
          <w:bCs/>
          <w:color w:val="auto"/>
          <w:highlight w:val="none"/>
        </w:rPr>
      </w:pPr>
      <w:r>
        <w:rPr>
          <w:rFonts w:ascii="仿宋" w:hAnsi="仿宋" w:eastAsia="仿宋" w:cs="宋体"/>
          <w:bCs/>
          <w:color w:val="auto"/>
          <w:highlight w:val="none"/>
        </w:rPr>
        <w:t>（3）采购合同</w:t>
      </w:r>
    </w:p>
    <w:p w14:paraId="7AB842A4">
      <w:pPr>
        <w:pStyle w:val="24"/>
        <w:spacing w:line="360" w:lineRule="exact"/>
        <w:rPr>
          <w:rFonts w:hint="eastAsia" w:ascii="仿宋" w:hAnsi="仿宋" w:eastAsia="仿宋" w:cs="宋体"/>
          <w:bCs/>
          <w:color w:val="auto"/>
          <w:highlight w:val="none"/>
        </w:rPr>
      </w:pPr>
      <w:r>
        <w:rPr>
          <w:rFonts w:ascii="仿宋" w:hAnsi="仿宋" w:eastAsia="仿宋" w:cs="宋体"/>
          <w:bCs/>
          <w:color w:val="auto"/>
          <w:highlight w:val="none"/>
        </w:rPr>
        <w:t>（4）考核表：需</w:t>
      </w:r>
      <w:r>
        <w:rPr>
          <w:rFonts w:hint="eastAsia" w:ascii="仿宋" w:hAnsi="仿宋" w:eastAsia="仿宋" w:cs="宋体"/>
          <w:bCs/>
          <w:color w:val="auto"/>
          <w:highlight w:val="none"/>
          <w:lang w:eastAsia="zh-CN"/>
        </w:rPr>
        <w:t>招标方、</w:t>
      </w:r>
      <w:r>
        <w:rPr>
          <w:rFonts w:ascii="仿宋" w:hAnsi="仿宋" w:eastAsia="仿宋" w:cs="宋体"/>
          <w:bCs/>
          <w:color w:val="auto"/>
          <w:highlight w:val="none"/>
        </w:rPr>
        <w:t>中标</w:t>
      </w:r>
      <w:r>
        <w:rPr>
          <w:rFonts w:hint="eastAsia" w:ascii="仿宋" w:hAnsi="仿宋" w:eastAsia="仿宋" w:cs="宋体"/>
          <w:bCs/>
          <w:color w:val="auto"/>
          <w:highlight w:val="none"/>
          <w:lang w:eastAsia="zh-CN"/>
        </w:rPr>
        <w:t>方</w:t>
      </w:r>
      <w:r>
        <w:rPr>
          <w:rFonts w:ascii="仿宋" w:hAnsi="仿宋" w:eastAsia="仿宋" w:cs="宋体"/>
          <w:bCs/>
          <w:color w:val="auto"/>
          <w:highlight w:val="none"/>
        </w:rPr>
        <w:t>签字。</w:t>
      </w:r>
    </w:p>
    <w:p w14:paraId="17C90B63">
      <w:pPr>
        <w:pStyle w:val="24"/>
        <w:spacing w:line="360" w:lineRule="exact"/>
        <w:rPr>
          <w:rFonts w:hint="eastAsia" w:ascii="仿宋" w:hAnsi="仿宋" w:eastAsia="仿宋" w:cs="宋体"/>
          <w:bCs/>
          <w:color w:val="auto"/>
          <w:highlight w:val="none"/>
        </w:rPr>
      </w:pPr>
      <w:r>
        <w:rPr>
          <w:rFonts w:ascii="仿宋" w:hAnsi="仿宋" w:eastAsia="仿宋" w:cs="宋体"/>
          <w:bCs/>
          <w:color w:val="auto"/>
          <w:highlight w:val="none"/>
        </w:rPr>
        <w:t>（5）人员清单：项目实施人员明细清单。</w:t>
      </w:r>
    </w:p>
    <w:p w14:paraId="7EE64BE5">
      <w:pPr>
        <w:pStyle w:val="24"/>
        <w:spacing w:line="360" w:lineRule="exact"/>
        <w:ind w:firstLine="480" w:firstLineChars="200"/>
        <w:rPr>
          <w:rFonts w:hint="eastAsia" w:ascii="仿宋" w:hAnsi="仿宋" w:eastAsia="仿宋" w:cs="宋体"/>
          <w:bCs/>
          <w:color w:val="auto"/>
          <w:highlight w:val="none"/>
        </w:rPr>
      </w:pPr>
      <w:r>
        <w:rPr>
          <w:rFonts w:ascii="仿宋" w:hAnsi="仿宋" w:eastAsia="仿宋" w:cs="宋体"/>
          <w:bCs/>
          <w:color w:val="auto"/>
          <w:highlight w:val="none"/>
        </w:rPr>
        <w:t>（6）每月人员社保缴纳清单：提供所有人员每月的社保缴纳清单。</w:t>
      </w:r>
    </w:p>
    <w:p w14:paraId="53695FDF">
      <w:pPr>
        <w:pStyle w:val="24"/>
        <w:spacing w:line="360" w:lineRule="exact"/>
        <w:rPr>
          <w:rFonts w:hint="eastAsia" w:ascii="仿宋" w:hAnsi="仿宋" w:eastAsia="仿宋" w:cs="宋体"/>
          <w:bCs/>
          <w:color w:val="auto"/>
          <w:highlight w:val="none"/>
        </w:rPr>
      </w:pPr>
      <w:r>
        <w:rPr>
          <w:rFonts w:ascii="仿宋" w:hAnsi="仿宋" w:eastAsia="仿宋" w:cs="宋体"/>
          <w:bCs/>
          <w:color w:val="auto"/>
          <w:highlight w:val="none"/>
        </w:rPr>
        <w:t>（</w:t>
      </w:r>
      <w:r>
        <w:rPr>
          <w:rFonts w:hint="eastAsia" w:ascii="仿宋" w:hAnsi="仿宋" w:eastAsia="仿宋" w:cs="宋体"/>
          <w:bCs/>
          <w:color w:val="auto"/>
          <w:highlight w:val="none"/>
          <w:lang w:val="en-US" w:eastAsia="zh-CN"/>
        </w:rPr>
        <w:t>7</w:t>
      </w:r>
      <w:r>
        <w:rPr>
          <w:rFonts w:ascii="仿宋" w:hAnsi="仿宋" w:eastAsia="仿宋" w:cs="宋体"/>
          <w:bCs/>
          <w:color w:val="auto"/>
          <w:highlight w:val="none"/>
        </w:rPr>
        <w:t>）其他需提供的相关材料。</w:t>
      </w:r>
    </w:p>
    <w:p w14:paraId="1B36DE34">
      <w:pPr>
        <w:pStyle w:val="24"/>
        <w:spacing w:line="360" w:lineRule="exact"/>
        <w:ind w:firstLine="0" w:firstLineChars="0"/>
        <w:rPr>
          <w:rFonts w:hint="eastAsia" w:ascii="仿宋" w:hAnsi="仿宋" w:eastAsia="仿宋" w:cs="宋体"/>
          <w:b/>
          <w:color w:val="auto"/>
          <w:highlight w:val="none"/>
        </w:rPr>
      </w:pPr>
      <w:r>
        <w:rPr>
          <w:rFonts w:ascii="仿宋" w:hAnsi="仿宋" w:eastAsia="仿宋" w:cs="宋体"/>
          <w:b/>
          <w:color w:val="auto"/>
          <w:highlight w:val="none"/>
        </w:rPr>
        <w:t>九、付款</w:t>
      </w:r>
      <w:r>
        <w:rPr>
          <w:rFonts w:hint="eastAsia" w:ascii="仿宋" w:hAnsi="仿宋" w:eastAsia="仿宋" w:cs="宋体"/>
          <w:b/>
          <w:color w:val="auto"/>
          <w:highlight w:val="none"/>
        </w:rPr>
        <w:t>条件</w:t>
      </w:r>
    </w:p>
    <w:p w14:paraId="1B9B2045">
      <w:pPr>
        <w:pStyle w:val="24"/>
        <w:spacing w:line="360" w:lineRule="exact"/>
        <w:rPr>
          <w:rFonts w:hint="eastAsia" w:ascii="仿宋" w:hAnsi="仿宋" w:eastAsia="仿宋" w:cs="宋体"/>
          <w:bCs/>
          <w:color w:val="auto"/>
          <w:highlight w:val="none"/>
        </w:rPr>
      </w:pPr>
      <w:r>
        <w:rPr>
          <w:rFonts w:hint="eastAsia" w:ascii="仿宋" w:hAnsi="仿宋" w:eastAsia="仿宋" w:cs="宋体"/>
          <w:bCs/>
          <w:color w:val="auto"/>
          <w:highlight w:val="none"/>
        </w:rPr>
        <w:t>（1）预付款：本项目实施以人工投入为主，且采购人以按月结算方式向供应商支付服务费，根据“对供应商为大型企业的项目或者以人工投入为主且实行按月定期结算支付款项的项目，预付款可低于上述比例或者不约定预付款”之规定，采购方不约定预付款。</w:t>
      </w:r>
    </w:p>
    <w:p w14:paraId="0939A903">
      <w:pPr>
        <w:pStyle w:val="24"/>
        <w:spacing w:line="360" w:lineRule="exact"/>
        <w:rPr>
          <w:rFonts w:hint="eastAsia" w:ascii="仿宋" w:hAnsi="仿宋" w:eastAsia="仿宋" w:cs="宋体"/>
          <w:bCs/>
          <w:color w:val="auto"/>
          <w:highlight w:val="none"/>
        </w:rPr>
      </w:pPr>
      <w:r>
        <w:rPr>
          <w:rFonts w:hint="eastAsia" w:ascii="仿宋" w:hAnsi="仿宋" w:eastAsia="仿宋" w:cs="宋体"/>
          <w:bCs/>
          <w:color w:val="auto"/>
          <w:highlight w:val="none"/>
        </w:rPr>
        <w:t>（2）履约保证金：本项目不收取履约保证金。</w:t>
      </w:r>
    </w:p>
    <w:p w14:paraId="23CE71A7">
      <w:pPr>
        <w:pStyle w:val="24"/>
        <w:spacing w:line="360" w:lineRule="exact"/>
        <w:ind w:firstLine="0" w:firstLineChars="0"/>
        <w:rPr>
          <w:rFonts w:hint="eastAsia" w:ascii="仿宋" w:hAnsi="仿宋" w:eastAsia="仿宋" w:cs="宋体"/>
          <w:bCs/>
          <w:color w:val="auto"/>
          <w:highlight w:val="none"/>
          <w:lang w:val="en-US" w:eastAsia="zh-CN"/>
        </w:rPr>
      </w:pPr>
      <w:r>
        <w:rPr>
          <w:rFonts w:hint="eastAsia" w:ascii="仿宋" w:hAnsi="仿宋" w:eastAsia="仿宋" w:cs="宋体"/>
          <w:bCs/>
          <w:color w:val="auto"/>
          <w:highlight w:val="none"/>
        </w:rPr>
        <w:t>（3）服务费用结算：按月结算，</w:t>
      </w:r>
      <w:r>
        <w:rPr>
          <w:rFonts w:hint="eastAsia" w:ascii="仿宋" w:hAnsi="仿宋" w:eastAsia="仿宋" w:cs="宋体"/>
          <w:bCs/>
          <w:color w:val="auto"/>
          <w:highlight w:val="none"/>
          <w:lang w:val="en-US" w:eastAsia="zh-CN"/>
        </w:rPr>
        <w:t>每月支付10万元服务费（若中标价格低于每月10万元的，则按每月费用的80%支付），采购人收到供应商开具的正规发票后，15个工作日内支付相关费用，剩余服务费用根据年度考核情况（年度考核以每月考核情况为基准评定，考核标准详见合同附件1），按实际考核结果支付（不得超过合同价款）。</w:t>
      </w:r>
    </w:p>
    <w:p w14:paraId="0E6FEBAF">
      <w:pPr>
        <w:pStyle w:val="24"/>
        <w:spacing w:line="360" w:lineRule="exact"/>
        <w:ind w:firstLine="0" w:firstLineChars="0"/>
        <w:rPr>
          <w:rFonts w:hint="eastAsia" w:ascii="仿宋" w:hAnsi="仿宋" w:eastAsia="仿宋" w:cs="宋体"/>
          <w:b/>
          <w:color w:val="auto"/>
          <w:highlight w:val="none"/>
        </w:rPr>
      </w:pPr>
      <w:r>
        <w:rPr>
          <w:rFonts w:ascii="仿宋" w:hAnsi="仿宋" w:eastAsia="仿宋" w:cs="宋体"/>
          <w:b/>
          <w:color w:val="auto"/>
          <w:highlight w:val="none"/>
        </w:rPr>
        <w:t>十、投标的其他要求</w:t>
      </w:r>
    </w:p>
    <w:p w14:paraId="3175E3B4">
      <w:pPr>
        <w:pStyle w:val="24"/>
        <w:spacing w:line="360" w:lineRule="exact"/>
        <w:rPr>
          <w:rFonts w:hint="eastAsia" w:ascii="仿宋" w:hAnsi="仿宋" w:eastAsia="仿宋" w:cs="宋体"/>
          <w:bCs/>
          <w:color w:val="auto"/>
          <w:highlight w:val="none"/>
        </w:rPr>
      </w:pPr>
      <w:r>
        <w:rPr>
          <w:rFonts w:ascii="仿宋" w:hAnsi="仿宋" w:eastAsia="仿宋" w:cs="宋体"/>
          <w:bCs/>
          <w:color w:val="auto"/>
          <w:highlight w:val="none"/>
        </w:rPr>
        <w:t>1</w:t>
      </w:r>
      <w:r>
        <w:rPr>
          <w:rFonts w:hint="eastAsia" w:ascii="仿宋" w:hAnsi="仿宋" w:eastAsia="仿宋" w:cs="宋体"/>
          <w:bCs/>
          <w:color w:val="auto"/>
          <w:highlight w:val="none"/>
        </w:rPr>
        <w:t>、</w:t>
      </w:r>
      <w:r>
        <w:rPr>
          <w:rFonts w:ascii="仿宋" w:hAnsi="仿宋" w:eastAsia="仿宋" w:cs="宋体"/>
          <w:bCs/>
          <w:color w:val="auto"/>
          <w:highlight w:val="none"/>
        </w:rPr>
        <w:t>投标人需针对本项目的实际情况与需求，提供完整的项目实施方案，包括但不限于对项目背景的分析、</w:t>
      </w:r>
      <w:r>
        <w:rPr>
          <w:rFonts w:hint="eastAsia" w:ascii="仿宋" w:hAnsi="仿宋" w:eastAsia="仿宋" w:cs="宋体"/>
          <w:bCs/>
          <w:color w:val="auto"/>
          <w:highlight w:val="none"/>
        </w:rPr>
        <w:t>安保</w:t>
      </w:r>
      <w:r>
        <w:rPr>
          <w:rFonts w:ascii="仿宋" w:hAnsi="仿宋" w:eastAsia="仿宋" w:cs="宋体"/>
          <w:bCs/>
          <w:color w:val="auto"/>
          <w:highlight w:val="none"/>
        </w:rPr>
        <w:t>工作职责规划、</w:t>
      </w:r>
      <w:r>
        <w:rPr>
          <w:rFonts w:hint="eastAsia" w:ascii="仿宋" w:hAnsi="仿宋" w:eastAsia="仿宋" w:cs="宋体"/>
          <w:bCs/>
          <w:color w:val="auto"/>
          <w:highlight w:val="none"/>
        </w:rPr>
        <w:t>安保</w:t>
      </w:r>
      <w:r>
        <w:rPr>
          <w:rFonts w:ascii="仿宋" w:hAnsi="仿宋" w:eastAsia="仿宋" w:cs="宋体"/>
          <w:bCs/>
          <w:color w:val="auto"/>
          <w:highlight w:val="none"/>
        </w:rPr>
        <w:t>工作服务方案等内容。</w:t>
      </w:r>
    </w:p>
    <w:p w14:paraId="5BCEE931">
      <w:pPr>
        <w:pStyle w:val="24"/>
        <w:spacing w:line="360" w:lineRule="exact"/>
        <w:rPr>
          <w:rFonts w:hint="eastAsia" w:ascii="仿宋" w:hAnsi="仿宋" w:eastAsia="仿宋" w:cs="宋体"/>
          <w:bCs/>
          <w:color w:val="auto"/>
          <w:highlight w:val="none"/>
        </w:rPr>
      </w:pPr>
      <w:r>
        <w:rPr>
          <w:rFonts w:ascii="仿宋" w:hAnsi="仿宋" w:eastAsia="仿宋" w:cs="宋体"/>
          <w:bCs/>
          <w:color w:val="auto"/>
          <w:highlight w:val="none"/>
        </w:rPr>
        <w:t>2</w:t>
      </w:r>
      <w:r>
        <w:rPr>
          <w:rFonts w:hint="eastAsia" w:ascii="仿宋" w:hAnsi="仿宋" w:eastAsia="仿宋" w:cs="宋体"/>
          <w:bCs/>
          <w:color w:val="auto"/>
          <w:highlight w:val="none"/>
        </w:rPr>
        <w:t>、</w:t>
      </w:r>
      <w:r>
        <w:rPr>
          <w:rFonts w:ascii="仿宋" w:hAnsi="仿宋" w:eastAsia="仿宋" w:cs="宋体"/>
          <w:bCs/>
          <w:color w:val="auto"/>
          <w:highlight w:val="none"/>
        </w:rPr>
        <w:t>投标人需针对本项目的实际情况与需求，制定完善的管理制度。包括</w:t>
      </w:r>
      <w:r>
        <w:rPr>
          <w:rFonts w:hint="eastAsia" w:ascii="仿宋" w:hAnsi="仿宋" w:eastAsia="仿宋" w:cs="宋体"/>
          <w:bCs/>
          <w:color w:val="auto"/>
          <w:highlight w:val="none"/>
        </w:rPr>
        <w:t>①</w:t>
      </w:r>
      <w:r>
        <w:rPr>
          <w:rFonts w:ascii="仿宋" w:hAnsi="仿宋" w:eastAsia="仿宋" w:cs="宋体"/>
          <w:bCs/>
          <w:color w:val="auto"/>
          <w:highlight w:val="none"/>
        </w:rPr>
        <w:t>值守人员职责、交接班制度、例会制度等；②建立和完善档案管理制度等，体现标准化服务;③建立考核机制；④建立激励机制；⑤建立监督机制；⑥建立自我约束机制；⑦建立及时处理机制；建立管理指标承诺达到管理标准且相关制度需能体现标准化服务，并满足国家和行业相关标准要求。</w:t>
      </w:r>
    </w:p>
    <w:p w14:paraId="16CD7492">
      <w:pPr>
        <w:pStyle w:val="24"/>
        <w:spacing w:line="360" w:lineRule="exact"/>
        <w:rPr>
          <w:rFonts w:hint="eastAsia" w:ascii="仿宋" w:hAnsi="仿宋" w:eastAsia="仿宋" w:cs="宋体"/>
          <w:bCs/>
          <w:color w:val="auto"/>
          <w:highlight w:val="none"/>
        </w:rPr>
      </w:pPr>
      <w:r>
        <w:rPr>
          <w:rFonts w:ascii="仿宋" w:hAnsi="仿宋" w:eastAsia="仿宋" w:cs="宋体"/>
          <w:bCs/>
          <w:color w:val="auto"/>
          <w:highlight w:val="none"/>
        </w:rPr>
        <w:t>3</w:t>
      </w:r>
      <w:r>
        <w:rPr>
          <w:rFonts w:hint="eastAsia" w:ascii="仿宋" w:hAnsi="仿宋" w:eastAsia="仿宋" w:cs="宋体"/>
          <w:bCs/>
          <w:color w:val="auto"/>
          <w:highlight w:val="none"/>
        </w:rPr>
        <w:t>、</w:t>
      </w:r>
      <w:r>
        <w:rPr>
          <w:rFonts w:ascii="仿宋" w:hAnsi="仿宋" w:eastAsia="仿宋" w:cs="宋体"/>
          <w:bCs/>
          <w:color w:val="auto"/>
          <w:highlight w:val="none"/>
        </w:rPr>
        <w:t>投标人需针对本项目的实际情况与需求，制定自我监督考核办法，并在考核办法中清晰简练地列出考核机制、激励机制、监督机制、自我约束机制、信息反馈渠道及处理机制，</w:t>
      </w:r>
      <w:r>
        <w:rPr>
          <w:rFonts w:hint="eastAsia" w:ascii="仿宋" w:hAnsi="仿宋" w:eastAsia="仿宋" w:cs="宋体"/>
          <w:bCs/>
          <w:color w:val="auto"/>
          <w:highlight w:val="none"/>
        </w:rPr>
        <w:t>管理指标</w:t>
      </w:r>
      <w:r>
        <w:rPr>
          <w:rFonts w:ascii="仿宋" w:hAnsi="仿宋" w:eastAsia="仿宋" w:cs="宋体"/>
          <w:bCs/>
          <w:color w:val="auto"/>
          <w:highlight w:val="none"/>
        </w:rPr>
        <w:t>承诺达到管理标准情况，以便于采购人后期完成监督考核工作。</w:t>
      </w:r>
    </w:p>
    <w:p w14:paraId="071E9A71">
      <w:pPr>
        <w:pStyle w:val="24"/>
        <w:spacing w:line="360" w:lineRule="exact"/>
        <w:rPr>
          <w:rFonts w:hint="eastAsia" w:ascii="仿宋" w:hAnsi="仿宋" w:eastAsia="仿宋" w:cs="宋体"/>
          <w:bCs/>
          <w:color w:val="auto"/>
          <w:highlight w:val="none"/>
        </w:rPr>
      </w:pPr>
      <w:r>
        <w:rPr>
          <w:rFonts w:ascii="仿宋" w:hAnsi="仿宋" w:eastAsia="仿宋" w:cs="宋体"/>
          <w:bCs/>
          <w:color w:val="auto"/>
          <w:highlight w:val="none"/>
        </w:rPr>
        <w:t>4</w:t>
      </w:r>
      <w:r>
        <w:rPr>
          <w:rFonts w:hint="eastAsia" w:ascii="仿宋" w:hAnsi="仿宋" w:eastAsia="仿宋" w:cs="宋体"/>
          <w:bCs/>
          <w:color w:val="auto"/>
          <w:highlight w:val="none"/>
        </w:rPr>
        <w:t>、</w:t>
      </w:r>
      <w:r>
        <w:rPr>
          <w:rFonts w:ascii="仿宋" w:hAnsi="仿宋" w:eastAsia="仿宋" w:cs="宋体"/>
          <w:bCs/>
          <w:color w:val="auto"/>
          <w:highlight w:val="none"/>
        </w:rPr>
        <w:t>针对突发性事件，如自然灾害、突发疫情、临时任务等，应急人员配备及应急响应时间等情况的应对能力，</w:t>
      </w:r>
      <w:r>
        <w:rPr>
          <w:rFonts w:hint="eastAsia" w:ascii="仿宋" w:hAnsi="仿宋" w:eastAsia="仿宋" w:cs="宋体"/>
          <w:bCs/>
          <w:color w:val="auto"/>
          <w:highlight w:val="none"/>
        </w:rPr>
        <w:t>如</w:t>
      </w:r>
      <w:r>
        <w:rPr>
          <w:rFonts w:ascii="仿宋" w:hAnsi="仿宋" w:eastAsia="仿宋" w:cs="宋体"/>
          <w:bCs/>
          <w:color w:val="auto"/>
          <w:highlight w:val="none"/>
        </w:rPr>
        <w:t>遇突发事件</w:t>
      </w:r>
      <w:r>
        <w:rPr>
          <w:rFonts w:hint="eastAsia" w:ascii="仿宋" w:hAnsi="仿宋" w:eastAsia="仿宋" w:cs="宋体"/>
          <w:bCs/>
          <w:color w:val="auto"/>
          <w:highlight w:val="none"/>
          <w:lang w:val="en-US" w:eastAsia="zh-CN"/>
        </w:rPr>
        <w:t>5</w:t>
      </w:r>
      <w:r>
        <w:rPr>
          <w:rFonts w:ascii="仿宋" w:hAnsi="仿宋" w:eastAsia="仿宋" w:cs="宋体"/>
          <w:bCs/>
          <w:color w:val="auto"/>
          <w:highlight w:val="none"/>
        </w:rPr>
        <w:t>分钟内到达现场，普通事件1小时内处理完毕，特殊事件3小时内处理完毕，无法及时处理应立即向上级或有关部门汇报。</w:t>
      </w:r>
    </w:p>
    <w:p w14:paraId="3A3C1E64">
      <w:pPr>
        <w:pStyle w:val="24"/>
        <w:spacing w:line="360" w:lineRule="exact"/>
        <w:rPr>
          <w:rFonts w:hint="eastAsia" w:ascii="仿宋" w:hAnsi="仿宋" w:eastAsia="仿宋" w:cs="宋体"/>
          <w:bCs/>
          <w:color w:val="auto"/>
          <w:highlight w:val="none"/>
        </w:rPr>
      </w:pPr>
      <w:r>
        <w:rPr>
          <w:rFonts w:ascii="仿宋" w:hAnsi="仿宋" w:eastAsia="仿宋" w:cs="宋体"/>
          <w:bCs/>
          <w:color w:val="auto"/>
          <w:highlight w:val="none"/>
        </w:rPr>
        <w:t>5</w:t>
      </w:r>
      <w:r>
        <w:rPr>
          <w:rFonts w:hint="eastAsia" w:ascii="仿宋" w:hAnsi="仿宋" w:eastAsia="仿宋" w:cs="宋体"/>
          <w:bCs/>
          <w:color w:val="auto"/>
          <w:highlight w:val="none"/>
        </w:rPr>
        <w:t>、</w:t>
      </w:r>
      <w:r>
        <w:rPr>
          <w:rFonts w:ascii="仿宋" w:hAnsi="仿宋" w:eastAsia="仿宋" w:cs="宋体"/>
          <w:bCs/>
          <w:color w:val="auto"/>
          <w:highlight w:val="none"/>
        </w:rPr>
        <w:t>投标人拟派项目负责人应具备工作相关专业素质</w:t>
      </w:r>
      <w:r>
        <w:rPr>
          <w:rFonts w:hint="eastAsia" w:ascii="仿宋" w:hAnsi="仿宋" w:eastAsia="仿宋" w:cs="宋体"/>
          <w:bCs/>
          <w:color w:val="auto"/>
          <w:highlight w:val="none"/>
        </w:rPr>
        <w:t>且</w:t>
      </w:r>
      <w:r>
        <w:rPr>
          <w:rFonts w:ascii="仿宋" w:hAnsi="仿宋" w:eastAsia="仿宋" w:cs="宋体"/>
          <w:bCs/>
          <w:color w:val="auto"/>
          <w:highlight w:val="none"/>
        </w:rPr>
        <w:t>具备类似项目服务经验。</w:t>
      </w:r>
    </w:p>
    <w:p w14:paraId="47F5E937">
      <w:pPr>
        <w:pStyle w:val="24"/>
        <w:spacing w:line="360" w:lineRule="exact"/>
        <w:ind w:firstLine="482"/>
        <w:rPr>
          <w:rFonts w:hint="eastAsia" w:ascii="仿宋" w:hAnsi="仿宋" w:eastAsia="仿宋" w:cs="宋体"/>
          <w:b/>
          <w:color w:val="auto"/>
          <w:highlight w:val="none"/>
        </w:rPr>
      </w:pPr>
      <w:r>
        <w:rPr>
          <w:rFonts w:ascii="仿宋" w:hAnsi="仿宋" w:eastAsia="仿宋" w:cs="宋体"/>
          <w:b/>
          <w:color w:val="auto"/>
          <w:highlight w:val="none"/>
        </w:rPr>
        <w:t>说明：投标时，投标供应商需出具拟派项目负责人保证能在本项目服务期间专职为本项目服务的承诺函。</w:t>
      </w:r>
    </w:p>
    <w:p w14:paraId="5D13BF2D">
      <w:pPr>
        <w:pStyle w:val="24"/>
        <w:spacing w:line="360" w:lineRule="exact"/>
        <w:rPr>
          <w:rFonts w:hint="eastAsia" w:ascii="仿宋" w:hAnsi="仿宋" w:eastAsia="仿宋" w:cs="宋体"/>
          <w:bCs/>
          <w:color w:val="auto"/>
          <w:highlight w:val="none"/>
        </w:rPr>
      </w:pPr>
      <w:r>
        <w:rPr>
          <w:rFonts w:ascii="仿宋" w:hAnsi="仿宋" w:eastAsia="仿宋" w:cs="宋体"/>
          <w:bCs/>
          <w:color w:val="auto"/>
          <w:highlight w:val="none"/>
        </w:rPr>
        <w:t>6</w:t>
      </w:r>
      <w:r>
        <w:rPr>
          <w:rFonts w:hint="eastAsia" w:ascii="仿宋" w:hAnsi="仿宋" w:eastAsia="仿宋" w:cs="宋体"/>
          <w:bCs/>
          <w:color w:val="auto"/>
          <w:highlight w:val="none"/>
        </w:rPr>
        <w:t>、</w:t>
      </w:r>
      <w:r>
        <w:rPr>
          <w:rFonts w:ascii="仿宋" w:hAnsi="仿宋" w:eastAsia="仿宋" w:cs="宋体"/>
          <w:bCs/>
          <w:color w:val="auto"/>
          <w:highlight w:val="none"/>
        </w:rPr>
        <w:t>投标人针对本项目的拟派</w:t>
      </w:r>
      <w:r>
        <w:rPr>
          <w:rFonts w:hint="eastAsia" w:ascii="仿宋" w:hAnsi="仿宋" w:eastAsia="仿宋" w:cs="宋体"/>
          <w:bCs/>
          <w:color w:val="auto"/>
          <w:highlight w:val="none"/>
        </w:rPr>
        <w:t>安保人员</w:t>
      </w:r>
      <w:r>
        <w:rPr>
          <w:rFonts w:ascii="仿宋" w:hAnsi="仿宋" w:eastAsia="仿宋" w:cs="宋体"/>
          <w:bCs/>
          <w:color w:val="auto"/>
          <w:highlight w:val="none"/>
        </w:rPr>
        <w:t>年龄分布、退伍军人数量应满足采购需求。</w:t>
      </w:r>
    </w:p>
    <w:p w14:paraId="4556CE6E">
      <w:pPr>
        <w:pStyle w:val="24"/>
        <w:spacing w:line="360" w:lineRule="exact"/>
        <w:rPr>
          <w:rFonts w:hint="eastAsia" w:ascii="仿宋" w:hAnsi="仿宋" w:eastAsia="仿宋" w:cs="宋体"/>
          <w:bCs/>
          <w:color w:val="auto"/>
          <w:highlight w:val="none"/>
        </w:rPr>
      </w:pPr>
      <w:r>
        <w:rPr>
          <w:rFonts w:ascii="仿宋" w:hAnsi="仿宋" w:eastAsia="仿宋" w:cs="宋体"/>
          <w:bCs/>
          <w:color w:val="auto"/>
          <w:highlight w:val="none"/>
        </w:rPr>
        <w:t>7</w:t>
      </w:r>
      <w:r>
        <w:rPr>
          <w:rFonts w:hint="eastAsia" w:ascii="仿宋" w:hAnsi="仿宋" w:eastAsia="仿宋" w:cs="宋体"/>
          <w:bCs/>
          <w:color w:val="auto"/>
          <w:highlight w:val="none"/>
        </w:rPr>
        <w:t>、</w:t>
      </w:r>
      <w:r>
        <w:rPr>
          <w:rFonts w:ascii="仿宋" w:hAnsi="仿宋" w:eastAsia="仿宋" w:cs="宋体"/>
          <w:bCs/>
          <w:color w:val="auto"/>
          <w:highlight w:val="none"/>
        </w:rPr>
        <w:t>投标人需针对本项目的实际情况与需求，制定人员意外情况或重大过失的预防方案、人员替补力量及方案。</w:t>
      </w:r>
    </w:p>
    <w:p w14:paraId="6A5DEEA9">
      <w:pPr>
        <w:pStyle w:val="24"/>
        <w:spacing w:line="360" w:lineRule="exact"/>
        <w:rPr>
          <w:rFonts w:hint="eastAsia" w:ascii="仿宋" w:hAnsi="仿宋" w:eastAsia="仿宋" w:cs="宋体"/>
          <w:bCs/>
          <w:color w:val="auto"/>
          <w:highlight w:val="none"/>
        </w:rPr>
      </w:pPr>
      <w:r>
        <w:rPr>
          <w:rFonts w:ascii="仿宋" w:hAnsi="仿宋" w:eastAsia="仿宋" w:cs="宋体"/>
          <w:bCs/>
          <w:color w:val="auto"/>
          <w:highlight w:val="none"/>
        </w:rPr>
        <w:t>8</w:t>
      </w:r>
      <w:r>
        <w:rPr>
          <w:rFonts w:hint="eastAsia" w:ascii="仿宋" w:hAnsi="仿宋" w:eastAsia="仿宋" w:cs="宋体"/>
          <w:bCs/>
          <w:color w:val="auto"/>
          <w:highlight w:val="none"/>
        </w:rPr>
        <w:t>、</w:t>
      </w:r>
      <w:r>
        <w:rPr>
          <w:rFonts w:ascii="仿宋" w:hAnsi="仿宋" w:eastAsia="仿宋" w:cs="宋体"/>
          <w:bCs/>
          <w:color w:val="auto"/>
          <w:highlight w:val="none"/>
        </w:rPr>
        <w:t>投标人需承诺如发生</w:t>
      </w:r>
      <w:r>
        <w:rPr>
          <w:rFonts w:hint="eastAsia" w:ascii="仿宋" w:hAnsi="仿宋" w:eastAsia="仿宋" w:cs="宋体"/>
          <w:bCs/>
          <w:color w:val="auto"/>
          <w:highlight w:val="none"/>
        </w:rPr>
        <w:t>安保</w:t>
      </w:r>
      <w:r>
        <w:rPr>
          <w:rFonts w:ascii="仿宋" w:hAnsi="仿宋" w:eastAsia="仿宋" w:cs="宋体"/>
          <w:bCs/>
          <w:color w:val="auto"/>
          <w:highlight w:val="none"/>
        </w:rPr>
        <w:t>人员意外受伤等情形，先行垫付医疗费。</w:t>
      </w:r>
    </w:p>
    <w:p w14:paraId="7AD0C6E3">
      <w:pPr>
        <w:pStyle w:val="24"/>
        <w:spacing w:line="360" w:lineRule="exact"/>
        <w:rPr>
          <w:rFonts w:hint="eastAsia" w:ascii="仿宋" w:hAnsi="仿宋" w:eastAsia="仿宋" w:cs="宋体"/>
          <w:bCs/>
          <w:color w:val="auto"/>
          <w:highlight w:val="none"/>
        </w:rPr>
      </w:pPr>
      <w:r>
        <w:rPr>
          <w:rFonts w:ascii="仿宋" w:hAnsi="仿宋" w:eastAsia="仿宋" w:cs="宋体"/>
          <w:bCs/>
          <w:color w:val="auto"/>
          <w:highlight w:val="none"/>
        </w:rPr>
        <w:t>9</w:t>
      </w:r>
      <w:r>
        <w:rPr>
          <w:rFonts w:hint="eastAsia" w:ascii="仿宋" w:hAnsi="仿宋" w:eastAsia="仿宋" w:cs="宋体"/>
          <w:bCs/>
          <w:color w:val="auto"/>
          <w:highlight w:val="none"/>
        </w:rPr>
        <w:t>、</w:t>
      </w:r>
      <w:r>
        <w:rPr>
          <w:rFonts w:ascii="仿宋" w:hAnsi="仿宋" w:eastAsia="仿宋" w:cs="宋体"/>
          <w:bCs/>
          <w:color w:val="auto"/>
          <w:highlight w:val="none"/>
        </w:rPr>
        <w:t>投标人需针对本项目的实际情况与需求，为拟派</w:t>
      </w:r>
      <w:r>
        <w:rPr>
          <w:rFonts w:hint="eastAsia" w:ascii="仿宋" w:hAnsi="仿宋" w:eastAsia="仿宋" w:cs="宋体"/>
          <w:bCs/>
          <w:color w:val="auto"/>
          <w:highlight w:val="none"/>
        </w:rPr>
        <w:t>安保</w:t>
      </w:r>
      <w:r>
        <w:rPr>
          <w:rFonts w:ascii="仿宋" w:hAnsi="仿宋" w:eastAsia="仿宋" w:cs="宋体"/>
          <w:bCs/>
          <w:color w:val="auto"/>
          <w:highlight w:val="none"/>
        </w:rPr>
        <w:t>人员提供的服装情况，并提供详细配置清单。</w:t>
      </w:r>
    </w:p>
    <w:p w14:paraId="2333BDC9">
      <w:pPr>
        <w:pStyle w:val="24"/>
        <w:spacing w:line="360" w:lineRule="exact"/>
        <w:rPr>
          <w:rFonts w:hint="eastAsia" w:ascii="仿宋" w:hAnsi="仿宋" w:eastAsia="仿宋" w:cs="宋体"/>
          <w:bCs/>
          <w:color w:val="auto"/>
          <w:highlight w:val="none"/>
        </w:rPr>
      </w:pPr>
      <w:r>
        <w:rPr>
          <w:rFonts w:ascii="仿宋" w:hAnsi="仿宋" w:eastAsia="仿宋" w:cs="宋体"/>
          <w:bCs/>
          <w:color w:val="auto"/>
          <w:highlight w:val="none"/>
        </w:rPr>
        <w:t>10</w:t>
      </w:r>
      <w:r>
        <w:rPr>
          <w:rFonts w:hint="eastAsia" w:ascii="仿宋" w:hAnsi="仿宋" w:eastAsia="仿宋" w:cs="宋体"/>
          <w:bCs/>
          <w:color w:val="auto"/>
          <w:highlight w:val="none"/>
        </w:rPr>
        <w:t>、</w:t>
      </w:r>
      <w:r>
        <w:rPr>
          <w:rFonts w:ascii="仿宋" w:hAnsi="仿宋" w:eastAsia="仿宋" w:cs="宋体"/>
          <w:bCs/>
          <w:color w:val="auto"/>
          <w:highlight w:val="none"/>
        </w:rPr>
        <w:t>投标人需结合对本项目采购需求的理解，分析</w:t>
      </w:r>
      <w:r>
        <w:rPr>
          <w:rFonts w:hint="eastAsia" w:ascii="仿宋" w:hAnsi="仿宋" w:eastAsia="仿宋" w:cs="宋体"/>
          <w:bCs/>
          <w:color w:val="auto"/>
          <w:highlight w:val="none"/>
        </w:rPr>
        <w:t>安保</w:t>
      </w:r>
      <w:r>
        <w:rPr>
          <w:rFonts w:ascii="仿宋" w:hAnsi="仿宋" w:eastAsia="仿宋" w:cs="宋体"/>
          <w:bCs/>
          <w:color w:val="auto"/>
          <w:highlight w:val="none"/>
        </w:rPr>
        <w:t>服务存在的难点、要点问题；同时对突发事件的应急措施进行调查剖析，并针对性的提出克服难点和要点的技术措施。</w:t>
      </w:r>
    </w:p>
    <w:p w14:paraId="7D7059A0">
      <w:pPr>
        <w:pStyle w:val="24"/>
        <w:spacing w:line="360" w:lineRule="exact"/>
        <w:rPr>
          <w:rFonts w:hint="eastAsia" w:ascii="仿宋" w:hAnsi="仿宋" w:eastAsia="仿宋" w:cs="宋体"/>
          <w:bCs/>
          <w:color w:val="auto"/>
          <w:highlight w:val="none"/>
        </w:rPr>
      </w:pPr>
      <w:r>
        <w:rPr>
          <w:rFonts w:ascii="仿宋" w:hAnsi="仿宋" w:eastAsia="仿宋" w:cs="宋体"/>
          <w:bCs/>
          <w:color w:val="auto"/>
          <w:highlight w:val="none"/>
        </w:rPr>
        <w:t>11</w:t>
      </w:r>
      <w:r>
        <w:rPr>
          <w:rFonts w:hint="eastAsia" w:ascii="仿宋" w:hAnsi="仿宋" w:eastAsia="仿宋" w:cs="宋体"/>
          <w:bCs/>
          <w:color w:val="auto"/>
          <w:highlight w:val="none"/>
        </w:rPr>
        <w:t>、</w:t>
      </w:r>
      <w:r>
        <w:rPr>
          <w:rFonts w:ascii="仿宋" w:hAnsi="仿宋" w:eastAsia="仿宋" w:cs="宋体"/>
          <w:bCs/>
          <w:color w:val="auto"/>
          <w:highlight w:val="none"/>
        </w:rPr>
        <w:t>投标人需针对本项目的实际情况与需求，为拟派</w:t>
      </w:r>
      <w:r>
        <w:rPr>
          <w:rFonts w:hint="eastAsia" w:ascii="仿宋" w:hAnsi="仿宋" w:eastAsia="仿宋" w:cs="宋体"/>
          <w:bCs/>
          <w:color w:val="auto"/>
          <w:highlight w:val="none"/>
        </w:rPr>
        <w:t>安保</w:t>
      </w:r>
      <w:r>
        <w:rPr>
          <w:rFonts w:ascii="仿宋" w:hAnsi="仿宋" w:eastAsia="仿宋" w:cs="宋体"/>
          <w:bCs/>
          <w:color w:val="auto"/>
          <w:highlight w:val="none"/>
        </w:rPr>
        <w:t>人员制定后勤保障方案，包括但不限于集体宿舍提供情况、宿舍环境情况等。</w:t>
      </w:r>
    </w:p>
    <w:p w14:paraId="7D8E53F6">
      <w:pPr>
        <w:pStyle w:val="24"/>
        <w:spacing w:line="360" w:lineRule="exact"/>
        <w:rPr>
          <w:rFonts w:hint="eastAsia" w:ascii="仿宋" w:hAnsi="仿宋" w:eastAsia="仿宋" w:cs="宋体"/>
          <w:bCs/>
          <w:color w:val="auto"/>
          <w:highlight w:val="none"/>
        </w:rPr>
      </w:pPr>
      <w:r>
        <w:rPr>
          <w:rFonts w:ascii="仿宋" w:hAnsi="仿宋" w:eastAsia="仿宋" w:cs="宋体"/>
          <w:bCs/>
          <w:color w:val="auto"/>
          <w:highlight w:val="none"/>
        </w:rPr>
        <w:t>12</w:t>
      </w:r>
      <w:r>
        <w:rPr>
          <w:rFonts w:hint="eastAsia" w:ascii="仿宋" w:hAnsi="仿宋" w:eastAsia="仿宋" w:cs="宋体"/>
          <w:bCs/>
          <w:color w:val="auto"/>
          <w:highlight w:val="none"/>
        </w:rPr>
        <w:t>、</w:t>
      </w:r>
      <w:r>
        <w:rPr>
          <w:rFonts w:ascii="仿宋" w:hAnsi="仿宋" w:eastAsia="仿宋" w:cs="宋体"/>
          <w:bCs/>
          <w:color w:val="auto"/>
          <w:highlight w:val="none"/>
        </w:rPr>
        <w:t>投标人需提供服务质量保障方案，方案</w:t>
      </w:r>
      <w:r>
        <w:rPr>
          <w:rFonts w:hint="eastAsia" w:ascii="仿宋" w:hAnsi="仿宋" w:eastAsia="仿宋" w:cs="宋体"/>
          <w:bCs/>
          <w:color w:val="auto"/>
          <w:highlight w:val="none"/>
        </w:rPr>
        <w:t>具有</w:t>
      </w:r>
      <w:r>
        <w:rPr>
          <w:rFonts w:ascii="仿宋" w:hAnsi="仿宋" w:eastAsia="仿宋" w:cs="宋体"/>
          <w:bCs/>
          <w:color w:val="auto"/>
          <w:highlight w:val="none"/>
        </w:rPr>
        <w:t>详细可行的实施内容，包括管理教育保障、人员供应保障、人员稳定保障、监督检查等几方面。</w:t>
      </w:r>
    </w:p>
    <w:bookmarkEnd w:id="24"/>
    <w:p w14:paraId="69B2526E">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第四部</w:t>
      </w:r>
      <w:r>
        <w:rPr>
          <w:rFonts w:hint="eastAsia" w:ascii="仿宋" w:hAnsi="仿宋" w:eastAsia="仿宋" w:cs="仿宋"/>
          <w:b/>
          <w:color w:val="auto"/>
          <w:spacing w:val="362"/>
          <w:kern w:val="0"/>
          <w:sz w:val="36"/>
          <w:szCs w:val="36"/>
          <w:highlight w:val="none"/>
          <w:fitText w:val="1444" w:id="-982737664"/>
        </w:rPr>
        <w:t>分</w:t>
      </w:r>
      <w:bookmarkStart w:id="41" w:name="_Toc184308060"/>
      <w:bookmarkEnd w:id="41"/>
      <w:bookmarkStart w:id="42" w:name="_Toc184314424"/>
      <w:bookmarkEnd w:id="42"/>
      <w:bookmarkStart w:id="43" w:name="_Toc184310292"/>
      <w:bookmarkEnd w:id="43"/>
      <w:bookmarkStart w:id="44" w:name="_Toc184308038"/>
      <w:bookmarkEnd w:id="44"/>
      <w:bookmarkStart w:id="45" w:name="_Toc184314431"/>
      <w:bookmarkEnd w:id="45"/>
      <w:bookmarkStart w:id="46" w:name="_Toc184313310"/>
      <w:bookmarkEnd w:id="46"/>
      <w:bookmarkStart w:id="47" w:name="_Toc184312067"/>
      <w:bookmarkEnd w:id="47"/>
      <w:bookmarkStart w:id="48" w:name="_Toc184308108"/>
      <w:bookmarkEnd w:id="48"/>
      <w:bookmarkStart w:id="49" w:name="_Toc184314476"/>
      <w:bookmarkEnd w:id="49"/>
      <w:bookmarkStart w:id="50" w:name="_Toc184310277"/>
      <w:bookmarkEnd w:id="50"/>
      <w:bookmarkStart w:id="51" w:name="_Toc184313261"/>
      <w:bookmarkEnd w:id="51"/>
      <w:bookmarkStart w:id="52" w:name="_Toc184313286"/>
      <w:bookmarkEnd w:id="52"/>
      <w:bookmarkStart w:id="53" w:name="_Toc184308066"/>
      <w:bookmarkEnd w:id="53"/>
      <w:bookmarkStart w:id="54" w:name="_Toc184314467"/>
      <w:bookmarkEnd w:id="54"/>
      <w:bookmarkStart w:id="55" w:name="_Toc184314474"/>
      <w:bookmarkEnd w:id="55"/>
      <w:bookmarkStart w:id="56" w:name="_Toc184308041"/>
      <w:bookmarkEnd w:id="56"/>
      <w:bookmarkStart w:id="57" w:name="_Toc184312110"/>
      <w:bookmarkEnd w:id="57"/>
      <w:bookmarkStart w:id="58" w:name="_Toc184310303"/>
      <w:bookmarkEnd w:id="58"/>
      <w:bookmarkStart w:id="59" w:name="_Toc184313287"/>
      <w:bookmarkEnd w:id="59"/>
      <w:bookmarkStart w:id="60" w:name="_Toc184312117"/>
      <w:bookmarkEnd w:id="60"/>
      <w:bookmarkStart w:id="61" w:name="_Toc184314430"/>
      <w:bookmarkEnd w:id="61"/>
      <w:bookmarkStart w:id="62" w:name="_Toc184308101"/>
      <w:bookmarkEnd w:id="62"/>
      <w:bookmarkStart w:id="63" w:name="_Toc184308059"/>
      <w:bookmarkEnd w:id="63"/>
      <w:bookmarkStart w:id="64" w:name="_Toc184312121"/>
      <w:bookmarkEnd w:id="64"/>
      <w:bookmarkStart w:id="65" w:name="_Toc184314465"/>
      <w:bookmarkEnd w:id="65"/>
      <w:bookmarkStart w:id="66" w:name="_Toc184312108"/>
      <w:bookmarkEnd w:id="66"/>
      <w:bookmarkStart w:id="67" w:name="_Toc184310331"/>
      <w:bookmarkEnd w:id="67"/>
      <w:bookmarkStart w:id="68" w:name="_Toc184313305"/>
      <w:bookmarkEnd w:id="68"/>
      <w:bookmarkStart w:id="69" w:name="_Toc184312125"/>
      <w:bookmarkEnd w:id="69"/>
      <w:bookmarkStart w:id="70" w:name="_Toc184313298"/>
      <w:bookmarkEnd w:id="70"/>
      <w:bookmarkStart w:id="71" w:name="_Toc184312072"/>
      <w:bookmarkEnd w:id="71"/>
      <w:bookmarkStart w:id="72" w:name="_Toc184310342"/>
      <w:bookmarkEnd w:id="72"/>
      <w:bookmarkStart w:id="73" w:name="_Toc184313283"/>
      <w:bookmarkEnd w:id="73"/>
      <w:bookmarkStart w:id="74" w:name="_Toc184312137"/>
      <w:bookmarkEnd w:id="74"/>
      <w:bookmarkStart w:id="75" w:name="_Toc184310285"/>
      <w:bookmarkEnd w:id="75"/>
      <w:bookmarkStart w:id="76" w:name="_Toc184313272"/>
      <w:bookmarkEnd w:id="76"/>
      <w:bookmarkStart w:id="77" w:name="_Toc184308097"/>
      <w:bookmarkEnd w:id="77"/>
      <w:bookmarkStart w:id="78" w:name="_Toc184308087"/>
      <w:bookmarkEnd w:id="78"/>
      <w:bookmarkStart w:id="79" w:name="_Toc184310309"/>
      <w:bookmarkEnd w:id="79"/>
      <w:bookmarkStart w:id="80" w:name="_Toc184313260"/>
      <w:bookmarkEnd w:id="80"/>
      <w:bookmarkStart w:id="81" w:name="_Toc184310318"/>
      <w:bookmarkEnd w:id="81"/>
      <w:bookmarkStart w:id="82" w:name="_Toc184313302"/>
      <w:bookmarkEnd w:id="82"/>
      <w:bookmarkStart w:id="83" w:name="_Toc184312136"/>
      <w:bookmarkEnd w:id="83"/>
      <w:bookmarkStart w:id="84" w:name="_Toc184313279"/>
      <w:bookmarkEnd w:id="84"/>
      <w:bookmarkStart w:id="85" w:name="_Toc184308051"/>
      <w:bookmarkEnd w:id="85"/>
      <w:bookmarkStart w:id="86" w:name="_Toc184313268"/>
      <w:bookmarkEnd w:id="86"/>
      <w:bookmarkStart w:id="87" w:name="_Toc184312111"/>
      <w:bookmarkEnd w:id="87"/>
      <w:bookmarkStart w:id="88" w:name="_Toc184308102"/>
      <w:bookmarkEnd w:id="88"/>
      <w:bookmarkStart w:id="89" w:name="_Toc184310278"/>
      <w:bookmarkEnd w:id="89"/>
      <w:bookmarkStart w:id="90" w:name="_Toc184308052"/>
      <w:bookmarkEnd w:id="90"/>
      <w:bookmarkStart w:id="91" w:name="_Toc184313256"/>
      <w:bookmarkEnd w:id="91"/>
      <w:bookmarkStart w:id="92" w:name="_Toc184312122"/>
      <w:bookmarkEnd w:id="92"/>
      <w:bookmarkStart w:id="93" w:name="_Toc184314461"/>
      <w:bookmarkEnd w:id="93"/>
      <w:bookmarkStart w:id="94" w:name="_Toc184313288"/>
      <w:bookmarkEnd w:id="94"/>
      <w:bookmarkStart w:id="95" w:name="_Toc184314482"/>
      <w:bookmarkEnd w:id="95"/>
      <w:bookmarkStart w:id="96" w:name="_Toc184312086"/>
      <w:bookmarkEnd w:id="96"/>
      <w:bookmarkStart w:id="97" w:name="_Toc184308085"/>
      <w:bookmarkEnd w:id="97"/>
      <w:bookmarkStart w:id="98" w:name="_Toc184314439"/>
      <w:bookmarkEnd w:id="98"/>
      <w:bookmarkStart w:id="99" w:name="_Toc184312131"/>
      <w:bookmarkEnd w:id="99"/>
      <w:bookmarkStart w:id="100" w:name="_Toc184310329"/>
      <w:bookmarkEnd w:id="100"/>
      <w:bookmarkStart w:id="101" w:name="_Toc184312091"/>
      <w:bookmarkEnd w:id="101"/>
      <w:bookmarkStart w:id="102" w:name="_Toc184308104"/>
      <w:bookmarkEnd w:id="102"/>
      <w:bookmarkStart w:id="103" w:name="_Toc184310279"/>
      <w:bookmarkEnd w:id="103"/>
      <w:bookmarkStart w:id="104" w:name="_Toc184312127"/>
      <w:bookmarkEnd w:id="104"/>
      <w:bookmarkStart w:id="105" w:name="_Toc184314438"/>
      <w:bookmarkEnd w:id="105"/>
      <w:bookmarkStart w:id="106" w:name="_Toc184313300"/>
      <w:bookmarkEnd w:id="106"/>
      <w:bookmarkStart w:id="107" w:name="_Toc184310343"/>
      <w:bookmarkEnd w:id="107"/>
      <w:bookmarkStart w:id="108" w:name="_Toc184313265"/>
      <w:bookmarkEnd w:id="108"/>
      <w:bookmarkStart w:id="109" w:name="_Toc184308064"/>
      <w:bookmarkEnd w:id="109"/>
      <w:bookmarkStart w:id="110" w:name="_Toc184313296"/>
      <w:bookmarkEnd w:id="110"/>
      <w:bookmarkStart w:id="111" w:name="_Toc184310282"/>
      <w:bookmarkEnd w:id="111"/>
      <w:bookmarkStart w:id="112" w:name="_Toc184313292"/>
      <w:bookmarkEnd w:id="112"/>
      <w:bookmarkStart w:id="113" w:name="_Toc184314453"/>
      <w:bookmarkEnd w:id="113"/>
      <w:bookmarkStart w:id="114" w:name="_Toc184308089"/>
      <w:bookmarkEnd w:id="114"/>
      <w:bookmarkStart w:id="115" w:name="_Toc184308098"/>
      <w:bookmarkEnd w:id="115"/>
      <w:bookmarkStart w:id="116" w:name="_Toc184312126"/>
      <w:bookmarkEnd w:id="116"/>
      <w:bookmarkStart w:id="117" w:name="_Toc184313246"/>
      <w:bookmarkEnd w:id="117"/>
      <w:bookmarkStart w:id="118" w:name="_Toc184310333"/>
      <w:bookmarkEnd w:id="118"/>
      <w:bookmarkStart w:id="119" w:name="_Toc184314477"/>
      <w:bookmarkEnd w:id="119"/>
      <w:bookmarkStart w:id="120" w:name="_Toc184312090"/>
      <w:bookmarkEnd w:id="120"/>
      <w:bookmarkStart w:id="121" w:name="_Toc184308047"/>
      <w:bookmarkEnd w:id="121"/>
      <w:bookmarkStart w:id="122" w:name="_Toc184310287"/>
      <w:bookmarkEnd w:id="122"/>
      <w:bookmarkStart w:id="123" w:name="_Toc184312093"/>
      <w:bookmarkEnd w:id="123"/>
      <w:bookmarkStart w:id="124" w:name="_Toc184313281"/>
      <w:bookmarkEnd w:id="124"/>
      <w:bookmarkStart w:id="125" w:name="_Toc184308070"/>
      <w:bookmarkEnd w:id="125"/>
      <w:bookmarkStart w:id="126" w:name="_Toc184314445"/>
      <w:bookmarkEnd w:id="126"/>
      <w:bookmarkStart w:id="127" w:name="_Toc184310272"/>
      <w:bookmarkEnd w:id="127"/>
      <w:bookmarkStart w:id="128" w:name="_Toc184310295"/>
      <w:bookmarkEnd w:id="128"/>
      <w:bookmarkStart w:id="129" w:name="_Toc184313303"/>
      <w:bookmarkEnd w:id="129"/>
      <w:bookmarkStart w:id="130" w:name="_Toc184314459"/>
      <w:bookmarkEnd w:id="130"/>
      <w:bookmarkStart w:id="131" w:name="_Toc184313249"/>
      <w:bookmarkEnd w:id="131"/>
      <w:bookmarkStart w:id="132" w:name="_Toc184314422"/>
      <w:bookmarkEnd w:id="132"/>
      <w:bookmarkStart w:id="133" w:name="_Toc184310306"/>
      <w:bookmarkEnd w:id="133"/>
      <w:bookmarkStart w:id="134" w:name="_Toc184314417"/>
      <w:bookmarkEnd w:id="134"/>
      <w:bookmarkStart w:id="135" w:name="_Toc184314435"/>
      <w:bookmarkEnd w:id="135"/>
      <w:bookmarkStart w:id="136" w:name="_Toc184313295"/>
      <w:bookmarkEnd w:id="136"/>
      <w:bookmarkStart w:id="137" w:name="_Toc184313293"/>
      <w:bookmarkEnd w:id="137"/>
      <w:bookmarkStart w:id="138" w:name="_Toc184308044"/>
      <w:bookmarkEnd w:id="138"/>
      <w:bookmarkStart w:id="139" w:name="_Toc184310299"/>
      <w:bookmarkEnd w:id="139"/>
      <w:bookmarkStart w:id="140" w:name="_Toc184314472"/>
      <w:bookmarkEnd w:id="140"/>
      <w:bookmarkStart w:id="141" w:name="_Toc184308079"/>
      <w:bookmarkEnd w:id="141"/>
      <w:bookmarkStart w:id="142" w:name="_Toc184312085"/>
      <w:bookmarkEnd w:id="142"/>
      <w:bookmarkStart w:id="143" w:name="_Toc184314420"/>
      <w:bookmarkEnd w:id="143"/>
      <w:bookmarkStart w:id="144" w:name="_Toc184310312"/>
      <w:bookmarkEnd w:id="144"/>
      <w:bookmarkStart w:id="145" w:name="_Toc184308084"/>
      <w:bookmarkEnd w:id="145"/>
      <w:bookmarkStart w:id="146" w:name="_Toc184314458"/>
      <w:bookmarkEnd w:id="146"/>
      <w:bookmarkStart w:id="147" w:name="_Toc184314427"/>
      <w:bookmarkEnd w:id="147"/>
      <w:bookmarkStart w:id="148" w:name="_Toc184313274"/>
      <w:bookmarkEnd w:id="148"/>
      <w:bookmarkStart w:id="149" w:name="_Toc184313275"/>
      <w:bookmarkEnd w:id="149"/>
      <w:bookmarkStart w:id="150" w:name="_Toc184313309"/>
      <w:bookmarkEnd w:id="150"/>
      <w:bookmarkStart w:id="151" w:name="_Toc184313284"/>
      <w:bookmarkEnd w:id="151"/>
      <w:bookmarkStart w:id="152" w:name="_Toc184312135"/>
      <w:bookmarkEnd w:id="152"/>
      <w:bookmarkStart w:id="153" w:name="_Toc184314462"/>
      <w:bookmarkEnd w:id="153"/>
      <w:bookmarkStart w:id="154" w:name="_Toc184313291"/>
      <w:bookmarkEnd w:id="154"/>
      <w:bookmarkStart w:id="155" w:name="_Toc184312115"/>
      <w:bookmarkEnd w:id="155"/>
      <w:bookmarkStart w:id="156" w:name="_Toc184312114"/>
      <w:bookmarkEnd w:id="156"/>
      <w:bookmarkStart w:id="157" w:name="_Toc184314478"/>
      <w:bookmarkEnd w:id="157"/>
      <w:bookmarkStart w:id="158" w:name="_Toc184308067"/>
      <w:bookmarkEnd w:id="158"/>
      <w:bookmarkStart w:id="159" w:name="_Toc184313252"/>
      <w:bookmarkEnd w:id="159"/>
      <w:bookmarkStart w:id="160" w:name="_Toc184313251"/>
      <w:bookmarkEnd w:id="160"/>
      <w:bookmarkStart w:id="161" w:name="_Toc184314454"/>
      <w:bookmarkEnd w:id="161"/>
      <w:bookmarkStart w:id="162" w:name="_Toc184313273"/>
      <w:bookmarkEnd w:id="162"/>
      <w:bookmarkStart w:id="163" w:name="_Toc184310319"/>
      <w:bookmarkEnd w:id="163"/>
      <w:bookmarkStart w:id="164" w:name="_Toc184310344"/>
      <w:bookmarkEnd w:id="164"/>
      <w:bookmarkStart w:id="165" w:name="_Toc184308094"/>
      <w:bookmarkEnd w:id="165"/>
      <w:bookmarkStart w:id="166" w:name="_Toc184308046"/>
      <w:bookmarkEnd w:id="166"/>
      <w:bookmarkStart w:id="167" w:name="_Toc184310323"/>
      <w:bookmarkEnd w:id="167"/>
      <w:bookmarkStart w:id="168" w:name="_Toc184312119"/>
      <w:bookmarkEnd w:id="168"/>
      <w:bookmarkStart w:id="169" w:name="_Toc184310327"/>
      <w:bookmarkEnd w:id="169"/>
      <w:bookmarkStart w:id="170" w:name="_Toc184313285"/>
      <w:bookmarkEnd w:id="170"/>
      <w:bookmarkStart w:id="171" w:name="_Toc184313304"/>
      <w:bookmarkEnd w:id="171"/>
      <w:bookmarkStart w:id="172" w:name="_Toc184310310"/>
      <w:bookmarkEnd w:id="172"/>
      <w:bookmarkStart w:id="173" w:name="_Toc184313250"/>
      <w:bookmarkEnd w:id="173"/>
      <w:bookmarkStart w:id="174" w:name="_Toc184312104"/>
      <w:bookmarkEnd w:id="174"/>
      <w:bookmarkStart w:id="175" w:name="_Toc184308100"/>
      <w:bookmarkEnd w:id="175"/>
      <w:bookmarkStart w:id="176" w:name="_Toc184314411"/>
      <w:bookmarkEnd w:id="176"/>
      <w:bookmarkStart w:id="177" w:name="_Toc184310332"/>
      <w:bookmarkEnd w:id="177"/>
      <w:bookmarkStart w:id="178" w:name="_Toc184312130"/>
      <w:bookmarkEnd w:id="178"/>
      <w:bookmarkStart w:id="179" w:name="_Toc184313240"/>
      <w:bookmarkEnd w:id="179"/>
      <w:bookmarkStart w:id="180" w:name="_Toc184310314"/>
      <w:bookmarkEnd w:id="180"/>
      <w:bookmarkStart w:id="181" w:name="_Toc184313257"/>
      <w:bookmarkEnd w:id="181"/>
      <w:bookmarkStart w:id="182" w:name="_Toc184308107"/>
      <w:bookmarkEnd w:id="182"/>
      <w:bookmarkStart w:id="183" w:name="_Toc184314414"/>
      <w:bookmarkEnd w:id="183"/>
      <w:bookmarkStart w:id="184" w:name="_Toc184310340"/>
      <w:bookmarkEnd w:id="184"/>
      <w:bookmarkStart w:id="185" w:name="_Toc184313239"/>
      <w:bookmarkEnd w:id="185"/>
      <w:bookmarkStart w:id="186" w:name="_Toc184308043"/>
      <w:bookmarkEnd w:id="186"/>
      <w:bookmarkStart w:id="187" w:name="_Toc184308074"/>
      <w:bookmarkEnd w:id="187"/>
      <w:bookmarkStart w:id="188" w:name="_Toc184308099"/>
      <w:bookmarkEnd w:id="188"/>
      <w:bookmarkStart w:id="189" w:name="_Toc184310273"/>
      <w:bookmarkEnd w:id="189"/>
      <w:bookmarkStart w:id="190" w:name="_Toc184308065"/>
      <w:bookmarkEnd w:id="190"/>
      <w:bookmarkStart w:id="191" w:name="_Toc184313306"/>
      <w:bookmarkEnd w:id="191"/>
      <w:bookmarkStart w:id="192" w:name="_Toc184314418"/>
      <w:bookmarkEnd w:id="192"/>
      <w:bookmarkStart w:id="193" w:name="_Toc184308095"/>
      <w:bookmarkEnd w:id="193"/>
      <w:bookmarkStart w:id="194" w:name="_Toc184312089"/>
      <w:bookmarkEnd w:id="194"/>
      <w:bookmarkStart w:id="195" w:name="_Toc184313264"/>
      <w:bookmarkEnd w:id="195"/>
      <w:bookmarkStart w:id="196" w:name="_Toc184314412"/>
      <w:bookmarkEnd w:id="196"/>
      <w:bookmarkStart w:id="197" w:name="_Toc184310296"/>
      <w:bookmarkEnd w:id="197"/>
      <w:bookmarkStart w:id="198" w:name="_Toc184310305"/>
      <w:bookmarkEnd w:id="198"/>
      <w:bookmarkStart w:id="199" w:name="_Toc184314460"/>
      <w:bookmarkEnd w:id="199"/>
      <w:bookmarkStart w:id="200" w:name="_Toc184312095"/>
      <w:bookmarkEnd w:id="200"/>
      <w:bookmarkStart w:id="201" w:name="_Toc184313290"/>
      <w:bookmarkEnd w:id="201"/>
      <w:bookmarkStart w:id="202" w:name="_Toc184308042"/>
      <w:bookmarkEnd w:id="202"/>
      <w:bookmarkStart w:id="203" w:name="_Toc184312084"/>
      <w:bookmarkEnd w:id="203"/>
      <w:bookmarkStart w:id="204" w:name="_Toc184313269"/>
      <w:bookmarkEnd w:id="204"/>
      <w:bookmarkStart w:id="205" w:name="_Toc184308078"/>
      <w:bookmarkEnd w:id="205"/>
      <w:bookmarkStart w:id="206" w:name="_Toc184308083"/>
      <w:bookmarkEnd w:id="206"/>
      <w:bookmarkStart w:id="207" w:name="_Toc184308075"/>
      <w:bookmarkEnd w:id="207"/>
      <w:bookmarkStart w:id="208" w:name="_Toc184308039"/>
      <w:bookmarkEnd w:id="208"/>
      <w:bookmarkStart w:id="209" w:name="_Toc184308069"/>
      <w:bookmarkEnd w:id="209"/>
      <w:bookmarkStart w:id="210" w:name="_Toc184312079"/>
      <w:bookmarkEnd w:id="210"/>
      <w:bookmarkStart w:id="211" w:name="_Toc184314415"/>
      <w:bookmarkEnd w:id="211"/>
      <w:bookmarkStart w:id="212" w:name="_Toc184313259"/>
      <w:bookmarkEnd w:id="212"/>
      <w:bookmarkStart w:id="213" w:name="_Toc184312129"/>
      <w:bookmarkEnd w:id="213"/>
      <w:bookmarkStart w:id="214" w:name="_Toc184308081"/>
      <w:bookmarkEnd w:id="214"/>
      <w:bookmarkStart w:id="215" w:name="_Toc184310338"/>
      <w:bookmarkEnd w:id="215"/>
      <w:bookmarkStart w:id="216" w:name="_Toc184310313"/>
      <w:bookmarkEnd w:id="216"/>
      <w:bookmarkStart w:id="217" w:name="_Toc184308037"/>
      <w:bookmarkEnd w:id="217"/>
      <w:bookmarkStart w:id="218" w:name="_Toc184312098"/>
      <w:bookmarkEnd w:id="218"/>
      <w:bookmarkStart w:id="219" w:name="_Toc184308090"/>
      <w:bookmarkEnd w:id="219"/>
      <w:bookmarkStart w:id="220" w:name="_Toc184308053"/>
      <w:bookmarkEnd w:id="220"/>
      <w:bookmarkStart w:id="221" w:name="_Toc184310293"/>
      <w:bookmarkEnd w:id="221"/>
      <w:bookmarkStart w:id="222" w:name="_Toc184314429"/>
      <w:bookmarkEnd w:id="222"/>
      <w:bookmarkStart w:id="223" w:name="_Toc184314449"/>
      <w:bookmarkEnd w:id="223"/>
      <w:bookmarkStart w:id="224" w:name="_Toc184313244"/>
      <w:bookmarkEnd w:id="224"/>
      <w:bookmarkStart w:id="225" w:name="_Toc184313258"/>
      <w:bookmarkEnd w:id="225"/>
      <w:bookmarkStart w:id="226" w:name="_Toc184308036"/>
      <w:bookmarkEnd w:id="226"/>
      <w:bookmarkStart w:id="227" w:name="_Toc184308106"/>
      <w:bookmarkEnd w:id="227"/>
      <w:bookmarkStart w:id="228" w:name="_Toc184314426"/>
      <w:bookmarkEnd w:id="228"/>
      <w:bookmarkStart w:id="229" w:name="_Toc184310324"/>
      <w:bookmarkEnd w:id="229"/>
      <w:bookmarkStart w:id="230" w:name="_Toc184314456"/>
      <w:bookmarkEnd w:id="230"/>
      <w:bookmarkStart w:id="231" w:name="_Toc184312133"/>
      <w:bookmarkEnd w:id="231"/>
      <w:bookmarkStart w:id="232" w:name="_Toc184314421"/>
      <w:bookmarkEnd w:id="232"/>
      <w:bookmarkStart w:id="233" w:name="_Toc184313241"/>
      <w:bookmarkEnd w:id="233"/>
      <w:bookmarkStart w:id="234" w:name="_Toc184313299"/>
      <w:bookmarkEnd w:id="234"/>
      <w:bookmarkStart w:id="235" w:name="_Toc184314428"/>
      <w:bookmarkEnd w:id="235"/>
      <w:bookmarkStart w:id="236" w:name="_Toc184310330"/>
      <w:bookmarkEnd w:id="236"/>
      <w:bookmarkStart w:id="237" w:name="_Toc184308061"/>
      <w:bookmarkEnd w:id="237"/>
      <w:bookmarkStart w:id="238" w:name="_Toc184310308"/>
      <w:bookmarkEnd w:id="238"/>
      <w:bookmarkStart w:id="239" w:name="_Toc184314452"/>
      <w:bookmarkEnd w:id="239"/>
      <w:bookmarkStart w:id="240" w:name="_Toc184312069"/>
      <w:bookmarkEnd w:id="240"/>
      <w:bookmarkStart w:id="241" w:name="_Toc184312097"/>
      <w:bookmarkEnd w:id="241"/>
      <w:bookmarkStart w:id="242" w:name="_Toc184308076"/>
      <w:bookmarkEnd w:id="242"/>
      <w:bookmarkStart w:id="243" w:name="_Toc184308082"/>
      <w:bookmarkEnd w:id="243"/>
      <w:bookmarkStart w:id="244" w:name="_Toc184314464"/>
      <w:bookmarkEnd w:id="244"/>
      <w:bookmarkStart w:id="245" w:name="_Toc184312076"/>
      <w:bookmarkEnd w:id="245"/>
      <w:bookmarkStart w:id="246" w:name="_Toc184313253"/>
      <w:bookmarkEnd w:id="246"/>
      <w:bookmarkStart w:id="247" w:name="_Toc184314444"/>
      <w:bookmarkEnd w:id="247"/>
      <w:bookmarkStart w:id="248" w:name="_Toc184310289"/>
      <w:bookmarkEnd w:id="248"/>
      <w:bookmarkStart w:id="249" w:name="_Toc184312081"/>
      <w:bookmarkEnd w:id="249"/>
      <w:bookmarkStart w:id="250" w:name="_Toc184308091"/>
      <w:bookmarkEnd w:id="250"/>
      <w:bookmarkStart w:id="251" w:name="_Toc184310326"/>
      <w:bookmarkEnd w:id="251"/>
      <w:bookmarkStart w:id="252" w:name="_Toc184314469"/>
      <w:bookmarkEnd w:id="252"/>
      <w:bookmarkStart w:id="253" w:name="_Toc184312132"/>
      <w:bookmarkEnd w:id="253"/>
      <w:bookmarkStart w:id="254" w:name="_Toc184312118"/>
      <w:bookmarkEnd w:id="254"/>
      <w:bookmarkStart w:id="255" w:name="_Toc184310317"/>
      <w:bookmarkEnd w:id="255"/>
      <w:bookmarkStart w:id="256" w:name="_Toc184310275"/>
      <w:bookmarkEnd w:id="256"/>
      <w:bookmarkStart w:id="257" w:name="_Toc184314416"/>
      <w:bookmarkEnd w:id="257"/>
      <w:bookmarkStart w:id="258" w:name="_Toc184310298"/>
      <w:bookmarkEnd w:id="258"/>
      <w:bookmarkStart w:id="259" w:name="_Toc184308058"/>
      <w:bookmarkEnd w:id="259"/>
      <w:bookmarkStart w:id="260" w:name="_Toc184310294"/>
      <w:bookmarkEnd w:id="260"/>
      <w:bookmarkStart w:id="261" w:name="_Toc184310335"/>
      <w:bookmarkEnd w:id="261"/>
      <w:bookmarkStart w:id="262" w:name="_Toc184314443"/>
      <w:bookmarkEnd w:id="262"/>
      <w:bookmarkStart w:id="263" w:name="_Toc184314466"/>
      <w:bookmarkEnd w:id="263"/>
      <w:bookmarkStart w:id="264" w:name="_Toc184312075"/>
      <w:bookmarkEnd w:id="264"/>
      <w:bookmarkStart w:id="265" w:name="_Toc184312139"/>
      <w:bookmarkEnd w:id="265"/>
      <w:bookmarkStart w:id="266" w:name="_Toc184314442"/>
      <w:bookmarkEnd w:id="266"/>
      <w:bookmarkStart w:id="267" w:name="_Toc184312096"/>
      <w:bookmarkEnd w:id="267"/>
      <w:bookmarkStart w:id="268" w:name="_Toc184314451"/>
      <w:bookmarkEnd w:id="268"/>
      <w:bookmarkStart w:id="269" w:name="_Toc184310341"/>
      <w:bookmarkEnd w:id="269"/>
      <w:bookmarkStart w:id="270" w:name="_Toc184308072"/>
      <w:bookmarkEnd w:id="270"/>
      <w:bookmarkStart w:id="271" w:name="_Toc184312107"/>
      <w:bookmarkEnd w:id="271"/>
      <w:bookmarkStart w:id="272" w:name="_Toc184313278"/>
      <w:bookmarkEnd w:id="272"/>
      <w:bookmarkStart w:id="273" w:name="_Toc184314423"/>
      <w:bookmarkEnd w:id="273"/>
      <w:bookmarkStart w:id="274" w:name="_Toc184308054"/>
      <w:bookmarkEnd w:id="274"/>
      <w:bookmarkStart w:id="275" w:name="_Toc184312123"/>
      <w:bookmarkEnd w:id="275"/>
      <w:bookmarkStart w:id="276" w:name="_Toc184314434"/>
      <w:bookmarkEnd w:id="276"/>
      <w:bookmarkStart w:id="277" w:name="_Toc184314481"/>
      <w:bookmarkEnd w:id="277"/>
      <w:bookmarkStart w:id="278" w:name="_Toc184313247"/>
      <w:bookmarkEnd w:id="278"/>
      <w:bookmarkStart w:id="279" w:name="_Toc184313243"/>
      <w:bookmarkEnd w:id="279"/>
      <w:bookmarkStart w:id="280" w:name="_Toc184313271"/>
      <w:bookmarkEnd w:id="280"/>
      <w:bookmarkStart w:id="281" w:name="_Toc184310280"/>
      <w:bookmarkEnd w:id="281"/>
      <w:bookmarkStart w:id="282" w:name="_Toc184310307"/>
      <w:bookmarkEnd w:id="282"/>
      <w:bookmarkStart w:id="283" w:name="_Toc184313262"/>
      <w:bookmarkEnd w:id="283"/>
      <w:bookmarkStart w:id="284" w:name="_Toc184310334"/>
      <w:bookmarkEnd w:id="284"/>
      <w:bookmarkStart w:id="285" w:name="_Toc184308086"/>
      <w:bookmarkEnd w:id="285"/>
      <w:bookmarkStart w:id="286" w:name="_Toc184314480"/>
      <w:bookmarkEnd w:id="286"/>
      <w:bookmarkStart w:id="287" w:name="_Toc184312092"/>
      <w:bookmarkEnd w:id="287"/>
      <w:bookmarkStart w:id="288" w:name="_Toc184312100"/>
      <w:bookmarkEnd w:id="288"/>
      <w:bookmarkStart w:id="289" w:name="_Toc184314473"/>
      <w:bookmarkEnd w:id="289"/>
      <w:bookmarkStart w:id="290" w:name="_Toc184308063"/>
      <w:bookmarkEnd w:id="290"/>
      <w:bookmarkStart w:id="291" w:name="_Toc184312109"/>
      <w:bookmarkEnd w:id="291"/>
      <w:bookmarkStart w:id="292" w:name="_Toc184313242"/>
      <w:bookmarkEnd w:id="292"/>
      <w:bookmarkStart w:id="293" w:name="_Toc184308055"/>
      <w:bookmarkEnd w:id="293"/>
      <w:bookmarkStart w:id="294" w:name="_Toc184310337"/>
      <w:bookmarkEnd w:id="294"/>
      <w:bookmarkStart w:id="295" w:name="_Toc184310336"/>
      <w:bookmarkEnd w:id="295"/>
      <w:bookmarkStart w:id="296" w:name="_Toc184312070"/>
      <w:bookmarkEnd w:id="296"/>
      <w:bookmarkStart w:id="297" w:name="_Toc184314448"/>
      <w:bookmarkEnd w:id="297"/>
      <w:bookmarkStart w:id="298" w:name="_Toc184308062"/>
      <w:bookmarkEnd w:id="298"/>
      <w:bookmarkStart w:id="299" w:name="_Toc184310311"/>
      <w:bookmarkEnd w:id="299"/>
      <w:bookmarkStart w:id="300" w:name="_Toc184314436"/>
      <w:bookmarkEnd w:id="300"/>
      <w:bookmarkStart w:id="301" w:name="_Toc184312128"/>
      <w:bookmarkEnd w:id="301"/>
      <w:bookmarkStart w:id="302" w:name="_Toc184313267"/>
      <w:bookmarkEnd w:id="302"/>
      <w:bookmarkStart w:id="303" w:name="_Toc184310286"/>
      <w:bookmarkEnd w:id="303"/>
      <w:bookmarkStart w:id="304" w:name="_Toc184314446"/>
      <w:bookmarkEnd w:id="304"/>
      <w:bookmarkStart w:id="305" w:name="_Toc184308096"/>
      <w:bookmarkEnd w:id="305"/>
      <w:bookmarkStart w:id="306" w:name="_Toc184314410"/>
      <w:bookmarkEnd w:id="306"/>
      <w:bookmarkStart w:id="307" w:name="_Toc184308071"/>
      <w:bookmarkEnd w:id="307"/>
      <w:bookmarkStart w:id="308" w:name="_Toc184314450"/>
      <w:bookmarkEnd w:id="308"/>
      <w:bookmarkStart w:id="309" w:name="_Toc184314440"/>
      <w:bookmarkEnd w:id="309"/>
      <w:bookmarkStart w:id="310" w:name="_Toc184313263"/>
      <w:bookmarkEnd w:id="310"/>
      <w:bookmarkStart w:id="311" w:name="_Toc184310321"/>
      <w:bookmarkEnd w:id="311"/>
      <w:bookmarkStart w:id="312" w:name="_Toc184313270"/>
      <w:bookmarkEnd w:id="312"/>
      <w:bookmarkStart w:id="313" w:name="_Toc184312124"/>
      <w:bookmarkEnd w:id="313"/>
      <w:bookmarkStart w:id="314" w:name="_Toc184314413"/>
      <w:bookmarkEnd w:id="314"/>
      <w:bookmarkStart w:id="315" w:name="_Toc184314433"/>
      <w:bookmarkEnd w:id="315"/>
      <w:bookmarkStart w:id="316" w:name="_Toc184310339"/>
      <w:bookmarkEnd w:id="316"/>
      <w:bookmarkStart w:id="317" w:name="_Toc184308088"/>
      <w:bookmarkEnd w:id="317"/>
      <w:bookmarkStart w:id="318" w:name="_Toc184313301"/>
      <w:bookmarkEnd w:id="318"/>
      <w:bookmarkStart w:id="319" w:name="_Toc184312120"/>
      <w:bookmarkEnd w:id="319"/>
      <w:bookmarkStart w:id="320" w:name="_Toc184312112"/>
      <w:bookmarkEnd w:id="320"/>
      <w:bookmarkStart w:id="321" w:name="_Toc184308045"/>
      <w:bookmarkEnd w:id="321"/>
      <w:bookmarkStart w:id="322" w:name="_Toc184312116"/>
      <w:bookmarkEnd w:id="322"/>
      <w:bookmarkStart w:id="323" w:name="_Toc184313245"/>
      <w:bookmarkEnd w:id="323"/>
      <w:bookmarkStart w:id="324" w:name="_Toc184310288"/>
      <w:bookmarkEnd w:id="324"/>
      <w:bookmarkStart w:id="325" w:name="_Toc184314463"/>
      <w:bookmarkEnd w:id="325"/>
      <w:bookmarkStart w:id="326" w:name="_Toc184312138"/>
      <w:bookmarkEnd w:id="326"/>
      <w:bookmarkStart w:id="327" w:name="_Toc184312106"/>
      <w:bookmarkEnd w:id="327"/>
      <w:bookmarkStart w:id="328" w:name="_Toc184312071"/>
      <w:bookmarkEnd w:id="328"/>
      <w:bookmarkStart w:id="329" w:name="_Toc184313254"/>
      <w:bookmarkEnd w:id="329"/>
      <w:bookmarkStart w:id="330" w:name="_Toc184308048"/>
      <w:bookmarkEnd w:id="330"/>
      <w:bookmarkStart w:id="331" w:name="_Toc184310316"/>
      <w:bookmarkEnd w:id="331"/>
      <w:bookmarkStart w:id="332" w:name="_Toc184310302"/>
      <w:bookmarkEnd w:id="332"/>
      <w:bookmarkStart w:id="333" w:name="_Toc184314441"/>
      <w:bookmarkEnd w:id="333"/>
      <w:bookmarkStart w:id="334" w:name="_Toc184312105"/>
      <w:bookmarkEnd w:id="334"/>
      <w:bookmarkStart w:id="335" w:name="_Toc184312103"/>
      <w:bookmarkEnd w:id="335"/>
      <w:bookmarkStart w:id="336" w:name="_Toc184313276"/>
      <w:bookmarkEnd w:id="336"/>
      <w:bookmarkStart w:id="337" w:name="_Toc184314447"/>
      <w:bookmarkEnd w:id="337"/>
      <w:bookmarkStart w:id="338" w:name="_Toc184314432"/>
      <w:bookmarkEnd w:id="338"/>
      <w:bookmarkStart w:id="339" w:name="_Toc184314425"/>
      <w:bookmarkEnd w:id="339"/>
      <w:bookmarkStart w:id="340" w:name="_Toc184314475"/>
      <w:bookmarkEnd w:id="340"/>
      <w:bookmarkStart w:id="341" w:name="_Toc184312073"/>
      <w:bookmarkEnd w:id="341"/>
      <w:bookmarkStart w:id="342" w:name="_Toc184310315"/>
      <w:bookmarkEnd w:id="342"/>
      <w:bookmarkStart w:id="343" w:name="_Toc184312074"/>
      <w:bookmarkEnd w:id="343"/>
      <w:bookmarkStart w:id="344" w:name="_Toc184310320"/>
      <w:bookmarkEnd w:id="344"/>
      <w:bookmarkStart w:id="345" w:name="_Toc184308105"/>
      <w:bookmarkEnd w:id="345"/>
      <w:bookmarkStart w:id="346" w:name="_Toc184310276"/>
      <w:bookmarkEnd w:id="346"/>
      <w:bookmarkStart w:id="347" w:name="_Toc184314437"/>
      <w:bookmarkEnd w:id="347"/>
      <w:bookmarkStart w:id="348" w:name="_Toc184312099"/>
      <w:bookmarkEnd w:id="348"/>
      <w:bookmarkStart w:id="349" w:name="_Toc184308093"/>
      <w:bookmarkEnd w:id="349"/>
      <w:bookmarkStart w:id="350" w:name="_Toc184313277"/>
      <w:bookmarkEnd w:id="350"/>
      <w:bookmarkStart w:id="351" w:name="_Toc184308080"/>
      <w:bookmarkEnd w:id="351"/>
      <w:bookmarkStart w:id="352" w:name="_Toc184310300"/>
      <w:bookmarkEnd w:id="352"/>
      <w:bookmarkStart w:id="353" w:name="_Toc184310304"/>
      <w:bookmarkEnd w:id="353"/>
      <w:bookmarkStart w:id="354" w:name="_Toc184310274"/>
      <w:bookmarkEnd w:id="354"/>
      <w:bookmarkStart w:id="355" w:name="_Toc184312134"/>
      <w:bookmarkEnd w:id="355"/>
      <w:bookmarkStart w:id="356" w:name="_Toc184312094"/>
      <w:bookmarkEnd w:id="356"/>
      <w:bookmarkStart w:id="357" w:name="_Toc184313294"/>
      <w:bookmarkEnd w:id="357"/>
      <w:bookmarkStart w:id="358" w:name="_Toc184313280"/>
      <w:bookmarkEnd w:id="358"/>
      <w:bookmarkStart w:id="359" w:name="_Toc184312077"/>
      <w:bookmarkEnd w:id="359"/>
      <w:bookmarkStart w:id="360" w:name="_Toc184312088"/>
      <w:bookmarkEnd w:id="360"/>
      <w:bookmarkStart w:id="361" w:name="_Toc184313266"/>
      <w:bookmarkEnd w:id="361"/>
      <w:bookmarkStart w:id="362" w:name="_Toc184312078"/>
      <w:bookmarkEnd w:id="362"/>
      <w:bookmarkStart w:id="363" w:name="_Toc184310290"/>
      <w:bookmarkEnd w:id="363"/>
      <w:bookmarkStart w:id="364" w:name="_Toc184314470"/>
      <w:bookmarkEnd w:id="364"/>
      <w:bookmarkStart w:id="365" w:name="_Toc184313289"/>
      <w:bookmarkEnd w:id="365"/>
      <w:bookmarkStart w:id="366" w:name="_Toc184313248"/>
      <w:bookmarkEnd w:id="366"/>
      <w:bookmarkStart w:id="367" w:name="_Toc184308056"/>
      <w:bookmarkEnd w:id="367"/>
      <w:bookmarkStart w:id="368" w:name="_Toc184308077"/>
      <w:bookmarkEnd w:id="368"/>
      <w:bookmarkStart w:id="369" w:name="_Toc184312102"/>
      <w:bookmarkEnd w:id="369"/>
      <w:bookmarkStart w:id="370" w:name="_Toc184310322"/>
      <w:bookmarkEnd w:id="370"/>
      <w:bookmarkStart w:id="371" w:name="_Toc184312080"/>
      <w:bookmarkEnd w:id="371"/>
      <w:bookmarkStart w:id="372" w:name="_Toc184310297"/>
      <w:bookmarkEnd w:id="372"/>
      <w:bookmarkStart w:id="373" w:name="_Toc184308040"/>
      <w:bookmarkEnd w:id="373"/>
      <w:bookmarkStart w:id="374" w:name="_Toc184314457"/>
      <w:bookmarkEnd w:id="374"/>
      <w:bookmarkStart w:id="375" w:name="_Toc184310328"/>
      <w:bookmarkEnd w:id="375"/>
      <w:bookmarkStart w:id="376" w:name="_Toc184313282"/>
      <w:bookmarkEnd w:id="376"/>
      <w:bookmarkStart w:id="377" w:name="_Toc184313255"/>
      <w:bookmarkEnd w:id="377"/>
      <w:bookmarkStart w:id="378" w:name="_Toc184312082"/>
      <w:bookmarkEnd w:id="378"/>
      <w:bookmarkStart w:id="379" w:name="_Toc184312068"/>
      <w:bookmarkEnd w:id="379"/>
      <w:bookmarkStart w:id="380" w:name="_Toc184308057"/>
      <w:bookmarkEnd w:id="380"/>
      <w:bookmarkStart w:id="381" w:name="_Toc184313297"/>
      <w:bookmarkEnd w:id="381"/>
      <w:bookmarkStart w:id="382" w:name="_Toc184308068"/>
      <w:bookmarkEnd w:id="382"/>
      <w:bookmarkStart w:id="383" w:name="_Toc184308049"/>
      <w:bookmarkEnd w:id="383"/>
      <w:bookmarkStart w:id="384" w:name="_Toc184310291"/>
      <w:bookmarkEnd w:id="384"/>
      <w:bookmarkStart w:id="385" w:name="_Toc184314479"/>
      <w:bookmarkEnd w:id="385"/>
      <w:bookmarkStart w:id="386" w:name="_Toc184310301"/>
      <w:bookmarkEnd w:id="386"/>
      <w:bookmarkStart w:id="387" w:name="_Toc184310325"/>
      <w:bookmarkEnd w:id="387"/>
      <w:bookmarkStart w:id="388" w:name="_Toc184313308"/>
      <w:bookmarkEnd w:id="388"/>
      <w:bookmarkStart w:id="389" w:name="_Toc184313238"/>
      <w:bookmarkEnd w:id="389"/>
      <w:bookmarkStart w:id="390" w:name="_Toc184312083"/>
      <w:bookmarkEnd w:id="390"/>
      <w:bookmarkStart w:id="391" w:name="_Toc184314455"/>
      <w:bookmarkEnd w:id="391"/>
      <w:bookmarkStart w:id="392" w:name="_Toc184308050"/>
      <w:bookmarkEnd w:id="392"/>
      <w:bookmarkStart w:id="393" w:name="_Toc184310281"/>
      <w:bookmarkEnd w:id="393"/>
      <w:bookmarkStart w:id="394" w:name="_Toc184308092"/>
      <w:bookmarkEnd w:id="394"/>
      <w:bookmarkStart w:id="395" w:name="_Toc184314468"/>
      <w:bookmarkEnd w:id="395"/>
      <w:bookmarkStart w:id="396" w:name="_Toc184312101"/>
      <w:bookmarkEnd w:id="396"/>
      <w:bookmarkStart w:id="397" w:name="_Toc184313307"/>
      <w:bookmarkEnd w:id="397"/>
      <w:bookmarkStart w:id="398" w:name="_Toc184310284"/>
      <w:bookmarkEnd w:id="398"/>
      <w:bookmarkStart w:id="399" w:name="_Toc184308073"/>
      <w:bookmarkEnd w:id="399"/>
      <w:bookmarkStart w:id="400" w:name="_Toc184312087"/>
      <w:bookmarkEnd w:id="400"/>
      <w:bookmarkStart w:id="401" w:name="_Toc184308103"/>
      <w:bookmarkEnd w:id="401"/>
      <w:bookmarkStart w:id="402" w:name="_Toc184310283"/>
      <w:bookmarkEnd w:id="402"/>
      <w:bookmarkStart w:id="403" w:name="_Toc184314471"/>
      <w:bookmarkEnd w:id="403"/>
      <w:bookmarkStart w:id="404" w:name="_Toc184314419"/>
      <w:bookmarkEnd w:id="404"/>
      <w:bookmarkStart w:id="405" w:name="_Toc184312113"/>
      <w:bookmarkEnd w:id="405"/>
      <w:r>
        <w:rPr>
          <w:rFonts w:hint="eastAsia" w:ascii="仿宋" w:hAnsi="仿宋" w:eastAsia="仿宋" w:cs="仿宋"/>
          <w:b/>
          <w:color w:val="auto"/>
          <w:spacing w:val="0"/>
          <w:kern w:val="0"/>
          <w:sz w:val="36"/>
          <w:szCs w:val="36"/>
          <w:highlight w:val="none"/>
          <w:fitText w:val="1444" w:id="-982737664"/>
        </w:rPr>
        <w:t>评</w:t>
      </w:r>
      <w:r>
        <w:rPr>
          <w:rFonts w:hint="eastAsia" w:ascii="仿宋" w:hAnsi="仿宋" w:eastAsia="仿宋" w:cs="仿宋"/>
          <w:b/>
          <w:color w:val="auto"/>
          <w:sz w:val="36"/>
          <w:szCs w:val="36"/>
          <w:highlight w:val="none"/>
        </w:rPr>
        <w:t>标办法</w:t>
      </w:r>
    </w:p>
    <w:p w14:paraId="1D55055B">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5608"/>
        <w:gridCol w:w="519"/>
        <w:gridCol w:w="709"/>
        <w:gridCol w:w="1201"/>
      </w:tblGrid>
      <w:tr w14:paraId="5323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Align w:val="center"/>
          </w:tcPr>
          <w:p w14:paraId="4D2EF7BA">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5608" w:type="dxa"/>
            <w:vAlign w:val="center"/>
          </w:tcPr>
          <w:p w14:paraId="7B5A8F6E">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评标标准</w:t>
            </w:r>
          </w:p>
        </w:tc>
        <w:tc>
          <w:tcPr>
            <w:tcW w:w="519" w:type="dxa"/>
            <w:vAlign w:val="center"/>
          </w:tcPr>
          <w:p w14:paraId="3AFA2297">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709" w:type="dxa"/>
            <w:vAlign w:val="center"/>
          </w:tcPr>
          <w:p w14:paraId="768A559F">
            <w:pPr>
              <w:snapToGrid w:val="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主观分/客观分属性</w:t>
            </w:r>
          </w:p>
        </w:tc>
        <w:tc>
          <w:tcPr>
            <w:tcW w:w="1201" w:type="dxa"/>
          </w:tcPr>
          <w:p w14:paraId="71CF043F">
            <w:pPr>
              <w:snapToGrid w:val="0"/>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投标文件中评标标准相应的商务技术资料目录*</w:t>
            </w:r>
          </w:p>
        </w:tc>
      </w:tr>
      <w:tr w14:paraId="3EC0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shd w:val="clear" w:color="auto" w:fill="auto"/>
            <w:vAlign w:val="center"/>
          </w:tcPr>
          <w:p w14:paraId="6AD390E4">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608" w:type="dxa"/>
            <w:shd w:val="clear" w:color="auto" w:fill="auto"/>
            <w:vAlign w:val="center"/>
          </w:tcPr>
          <w:p w14:paraId="0820C645">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供应商自2021年1月1日以来（以合同签订时间为准）完成过类似项目的成功案例，每提供1个案例得0.5分，最多得1分。(提供合同复印件或验收证明复印件，不提供不得分)</w:t>
            </w:r>
          </w:p>
        </w:tc>
        <w:tc>
          <w:tcPr>
            <w:tcW w:w="519" w:type="dxa"/>
            <w:shd w:val="clear" w:color="auto" w:fill="auto"/>
            <w:vAlign w:val="center"/>
          </w:tcPr>
          <w:p w14:paraId="26AE6A43">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09" w:type="dxa"/>
            <w:shd w:val="clear" w:color="auto" w:fill="auto"/>
            <w:vAlign w:val="center"/>
          </w:tcPr>
          <w:p w14:paraId="6E8DCE51">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w:t>
            </w:r>
          </w:p>
        </w:tc>
        <w:tc>
          <w:tcPr>
            <w:tcW w:w="1201" w:type="dxa"/>
            <w:vAlign w:val="center"/>
          </w:tcPr>
          <w:p w14:paraId="1F276B64">
            <w:pPr>
              <w:snapToGrid w:val="0"/>
              <w:jc w:val="left"/>
              <w:rPr>
                <w:rFonts w:hint="eastAsia" w:ascii="仿宋" w:hAnsi="仿宋" w:eastAsia="仿宋" w:cs="仿宋"/>
                <w:color w:val="auto"/>
                <w:sz w:val="24"/>
                <w:highlight w:val="none"/>
              </w:rPr>
            </w:pPr>
          </w:p>
        </w:tc>
      </w:tr>
      <w:tr w14:paraId="7E49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shd w:val="clear" w:color="auto" w:fill="auto"/>
            <w:vAlign w:val="center"/>
          </w:tcPr>
          <w:p w14:paraId="43FB817A">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5608" w:type="dxa"/>
            <w:shd w:val="clear" w:color="auto" w:fill="auto"/>
            <w:vAlign w:val="center"/>
          </w:tcPr>
          <w:p w14:paraId="4197117A">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供应商取得质量管理体系认证，环境管理体系认证，职业健康安全管理体系认证的，每有一项得1分，最多得3分。（提供有效期内认证证书复印件，不提供不得分）</w:t>
            </w:r>
          </w:p>
        </w:tc>
        <w:tc>
          <w:tcPr>
            <w:tcW w:w="519" w:type="dxa"/>
            <w:shd w:val="clear" w:color="auto" w:fill="auto"/>
            <w:vAlign w:val="center"/>
          </w:tcPr>
          <w:p w14:paraId="4BC8FC7C">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709" w:type="dxa"/>
            <w:shd w:val="clear" w:color="auto" w:fill="auto"/>
            <w:vAlign w:val="center"/>
          </w:tcPr>
          <w:p w14:paraId="732C8A6D">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w:t>
            </w:r>
          </w:p>
        </w:tc>
        <w:tc>
          <w:tcPr>
            <w:tcW w:w="1201" w:type="dxa"/>
            <w:vAlign w:val="center"/>
          </w:tcPr>
          <w:p w14:paraId="611B62A4">
            <w:pPr>
              <w:snapToGrid w:val="0"/>
              <w:jc w:val="left"/>
              <w:rPr>
                <w:rFonts w:hint="eastAsia" w:ascii="仿宋" w:hAnsi="仿宋" w:eastAsia="仿宋" w:cs="仿宋"/>
                <w:color w:val="auto"/>
                <w:sz w:val="24"/>
                <w:highlight w:val="none"/>
              </w:rPr>
            </w:pPr>
          </w:p>
        </w:tc>
      </w:tr>
      <w:tr w14:paraId="07CA4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shd w:val="clear" w:color="auto" w:fill="auto"/>
            <w:vAlign w:val="center"/>
          </w:tcPr>
          <w:p w14:paraId="623775A0">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5608" w:type="dxa"/>
            <w:shd w:val="clear" w:color="auto" w:fill="auto"/>
            <w:vAlign w:val="center"/>
          </w:tcPr>
          <w:p w14:paraId="12F6A63C">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安保服务工作方案：根据采购需求的工作服务内容情况提供工作方案。</w:t>
            </w:r>
          </w:p>
          <w:p w14:paraId="2B837D97">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①方案全面合理且可操作性强，与采购需求完全相适应的得3分；</w:t>
            </w:r>
          </w:p>
          <w:p w14:paraId="138C16CE">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②方案详细且与采购需求相适应，但存在不足的得2.5分；</w:t>
            </w:r>
          </w:p>
          <w:p w14:paraId="102AC47D">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③方案基本与采购需求相适应，但存在欠缺的得2分；</w:t>
            </w:r>
          </w:p>
          <w:p w14:paraId="6DB72F0C">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④方案存在缺项的得1.5分；</w:t>
            </w:r>
          </w:p>
          <w:p w14:paraId="6A9775AA">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⑤方案与采购需求不适应的得1分；</w:t>
            </w:r>
          </w:p>
          <w:p w14:paraId="045CC572">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⑥未提供的得0分。</w:t>
            </w:r>
          </w:p>
        </w:tc>
        <w:tc>
          <w:tcPr>
            <w:tcW w:w="519" w:type="dxa"/>
            <w:shd w:val="clear" w:color="auto" w:fill="auto"/>
            <w:vAlign w:val="center"/>
          </w:tcPr>
          <w:p w14:paraId="636A00A0">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709" w:type="dxa"/>
            <w:shd w:val="clear" w:color="auto" w:fill="auto"/>
            <w:vAlign w:val="center"/>
          </w:tcPr>
          <w:p w14:paraId="3B907DF5">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w:t>
            </w:r>
          </w:p>
        </w:tc>
        <w:tc>
          <w:tcPr>
            <w:tcW w:w="1201" w:type="dxa"/>
            <w:vAlign w:val="center"/>
          </w:tcPr>
          <w:p w14:paraId="30AB8147">
            <w:pPr>
              <w:snapToGrid w:val="0"/>
              <w:jc w:val="left"/>
              <w:rPr>
                <w:rFonts w:hint="eastAsia" w:ascii="仿宋" w:hAnsi="仿宋" w:eastAsia="仿宋" w:cs="仿宋"/>
                <w:color w:val="auto"/>
                <w:sz w:val="24"/>
                <w:highlight w:val="none"/>
              </w:rPr>
            </w:pPr>
          </w:p>
        </w:tc>
      </w:tr>
      <w:tr w14:paraId="211E0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shd w:val="clear" w:color="auto" w:fill="auto"/>
            <w:vAlign w:val="center"/>
          </w:tcPr>
          <w:p w14:paraId="5E01B937">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5608" w:type="dxa"/>
            <w:shd w:val="clear" w:color="auto" w:fill="auto"/>
            <w:vAlign w:val="center"/>
          </w:tcPr>
          <w:p w14:paraId="27653D42">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对本项目复杂程度情况的了解程度：</w:t>
            </w:r>
          </w:p>
          <w:p w14:paraId="477E3E1E">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①方案全面合理且可操作性强，与采购需求完全相适应的得3分；</w:t>
            </w:r>
          </w:p>
          <w:p w14:paraId="2339E974">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②方案详细且与采购需求相适应，但存在不足的得2.5分；</w:t>
            </w:r>
          </w:p>
          <w:p w14:paraId="0D81E7F2">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③方案基本与采购需求相适应，但存在欠缺的得2分；</w:t>
            </w:r>
          </w:p>
          <w:p w14:paraId="60A0182C">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④方案存在缺项的得1.5分；</w:t>
            </w:r>
          </w:p>
          <w:p w14:paraId="3752040B">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⑤方案与采购需求不适应的得1分；</w:t>
            </w:r>
          </w:p>
          <w:p w14:paraId="5CE62634">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⑥未提供的得0分。</w:t>
            </w:r>
          </w:p>
        </w:tc>
        <w:tc>
          <w:tcPr>
            <w:tcW w:w="519" w:type="dxa"/>
            <w:shd w:val="clear" w:color="auto" w:fill="auto"/>
            <w:vAlign w:val="center"/>
          </w:tcPr>
          <w:p w14:paraId="478359FB">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709" w:type="dxa"/>
            <w:shd w:val="clear" w:color="auto" w:fill="auto"/>
            <w:vAlign w:val="center"/>
          </w:tcPr>
          <w:p w14:paraId="05FF302F">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w:t>
            </w:r>
          </w:p>
        </w:tc>
        <w:tc>
          <w:tcPr>
            <w:tcW w:w="1201" w:type="dxa"/>
            <w:vAlign w:val="center"/>
          </w:tcPr>
          <w:p w14:paraId="49E24045">
            <w:pPr>
              <w:snapToGrid w:val="0"/>
              <w:jc w:val="left"/>
              <w:rPr>
                <w:rFonts w:hint="eastAsia" w:ascii="仿宋" w:hAnsi="仿宋" w:eastAsia="仿宋" w:cs="仿宋"/>
                <w:color w:val="auto"/>
                <w:sz w:val="24"/>
                <w:highlight w:val="none"/>
              </w:rPr>
            </w:pPr>
          </w:p>
        </w:tc>
      </w:tr>
      <w:tr w14:paraId="076A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shd w:val="clear" w:color="auto" w:fill="auto"/>
            <w:vAlign w:val="center"/>
          </w:tcPr>
          <w:p w14:paraId="0B9C1D5E">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5608" w:type="dxa"/>
            <w:shd w:val="clear" w:color="auto" w:fill="auto"/>
            <w:vAlign w:val="center"/>
          </w:tcPr>
          <w:p w14:paraId="24BD9597">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安保工作规范方案：根据采购需求的工作规范情况提供服务方案。</w:t>
            </w:r>
          </w:p>
          <w:p w14:paraId="6057EA40">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①方案全面合理且可操作性强，与采购需求完全相适应的得3分；</w:t>
            </w:r>
          </w:p>
          <w:p w14:paraId="08401D8B">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②方案详细且与采购需求相适应，但存在不足的得2.5分；</w:t>
            </w:r>
          </w:p>
          <w:p w14:paraId="2367EE0E">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③方案基本与采购需求相适应，但存在欠缺的得2分；</w:t>
            </w:r>
          </w:p>
          <w:p w14:paraId="02A29F80">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④方案存在缺项的得1.5分；</w:t>
            </w:r>
          </w:p>
          <w:p w14:paraId="737B4696">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⑤方案与采购需求不适应的得1分；</w:t>
            </w:r>
          </w:p>
          <w:p w14:paraId="17AB9DF3">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⑥未提供的得0分。</w:t>
            </w:r>
          </w:p>
        </w:tc>
        <w:tc>
          <w:tcPr>
            <w:tcW w:w="519" w:type="dxa"/>
            <w:shd w:val="clear" w:color="auto" w:fill="auto"/>
            <w:vAlign w:val="center"/>
          </w:tcPr>
          <w:p w14:paraId="4B735BF9">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709" w:type="dxa"/>
            <w:shd w:val="clear" w:color="auto" w:fill="auto"/>
            <w:vAlign w:val="center"/>
          </w:tcPr>
          <w:p w14:paraId="50A30223">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w:t>
            </w:r>
          </w:p>
        </w:tc>
        <w:tc>
          <w:tcPr>
            <w:tcW w:w="1201" w:type="dxa"/>
            <w:vAlign w:val="center"/>
          </w:tcPr>
          <w:p w14:paraId="6D87B751">
            <w:pPr>
              <w:snapToGrid w:val="0"/>
              <w:jc w:val="left"/>
              <w:rPr>
                <w:rFonts w:hint="eastAsia" w:ascii="仿宋" w:hAnsi="仿宋" w:eastAsia="仿宋" w:cs="仿宋"/>
                <w:color w:val="auto"/>
                <w:sz w:val="24"/>
                <w:highlight w:val="none"/>
              </w:rPr>
            </w:pPr>
          </w:p>
        </w:tc>
      </w:tr>
      <w:tr w14:paraId="0C338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shd w:val="clear" w:color="auto" w:fill="auto"/>
            <w:vAlign w:val="center"/>
          </w:tcPr>
          <w:p w14:paraId="7E3840EE">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5608" w:type="dxa"/>
            <w:shd w:val="clear" w:color="auto" w:fill="auto"/>
            <w:vAlign w:val="center"/>
          </w:tcPr>
          <w:p w14:paraId="133F46DA">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承诺积极配合采购人完成临时性工作。做出承诺得2分，提供承诺函，不承诺不得分。</w:t>
            </w:r>
          </w:p>
        </w:tc>
        <w:tc>
          <w:tcPr>
            <w:tcW w:w="519" w:type="dxa"/>
            <w:shd w:val="clear" w:color="auto" w:fill="auto"/>
            <w:vAlign w:val="center"/>
          </w:tcPr>
          <w:p w14:paraId="1CD845F3">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09" w:type="dxa"/>
            <w:shd w:val="clear" w:color="auto" w:fill="auto"/>
            <w:vAlign w:val="center"/>
          </w:tcPr>
          <w:p w14:paraId="322B7BD3">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w:t>
            </w:r>
          </w:p>
        </w:tc>
        <w:tc>
          <w:tcPr>
            <w:tcW w:w="1201" w:type="dxa"/>
            <w:vAlign w:val="center"/>
          </w:tcPr>
          <w:p w14:paraId="50CEACCD">
            <w:pPr>
              <w:snapToGrid w:val="0"/>
              <w:jc w:val="left"/>
              <w:rPr>
                <w:rFonts w:hint="eastAsia" w:ascii="仿宋" w:hAnsi="仿宋" w:eastAsia="仿宋" w:cs="仿宋"/>
                <w:color w:val="auto"/>
                <w:sz w:val="24"/>
                <w:highlight w:val="none"/>
              </w:rPr>
            </w:pPr>
          </w:p>
        </w:tc>
      </w:tr>
      <w:tr w14:paraId="6DBBA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shd w:val="clear" w:color="auto" w:fill="auto"/>
            <w:vAlign w:val="center"/>
          </w:tcPr>
          <w:p w14:paraId="5002B35E">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5608" w:type="dxa"/>
            <w:shd w:val="clear" w:color="auto" w:fill="auto"/>
            <w:vAlign w:val="center"/>
          </w:tcPr>
          <w:p w14:paraId="5F6D0DC1">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根据本项目服务特点提出合理的保安服务理念，提出服务定位、目标，投标人的管理模式能够切合实际，且安全可行，保密性、安全性、文明服务的计划及承诺情况比较。</w:t>
            </w:r>
          </w:p>
          <w:p w14:paraId="4F2DDBD8">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①方案全面合理且可操作性强，与采购需求完全相适应的得6分；</w:t>
            </w:r>
          </w:p>
          <w:p w14:paraId="7093E499">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②方案详细且与采购需求相适应，但存在不足的得5分；</w:t>
            </w:r>
          </w:p>
          <w:p w14:paraId="0A63940B">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③方案基本与采购需求相适应，但存在欠缺的得4分；</w:t>
            </w:r>
          </w:p>
          <w:p w14:paraId="038EB982">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④方案基本与采购需求部分相适应，且存在大部分欠缺的得3分；</w:t>
            </w:r>
          </w:p>
          <w:p w14:paraId="65AF6C1E">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⑤方案存在缺项的得2分；</w:t>
            </w:r>
          </w:p>
          <w:p w14:paraId="4FA4875E">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⑥方案与采购需求不适应的得1分；</w:t>
            </w:r>
          </w:p>
          <w:p w14:paraId="2DEC13E4">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⑦未提供的得0分。</w:t>
            </w:r>
          </w:p>
        </w:tc>
        <w:tc>
          <w:tcPr>
            <w:tcW w:w="519" w:type="dxa"/>
            <w:shd w:val="clear" w:color="auto" w:fill="auto"/>
            <w:vAlign w:val="center"/>
          </w:tcPr>
          <w:p w14:paraId="211D9CB5">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709" w:type="dxa"/>
            <w:shd w:val="clear" w:color="auto" w:fill="auto"/>
            <w:vAlign w:val="center"/>
          </w:tcPr>
          <w:p w14:paraId="33C85413">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w:t>
            </w:r>
          </w:p>
        </w:tc>
        <w:tc>
          <w:tcPr>
            <w:tcW w:w="1201" w:type="dxa"/>
            <w:vAlign w:val="center"/>
          </w:tcPr>
          <w:p w14:paraId="7FF62BDC">
            <w:pPr>
              <w:snapToGrid w:val="0"/>
              <w:jc w:val="left"/>
              <w:rPr>
                <w:rFonts w:hint="eastAsia" w:ascii="仿宋" w:hAnsi="仿宋" w:eastAsia="仿宋" w:cs="仿宋"/>
                <w:color w:val="auto"/>
                <w:sz w:val="24"/>
                <w:highlight w:val="none"/>
              </w:rPr>
            </w:pPr>
          </w:p>
        </w:tc>
      </w:tr>
      <w:tr w14:paraId="1C524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shd w:val="clear" w:color="auto" w:fill="auto"/>
            <w:vAlign w:val="center"/>
          </w:tcPr>
          <w:p w14:paraId="04CBD5D6">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5608" w:type="dxa"/>
            <w:shd w:val="clear" w:color="auto" w:fill="auto"/>
            <w:vAlign w:val="center"/>
          </w:tcPr>
          <w:p w14:paraId="5B0FB985">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项目组织架构比较完善，清晰简练地列出主要管理流程，包括工作流程、激励机制、监督机制、自我约束机制、信息反馈渠道及处理机制等。</w:t>
            </w:r>
          </w:p>
          <w:p w14:paraId="615B371D">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①方案全面合理且可操作性强，与采购需求完全相适应的得6分；</w:t>
            </w:r>
          </w:p>
          <w:p w14:paraId="5F376DCC">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②方案详细且与采购需求相适应，但存在不足的得5分；</w:t>
            </w:r>
          </w:p>
          <w:p w14:paraId="5CF09FC2">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③方案基本与采购需求相适应，但存在欠缺的得4分；</w:t>
            </w:r>
          </w:p>
          <w:p w14:paraId="4774923A">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④方案基本与采购需求部分相适应，且存在大部分欠缺的得3分；</w:t>
            </w:r>
          </w:p>
          <w:p w14:paraId="257F422B">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⑤方案存在缺项的得2分；</w:t>
            </w:r>
          </w:p>
          <w:p w14:paraId="3509CD8E">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⑥方案与采购需求不适应的得1分；</w:t>
            </w:r>
          </w:p>
          <w:p w14:paraId="7ED2CFF3">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⑦未提供的得0分。</w:t>
            </w:r>
          </w:p>
        </w:tc>
        <w:tc>
          <w:tcPr>
            <w:tcW w:w="519" w:type="dxa"/>
            <w:shd w:val="clear" w:color="auto" w:fill="auto"/>
            <w:vAlign w:val="center"/>
          </w:tcPr>
          <w:p w14:paraId="3E368CFA">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709" w:type="dxa"/>
            <w:shd w:val="clear" w:color="auto" w:fill="auto"/>
            <w:vAlign w:val="center"/>
          </w:tcPr>
          <w:p w14:paraId="47C722A7">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w:t>
            </w:r>
          </w:p>
        </w:tc>
        <w:tc>
          <w:tcPr>
            <w:tcW w:w="1201" w:type="dxa"/>
            <w:vAlign w:val="center"/>
          </w:tcPr>
          <w:p w14:paraId="08021424">
            <w:pPr>
              <w:snapToGrid w:val="0"/>
              <w:jc w:val="left"/>
              <w:rPr>
                <w:rFonts w:hint="eastAsia" w:ascii="仿宋" w:hAnsi="仿宋" w:eastAsia="仿宋" w:cs="仿宋"/>
                <w:color w:val="auto"/>
                <w:sz w:val="24"/>
                <w:highlight w:val="none"/>
              </w:rPr>
            </w:pPr>
          </w:p>
        </w:tc>
      </w:tr>
      <w:tr w14:paraId="7CBAE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shd w:val="clear" w:color="auto" w:fill="auto"/>
            <w:vAlign w:val="center"/>
          </w:tcPr>
          <w:p w14:paraId="0DA72966">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5608" w:type="dxa"/>
            <w:shd w:val="clear" w:color="auto" w:fill="auto"/>
            <w:vAlign w:val="center"/>
          </w:tcPr>
          <w:p w14:paraId="182C231E">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管理模式能够切合实际，且安全可行，有分级的管理制度，有利于项目的实施。</w:t>
            </w:r>
          </w:p>
          <w:p w14:paraId="266A3EA4">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①方案全面合理且可操作性强，与采购需求完全相适应的得5分；</w:t>
            </w:r>
          </w:p>
          <w:p w14:paraId="6085A911">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②方案详细且与采购需求相适应，但存在不足的得4分；</w:t>
            </w:r>
          </w:p>
          <w:p w14:paraId="60567819">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③方案基本与采购需求相适应，但存在欠缺的得3分；</w:t>
            </w:r>
          </w:p>
          <w:p w14:paraId="206A98F4">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④方案存在缺项的得2分；</w:t>
            </w:r>
          </w:p>
          <w:p w14:paraId="3E3F51E0">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⑤方案与采购需求不适应的得1分；</w:t>
            </w:r>
          </w:p>
          <w:p w14:paraId="4050D606">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⑥未提供的得0分。</w:t>
            </w:r>
          </w:p>
        </w:tc>
        <w:tc>
          <w:tcPr>
            <w:tcW w:w="519" w:type="dxa"/>
            <w:shd w:val="clear" w:color="auto" w:fill="auto"/>
            <w:vAlign w:val="center"/>
          </w:tcPr>
          <w:p w14:paraId="0D81B729">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709" w:type="dxa"/>
            <w:shd w:val="clear" w:color="auto" w:fill="auto"/>
            <w:vAlign w:val="center"/>
          </w:tcPr>
          <w:p w14:paraId="0EF34799">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w:t>
            </w:r>
          </w:p>
        </w:tc>
        <w:tc>
          <w:tcPr>
            <w:tcW w:w="1201" w:type="dxa"/>
            <w:vAlign w:val="center"/>
          </w:tcPr>
          <w:p w14:paraId="0DA10BF5">
            <w:pPr>
              <w:snapToGrid w:val="0"/>
              <w:jc w:val="left"/>
              <w:rPr>
                <w:rFonts w:hint="eastAsia" w:ascii="仿宋" w:hAnsi="仿宋" w:eastAsia="仿宋" w:cs="仿宋"/>
                <w:color w:val="auto"/>
                <w:sz w:val="24"/>
                <w:highlight w:val="none"/>
              </w:rPr>
            </w:pPr>
          </w:p>
        </w:tc>
      </w:tr>
      <w:tr w14:paraId="3EF0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shd w:val="clear" w:color="auto" w:fill="auto"/>
            <w:vAlign w:val="center"/>
          </w:tcPr>
          <w:p w14:paraId="74E89A19">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5608" w:type="dxa"/>
            <w:shd w:val="clear" w:color="auto" w:fill="auto"/>
            <w:vAlign w:val="center"/>
          </w:tcPr>
          <w:p w14:paraId="1EAA6F07">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针对本项目的各项管理制度：安全制度、各级人员的管理制度、岗位职责、考核制度比较。</w:t>
            </w:r>
          </w:p>
          <w:p w14:paraId="3E0AD7C0">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①方案全面合理且可操作性强，与采购需求完全相适应的得5分；</w:t>
            </w:r>
          </w:p>
          <w:p w14:paraId="235CDD09">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②方案详细且与采购需求相适应，但存在不足的得4分；</w:t>
            </w:r>
          </w:p>
          <w:p w14:paraId="1E2E9394">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③方案基本与采购需求相适应，但存在欠缺的得3分；</w:t>
            </w:r>
          </w:p>
          <w:p w14:paraId="4AE34C79">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④方案存在缺项的得2分；</w:t>
            </w:r>
          </w:p>
          <w:p w14:paraId="0BF13848">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⑤方案与采购需求不适应的得1分；</w:t>
            </w:r>
          </w:p>
          <w:p w14:paraId="6EB3D11D">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⑥未提供的得0分。</w:t>
            </w:r>
          </w:p>
        </w:tc>
        <w:tc>
          <w:tcPr>
            <w:tcW w:w="519" w:type="dxa"/>
            <w:shd w:val="clear" w:color="auto" w:fill="auto"/>
            <w:vAlign w:val="center"/>
          </w:tcPr>
          <w:p w14:paraId="33235962">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709" w:type="dxa"/>
            <w:shd w:val="clear" w:color="auto" w:fill="auto"/>
            <w:vAlign w:val="center"/>
          </w:tcPr>
          <w:p w14:paraId="281965ED">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w:t>
            </w:r>
          </w:p>
        </w:tc>
        <w:tc>
          <w:tcPr>
            <w:tcW w:w="1201" w:type="dxa"/>
            <w:vAlign w:val="center"/>
          </w:tcPr>
          <w:p w14:paraId="0D77FF7C">
            <w:pPr>
              <w:snapToGrid w:val="0"/>
              <w:jc w:val="left"/>
              <w:rPr>
                <w:rFonts w:hint="eastAsia" w:ascii="仿宋" w:hAnsi="仿宋" w:eastAsia="仿宋" w:cs="仿宋"/>
                <w:color w:val="auto"/>
                <w:sz w:val="24"/>
                <w:highlight w:val="none"/>
              </w:rPr>
            </w:pPr>
          </w:p>
        </w:tc>
      </w:tr>
      <w:tr w14:paraId="3E14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shd w:val="clear" w:color="auto" w:fill="auto"/>
            <w:vAlign w:val="center"/>
          </w:tcPr>
          <w:p w14:paraId="4A3B13F1">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5608" w:type="dxa"/>
            <w:shd w:val="clear" w:color="auto" w:fill="auto"/>
            <w:vAlign w:val="center"/>
          </w:tcPr>
          <w:p w14:paraId="486B64A3">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保安工作人员职责》、《保安交接班制度》、《例会制度》、《信息报送制度》、《保安人员语言举止行为规范》、《保安作业操作流程》、《防止人员流失管理办法》、《保安人员奖惩细则》等规章制度完整、严格，能体现制度的约束力。</w:t>
            </w:r>
          </w:p>
          <w:p w14:paraId="706A9023">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①方案全面合理且可操作性强，与采购需求完全相适应的得4分；</w:t>
            </w:r>
          </w:p>
          <w:p w14:paraId="61642397">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②方案详细且与采购需求相适应，但存在不足的得3分；</w:t>
            </w:r>
          </w:p>
          <w:p w14:paraId="61926706">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③方案基本与采购需求相适应，但存在欠缺的得2分；</w:t>
            </w:r>
          </w:p>
          <w:p w14:paraId="07701FDE">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④方案存在缺项的得1分；</w:t>
            </w:r>
          </w:p>
          <w:p w14:paraId="12773AEA">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⑤方案与采购需求不适应的得0.5分；</w:t>
            </w:r>
          </w:p>
          <w:p w14:paraId="4403567C">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⑥未提供的得0分。</w:t>
            </w:r>
          </w:p>
        </w:tc>
        <w:tc>
          <w:tcPr>
            <w:tcW w:w="519" w:type="dxa"/>
            <w:shd w:val="clear" w:color="auto" w:fill="auto"/>
            <w:vAlign w:val="center"/>
          </w:tcPr>
          <w:p w14:paraId="3D4D8319">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709" w:type="dxa"/>
            <w:shd w:val="clear" w:color="auto" w:fill="auto"/>
            <w:vAlign w:val="center"/>
          </w:tcPr>
          <w:p w14:paraId="2CD7399A">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w:t>
            </w:r>
          </w:p>
        </w:tc>
        <w:tc>
          <w:tcPr>
            <w:tcW w:w="1201" w:type="dxa"/>
            <w:vAlign w:val="center"/>
          </w:tcPr>
          <w:p w14:paraId="7CA63A77">
            <w:pPr>
              <w:snapToGrid w:val="0"/>
              <w:jc w:val="left"/>
              <w:rPr>
                <w:rFonts w:hint="eastAsia" w:ascii="仿宋" w:hAnsi="仿宋" w:eastAsia="仿宋" w:cs="仿宋"/>
                <w:color w:val="auto"/>
                <w:sz w:val="24"/>
                <w:highlight w:val="none"/>
              </w:rPr>
            </w:pPr>
          </w:p>
        </w:tc>
      </w:tr>
      <w:tr w14:paraId="1F1DE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shd w:val="clear" w:color="auto" w:fill="auto"/>
            <w:vAlign w:val="center"/>
          </w:tcPr>
          <w:p w14:paraId="3964B114">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5608" w:type="dxa"/>
            <w:shd w:val="clear" w:color="auto" w:fill="auto"/>
            <w:vAlign w:val="center"/>
          </w:tcPr>
          <w:p w14:paraId="5FDDF630">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保安管理与服务方案，方案详细完整，可操作性强；根据采购人提出的保安服务质量标准提出相应的保证措施；</w:t>
            </w:r>
          </w:p>
          <w:p w14:paraId="140940CB">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①方案全面合理且可操作性强，与采购需求完全相适应的得6分；</w:t>
            </w:r>
          </w:p>
          <w:p w14:paraId="1E186294">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②方案详细且与采购需求相适应，但存在不足的得5分；</w:t>
            </w:r>
          </w:p>
          <w:p w14:paraId="7E6E4751">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③方案基本与采购需求相适应，但存在欠缺的得4分；</w:t>
            </w:r>
          </w:p>
          <w:p w14:paraId="58267DD2">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④方案基本与采购需求部分相适应，且存在大部分欠缺的得3分；</w:t>
            </w:r>
          </w:p>
          <w:p w14:paraId="3A117E8A">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⑤方案存在缺项的得2分；</w:t>
            </w:r>
          </w:p>
          <w:p w14:paraId="2432F546">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⑥方案与采购需求不适应的得1分；</w:t>
            </w:r>
          </w:p>
          <w:p w14:paraId="1E3CB82A">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⑦未提供的得0分。</w:t>
            </w:r>
          </w:p>
        </w:tc>
        <w:tc>
          <w:tcPr>
            <w:tcW w:w="519" w:type="dxa"/>
            <w:shd w:val="clear" w:color="auto" w:fill="auto"/>
            <w:vAlign w:val="center"/>
          </w:tcPr>
          <w:p w14:paraId="5246DA70">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709" w:type="dxa"/>
            <w:shd w:val="clear" w:color="auto" w:fill="auto"/>
            <w:vAlign w:val="center"/>
          </w:tcPr>
          <w:p w14:paraId="42E5D526">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w:t>
            </w:r>
          </w:p>
        </w:tc>
        <w:tc>
          <w:tcPr>
            <w:tcW w:w="1201" w:type="dxa"/>
            <w:vAlign w:val="center"/>
          </w:tcPr>
          <w:p w14:paraId="1BA2D43B">
            <w:pPr>
              <w:snapToGrid w:val="0"/>
              <w:jc w:val="left"/>
              <w:rPr>
                <w:rFonts w:hint="eastAsia" w:ascii="仿宋" w:hAnsi="仿宋" w:eastAsia="仿宋" w:cs="仿宋"/>
                <w:color w:val="auto"/>
                <w:sz w:val="24"/>
                <w:highlight w:val="none"/>
              </w:rPr>
            </w:pPr>
          </w:p>
        </w:tc>
      </w:tr>
      <w:tr w14:paraId="589C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shd w:val="clear" w:color="auto" w:fill="auto"/>
            <w:vAlign w:val="center"/>
          </w:tcPr>
          <w:p w14:paraId="0BECD468">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5608" w:type="dxa"/>
            <w:shd w:val="clear" w:color="auto" w:fill="auto"/>
            <w:vAlign w:val="center"/>
          </w:tcPr>
          <w:p w14:paraId="775A3D43">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日常工作(维护管辖范围内的办公、生产、经营等各项活动秩序,调解纠纷,疏导人流等)内容全面、非常科学合理；</w:t>
            </w:r>
          </w:p>
          <w:p w14:paraId="72CF64D9">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①方案全面合理且可操作性强，与采购需求完全相适应的得6分；</w:t>
            </w:r>
          </w:p>
          <w:p w14:paraId="646910FA">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②方案详细且与采购需求相适应，但存在不足的得5分；</w:t>
            </w:r>
          </w:p>
          <w:p w14:paraId="04559381">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③方案基本与采购需求相适应，但存在欠缺的得4分；</w:t>
            </w:r>
          </w:p>
          <w:p w14:paraId="2364CD79">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④方案基本与采购需求部分相适应，且存在大部分欠缺的得3分；</w:t>
            </w:r>
          </w:p>
          <w:p w14:paraId="30F60E63">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⑤方案存在缺项的得2分；</w:t>
            </w:r>
          </w:p>
          <w:p w14:paraId="013B2F98">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⑥方案与采购需求不适应的得1分；</w:t>
            </w:r>
          </w:p>
          <w:p w14:paraId="7D5CE365">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⑦未提供的得0分。</w:t>
            </w:r>
          </w:p>
        </w:tc>
        <w:tc>
          <w:tcPr>
            <w:tcW w:w="519" w:type="dxa"/>
            <w:shd w:val="clear" w:color="auto" w:fill="auto"/>
            <w:vAlign w:val="center"/>
          </w:tcPr>
          <w:p w14:paraId="66D83EAB">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709" w:type="dxa"/>
            <w:shd w:val="clear" w:color="auto" w:fill="auto"/>
            <w:vAlign w:val="center"/>
          </w:tcPr>
          <w:p w14:paraId="25F432BA">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w:t>
            </w:r>
          </w:p>
        </w:tc>
        <w:tc>
          <w:tcPr>
            <w:tcW w:w="1201" w:type="dxa"/>
            <w:vAlign w:val="center"/>
          </w:tcPr>
          <w:p w14:paraId="1960B137">
            <w:pPr>
              <w:snapToGrid w:val="0"/>
              <w:jc w:val="left"/>
              <w:rPr>
                <w:rFonts w:hint="eastAsia" w:ascii="仿宋" w:hAnsi="仿宋" w:eastAsia="仿宋" w:cs="仿宋"/>
                <w:color w:val="auto"/>
                <w:sz w:val="24"/>
                <w:highlight w:val="none"/>
              </w:rPr>
            </w:pPr>
          </w:p>
        </w:tc>
      </w:tr>
      <w:tr w14:paraId="6FB2F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shd w:val="clear" w:color="auto" w:fill="auto"/>
            <w:vAlign w:val="center"/>
          </w:tcPr>
          <w:p w14:paraId="01FAB6BA">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5608" w:type="dxa"/>
            <w:shd w:val="clear" w:color="auto" w:fill="auto"/>
            <w:vAlign w:val="center"/>
          </w:tcPr>
          <w:p w14:paraId="5670B623">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应急处置方案(预防案件、打击犯罪、反扒防抢、自然灾害、事故及恐怖袭击)内容完整、严谨,可操作性强, 有应急人员储备；</w:t>
            </w:r>
          </w:p>
          <w:p w14:paraId="16E34599">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①方案全面合理且可操作性强，与采购需求完全相适应的得6分；</w:t>
            </w:r>
          </w:p>
          <w:p w14:paraId="26943835">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②方案详细且与采购需求相适应，但存在不足的得5分；</w:t>
            </w:r>
          </w:p>
          <w:p w14:paraId="47595D3E">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③方案基本与采购需求相适应，但存在欠缺的得4分；</w:t>
            </w:r>
          </w:p>
          <w:p w14:paraId="355045D8">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④方案基本与采购需求部分相适应，且存在大部分欠缺的得3分；</w:t>
            </w:r>
          </w:p>
          <w:p w14:paraId="3AA9BF52">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⑤方案存在缺项的得2分；</w:t>
            </w:r>
          </w:p>
          <w:p w14:paraId="4CF9A3A6">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⑥方案与采购需求不适应的得1分；</w:t>
            </w:r>
          </w:p>
          <w:p w14:paraId="7E4DF3E2">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⑦未提供的得0分。</w:t>
            </w:r>
          </w:p>
        </w:tc>
        <w:tc>
          <w:tcPr>
            <w:tcW w:w="519" w:type="dxa"/>
            <w:shd w:val="clear" w:color="auto" w:fill="auto"/>
            <w:vAlign w:val="center"/>
          </w:tcPr>
          <w:p w14:paraId="690544E1">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709" w:type="dxa"/>
            <w:shd w:val="clear" w:color="auto" w:fill="auto"/>
            <w:vAlign w:val="center"/>
          </w:tcPr>
          <w:p w14:paraId="768D465C">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w:t>
            </w:r>
          </w:p>
        </w:tc>
        <w:tc>
          <w:tcPr>
            <w:tcW w:w="1201" w:type="dxa"/>
            <w:vAlign w:val="center"/>
          </w:tcPr>
          <w:p w14:paraId="0CF14B50">
            <w:pPr>
              <w:snapToGrid w:val="0"/>
              <w:jc w:val="left"/>
              <w:rPr>
                <w:rFonts w:hint="eastAsia" w:ascii="仿宋" w:hAnsi="仿宋" w:eastAsia="仿宋" w:cs="仿宋"/>
                <w:color w:val="auto"/>
                <w:sz w:val="24"/>
                <w:highlight w:val="none"/>
              </w:rPr>
            </w:pPr>
          </w:p>
        </w:tc>
      </w:tr>
      <w:tr w14:paraId="58B30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shd w:val="clear" w:color="auto" w:fill="auto"/>
            <w:vAlign w:val="center"/>
          </w:tcPr>
          <w:p w14:paraId="19259588">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5608" w:type="dxa"/>
            <w:shd w:val="clear" w:color="auto" w:fill="auto"/>
            <w:vAlign w:val="center"/>
          </w:tcPr>
          <w:p w14:paraId="2658C254">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对招标人工作需求及各种特殊情况下的快速应急服务响应方案、响应时间、专业技术支持等对本项目实施的有利程度的评价；</w:t>
            </w:r>
          </w:p>
          <w:p w14:paraId="3BB0C6D7">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①方案全面合理且可操作性强，与采购需求完全相适应的得5分；</w:t>
            </w:r>
          </w:p>
          <w:p w14:paraId="07BFA0BD">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②方案详细且与采购需求相适应，但存在不足的得4分；</w:t>
            </w:r>
          </w:p>
          <w:p w14:paraId="5C2AB306">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③方案基本与采购需求相适应，但存在欠缺的得3分；</w:t>
            </w:r>
          </w:p>
          <w:p w14:paraId="679256DE">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④方案存在缺项的得2分；</w:t>
            </w:r>
          </w:p>
          <w:p w14:paraId="49CE8F3E">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⑤方案与采购需求不适应的得1分；</w:t>
            </w:r>
          </w:p>
          <w:p w14:paraId="7F8CAF3D">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⑥未提供的得0分。</w:t>
            </w:r>
          </w:p>
        </w:tc>
        <w:tc>
          <w:tcPr>
            <w:tcW w:w="519" w:type="dxa"/>
            <w:shd w:val="clear" w:color="auto" w:fill="auto"/>
            <w:vAlign w:val="center"/>
          </w:tcPr>
          <w:p w14:paraId="1E51BEFC">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709" w:type="dxa"/>
            <w:shd w:val="clear" w:color="auto" w:fill="auto"/>
            <w:vAlign w:val="center"/>
          </w:tcPr>
          <w:p w14:paraId="0F07A75D">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w:t>
            </w:r>
          </w:p>
        </w:tc>
        <w:tc>
          <w:tcPr>
            <w:tcW w:w="1201" w:type="dxa"/>
            <w:vAlign w:val="center"/>
          </w:tcPr>
          <w:p w14:paraId="73977075">
            <w:pPr>
              <w:snapToGrid w:val="0"/>
              <w:jc w:val="left"/>
              <w:rPr>
                <w:rFonts w:hint="eastAsia" w:ascii="仿宋" w:hAnsi="仿宋" w:eastAsia="仿宋" w:cs="仿宋"/>
                <w:color w:val="auto"/>
                <w:sz w:val="24"/>
                <w:highlight w:val="none"/>
              </w:rPr>
            </w:pPr>
          </w:p>
        </w:tc>
      </w:tr>
      <w:tr w14:paraId="3B13D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shd w:val="clear" w:color="auto" w:fill="auto"/>
            <w:vAlign w:val="center"/>
          </w:tcPr>
          <w:p w14:paraId="423E2C17">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5608" w:type="dxa"/>
            <w:shd w:val="clear" w:color="auto" w:fill="auto"/>
            <w:vAlign w:val="center"/>
          </w:tcPr>
          <w:p w14:paraId="4EED6D45">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本项目所投入的安保人员配备情况是否满足招标人要求,投标人对本项目派出的安保人员的素质情况、是否具备安保相关技能及退伍证书等：</w:t>
            </w:r>
          </w:p>
          <w:p w14:paraId="038AAEC4">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①方案全面合理且可操作性强，与采购需求完全相适应的得6分；</w:t>
            </w:r>
          </w:p>
          <w:p w14:paraId="64EBE521">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②方案详细且与采购需求相适应，但存在不足的得5分；</w:t>
            </w:r>
          </w:p>
          <w:p w14:paraId="71948774">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③方案基本与采购需求相适应，但存在欠缺的得4分；</w:t>
            </w:r>
          </w:p>
          <w:p w14:paraId="23B8DC52">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④方案基本与采购需求部分相适应，且存在大部分欠缺的得3分；</w:t>
            </w:r>
          </w:p>
          <w:p w14:paraId="2AF2DDBA">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⑤方案存在缺项的得2分；</w:t>
            </w:r>
          </w:p>
          <w:p w14:paraId="081362F5">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⑥方案与采购需求不适应的得1分；</w:t>
            </w:r>
          </w:p>
          <w:p w14:paraId="6A31AB2E">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⑦未提供的得0分。</w:t>
            </w:r>
          </w:p>
        </w:tc>
        <w:tc>
          <w:tcPr>
            <w:tcW w:w="519" w:type="dxa"/>
            <w:shd w:val="clear" w:color="auto" w:fill="auto"/>
            <w:vAlign w:val="center"/>
          </w:tcPr>
          <w:p w14:paraId="489B0C9B">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709" w:type="dxa"/>
            <w:shd w:val="clear" w:color="auto" w:fill="auto"/>
            <w:vAlign w:val="center"/>
          </w:tcPr>
          <w:p w14:paraId="020AB869">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w:t>
            </w:r>
          </w:p>
        </w:tc>
        <w:tc>
          <w:tcPr>
            <w:tcW w:w="1201" w:type="dxa"/>
            <w:vAlign w:val="center"/>
          </w:tcPr>
          <w:p w14:paraId="6D53A835">
            <w:pPr>
              <w:snapToGrid w:val="0"/>
              <w:jc w:val="left"/>
              <w:rPr>
                <w:rFonts w:hint="eastAsia" w:ascii="仿宋" w:hAnsi="仿宋" w:eastAsia="仿宋" w:cs="仿宋"/>
                <w:color w:val="auto"/>
                <w:sz w:val="24"/>
                <w:highlight w:val="none"/>
              </w:rPr>
            </w:pPr>
          </w:p>
        </w:tc>
      </w:tr>
      <w:tr w14:paraId="0AD2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shd w:val="clear" w:color="auto" w:fill="auto"/>
            <w:vAlign w:val="center"/>
          </w:tcPr>
          <w:p w14:paraId="7081F14A">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5608" w:type="dxa"/>
            <w:shd w:val="clear" w:color="auto" w:fill="auto"/>
            <w:vAlign w:val="center"/>
          </w:tcPr>
          <w:p w14:paraId="6A68C45F">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在满足日常管理岗位基本人员需求的情况下，具备临时增派50人以上应急安保力量的能力,提供服务方案及相关证明材料佐证：</w:t>
            </w:r>
          </w:p>
          <w:p w14:paraId="2EC2E2E9">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①方案全面合理且可操作性强，与采购需求完全相适应的得5分；</w:t>
            </w:r>
          </w:p>
          <w:p w14:paraId="2870D662">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②方案详细且与采购需求相适应，但存在不足的得4分；</w:t>
            </w:r>
          </w:p>
          <w:p w14:paraId="6D9F4412">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③方案基本与采购需求相适应，但存在欠缺的得3分；</w:t>
            </w:r>
          </w:p>
          <w:p w14:paraId="52A0FA82">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④方案存在缺项的得2分；</w:t>
            </w:r>
          </w:p>
          <w:p w14:paraId="5F72E56F">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⑤方案与采购需求不适应的得1分；</w:t>
            </w:r>
          </w:p>
          <w:p w14:paraId="6B1B363E">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⑥未提供的得0分。</w:t>
            </w:r>
          </w:p>
        </w:tc>
        <w:tc>
          <w:tcPr>
            <w:tcW w:w="519" w:type="dxa"/>
            <w:shd w:val="clear" w:color="auto" w:fill="auto"/>
            <w:vAlign w:val="center"/>
          </w:tcPr>
          <w:p w14:paraId="7CD616EC">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709" w:type="dxa"/>
            <w:shd w:val="clear" w:color="auto" w:fill="auto"/>
            <w:vAlign w:val="center"/>
          </w:tcPr>
          <w:p w14:paraId="098645EE">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w:t>
            </w:r>
          </w:p>
        </w:tc>
        <w:tc>
          <w:tcPr>
            <w:tcW w:w="1201" w:type="dxa"/>
            <w:vAlign w:val="center"/>
          </w:tcPr>
          <w:p w14:paraId="4615E3C2">
            <w:pPr>
              <w:snapToGrid w:val="0"/>
              <w:jc w:val="left"/>
              <w:rPr>
                <w:rFonts w:hint="eastAsia" w:ascii="仿宋" w:hAnsi="仿宋" w:eastAsia="仿宋" w:cs="仿宋"/>
                <w:color w:val="auto"/>
                <w:sz w:val="24"/>
                <w:highlight w:val="none"/>
              </w:rPr>
            </w:pPr>
          </w:p>
        </w:tc>
      </w:tr>
      <w:tr w14:paraId="4BB7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shd w:val="clear" w:color="auto" w:fill="auto"/>
            <w:vAlign w:val="center"/>
          </w:tcPr>
          <w:p w14:paraId="049BA856">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p>
        </w:tc>
        <w:tc>
          <w:tcPr>
            <w:tcW w:w="5608" w:type="dxa"/>
            <w:shd w:val="clear" w:color="auto" w:fill="auto"/>
            <w:vAlign w:val="center"/>
          </w:tcPr>
          <w:p w14:paraId="2384727F">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投标人针对本项目提出合理化、优化建议：</w:t>
            </w:r>
          </w:p>
          <w:p w14:paraId="5AAFDBD9">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①方案全面合理且可操作性强，与采购需求完全相适应的得5分；</w:t>
            </w:r>
          </w:p>
          <w:p w14:paraId="4927018B">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②方案详细且与采购需求相适应，但存在不足的得4分；</w:t>
            </w:r>
          </w:p>
          <w:p w14:paraId="4780B19A">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③方案基本与采购需求相适应，但存在欠缺的得3分；</w:t>
            </w:r>
          </w:p>
          <w:p w14:paraId="6FF8F552">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④方案存在缺项的得2分；</w:t>
            </w:r>
          </w:p>
          <w:p w14:paraId="02D3EEB1">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⑤方案与采购需求不适应的得1分；</w:t>
            </w:r>
          </w:p>
          <w:p w14:paraId="0EEAEFB6">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⑥未提供的得0分。</w:t>
            </w:r>
          </w:p>
        </w:tc>
        <w:tc>
          <w:tcPr>
            <w:tcW w:w="519" w:type="dxa"/>
            <w:shd w:val="clear" w:color="auto" w:fill="auto"/>
            <w:vAlign w:val="center"/>
          </w:tcPr>
          <w:p w14:paraId="372565A8">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709" w:type="dxa"/>
            <w:shd w:val="clear" w:color="auto" w:fill="auto"/>
            <w:vAlign w:val="center"/>
          </w:tcPr>
          <w:p w14:paraId="05727E0E">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w:t>
            </w:r>
          </w:p>
        </w:tc>
        <w:tc>
          <w:tcPr>
            <w:tcW w:w="1201" w:type="dxa"/>
            <w:vAlign w:val="center"/>
          </w:tcPr>
          <w:p w14:paraId="4CB209BD">
            <w:pPr>
              <w:snapToGrid w:val="0"/>
              <w:jc w:val="left"/>
              <w:rPr>
                <w:rFonts w:hint="eastAsia" w:ascii="仿宋" w:hAnsi="仿宋" w:eastAsia="仿宋" w:cs="仿宋"/>
                <w:color w:val="auto"/>
                <w:sz w:val="24"/>
                <w:highlight w:val="none"/>
              </w:rPr>
            </w:pPr>
          </w:p>
        </w:tc>
      </w:tr>
      <w:tr w14:paraId="6085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shd w:val="clear" w:color="auto" w:fill="auto"/>
            <w:vAlign w:val="center"/>
          </w:tcPr>
          <w:p w14:paraId="5D4663E3">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p>
        </w:tc>
        <w:tc>
          <w:tcPr>
            <w:tcW w:w="5608" w:type="dxa"/>
            <w:shd w:val="clear" w:color="auto" w:fill="auto"/>
            <w:vAlign w:val="center"/>
          </w:tcPr>
          <w:p w14:paraId="137066FB">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服务承诺和特色服务情况：是否给出服务和承诺，程度如何；对后续服务等方面的服务承诺，以及其他特色服务和响应措施等情况：</w:t>
            </w:r>
          </w:p>
          <w:p w14:paraId="77D3AD7E">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①方案全面合理且可操作性强，与采购需求完全相适应的得5分；</w:t>
            </w:r>
          </w:p>
          <w:p w14:paraId="5018199E">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②方案详细且与采购需求相适应，但存在不足的得4分；</w:t>
            </w:r>
          </w:p>
          <w:p w14:paraId="743367EB">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③方案基本与采购需求相适应，但存在欠缺的得3分；</w:t>
            </w:r>
          </w:p>
          <w:p w14:paraId="664D3019">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④方案存在缺项的得2分；</w:t>
            </w:r>
          </w:p>
          <w:p w14:paraId="24035E0C">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⑤方案与采购需求不适应的得1分；</w:t>
            </w:r>
          </w:p>
          <w:p w14:paraId="5A3DF858">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⑥未提供的得0分。</w:t>
            </w:r>
          </w:p>
        </w:tc>
        <w:tc>
          <w:tcPr>
            <w:tcW w:w="519" w:type="dxa"/>
            <w:shd w:val="clear" w:color="auto" w:fill="auto"/>
            <w:vAlign w:val="center"/>
          </w:tcPr>
          <w:p w14:paraId="3DA7A58E">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709" w:type="dxa"/>
            <w:shd w:val="clear" w:color="auto" w:fill="auto"/>
            <w:vAlign w:val="center"/>
          </w:tcPr>
          <w:p w14:paraId="57CFAF7B">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w:t>
            </w:r>
          </w:p>
        </w:tc>
        <w:tc>
          <w:tcPr>
            <w:tcW w:w="1201" w:type="dxa"/>
            <w:vAlign w:val="center"/>
          </w:tcPr>
          <w:p w14:paraId="5FE2C958">
            <w:pPr>
              <w:snapToGrid w:val="0"/>
              <w:jc w:val="left"/>
              <w:rPr>
                <w:rFonts w:hint="eastAsia" w:ascii="仿宋" w:hAnsi="仿宋" w:eastAsia="仿宋" w:cs="仿宋"/>
                <w:color w:val="auto"/>
                <w:sz w:val="24"/>
                <w:highlight w:val="none"/>
              </w:rPr>
            </w:pPr>
          </w:p>
        </w:tc>
      </w:tr>
      <w:tr w14:paraId="2F316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shd w:val="clear" w:color="auto" w:fill="auto"/>
            <w:vAlign w:val="center"/>
          </w:tcPr>
          <w:p w14:paraId="24417005">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20</w:t>
            </w:r>
          </w:p>
        </w:tc>
        <w:tc>
          <w:tcPr>
            <w:tcW w:w="5608" w:type="dxa"/>
            <w:shd w:val="clear" w:color="auto" w:fill="auto"/>
            <w:vAlign w:val="center"/>
          </w:tcPr>
          <w:p w14:paraId="5972410E">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是否具有较强的项目售后服务能力，对本项目提供的人力、设备、技术等支持是否响应及时、充足等内容：</w:t>
            </w:r>
          </w:p>
          <w:p w14:paraId="6BD657A6">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①方案全面合理且可操作性强，与采购需求完全相适应的得5分；</w:t>
            </w:r>
          </w:p>
          <w:p w14:paraId="08789D93">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②方案详细且与采购需求相适应，但存在不足的得4分；</w:t>
            </w:r>
          </w:p>
          <w:p w14:paraId="314E5A73">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③方案基本与采购需求相适应，但存在欠缺的得3分；</w:t>
            </w:r>
          </w:p>
          <w:p w14:paraId="5EDEA467">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④方案存在缺项的得2分；</w:t>
            </w:r>
          </w:p>
          <w:p w14:paraId="04F08608">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⑤方案与采购需求不适应的得1分；</w:t>
            </w:r>
          </w:p>
          <w:p w14:paraId="6AAA93DC">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⑥未提供的得0分。</w:t>
            </w:r>
          </w:p>
        </w:tc>
        <w:tc>
          <w:tcPr>
            <w:tcW w:w="519" w:type="dxa"/>
            <w:shd w:val="clear" w:color="auto" w:fill="auto"/>
            <w:vAlign w:val="center"/>
          </w:tcPr>
          <w:p w14:paraId="009F38AA">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709" w:type="dxa"/>
            <w:shd w:val="clear" w:color="auto" w:fill="auto"/>
            <w:vAlign w:val="center"/>
          </w:tcPr>
          <w:p w14:paraId="6E795BFD">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主观</w:t>
            </w:r>
          </w:p>
        </w:tc>
        <w:tc>
          <w:tcPr>
            <w:tcW w:w="1201" w:type="dxa"/>
            <w:vAlign w:val="center"/>
          </w:tcPr>
          <w:p w14:paraId="4F6D5492">
            <w:pPr>
              <w:snapToGrid w:val="0"/>
              <w:jc w:val="left"/>
              <w:rPr>
                <w:rFonts w:hint="eastAsia" w:ascii="仿宋" w:hAnsi="仿宋" w:eastAsia="仿宋" w:cs="仿宋"/>
                <w:color w:val="auto"/>
                <w:sz w:val="24"/>
                <w:highlight w:val="none"/>
              </w:rPr>
            </w:pPr>
          </w:p>
        </w:tc>
      </w:tr>
      <w:tr w14:paraId="55568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Align w:val="center"/>
          </w:tcPr>
          <w:p w14:paraId="33913D39">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p>
        </w:tc>
        <w:tc>
          <w:tcPr>
            <w:tcW w:w="5608" w:type="dxa"/>
          </w:tcPr>
          <w:p w14:paraId="02A92621">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有效投标报价的最低价作为评标基准价，其最低报价为满分；按［投标报价得分=（评标基准价/投标报价）*10］的计算公式计算。</w:t>
            </w:r>
          </w:p>
          <w:p w14:paraId="443905B6">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14:paraId="283FED72">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519" w:type="dxa"/>
            <w:vAlign w:val="center"/>
          </w:tcPr>
          <w:p w14:paraId="7E1B18BF">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709" w:type="dxa"/>
            <w:vAlign w:val="center"/>
          </w:tcPr>
          <w:p w14:paraId="541F40F0">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201" w:type="dxa"/>
            <w:vAlign w:val="center"/>
          </w:tcPr>
          <w:p w14:paraId="327ED163">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bl>
    <w:p w14:paraId="713213C0">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w:t>
      </w:r>
    </w:p>
    <w:p w14:paraId="5206357D">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3642D1C3">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03C62F96">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7149DE0F">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2.评标标准：</w:t>
      </w:r>
      <w:r>
        <w:rPr>
          <w:rFonts w:hint="eastAsia" w:ascii="仿宋" w:hAnsi="仿宋" w:eastAsia="仿宋" w:cs="仿宋"/>
          <w:color w:val="auto"/>
          <w:kern w:val="0"/>
          <w:sz w:val="24"/>
          <w:highlight w:val="none"/>
        </w:rPr>
        <w:t>见评标办法前附表。</w:t>
      </w:r>
    </w:p>
    <w:p w14:paraId="01E32494">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6FEC3BF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4CA5E4D">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1157F8C9">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4C9FC419">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34046D06">
      <w:pPr>
        <w:pStyle w:val="130"/>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67742B13">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69BCC6B0">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110CE3DF">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40B650C5">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6ED854A4">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58ADB75F">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317114A1">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309355C0">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98A9437">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C127FE6">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1788519">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AECDB8B">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5B6FD0B">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69062CD2">
      <w:pPr>
        <w:pStyle w:val="130"/>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03E78D4">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6C06634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71EE176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7C13416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187EE1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4E217DE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05FF39E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4.2.6投标文件出现不是唯一的、有选择性投标报价的;</w:t>
      </w:r>
    </w:p>
    <w:p w14:paraId="654FCB5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4D39E3E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0BCEF1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55D3D58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663473C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4.2.11投标人有恶意串通、妨碍其他投标人的竞争行为、损害采购人或者其他投标人的合法权益情形的；</w:t>
      </w:r>
    </w:p>
    <w:p w14:paraId="1D0C6B5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111A2428">
      <w:pPr>
        <w:spacing w:line="360" w:lineRule="auto"/>
        <w:ind w:firstLine="480" w:firstLineChars="200"/>
        <w:rPr>
          <w:rFonts w:hint="eastAsia" w:ascii="仿宋" w:hAnsi="仿宋" w:eastAsia="仿宋" w:cs="仿宋"/>
          <w:color w:val="auto"/>
          <w:kern w:val="0"/>
          <w:sz w:val="24"/>
          <w:highlight w:val="none"/>
        </w:rPr>
      </w:pPr>
      <w:r>
        <w:rPr>
          <w:rFonts w:hint="eastAsia" w:ascii="仿宋" w:eastAsia="仿宋" w:cs="仿宋"/>
          <w:color w:val="auto"/>
          <w:kern w:val="0"/>
          <w:sz w:val="24"/>
          <w:highlight w:val="none"/>
        </w:rPr>
        <w:t>4.2.13投标文件不满足招标文件的其它实质性要求的；</w:t>
      </w:r>
    </w:p>
    <w:p w14:paraId="7DE3D56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7AE8BB83">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30FD7551">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383C83C6">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3AA75825">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23B833EA">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17B2C541">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10C13365">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45602C2">
      <w:pPr>
        <w:pStyle w:val="24"/>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5960F998">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7B9F00CA">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79AAA1ED">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6E7743D1">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09E866AA">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Start w:id="406" w:name="_Toc86217003"/>
    </w:p>
    <w:p w14:paraId="51F9017E">
      <w:pPr>
        <w:spacing w:line="360" w:lineRule="auto"/>
        <w:ind w:left="720" w:leftChars="343" w:firstLine="1084" w:firstLineChars="300"/>
        <w:outlineLvl w:val="0"/>
        <w:rPr>
          <w:rFonts w:hint="eastAsia" w:ascii="仿宋" w:hAnsi="仿宋" w:eastAsia="仿宋" w:cs="仿宋"/>
          <w:b/>
          <w:color w:val="auto"/>
          <w:sz w:val="36"/>
          <w:szCs w:val="36"/>
          <w:highlight w:val="none"/>
        </w:rPr>
        <w:sectPr>
          <w:pgSz w:w="11907" w:h="16840"/>
          <w:pgMar w:top="1474" w:right="1814" w:bottom="1474" w:left="1814" w:header="851" w:footer="851" w:gutter="0"/>
          <w:cols w:space="720" w:num="1"/>
        </w:sectPr>
      </w:pPr>
    </w:p>
    <w:p w14:paraId="00B92ADA">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w:t>
      </w:r>
      <w:r>
        <w:rPr>
          <w:rFonts w:hint="eastAsia" w:ascii="仿宋" w:hAnsi="仿宋" w:eastAsia="仿宋" w:cs="仿宋"/>
          <w:b/>
          <w:color w:val="auto"/>
          <w:spacing w:val="362"/>
          <w:kern w:val="0"/>
          <w:sz w:val="36"/>
          <w:szCs w:val="36"/>
          <w:highlight w:val="none"/>
          <w:fitText w:val="1444" w:id="-982737663"/>
        </w:rPr>
        <w:t>分</w:t>
      </w:r>
      <w:r>
        <w:rPr>
          <w:rFonts w:hint="eastAsia" w:ascii="仿宋" w:hAnsi="仿宋" w:eastAsia="仿宋" w:cs="仿宋"/>
          <w:b/>
          <w:color w:val="auto"/>
          <w:spacing w:val="0"/>
          <w:kern w:val="0"/>
          <w:sz w:val="36"/>
          <w:szCs w:val="36"/>
          <w:highlight w:val="none"/>
          <w:fitText w:val="1444" w:id="-982737663"/>
        </w:rPr>
        <w:t>拟</w:t>
      </w:r>
      <w:r>
        <w:rPr>
          <w:rFonts w:hint="eastAsia" w:ascii="仿宋" w:hAnsi="仿宋" w:eastAsia="仿宋" w:cs="仿宋"/>
          <w:b/>
          <w:color w:val="auto"/>
          <w:sz w:val="36"/>
          <w:szCs w:val="36"/>
          <w:highlight w:val="none"/>
        </w:rPr>
        <w:t>签订的合同文本</w:t>
      </w:r>
    </w:p>
    <w:p w14:paraId="111E082D">
      <w:pPr>
        <w:spacing w:line="72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3E5029B3">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4520B860">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0DC960F7">
      <w:pPr>
        <w:pStyle w:val="701"/>
        <w:spacing w:line="1200" w:lineRule="auto"/>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w:t>
      </w:r>
      <w:r>
        <w:rPr>
          <w:rFonts w:hint="eastAsia" w:ascii="仿宋" w:hAnsi="仿宋" w:eastAsia="仿宋" w:cs="仿宋"/>
          <w:b/>
          <w:color w:val="auto"/>
          <w:spacing w:val="242"/>
          <w:kern w:val="0"/>
          <w:szCs w:val="24"/>
          <w:highlight w:val="none"/>
          <w:fitText w:val="964" w:id="-982737661"/>
        </w:rPr>
        <w:t>分</w:t>
      </w:r>
      <w:r>
        <w:rPr>
          <w:rFonts w:hint="eastAsia" w:ascii="仿宋" w:hAnsi="仿宋" w:eastAsia="仿宋" w:cs="仿宋"/>
          <w:b/>
          <w:color w:val="auto"/>
          <w:spacing w:val="0"/>
          <w:kern w:val="0"/>
          <w:szCs w:val="24"/>
          <w:highlight w:val="none"/>
          <w:fitText w:val="964" w:id="-982737661"/>
        </w:rPr>
        <w:t>合</w:t>
      </w:r>
      <w:r>
        <w:rPr>
          <w:rFonts w:hint="eastAsia" w:ascii="仿宋" w:hAnsi="仿宋" w:eastAsia="仿宋" w:cs="仿宋"/>
          <w:b/>
          <w:color w:val="auto"/>
          <w:szCs w:val="24"/>
          <w:highlight w:val="none"/>
        </w:rPr>
        <w:t>同书</w:t>
      </w:r>
    </w:p>
    <w:p w14:paraId="4D0AAF9C">
      <w:pPr>
        <w:spacing w:before="120" w:line="1200" w:lineRule="auto"/>
        <w:ind w:left="958"/>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战鹰**巡逻队服务项目       </w:t>
      </w:r>
    </w:p>
    <w:p w14:paraId="3C742C26">
      <w:pPr>
        <w:spacing w:before="120" w:line="72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    方：</w:t>
      </w:r>
      <w:r>
        <w:rPr>
          <w:rFonts w:hint="eastAsia" w:ascii="仿宋" w:hAnsi="仿宋" w:eastAsia="仿宋" w:cs="仿宋"/>
          <w:color w:val="auto"/>
          <w:sz w:val="24"/>
          <w:highlight w:val="none"/>
          <w:u w:val="single"/>
        </w:rPr>
        <w:t xml:space="preserve">         杭州东站枢纽管理委员会      </w:t>
      </w:r>
    </w:p>
    <w:p w14:paraId="6AA10561">
      <w:pPr>
        <w:spacing w:before="120" w:line="72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    方：</w:t>
      </w:r>
      <w:r>
        <w:rPr>
          <w:rFonts w:hint="eastAsia" w:ascii="仿宋" w:hAnsi="仿宋" w:eastAsia="仿宋" w:cs="仿宋"/>
          <w:color w:val="auto"/>
          <w:sz w:val="24"/>
          <w:highlight w:val="none"/>
          <w:u w:val="single"/>
        </w:rPr>
        <w:t xml:space="preserve">                                    </w:t>
      </w:r>
    </w:p>
    <w:p w14:paraId="22C8DC1C">
      <w:pPr>
        <w:spacing w:before="120" w:line="72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 订 地：</w:t>
      </w:r>
      <w:r>
        <w:rPr>
          <w:rFonts w:hint="eastAsia" w:ascii="仿宋" w:hAnsi="仿宋" w:eastAsia="仿宋" w:cs="仿宋"/>
          <w:color w:val="auto"/>
          <w:sz w:val="24"/>
          <w:highlight w:val="none"/>
          <w:u w:val="single"/>
        </w:rPr>
        <w:t xml:space="preserve">       杭州东站枢纽管理委员会       </w:t>
      </w:r>
    </w:p>
    <w:p w14:paraId="756C8A4F">
      <w:pPr>
        <w:spacing w:before="120" w:line="22" w:lineRule="atLeast"/>
        <w:ind w:firstLine="960" w:firstLineChars="400"/>
        <w:rPr>
          <w:rFonts w:hint="eastAsia" w:ascii="仿宋" w:hAnsi="仿宋" w:eastAsia="仿宋" w:cs="仿宋"/>
          <w:color w:val="auto"/>
          <w:sz w:val="24"/>
          <w:highlight w:val="none"/>
          <w:u w:val="single"/>
        </w:rPr>
        <w:sectPr>
          <w:pgSz w:w="11907" w:h="16840"/>
          <w:pgMar w:top="1474" w:right="1814" w:bottom="1474" w:left="1814" w:header="851" w:footer="851" w:gutter="0"/>
          <w:cols w:space="720" w:num="1"/>
        </w:sect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2024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2C994CB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2024</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杭州东站枢纽管理委员会</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公开招标的政府采购方式</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战鹰**巡逻队服务项目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评标委员会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（中标或者成交供应商名称）</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2438FBD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杭州东站枢纽管理委员会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（中或者成交标供应商名称）</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7184588B">
      <w:pPr>
        <w:spacing w:line="560" w:lineRule="exact"/>
        <w:ind w:firstLine="482" w:firstLineChars="200"/>
        <w:outlineLvl w:val="0"/>
        <w:rPr>
          <w:rFonts w:hint="eastAsia" w:ascii="仿宋" w:hAnsi="仿宋" w:eastAsia="仿宋" w:cs="仿宋"/>
          <w:color w:val="auto"/>
          <w:sz w:val="24"/>
          <w:highlight w:val="none"/>
        </w:rPr>
      </w:pPr>
      <w:bookmarkStart w:id="407" w:name="_Toc28855"/>
      <w:bookmarkStart w:id="408" w:name="_Toc15367"/>
      <w:bookmarkStart w:id="409" w:name="_Toc22967"/>
      <w:bookmarkStart w:id="410" w:name="_Toc19273"/>
      <w:bookmarkStart w:id="411" w:name="_Toc20421"/>
      <w:r>
        <w:rPr>
          <w:rFonts w:hint="eastAsia" w:ascii="仿宋" w:hAnsi="仿宋" w:eastAsia="仿宋" w:cs="仿宋"/>
          <w:b/>
          <w:color w:val="auto"/>
          <w:sz w:val="24"/>
          <w:highlight w:val="none"/>
        </w:rPr>
        <w:t>1.1合同组成部分</w:t>
      </w:r>
      <w:bookmarkEnd w:id="407"/>
      <w:bookmarkEnd w:id="408"/>
      <w:bookmarkEnd w:id="409"/>
      <w:bookmarkEnd w:id="410"/>
      <w:bookmarkEnd w:id="411"/>
    </w:p>
    <w:p w14:paraId="6BA372B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5E715D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1.1.1本合同及其补充合同、变更协议；</w:t>
      </w:r>
    </w:p>
    <w:p w14:paraId="7B71562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1.1.2中标或者成交通知书；</w:t>
      </w:r>
    </w:p>
    <w:p w14:paraId="6ACC6D7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1.1.3投标或者响应文件（含澄清或者说明文件）；</w:t>
      </w:r>
    </w:p>
    <w:p w14:paraId="1647879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1.1.4采购文件（含澄清或者修改文件）；</w:t>
      </w:r>
    </w:p>
    <w:p w14:paraId="34229E4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1.1.5其他相关采购文件。</w:t>
      </w:r>
    </w:p>
    <w:p w14:paraId="7FF55B6E">
      <w:pPr>
        <w:spacing w:line="560" w:lineRule="exact"/>
        <w:ind w:firstLine="482" w:firstLineChars="200"/>
        <w:outlineLvl w:val="0"/>
        <w:rPr>
          <w:rFonts w:hint="eastAsia" w:ascii="仿宋" w:hAnsi="仿宋" w:eastAsia="仿宋" w:cs="仿宋"/>
          <w:b/>
          <w:color w:val="auto"/>
          <w:sz w:val="24"/>
          <w:highlight w:val="none"/>
        </w:rPr>
      </w:pPr>
      <w:bookmarkStart w:id="412" w:name="_Toc6311"/>
      <w:bookmarkStart w:id="413" w:name="_Toc6773"/>
      <w:bookmarkStart w:id="414" w:name="_Toc2918"/>
      <w:bookmarkStart w:id="415" w:name="_Toc22185"/>
      <w:bookmarkStart w:id="416" w:name="_Toc18585"/>
      <w:r>
        <w:rPr>
          <w:rFonts w:hint="eastAsia" w:ascii="仿宋" w:hAnsi="仿宋" w:eastAsia="仿宋" w:cs="仿宋"/>
          <w:b/>
          <w:color w:val="auto"/>
          <w:sz w:val="24"/>
          <w:highlight w:val="none"/>
        </w:rPr>
        <w:t>1.2标的</w:t>
      </w:r>
      <w:bookmarkEnd w:id="412"/>
      <w:bookmarkEnd w:id="413"/>
      <w:bookmarkEnd w:id="414"/>
      <w:bookmarkEnd w:id="415"/>
      <w:bookmarkEnd w:id="416"/>
    </w:p>
    <w:p w14:paraId="79A19FB6">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1.2.1服务内容：</w:t>
      </w:r>
      <w:r>
        <w:rPr>
          <w:rFonts w:hint="eastAsia" w:ascii="仿宋" w:hAnsi="仿宋" w:eastAsia="仿宋" w:cs="仿宋"/>
          <w:color w:val="auto"/>
          <w:sz w:val="24"/>
          <w:highlight w:val="none"/>
          <w:u w:val="single"/>
        </w:rPr>
        <w:t xml:space="preserve"> 采购文件采购需求部分内容 </w:t>
      </w:r>
      <w:r>
        <w:rPr>
          <w:rFonts w:hint="eastAsia" w:ascii="仿宋" w:hAnsi="仿宋" w:eastAsia="仿宋" w:cs="仿宋"/>
          <w:color w:val="auto"/>
          <w:sz w:val="24"/>
          <w:highlight w:val="none"/>
        </w:rPr>
        <w:t>；</w:t>
      </w:r>
    </w:p>
    <w:p w14:paraId="65A2AE09">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1.2.2服务标准：</w:t>
      </w:r>
      <w:r>
        <w:rPr>
          <w:rFonts w:hint="eastAsia" w:ascii="仿宋" w:hAnsi="仿宋" w:eastAsia="仿宋" w:cs="仿宋"/>
          <w:color w:val="auto"/>
          <w:sz w:val="24"/>
          <w:highlight w:val="none"/>
          <w:u w:val="single"/>
        </w:rPr>
        <w:t xml:space="preserve"> 根据采购文件确定的技术指标或者服务要求确定验收指标和标准。未进行相应约定的，应当符合国家强制性规定、政策要求、安全标准、行业或企业有关标准等 </w:t>
      </w:r>
      <w:r>
        <w:rPr>
          <w:rFonts w:hint="eastAsia" w:ascii="仿宋" w:hAnsi="仿宋" w:eastAsia="仿宋" w:cs="仿宋"/>
          <w:color w:val="auto"/>
          <w:sz w:val="24"/>
          <w:highlight w:val="none"/>
        </w:rPr>
        <w:t>；</w:t>
      </w:r>
    </w:p>
    <w:p w14:paraId="6C397FF3">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1.2.3技术保障：</w:t>
      </w:r>
      <w:r>
        <w:rPr>
          <w:rFonts w:hint="eastAsia" w:ascii="仿宋" w:hAnsi="仿宋" w:eastAsia="仿宋" w:cs="仿宋"/>
          <w:color w:val="auto"/>
          <w:sz w:val="24"/>
          <w:highlight w:val="none"/>
          <w:u w:val="single"/>
        </w:rPr>
        <w:t xml:space="preserve"> 按乙方提供的服务方案及承诺保障本合同有效执行 </w:t>
      </w:r>
      <w:r>
        <w:rPr>
          <w:rFonts w:hint="eastAsia" w:ascii="仿宋" w:hAnsi="仿宋" w:eastAsia="仿宋" w:cs="仿宋"/>
          <w:color w:val="auto"/>
          <w:sz w:val="24"/>
          <w:highlight w:val="none"/>
        </w:rPr>
        <w:t>；</w:t>
      </w:r>
    </w:p>
    <w:p w14:paraId="721B43D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1.2.4服务人员组成：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B53ADF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1.2.5合同</w:t>
      </w:r>
      <w:r>
        <w:rPr>
          <w:rFonts w:hint="eastAsia" w:ascii="仿宋" w:hAnsi="仿宋" w:eastAsia="仿宋" w:cs="仿宋"/>
          <w:color w:val="auto"/>
          <w:sz w:val="24"/>
          <w:highlight w:val="none"/>
          <w:u w:val="single"/>
        </w:rPr>
        <w:t xml:space="preserve"> 否 </w:t>
      </w:r>
      <w:r>
        <w:rPr>
          <w:rFonts w:hint="eastAsia" w:ascii="仿宋" w:hAnsi="仿宋" w:eastAsia="仿宋" w:cs="仿宋"/>
          <w:color w:val="auto"/>
          <w:sz w:val="24"/>
          <w:highlight w:val="none"/>
        </w:rPr>
        <w:t>（是/否）涉及货物。若涉及货物的，则：</w:t>
      </w:r>
    </w:p>
    <w:p w14:paraId="48424B6C">
      <w:pPr>
        <w:spacing w:line="560" w:lineRule="exact"/>
        <w:ind w:firstLine="480" w:firstLineChars="200"/>
        <w:rPr>
          <w:rFonts w:hint="eastAsia" w:ascii="仿宋" w:hAnsi="仿宋" w:eastAsia="仿宋" w:cs="仿宋"/>
          <w:color w:val="auto"/>
          <w:sz w:val="24"/>
          <w:highlight w:val="none"/>
          <w:u w:val="single"/>
        </w:rPr>
      </w:pPr>
      <w:bookmarkStart w:id="417" w:name="_Toc13918"/>
      <w:bookmarkStart w:id="418" w:name="_Toc5635"/>
      <w:bookmarkStart w:id="419" w:name="_Toc21124"/>
      <w:bookmarkStart w:id="420" w:name="_Toc4929"/>
      <w:bookmarkStart w:id="421" w:name="_Toc1386"/>
      <w:r>
        <w:rPr>
          <w:rFonts w:hint="eastAsia" w:ascii="仿宋" w:hAnsi="仿宋" w:eastAsia="仿宋" w:cs="仿宋"/>
          <w:color w:val="auto"/>
          <w:sz w:val="24"/>
          <w:highlight w:val="none"/>
        </w:rPr>
        <w:t>1.2.5.1货物名称、品牌、规格型号、花色：</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136646F1">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1.2.5.2货物数量：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062F0F7E">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1.2.5.3货物质量：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0EB9C6AC">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1.3价款</w:t>
      </w:r>
      <w:bookmarkEnd w:id="417"/>
      <w:bookmarkEnd w:id="418"/>
      <w:bookmarkEnd w:id="419"/>
      <w:bookmarkEnd w:id="420"/>
      <w:bookmarkEnd w:id="421"/>
    </w:p>
    <w:p w14:paraId="0113494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1.3.1 </w:t>
      </w:r>
      <w:r>
        <w:rPr>
          <w:rFonts w:hint="eastAsia" w:ascii="仿宋" w:hAnsi="仿宋" w:eastAsia="仿宋" w:cs="仿宋"/>
          <w:color w:val="auto"/>
          <w:sz w:val="24"/>
          <w:highlight w:val="none"/>
        </w:rPr>
        <w:t>条款规定的计价方式计价。</w:t>
      </w:r>
    </w:p>
    <w:p w14:paraId="59183CF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77DBA2B0">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4416"/>
        <w:gridCol w:w="3312"/>
      </w:tblGrid>
      <w:tr w14:paraId="58794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8" w:type="pct"/>
            <w:vAlign w:val="center"/>
          </w:tcPr>
          <w:p w14:paraId="006B96D1">
            <w:pPr>
              <w:pStyle w:val="319"/>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377" w:type="pct"/>
            <w:vAlign w:val="center"/>
          </w:tcPr>
          <w:p w14:paraId="39A0610B">
            <w:pPr>
              <w:pStyle w:val="319"/>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1783" w:type="pct"/>
            <w:vAlign w:val="center"/>
          </w:tcPr>
          <w:p w14:paraId="6C03E40D">
            <w:pPr>
              <w:pStyle w:val="319"/>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1DDB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8" w:type="pct"/>
            <w:vAlign w:val="center"/>
          </w:tcPr>
          <w:p w14:paraId="530E54D8">
            <w:pPr>
              <w:pStyle w:val="319"/>
              <w:spacing w:line="560" w:lineRule="exact"/>
              <w:ind w:firstLine="200"/>
              <w:jc w:val="center"/>
              <w:rPr>
                <w:rFonts w:hint="eastAsia" w:ascii="仿宋" w:hAnsi="仿宋" w:eastAsia="仿宋" w:cs="仿宋"/>
                <w:color w:val="auto"/>
                <w:sz w:val="24"/>
                <w:szCs w:val="24"/>
                <w:highlight w:val="none"/>
              </w:rPr>
            </w:pPr>
          </w:p>
        </w:tc>
        <w:tc>
          <w:tcPr>
            <w:tcW w:w="2377" w:type="pct"/>
            <w:vAlign w:val="center"/>
          </w:tcPr>
          <w:p w14:paraId="32D558BF">
            <w:pPr>
              <w:pStyle w:val="319"/>
              <w:spacing w:line="560" w:lineRule="exact"/>
              <w:ind w:firstLine="200"/>
              <w:jc w:val="center"/>
              <w:rPr>
                <w:rFonts w:hint="eastAsia" w:ascii="仿宋" w:hAnsi="仿宋" w:eastAsia="仿宋" w:cs="仿宋"/>
                <w:color w:val="auto"/>
                <w:sz w:val="24"/>
                <w:szCs w:val="24"/>
                <w:highlight w:val="none"/>
              </w:rPr>
            </w:pPr>
          </w:p>
        </w:tc>
        <w:tc>
          <w:tcPr>
            <w:tcW w:w="1783" w:type="pct"/>
            <w:vAlign w:val="center"/>
          </w:tcPr>
          <w:p w14:paraId="5D695637">
            <w:pPr>
              <w:pStyle w:val="319"/>
              <w:spacing w:line="560" w:lineRule="exact"/>
              <w:ind w:firstLine="200"/>
              <w:jc w:val="center"/>
              <w:rPr>
                <w:rFonts w:hint="eastAsia" w:ascii="仿宋" w:hAnsi="仿宋" w:eastAsia="仿宋" w:cs="仿宋"/>
                <w:color w:val="auto"/>
                <w:sz w:val="24"/>
                <w:szCs w:val="24"/>
                <w:highlight w:val="none"/>
              </w:rPr>
            </w:pPr>
          </w:p>
        </w:tc>
      </w:tr>
      <w:tr w14:paraId="4F2DD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8" w:type="pct"/>
            <w:vAlign w:val="center"/>
          </w:tcPr>
          <w:p w14:paraId="426BCFD9">
            <w:pPr>
              <w:pStyle w:val="319"/>
              <w:spacing w:line="560" w:lineRule="exact"/>
              <w:ind w:firstLine="200"/>
              <w:jc w:val="center"/>
              <w:rPr>
                <w:rFonts w:hint="eastAsia" w:ascii="仿宋" w:hAnsi="仿宋" w:eastAsia="仿宋" w:cs="仿宋"/>
                <w:color w:val="auto"/>
                <w:sz w:val="24"/>
                <w:szCs w:val="24"/>
                <w:highlight w:val="none"/>
              </w:rPr>
            </w:pPr>
          </w:p>
        </w:tc>
        <w:tc>
          <w:tcPr>
            <w:tcW w:w="2377" w:type="pct"/>
            <w:vAlign w:val="center"/>
          </w:tcPr>
          <w:p w14:paraId="6FB99DD4">
            <w:pPr>
              <w:pStyle w:val="319"/>
              <w:spacing w:line="560" w:lineRule="exact"/>
              <w:ind w:firstLine="200"/>
              <w:jc w:val="center"/>
              <w:rPr>
                <w:rFonts w:hint="eastAsia" w:ascii="仿宋" w:hAnsi="仿宋" w:eastAsia="仿宋" w:cs="仿宋"/>
                <w:color w:val="auto"/>
                <w:sz w:val="24"/>
                <w:szCs w:val="24"/>
                <w:highlight w:val="none"/>
              </w:rPr>
            </w:pPr>
          </w:p>
        </w:tc>
        <w:tc>
          <w:tcPr>
            <w:tcW w:w="1783" w:type="pct"/>
            <w:vAlign w:val="center"/>
          </w:tcPr>
          <w:p w14:paraId="103AE50A">
            <w:pPr>
              <w:pStyle w:val="319"/>
              <w:spacing w:line="560" w:lineRule="exact"/>
              <w:ind w:firstLine="200"/>
              <w:jc w:val="center"/>
              <w:rPr>
                <w:rFonts w:hint="eastAsia" w:ascii="仿宋" w:hAnsi="仿宋" w:eastAsia="仿宋" w:cs="仿宋"/>
                <w:color w:val="auto"/>
                <w:sz w:val="24"/>
                <w:szCs w:val="24"/>
                <w:highlight w:val="none"/>
              </w:rPr>
            </w:pPr>
          </w:p>
        </w:tc>
      </w:tr>
      <w:tr w14:paraId="00C1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8" w:type="pct"/>
            <w:vAlign w:val="center"/>
          </w:tcPr>
          <w:p w14:paraId="545A7BD2">
            <w:pPr>
              <w:pStyle w:val="319"/>
              <w:spacing w:line="560" w:lineRule="exact"/>
              <w:ind w:firstLine="200"/>
              <w:jc w:val="center"/>
              <w:rPr>
                <w:rFonts w:hint="eastAsia" w:ascii="仿宋" w:hAnsi="仿宋" w:eastAsia="仿宋" w:cs="仿宋"/>
                <w:color w:val="auto"/>
                <w:sz w:val="24"/>
                <w:szCs w:val="24"/>
                <w:highlight w:val="none"/>
              </w:rPr>
            </w:pPr>
          </w:p>
        </w:tc>
        <w:tc>
          <w:tcPr>
            <w:tcW w:w="2377" w:type="pct"/>
            <w:vAlign w:val="center"/>
          </w:tcPr>
          <w:p w14:paraId="11C98C34">
            <w:pPr>
              <w:pStyle w:val="319"/>
              <w:spacing w:line="560" w:lineRule="exact"/>
              <w:ind w:firstLine="200"/>
              <w:jc w:val="center"/>
              <w:rPr>
                <w:rFonts w:hint="eastAsia" w:ascii="仿宋" w:hAnsi="仿宋" w:eastAsia="仿宋" w:cs="仿宋"/>
                <w:color w:val="auto"/>
                <w:sz w:val="24"/>
                <w:szCs w:val="24"/>
                <w:highlight w:val="none"/>
              </w:rPr>
            </w:pPr>
          </w:p>
        </w:tc>
        <w:tc>
          <w:tcPr>
            <w:tcW w:w="1783" w:type="pct"/>
            <w:vAlign w:val="center"/>
          </w:tcPr>
          <w:p w14:paraId="34532AB9">
            <w:pPr>
              <w:pStyle w:val="319"/>
              <w:spacing w:line="560" w:lineRule="exact"/>
              <w:ind w:firstLine="200"/>
              <w:jc w:val="center"/>
              <w:rPr>
                <w:rFonts w:hint="eastAsia" w:ascii="仿宋" w:hAnsi="仿宋" w:eastAsia="仿宋" w:cs="仿宋"/>
                <w:color w:val="auto"/>
                <w:sz w:val="24"/>
                <w:szCs w:val="24"/>
                <w:highlight w:val="none"/>
              </w:rPr>
            </w:pPr>
          </w:p>
        </w:tc>
      </w:tr>
      <w:tr w14:paraId="7C634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6" w:type="pct"/>
            <w:gridSpan w:val="2"/>
            <w:vAlign w:val="center"/>
          </w:tcPr>
          <w:p w14:paraId="206A9D4D">
            <w:pPr>
              <w:pStyle w:val="319"/>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1783" w:type="pct"/>
            <w:vAlign w:val="center"/>
          </w:tcPr>
          <w:p w14:paraId="61025E6F">
            <w:pPr>
              <w:pStyle w:val="319"/>
              <w:spacing w:line="560" w:lineRule="exact"/>
              <w:ind w:firstLine="200"/>
              <w:jc w:val="center"/>
              <w:rPr>
                <w:rFonts w:hint="eastAsia" w:ascii="仿宋" w:hAnsi="仿宋" w:eastAsia="仿宋" w:cs="仿宋"/>
                <w:color w:val="auto"/>
                <w:sz w:val="24"/>
                <w:szCs w:val="24"/>
                <w:highlight w:val="none"/>
              </w:rPr>
            </w:pPr>
          </w:p>
        </w:tc>
      </w:tr>
    </w:tbl>
    <w:p w14:paraId="05C0381F">
      <w:pPr>
        <w:spacing w:line="560" w:lineRule="exact"/>
        <w:ind w:firstLine="480" w:firstLineChars="200"/>
        <w:rPr>
          <w:rFonts w:hint="eastAsia" w:ascii="仿宋" w:hAnsi="仿宋" w:eastAsia="仿宋" w:cs="仿宋"/>
          <w:color w:val="auto"/>
          <w:sz w:val="24"/>
          <w:highlight w:val="none"/>
        </w:rPr>
      </w:pPr>
      <w:bookmarkStart w:id="422" w:name="_Toc14993"/>
      <w:bookmarkStart w:id="423" w:name="_Toc30506"/>
      <w:bookmarkStart w:id="424" w:name="_Toc3654"/>
      <w:bookmarkStart w:id="425" w:name="_Toc30158"/>
      <w:bookmarkStart w:id="426" w:name="_Toc26916"/>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 </w:t>
      </w:r>
      <w:r>
        <w:rPr>
          <w:rFonts w:hint="eastAsia" w:ascii="仿宋" w:hAnsi="仿宋" w:eastAsia="仿宋" w:cs="仿宋"/>
          <w:color w:val="auto"/>
          <w:sz w:val="24"/>
          <w:highlight w:val="none"/>
        </w:rPr>
        <w:t>。服务工作量的计量方式为：</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元人民币）。</w:t>
      </w:r>
    </w:p>
    <w:p w14:paraId="44E8DFE5">
      <w:pPr>
        <w:spacing w:line="560" w:lineRule="exact"/>
        <w:ind w:firstLine="480" w:firstLineChars="200"/>
        <w:rPr>
          <w:rFonts w:hint="eastAsia" w:ascii="仿宋" w:hAnsi="仿宋" w:eastAsia="仿宋" w:cs="仿宋"/>
          <w:color w:val="auto"/>
          <w:sz w:val="24"/>
          <w:highlight w:val="none"/>
        </w:rPr>
      </w:pPr>
      <w:r>
        <w:rPr>
          <w:rFonts w:hint="eastAsia" w:ascii="仿宋" w:eastAsia="仿宋" w:cs="仿宋"/>
          <w:color w:val="auto"/>
          <w:sz w:val="24"/>
          <w:highlight w:val="none"/>
        </w:rPr>
        <w:t>1.3.3其他计价方式：</w:t>
      </w:r>
      <w:r>
        <w:rPr>
          <w:rFonts w:hint="eastAsia" w:ascii="仿宋" w:eastAsia="仿宋" w:cs="仿宋"/>
          <w:color w:val="auto"/>
          <w:sz w:val="24"/>
          <w:highlight w:val="none"/>
          <w:u w:val="single"/>
        </w:rPr>
        <w:t xml:space="preserve"> / </w:t>
      </w:r>
      <w:r>
        <w:rPr>
          <w:rFonts w:hint="eastAsia" w:ascii="仿宋" w:eastAsia="仿宋" w:cs="仿宋"/>
          <w:color w:val="auto"/>
          <w:sz w:val="24"/>
          <w:highlight w:val="none"/>
        </w:rPr>
        <w:t>。</w:t>
      </w:r>
    </w:p>
    <w:bookmarkEnd w:id="422"/>
    <w:bookmarkEnd w:id="423"/>
    <w:bookmarkEnd w:id="424"/>
    <w:bookmarkEnd w:id="425"/>
    <w:bookmarkEnd w:id="426"/>
    <w:p w14:paraId="0FD43EF7">
      <w:pPr>
        <w:spacing w:line="560" w:lineRule="exact"/>
        <w:ind w:firstLine="482" w:firstLineChars="200"/>
        <w:outlineLvl w:val="0"/>
        <w:rPr>
          <w:rFonts w:hint="eastAsia" w:ascii="仿宋" w:hAnsi="仿宋" w:eastAsia="仿宋" w:cs="仿宋"/>
          <w:b/>
          <w:color w:val="auto"/>
          <w:sz w:val="24"/>
          <w:highlight w:val="none"/>
        </w:rPr>
      </w:pPr>
      <w:bookmarkStart w:id="427" w:name="_Toc10340"/>
      <w:bookmarkStart w:id="428" w:name="_Toc22618"/>
      <w:bookmarkStart w:id="429" w:name="_Toc1814"/>
      <w:bookmarkStart w:id="430" w:name="_Toc8772"/>
      <w:bookmarkStart w:id="431" w:name="_Toc3625"/>
      <w:bookmarkStart w:id="432" w:name="_Toc11108"/>
      <w:bookmarkStart w:id="433" w:name="_Toc4760"/>
      <w:bookmarkStart w:id="434" w:name="_Toc31421"/>
      <w:r>
        <w:rPr>
          <w:rFonts w:hint="eastAsia" w:ascii="仿宋" w:hAnsi="仿宋" w:eastAsia="仿宋" w:cs="仿宋"/>
          <w:b/>
          <w:color w:val="auto"/>
          <w:sz w:val="24"/>
          <w:highlight w:val="none"/>
        </w:rPr>
        <w:t>1.4履约保证金</w:t>
      </w:r>
    </w:p>
    <w:p w14:paraId="2573FD3D">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否 </w:t>
      </w:r>
      <w:r>
        <w:rPr>
          <w:rFonts w:hint="eastAsia" w:ascii="仿宋" w:hAnsi="仿宋" w:eastAsia="仿宋" w:cs="仿宋"/>
          <w:color w:val="auto"/>
          <w:highlight w:val="none"/>
        </w:rPr>
        <w:t>（是/否）需要支付履约保证金。若需要支付履约保证金的，则：</w:t>
      </w:r>
    </w:p>
    <w:p w14:paraId="69BD0776">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1.4.1履约保证金的比例为合同金额的</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w:t>
      </w:r>
    </w:p>
    <w:p w14:paraId="4F95DF17">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1.4.2履约保证金支付方式详见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50C64ED">
      <w:pPr>
        <w:pStyle w:val="959"/>
        <w:spacing w:before="0" w:beforeAutospacing="0" w:after="0" w:afterAutospacing="0" w:line="360" w:lineRule="auto"/>
        <w:ind w:firstLine="480"/>
        <w:rPr>
          <w:rFonts w:hint="eastAsia" w:ascii="仿宋" w:eastAsia="仿宋" w:cs="仿宋"/>
          <w:color w:val="auto"/>
          <w:highlight w:val="none"/>
        </w:rPr>
      </w:pPr>
      <w:r>
        <w:rPr>
          <w:rFonts w:hint="eastAsia" w:ascii="仿宋" w:eastAsia="仿宋" w:cs="仿宋"/>
          <w:color w:val="auto"/>
          <w:highlight w:val="none"/>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903ADA0">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1.4.4甲方在项目验收结束后及时退还履约保证金。甲方在项目通过验收之日起</w:t>
      </w:r>
      <w:r>
        <w:rPr>
          <w:rFonts w:hint="eastAsia" w:ascii="仿宋" w:hAnsi="仿宋" w:eastAsia="仿宋" w:cs="仿宋"/>
          <w:color w:val="auto"/>
          <w:highlight w:val="none"/>
          <w:u w:val="single"/>
        </w:rPr>
        <w:t xml:space="preserve"> / </w:t>
      </w:r>
      <w:r>
        <w:rPr>
          <w:rFonts w:hint="eastAsia" w:ascii="仿宋" w:hAnsi="仿宋" w:eastAsia="仿宋" w:cs="仿宋"/>
          <w:color w:val="auto"/>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highlight w:val="none"/>
          <w:u w:val="single"/>
        </w:rPr>
        <w:t xml:space="preserve"> 0.05 </w:t>
      </w:r>
      <w:r>
        <w:rPr>
          <w:rFonts w:hint="eastAsia" w:ascii="仿宋" w:hAnsi="仿宋" w:eastAsia="仿宋" w:cs="仿宋"/>
          <w:color w:val="auto"/>
          <w:highlight w:val="none"/>
        </w:rPr>
        <w:t>%计算，最高限额为本合同履约保证金的</w:t>
      </w:r>
      <w:r>
        <w:rPr>
          <w:rFonts w:hint="eastAsia" w:ascii="仿宋" w:hAnsi="仿宋" w:eastAsia="仿宋" w:cs="仿宋"/>
          <w:color w:val="auto"/>
          <w:highlight w:val="none"/>
          <w:u w:val="single"/>
        </w:rPr>
        <w:t xml:space="preserve"> 20 </w:t>
      </w:r>
      <w:r>
        <w:rPr>
          <w:rFonts w:hint="eastAsia" w:ascii="仿宋" w:hAnsi="仿宋" w:eastAsia="仿宋" w:cs="仿宋"/>
          <w:color w:val="auto"/>
          <w:highlight w:val="none"/>
        </w:rPr>
        <w:t>%。</w:t>
      </w:r>
    </w:p>
    <w:p w14:paraId="67EA9C19">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27"/>
      <w:bookmarkEnd w:id="428"/>
      <w:bookmarkEnd w:id="429"/>
      <w:r>
        <w:rPr>
          <w:rFonts w:hint="eastAsia" w:ascii="仿宋" w:hAnsi="仿宋" w:eastAsia="仿宋" w:cs="仿宋"/>
          <w:b/>
          <w:color w:val="auto"/>
          <w:sz w:val="24"/>
          <w:highlight w:val="none"/>
        </w:rPr>
        <w:t>预付款</w:t>
      </w:r>
    </w:p>
    <w:p w14:paraId="671554E7">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否 </w:t>
      </w:r>
      <w:r>
        <w:rPr>
          <w:rFonts w:hint="eastAsia" w:ascii="仿宋" w:hAnsi="仿宋" w:eastAsia="仿宋" w:cs="仿宋"/>
          <w:color w:val="auto"/>
          <w:highlight w:val="none"/>
        </w:rPr>
        <w:t>（是/否）需要支付预付款。若需要支付预付款的，则：</w:t>
      </w:r>
    </w:p>
    <w:p w14:paraId="4EE67448">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1.5.1预付款比例、支付方式、时间详见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80F9825">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2C5562F">
      <w:pPr>
        <w:pStyle w:val="959"/>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A8B002C">
      <w:pPr>
        <w:pStyle w:val="959"/>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5D5F2334">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528DBB7">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1.6.2资金支付的方式、时间和条件详见</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14:paraId="7084A910">
      <w:pPr>
        <w:pStyle w:val="959"/>
        <w:spacing w:before="0" w:beforeAutospacing="0" w:after="0" w:afterAutospacing="0" w:line="360" w:lineRule="auto"/>
        <w:ind w:firstLine="480"/>
        <w:rPr>
          <w:rFonts w:hint="eastAsia" w:ascii="仿宋" w:hAnsi="仿宋" w:eastAsia="仿宋" w:cs="仿宋"/>
          <w:b/>
          <w:color w:val="auto"/>
          <w:highlight w:val="none"/>
        </w:rPr>
      </w:pPr>
      <w:r>
        <w:rPr>
          <w:rFonts w:hint="eastAsia" w:ascii="仿宋" w:hAnsi="仿宋" w:eastAsia="仿宋" w:cs="仿宋"/>
          <w:b/>
          <w:color w:val="auto"/>
          <w:highlight w:val="none"/>
        </w:rPr>
        <w:t>1.7履行期限、地点和方式</w:t>
      </w:r>
      <w:bookmarkEnd w:id="430"/>
      <w:bookmarkEnd w:id="431"/>
      <w:bookmarkEnd w:id="432"/>
      <w:bookmarkEnd w:id="433"/>
      <w:bookmarkEnd w:id="434"/>
    </w:p>
    <w:p w14:paraId="523C3FAF">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1.7.1服务交付（实施）的时间（期限）：</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14:paraId="433D8095">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1.7.2服务交付（实施）的地点（地域范围）：</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14:paraId="2931258A">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1.7.3服务交付（实施）的方式：</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bookmarkStart w:id="435" w:name="_Toc2375"/>
      <w:bookmarkStart w:id="436" w:name="_Toc3079"/>
      <w:bookmarkStart w:id="437" w:name="_Toc8586"/>
      <w:bookmarkStart w:id="438" w:name="_Toc24662"/>
      <w:bookmarkStart w:id="439" w:name="_Toc5698"/>
    </w:p>
    <w:p w14:paraId="4DA48B2C">
      <w:pPr>
        <w:pStyle w:val="959"/>
        <w:spacing w:before="0" w:beforeAutospacing="0" w:after="0" w:afterAutospacing="0" w:line="360" w:lineRule="auto"/>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1.7.4若服务涉及货物的，则货物的：</w:t>
      </w:r>
    </w:p>
    <w:p w14:paraId="2287B216">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1.7.4.1交付期限：详见</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14:paraId="45A3DF32">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1.7.4.2交付地点：</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14:paraId="34FD3FFC">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1.7.4.3交付方式：</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w:t>
      </w:r>
    </w:p>
    <w:p w14:paraId="14CDEBE2">
      <w:pPr>
        <w:pStyle w:val="959"/>
        <w:spacing w:before="0" w:beforeAutospacing="0" w:after="0" w:afterAutospacing="0" w:line="360" w:lineRule="auto"/>
        <w:ind w:firstLine="480"/>
        <w:rPr>
          <w:rFonts w:hint="eastAsia" w:ascii="仿宋" w:hAnsi="仿宋" w:eastAsia="仿宋" w:cs="仿宋"/>
          <w:b/>
          <w:color w:val="auto"/>
          <w:highlight w:val="none"/>
        </w:rPr>
      </w:pPr>
      <w:r>
        <w:rPr>
          <w:rFonts w:hint="eastAsia" w:ascii="仿宋" w:hAnsi="仿宋" w:eastAsia="仿宋" w:cs="仿宋"/>
          <w:b/>
          <w:color w:val="auto"/>
          <w:highlight w:val="none"/>
        </w:rPr>
        <w:t>1.8违约责任</w:t>
      </w:r>
      <w:bookmarkEnd w:id="435"/>
      <w:bookmarkEnd w:id="436"/>
      <w:bookmarkEnd w:id="437"/>
      <w:bookmarkEnd w:id="438"/>
      <w:bookmarkEnd w:id="439"/>
    </w:p>
    <w:p w14:paraId="0235594C">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1.8.1除不可抗力外，如果乙方没有按照本合同约定的期限、地点和方式交付服务成果或者实施服务，那么甲方可要求乙方支付违约金，迟延履行违约金按每迟延履行一日的应提供而未提供服务价格的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highlight w:val="none"/>
          <w:u w:val="single"/>
        </w:rPr>
        <w:t xml:space="preserve">0.05 </w:t>
      </w:r>
      <w:r>
        <w:rPr>
          <w:rFonts w:hint="eastAsia" w:ascii="仿宋" w:hAnsi="仿宋" w:eastAsia="仿宋" w:cs="仿宋"/>
          <w:color w:val="auto"/>
          <w:highlight w:val="none"/>
        </w:rPr>
        <w:t>%计算，最高限额为本合同总价的</w:t>
      </w:r>
      <w:r>
        <w:rPr>
          <w:rFonts w:hint="eastAsia" w:ascii="仿宋" w:hAnsi="仿宋" w:eastAsia="仿宋" w:cs="仿宋"/>
          <w:color w:val="auto"/>
          <w:highlight w:val="none"/>
          <w:u w:val="single"/>
        </w:rPr>
        <w:t xml:space="preserve">  20   </w:t>
      </w:r>
      <w:r>
        <w:rPr>
          <w:rFonts w:hint="eastAsia" w:ascii="仿宋" w:hAnsi="仿宋" w:eastAsia="仿宋" w:cs="仿宋"/>
          <w:color w:val="auto"/>
          <w:highlight w:val="none"/>
        </w:rPr>
        <w:t>%；迟延履行的违约金计算数额达到前述最高限额之日起，甲方有权在要求乙方支付违约金的同时，书面通知乙方解除本合同；</w:t>
      </w:r>
    </w:p>
    <w:p w14:paraId="6072E2D1">
      <w:pPr>
        <w:pStyle w:val="959"/>
        <w:spacing w:before="0" w:beforeAutospacing="0" w:after="0" w:afterAutospacing="0" w:line="360" w:lineRule="auto"/>
        <w:ind w:firstLine="480"/>
        <w:rPr>
          <w:rFonts w:hint="eastAsia" w:ascii="仿宋" w:eastAsia="仿宋" w:cs="仿宋"/>
          <w:color w:val="auto"/>
          <w:highlight w:val="none"/>
        </w:rPr>
      </w:pPr>
      <w:r>
        <w:rPr>
          <w:rFonts w:hint="eastAsia" w:ascii="仿宋" w:eastAsia="仿宋" w:cs="仿宋"/>
          <w:color w:val="auto"/>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color w:val="auto"/>
          <w:highlight w:val="none"/>
          <w:u w:val="single"/>
        </w:rPr>
        <w:t xml:space="preserve"> 0.05（可根据情况修改） </w:t>
      </w:r>
      <w:r>
        <w:rPr>
          <w:rFonts w:hint="eastAsia" w:ascii="仿宋" w:eastAsia="仿宋" w:cs="仿宋"/>
          <w:color w:val="auto"/>
          <w:highlight w:val="none"/>
        </w:rPr>
        <w:t>%计算，最高限额为本合同总价的</w:t>
      </w:r>
      <w:r>
        <w:rPr>
          <w:rFonts w:hint="eastAsia" w:ascii="仿宋" w:eastAsia="仿宋" w:cs="仿宋"/>
          <w:color w:val="auto"/>
          <w:highlight w:val="none"/>
          <w:u w:val="single"/>
        </w:rPr>
        <w:t xml:space="preserve"> 20 </w:t>
      </w:r>
      <w:r>
        <w:rPr>
          <w:rFonts w:hint="eastAsia" w:ascii="仿宋" w:eastAsia="仿宋" w:cs="仿宋"/>
          <w:color w:val="auto"/>
          <w:highlight w:val="none"/>
        </w:rPr>
        <w:t>%；迟延交付货物的违约金计算数额达到前述最高限额之日起，甲方有权在要求乙方支付违约金的同时，书面通知乙方解除本合同；</w:t>
      </w:r>
    </w:p>
    <w:p w14:paraId="52D34ECB">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highlight w:val="none"/>
          <w:u w:val="single"/>
        </w:rPr>
        <w:t xml:space="preserve"> 0.05 </w:t>
      </w:r>
      <w:r>
        <w:rPr>
          <w:rFonts w:hint="eastAsia" w:ascii="仿宋" w:hAnsi="仿宋" w:eastAsia="仿宋" w:cs="仿宋"/>
          <w:color w:val="auto"/>
          <w:highlight w:val="none"/>
        </w:rPr>
        <w:t>%计算，最高限额为本合同总价的</w:t>
      </w:r>
      <w:r>
        <w:rPr>
          <w:rFonts w:hint="eastAsia" w:ascii="仿宋" w:hAnsi="仿宋" w:eastAsia="仿宋" w:cs="仿宋"/>
          <w:color w:val="auto"/>
          <w:highlight w:val="none"/>
          <w:u w:val="single"/>
        </w:rPr>
        <w:t xml:space="preserve"> 20（可根据情况修改） </w:t>
      </w:r>
      <w:r>
        <w:rPr>
          <w:rFonts w:hint="eastAsia" w:ascii="仿宋" w:hAnsi="仿宋" w:eastAsia="仿宋" w:cs="仿宋"/>
          <w:color w:val="auto"/>
          <w:highlight w:val="none"/>
        </w:rPr>
        <w:t>%；迟延付款的违约金计算数额达到前述最高限额之日起，乙方有权在要求甲方支付违约金的同时，书面通知甲方解除本合同；</w:t>
      </w:r>
      <w:bookmarkStart w:id="440" w:name="_Toc9497"/>
      <w:bookmarkStart w:id="441" w:name="_Toc30329"/>
      <w:bookmarkStart w:id="442" w:name="_Toc18683"/>
      <w:bookmarkStart w:id="443" w:name="_Toc32454"/>
      <w:bookmarkStart w:id="444" w:name="_Toc26807"/>
    </w:p>
    <w:p w14:paraId="1560F156">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1.8.4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51AFE0B">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1.8.5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1FDE31F">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98342BB">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1.8.7违约责任</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另有约定的，从其约定。</w:t>
      </w:r>
      <w:bookmarkEnd w:id="440"/>
      <w:bookmarkEnd w:id="441"/>
      <w:bookmarkEnd w:id="442"/>
      <w:bookmarkEnd w:id="443"/>
      <w:bookmarkEnd w:id="444"/>
      <w:bookmarkStart w:id="445" w:name="_Toc15583"/>
      <w:bookmarkStart w:id="446" w:name="_Toc28375"/>
      <w:bookmarkStart w:id="447" w:name="_Toc16021"/>
    </w:p>
    <w:p w14:paraId="6F209B9E">
      <w:pPr>
        <w:pStyle w:val="959"/>
        <w:spacing w:before="0" w:beforeAutospacing="0" w:after="0" w:afterAutospacing="0" w:line="360" w:lineRule="auto"/>
        <w:ind w:firstLine="480"/>
        <w:rPr>
          <w:rFonts w:hint="eastAsia" w:ascii="仿宋" w:hAnsi="仿宋" w:eastAsia="仿宋" w:cs="仿宋"/>
          <w:b/>
          <w:color w:val="auto"/>
          <w:highlight w:val="none"/>
        </w:rPr>
      </w:pPr>
      <w:r>
        <w:rPr>
          <w:rFonts w:hint="eastAsia" w:ascii="仿宋" w:hAnsi="仿宋" w:eastAsia="仿宋" w:cs="仿宋"/>
          <w:b/>
          <w:color w:val="auto"/>
          <w:highlight w:val="none"/>
        </w:rPr>
        <w:t>1.9合同争议的解决</w:t>
      </w:r>
      <w:bookmarkEnd w:id="445"/>
      <w:bookmarkEnd w:id="446"/>
      <w:bookmarkEnd w:id="447"/>
    </w:p>
    <w:p w14:paraId="44BB5204">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highlight w:val="none"/>
          <w:u w:val="single"/>
        </w:rPr>
        <w:t xml:space="preserve"> 1.9.2 </w:t>
      </w:r>
      <w:r>
        <w:rPr>
          <w:rFonts w:hint="eastAsia" w:ascii="仿宋" w:hAnsi="仿宋" w:eastAsia="仿宋" w:cs="仿宋"/>
          <w:color w:val="auto"/>
          <w:highlight w:val="none"/>
        </w:rPr>
        <w:t>条款规定的方式解决：</w:t>
      </w:r>
    </w:p>
    <w:p w14:paraId="56F3A840">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1.9.1将争议提交</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仲裁委员会依申请仲裁时其现行有效的仲裁规则裁决；</w:t>
      </w:r>
    </w:p>
    <w:p w14:paraId="5FBDD437">
      <w:pPr>
        <w:pStyle w:val="959"/>
        <w:spacing w:before="0" w:beforeAutospacing="0" w:after="0" w:afterAutospacing="0" w:line="360" w:lineRule="auto"/>
        <w:ind w:firstLine="480"/>
        <w:rPr>
          <w:rFonts w:hint="eastAsia" w:ascii="仿宋" w:hAnsi="仿宋" w:eastAsia="仿宋" w:cs="仿宋"/>
          <w:b/>
          <w:color w:val="auto"/>
          <w:highlight w:val="none"/>
        </w:rPr>
      </w:pPr>
      <w:r>
        <w:rPr>
          <w:rFonts w:hint="eastAsia" w:ascii="仿宋" w:hAnsi="仿宋" w:eastAsia="仿宋" w:cs="仿宋"/>
          <w:color w:val="auto"/>
          <w:highlight w:val="none"/>
        </w:rPr>
        <w:t>1.9.2向</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人民法院起诉。</w:t>
      </w:r>
    </w:p>
    <w:p w14:paraId="6836810D">
      <w:pPr>
        <w:spacing w:line="560" w:lineRule="exact"/>
        <w:ind w:firstLine="482" w:firstLineChars="200"/>
        <w:outlineLvl w:val="0"/>
        <w:rPr>
          <w:rFonts w:hint="eastAsia" w:ascii="仿宋" w:hAnsi="仿宋" w:eastAsia="仿宋" w:cs="仿宋"/>
          <w:b/>
          <w:color w:val="auto"/>
          <w:sz w:val="24"/>
          <w:highlight w:val="none"/>
        </w:rPr>
      </w:pPr>
      <w:bookmarkStart w:id="448" w:name="_Toc11173"/>
      <w:bookmarkStart w:id="449" w:name="_Toc7245"/>
      <w:bookmarkStart w:id="450" w:name="_Toc15322"/>
      <w:r>
        <w:rPr>
          <w:rFonts w:hint="eastAsia" w:ascii="仿宋" w:hAnsi="仿宋" w:eastAsia="仿宋" w:cs="仿宋"/>
          <w:b/>
          <w:color w:val="auto"/>
          <w:sz w:val="24"/>
          <w:highlight w:val="none"/>
        </w:rPr>
        <w:t>2.0合同生效</w:t>
      </w:r>
      <w:bookmarkEnd w:id="448"/>
      <w:bookmarkEnd w:id="449"/>
      <w:bookmarkEnd w:id="450"/>
    </w:p>
    <w:p w14:paraId="6B2D5A0F">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4272543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17503EF7">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6C7AE4D7">
      <w:pPr>
        <w:autoSpaceDE w:val="0"/>
        <w:autoSpaceDN w:val="0"/>
        <w:spacing w:line="560" w:lineRule="exact"/>
        <w:rPr>
          <w:rFonts w:hint="eastAsia" w:ascii="仿宋" w:hAnsi="仿宋" w:eastAsia="仿宋" w:cs="仿宋"/>
          <w:color w:val="auto"/>
          <w:sz w:val="24"/>
          <w:highlight w:val="none"/>
          <w:lang w:val="zh-CN"/>
        </w:rPr>
      </w:pPr>
    </w:p>
    <w:p w14:paraId="19C2B8AD">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2AA33EC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5073A01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58A31961">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18BEDA6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1AB66B61">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513D5845">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25E0EB9F">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7CD71307">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0E571E64">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5776FB65">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2177EA65">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2789ABCB">
      <w:pPr>
        <w:pStyle w:val="701"/>
        <w:spacing w:line="560" w:lineRule="exact"/>
        <w:ind w:left="0" w:leftChars="0" w:firstLine="0" w:firstLineChars="0"/>
        <w:jc w:val="center"/>
        <w:rPr>
          <w:rFonts w:hint="eastAsia" w:ascii="仿宋" w:hAnsi="仿宋" w:eastAsia="仿宋" w:cs="仿宋"/>
          <w:b/>
          <w:color w:val="auto"/>
          <w:szCs w:val="24"/>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50E89ABA">
      <w:pPr>
        <w:pStyle w:val="701"/>
        <w:spacing w:line="560" w:lineRule="exact"/>
        <w:ind w:left="0" w:leftChars="0" w:firstLine="0" w:firstLineChars="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w:t>
      </w:r>
      <w:r>
        <w:rPr>
          <w:rFonts w:hint="eastAsia" w:ascii="仿宋" w:hAnsi="仿宋" w:eastAsia="仿宋" w:cs="仿宋"/>
          <w:b/>
          <w:color w:val="auto"/>
          <w:spacing w:val="242"/>
          <w:kern w:val="0"/>
          <w:szCs w:val="24"/>
          <w:highlight w:val="none"/>
          <w:fitText w:val="964" w:id="-982737152"/>
        </w:rPr>
        <w:t>分</w:t>
      </w:r>
      <w:r>
        <w:rPr>
          <w:rFonts w:hint="eastAsia" w:ascii="仿宋" w:hAnsi="仿宋" w:eastAsia="仿宋" w:cs="仿宋"/>
          <w:b/>
          <w:color w:val="auto"/>
          <w:spacing w:val="0"/>
          <w:kern w:val="0"/>
          <w:szCs w:val="24"/>
          <w:highlight w:val="none"/>
          <w:fitText w:val="964" w:id="-982737152"/>
        </w:rPr>
        <w:t>合</w:t>
      </w:r>
      <w:r>
        <w:rPr>
          <w:rFonts w:hint="eastAsia" w:ascii="仿宋" w:hAnsi="仿宋" w:eastAsia="仿宋" w:cs="仿宋"/>
          <w:b/>
          <w:color w:val="auto"/>
          <w:szCs w:val="24"/>
          <w:highlight w:val="none"/>
        </w:rPr>
        <w:t>同一般条款</w:t>
      </w:r>
    </w:p>
    <w:p w14:paraId="493E78FB">
      <w:pPr>
        <w:spacing w:line="560" w:lineRule="exact"/>
        <w:ind w:firstLine="482" w:firstLineChars="200"/>
        <w:outlineLvl w:val="0"/>
        <w:rPr>
          <w:rFonts w:hint="eastAsia" w:ascii="仿宋" w:hAnsi="仿宋" w:eastAsia="仿宋" w:cs="仿宋"/>
          <w:b/>
          <w:color w:val="auto"/>
          <w:sz w:val="24"/>
          <w:highlight w:val="none"/>
        </w:rPr>
      </w:pPr>
      <w:bookmarkStart w:id="451" w:name="_Toc31297"/>
      <w:bookmarkStart w:id="452" w:name="_Toc25079"/>
      <w:bookmarkStart w:id="453" w:name="_Toc5228"/>
      <w:bookmarkStart w:id="454" w:name="_Toc14021"/>
      <w:bookmarkStart w:id="455" w:name="_Toc19680"/>
      <w:r>
        <w:rPr>
          <w:rFonts w:hint="eastAsia" w:ascii="仿宋" w:hAnsi="仿宋" w:eastAsia="仿宋" w:cs="仿宋"/>
          <w:b/>
          <w:color w:val="auto"/>
          <w:sz w:val="24"/>
          <w:highlight w:val="none"/>
        </w:rPr>
        <w:t>2.1定义</w:t>
      </w:r>
      <w:bookmarkEnd w:id="451"/>
      <w:bookmarkEnd w:id="452"/>
      <w:bookmarkEnd w:id="453"/>
      <w:bookmarkEnd w:id="454"/>
      <w:bookmarkEnd w:id="455"/>
    </w:p>
    <w:p w14:paraId="032A4F2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0575A3A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2.1.1“合同”系指采购人和中标或成交供应商签订的载明双方当事人所达成的协议，并包括所有的附件、附录和构成合同的其他文件。</w:t>
      </w:r>
    </w:p>
    <w:p w14:paraId="0DFD528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2.1.2“合同价”系指根据合同约定，中标或成交供应商在完全履行合同义务后，采购人应支付给中标或成交供应商的价格。</w:t>
      </w:r>
    </w:p>
    <w:p w14:paraId="220A96B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2.1.3“服务”系指中标或成交供应商根据合同约定应向采购人履行的除货物和工程以外的其他政府采购对象，包括采购人自身需要的服务和向社会公众提供的公共服务。</w:t>
      </w:r>
    </w:p>
    <w:p w14:paraId="1210468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2.1.4“甲方”系指与中标或成交供应商签署合同的采购人；采购人委托采购代理机构代表其与乙方签订合同的，采购人的授权委托书作为合同附件。</w:t>
      </w:r>
    </w:p>
    <w:p w14:paraId="2F6C558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BE56FF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2.1.6“现场”系指合同约定提供服务的地点。</w:t>
      </w:r>
    </w:p>
    <w:p w14:paraId="13C83F15">
      <w:pPr>
        <w:spacing w:line="560" w:lineRule="exact"/>
        <w:ind w:firstLine="482" w:firstLineChars="200"/>
        <w:outlineLvl w:val="0"/>
        <w:rPr>
          <w:rFonts w:hint="eastAsia" w:ascii="仿宋" w:hAnsi="仿宋" w:eastAsia="仿宋" w:cs="仿宋"/>
          <w:b/>
          <w:color w:val="auto"/>
          <w:sz w:val="24"/>
          <w:highlight w:val="none"/>
        </w:rPr>
      </w:pPr>
      <w:bookmarkStart w:id="456" w:name="_Toc19539"/>
      <w:bookmarkStart w:id="457" w:name="_Toc16752"/>
      <w:bookmarkStart w:id="458" w:name="_Toc31402"/>
      <w:bookmarkStart w:id="459" w:name="_Toc3769"/>
      <w:bookmarkStart w:id="460" w:name="_Toc23289"/>
      <w:r>
        <w:rPr>
          <w:rFonts w:hint="eastAsia" w:ascii="仿宋" w:hAnsi="仿宋" w:eastAsia="仿宋" w:cs="仿宋"/>
          <w:b/>
          <w:color w:val="auto"/>
          <w:sz w:val="24"/>
          <w:highlight w:val="none"/>
        </w:rPr>
        <w:t>2.2技术规范</w:t>
      </w:r>
      <w:bookmarkEnd w:id="456"/>
      <w:bookmarkEnd w:id="457"/>
      <w:bookmarkEnd w:id="458"/>
      <w:bookmarkEnd w:id="459"/>
      <w:bookmarkEnd w:id="460"/>
    </w:p>
    <w:p w14:paraId="46A8743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1B91B95">
      <w:pPr>
        <w:spacing w:line="560" w:lineRule="exact"/>
        <w:ind w:firstLine="482" w:firstLineChars="200"/>
        <w:outlineLvl w:val="0"/>
        <w:rPr>
          <w:rFonts w:hint="eastAsia" w:ascii="仿宋" w:hAnsi="仿宋" w:eastAsia="仿宋" w:cs="仿宋"/>
          <w:b/>
          <w:color w:val="auto"/>
          <w:sz w:val="24"/>
          <w:highlight w:val="none"/>
        </w:rPr>
      </w:pPr>
      <w:bookmarkStart w:id="461" w:name="_Toc13673"/>
      <w:bookmarkStart w:id="462" w:name="_Toc9161"/>
      <w:bookmarkStart w:id="463" w:name="_Toc27945"/>
      <w:bookmarkStart w:id="464" w:name="_Toc12412"/>
      <w:bookmarkStart w:id="465" w:name="_Toc4133"/>
      <w:r>
        <w:rPr>
          <w:rFonts w:hint="eastAsia" w:ascii="仿宋" w:hAnsi="仿宋" w:eastAsia="仿宋" w:cs="仿宋"/>
          <w:b/>
          <w:color w:val="auto"/>
          <w:sz w:val="24"/>
          <w:highlight w:val="none"/>
        </w:rPr>
        <w:t>2.3知识产权</w:t>
      </w:r>
      <w:bookmarkEnd w:id="461"/>
      <w:bookmarkEnd w:id="462"/>
      <w:bookmarkEnd w:id="463"/>
      <w:bookmarkEnd w:id="464"/>
      <w:bookmarkEnd w:id="465"/>
    </w:p>
    <w:p w14:paraId="41DBAF3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76C844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5D024F8">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2.4履约检查和问题反馈</w:t>
      </w:r>
    </w:p>
    <w:p w14:paraId="201E441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73832C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2.4.2合同履行期间，甲方有权将履行过程中出现的问题反馈给乙方，双方当事人应以书面形式约定需要完善和改进的内容。</w:t>
      </w:r>
    </w:p>
    <w:p w14:paraId="6879BA07">
      <w:pPr>
        <w:spacing w:line="560" w:lineRule="exact"/>
        <w:ind w:firstLine="482" w:firstLineChars="200"/>
        <w:outlineLvl w:val="0"/>
        <w:rPr>
          <w:rFonts w:hint="eastAsia" w:ascii="仿宋" w:hAnsi="仿宋" w:eastAsia="仿宋" w:cs="仿宋"/>
          <w:b/>
          <w:color w:val="auto"/>
          <w:sz w:val="24"/>
          <w:highlight w:val="none"/>
        </w:rPr>
      </w:pPr>
      <w:bookmarkStart w:id="466" w:name="_Toc31233"/>
      <w:bookmarkStart w:id="467" w:name="_Toc26555"/>
      <w:bookmarkStart w:id="468" w:name="_Toc32670"/>
      <w:bookmarkStart w:id="469" w:name="_Toc15447"/>
      <w:bookmarkStart w:id="470" w:name="_Toc22011"/>
      <w:r>
        <w:rPr>
          <w:rFonts w:hint="eastAsia" w:ascii="仿宋" w:hAnsi="仿宋" w:eastAsia="仿宋" w:cs="仿宋"/>
          <w:b/>
          <w:color w:val="auto"/>
          <w:sz w:val="24"/>
          <w:highlight w:val="none"/>
        </w:rPr>
        <w:t>2.5结算方式和付款条件</w:t>
      </w:r>
      <w:bookmarkEnd w:id="466"/>
      <w:bookmarkEnd w:id="467"/>
      <w:bookmarkEnd w:id="468"/>
      <w:bookmarkEnd w:id="469"/>
      <w:bookmarkEnd w:id="470"/>
    </w:p>
    <w:p w14:paraId="65EAFC2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53A9D40">
      <w:pPr>
        <w:spacing w:line="560" w:lineRule="exact"/>
        <w:ind w:firstLine="482" w:firstLineChars="200"/>
        <w:outlineLvl w:val="0"/>
        <w:rPr>
          <w:rFonts w:hint="eastAsia" w:ascii="仿宋" w:hAnsi="仿宋" w:eastAsia="仿宋" w:cs="仿宋"/>
          <w:b/>
          <w:color w:val="auto"/>
          <w:sz w:val="24"/>
          <w:highlight w:val="none"/>
        </w:rPr>
      </w:pPr>
      <w:bookmarkStart w:id="471" w:name="_Toc16163"/>
      <w:bookmarkStart w:id="472" w:name="_Toc13154"/>
      <w:bookmarkStart w:id="473" w:name="_Toc13467"/>
      <w:bookmarkStart w:id="474" w:name="_Toc18990"/>
      <w:bookmarkStart w:id="475" w:name="_Toc30507"/>
      <w:r>
        <w:rPr>
          <w:rFonts w:hint="eastAsia" w:ascii="仿宋" w:hAnsi="仿宋" w:eastAsia="仿宋" w:cs="仿宋"/>
          <w:b/>
          <w:color w:val="auto"/>
          <w:sz w:val="24"/>
          <w:highlight w:val="none"/>
        </w:rPr>
        <w:t>2.6技术资料和保密义务</w:t>
      </w:r>
      <w:bookmarkEnd w:id="471"/>
      <w:bookmarkEnd w:id="472"/>
      <w:bookmarkEnd w:id="473"/>
      <w:bookmarkEnd w:id="474"/>
      <w:bookmarkEnd w:id="475"/>
    </w:p>
    <w:p w14:paraId="029EA42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2.6.1乙方有权依据合同约定和项目需要，向甲方了解有关情况，调阅有关资料等，甲方应予积极配合；</w:t>
      </w:r>
    </w:p>
    <w:p w14:paraId="5A0A1E4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2.6.2乙方有义务妥善保管和保护由甲方提供的前款信息和资料等；</w:t>
      </w:r>
    </w:p>
    <w:p w14:paraId="25ED267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3345640">
      <w:pPr>
        <w:spacing w:line="560" w:lineRule="exact"/>
        <w:ind w:firstLine="482" w:firstLineChars="200"/>
        <w:outlineLvl w:val="0"/>
        <w:rPr>
          <w:rFonts w:hint="eastAsia" w:ascii="仿宋" w:hAnsi="仿宋" w:eastAsia="仿宋" w:cs="仿宋"/>
          <w:b/>
          <w:color w:val="auto"/>
          <w:sz w:val="24"/>
          <w:highlight w:val="none"/>
        </w:rPr>
      </w:pPr>
      <w:bookmarkStart w:id="476" w:name="_Toc19069"/>
      <w:r>
        <w:rPr>
          <w:rFonts w:hint="eastAsia" w:ascii="仿宋" w:hAnsi="仿宋" w:eastAsia="仿宋" w:cs="仿宋"/>
          <w:b/>
          <w:color w:val="auto"/>
          <w:sz w:val="24"/>
          <w:highlight w:val="none"/>
        </w:rPr>
        <w:t>2.7质量保证</w:t>
      </w:r>
      <w:bookmarkEnd w:id="476"/>
    </w:p>
    <w:p w14:paraId="22603E6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2.7.1乙方应建立和完善履行合同的内部质量保证体系，并提供相关内部规章制度给甲方，以便甲方进行监督检查；</w:t>
      </w:r>
    </w:p>
    <w:p w14:paraId="15C5DB2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2.7.2乙方应保证履行合同的人员数量和素质、软件和硬件设备的配置、场地、环境和设施等满足全面履行合同的要求，并应接受甲方的监督检查。</w:t>
      </w:r>
    </w:p>
    <w:p w14:paraId="05B90A58">
      <w:pPr>
        <w:spacing w:line="560" w:lineRule="exact"/>
        <w:ind w:firstLine="482" w:firstLineChars="200"/>
        <w:outlineLvl w:val="0"/>
        <w:rPr>
          <w:rFonts w:hint="eastAsia" w:ascii="仿宋" w:hAnsi="仿宋" w:eastAsia="仿宋" w:cs="仿宋"/>
          <w:b/>
          <w:color w:val="auto"/>
          <w:sz w:val="24"/>
          <w:highlight w:val="none"/>
        </w:rPr>
      </w:pPr>
      <w:bookmarkStart w:id="477" w:name="_Toc22267"/>
      <w:r>
        <w:rPr>
          <w:rFonts w:hint="eastAsia" w:ascii="仿宋" w:hAnsi="仿宋" w:eastAsia="仿宋" w:cs="仿宋"/>
          <w:b/>
          <w:color w:val="auto"/>
          <w:sz w:val="24"/>
          <w:highlight w:val="none"/>
        </w:rPr>
        <w:t>2.8延迟履行</w:t>
      </w:r>
      <w:bookmarkEnd w:id="477"/>
    </w:p>
    <w:p w14:paraId="737A14F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352AE63B">
      <w:pPr>
        <w:spacing w:line="560" w:lineRule="exact"/>
        <w:ind w:firstLine="482" w:firstLineChars="200"/>
        <w:outlineLvl w:val="0"/>
        <w:rPr>
          <w:rFonts w:hint="eastAsia" w:ascii="仿宋" w:hAnsi="仿宋" w:eastAsia="仿宋" w:cs="仿宋"/>
          <w:b/>
          <w:color w:val="auto"/>
          <w:sz w:val="24"/>
          <w:highlight w:val="none"/>
        </w:rPr>
      </w:pPr>
      <w:bookmarkStart w:id="478" w:name="_Toc10611"/>
      <w:r>
        <w:rPr>
          <w:rFonts w:hint="eastAsia" w:ascii="仿宋" w:hAnsi="仿宋" w:eastAsia="仿宋" w:cs="仿宋"/>
          <w:b/>
          <w:color w:val="auto"/>
          <w:sz w:val="24"/>
          <w:highlight w:val="none"/>
        </w:rPr>
        <w:t>2.9合同变更</w:t>
      </w:r>
      <w:bookmarkEnd w:id="478"/>
    </w:p>
    <w:p w14:paraId="5FC3ABF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5661453">
      <w:pPr>
        <w:spacing w:line="560" w:lineRule="exact"/>
        <w:ind w:firstLine="482" w:firstLineChars="200"/>
        <w:outlineLvl w:val="0"/>
        <w:rPr>
          <w:rFonts w:hint="eastAsia" w:ascii="仿宋" w:hAnsi="仿宋" w:eastAsia="仿宋" w:cs="仿宋"/>
          <w:b/>
          <w:color w:val="auto"/>
          <w:sz w:val="24"/>
          <w:highlight w:val="none"/>
        </w:rPr>
      </w:pPr>
      <w:bookmarkStart w:id="479" w:name="_Toc10663"/>
      <w:bookmarkStart w:id="480" w:name="_Toc26689"/>
      <w:bookmarkStart w:id="481" w:name="_Toc21830"/>
      <w:bookmarkStart w:id="482" w:name="_Toc23368"/>
      <w:bookmarkStart w:id="483" w:name="_Toc42"/>
      <w:r>
        <w:rPr>
          <w:rFonts w:hint="eastAsia" w:ascii="仿宋" w:hAnsi="仿宋" w:eastAsia="仿宋" w:cs="仿宋"/>
          <w:b/>
          <w:color w:val="auto"/>
          <w:sz w:val="24"/>
          <w:highlight w:val="none"/>
        </w:rPr>
        <w:t>2.10合同转让和分包</w:t>
      </w:r>
      <w:bookmarkEnd w:id="479"/>
      <w:bookmarkEnd w:id="480"/>
      <w:bookmarkEnd w:id="481"/>
      <w:bookmarkEnd w:id="482"/>
      <w:bookmarkEnd w:id="483"/>
    </w:p>
    <w:p w14:paraId="72C509A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9511838">
      <w:pPr>
        <w:spacing w:line="560" w:lineRule="exact"/>
        <w:ind w:firstLine="482" w:firstLineChars="200"/>
        <w:outlineLvl w:val="0"/>
        <w:rPr>
          <w:rFonts w:hint="eastAsia" w:ascii="仿宋" w:hAnsi="仿宋" w:eastAsia="仿宋" w:cs="仿宋"/>
          <w:b/>
          <w:color w:val="auto"/>
          <w:sz w:val="24"/>
          <w:highlight w:val="none"/>
        </w:rPr>
      </w:pPr>
      <w:bookmarkStart w:id="484" w:name="_Toc14371"/>
      <w:bookmarkStart w:id="485" w:name="_Toc32494"/>
      <w:bookmarkStart w:id="486" w:name="_Toc26633"/>
      <w:bookmarkStart w:id="487" w:name="_Toc4720"/>
      <w:bookmarkStart w:id="488" w:name="_Toc25571"/>
      <w:r>
        <w:rPr>
          <w:rFonts w:hint="eastAsia" w:ascii="仿宋" w:hAnsi="仿宋" w:eastAsia="仿宋" w:cs="仿宋"/>
          <w:b/>
          <w:color w:val="auto"/>
          <w:sz w:val="24"/>
          <w:highlight w:val="none"/>
        </w:rPr>
        <w:t>2.11不可抗力</w:t>
      </w:r>
      <w:bookmarkEnd w:id="484"/>
      <w:bookmarkEnd w:id="485"/>
      <w:bookmarkEnd w:id="486"/>
      <w:bookmarkEnd w:id="487"/>
      <w:bookmarkEnd w:id="488"/>
    </w:p>
    <w:p w14:paraId="3A4C984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50BB3D9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2.11.2因不可抗力致使不能实现合同目的的，当事人可以解除合同；</w:t>
      </w:r>
    </w:p>
    <w:p w14:paraId="6A6C463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2CE8904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587F1556">
      <w:pPr>
        <w:spacing w:line="560" w:lineRule="exact"/>
        <w:ind w:firstLine="482" w:firstLineChars="200"/>
        <w:outlineLvl w:val="0"/>
        <w:rPr>
          <w:rFonts w:hint="eastAsia" w:ascii="仿宋" w:hAnsi="仿宋" w:eastAsia="仿宋" w:cs="仿宋"/>
          <w:b/>
          <w:color w:val="auto"/>
          <w:sz w:val="24"/>
          <w:highlight w:val="none"/>
        </w:rPr>
      </w:pPr>
      <w:bookmarkStart w:id="489" w:name="_Toc3638"/>
      <w:bookmarkStart w:id="490" w:name="_Toc25783"/>
      <w:bookmarkStart w:id="491" w:name="_Toc24465"/>
      <w:bookmarkStart w:id="492" w:name="_Toc14115"/>
      <w:bookmarkStart w:id="493" w:name="_Toc23854"/>
      <w:r>
        <w:rPr>
          <w:rFonts w:hint="eastAsia" w:ascii="仿宋" w:hAnsi="仿宋" w:eastAsia="仿宋" w:cs="仿宋"/>
          <w:b/>
          <w:color w:val="auto"/>
          <w:sz w:val="24"/>
          <w:highlight w:val="none"/>
        </w:rPr>
        <w:t>2.12税费</w:t>
      </w:r>
      <w:bookmarkEnd w:id="489"/>
      <w:bookmarkEnd w:id="490"/>
      <w:bookmarkEnd w:id="491"/>
      <w:bookmarkEnd w:id="492"/>
      <w:bookmarkEnd w:id="493"/>
    </w:p>
    <w:p w14:paraId="6BF2877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7E9112C9">
      <w:pPr>
        <w:spacing w:line="560" w:lineRule="exact"/>
        <w:ind w:firstLine="482" w:firstLineChars="200"/>
        <w:outlineLvl w:val="0"/>
        <w:rPr>
          <w:rFonts w:hint="eastAsia" w:ascii="仿宋" w:hAnsi="仿宋" w:eastAsia="仿宋" w:cs="仿宋"/>
          <w:b/>
          <w:color w:val="auto"/>
          <w:sz w:val="24"/>
          <w:highlight w:val="none"/>
        </w:rPr>
      </w:pPr>
      <w:bookmarkStart w:id="494" w:name="_Toc25525"/>
      <w:bookmarkStart w:id="495" w:name="_Toc26883"/>
      <w:bookmarkStart w:id="496" w:name="_Toc14814"/>
      <w:bookmarkStart w:id="497" w:name="_Toc30105"/>
      <w:bookmarkStart w:id="498" w:name="_Toc7315"/>
      <w:r>
        <w:rPr>
          <w:rFonts w:hint="eastAsia" w:ascii="仿宋" w:hAnsi="仿宋" w:eastAsia="仿宋" w:cs="仿宋"/>
          <w:b/>
          <w:color w:val="auto"/>
          <w:sz w:val="24"/>
          <w:highlight w:val="none"/>
        </w:rPr>
        <w:t>2.13乙方破产</w:t>
      </w:r>
      <w:bookmarkEnd w:id="494"/>
      <w:bookmarkEnd w:id="495"/>
      <w:bookmarkEnd w:id="496"/>
      <w:bookmarkEnd w:id="497"/>
      <w:bookmarkEnd w:id="498"/>
    </w:p>
    <w:p w14:paraId="087F636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58CA330">
      <w:pPr>
        <w:spacing w:line="560" w:lineRule="exact"/>
        <w:ind w:firstLine="482" w:firstLineChars="200"/>
        <w:outlineLvl w:val="0"/>
        <w:rPr>
          <w:rFonts w:hint="eastAsia" w:ascii="仿宋" w:hAnsi="仿宋" w:eastAsia="仿宋" w:cs="仿宋"/>
          <w:b/>
          <w:color w:val="auto"/>
          <w:sz w:val="24"/>
          <w:highlight w:val="none"/>
        </w:rPr>
      </w:pPr>
      <w:bookmarkStart w:id="499" w:name="_Toc1123"/>
      <w:bookmarkStart w:id="500" w:name="_Toc2016"/>
      <w:bookmarkStart w:id="501" w:name="_Toc23323"/>
      <w:r>
        <w:rPr>
          <w:rFonts w:hint="eastAsia" w:ascii="仿宋" w:hAnsi="仿宋" w:eastAsia="仿宋" w:cs="仿宋"/>
          <w:b/>
          <w:color w:val="auto"/>
          <w:sz w:val="24"/>
          <w:highlight w:val="none"/>
        </w:rPr>
        <w:t>2.14合同中止、终止</w:t>
      </w:r>
      <w:bookmarkEnd w:id="499"/>
      <w:bookmarkEnd w:id="500"/>
      <w:bookmarkEnd w:id="501"/>
    </w:p>
    <w:p w14:paraId="495DC03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2.14.1双方当事人不得擅自中止或者终止合同；</w:t>
      </w:r>
    </w:p>
    <w:p w14:paraId="4287185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F05F0C3">
      <w:pPr>
        <w:spacing w:line="560" w:lineRule="exact"/>
        <w:ind w:firstLine="482" w:firstLineChars="200"/>
        <w:outlineLvl w:val="0"/>
        <w:rPr>
          <w:rFonts w:hint="eastAsia" w:ascii="仿宋" w:hAnsi="仿宋" w:eastAsia="仿宋" w:cs="仿宋"/>
          <w:b/>
          <w:color w:val="auto"/>
          <w:sz w:val="24"/>
          <w:highlight w:val="none"/>
        </w:rPr>
      </w:pPr>
      <w:bookmarkStart w:id="502" w:name="_Toc14525"/>
      <w:bookmarkStart w:id="503" w:name="_Toc1969"/>
      <w:bookmarkStart w:id="504" w:name="_Toc17363"/>
      <w:r>
        <w:rPr>
          <w:rFonts w:hint="eastAsia" w:ascii="仿宋" w:hAnsi="仿宋" w:eastAsia="仿宋" w:cs="仿宋"/>
          <w:b/>
          <w:color w:val="auto"/>
          <w:sz w:val="24"/>
          <w:highlight w:val="none"/>
        </w:rPr>
        <w:t>2.15检验和验收</w:t>
      </w:r>
      <w:bookmarkEnd w:id="502"/>
      <w:bookmarkEnd w:id="503"/>
      <w:bookmarkEnd w:id="504"/>
    </w:p>
    <w:p w14:paraId="35BAD2EA">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6AA4663E">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D668CC0">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1CACA377">
      <w:pPr>
        <w:spacing w:line="560" w:lineRule="exact"/>
        <w:ind w:firstLine="482" w:firstLineChars="200"/>
        <w:outlineLvl w:val="0"/>
        <w:rPr>
          <w:rFonts w:hint="eastAsia" w:ascii="仿宋" w:hAnsi="仿宋" w:eastAsia="仿宋" w:cs="仿宋"/>
          <w:b/>
          <w:color w:val="auto"/>
          <w:sz w:val="24"/>
          <w:highlight w:val="none"/>
        </w:rPr>
      </w:pPr>
      <w:bookmarkStart w:id="505" w:name="_Toc25198"/>
      <w:bookmarkStart w:id="506" w:name="_Toc2308"/>
      <w:bookmarkStart w:id="507" w:name="_Toc9808"/>
      <w:bookmarkStart w:id="508" w:name="_Toc31892"/>
      <w:bookmarkStart w:id="509" w:name="_Toc12666"/>
      <w:r>
        <w:rPr>
          <w:rFonts w:hint="eastAsia" w:ascii="仿宋" w:hAnsi="仿宋" w:eastAsia="仿宋" w:cs="仿宋"/>
          <w:b/>
          <w:color w:val="auto"/>
          <w:sz w:val="24"/>
          <w:highlight w:val="none"/>
        </w:rPr>
        <w:t>2.16通知和送达</w:t>
      </w:r>
      <w:bookmarkEnd w:id="505"/>
      <w:bookmarkEnd w:id="506"/>
      <w:bookmarkEnd w:id="507"/>
      <w:bookmarkEnd w:id="508"/>
      <w:bookmarkEnd w:id="509"/>
    </w:p>
    <w:p w14:paraId="564881F3">
      <w:pPr>
        <w:spacing w:line="560" w:lineRule="exact"/>
        <w:ind w:firstLine="480" w:firstLineChars="200"/>
        <w:rPr>
          <w:rFonts w:hint="eastAsia" w:ascii="仿宋" w:hAnsi="仿宋" w:eastAsia="仿宋" w:cs="仿宋"/>
          <w:color w:val="auto"/>
          <w:sz w:val="24"/>
          <w:highlight w:val="none"/>
        </w:rPr>
      </w:pPr>
      <w:bookmarkStart w:id="510" w:name="_Toc18401"/>
      <w:bookmarkStart w:id="511" w:name="_Toc27674"/>
      <w:r>
        <w:rPr>
          <w:rFonts w:hint="eastAsia" w:ascii="仿宋" w:hAnsi="仿宋" w:eastAsia="仿宋" w:cs="仿宋"/>
          <w:color w:val="auto"/>
          <w:sz w:val="24"/>
          <w:highlight w:val="none"/>
        </w:rPr>
        <w:t>2.16.1任何一方因履行合同而以合同第一部分尾部所列明的传真或电子邮</w:t>
      </w:r>
    </w:p>
    <w:p w14:paraId="69C60B6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15527FB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10"/>
      <w:bookmarkEnd w:id="511"/>
    </w:p>
    <w:p w14:paraId="1181DBC9">
      <w:pPr>
        <w:spacing w:line="560" w:lineRule="exact"/>
        <w:ind w:firstLine="482" w:firstLineChars="200"/>
        <w:outlineLvl w:val="0"/>
        <w:rPr>
          <w:rFonts w:hint="eastAsia" w:ascii="仿宋" w:hAnsi="仿宋" w:eastAsia="仿宋" w:cs="仿宋"/>
          <w:b/>
          <w:color w:val="auto"/>
          <w:sz w:val="24"/>
          <w:highlight w:val="none"/>
        </w:rPr>
      </w:pPr>
      <w:bookmarkStart w:id="512" w:name="_Toc12254"/>
      <w:bookmarkStart w:id="513" w:name="_Toc27644"/>
      <w:bookmarkStart w:id="514" w:name="_Toc5063"/>
      <w:bookmarkStart w:id="515" w:name="_Toc28906"/>
      <w:bookmarkStart w:id="516" w:name="_Toc20808"/>
      <w:r>
        <w:rPr>
          <w:rFonts w:hint="eastAsia" w:ascii="仿宋" w:hAnsi="仿宋" w:eastAsia="仿宋" w:cs="仿宋"/>
          <w:b/>
          <w:color w:val="auto"/>
          <w:sz w:val="24"/>
          <w:highlight w:val="none"/>
        </w:rPr>
        <w:t>2.17合同使用的文字和适用的法律</w:t>
      </w:r>
      <w:bookmarkEnd w:id="512"/>
      <w:bookmarkEnd w:id="513"/>
      <w:bookmarkEnd w:id="514"/>
      <w:bookmarkEnd w:id="515"/>
      <w:bookmarkEnd w:id="516"/>
    </w:p>
    <w:p w14:paraId="4B03E4D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2.17.1合同使用汉语书就、变更和解释；</w:t>
      </w:r>
    </w:p>
    <w:p w14:paraId="0483473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2.17.2合同适用中华人民共和国法律。</w:t>
      </w:r>
    </w:p>
    <w:p w14:paraId="23326031">
      <w:pPr>
        <w:spacing w:line="560" w:lineRule="exact"/>
        <w:ind w:firstLine="482" w:firstLineChars="200"/>
        <w:outlineLvl w:val="0"/>
        <w:rPr>
          <w:rFonts w:hint="eastAsia" w:ascii="仿宋" w:hAnsi="仿宋" w:eastAsia="仿宋" w:cs="仿宋"/>
          <w:b/>
          <w:color w:val="auto"/>
          <w:sz w:val="24"/>
          <w:highlight w:val="none"/>
        </w:rPr>
      </w:pPr>
      <w:bookmarkStart w:id="517" w:name="_Toc18540"/>
      <w:bookmarkStart w:id="518" w:name="_Toc30599"/>
      <w:bookmarkStart w:id="519" w:name="_Toc4355"/>
      <w:r>
        <w:rPr>
          <w:rFonts w:hint="eastAsia" w:ascii="仿宋" w:hAnsi="仿宋" w:eastAsia="仿宋" w:cs="仿宋"/>
          <w:b/>
          <w:color w:val="auto"/>
          <w:sz w:val="24"/>
          <w:highlight w:val="none"/>
        </w:rPr>
        <w:t>2.18计量单位</w:t>
      </w:r>
      <w:bookmarkEnd w:id="517"/>
      <w:bookmarkEnd w:id="518"/>
      <w:bookmarkEnd w:id="519"/>
    </w:p>
    <w:p w14:paraId="2C9CB23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46FF9E5E">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53780BA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5C809D04">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r>
        <w:rPr>
          <w:rFonts w:hint="eastAsia" w:ascii="仿宋" w:hAnsi="仿宋" w:eastAsia="仿宋" w:cs="仿宋"/>
          <w:b/>
          <w:color w:val="auto"/>
          <w:sz w:val="24"/>
          <w:highlight w:val="none"/>
        </w:rPr>
        <w:t>第三部</w:t>
      </w:r>
      <w:r>
        <w:rPr>
          <w:rFonts w:hint="eastAsia" w:ascii="仿宋" w:hAnsi="仿宋" w:eastAsia="仿宋" w:cs="仿宋"/>
          <w:b/>
          <w:color w:val="auto"/>
          <w:spacing w:val="242"/>
          <w:kern w:val="0"/>
          <w:sz w:val="24"/>
          <w:highlight w:val="none"/>
          <w:fitText w:val="964" w:id="-982736896"/>
        </w:rPr>
        <w:t>分</w:t>
      </w:r>
      <w:r>
        <w:rPr>
          <w:rFonts w:hint="eastAsia" w:ascii="仿宋" w:hAnsi="仿宋" w:eastAsia="仿宋" w:cs="仿宋"/>
          <w:b/>
          <w:color w:val="auto"/>
          <w:spacing w:val="0"/>
          <w:kern w:val="0"/>
          <w:sz w:val="24"/>
          <w:highlight w:val="none"/>
          <w:fitText w:val="964" w:id="-982736896"/>
        </w:rPr>
        <w:t>合</w:t>
      </w:r>
      <w:r>
        <w:rPr>
          <w:rFonts w:hint="eastAsia" w:ascii="仿宋" w:hAnsi="仿宋" w:eastAsia="仿宋" w:cs="仿宋"/>
          <w:b/>
          <w:color w:val="auto"/>
          <w:sz w:val="24"/>
          <w:highlight w:val="none"/>
        </w:rPr>
        <w:t>同专用条款</w:t>
      </w:r>
    </w:p>
    <w:p w14:paraId="7531D232">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65497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5FD8B3B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vAlign w:val="center"/>
          </w:tcPr>
          <w:p w14:paraId="4A8D350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49758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E94DF7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4" w:type="pct"/>
            <w:vAlign w:val="center"/>
          </w:tcPr>
          <w:p w14:paraId="6AB389C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014ED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30141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4" w:type="pct"/>
            <w:vAlign w:val="center"/>
          </w:tcPr>
          <w:p w14:paraId="7982E984">
            <w:pPr>
              <w:spacing w:line="360" w:lineRule="auto"/>
              <w:rPr>
                <w:rFonts w:hint="eastAsia" w:ascii="仿宋" w:hAnsi="仿宋" w:eastAsia="仿宋" w:cs="仿宋"/>
                <w:color w:val="auto"/>
                <w:sz w:val="24"/>
                <w:highlight w:val="none"/>
              </w:rPr>
            </w:pPr>
            <w:r>
              <w:rPr>
                <w:rFonts w:hint="eastAsia" w:ascii="仿宋" w:hAnsi="仿宋" w:eastAsia="仿宋" w:cs="宋体"/>
                <w:bCs/>
                <w:color w:val="auto"/>
                <w:sz w:val="24"/>
                <w:highlight w:val="none"/>
              </w:rPr>
              <w:t>本项目不收取履约保证金</w:t>
            </w:r>
          </w:p>
        </w:tc>
      </w:tr>
      <w:tr w14:paraId="5D81E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65C12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1.5.1</w:t>
            </w:r>
          </w:p>
        </w:tc>
        <w:tc>
          <w:tcPr>
            <w:tcW w:w="4464" w:type="pct"/>
            <w:vAlign w:val="center"/>
          </w:tcPr>
          <w:p w14:paraId="3CEFE62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0EAD7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58649F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4" w:type="pct"/>
            <w:vAlign w:val="center"/>
          </w:tcPr>
          <w:p w14:paraId="3724AC1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4AF1F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18FD58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1.5.3</w:t>
            </w:r>
          </w:p>
        </w:tc>
        <w:tc>
          <w:tcPr>
            <w:tcW w:w="4464" w:type="pct"/>
            <w:vAlign w:val="center"/>
          </w:tcPr>
          <w:p w14:paraId="6754C38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672C4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E66FAA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4" w:type="pct"/>
            <w:vAlign w:val="center"/>
          </w:tcPr>
          <w:p w14:paraId="4F810E8C">
            <w:pPr>
              <w:pStyle w:val="24"/>
              <w:spacing w:line="360" w:lineRule="exact"/>
              <w:rPr>
                <w:rFonts w:hint="eastAsia" w:ascii="仿宋" w:hAnsi="仿宋" w:eastAsia="仿宋" w:cs="宋体"/>
                <w:bCs/>
                <w:color w:val="auto"/>
                <w:highlight w:val="none"/>
              </w:rPr>
            </w:pPr>
            <w:r>
              <w:rPr>
                <w:rFonts w:hint="eastAsia" w:ascii="仿宋" w:hAnsi="仿宋" w:eastAsia="仿宋" w:cs="宋体"/>
                <w:bCs/>
                <w:color w:val="auto"/>
                <w:highlight w:val="none"/>
              </w:rPr>
              <w:t>（1）预付款：本项目实施以人工投入为主，且甲方以按月结算方式向乙方支付服务费，根据“对乙方为大型企业的项目或者以人工投入为主且实行按月定期结算支付款项的项目，预付款可低于上述比例或者不约定预付款”之规定，甲方不约定预付款。</w:t>
            </w:r>
          </w:p>
          <w:p w14:paraId="0C5B4A2F">
            <w:pPr>
              <w:pStyle w:val="24"/>
              <w:spacing w:line="360" w:lineRule="exact"/>
              <w:rPr>
                <w:rFonts w:hint="eastAsia" w:ascii="仿宋" w:hAnsi="仿宋" w:eastAsia="仿宋" w:cs="宋体"/>
                <w:bCs/>
                <w:color w:val="auto"/>
                <w:highlight w:val="none"/>
              </w:rPr>
            </w:pPr>
            <w:r>
              <w:rPr>
                <w:rFonts w:hint="eastAsia" w:ascii="仿宋" w:hAnsi="仿宋" w:eastAsia="仿宋" w:cs="宋体"/>
                <w:bCs/>
                <w:color w:val="auto"/>
                <w:highlight w:val="none"/>
              </w:rPr>
              <w:t>（2）履约保证金：本项目不收取履约保证金。</w:t>
            </w:r>
          </w:p>
          <w:p w14:paraId="00C99E9F">
            <w:pPr>
              <w:pStyle w:val="24"/>
              <w:spacing w:line="360" w:lineRule="exact"/>
              <w:rPr>
                <w:rFonts w:hint="eastAsia" w:ascii="仿宋" w:hAnsi="仿宋" w:eastAsia="仿宋" w:cs="仿宋"/>
                <w:color w:val="auto"/>
                <w:highlight w:val="none"/>
              </w:rPr>
            </w:pPr>
            <w:r>
              <w:rPr>
                <w:rFonts w:hint="eastAsia" w:ascii="仿宋" w:hAnsi="仿宋" w:eastAsia="仿宋" w:cs="宋体"/>
                <w:bCs/>
                <w:color w:val="auto"/>
                <w:highlight w:val="none"/>
              </w:rPr>
              <w:t>（3）服务费用结算：按月结算，</w:t>
            </w:r>
            <w:r>
              <w:rPr>
                <w:rFonts w:hint="eastAsia" w:ascii="仿宋" w:hAnsi="仿宋" w:eastAsia="仿宋" w:cs="宋体"/>
                <w:bCs/>
                <w:color w:val="auto"/>
                <w:highlight w:val="none"/>
                <w:lang w:val="en-US" w:eastAsia="zh-CN"/>
              </w:rPr>
              <w:t>每月支付10万元服务费，甲方收到乙方开具的正规发票后，15个工作日内支付相关费用，剩余服务费用根据年度考核情况（年度考核以每月考核情况为基准评定，考核标准详见合同附件1），按实际考核结果支付（不得超过合同价款）。</w:t>
            </w:r>
          </w:p>
        </w:tc>
      </w:tr>
      <w:tr w14:paraId="4678C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9A47FC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4" w:type="pct"/>
            <w:vAlign w:val="center"/>
          </w:tcPr>
          <w:p w14:paraId="524A2E49">
            <w:pPr>
              <w:pStyle w:val="24"/>
              <w:spacing w:line="360" w:lineRule="exact"/>
              <w:rPr>
                <w:rFonts w:hint="eastAsia" w:ascii="仿宋" w:hAnsi="仿宋" w:eastAsia="仿宋" w:cs="仿宋"/>
                <w:color w:val="auto"/>
                <w:highlight w:val="none"/>
              </w:rPr>
            </w:pPr>
            <w:r>
              <w:rPr>
                <w:rFonts w:hint="eastAsia" w:ascii="仿宋" w:hAnsi="仿宋" w:eastAsia="仿宋" w:cs="宋体"/>
                <w:bCs/>
                <w:color w:val="auto"/>
                <w:highlight w:val="none"/>
              </w:rPr>
              <w:t>两年，合同一年一签，如遇项目场地搬迁造成项目服务期有所变动的另行协商确定；如遇政策调整等问题，或服务期内年末采购人组织对中标单位服务情况未通过综合考评，采购人有权提前终止合同。（即第一年度：202</w:t>
            </w:r>
            <w:r>
              <w:rPr>
                <w:rFonts w:hint="eastAsia" w:ascii="仿宋" w:hAnsi="仿宋" w:eastAsia="仿宋" w:cs="宋体"/>
                <w:bCs/>
                <w:color w:val="auto"/>
                <w:highlight w:val="none"/>
                <w:lang w:val="en-US" w:eastAsia="zh-CN"/>
              </w:rPr>
              <w:t>5</w:t>
            </w:r>
            <w:r>
              <w:rPr>
                <w:rFonts w:hint="eastAsia" w:ascii="仿宋" w:hAnsi="仿宋" w:eastAsia="仿宋" w:cs="宋体"/>
                <w:bCs/>
                <w:color w:val="auto"/>
                <w:highlight w:val="none"/>
              </w:rPr>
              <w:t>年  月  日至202</w:t>
            </w:r>
            <w:r>
              <w:rPr>
                <w:rFonts w:hint="eastAsia" w:ascii="仿宋" w:hAnsi="仿宋" w:eastAsia="仿宋" w:cs="宋体"/>
                <w:bCs/>
                <w:color w:val="auto"/>
                <w:highlight w:val="none"/>
                <w:lang w:val="en-US" w:eastAsia="zh-CN"/>
              </w:rPr>
              <w:t>6</w:t>
            </w:r>
            <w:r>
              <w:rPr>
                <w:rFonts w:hint="eastAsia" w:ascii="仿宋" w:hAnsi="仿宋" w:eastAsia="仿宋" w:cs="宋体"/>
                <w:bCs/>
                <w:color w:val="auto"/>
                <w:highlight w:val="none"/>
              </w:rPr>
              <w:t>年  月  日，第二年度：202</w:t>
            </w:r>
            <w:r>
              <w:rPr>
                <w:rFonts w:hint="eastAsia" w:ascii="仿宋" w:hAnsi="仿宋" w:eastAsia="仿宋" w:cs="宋体"/>
                <w:bCs/>
                <w:color w:val="auto"/>
                <w:highlight w:val="none"/>
                <w:lang w:val="en-US" w:eastAsia="zh-CN"/>
              </w:rPr>
              <w:t>6</w:t>
            </w:r>
            <w:r>
              <w:rPr>
                <w:rFonts w:hint="eastAsia" w:ascii="仿宋" w:hAnsi="仿宋" w:eastAsia="仿宋" w:cs="宋体"/>
                <w:bCs/>
                <w:color w:val="auto"/>
                <w:highlight w:val="none"/>
              </w:rPr>
              <w:t>年  月  日至202</w:t>
            </w:r>
            <w:r>
              <w:rPr>
                <w:rFonts w:hint="eastAsia" w:ascii="仿宋" w:hAnsi="仿宋" w:eastAsia="仿宋" w:cs="宋体"/>
                <w:bCs/>
                <w:color w:val="auto"/>
                <w:highlight w:val="none"/>
                <w:lang w:val="en-US" w:eastAsia="zh-CN"/>
              </w:rPr>
              <w:t>7</w:t>
            </w:r>
            <w:r>
              <w:rPr>
                <w:rFonts w:hint="eastAsia" w:ascii="仿宋" w:hAnsi="仿宋" w:eastAsia="仿宋" w:cs="宋体"/>
                <w:bCs/>
                <w:color w:val="auto"/>
                <w:highlight w:val="none"/>
              </w:rPr>
              <w:t>年  月  日，如执行第二年度需另行签订合同）</w:t>
            </w:r>
          </w:p>
        </w:tc>
      </w:tr>
      <w:tr w14:paraId="282D5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8F760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4" w:type="pct"/>
            <w:vAlign w:val="center"/>
          </w:tcPr>
          <w:p w14:paraId="3C645FB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杭州市上城区</w:t>
            </w:r>
          </w:p>
        </w:tc>
      </w:tr>
      <w:tr w14:paraId="1AF6E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49D1CD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4" w:type="pct"/>
            <w:vAlign w:val="center"/>
          </w:tcPr>
          <w:p w14:paraId="79D36F5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按项目服务要求及本响应文件服务内容提供服务</w:t>
            </w:r>
          </w:p>
        </w:tc>
      </w:tr>
      <w:tr w14:paraId="5543C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CF938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4464" w:type="pct"/>
            <w:vAlign w:val="center"/>
          </w:tcPr>
          <w:p w14:paraId="624A7BD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4D96A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5BE913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4464" w:type="pct"/>
            <w:vAlign w:val="center"/>
          </w:tcPr>
          <w:p w14:paraId="7843AE9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634F3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44541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4464" w:type="pct"/>
            <w:vAlign w:val="center"/>
          </w:tcPr>
          <w:p w14:paraId="4EC8C1D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57122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A3632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4" w:type="pct"/>
            <w:vAlign w:val="center"/>
          </w:tcPr>
          <w:p w14:paraId="69A8695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733AE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E04CF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4" w:type="pct"/>
            <w:vAlign w:val="center"/>
          </w:tcPr>
          <w:p w14:paraId="79C0B6E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杭州市</w:t>
            </w:r>
          </w:p>
        </w:tc>
      </w:tr>
      <w:tr w14:paraId="3D904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26DF8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4" w:type="pct"/>
            <w:vAlign w:val="center"/>
          </w:tcPr>
          <w:p w14:paraId="73EFE89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杭州市上城区</w:t>
            </w:r>
          </w:p>
        </w:tc>
      </w:tr>
      <w:tr w14:paraId="280BA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C8A4E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4" w:type="pct"/>
            <w:vAlign w:val="center"/>
          </w:tcPr>
          <w:p w14:paraId="6F71F24C">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4481E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B37BF9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4464" w:type="pct"/>
            <w:vAlign w:val="center"/>
          </w:tcPr>
          <w:p w14:paraId="0F434B05">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见1.6.2条款</w:t>
            </w:r>
          </w:p>
        </w:tc>
      </w:tr>
      <w:tr w14:paraId="7CF33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E9633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4464" w:type="pct"/>
            <w:vAlign w:val="center"/>
          </w:tcPr>
          <w:p w14:paraId="7BCF2F8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15个工作日</w:t>
            </w:r>
          </w:p>
        </w:tc>
      </w:tr>
      <w:tr w14:paraId="660D6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4941790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2.11.4</w:t>
            </w:r>
          </w:p>
        </w:tc>
        <w:tc>
          <w:tcPr>
            <w:tcW w:w="4464" w:type="pct"/>
          </w:tcPr>
          <w:p w14:paraId="3FEAD83A">
            <w:pPr>
              <w:spacing w:line="360" w:lineRule="auto"/>
              <w:rPr>
                <w:rFonts w:hint="eastAsia" w:ascii="仿宋" w:hAnsi="仿宋" w:eastAsia="仿宋" w:cs="仿宋"/>
                <w:color w:val="auto"/>
                <w:sz w:val="24"/>
                <w:highlight w:val="none"/>
              </w:rPr>
            </w:pPr>
            <w:r>
              <w:rPr>
                <w:rFonts w:ascii="Calibri" w:hAnsi="Calibri" w:eastAsia="仿宋" w:cs="仿宋"/>
                <w:color w:val="auto"/>
                <w:sz w:val="24"/>
                <w:highlight w:val="none"/>
              </w:rPr>
              <w:t>受不可抗力影响的一方在不可抗力发生后，应在</w:t>
            </w:r>
            <w:r>
              <w:rPr>
                <w:rFonts w:ascii="Calibri" w:hAnsi="Calibri" w:eastAsia="仿宋"/>
                <w:b/>
                <w:color w:val="auto"/>
                <w:sz w:val="24"/>
                <w:highlight w:val="none"/>
                <w:u w:val="single"/>
              </w:rPr>
              <w:t>7</w:t>
            </w:r>
            <w:r>
              <w:rPr>
                <w:rFonts w:hint="eastAsia" w:ascii="Calibri" w:hAnsi="Calibri" w:eastAsia="仿宋"/>
                <w:b/>
                <w:color w:val="auto"/>
                <w:sz w:val="24"/>
                <w:highlight w:val="none"/>
                <w:u w:val="single"/>
              </w:rPr>
              <w:t>个工作日</w:t>
            </w:r>
            <w:r>
              <w:rPr>
                <w:rFonts w:hint="eastAsia" w:ascii="Calibri" w:hAnsi="Calibri" w:eastAsia="仿宋" w:cs="仿宋"/>
                <w:color w:val="auto"/>
                <w:sz w:val="24"/>
                <w:highlight w:val="none"/>
              </w:rPr>
              <w:t>内以书面形式通知对方当事人，并在</w:t>
            </w:r>
            <w:r>
              <w:rPr>
                <w:rFonts w:ascii="Calibri" w:hAnsi="Calibri" w:eastAsia="仿宋"/>
                <w:b/>
                <w:color w:val="auto"/>
                <w:sz w:val="24"/>
                <w:highlight w:val="none"/>
                <w:u w:val="single"/>
              </w:rPr>
              <w:t>10个工作日</w:t>
            </w:r>
            <w:r>
              <w:rPr>
                <w:rFonts w:hint="eastAsia" w:ascii="Calibri" w:hAnsi="Calibri" w:eastAsia="仿宋" w:cs="仿宋"/>
                <w:color w:val="auto"/>
                <w:sz w:val="24"/>
                <w:highlight w:val="none"/>
              </w:rPr>
              <w:t>内，将有关部门出具的证明文件送达对方当事人。</w:t>
            </w:r>
          </w:p>
        </w:tc>
      </w:tr>
      <w:tr w14:paraId="1F0D0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B21D8D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4464" w:type="pct"/>
            <w:vAlign w:val="center"/>
          </w:tcPr>
          <w:p w14:paraId="3C6BA313">
            <w:pPr>
              <w:pStyle w:val="24"/>
              <w:spacing w:line="360" w:lineRule="exact"/>
              <w:rPr>
                <w:rFonts w:hint="eastAsia" w:ascii="仿宋" w:hAnsi="仿宋" w:eastAsia="仿宋" w:cs="宋体"/>
                <w:bCs/>
                <w:color w:val="auto"/>
                <w:highlight w:val="none"/>
              </w:rPr>
            </w:pPr>
            <w:r>
              <w:rPr>
                <w:rFonts w:ascii="仿宋" w:hAnsi="仿宋" w:eastAsia="仿宋" w:cs="宋体"/>
                <w:bCs/>
                <w:color w:val="auto"/>
                <w:highlight w:val="none"/>
              </w:rPr>
              <w:t>1．按照政府采购履约验收相关规定组织对供应商履约的验收。验收方成员应当在验收书上签字，并承担相应的法律责任。如果发现与合同中要求不符，供应商须承担由此发生的一切损失和费用，并接受相应的处理。</w:t>
            </w:r>
          </w:p>
          <w:p w14:paraId="290925E4">
            <w:pPr>
              <w:pStyle w:val="24"/>
              <w:spacing w:line="360" w:lineRule="exact"/>
              <w:rPr>
                <w:rFonts w:hint="eastAsia" w:ascii="仿宋" w:hAnsi="仿宋" w:eastAsia="仿宋" w:cs="宋体"/>
                <w:bCs/>
                <w:color w:val="auto"/>
                <w:highlight w:val="none"/>
              </w:rPr>
            </w:pPr>
            <w:r>
              <w:rPr>
                <w:rFonts w:ascii="仿宋" w:hAnsi="仿宋" w:eastAsia="仿宋" w:cs="宋体"/>
                <w:bCs/>
                <w:color w:val="auto"/>
                <w:highlight w:val="none"/>
              </w:rPr>
              <w:t>2．严格按照采购合同开展履约验收。按照采购合同的约定对供应商履约情况进行验收，验收时，按照采购合同的约定对每一项技术、服务、安全标准的履约情况进行确认，出具验收报告并经验收小组全体成员签字。</w:t>
            </w:r>
          </w:p>
          <w:p w14:paraId="1B181749">
            <w:pPr>
              <w:pStyle w:val="24"/>
              <w:spacing w:line="360" w:lineRule="exact"/>
              <w:rPr>
                <w:rFonts w:hint="eastAsia" w:ascii="仿宋" w:hAnsi="仿宋" w:eastAsia="仿宋" w:cs="宋体"/>
                <w:bCs/>
                <w:color w:val="auto"/>
                <w:highlight w:val="none"/>
              </w:rPr>
            </w:pPr>
            <w:r>
              <w:rPr>
                <w:rFonts w:ascii="仿宋" w:hAnsi="仿宋" w:eastAsia="仿宋" w:cs="宋体"/>
                <w:bCs/>
                <w:color w:val="auto"/>
                <w:highlight w:val="none"/>
              </w:rPr>
              <w:t>3．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5FD46EA3">
            <w:pPr>
              <w:pStyle w:val="24"/>
              <w:spacing w:line="360" w:lineRule="exact"/>
              <w:rPr>
                <w:rFonts w:hint="eastAsia" w:ascii="仿宋" w:hAnsi="仿宋" w:eastAsia="仿宋" w:cs="宋体"/>
                <w:bCs/>
                <w:color w:val="auto"/>
                <w:highlight w:val="none"/>
              </w:rPr>
            </w:pPr>
            <w:r>
              <w:rPr>
                <w:rFonts w:ascii="仿宋" w:hAnsi="仿宋" w:eastAsia="仿宋" w:cs="宋体"/>
                <w:bCs/>
                <w:color w:val="auto"/>
                <w:highlight w:val="none"/>
              </w:rPr>
              <w:t>4．验收产生的费用</w:t>
            </w:r>
            <w:r>
              <w:rPr>
                <w:rFonts w:hint="eastAsia" w:ascii="仿宋" w:hAnsi="仿宋" w:eastAsia="仿宋" w:cs="宋体"/>
                <w:bCs/>
                <w:color w:val="auto"/>
                <w:highlight w:val="none"/>
              </w:rPr>
              <w:t>：</w:t>
            </w:r>
            <w:r>
              <w:rPr>
                <w:rFonts w:ascii="仿宋" w:hAnsi="仿宋" w:eastAsia="仿宋" w:cs="宋体"/>
                <w:bCs/>
                <w:color w:val="auto"/>
                <w:highlight w:val="none"/>
              </w:rPr>
              <w:t>首次验收费用由采购人承担，如首次验收不合格，后续验收费用由中标人支付。</w:t>
            </w:r>
          </w:p>
          <w:p w14:paraId="0FBF7B47">
            <w:pPr>
              <w:pStyle w:val="24"/>
              <w:spacing w:line="360" w:lineRule="exact"/>
              <w:rPr>
                <w:rFonts w:hint="eastAsia" w:ascii="仿宋" w:hAnsi="仿宋" w:eastAsia="仿宋" w:cs="宋体"/>
                <w:bCs/>
                <w:color w:val="auto"/>
                <w:highlight w:val="none"/>
              </w:rPr>
            </w:pPr>
            <w:r>
              <w:rPr>
                <w:rFonts w:ascii="仿宋" w:hAnsi="仿宋" w:eastAsia="仿宋" w:cs="宋体"/>
                <w:bCs/>
                <w:color w:val="auto"/>
                <w:highlight w:val="none"/>
              </w:rPr>
              <w:t>5．验收内容及资料要求：</w:t>
            </w:r>
          </w:p>
          <w:p w14:paraId="3C4E0B95">
            <w:pPr>
              <w:pStyle w:val="24"/>
              <w:spacing w:line="360" w:lineRule="exact"/>
              <w:rPr>
                <w:rFonts w:hint="eastAsia" w:ascii="仿宋" w:hAnsi="仿宋" w:eastAsia="仿宋" w:cs="宋体"/>
                <w:bCs/>
                <w:color w:val="auto"/>
                <w:highlight w:val="none"/>
              </w:rPr>
            </w:pPr>
            <w:r>
              <w:rPr>
                <w:rFonts w:ascii="仿宋" w:hAnsi="仿宋" w:eastAsia="仿宋" w:cs="宋体"/>
                <w:bCs/>
                <w:color w:val="auto"/>
                <w:highlight w:val="none"/>
              </w:rPr>
              <w:t>根据采购文件确定的技术指标或者服务要求确定验收指标和标准。未进行相应约定的，应当符合国家强制性规定、政策要求、安全标准、行业或企业有关标准等。</w:t>
            </w:r>
          </w:p>
          <w:p w14:paraId="0E599750">
            <w:pPr>
              <w:pStyle w:val="24"/>
              <w:spacing w:line="360" w:lineRule="exact"/>
              <w:rPr>
                <w:rFonts w:hint="eastAsia" w:ascii="仿宋" w:hAnsi="仿宋" w:eastAsia="仿宋" w:cs="宋体"/>
                <w:bCs/>
                <w:color w:val="auto"/>
                <w:highlight w:val="none"/>
              </w:rPr>
            </w:pPr>
            <w:r>
              <w:rPr>
                <w:rFonts w:ascii="仿宋" w:hAnsi="仿宋" w:eastAsia="仿宋" w:cs="宋体"/>
                <w:bCs/>
                <w:color w:val="auto"/>
                <w:highlight w:val="none"/>
              </w:rPr>
              <w:t>5.1验收内容</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2538"/>
              <w:gridCol w:w="4848"/>
            </w:tblGrid>
            <w:tr w14:paraId="56F26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Align w:val="center"/>
                </w:tcPr>
                <w:p w14:paraId="5104913C">
                  <w:pPr>
                    <w:pStyle w:val="24"/>
                    <w:spacing w:line="360" w:lineRule="exact"/>
                    <w:ind w:firstLine="0" w:firstLineChars="0"/>
                    <w:jc w:val="center"/>
                    <w:rPr>
                      <w:rFonts w:hint="eastAsia" w:ascii="仿宋" w:hAnsi="仿宋" w:eastAsia="仿宋" w:cs="宋体"/>
                      <w:b/>
                      <w:color w:val="auto"/>
                      <w:highlight w:val="none"/>
                    </w:rPr>
                  </w:pPr>
                  <w:r>
                    <w:rPr>
                      <w:rFonts w:hint="eastAsia" w:ascii="仿宋" w:hAnsi="仿宋" w:eastAsia="仿宋" w:cs="宋体"/>
                      <w:b/>
                      <w:color w:val="auto"/>
                      <w:highlight w:val="none"/>
                    </w:rPr>
                    <w:t>序号</w:t>
                  </w:r>
                </w:p>
              </w:tc>
              <w:tc>
                <w:tcPr>
                  <w:tcW w:w="2538" w:type="dxa"/>
                  <w:vAlign w:val="center"/>
                </w:tcPr>
                <w:p w14:paraId="17B4BB82">
                  <w:pPr>
                    <w:pStyle w:val="24"/>
                    <w:spacing w:line="360" w:lineRule="exact"/>
                    <w:ind w:firstLine="0" w:firstLineChars="0"/>
                    <w:jc w:val="center"/>
                    <w:rPr>
                      <w:rFonts w:hint="eastAsia" w:ascii="仿宋" w:hAnsi="仿宋" w:eastAsia="仿宋" w:cs="宋体"/>
                      <w:b/>
                      <w:color w:val="auto"/>
                      <w:highlight w:val="none"/>
                    </w:rPr>
                  </w:pPr>
                  <w:r>
                    <w:rPr>
                      <w:rFonts w:ascii="仿宋" w:hAnsi="仿宋" w:eastAsia="仿宋" w:cs="宋体"/>
                      <w:b/>
                      <w:color w:val="auto"/>
                      <w:highlight w:val="none"/>
                    </w:rPr>
                    <w:t>验收内容</w:t>
                  </w:r>
                </w:p>
              </w:tc>
              <w:tc>
                <w:tcPr>
                  <w:tcW w:w="4848" w:type="dxa"/>
                  <w:vAlign w:val="center"/>
                </w:tcPr>
                <w:p w14:paraId="2070783E">
                  <w:pPr>
                    <w:pStyle w:val="24"/>
                    <w:spacing w:line="360" w:lineRule="exact"/>
                    <w:ind w:firstLine="0" w:firstLineChars="0"/>
                    <w:jc w:val="center"/>
                    <w:rPr>
                      <w:rFonts w:hint="eastAsia" w:ascii="仿宋" w:hAnsi="仿宋" w:eastAsia="仿宋" w:cs="宋体"/>
                      <w:b/>
                      <w:color w:val="auto"/>
                      <w:highlight w:val="none"/>
                    </w:rPr>
                  </w:pPr>
                  <w:r>
                    <w:rPr>
                      <w:rFonts w:ascii="仿宋" w:hAnsi="仿宋" w:eastAsia="仿宋" w:cs="宋体"/>
                      <w:b/>
                      <w:color w:val="auto"/>
                      <w:highlight w:val="none"/>
                    </w:rPr>
                    <w:t>验收标准</w:t>
                  </w:r>
                </w:p>
              </w:tc>
            </w:tr>
            <w:tr w14:paraId="6A584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Align w:val="center"/>
                </w:tcPr>
                <w:p w14:paraId="74FE8511">
                  <w:pPr>
                    <w:pStyle w:val="24"/>
                    <w:spacing w:line="360" w:lineRule="exact"/>
                    <w:ind w:firstLine="0" w:firstLineChars="0"/>
                    <w:jc w:val="center"/>
                    <w:rPr>
                      <w:rFonts w:hint="eastAsia" w:ascii="仿宋" w:hAnsi="仿宋" w:eastAsia="仿宋" w:cs="宋体"/>
                      <w:bCs/>
                      <w:color w:val="auto"/>
                      <w:highlight w:val="none"/>
                    </w:rPr>
                  </w:pPr>
                  <w:r>
                    <w:rPr>
                      <w:rFonts w:hint="eastAsia" w:ascii="仿宋" w:hAnsi="仿宋" w:eastAsia="仿宋" w:cs="宋体"/>
                      <w:bCs/>
                      <w:color w:val="auto"/>
                      <w:highlight w:val="none"/>
                    </w:rPr>
                    <w:t>1</w:t>
                  </w:r>
                </w:p>
              </w:tc>
              <w:tc>
                <w:tcPr>
                  <w:tcW w:w="2538" w:type="dxa"/>
                  <w:vAlign w:val="center"/>
                </w:tcPr>
                <w:p w14:paraId="7554C99C">
                  <w:pPr>
                    <w:pStyle w:val="24"/>
                    <w:spacing w:line="360" w:lineRule="exact"/>
                    <w:ind w:firstLine="0" w:firstLineChars="0"/>
                    <w:jc w:val="center"/>
                    <w:rPr>
                      <w:rFonts w:hint="eastAsia" w:ascii="仿宋" w:hAnsi="仿宋" w:eastAsia="仿宋" w:cs="宋体"/>
                      <w:bCs/>
                      <w:color w:val="auto"/>
                      <w:highlight w:val="none"/>
                    </w:rPr>
                  </w:pPr>
                  <w:r>
                    <w:rPr>
                      <w:rFonts w:ascii="仿宋" w:hAnsi="仿宋" w:eastAsia="仿宋" w:cs="宋体"/>
                      <w:bCs/>
                      <w:color w:val="auto"/>
                      <w:highlight w:val="none"/>
                    </w:rPr>
                    <w:t>响应程度</w:t>
                  </w:r>
                </w:p>
              </w:tc>
              <w:tc>
                <w:tcPr>
                  <w:tcW w:w="4848" w:type="dxa"/>
                  <w:vAlign w:val="center"/>
                </w:tcPr>
                <w:p w14:paraId="36C3975A">
                  <w:pPr>
                    <w:pStyle w:val="24"/>
                    <w:spacing w:line="360" w:lineRule="exact"/>
                    <w:ind w:firstLine="0" w:firstLineChars="0"/>
                    <w:jc w:val="left"/>
                    <w:rPr>
                      <w:rFonts w:hint="eastAsia" w:ascii="仿宋" w:hAnsi="仿宋" w:eastAsia="仿宋" w:cs="宋体"/>
                      <w:bCs/>
                      <w:color w:val="auto"/>
                      <w:highlight w:val="none"/>
                    </w:rPr>
                  </w:pPr>
                  <w:r>
                    <w:rPr>
                      <w:rFonts w:hint="eastAsia" w:ascii="仿宋" w:hAnsi="仿宋" w:eastAsia="仿宋" w:cs="宋体"/>
                      <w:bCs/>
                      <w:color w:val="auto"/>
                      <w:highlight w:val="none"/>
                    </w:rPr>
                    <w:t>安保</w:t>
                  </w:r>
                  <w:r>
                    <w:rPr>
                      <w:rFonts w:ascii="仿宋" w:hAnsi="仿宋" w:eastAsia="仿宋" w:cs="宋体"/>
                      <w:bCs/>
                      <w:color w:val="auto"/>
                      <w:highlight w:val="none"/>
                    </w:rPr>
                    <w:t>队员标准、数量达到采购需求要求队伍训练的情况</w:t>
                  </w:r>
                </w:p>
              </w:tc>
            </w:tr>
            <w:tr w14:paraId="077E7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Align w:val="center"/>
                </w:tcPr>
                <w:p w14:paraId="706F250E">
                  <w:pPr>
                    <w:pStyle w:val="24"/>
                    <w:spacing w:line="360" w:lineRule="exact"/>
                    <w:ind w:firstLine="0" w:firstLineChars="0"/>
                    <w:jc w:val="center"/>
                    <w:rPr>
                      <w:rFonts w:hint="eastAsia" w:ascii="仿宋" w:hAnsi="仿宋" w:eastAsia="仿宋" w:cs="宋体"/>
                      <w:bCs/>
                      <w:color w:val="auto"/>
                      <w:highlight w:val="none"/>
                    </w:rPr>
                  </w:pPr>
                  <w:r>
                    <w:rPr>
                      <w:rFonts w:hint="eastAsia" w:ascii="仿宋" w:hAnsi="仿宋" w:eastAsia="仿宋" w:cs="宋体"/>
                      <w:bCs/>
                      <w:color w:val="auto"/>
                      <w:highlight w:val="none"/>
                    </w:rPr>
                    <w:t>2</w:t>
                  </w:r>
                </w:p>
              </w:tc>
              <w:tc>
                <w:tcPr>
                  <w:tcW w:w="2538" w:type="dxa"/>
                  <w:vAlign w:val="center"/>
                </w:tcPr>
                <w:p w14:paraId="59D427F0">
                  <w:pPr>
                    <w:pStyle w:val="24"/>
                    <w:spacing w:line="360" w:lineRule="exact"/>
                    <w:ind w:firstLine="0" w:firstLineChars="0"/>
                    <w:jc w:val="center"/>
                    <w:rPr>
                      <w:rFonts w:hint="eastAsia" w:ascii="仿宋" w:hAnsi="仿宋" w:eastAsia="仿宋" w:cs="宋体"/>
                      <w:bCs/>
                      <w:color w:val="auto"/>
                      <w:highlight w:val="none"/>
                    </w:rPr>
                  </w:pPr>
                  <w:r>
                    <w:rPr>
                      <w:rFonts w:ascii="仿宋" w:hAnsi="仿宋" w:eastAsia="仿宋" w:cs="宋体"/>
                      <w:bCs/>
                      <w:color w:val="auto"/>
                      <w:highlight w:val="none"/>
                    </w:rPr>
                    <w:t>服务满意度</w:t>
                  </w:r>
                </w:p>
              </w:tc>
              <w:tc>
                <w:tcPr>
                  <w:tcW w:w="4848" w:type="dxa"/>
                  <w:vAlign w:val="center"/>
                </w:tcPr>
                <w:p w14:paraId="0DE76258">
                  <w:pPr>
                    <w:pStyle w:val="24"/>
                    <w:spacing w:line="360" w:lineRule="exact"/>
                    <w:ind w:firstLine="0" w:firstLineChars="0"/>
                    <w:jc w:val="left"/>
                    <w:rPr>
                      <w:rFonts w:hint="eastAsia" w:ascii="仿宋" w:hAnsi="仿宋" w:eastAsia="仿宋" w:cs="宋体"/>
                      <w:bCs/>
                      <w:color w:val="auto"/>
                      <w:highlight w:val="none"/>
                    </w:rPr>
                  </w:pPr>
                  <w:r>
                    <w:rPr>
                      <w:rFonts w:ascii="仿宋" w:hAnsi="仿宋" w:eastAsia="仿宋" w:cs="宋体"/>
                      <w:bCs/>
                      <w:color w:val="auto"/>
                      <w:highlight w:val="none"/>
                    </w:rPr>
                    <w:t>管理部门对</w:t>
                  </w:r>
                  <w:r>
                    <w:rPr>
                      <w:rFonts w:hint="eastAsia" w:ascii="仿宋" w:hAnsi="仿宋" w:eastAsia="仿宋" w:cs="宋体"/>
                      <w:bCs/>
                      <w:color w:val="auto"/>
                      <w:highlight w:val="none"/>
                    </w:rPr>
                    <w:t>安保</w:t>
                  </w:r>
                  <w:r>
                    <w:rPr>
                      <w:rFonts w:ascii="仿宋" w:hAnsi="仿宋" w:eastAsia="仿宋" w:cs="宋体"/>
                      <w:bCs/>
                      <w:color w:val="auto"/>
                      <w:highlight w:val="none"/>
                    </w:rPr>
                    <w:t>队员日常训练、管理服务的满意度</w:t>
                  </w:r>
                </w:p>
              </w:tc>
            </w:tr>
            <w:tr w14:paraId="1F68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restart"/>
                  <w:vAlign w:val="center"/>
                </w:tcPr>
                <w:p w14:paraId="13F17B81">
                  <w:pPr>
                    <w:pStyle w:val="24"/>
                    <w:spacing w:line="360" w:lineRule="exact"/>
                    <w:ind w:firstLine="0" w:firstLineChars="0"/>
                    <w:jc w:val="center"/>
                    <w:rPr>
                      <w:rFonts w:hint="eastAsia" w:ascii="仿宋" w:hAnsi="仿宋" w:eastAsia="仿宋" w:cs="宋体"/>
                      <w:bCs/>
                      <w:color w:val="auto"/>
                      <w:highlight w:val="none"/>
                    </w:rPr>
                  </w:pPr>
                  <w:r>
                    <w:rPr>
                      <w:rFonts w:hint="eastAsia" w:ascii="仿宋" w:hAnsi="仿宋" w:eastAsia="仿宋" w:cs="宋体"/>
                      <w:bCs/>
                      <w:color w:val="auto"/>
                      <w:highlight w:val="none"/>
                    </w:rPr>
                    <w:t>3</w:t>
                  </w:r>
                </w:p>
              </w:tc>
              <w:tc>
                <w:tcPr>
                  <w:tcW w:w="2538" w:type="dxa"/>
                  <w:vMerge w:val="restart"/>
                  <w:vAlign w:val="center"/>
                </w:tcPr>
                <w:p w14:paraId="706846B4">
                  <w:pPr>
                    <w:pStyle w:val="24"/>
                    <w:spacing w:line="360" w:lineRule="exact"/>
                    <w:ind w:firstLine="0" w:firstLineChars="0"/>
                    <w:jc w:val="center"/>
                    <w:rPr>
                      <w:rFonts w:hint="eastAsia" w:ascii="仿宋" w:hAnsi="仿宋" w:eastAsia="仿宋" w:cs="宋体"/>
                      <w:bCs/>
                      <w:color w:val="auto"/>
                      <w:highlight w:val="none"/>
                    </w:rPr>
                  </w:pPr>
                  <w:r>
                    <w:rPr>
                      <w:rFonts w:ascii="仿宋" w:hAnsi="仿宋" w:eastAsia="仿宋" w:cs="宋体"/>
                      <w:bCs/>
                      <w:color w:val="auto"/>
                      <w:highlight w:val="none"/>
                    </w:rPr>
                    <w:t>服务质量</w:t>
                  </w:r>
                </w:p>
              </w:tc>
              <w:tc>
                <w:tcPr>
                  <w:tcW w:w="4848" w:type="dxa"/>
                  <w:vAlign w:val="center"/>
                </w:tcPr>
                <w:p w14:paraId="40881C1A">
                  <w:pPr>
                    <w:pStyle w:val="24"/>
                    <w:spacing w:line="360" w:lineRule="exact"/>
                    <w:ind w:firstLine="0" w:firstLineChars="0"/>
                    <w:jc w:val="left"/>
                    <w:rPr>
                      <w:rFonts w:hint="eastAsia" w:ascii="仿宋" w:hAnsi="仿宋" w:eastAsia="仿宋" w:cs="宋体"/>
                      <w:bCs/>
                      <w:color w:val="auto"/>
                      <w:highlight w:val="none"/>
                    </w:rPr>
                  </w:pPr>
                  <w:r>
                    <w:rPr>
                      <w:rFonts w:ascii="仿宋" w:hAnsi="仿宋" w:eastAsia="仿宋" w:cs="宋体"/>
                      <w:bCs/>
                      <w:color w:val="auto"/>
                      <w:highlight w:val="none"/>
                    </w:rPr>
                    <w:t>统一着装、统一管理、值班备勤情况</w:t>
                  </w:r>
                </w:p>
              </w:tc>
            </w:tr>
            <w:tr w14:paraId="358D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14:paraId="0483D81F">
                  <w:pPr>
                    <w:pStyle w:val="24"/>
                    <w:spacing w:line="360" w:lineRule="exact"/>
                    <w:ind w:firstLine="0" w:firstLineChars="0"/>
                    <w:jc w:val="center"/>
                    <w:rPr>
                      <w:rFonts w:hint="eastAsia" w:ascii="仿宋" w:hAnsi="仿宋" w:eastAsia="仿宋" w:cs="宋体"/>
                      <w:bCs/>
                      <w:color w:val="auto"/>
                      <w:highlight w:val="none"/>
                    </w:rPr>
                  </w:pPr>
                </w:p>
              </w:tc>
              <w:tc>
                <w:tcPr>
                  <w:tcW w:w="2538" w:type="dxa"/>
                  <w:vMerge w:val="continue"/>
                  <w:vAlign w:val="center"/>
                </w:tcPr>
                <w:p w14:paraId="716E3BEB">
                  <w:pPr>
                    <w:pStyle w:val="24"/>
                    <w:spacing w:line="360" w:lineRule="exact"/>
                    <w:ind w:firstLine="0" w:firstLineChars="0"/>
                    <w:jc w:val="center"/>
                    <w:rPr>
                      <w:rFonts w:hint="eastAsia" w:ascii="仿宋" w:hAnsi="仿宋" w:eastAsia="仿宋" w:cs="宋体"/>
                      <w:bCs/>
                      <w:color w:val="auto"/>
                      <w:highlight w:val="none"/>
                    </w:rPr>
                  </w:pPr>
                </w:p>
              </w:tc>
              <w:tc>
                <w:tcPr>
                  <w:tcW w:w="4848" w:type="dxa"/>
                  <w:vAlign w:val="center"/>
                </w:tcPr>
                <w:p w14:paraId="08FBD438">
                  <w:pPr>
                    <w:pStyle w:val="24"/>
                    <w:spacing w:line="360" w:lineRule="exact"/>
                    <w:ind w:firstLine="0" w:firstLineChars="0"/>
                    <w:jc w:val="left"/>
                    <w:rPr>
                      <w:rFonts w:hint="eastAsia" w:ascii="仿宋" w:hAnsi="仿宋" w:eastAsia="仿宋" w:cs="宋体"/>
                      <w:bCs/>
                      <w:color w:val="auto"/>
                      <w:highlight w:val="none"/>
                    </w:rPr>
                  </w:pPr>
                  <w:r>
                    <w:rPr>
                      <w:rFonts w:hint="eastAsia" w:ascii="仿宋" w:hAnsi="仿宋" w:eastAsia="仿宋" w:cs="宋体"/>
                      <w:bCs/>
                      <w:color w:val="auto"/>
                      <w:highlight w:val="none"/>
                    </w:rPr>
                    <w:t>安保</w:t>
                  </w:r>
                  <w:r>
                    <w:rPr>
                      <w:rFonts w:ascii="仿宋" w:hAnsi="仿宋" w:eastAsia="仿宋" w:cs="宋体"/>
                      <w:bCs/>
                      <w:color w:val="auto"/>
                      <w:highlight w:val="none"/>
                    </w:rPr>
                    <w:t>管理人员管理工作</w:t>
                  </w:r>
                </w:p>
              </w:tc>
            </w:tr>
            <w:tr w14:paraId="7B226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14:paraId="1303FA2D">
                  <w:pPr>
                    <w:pStyle w:val="24"/>
                    <w:spacing w:line="360" w:lineRule="exact"/>
                    <w:ind w:firstLine="0" w:firstLineChars="0"/>
                    <w:jc w:val="center"/>
                    <w:rPr>
                      <w:rFonts w:hint="eastAsia" w:ascii="仿宋" w:hAnsi="仿宋" w:eastAsia="仿宋" w:cs="宋体"/>
                      <w:bCs/>
                      <w:color w:val="auto"/>
                      <w:highlight w:val="none"/>
                    </w:rPr>
                  </w:pPr>
                </w:p>
              </w:tc>
              <w:tc>
                <w:tcPr>
                  <w:tcW w:w="2538" w:type="dxa"/>
                  <w:vMerge w:val="continue"/>
                  <w:vAlign w:val="center"/>
                </w:tcPr>
                <w:p w14:paraId="5EF5C7D3">
                  <w:pPr>
                    <w:pStyle w:val="24"/>
                    <w:spacing w:line="360" w:lineRule="exact"/>
                    <w:ind w:firstLine="0" w:firstLineChars="0"/>
                    <w:jc w:val="center"/>
                    <w:rPr>
                      <w:rFonts w:hint="eastAsia" w:ascii="仿宋" w:hAnsi="仿宋" w:eastAsia="仿宋" w:cs="宋体"/>
                      <w:bCs/>
                      <w:color w:val="auto"/>
                      <w:highlight w:val="none"/>
                    </w:rPr>
                  </w:pPr>
                </w:p>
              </w:tc>
              <w:tc>
                <w:tcPr>
                  <w:tcW w:w="4848" w:type="dxa"/>
                  <w:vAlign w:val="center"/>
                </w:tcPr>
                <w:p w14:paraId="35F5FFCF">
                  <w:pPr>
                    <w:pStyle w:val="24"/>
                    <w:spacing w:line="360" w:lineRule="exact"/>
                    <w:ind w:firstLine="0" w:firstLineChars="0"/>
                    <w:jc w:val="left"/>
                    <w:rPr>
                      <w:rFonts w:hint="eastAsia" w:ascii="仿宋" w:hAnsi="仿宋" w:eastAsia="仿宋" w:cs="宋体"/>
                      <w:bCs/>
                      <w:color w:val="auto"/>
                      <w:highlight w:val="none"/>
                    </w:rPr>
                  </w:pPr>
                  <w:r>
                    <w:rPr>
                      <w:rFonts w:ascii="仿宋" w:hAnsi="仿宋" w:eastAsia="仿宋" w:cs="宋体"/>
                      <w:bCs/>
                      <w:color w:val="auto"/>
                      <w:highlight w:val="none"/>
                    </w:rPr>
                    <w:t>处理应急突发事件情况</w:t>
                  </w:r>
                </w:p>
              </w:tc>
            </w:tr>
            <w:tr w14:paraId="76C5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restart"/>
                  <w:vAlign w:val="center"/>
                </w:tcPr>
                <w:p w14:paraId="71D23F95">
                  <w:pPr>
                    <w:pStyle w:val="24"/>
                    <w:spacing w:line="360" w:lineRule="exact"/>
                    <w:ind w:firstLine="0" w:firstLineChars="0"/>
                    <w:jc w:val="center"/>
                    <w:rPr>
                      <w:rFonts w:hint="eastAsia" w:ascii="仿宋" w:hAnsi="仿宋" w:eastAsia="仿宋" w:cs="宋体"/>
                      <w:bCs/>
                      <w:color w:val="auto"/>
                      <w:highlight w:val="none"/>
                    </w:rPr>
                  </w:pPr>
                  <w:r>
                    <w:rPr>
                      <w:rFonts w:hint="eastAsia" w:ascii="仿宋" w:hAnsi="仿宋" w:eastAsia="仿宋" w:cs="宋体"/>
                      <w:bCs/>
                      <w:color w:val="auto"/>
                      <w:highlight w:val="none"/>
                    </w:rPr>
                    <w:t>4</w:t>
                  </w:r>
                </w:p>
              </w:tc>
              <w:tc>
                <w:tcPr>
                  <w:tcW w:w="2538" w:type="dxa"/>
                  <w:vMerge w:val="restart"/>
                  <w:vAlign w:val="center"/>
                </w:tcPr>
                <w:p w14:paraId="57BB62CE">
                  <w:pPr>
                    <w:pStyle w:val="24"/>
                    <w:spacing w:line="360" w:lineRule="exact"/>
                    <w:ind w:firstLine="0" w:firstLineChars="0"/>
                    <w:jc w:val="center"/>
                    <w:rPr>
                      <w:rFonts w:hint="eastAsia" w:ascii="仿宋" w:hAnsi="仿宋" w:eastAsia="仿宋" w:cs="宋体"/>
                      <w:bCs/>
                      <w:color w:val="auto"/>
                      <w:highlight w:val="none"/>
                    </w:rPr>
                  </w:pPr>
                  <w:r>
                    <w:rPr>
                      <w:rFonts w:ascii="仿宋" w:hAnsi="仿宋" w:eastAsia="仿宋" w:cs="宋体"/>
                      <w:bCs/>
                      <w:color w:val="auto"/>
                      <w:highlight w:val="none"/>
                    </w:rPr>
                    <w:t>人员、装备等配备情况</w:t>
                  </w:r>
                </w:p>
              </w:tc>
              <w:tc>
                <w:tcPr>
                  <w:tcW w:w="4848" w:type="dxa"/>
                  <w:vAlign w:val="center"/>
                </w:tcPr>
                <w:p w14:paraId="10ADE225">
                  <w:pPr>
                    <w:pStyle w:val="24"/>
                    <w:spacing w:line="360" w:lineRule="exact"/>
                    <w:ind w:firstLine="0" w:firstLineChars="0"/>
                    <w:jc w:val="left"/>
                    <w:rPr>
                      <w:rFonts w:hint="eastAsia" w:ascii="仿宋" w:hAnsi="仿宋" w:eastAsia="仿宋" w:cs="宋体"/>
                      <w:bCs/>
                      <w:color w:val="auto"/>
                      <w:highlight w:val="none"/>
                    </w:rPr>
                  </w:pPr>
                  <w:r>
                    <w:rPr>
                      <w:rFonts w:ascii="仿宋" w:hAnsi="仿宋" w:eastAsia="仿宋" w:cs="宋体"/>
                      <w:bCs/>
                      <w:color w:val="auto"/>
                      <w:highlight w:val="none"/>
                    </w:rPr>
                    <w:t>人员按响应文件到位</w:t>
                  </w:r>
                </w:p>
              </w:tc>
            </w:tr>
            <w:tr w14:paraId="10795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14:paraId="3D8B4B75">
                  <w:pPr>
                    <w:pStyle w:val="24"/>
                    <w:spacing w:line="360" w:lineRule="exact"/>
                    <w:ind w:firstLine="0" w:firstLineChars="0"/>
                    <w:jc w:val="center"/>
                    <w:rPr>
                      <w:rFonts w:hint="eastAsia" w:ascii="仿宋" w:hAnsi="仿宋" w:eastAsia="仿宋" w:cs="宋体"/>
                      <w:bCs/>
                      <w:color w:val="auto"/>
                      <w:highlight w:val="none"/>
                    </w:rPr>
                  </w:pPr>
                </w:p>
              </w:tc>
              <w:tc>
                <w:tcPr>
                  <w:tcW w:w="2538" w:type="dxa"/>
                  <w:vMerge w:val="continue"/>
                  <w:vAlign w:val="center"/>
                </w:tcPr>
                <w:p w14:paraId="36D91A78">
                  <w:pPr>
                    <w:pStyle w:val="24"/>
                    <w:spacing w:line="360" w:lineRule="exact"/>
                    <w:ind w:firstLine="0" w:firstLineChars="0"/>
                    <w:jc w:val="center"/>
                    <w:rPr>
                      <w:rFonts w:hint="eastAsia" w:ascii="仿宋" w:hAnsi="仿宋" w:eastAsia="仿宋" w:cs="宋体"/>
                      <w:bCs/>
                      <w:color w:val="auto"/>
                      <w:highlight w:val="none"/>
                    </w:rPr>
                  </w:pPr>
                </w:p>
              </w:tc>
              <w:tc>
                <w:tcPr>
                  <w:tcW w:w="4848" w:type="dxa"/>
                  <w:vAlign w:val="center"/>
                </w:tcPr>
                <w:p w14:paraId="360AC96B">
                  <w:pPr>
                    <w:pStyle w:val="24"/>
                    <w:spacing w:line="360" w:lineRule="exact"/>
                    <w:ind w:firstLine="0" w:firstLineChars="0"/>
                    <w:jc w:val="left"/>
                    <w:rPr>
                      <w:rFonts w:hint="eastAsia" w:ascii="仿宋" w:hAnsi="仿宋" w:eastAsia="仿宋" w:cs="宋体"/>
                      <w:bCs/>
                      <w:color w:val="auto"/>
                      <w:highlight w:val="none"/>
                    </w:rPr>
                  </w:pPr>
                  <w:r>
                    <w:rPr>
                      <w:rFonts w:ascii="仿宋" w:hAnsi="仿宋" w:eastAsia="仿宋" w:cs="宋体"/>
                      <w:bCs/>
                      <w:color w:val="auto"/>
                      <w:highlight w:val="none"/>
                    </w:rPr>
                    <w:t>装备、服装按响应文件配备</w:t>
                  </w:r>
                </w:p>
              </w:tc>
            </w:tr>
            <w:tr w14:paraId="163B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97" w:type="dxa"/>
                  <w:vAlign w:val="center"/>
                </w:tcPr>
                <w:p w14:paraId="2EDC8FDD">
                  <w:pPr>
                    <w:pStyle w:val="24"/>
                    <w:spacing w:line="360" w:lineRule="exact"/>
                    <w:ind w:firstLine="0" w:firstLineChars="0"/>
                    <w:jc w:val="center"/>
                    <w:rPr>
                      <w:rFonts w:hint="eastAsia" w:ascii="仿宋" w:hAnsi="仿宋" w:eastAsia="仿宋" w:cs="宋体"/>
                      <w:bCs/>
                      <w:color w:val="auto"/>
                      <w:highlight w:val="none"/>
                    </w:rPr>
                  </w:pPr>
                  <w:r>
                    <w:rPr>
                      <w:rFonts w:hint="eastAsia" w:ascii="仿宋" w:hAnsi="仿宋" w:eastAsia="仿宋" w:cs="宋体"/>
                      <w:bCs/>
                      <w:color w:val="auto"/>
                      <w:highlight w:val="none"/>
                    </w:rPr>
                    <w:t>5</w:t>
                  </w:r>
                </w:p>
              </w:tc>
              <w:tc>
                <w:tcPr>
                  <w:tcW w:w="2538" w:type="dxa"/>
                  <w:vAlign w:val="center"/>
                </w:tcPr>
                <w:p w14:paraId="3D40EF4D">
                  <w:pPr>
                    <w:pStyle w:val="24"/>
                    <w:spacing w:line="360" w:lineRule="exact"/>
                    <w:ind w:firstLine="0" w:firstLineChars="0"/>
                    <w:jc w:val="center"/>
                    <w:rPr>
                      <w:rFonts w:hint="eastAsia" w:ascii="仿宋" w:hAnsi="仿宋" w:eastAsia="仿宋" w:cs="宋体"/>
                      <w:bCs/>
                      <w:color w:val="auto"/>
                      <w:highlight w:val="none"/>
                    </w:rPr>
                  </w:pPr>
                  <w:r>
                    <w:rPr>
                      <w:rFonts w:ascii="仿宋" w:hAnsi="仿宋" w:eastAsia="仿宋" w:cs="宋体"/>
                      <w:bCs/>
                      <w:color w:val="auto"/>
                      <w:highlight w:val="none"/>
                    </w:rPr>
                    <w:t>服务承诺实现</w:t>
                  </w:r>
                </w:p>
              </w:tc>
              <w:tc>
                <w:tcPr>
                  <w:tcW w:w="4848" w:type="dxa"/>
                  <w:vAlign w:val="center"/>
                </w:tcPr>
                <w:p w14:paraId="24033FF3">
                  <w:pPr>
                    <w:pStyle w:val="24"/>
                    <w:spacing w:line="360" w:lineRule="exact"/>
                    <w:ind w:firstLine="0" w:firstLineChars="0"/>
                    <w:jc w:val="left"/>
                    <w:rPr>
                      <w:rFonts w:hint="eastAsia" w:ascii="仿宋" w:hAnsi="仿宋" w:eastAsia="仿宋" w:cs="宋体"/>
                      <w:bCs/>
                      <w:color w:val="auto"/>
                      <w:highlight w:val="none"/>
                    </w:rPr>
                  </w:pPr>
                  <w:r>
                    <w:rPr>
                      <w:rFonts w:ascii="仿宋" w:hAnsi="仿宋" w:eastAsia="仿宋" w:cs="宋体"/>
                      <w:bCs/>
                      <w:color w:val="auto"/>
                      <w:highlight w:val="none"/>
                    </w:rPr>
                    <w:t>人员离职程序</w:t>
                  </w:r>
                </w:p>
              </w:tc>
            </w:tr>
            <w:tr w14:paraId="35A1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Align w:val="center"/>
                </w:tcPr>
                <w:p w14:paraId="703E5ED4">
                  <w:pPr>
                    <w:pStyle w:val="24"/>
                    <w:spacing w:line="360" w:lineRule="exact"/>
                    <w:ind w:firstLine="0" w:firstLineChars="0"/>
                    <w:jc w:val="center"/>
                    <w:rPr>
                      <w:rFonts w:hint="eastAsia" w:ascii="仿宋" w:hAnsi="仿宋" w:eastAsia="仿宋" w:cs="宋体"/>
                      <w:bCs/>
                      <w:color w:val="auto"/>
                      <w:highlight w:val="none"/>
                    </w:rPr>
                  </w:pPr>
                  <w:r>
                    <w:rPr>
                      <w:rFonts w:hint="eastAsia" w:ascii="仿宋" w:hAnsi="仿宋" w:eastAsia="仿宋" w:cs="宋体"/>
                      <w:bCs/>
                      <w:color w:val="auto"/>
                      <w:highlight w:val="none"/>
                    </w:rPr>
                    <w:t>6</w:t>
                  </w:r>
                </w:p>
              </w:tc>
              <w:tc>
                <w:tcPr>
                  <w:tcW w:w="2538" w:type="dxa"/>
                  <w:vAlign w:val="center"/>
                </w:tcPr>
                <w:p w14:paraId="41F26FCA">
                  <w:pPr>
                    <w:pStyle w:val="24"/>
                    <w:spacing w:line="360" w:lineRule="exact"/>
                    <w:ind w:firstLine="0" w:firstLineChars="0"/>
                    <w:jc w:val="center"/>
                    <w:rPr>
                      <w:rFonts w:hint="eastAsia" w:ascii="仿宋" w:hAnsi="仿宋" w:eastAsia="仿宋" w:cs="宋体"/>
                      <w:bCs/>
                      <w:color w:val="auto"/>
                      <w:highlight w:val="none"/>
                    </w:rPr>
                  </w:pPr>
                  <w:r>
                    <w:rPr>
                      <w:rFonts w:ascii="仿宋" w:hAnsi="仿宋" w:eastAsia="仿宋" w:cs="宋体"/>
                      <w:bCs/>
                      <w:color w:val="auto"/>
                      <w:highlight w:val="none"/>
                    </w:rPr>
                    <w:t>台账</w:t>
                  </w:r>
                </w:p>
              </w:tc>
              <w:tc>
                <w:tcPr>
                  <w:tcW w:w="4848" w:type="dxa"/>
                  <w:vAlign w:val="center"/>
                </w:tcPr>
                <w:p w14:paraId="16D258E0">
                  <w:pPr>
                    <w:pStyle w:val="24"/>
                    <w:spacing w:line="360" w:lineRule="exact"/>
                    <w:ind w:firstLine="0" w:firstLineChars="0"/>
                    <w:jc w:val="left"/>
                    <w:rPr>
                      <w:rFonts w:hint="eastAsia" w:ascii="仿宋" w:hAnsi="仿宋" w:eastAsia="仿宋" w:cs="宋体"/>
                      <w:bCs/>
                      <w:color w:val="auto"/>
                      <w:highlight w:val="none"/>
                    </w:rPr>
                  </w:pPr>
                  <w:r>
                    <w:rPr>
                      <w:rFonts w:ascii="仿宋" w:hAnsi="仿宋" w:eastAsia="仿宋" w:cs="宋体"/>
                      <w:bCs/>
                      <w:color w:val="auto"/>
                      <w:highlight w:val="none"/>
                    </w:rPr>
                    <w:t>根据工作安排制定的相关台账记录情况</w:t>
                  </w:r>
                </w:p>
              </w:tc>
            </w:tr>
            <w:tr w14:paraId="1F83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Align w:val="center"/>
                </w:tcPr>
                <w:p w14:paraId="16C62735">
                  <w:pPr>
                    <w:pStyle w:val="24"/>
                    <w:spacing w:line="360" w:lineRule="exact"/>
                    <w:ind w:firstLine="0" w:firstLineChars="0"/>
                    <w:jc w:val="center"/>
                    <w:rPr>
                      <w:rFonts w:hint="eastAsia" w:ascii="仿宋" w:hAnsi="仿宋" w:eastAsia="仿宋" w:cs="宋体"/>
                      <w:bCs/>
                      <w:color w:val="auto"/>
                      <w:highlight w:val="none"/>
                    </w:rPr>
                  </w:pPr>
                  <w:r>
                    <w:rPr>
                      <w:rFonts w:hint="eastAsia" w:ascii="仿宋" w:hAnsi="仿宋" w:eastAsia="仿宋" w:cs="宋体"/>
                      <w:bCs/>
                      <w:color w:val="auto"/>
                      <w:highlight w:val="none"/>
                    </w:rPr>
                    <w:t>7</w:t>
                  </w:r>
                </w:p>
              </w:tc>
              <w:tc>
                <w:tcPr>
                  <w:tcW w:w="2538" w:type="dxa"/>
                  <w:vAlign w:val="center"/>
                </w:tcPr>
                <w:p w14:paraId="45FA955F">
                  <w:pPr>
                    <w:pStyle w:val="24"/>
                    <w:spacing w:line="360" w:lineRule="exact"/>
                    <w:ind w:firstLine="0" w:firstLineChars="0"/>
                    <w:jc w:val="center"/>
                    <w:rPr>
                      <w:rFonts w:hint="eastAsia" w:ascii="仿宋" w:hAnsi="仿宋" w:eastAsia="仿宋" w:cs="宋体"/>
                      <w:bCs/>
                      <w:color w:val="auto"/>
                      <w:highlight w:val="none"/>
                    </w:rPr>
                  </w:pPr>
                  <w:r>
                    <w:rPr>
                      <w:rFonts w:ascii="仿宋" w:hAnsi="仿宋" w:eastAsia="仿宋" w:cs="宋体"/>
                      <w:bCs/>
                      <w:color w:val="auto"/>
                      <w:highlight w:val="none"/>
                    </w:rPr>
                    <w:t>其他工作</w:t>
                  </w:r>
                </w:p>
              </w:tc>
              <w:tc>
                <w:tcPr>
                  <w:tcW w:w="4848" w:type="dxa"/>
                  <w:vAlign w:val="center"/>
                </w:tcPr>
                <w:p w14:paraId="525A6104">
                  <w:pPr>
                    <w:pStyle w:val="24"/>
                    <w:spacing w:line="360" w:lineRule="exact"/>
                    <w:ind w:firstLine="0" w:firstLineChars="0"/>
                    <w:jc w:val="left"/>
                    <w:rPr>
                      <w:rFonts w:hint="eastAsia" w:ascii="仿宋" w:hAnsi="仿宋" w:eastAsia="仿宋" w:cs="宋体"/>
                      <w:bCs/>
                      <w:color w:val="auto"/>
                      <w:highlight w:val="none"/>
                    </w:rPr>
                  </w:pPr>
                  <w:r>
                    <w:rPr>
                      <w:rFonts w:ascii="仿宋" w:hAnsi="仿宋" w:eastAsia="仿宋" w:cs="宋体"/>
                      <w:bCs/>
                      <w:color w:val="auto"/>
                      <w:highlight w:val="none"/>
                    </w:rPr>
                    <w:t>履行项目采购文件、投标文件、合同条款中涉及的其他承诺</w:t>
                  </w:r>
                </w:p>
              </w:tc>
            </w:tr>
          </w:tbl>
          <w:p w14:paraId="61A48DE9">
            <w:pPr>
              <w:pStyle w:val="24"/>
              <w:spacing w:line="360" w:lineRule="exact"/>
              <w:rPr>
                <w:rFonts w:hint="eastAsia" w:ascii="仿宋" w:hAnsi="仿宋" w:eastAsia="仿宋" w:cs="宋体"/>
                <w:bCs/>
                <w:color w:val="auto"/>
                <w:highlight w:val="none"/>
              </w:rPr>
            </w:pPr>
            <w:r>
              <w:rPr>
                <w:rFonts w:ascii="仿宋" w:hAnsi="仿宋" w:eastAsia="仿宋" w:cs="宋体"/>
                <w:bCs/>
                <w:color w:val="auto"/>
                <w:highlight w:val="none"/>
              </w:rPr>
              <w:t>5.2验收资料要求</w:t>
            </w:r>
          </w:p>
          <w:p w14:paraId="1E7AE999">
            <w:pPr>
              <w:pStyle w:val="24"/>
              <w:spacing w:line="360" w:lineRule="exact"/>
              <w:rPr>
                <w:rFonts w:hint="eastAsia" w:ascii="仿宋" w:hAnsi="仿宋" w:eastAsia="仿宋" w:cs="宋体"/>
                <w:bCs/>
                <w:color w:val="auto"/>
                <w:highlight w:val="none"/>
              </w:rPr>
            </w:pPr>
            <w:r>
              <w:rPr>
                <w:rFonts w:ascii="仿宋" w:hAnsi="仿宋" w:eastAsia="仿宋" w:cs="宋体"/>
                <w:bCs/>
                <w:color w:val="auto"/>
                <w:highlight w:val="none"/>
              </w:rPr>
              <w:t>验收资料要求包括（不限于）以下内容：</w:t>
            </w:r>
          </w:p>
          <w:p w14:paraId="165FD8C6">
            <w:pPr>
              <w:pStyle w:val="24"/>
              <w:spacing w:line="360" w:lineRule="exact"/>
              <w:rPr>
                <w:rFonts w:hint="eastAsia" w:ascii="仿宋" w:hAnsi="仿宋" w:eastAsia="仿宋" w:cs="宋体"/>
                <w:bCs/>
                <w:color w:val="auto"/>
                <w:highlight w:val="none"/>
              </w:rPr>
            </w:pPr>
            <w:r>
              <w:rPr>
                <w:rFonts w:ascii="仿宋" w:hAnsi="仿宋" w:eastAsia="仿宋" w:cs="宋体"/>
                <w:bCs/>
                <w:color w:val="auto"/>
                <w:highlight w:val="none"/>
              </w:rPr>
              <w:t>（1）采购文件</w:t>
            </w:r>
          </w:p>
          <w:p w14:paraId="6E552685">
            <w:pPr>
              <w:pStyle w:val="24"/>
              <w:spacing w:line="360" w:lineRule="exact"/>
              <w:rPr>
                <w:rFonts w:hint="eastAsia" w:ascii="仿宋" w:hAnsi="仿宋" w:eastAsia="仿宋" w:cs="宋体"/>
                <w:bCs/>
                <w:color w:val="auto"/>
                <w:highlight w:val="none"/>
              </w:rPr>
            </w:pPr>
            <w:r>
              <w:rPr>
                <w:rFonts w:ascii="仿宋" w:hAnsi="仿宋" w:eastAsia="仿宋" w:cs="宋体"/>
                <w:bCs/>
                <w:color w:val="auto"/>
                <w:highlight w:val="none"/>
              </w:rPr>
              <w:t>（2）投标文件</w:t>
            </w:r>
          </w:p>
          <w:p w14:paraId="5F13B869">
            <w:pPr>
              <w:pStyle w:val="24"/>
              <w:spacing w:line="360" w:lineRule="exact"/>
              <w:rPr>
                <w:rFonts w:hint="eastAsia" w:ascii="仿宋" w:hAnsi="仿宋" w:eastAsia="仿宋" w:cs="宋体"/>
                <w:bCs/>
                <w:color w:val="auto"/>
                <w:highlight w:val="none"/>
              </w:rPr>
            </w:pPr>
            <w:r>
              <w:rPr>
                <w:rFonts w:ascii="仿宋" w:hAnsi="仿宋" w:eastAsia="仿宋" w:cs="宋体"/>
                <w:bCs/>
                <w:color w:val="auto"/>
                <w:highlight w:val="none"/>
              </w:rPr>
              <w:t>（3）采购合同</w:t>
            </w:r>
          </w:p>
          <w:p w14:paraId="5CE22371">
            <w:pPr>
              <w:pStyle w:val="24"/>
              <w:spacing w:line="360" w:lineRule="exact"/>
              <w:rPr>
                <w:rFonts w:hint="eastAsia" w:ascii="仿宋" w:hAnsi="仿宋" w:eastAsia="仿宋" w:cs="宋体"/>
                <w:bCs/>
                <w:color w:val="auto"/>
                <w:highlight w:val="none"/>
              </w:rPr>
            </w:pPr>
            <w:r>
              <w:rPr>
                <w:rFonts w:ascii="仿宋" w:hAnsi="仿宋" w:eastAsia="仿宋" w:cs="宋体"/>
                <w:bCs/>
                <w:color w:val="auto"/>
                <w:highlight w:val="none"/>
              </w:rPr>
              <w:t>（4）考核表：需采购人、经办人、审核人、中标人签字并盖章。</w:t>
            </w:r>
          </w:p>
          <w:p w14:paraId="4F62702C">
            <w:pPr>
              <w:pStyle w:val="24"/>
              <w:spacing w:line="360" w:lineRule="exact"/>
              <w:rPr>
                <w:rFonts w:hint="eastAsia" w:ascii="仿宋" w:hAnsi="仿宋" w:eastAsia="仿宋" w:cs="宋体"/>
                <w:bCs/>
                <w:color w:val="auto"/>
                <w:highlight w:val="none"/>
              </w:rPr>
            </w:pPr>
            <w:r>
              <w:rPr>
                <w:rFonts w:ascii="仿宋" w:hAnsi="仿宋" w:eastAsia="仿宋" w:cs="宋体"/>
                <w:bCs/>
                <w:color w:val="auto"/>
                <w:highlight w:val="none"/>
              </w:rPr>
              <w:t>（5）人员清单：项目实施人员明细清单。</w:t>
            </w:r>
          </w:p>
          <w:p w14:paraId="58F9E4D0">
            <w:pPr>
              <w:pStyle w:val="24"/>
              <w:spacing w:line="360" w:lineRule="exact"/>
              <w:rPr>
                <w:rFonts w:hint="eastAsia" w:ascii="仿宋" w:hAnsi="仿宋" w:eastAsia="仿宋" w:cs="宋体"/>
                <w:bCs/>
                <w:color w:val="auto"/>
                <w:highlight w:val="none"/>
              </w:rPr>
            </w:pPr>
            <w:r>
              <w:rPr>
                <w:rFonts w:ascii="仿宋" w:hAnsi="仿宋" w:eastAsia="仿宋" w:cs="宋体"/>
                <w:bCs/>
                <w:color w:val="auto"/>
                <w:highlight w:val="none"/>
              </w:rPr>
              <w:t>（6）每月人员社保缴纳清单：提供所有人员每月的社保缴纳清单。</w:t>
            </w:r>
          </w:p>
          <w:p w14:paraId="31D03281">
            <w:pPr>
              <w:pStyle w:val="24"/>
              <w:spacing w:line="360" w:lineRule="exact"/>
              <w:rPr>
                <w:rFonts w:hint="eastAsia" w:ascii="仿宋" w:hAnsi="仿宋" w:eastAsia="仿宋" w:cs="仿宋"/>
                <w:color w:val="auto"/>
                <w:highlight w:val="none"/>
              </w:rPr>
            </w:pPr>
            <w:r>
              <w:rPr>
                <w:rFonts w:ascii="仿宋" w:hAnsi="仿宋" w:eastAsia="仿宋" w:cs="宋体"/>
                <w:bCs/>
                <w:color w:val="auto"/>
                <w:highlight w:val="none"/>
              </w:rPr>
              <w:t>（</w:t>
            </w:r>
            <w:r>
              <w:rPr>
                <w:rFonts w:hint="eastAsia" w:ascii="仿宋" w:hAnsi="仿宋" w:eastAsia="仿宋" w:cs="宋体"/>
                <w:bCs/>
                <w:color w:val="auto"/>
                <w:highlight w:val="none"/>
                <w:lang w:val="en-US" w:eastAsia="zh-CN"/>
              </w:rPr>
              <w:t>7</w:t>
            </w:r>
            <w:r>
              <w:rPr>
                <w:rFonts w:ascii="仿宋" w:hAnsi="仿宋" w:eastAsia="仿宋" w:cs="宋体"/>
                <w:bCs/>
                <w:color w:val="auto"/>
                <w:highlight w:val="none"/>
              </w:rPr>
              <w:t>）其他需提供的相关材料。</w:t>
            </w:r>
          </w:p>
        </w:tc>
      </w:tr>
      <w:tr w14:paraId="61C03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9889A5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4464" w:type="pct"/>
            <w:vAlign w:val="center"/>
          </w:tcPr>
          <w:p w14:paraId="545AC0B6">
            <w:pPr>
              <w:tabs>
                <w:tab w:val="left" w:pos="0"/>
              </w:tabs>
              <w:spacing w:line="360" w:lineRule="auto"/>
              <w:rPr>
                <w:rFonts w:hint="eastAsia" w:ascii="仿宋" w:hAnsi="仿宋" w:eastAsia="仿宋" w:cs="仿宋"/>
                <w:color w:val="auto"/>
                <w:sz w:val="24"/>
                <w:highlight w:val="none"/>
                <w:lang w:eastAsia="zh-CN"/>
              </w:rPr>
            </w:pPr>
            <w:r>
              <w:rPr>
                <w:rFonts w:hint="eastAsia" w:ascii="仿宋" w:hAnsi="仿宋" w:eastAsia="仿宋" w:cs="宋体"/>
                <w:color w:val="auto"/>
                <w:sz w:val="24"/>
                <w:highlight w:val="none"/>
              </w:rPr>
              <w:t>冲突时，以较严格标准和要求执行。</w:t>
            </w:r>
          </w:p>
        </w:tc>
      </w:tr>
      <w:tr w14:paraId="2E97F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781E732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4464" w:type="pct"/>
          </w:tcPr>
          <w:p w14:paraId="33A35BA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本合同一式【陆】份，甲方执【叁】份，乙方执【叁】份</w:t>
            </w:r>
          </w:p>
        </w:tc>
      </w:tr>
    </w:tbl>
    <w:p w14:paraId="1CDF6270">
      <w:pPr>
        <w:widowControl/>
        <w:adjustRightInd/>
        <w:jc w:val="left"/>
        <w:rPr>
          <w:rFonts w:hint="eastAsia" w:ascii="仿宋" w:hAnsi="仿宋" w:eastAsia="仿宋" w:cs="仿宋"/>
          <w:b/>
          <w:color w:val="auto"/>
          <w:sz w:val="36"/>
          <w:szCs w:val="20"/>
          <w:highlight w:val="none"/>
          <w:lang w:val="en-US" w:eastAsia="zh-CN"/>
        </w:rPr>
      </w:pPr>
      <w:r>
        <w:rPr>
          <w:rFonts w:hint="eastAsia" w:ascii="仿宋" w:hAnsi="仿宋" w:eastAsia="仿宋" w:cs="仿宋"/>
          <w:b/>
          <w:color w:val="auto"/>
          <w:sz w:val="36"/>
          <w:szCs w:val="20"/>
          <w:highlight w:val="none"/>
          <w:lang w:val="en-US" w:eastAsia="zh-CN"/>
        </w:rPr>
        <w:br w:type="page"/>
      </w:r>
    </w:p>
    <w:p w14:paraId="4EF6BE96">
      <w:pPr>
        <w:widowControl/>
        <w:adjustRightInd/>
        <w:jc w:val="left"/>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合同附件1：</w:t>
      </w:r>
    </w:p>
    <w:tbl>
      <w:tblPr>
        <w:tblStyle w:val="62"/>
        <w:tblW w:w="9186"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9"/>
        <w:gridCol w:w="1257"/>
        <w:gridCol w:w="2855"/>
        <w:gridCol w:w="663"/>
        <w:gridCol w:w="1730"/>
        <w:gridCol w:w="880"/>
        <w:gridCol w:w="1302"/>
      </w:tblGrid>
      <w:tr w14:paraId="76439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D3814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41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098F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考核内容</w:t>
            </w:r>
          </w:p>
        </w:tc>
        <w:tc>
          <w:tcPr>
            <w:tcW w:w="663" w:type="dxa"/>
            <w:vMerge w:val="restart"/>
            <w:tcBorders>
              <w:top w:val="single" w:color="000000" w:sz="4" w:space="0"/>
              <w:left w:val="nil"/>
              <w:bottom w:val="single" w:color="000000" w:sz="4" w:space="0"/>
              <w:right w:val="single" w:color="000000" w:sz="4" w:space="0"/>
            </w:tcBorders>
            <w:shd w:val="clear" w:color="auto" w:fill="auto"/>
            <w:vAlign w:val="center"/>
          </w:tcPr>
          <w:p w14:paraId="23FB9BA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分数</w:t>
            </w:r>
          </w:p>
        </w:tc>
        <w:tc>
          <w:tcPr>
            <w:tcW w:w="39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76A1B2">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评分标准</w:t>
            </w:r>
          </w:p>
        </w:tc>
      </w:tr>
      <w:tr w14:paraId="3DB6E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AF400">
            <w:pPr>
              <w:jc w:val="center"/>
              <w:rPr>
                <w:rFonts w:hint="eastAsia" w:ascii="宋体" w:hAnsi="宋体" w:eastAsia="宋体" w:cs="宋体"/>
                <w:b/>
                <w:bCs/>
                <w:i w:val="0"/>
                <w:iCs w:val="0"/>
                <w:color w:val="auto"/>
                <w:sz w:val="24"/>
                <w:szCs w:val="24"/>
                <w:highlight w:val="none"/>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519F">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考核项目</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FA1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考核细则</w:t>
            </w:r>
          </w:p>
        </w:tc>
        <w:tc>
          <w:tcPr>
            <w:tcW w:w="663" w:type="dxa"/>
            <w:vMerge w:val="continue"/>
            <w:tcBorders>
              <w:top w:val="single" w:color="000000" w:sz="4" w:space="0"/>
              <w:left w:val="nil"/>
              <w:bottom w:val="single" w:color="000000" w:sz="4" w:space="0"/>
              <w:right w:val="single" w:color="000000" w:sz="4" w:space="0"/>
            </w:tcBorders>
            <w:shd w:val="clear" w:color="auto" w:fill="auto"/>
            <w:vAlign w:val="center"/>
          </w:tcPr>
          <w:p w14:paraId="37980B5B">
            <w:pPr>
              <w:jc w:val="center"/>
              <w:rPr>
                <w:rFonts w:hint="eastAsia" w:ascii="宋体" w:hAnsi="宋体" w:eastAsia="宋体" w:cs="宋体"/>
                <w:b/>
                <w:bCs/>
                <w:i w:val="0"/>
                <w:iCs w:val="0"/>
                <w:color w:val="auto"/>
                <w:sz w:val="22"/>
                <w:szCs w:val="22"/>
                <w:highlight w:val="none"/>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7AB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加1-10分</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CB6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100分</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4996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扣1-10分</w:t>
            </w:r>
          </w:p>
        </w:tc>
      </w:tr>
      <w:tr w14:paraId="5D3B3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DF9F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DC21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岗中纪律</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6B1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迟到、早退、擅自离岗、缺岗等情况，在岗期间睡觉、玩手机、嬉戏或做其他与岗位职责无关事项</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2659">
            <w:pPr>
              <w:rPr>
                <w:rFonts w:hint="eastAsia" w:ascii="宋体" w:hAnsi="宋体" w:eastAsia="宋体" w:cs="宋体"/>
                <w:i w:val="0"/>
                <w:iCs w:val="0"/>
                <w:color w:val="auto"/>
                <w:sz w:val="22"/>
                <w:szCs w:val="22"/>
                <w:highlight w:val="none"/>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1B5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连续两个月及以上无违反岗中纪律要求</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BB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纪律很好</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4F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经常违纪违规</w:t>
            </w:r>
          </w:p>
        </w:tc>
      </w:tr>
      <w:tr w14:paraId="7C949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D030">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462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警容警貌</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818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日常发型、着装、言行举止、装备佩戴等情况</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1BD9">
            <w:pPr>
              <w:rPr>
                <w:rFonts w:hint="eastAsia" w:ascii="宋体" w:hAnsi="宋体" w:eastAsia="宋体" w:cs="宋体"/>
                <w:i w:val="0"/>
                <w:iCs w:val="0"/>
                <w:color w:val="auto"/>
                <w:sz w:val="22"/>
                <w:szCs w:val="22"/>
                <w:highlight w:val="none"/>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0848">
            <w:pPr>
              <w:rPr>
                <w:rFonts w:hint="eastAsia" w:ascii="宋体" w:hAnsi="宋体" w:eastAsia="宋体" w:cs="宋体"/>
                <w:i w:val="0"/>
                <w:iCs w:val="0"/>
                <w:color w:val="auto"/>
                <w:sz w:val="20"/>
                <w:szCs w:val="20"/>
                <w:highlight w:val="none"/>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D8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达到要求</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9C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经常存在缺陷</w:t>
            </w:r>
          </w:p>
        </w:tc>
      </w:tr>
      <w:tr w14:paraId="7699A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FEF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D552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岗位职责</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D72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岗哨、巡逻等岗位相关工作职责落实情况</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10EC">
            <w:pPr>
              <w:rPr>
                <w:rFonts w:hint="eastAsia" w:ascii="宋体" w:hAnsi="宋体" w:eastAsia="宋体" w:cs="宋体"/>
                <w:i w:val="0"/>
                <w:iCs w:val="0"/>
                <w:color w:val="auto"/>
                <w:sz w:val="22"/>
                <w:szCs w:val="22"/>
                <w:highlight w:val="none"/>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091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落实得力，受到旅客或上级部门领导表扬</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58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按要求落实</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72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落实不到位甚至情节严重</w:t>
            </w:r>
          </w:p>
        </w:tc>
      </w:tr>
      <w:tr w14:paraId="4E18F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ED48">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2408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沟通交流</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514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日常对接沟通、问题解决、调整调动人员情况</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024C">
            <w:pPr>
              <w:rPr>
                <w:rFonts w:hint="eastAsia" w:ascii="宋体" w:hAnsi="宋体" w:eastAsia="宋体" w:cs="宋体"/>
                <w:i w:val="0"/>
                <w:iCs w:val="0"/>
                <w:color w:val="auto"/>
                <w:sz w:val="22"/>
                <w:szCs w:val="22"/>
                <w:highlight w:val="none"/>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A867">
            <w:pPr>
              <w:rPr>
                <w:rFonts w:hint="eastAsia" w:ascii="宋体" w:hAnsi="宋体" w:eastAsia="宋体" w:cs="宋体"/>
                <w:i w:val="0"/>
                <w:iCs w:val="0"/>
                <w:color w:val="auto"/>
                <w:sz w:val="20"/>
                <w:szCs w:val="20"/>
                <w:highlight w:val="none"/>
                <w:u w:val="none"/>
              </w:rPr>
            </w:pP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8097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及时响应并落实到位</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2218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未及时响应或很少响应</w:t>
            </w:r>
          </w:p>
        </w:tc>
      </w:tr>
      <w:tr w14:paraId="00602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C220B">
            <w:pPr>
              <w:jc w:val="center"/>
              <w:rPr>
                <w:rFonts w:hint="eastAsia" w:ascii="宋体" w:hAnsi="宋体" w:eastAsia="宋体" w:cs="宋体"/>
                <w:b/>
                <w:bCs/>
                <w:i w:val="0"/>
                <w:iCs w:val="0"/>
                <w:color w:val="auto"/>
                <w:sz w:val="22"/>
                <w:szCs w:val="22"/>
                <w:highlight w:val="none"/>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F65E">
            <w:pPr>
              <w:jc w:val="center"/>
              <w:rPr>
                <w:rFonts w:hint="eastAsia" w:ascii="宋体" w:hAnsi="宋体" w:eastAsia="宋体" w:cs="宋体"/>
                <w:b/>
                <w:bCs/>
                <w:i w:val="0"/>
                <w:iCs w:val="0"/>
                <w:color w:val="auto"/>
                <w:sz w:val="22"/>
                <w:szCs w:val="22"/>
                <w:highlight w:val="none"/>
                <w:u w:val="none"/>
              </w:rPr>
            </w:pPr>
          </w:p>
        </w:tc>
        <w:tc>
          <w:tcPr>
            <w:tcW w:w="2855" w:type="dxa"/>
            <w:tcBorders>
              <w:top w:val="single" w:color="000000" w:sz="4" w:space="0"/>
              <w:left w:val="single" w:color="000000" w:sz="4" w:space="0"/>
              <w:bottom w:val="single" w:color="000000" w:sz="4" w:space="0"/>
              <w:right w:val="nil"/>
            </w:tcBorders>
            <w:shd w:val="clear" w:color="auto" w:fill="auto"/>
            <w:vAlign w:val="center"/>
          </w:tcPr>
          <w:p w14:paraId="48E66D5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执勤期间全面掌握责任区安保工作情况，及时反馈现场信息，做好信息上传下达</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7D6C">
            <w:pPr>
              <w:rPr>
                <w:rFonts w:hint="eastAsia" w:ascii="宋体" w:hAnsi="宋体" w:eastAsia="宋体" w:cs="宋体"/>
                <w:i w:val="0"/>
                <w:iCs w:val="0"/>
                <w:color w:val="auto"/>
                <w:sz w:val="22"/>
                <w:szCs w:val="22"/>
                <w:highlight w:val="none"/>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11A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及时传达现场信息，事件得到快速处置或减少损失</w:t>
            </w: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63BB8">
            <w:pPr>
              <w:jc w:val="center"/>
              <w:rPr>
                <w:rFonts w:hint="eastAsia" w:ascii="宋体" w:hAnsi="宋体" w:eastAsia="宋体" w:cs="宋体"/>
                <w:i w:val="0"/>
                <w:iCs w:val="0"/>
                <w:color w:val="auto"/>
                <w:sz w:val="20"/>
                <w:szCs w:val="20"/>
                <w:highlight w:val="none"/>
                <w:u w:val="none"/>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3D7F2">
            <w:pPr>
              <w:jc w:val="center"/>
              <w:rPr>
                <w:rFonts w:hint="eastAsia" w:ascii="宋体" w:hAnsi="宋体" w:eastAsia="宋体" w:cs="宋体"/>
                <w:i w:val="0"/>
                <w:iCs w:val="0"/>
                <w:color w:val="auto"/>
                <w:sz w:val="20"/>
                <w:szCs w:val="20"/>
                <w:highlight w:val="none"/>
                <w:u w:val="none"/>
              </w:rPr>
            </w:pPr>
          </w:p>
        </w:tc>
      </w:tr>
      <w:tr w14:paraId="4D1CA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B50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5</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00B0">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培训工作</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540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军训、教育培训、技能体能训练、日常会议开展情况</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D608">
            <w:pPr>
              <w:rPr>
                <w:rFonts w:hint="eastAsia" w:ascii="宋体" w:hAnsi="宋体" w:eastAsia="宋体" w:cs="宋体"/>
                <w:i w:val="0"/>
                <w:iCs w:val="0"/>
                <w:color w:val="auto"/>
                <w:sz w:val="22"/>
                <w:szCs w:val="22"/>
                <w:highlight w:val="none"/>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0A4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训练后体能技能显著提升</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74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正常开展</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51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执行力低或长期训练后体技能未提升</w:t>
            </w:r>
          </w:p>
        </w:tc>
      </w:tr>
      <w:tr w14:paraId="38B80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499" w:type="dxa"/>
            <w:vMerge w:val="restart"/>
            <w:tcBorders>
              <w:top w:val="single" w:color="000000" w:sz="4" w:space="0"/>
              <w:left w:val="single" w:color="000000" w:sz="4" w:space="0"/>
              <w:bottom w:val="nil"/>
              <w:right w:val="single" w:color="000000" w:sz="4" w:space="0"/>
            </w:tcBorders>
            <w:shd w:val="clear" w:color="auto" w:fill="auto"/>
            <w:noWrap/>
            <w:vAlign w:val="center"/>
          </w:tcPr>
          <w:p w14:paraId="6C92A4F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6</w:t>
            </w:r>
          </w:p>
        </w:tc>
        <w:tc>
          <w:tcPr>
            <w:tcW w:w="1257" w:type="dxa"/>
            <w:vMerge w:val="restart"/>
            <w:tcBorders>
              <w:top w:val="single" w:color="000000" w:sz="4" w:space="0"/>
              <w:left w:val="single" w:color="000000" w:sz="4" w:space="0"/>
              <w:bottom w:val="nil"/>
              <w:right w:val="single" w:color="000000" w:sz="4" w:space="0"/>
            </w:tcBorders>
            <w:shd w:val="clear" w:color="auto" w:fill="auto"/>
            <w:vAlign w:val="center"/>
          </w:tcPr>
          <w:p w14:paraId="7CE8D0D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应急处置</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0E1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按突发事件工作流程处置各类突发事件并及时对突发事件应急处置情况进行总结</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1B51">
            <w:pPr>
              <w:rPr>
                <w:rFonts w:hint="eastAsia" w:ascii="宋体" w:hAnsi="宋体" w:eastAsia="宋体" w:cs="宋体"/>
                <w:i w:val="0"/>
                <w:iCs w:val="0"/>
                <w:color w:val="auto"/>
                <w:sz w:val="22"/>
                <w:szCs w:val="22"/>
                <w:highlight w:val="none"/>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27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处置合理迅速，受到旅客或上级领导表扬，或市级以上媒体报道</w:t>
            </w:r>
          </w:p>
        </w:tc>
        <w:tc>
          <w:tcPr>
            <w:tcW w:w="880" w:type="dxa"/>
            <w:tcBorders>
              <w:top w:val="single" w:color="000000" w:sz="4" w:space="0"/>
              <w:left w:val="single" w:color="000000" w:sz="4" w:space="0"/>
              <w:bottom w:val="single" w:color="000000" w:sz="4" w:space="0"/>
              <w:right w:val="nil"/>
            </w:tcBorders>
            <w:shd w:val="clear" w:color="auto" w:fill="auto"/>
            <w:vAlign w:val="center"/>
          </w:tcPr>
          <w:p w14:paraId="6BFA56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处置得当</w:t>
            </w:r>
          </w:p>
        </w:tc>
        <w:tc>
          <w:tcPr>
            <w:tcW w:w="1302" w:type="dxa"/>
            <w:vMerge w:val="restart"/>
            <w:tcBorders>
              <w:top w:val="single" w:color="000000" w:sz="4" w:space="0"/>
              <w:left w:val="single" w:color="000000" w:sz="4" w:space="0"/>
              <w:bottom w:val="nil"/>
              <w:right w:val="single" w:color="000000" w:sz="4" w:space="0"/>
            </w:tcBorders>
            <w:shd w:val="clear" w:color="auto" w:fill="auto"/>
            <w:vAlign w:val="center"/>
          </w:tcPr>
          <w:p w14:paraId="00D3F1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处置不当，响应迟缓</w:t>
            </w:r>
          </w:p>
        </w:tc>
      </w:tr>
      <w:tr w14:paraId="71C3E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499"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72BB5CC">
            <w:pPr>
              <w:jc w:val="center"/>
              <w:rPr>
                <w:rFonts w:hint="eastAsia" w:ascii="宋体" w:hAnsi="宋体" w:eastAsia="宋体" w:cs="宋体"/>
                <w:b/>
                <w:bCs/>
                <w:i w:val="0"/>
                <w:iCs w:val="0"/>
                <w:color w:val="auto"/>
                <w:sz w:val="22"/>
                <w:szCs w:val="22"/>
                <w:highlight w:val="none"/>
                <w:u w:val="none"/>
              </w:rPr>
            </w:pPr>
          </w:p>
        </w:tc>
        <w:tc>
          <w:tcPr>
            <w:tcW w:w="1257" w:type="dxa"/>
            <w:vMerge w:val="continue"/>
            <w:tcBorders>
              <w:top w:val="single" w:color="000000" w:sz="4" w:space="0"/>
              <w:left w:val="single" w:color="000000" w:sz="4" w:space="0"/>
              <w:bottom w:val="nil"/>
              <w:right w:val="single" w:color="000000" w:sz="4" w:space="0"/>
            </w:tcBorders>
            <w:shd w:val="clear" w:color="auto" w:fill="auto"/>
            <w:vAlign w:val="center"/>
          </w:tcPr>
          <w:p w14:paraId="3C8CDD80">
            <w:pPr>
              <w:jc w:val="center"/>
              <w:rPr>
                <w:rFonts w:hint="eastAsia" w:ascii="宋体" w:hAnsi="宋体" w:eastAsia="宋体" w:cs="宋体"/>
                <w:b/>
                <w:bCs/>
                <w:i w:val="0"/>
                <w:iCs w:val="0"/>
                <w:color w:val="auto"/>
                <w:sz w:val="22"/>
                <w:szCs w:val="22"/>
                <w:highlight w:val="none"/>
                <w:u w:val="none"/>
              </w:rPr>
            </w:pPr>
          </w:p>
        </w:tc>
        <w:tc>
          <w:tcPr>
            <w:tcW w:w="2855" w:type="dxa"/>
            <w:tcBorders>
              <w:top w:val="single" w:color="000000" w:sz="4" w:space="0"/>
              <w:left w:val="single" w:color="000000" w:sz="4" w:space="0"/>
              <w:bottom w:val="single" w:color="000000" w:sz="4" w:space="0"/>
              <w:right w:val="nil"/>
            </w:tcBorders>
            <w:shd w:val="clear" w:color="auto" w:fill="auto"/>
            <w:vAlign w:val="center"/>
          </w:tcPr>
          <w:p w14:paraId="47488A9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因工作失误或工作疏忽未及时发现隐患，导致安全事故发生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366E">
            <w:pPr>
              <w:rPr>
                <w:rFonts w:hint="eastAsia" w:ascii="宋体" w:hAnsi="宋体" w:eastAsia="宋体" w:cs="宋体"/>
                <w:i w:val="0"/>
                <w:iCs w:val="0"/>
                <w:color w:val="auto"/>
                <w:sz w:val="22"/>
                <w:szCs w:val="22"/>
                <w:highlight w:val="none"/>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C93E">
            <w:pPr>
              <w:rPr>
                <w:rFonts w:hint="eastAsia" w:ascii="宋体" w:hAnsi="宋体" w:eastAsia="宋体" w:cs="宋体"/>
                <w:i w:val="0"/>
                <w:iCs w:val="0"/>
                <w:color w:val="auto"/>
                <w:sz w:val="20"/>
                <w:szCs w:val="20"/>
                <w:highlight w:val="none"/>
                <w:u w:val="none"/>
              </w:rPr>
            </w:pPr>
          </w:p>
        </w:tc>
        <w:tc>
          <w:tcPr>
            <w:tcW w:w="880" w:type="dxa"/>
            <w:tcBorders>
              <w:top w:val="single" w:color="000000" w:sz="4" w:space="0"/>
              <w:left w:val="single" w:color="000000" w:sz="4" w:space="0"/>
              <w:bottom w:val="single" w:color="000000" w:sz="4" w:space="0"/>
              <w:right w:val="nil"/>
            </w:tcBorders>
            <w:shd w:val="clear" w:color="auto" w:fill="auto"/>
            <w:vAlign w:val="center"/>
          </w:tcPr>
          <w:p w14:paraId="5588FE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补救及时，未造成不良后果或影响</w:t>
            </w:r>
          </w:p>
        </w:tc>
        <w:tc>
          <w:tcPr>
            <w:tcW w:w="1302" w:type="dxa"/>
            <w:vMerge w:val="continue"/>
            <w:tcBorders>
              <w:top w:val="single" w:color="000000" w:sz="4" w:space="0"/>
              <w:left w:val="single" w:color="000000" w:sz="4" w:space="0"/>
              <w:bottom w:val="nil"/>
              <w:right w:val="single" w:color="000000" w:sz="4" w:space="0"/>
            </w:tcBorders>
            <w:shd w:val="clear" w:color="auto" w:fill="auto"/>
            <w:vAlign w:val="center"/>
          </w:tcPr>
          <w:p w14:paraId="34EEC02D">
            <w:pPr>
              <w:jc w:val="center"/>
              <w:rPr>
                <w:rFonts w:hint="eastAsia" w:ascii="宋体" w:hAnsi="宋体" w:eastAsia="宋体" w:cs="宋体"/>
                <w:i w:val="0"/>
                <w:iCs w:val="0"/>
                <w:color w:val="auto"/>
                <w:sz w:val="20"/>
                <w:szCs w:val="20"/>
                <w:highlight w:val="none"/>
                <w:u w:val="none"/>
              </w:rPr>
            </w:pPr>
          </w:p>
        </w:tc>
      </w:tr>
      <w:tr w14:paraId="20058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6D4F2">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7</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AB5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廉洁奉公</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76A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工作岗位中廉洁自律和响应加班要求执行情况</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16D4">
            <w:pPr>
              <w:rPr>
                <w:rFonts w:hint="eastAsia" w:ascii="宋体" w:hAnsi="宋体" w:eastAsia="宋体" w:cs="宋体"/>
                <w:i w:val="0"/>
                <w:iCs w:val="0"/>
                <w:color w:val="auto"/>
                <w:sz w:val="22"/>
                <w:szCs w:val="22"/>
                <w:highlight w:val="none"/>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712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廉洁奉公，积极响应加班要求，加班可累积抵扣请假时长，也可按加班时长及加班强度进行相应加分</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45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廉洁自律</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FB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在管理中，有接受或行使贿赂或不愿意配合工作需要的加班等情节</w:t>
            </w:r>
          </w:p>
        </w:tc>
      </w:tr>
      <w:tr w14:paraId="6B7DB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5C598">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8</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9BBF8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负面影响</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89F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工作中因言行举止、玩忽职守等情况被旅客投诉或媒体曝光</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1C00">
            <w:pPr>
              <w:rPr>
                <w:rFonts w:hint="eastAsia" w:ascii="宋体" w:hAnsi="宋体" w:eastAsia="宋体" w:cs="宋体"/>
                <w:i w:val="0"/>
                <w:iCs w:val="0"/>
                <w:color w:val="auto"/>
                <w:sz w:val="22"/>
                <w:szCs w:val="22"/>
                <w:highlight w:val="none"/>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0F04">
            <w:pPr>
              <w:rPr>
                <w:rFonts w:hint="eastAsia" w:ascii="宋体" w:hAnsi="宋体" w:eastAsia="宋体" w:cs="宋体"/>
                <w:i w:val="0"/>
                <w:iCs w:val="0"/>
                <w:color w:val="auto"/>
                <w:sz w:val="20"/>
                <w:szCs w:val="20"/>
                <w:highlight w:val="none"/>
                <w:u w:val="none"/>
              </w:rPr>
            </w:pP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CE09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无影响</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1EBB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被投诉或不良影响被曝光</w:t>
            </w:r>
          </w:p>
        </w:tc>
      </w:tr>
      <w:tr w14:paraId="1E838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4C8B">
            <w:pPr>
              <w:jc w:val="center"/>
              <w:rPr>
                <w:rFonts w:hint="eastAsia" w:ascii="宋体" w:hAnsi="宋体" w:eastAsia="宋体" w:cs="宋体"/>
                <w:b/>
                <w:bCs/>
                <w:i w:val="0"/>
                <w:iCs w:val="0"/>
                <w:color w:val="auto"/>
                <w:sz w:val="22"/>
                <w:szCs w:val="22"/>
                <w:highlight w:val="none"/>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B6D29">
            <w:pPr>
              <w:jc w:val="center"/>
              <w:rPr>
                <w:rFonts w:hint="eastAsia" w:ascii="宋体" w:hAnsi="宋体" w:eastAsia="宋体" w:cs="宋体"/>
                <w:b/>
                <w:bCs/>
                <w:i w:val="0"/>
                <w:iCs w:val="0"/>
                <w:color w:val="auto"/>
                <w:sz w:val="22"/>
                <w:szCs w:val="22"/>
                <w:highlight w:val="none"/>
                <w:u w:val="none"/>
              </w:rPr>
            </w:pPr>
          </w:p>
        </w:tc>
        <w:tc>
          <w:tcPr>
            <w:tcW w:w="2855" w:type="dxa"/>
            <w:tcBorders>
              <w:top w:val="single" w:color="000000" w:sz="4" w:space="0"/>
              <w:left w:val="single" w:color="000000" w:sz="4" w:space="0"/>
              <w:bottom w:val="single" w:color="000000" w:sz="4" w:space="0"/>
              <w:right w:val="nil"/>
            </w:tcBorders>
            <w:shd w:val="clear" w:color="auto" w:fill="auto"/>
            <w:vAlign w:val="center"/>
          </w:tcPr>
          <w:p w14:paraId="7A80050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通过媒体软件发表有损形象或战斗作风的文章、文字等</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DC97">
            <w:pPr>
              <w:rPr>
                <w:rFonts w:hint="eastAsia" w:ascii="宋体" w:hAnsi="宋体" w:eastAsia="宋体" w:cs="宋体"/>
                <w:i w:val="0"/>
                <w:iCs w:val="0"/>
                <w:color w:val="auto"/>
                <w:sz w:val="22"/>
                <w:szCs w:val="22"/>
                <w:highlight w:val="none"/>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51D6">
            <w:pPr>
              <w:rPr>
                <w:rFonts w:hint="eastAsia" w:ascii="宋体" w:hAnsi="宋体" w:eastAsia="宋体" w:cs="宋体"/>
                <w:i w:val="0"/>
                <w:iCs w:val="0"/>
                <w:color w:val="auto"/>
                <w:sz w:val="20"/>
                <w:szCs w:val="20"/>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19418">
            <w:pPr>
              <w:jc w:val="center"/>
              <w:rPr>
                <w:rFonts w:hint="eastAsia" w:ascii="宋体" w:hAnsi="宋体" w:eastAsia="宋体" w:cs="宋体"/>
                <w:i w:val="0"/>
                <w:iCs w:val="0"/>
                <w:color w:val="auto"/>
                <w:sz w:val="20"/>
                <w:szCs w:val="20"/>
                <w:highlight w:val="none"/>
                <w:u w:val="none"/>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B4987">
            <w:pPr>
              <w:jc w:val="center"/>
              <w:rPr>
                <w:rFonts w:hint="eastAsia" w:ascii="宋体" w:hAnsi="宋体" w:eastAsia="宋体" w:cs="宋体"/>
                <w:i w:val="0"/>
                <w:iCs w:val="0"/>
                <w:color w:val="auto"/>
                <w:sz w:val="20"/>
                <w:szCs w:val="20"/>
                <w:highlight w:val="none"/>
                <w:u w:val="none"/>
              </w:rPr>
            </w:pPr>
          </w:p>
        </w:tc>
      </w:tr>
      <w:tr w14:paraId="45E08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791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9</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6CB0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优异表现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AC5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服务期人员工作表现突出或有好人好事等优秀表现</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5912">
            <w:pPr>
              <w:rPr>
                <w:rFonts w:hint="eastAsia" w:ascii="宋体" w:hAnsi="宋体" w:eastAsia="宋体" w:cs="宋体"/>
                <w:i w:val="0"/>
                <w:iCs w:val="0"/>
                <w:color w:val="auto"/>
                <w:sz w:val="22"/>
                <w:szCs w:val="22"/>
                <w:highlight w:val="none"/>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64C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涌现好人好事或受到上级、媒体表彰、奖励、立功</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D2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无功无过</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5239">
            <w:pPr>
              <w:jc w:val="center"/>
              <w:rPr>
                <w:rFonts w:hint="eastAsia" w:ascii="宋体" w:hAnsi="宋体" w:eastAsia="宋体" w:cs="宋体"/>
                <w:i w:val="0"/>
                <w:iCs w:val="0"/>
                <w:color w:val="auto"/>
                <w:sz w:val="20"/>
                <w:szCs w:val="20"/>
                <w:highlight w:val="none"/>
                <w:u w:val="none"/>
              </w:rPr>
            </w:pPr>
          </w:p>
        </w:tc>
      </w:tr>
      <w:tr w14:paraId="04423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2FCB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10</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B2A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宣传奖励</w:t>
            </w:r>
          </w:p>
        </w:tc>
        <w:tc>
          <w:tcPr>
            <w:tcW w:w="2855" w:type="dxa"/>
            <w:tcBorders>
              <w:top w:val="single" w:color="000000" w:sz="4" w:space="0"/>
              <w:left w:val="single" w:color="000000" w:sz="4" w:space="0"/>
              <w:bottom w:val="single" w:color="000000" w:sz="4" w:space="0"/>
              <w:right w:val="nil"/>
            </w:tcBorders>
            <w:shd w:val="clear" w:color="auto" w:fill="auto"/>
            <w:noWrap/>
            <w:vAlign w:val="center"/>
          </w:tcPr>
          <w:p w14:paraId="12AF38F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在重要节点、重大事件中配合宣传、奖励队员等情况</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F750">
            <w:pPr>
              <w:rPr>
                <w:rFonts w:hint="eastAsia" w:ascii="宋体" w:hAnsi="宋体" w:eastAsia="宋体" w:cs="宋体"/>
                <w:i w:val="0"/>
                <w:iCs w:val="0"/>
                <w:color w:val="auto"/>
                <w:sz w:val="22"/>
                <w:szCs w:val="22"/>
                <w:highlight w:val="none"/>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D15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宣传内容受到区级及以上部门、媒体表彰、转载或奖励突出事件中的队员</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79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完全配合</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BF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几乎或完全不配合</w:t>
            </w:r>
          </w:p>
        </w:tc>
      </w:tr>
      <w:tr w14:paraId="75B5D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B2DB">
            <w:pPr>
              <w:jc w:val="center"/>
              <w:rPr>
                <w:rFonts w:hint="eastAsia" w:ascii="宋体" w:hAnsi="宋体" w:eastAsia="宋体" w:cs="宋体"/>
                <w:b/>
                <w:bCs/>
                <w:i w:val="0"/>
                <w:iCs w:val="0"/>
                <w:color w:val="auto"/>
                <w:sz w:val="22"/>
                <w:szCs w:val="22"/>
                <w:highlight w:val="none"/>
                <w:u w:val="none"/>
              </w:rPr>
            </w:pPr>
          </w:p>
        </w:tc>
        <w:tc>
          <w:tcPr>
            <w:tcW w:w="4112" w:type="dxa"/>
            <w:gridSpan w:val="2"/>
            <w:tcBorders>
              <w:top w:val="single" w:color="000000" w:sz="4" w:space="0"/>
              <w:left w:val="single" w:color="000000" w:sz="4" w:space="0"/>
              <w:bottom w:val="single" w:color="000000" w:sz="4" w:space="0"/>
              <w:right w:val="nil"/>
            </w:tcBorders>
            <w:shd w:val="clear" w:color="auto" w:fill="auto"/>
            <w:vAlign w:val="center"/>
          </w:tcPr>
          <w:p w14:paraId="72874BE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总分（均值）</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0327">
            <w:pPr>
              <w:rPr>
                <w:rFonts w:hint="eastAsia" w:ascii="宋体" w:hAnsi="宋体" w:eastAsia="宋体" w:cs="宋体"/>
                <w:i w:val="0"/>
                <w:iCs w:val="0"/>
                <w:color w:val="auto"/>
                <w:sz w:val="22"/>
                <w:szCs w:val="22"/>
                <w:highlight w:val="none"/>
                <w:u w:val="none"/>
              </w:rPr>
            </w:pPr>
          </w:p>
        </w:tc>
        <w:tc>
          <w:tcPr>
            <w:tcW w:w="3912" w:type="dxa"/>
            <w:gridSpan w:val="3"/>
            <w:tcBorders>
              <w:top w:val="nil"/>
              <w:left w:val="single" w:color="000000" w:sz="4" w:space="0"/>
              <w:bottom w:val="single" w:color="000000" w:sz="4" w:space="0"/>
              <w:right w:val="single" w:color="000000" w:sz="4" w:space="0"/>
            </w:tcBorders>
            <w:shd w:val="clear" w:color="auto" w:fill="auto"/>
            <w:vAlign w:val="center"/>
          </w:tcPr>
          <w:p w14:paraId="61EFE475">
            <w:pPr>
              <w:jc w:val="center"/>
              <w:rPr>
                <w:rFonts w:hint="eastAsia" w:ascii="宋体" w:hAnsi="宋体" w:eastAsia="宋体" w:cs="宋体"/>
                <w:i w:val="0"/>
                <w:iCs w:val="0"/>
                <w:color w:val="auto"/>
                <w:sz w:val="20"/>
                <w:szCs w:val="20"/>
                <w:highlight w:val="none"/>
                <w:u w:val="none"/>
              </w:rPr>
            </w:pPr>
          </w:p>
        </w:tc>
      </w:tr>
      <w:tr w14:paraId="78771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3EF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分数结算方式：</w:t>
            </w:r>
          </w:p>
        </w:tc>
        <w:tc>
          <w:tcPr>
            <w:tcW w:w="743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51B1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甲方每月支付乙方10万元服务费，其余的费用作为年度考核，按实际考核情况支付。年度考核以每月考核情况为基准评定，每加减1分相应加或扣100元人民币，且全年合计支付的服务费不能超出合同总价款。</w:t>
            </w:r>
          </w:p>
        </w:tc>
      </w:tr>
      <w:tr w14:paraId="65C07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BA6A7">
            <w:pPr>
              <w:jc w:val="center"/>
              <w:rPr>
                <w:rFonts w:hint="eastAsia" w:ascii="宋体" w:hAnsi="宋体" w:eastAsia="宋体" w:cs="宋体"/>
                <w:i w:val="0"/>
                <w:iCs w:val="0"/>
                <w:color w:val="auto"/>
                <w:sz w:val="22"/>
                <w:szCs w:val="22"/>
                <w:highlight w:val="none"/>
                <w:u w:val="none"/>
              </w:rPr>
            </w:pPr>
          </w:p>
        </w:tc>
        <w:tc>
          <w:tcPr>
            <w:tcW w:w="743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450B7">
            <w:pPr>
              <w:jc w:val="left"/>
              <w:rPr>
                <w:rFonts w:hint="eastAsia" w:ascii="宋体" w:hAnsi="宋体" w:eastAsia="宋体" w:cs="宋体"/>
                <w:i w:val="0"/>
                <w:iCs w:val="0"/>
                <w:color w:val="auto"/>
                <w:sz w:val="22"/>
                <w:szCs w:val="22"/>
                <w:highlight w:val="none"/>
                <w:u w:val="none"/>
              </w:rPr>
            </w:pPr>
          </w:p>
        </w:tc>
      </w:tr>
    </w:tbl>
    <w:p w14:paraId="2EDE6EDB">
      <w:pPr>
        <w:widowControl/>
        <w:rPr>
          <w:rFonts w:hint="default"/>
          <w:color w:val="auto"/>
          <w:highlight w:val="none"/>
          <w:lang w:val="en-US" w:eastAsia="zh-CN"/>
        </w:rPr>
        <w:sectPr>
          <w:pgSz w:w="11906" w:h="16838"/>
          <w:pgMar w:top="1276" w:right="1418" w:bottom="1247" w:left="1418" w:header="851" w:footer="992" w:gutter="0"/>
          <w:cols w:space="720" w:num="1"/>
          <w:titlePg/>
          <w:docGrid w:linePitch="312" w:charSpace="0"/>
        </w:sectPr>
      </w:pPr>
      <w:r>
        <w:rPr>
          <w:rFonts w:hint="eastAsia" w:ascii="仿宋" w:hAnsi="仿宋" w:eastAsia="仿宋" w:cs="仿宋"/>
          <w:b/>
          <w:color w:val="auto"/>
          <w:sz w:val="28"/>
          <w:szCs w:val="28"/>
          <w:highlight w:val="none"/>
          <w:lang w:val="en-US" w:eastAsia="zh-CN"/>
        </w:rPr>
        <w:br w:type="page"/>
      </w:r>
    </w:p>
    <w:p w14:paraId="6A13AD37">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w:t>
      </w:r>
      <w:r>
        <w:rPr>
          <w:rFonts w:hint="eastAsia" w:ascii="仿宋" w:hAnsi="仿宋" w:eastAsia="仿宋" w:cs="仿宋"/>
          <w:b/>
          <w:color w:val="auto"/>
          <w:spacing w:val="362"/>
          <w:kern w:val="0"/>
          <w:sz w:val="36"/>
          <w:szCs w:val="20"/>
          <w:highlight w:val="none"/>
          <w:fitText w:val="1444" w:id="-982736895"/>
        </w:rPr>
        <w:t>分</w:t>
      </w:r>
      <w:bookmarkEnd w:id="406"/>
      <w:r>
        <w:rPr>
          <w:rFonts w:hint="eastAsia" w:ascii="仿宋" w:hAnsi="仿宋" w:eastAsia="仿宋" w:cs="仿宋"/>
          <w:b/>
          <w:color w:val="auto"/>
          <w:spacing w:val="0"/>
          <w:kern w:val="0"/>
          <w:sz w:val="36"/>
          <w:szCs w:val="20"/>
          <w:highlight w:val="none"/>
          <w:fitText w:val="1444" w:id="-982736895"/>
        </w:rPr>
        <w:t>应</w:t>
      </w:r>
      <w:r>
        <w:rPr>
          <w:rFonts w:hint="eastAsia" w:ascii="仿宋" w:hAnsi="仿宋" w:eastAsia="仿宋" w:cs="仿宋"/>
          <w:b/>
          <w:color w:val="auto"/>
          <w:sz w:val="36"/>
          <w:szCs w:val="20"/>
          <w:highlight w:val="none"/>
        </w:rPr>
        <w:t>提交的有关格式范例</w:t>
      </w:r>
    </w:p>
    <w:p w14:paraId="5B09CAC6">
      <w:pPr>
        <w:spacing w:line="360" w:lineRule="auto"/>
        <w:jc w:val="center"/>
        <w:outlineLvl w:val="0"/>
        <w:rPr>
          <w:rFonts w:hint="eastAsia" w:ascii="仿宋" w:hAnsi="仿宋" w:eastAsia="仿宋" w:cs="仿宋"/>
          <w:b/>
          <w:color w:val="auto"/>
          <w:kern w:val="0"/>
          <w:sz w:val="36"/>
          <w:szCs w:val="36"/>
          <w:highlight w:val="none"/>
        </w:rPr>
      </w:pPr>
    </w:p>
    <w:p w14:paraId="41B8ACF8">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4AC3201B">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45EDEE9">
      <w:pPr>
        <w:spacing w:line="360" w:lineRule="auto"/>
        <w:jc w:val="center"/>
        <w:outlineLvl w:val="0"/>
        <w:rPr>
          <w:rFonts w:hint="eastAsia" w:ascii="仿宋" w:hAnsi="仿宋" w:eastAsia="仿宋" w:cs="仿宋"/>
          <w:b/>
          <w:color w:val="auto"/>
          <w:kern w:val="0"/>
          <w:sz w:val="36"/>
          <w:szCs w:val="36"/>
          <w:highlight w:val="none"/>
        </w:rPr>
      </w:pPr>
    </w:p>
    <w:p w14:paraId="65FD1B1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7C360641">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3D44FCB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6228656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7A2C9F7E">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一、符合参加政府采购活动应当具备的一般条件的承诺函</w:t>
      </w:r>
    </w:p>
    <w:p w14:paraId="7560769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525B5E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712B0D60">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7C72CFF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413D396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21C8D28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5706274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7660C19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0BF2AA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31C8CF5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58B8D77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5B4A04E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6661749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5852C168">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5F950016">
      <w:pPr>
        <w:snapToGrid w:val="0"/>
        <w:spacing w:line="360" w:lineRule="auto"/>
        <w:ind w:firstLine="5520" w:firstLineChars="2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797CA2D2">
      <w:pPr>
        <w:widowControl/>
        <w:spacing w:line="360" w:lineRule="auto"/>
        <w:ind w:firstLine="643" w:firstLineChars="200"/>
        <w:jc w:val="center"/>
        <w:rPr>
          <w:rFonts w:hint="eastAsia" w:ascii="仿宋" w:hAnsi="仿宋" w:eastAsia="仿宋" w:cs="仿宋"/>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50FC5168">
      <w:pPr>
        <w:widowControl/>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37FA79E8">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539CC78B">
      <w:pPr>
        <w:snapToGrid w:val="0"/>
        <w:spacing w:line="360" w:lineRule="auto"/>
        <w:ind w:right="480"/>
        <w:jc w:val="center"/>
        <w:rPr>
          <w:rFonts w:hint="eastAsia" w:ascii="仿宋" w:hAnsi="仿宋" w:eastAsia="仿宋" w:cs="仿宋"/>
          <w:b/>
          <w:color w:val="auto"/>
          <w:kern w:val="0"/>
          <w:sz w:val="32"/>
          <w:szCs w:val="32"/>
          <w:highlight w:val="none"/>
        </w:rPr>
      </w:pPr>
    </w:p>
    <w:p w14:paraId="37536D4B">
      <w:pPr>
        <w:snapToGrid w:val="0"/>
        <w:spacing w:line="360" w:lineRule="auto"/>
        <w:ind w:right="480"/>
        <w:jc w:val="center"/>
        <w:rPr>
          <w:rFonts w:hint="eastAsia" w:ascii="仿宋" w:hAnsi="仿宋" w:eastAsia="仿宋" w:cs="仿宋"/>
          <w:b/>
          <w:color w:val="auto"/>
          <w:kern w:val="0"/>
          <w:sz w:val="32"/>
          <w:szCs w:val="32"/>
          <w:highlight w:val="none"/>
        </w:rPr>
      </w:pPr>
    </w:p>
    <w:p w14:paraId="37E50C8D">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7F16DA5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524BF46D">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.专门面向中小企业，服务全部由符合政策要求的中小企业（或小微企业）承接的，提供相应的中小企业声明函（附件7）。</w:t>
      </w:r>
    </w:p>
    <w:p w14:paraId="34347F0E">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15EF136F">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22856CF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2393FC56">
      <w:pPr>
        <w:widowControl/>
        <w:spacing w:line="360" w:lineRule="auto"/>
        <w:ind w:left="150"/>
        <w:jc w:val="center"/>
        <w:rPr>
          <w:rFonts w:hint="eastAsia" w:ascii="仿宋" w:hAnsi="仿宋" w:eastAsia="仿宋" w:cs="仿宋"/>
          <w:b/>
          <w:color w:val="auto"/>
          <w:kern w:val="0"/>
          <w:sz w:val="32"/>
          <w:szCs w:val="32"/>
          <w:highlight w:val="none"/>
        </w:rPr>
      </w:pPr>
    </w:p>
    <w:p w14:paraId="4821FD65">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2AF06B33">
      <w:pPr>
        <w:spacing w:line="360" w:lineRule="auto"/>
        <w:jc w:val="center"/>
        <w:rPr>
          <w:rFonts w:hint="eastAsia" w:ascii="仿宋" w:hAnsi="仿宋" w:eastAsia="仿宋" w:cs="仿宋"/>
          <w:color w:val="auto"/>
          <w:sz w:val="24"/>
          <w:highlight w:val="none"/>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4"/>
          <w:highlight w:val="none"/>
        </w:rPr>
        <w:t>（根据招标公告本项目的特定资格要求提供相应的材料；未要求的，无需提供）</w:t>
      </w:r>
    </w:p>
    <w:p w14:paraId="5308DF76">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25C227FA">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32B8F138">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0D4B4F01">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6C319873">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3378D8D3">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527C285C">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51D823FC">
      <w:pPr>
        <w:snapToGrid w:val="0"/>
        <w:spacing w:line="360" w:lineRule="auto"/>
        <w:jc w:val="center"/>
        <w:outlineLvl w:val="0"/>
        <w:rPr>
          <w:rFonts w:hint="eastAsia" w:ascii="仿宋" w:hAnsi="仿宋" w:eastAsia="仿宋" w:cs="仿宋"/>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1EAEE340">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50333A1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5687FEF7">
      <w:pPr>
        <w:snapToGrid w:val="0"/>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15B05C7F">
      <w:pPr>
        <w:snapToGrid w:val="0"/>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237793CD">
      <w:pPr>
        <w:snapToGrid w:val="0"/>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169063FC">
      <w:pPr>
        <w:snapToGrid w:val="0"/>
        <w:spacing w:line="38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3D279193">
      <w:pPr>
        <w:snapToGrid w:val="0"/>
        <w:spacing w:line="38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74F5784D">
      <w:pPr>
        <w:snapToGrid w:val="0"/>
        <w:spacing w:line="38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20" w:name="_Hlk101257010"/>
      <w:r>
        <w:rPr>
          <w:rFonts w:hint="eastAsia" w:ascii="仿宋" w:hAnsi="仿宋" w:eastAsia="仿宋" w:cs="仿宋"/>
          <w:color w:val="auto"/>
          <w:sz w:val="24"/>
          <w:highlight w:val="none"/>
        </w:rPr>
        <w:t>（如果有)</w:t>
      </w:r>
      <w:bookmarkEnd w:id="520"/>
      <w:r>
        <w:rPr>
          <w:rFonts w:hint="eastAsia" w:ascii="仿宋" w:hAnsi="仿宋" w:eastAsia="仿宋" w:cs="仿宋"/>
          <w:snapToGrid w:val="0"/>
          <w:color w:val="auto"/>
          <w:kern w:val="28"/>
          <w:sz w:val="24"/>
          <w:szCs w:val="20"/>
          <w:highlight w:val="none"/>
        </w:rPr>
        <w:t>；</w:t>
      </w:r>
    </w:p>
    <w:p w14:paraId="4A43891A">
      <w:pPr>
        <w:snapToGrid w:val="0"/>
        <w:spacing w:line="38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4B92D207">
      <w:pPr>
        <w:snapToGrid w:val="0"/>
        <w:spacing w:line="38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5331DE4B">
      <w:pPr>
        <w:snapToGrid w:val="0"/>
        <w:spacing w:line="380" w:lineRule="exact"/>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440ADB8D">
      <w:pPr>
        <w:snapToGrid w:val="0"/>
        <w:spacing w:line="38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35DF302F">
      <w:pPr>
        <w:snapToGrid w:val="0"/>
        <w:spacing w:line="38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330864A6">
      <w:pPr>
        <w:snapToGrid w:val="0"/>
        <w:spacing w:line="38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79775617">
      <w:pPr>
        <w:snapToGrid w:val="0"/>
        <w:spacing w:line="38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137EC9D5">
      <w:pPr>
        <w:snapToGrid w:val="0"/>
        <w:spacing w:line="38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1ABAE129">
      <w:pPr>
        <w:snapToGrid w:val="0"/>
        <w:spacing w:line="38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42F6F2DC">
      <w:pPr>
        <w:snapToGrid w:val="0"/>
        <w:spacing w:line="38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373586B4">
      <w:pPr>
        <w:snapToGrid w:val="0"/>
        <w:spacing w:line="380" w:lineRule="exact"/>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4456D009">
      <w:pPr>
        <w:snapToGrid w:val="0"/>
        <w:spacing w:line="38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6429AD32">
      <w:pPr>
        <w:spacing w:line="38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0B6EE149">
      <w:pPr>
        <w:spacing w:line="380" w:lineRule="exact"/>
        <w:ind w:left="420" w:lef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2.3.2 报价情况说明（如果有）</w:t>
      </w:r>
    </w:p>
    <w:p w14:paraId="2CE1BEAF">
      <w:pPr>
        <w:snapToGrid w:val="0"/>
        <w:spacing w:line="38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25EA467A">
      <w:pPr>
        <w:pStyle w:val="79"/>
        <w:spacing w:line="38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w:t>
      </w:r>
    </w:p>
    <w:p w14:paraId="2F5F6FDD">
      <w:pPr>
        <w:snapToGrid w:val="0"/>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74A95B9C">
      <w:pPr>
        <w:snapToGrid w:val="0"/>
        <w:spacing w:line="38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0ADE5EED">
      <w:pPr>
        <w:snapToGrid w:val="0"/>
        <w:spacing w:line="38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2FC270F3">
      <w:pPr>
        <w:snapToGrid w:val="0"/>
        <w:spacing w:line="38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4.3按照招标文件要求提交履约保证金；</w:t>
      </w:r>
    </w:p>
    <w:p w14:paraId="12F1C079">
      <w:pPr>
        <w:snapToGrid w:val="0"/>
        <w:spacing w:line="38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4.4在合同约定的期限内完成合同规定的全部义务。</w:t>
      </w:r>
    </w:p>
    <w:p w14:paraId="7046DC90">
      <w:pPr>
        <w:snapToGrid w:val="0"/>
        <w:spacing w:line="38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B111131">
      <w:pPr>
        <w:spacing w:line="380" w:lineRule="exact"/>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1CBB84F2">
      <w:pPr>
        <w:spacing w:line="380" w:lineRule="exact"/>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5FAEF703">
      <w:pPr>
        <w:spacing w:line="380" w:lineRule="exact"/>
        <w:ind w:right="420"/>
        <w:rPr>
          <w:rFonts w:hint="eastAsia" w:ascii="仿宋" w:hAnsi="仿宋" w:eastAsia="仿宋" w:cs="仿宋"/>
          <w:color w:val="auto"/>
          <w:sz w:val="24"/>
          <w:highlight w:val="none"/>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4"/>
          <w:highlight w:val="none"/>
        </w:rPr>
        <w:t>注：按本格式和要求提供。</w:t>
      </w:r>
    </w:p>
    <w:p w14:paraId="6F5D830B">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68BAB59E">
      <w:pPr>
        <w:snapToGrid w:val="0"/>
        <w:spacing w:line="360" w:lineRule="auto"/>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196A8D4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C8E7684">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3B92BDC">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委托期限：自   年 月  日起至  年  月  日止。</w:t>
      </w:r>
    </w:p>
    <w:p w14:paraId="783EA808">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特此告知。</w:t>
      </w:r>
    </w:p>
    <w:p w14:paraId="4E2FF047">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7F083E73">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签发</w:t>
      </w:r>
      <w:r>
        <w:rPr>
          <w:rFonts w:hint="eastAsia" w:ascii="仿宋" w:hAnsi="仿宋" w:eastAsia="仿宋" w:cs="仿宋"/>
          <w:color w:val="auto"/>
          <w:sz w:val="24"/>
          <w:highlight w:val="none"/>
        </w:rPr>
        <w:t>日期：  年   月   日</w:t>
      </w:r>
    </w:p>
    <w:p w14:paraId="4821189E">
      <w:pPr>
        <w:pStyle w:val="79"/>
        <w:ind w:firstLine="0" w:firstLineChars="0"/>
        <w:jc w:val="center"/>
        <w:rPr>
          <w:rFonts w:hint="eastAsia"/>
          <w:color w:val="auto"/>
          <w:highlight w:val="none"/>
          <w:lang w:val="en-US"/>
        </w:rPr>
      </w:pPr>
    </w:p>
    <w:p w14:paraId="68068A09">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5F6F2DB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3BD8000">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289A9CBF">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委托期限：自   年 月  日起至  年  月  日止。</w:t>
      </w:r>
    </w:p>
    <w:p w14:paraId="68A92512">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特此告知。</w:t>
      </w:r>
    </w:p>
    <w:p w14:paraId="072544CF">
      <w:pPr>
        <w:pStyle w:val="79"/>
        <w:ind w:firstLine="0" w:firstLineChars="0"/>
        <w:jc w:val="center"/>
        <w:rPr>
          <w:rFonts w:hint="eastAsia"/>
          <w:color w:val="auto"/>
          <w:highlight w:val="none"/>
          <w:lang w:val="en-US"/>
        </w:rPr>
      </w:pPr>
    </w:p>
    <w:p w14:paraId="1EB229E5">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7FF3B2C">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1494CA4">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C8D267C">
      <w:pPr>
        <w:snapToGrid w:val="0"/>
        <w:spacing w:line="360" w:lineRule="auto"/>
        <w:ind w:firstLine="5040" w:firstLineChars="2100"/>
        <w:rPr>
          <w:rFonts w:hint="eastAsia" w:ascii="仿宋" w:hAnsi="仿宋" w:eastAsia="仿宋" w:cs="仿宋"/>
          <w:color w:val="auto"/>
          <w:kern w:val="0"/>
          <w:sz w:val="24"/>
          <w:highlight w:val="none"/>
          <w:lang w:val="zh-CN"/>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kern w:val="0"/>
          <w:sz w:val="24"/>
          <w:highlight w:val="none"/>
          <w:lang w:val="zh-CN"/>
        </w:rPr>
        <w:t>日期：  年  月   日</w:t>
      </w:r>
    </w:p>
    <w:p w14:paraId="1B7B75A7">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74C2DD33">
      <w:pPr>
        <w:pStyle w:val="148"/>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72E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46DB2BA">
            <w:pPr>
              <w:pStyle w:val="148"/>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tc>
      </w:tr>
    </w:tbl>
    <w:p w14:paraId="1C4898C7">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61107EA9">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5F9C0A02">
      <w:pPr>
        <w:snapToGrid w:val="0"/>
        <w:spacing w:line="360" w:lineRule="auto"/>
        <w:jc w:val="center"/>
        <w:rPr>
          <w:rFonts w:hint="eastAsia" w:ascii="仿宋" w:hAnsi="仿宋" w:eastAsia="仿宋" w:cs="仿宋"/>
          <w:b/>
          <w:color w:val="auto"/>
          <w:kern w:val="0"/>
          <w:sz w:val="32"/>
          <w:szCs w:val="32"/>
          <w:highlight w:val="none"/>
        </w:rPr>
      </w:pPr>
    </w:p>
    <w:p w14:paraId="63180DC1">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7B826FCE">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2E6FC825">
      <w:pPr>
        <w:jc w:val="center"/>
        <w:rPr>
          <w:rFonts w:hint="eastAsia" w:ascii="仿宋" w:hAnsi="仿宋" w:eastAsia="仿宋" w:cs="仿宋"/>
          <w:b/>
          <w:color w:val="auto"/>
          <w:kern w:val="0"/>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6D805049">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2F1F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3EA59ED">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2CDADBA5">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7F8BC0B5">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02A4A149">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投标文件中的页码位置</w:t>
            </w:r>
          </w:p>
        </w:tc>
      </w:tr>
      <w:tr w14:paraId="00FAE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85814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6DE5F1AC">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78C3CD7F">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29FCECA2">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7C00371D">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20D3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23348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5141E036">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2754B8C4">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373FEB2F">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294E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2E0A6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50683F0C">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2CEEA859">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招标文件其它实质性要求相应的材料（“▲”系指实质性要求条款，招标文件无其它实质性要求的，无需提供）</w:t>
            </w:r>
          </w:p>
        </w:tc>
        <w:tc>
          <w:tcPr>
            <w:tcW w:w="1418" w:type="dxa"/>
          </w:tcPr>
          <w:p w14:paraId="30E10269">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3B6569B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1FC8067">
      <w:pPr>
        <w:jc w:val="center"/>
        <w:rPr>
          <w:rFonts w:hint="eastAsia" w:ascii="仿宋" w:hAnsi="仿宋" w:eastAsia="仿宋" w:cs="仿宋"/>
          <w:b/>
          <w:color w:val="auto"/>
          <w:kern w:val="0"/>
          <w:sz w:val="32"/>
          <w:szCs w:val="32"/>
          <w:highlight w:val="none"/>
        </w:rPr>
      </w:pPr>
    </w:p>
    <w:p w14:paraId="5A4DA25B">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343E1AA3">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3BFB785D">
      <w:pPr>
        <w:jc w:val="center"/>
        <w:rPr>
          <w:rFonts w:hint="eastAsia" w:ascii="仿宋" w:hAnsi="仿宋" w:eastAsia="仿宋" w:cs="仿宋"/>
          <w:b/>
          <w:color w:val="auto"/>
          <w:kern w:val="0"/>
          <w:sz w:val="32"/>
          <w:szCs w:val="32"/>
          <w:highlight w:val="none"/>
        </w:rPr>
      </w:pPr>
    </w:p>
    <w:p w14:paraId="6EFF9F42">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CBF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1F567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BB2312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9735724">
            <w:pPr>
              <w:spacing w:line="360" w:lineRule="auto"/>
              <w:jc w:val="center"/>
              <w:rPr>
                <w:rFonts w:hint="eastAsia" w:ascii="仿宋" w:hAnsi="仿宋" w:eastAsia="仿宋" w:cs="仿宋"/>
                <w:b/>
                <w:color w:val="auto"/>
                <w:sz w:val="24"/>
                <w:highlight w:val="none"/>
              </w:rPr>
            </w:pPr>
          </w:p>
          <w:p w14:paraId="15D0348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73E740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815CD8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EEBDEF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CCE1583">
            <w:pPr>
              <w:spacing w:line="360" w:lineRule="auto"/>
              <w:jc w:val="center"/>
              <w:rPr>
                <w:rFonts w:hint="eastAsia" w:ascii="仿宋" w:hAnsi="仿宋" w:eastAsia="仿宋" w:cs="仿宋"/>
                <w:b/>
                <w:color w:val="auto"/>
                <w:sz w:val="24"/>
                <w:highlight w:val="none"/>
              </w:rPr>
            </w:pPr>
          </w:p>
          <w:p w14:paraId="569F6F3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516E480B">
            <w:pPr>
              <w:spacing w:line="360" w:lineRule="auto"/>
              <w:jc w:val="center"/>
              <w:rPr>
                <w:rFonts w:hint="eastAsia" w:ascii="仿宋" w:hAnsi="仿宋" w:eastAsia="仿宋" w:cs="仿宋"/>
                <w:b/>
                <w:color w:val="auto"/>
                <w:sz w:val="24"/>
                <w:highlight w:val="none"/>
              </w:rPr>
            </w:pPr>
          </w:p>
        </w:tc>
      </w:tr>
      <w:tr w14:paraId="3448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FAC82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5CD2946">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3705D59">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42DC39D">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C1107D5">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72D6EEC">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C5C1F4B">
            <w:pPr>
              <w:spacing w:line="360" w:lineRule="auto"/>
              <w:jc w:val="center"/>
              <w:rPr>
                <w:rFonts w:hint="eastAsia" w:ascii="仿宋" w:hAnsi="仿宋" w:eastAsia="仿宋" w:cs="仿宋"/>
                <w:color w:val="auto"/>
                <w:sz w:val="24"/>
                <w:highlight w:val="none"/>
              </w:rPr>
            </w:pPr>
          </w:p>
        </w:tc>
      </w:tr>
      <w:tr w14:paraId="53FC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5EC33E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23632F1">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2BA3DEE">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762E7BC">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2DFA3FC">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3BEDB03">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79C745F">
            <w:pPr>
              <w:spacing w:line="360" w:lineRule="auto"/>
              <w:jc w:val="center"/>
              <w:rPr>
                <w:rFonts w:hint="eastAsia" w:ascii="仿宋" w:hAnsi="仿宋" w:eastAsia="仿宋" w:cs="仿宋"/>
                <w:color w:val="auto"/>
                <w:sz w:val="24"/>
                <w:highlight w:val="none"/>
              </w:rPr>
            </w:pPr>
          </w:p>
        </w:tc>
      </w:tr>
      <w:tr w14:paraId="68C00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9C560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40BA8A1">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3D574BF">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DB9487B">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5843A2E">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CB0F813">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49224FE">
            <w:pPr>
              <w:spacing w:line="360" w:lineRule="auto"/>
              <w:jc w:val="center"/>
              <w:rPr>
                <w:rFonts w:hint="eastAsia" w:ascii="仿宋" w:hAnsi="仿宋" w:eastAsia="仿宋" w:cs="仿宋"/>
                <w:color w:val="auto"/>
                <w:sz w:val="24"/>
                <w:highlight w:val="none"/>
              </w:rPr>
            </w:pPr>
          </w:p>
        </w:tc>
      </w:tr>
    </w:tbl>
    <w:p w14:paraId="3FB06DB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0934486">
      <w:pPr>
        <w:jc w:val="center"/>
        <w:rPr>
          <w:rFonts w:hint="eastAsia" w:ascii="仿宋" w:hAnsi="仿宋" w:eastAsia="仿宋" w:cs="仿宋"/>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0F4BF04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E80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F5B5D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1F36ADE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36022B5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7C5832B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197B8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1C7596">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394F39CA">
            <w:pPr>
              <w:jc w:val="center"/>
              <w:rPr>
                <w:rFonts w:hint="eastAsia" w:ascii="仿宋" w:hAnsi="仿宋" w:eastAsia="仿宋" w:cs="仿宋"/>
                <w:b/>
                <w:color w:val="auto"/>
                <w:kern w:val="0"/>
                <w:sz w:val="32"/>
                <w:szCs w:val="32"/>
                <w:highlight w:val="none"/>
              </w:rPr>
            </w:pPr>
          </w:p>
        </w:tc>
        <w:tc>
          <w:tcPr>
            <w:tcW w:w="3546" w:type="dxa"/>
          </w:tcPr>
          <w:p w14:paraId="124B2BDF">
            <w:pPr>
              <w:jc w:val="center"/>
              <w:rPr>
                <w:rFonts w:hint="eastAsia" w:ascii="仿宋" w:hAnsi="仿宋" w:eastAsia="仿宋" w:cs="仿宋"/>
                <w:b/>
                <w:color w:val="auto"/>
                <w:kern w:val="0"/>
                <w:sz w:val="32"/>
                <w:szCs w:val="32"/>
                <w:highlight w:val="none"/>
              </w:rPr>
            </w:pPr>
          </w:p>
        </w:tc>
        <w:tc>
          <w:tcPr>
            <w:tcW w:w="1276" w:type="dxa"/>
          </w:tcPr>
          <w:p w14:paraId="40746F28">
            <w:pPr>
              <w:jc w:val="center"/>
              <w:rPr>
                <w:rFonts w:hint="eastAsia" w:ascii="仿宋" w:hAnsi="仿宋" w:eastAsia="仿宋" w:cs="仿宋"/>
                <w:b/>
                <w:color w:val="auto"/>
                <w:kern w:val="0"/>
                <w:sz w:val="32"/>
                <w:szCs w:val="32"/>
                <w:highlight w:val="none"/>
              </w:rPr>
            </w:pPr>
          </w:p>
        </w:tc>
      </w:tr>
      <w:tr w14:paraId="7397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E3FCD2">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4A0C0185">
            <w:pPr>
              <w:jc w:val="center"/>
              <w:rPr>
                <w:rFonts w:hint="eastAsia" w:ascii="仿宋" w:hAnsi="仿宋" w:eastAsia="仿宋" w:cs="仿宋"/>
                <w:b/>
                <w:color w:val="auto"/>
                <w:kern w:val="0"/>
                <w:sz w:val="32"/>
                <w:szCs w:val="32"/>
                <w:highlight w:val="none"/>
              </w:rPr>
            </w:pPr>
          </w:p>
        </w:tc>
        <w:tc>
          <w:tcPr>
            <w:tcW w:w="3546" w:type="dxa"/>
          </w:tcPr>
          <w:p w14:paraId="2BCDE54D">
            <w:pPr>
              <w:jc w:val="center"/>
              <w:rPr>
                <w:rFonts w:hint="eastAsia" w:ascii="仿宋" w:hAnsi="仿宋" w:eastAsia="仿宋" w:cs="仿宋"/>
                <w:b/>
                <w:color w:val="auto"/>
                <w:kern w:val="0"/>
                <w:sz w:val="32"/>
                <w:szCs w:val="32"/>
                <w:highlight w:val="none"/>
              </w:rPr>
            </w:pPr>
          </w:p>
        </w:tc>
        <w:tc>
          <w:tcPr>
            <w:tcW w:w="1276" w:type="dxa"/>
          </w:tcPr>
          <w:p w14:paraId="4FAF8FD3">
            <w:pPr>
              <w:jc w:val="center"/>
              <w:rPr>
                <w:rFonts w:hint="eastAsia" w:ascii="仿宋" w:hAnsi="仿宋" w:eastAsia="仿宋" w:cs="仿宋"/>
                <w:b/>
                <w:color w:val="auto"/>
                <w:kern w:val="0"/>
                <w:sz w:val="32"/>
                <w:szCs w:val="32"/>
                <w:highlight w:val="none"/>
              </w:rPr>
            </w:pPr>
          </w:p>
        </w:tc>
      </w:tr>
      <w:tr w14:paraId="6D2E8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037D02">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2F0ACFC8">
            <w:pPr>
              <w:jc w:val="center"/>
              <w:rPr>
                <w:rFonts w:hint="eastAsia" w:ascii="仿宋" w:hAnsi="仿宋" w:eastAsia="仿宋" w:cs="仿宋"/>
                <w:b/>
                <w:color w:val="auto"/>
                <w:kern w:val="0"/>
                <w:sz w:val="32"/>
                <w:szCs w:val="32"/>
                <w:highlight w:val="none"/>
              </w:rPr>
            </w:pPr>
          </w:p>
        </w:tc>
        <w:tc>
          <w:tcPr>
            <w:tcW w:w="3546" w:type="dxa"/>
          </w:tcPr>
          <w:p w14:paraId="0FF0BDB7">
            <w:pPr>
              <w:jc w:val="center"/>
              <w:rPr>
                <w:rFonts w:hint="eastAsia" w:ascii="仿宋" w:hAnsi="仿宋" w:eastAsia="仿宋" w:cs="仿宋"/>
                <w:b/>
                <w:color w:val="auto"/>
                <w:kern w:val="0"/>
                <w:sz w:val="32"/>
                <w:szCs w:val="32"/>
                <w:highlight w:val="none"/>
              </w:rPr>
            </w:pPr>
          </w:p>
        </w:tc>
        <w:tc>
          <w:tcPr>
            <w:tcW w:w="1276" w:type="dxa"/>
          </w:tcPr>
          <w:p w14:paraId="1A2CAFEF">
            <w:pPr>
              <w:jc w:val="center"/>
              <w:rPr>
                <w:rFonts w:hint="eastAsia" w:ascii="仿宋" w:hAnsi="仿宋" w:eastAsia="仿宋" w:cs="仿宋"/>
                <w:b/>
                <w:color w:val="auto"/>
                <w:kern w:val="0"/>
                <w:sz w:val="32"/>
                <w:szCs w:val="32"/>
                <w:highlight w:val="none"/>
              </w:rPr>
            </w:pPr>
          </w:p>
        </w:tc>
      </w:tr>
    </w:tbl>
    <w:p w14:paraId="70E4D46D">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1556617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DE1DCAD">
      <w:pPr>
        <w:ind w:firstLine="1911" w:firstLineChars="595"/>
        <w:rPr>
          <w:rFonts w:hint="eastAsia" w:ascii="仿宋" w:hAnsi="仿宋" w:eastAsia="仿宋" w:cs="仿宋"/>
          <w:b/>
          <w:bCs/>
          <w:color w:val="auto"/>
          <w:sz w:val="32"/>
          <w:szCs w:val="32"/>
          <w:highlight w:val="none"/>
        </w:rPr>
        <w:sectPr>
          <w:pgSz w:w="11906" w:h="16838"/>
          <w:pgMar w:top="1276" w:right="1418" w:bottom="1247" w:left="1418" w:header="851" w:footer="992" w:gutter="0"/>
          <w:cols w:space="720" w:num="1"/>
          <w:titlePg/>
          <w:docGrid w:linePitch="312" w:charSpace="0"/>
        </w:sectPr>
      </w:pPr>
    </w:p>
    <w:p w14:paraId="7A407CFE">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53E6DFE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62B7D9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0DA9B8A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1F05161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5C2DB45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740FE35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1553CCCB">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27EE3A27">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59EC352F">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2246AA5F">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295DAEFE">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50BF6AC9">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p>
    <w:p w14:paraId="1A0B04D1">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084E68C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25FC7D6">
      <w:pPr>
        <w:spacing w:line="360" w:lineRule="auto"/>
        <w:jc w:val="center"/>
        <w:rPr>
          <w:rFonts w:hint="eastAsia" w:ascii="仿宋" w:hAnsi="仿宋" w:eastAsia="仿宋" w:cs="仿宋"/>
          <w:b/>
          <w:bCs/>
          <w:color w:val="auto"/>
          <w:sz w:val="24"/>
          <w:highlight w:val="none"/>
        </w:rPr>
        <w:sectPr>
          <w:pgSz w:w="11906" w:h="16838"/>
          <w:pgMar w:top="1276" w:right="1418" w:bottom="1247" w:left="1418" w:header="851" w:footer="992" w:gutter="0"/>
          <w:cols w:space="720" w:num="1"/>
          <w:titlePg/>
          <w:docGrid w:linePitch="312" w:charSpace="0"/>
        </w:sectPr>
      </w:pPr>
    </w:p>
    <w:p w14:paraId="42BE2B0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3B490310">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790A913">
      <w:pPr>
        <w:spacing w:line="360" w:lineRule="auto"/>
        <w:jc w:val="center"/>
        <w:outlineLvl w:val="0"/>
        <w:rPr>
          <w:rFonts w:hint="eastAsia" w:ascii="仿宋" w:hAnsi="仿宋" w:eastAsia="仿宋" w:cs="仿宋"/>
          <w:b/>
          <w:color w:val="auto"/>
          <w:kern w:val="0"/>
          <w:sz w:val="36"/>
          <w:szCs w:val="36"/>
          <w:highlight w:val="none"/>
        </w:rPr>
      </w:pPr>
    </w:p>
    <w:p w14:paraId="1FF5E80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18AA85E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bCs/>
          <w:snapToGrid w:val="0"/>
          <w:color w:val="auto"/>
          <w:sz w:val="24"/>
          <w:highlight w:val="none"/>
        </w:rPr>
        <w:t>报价情况说明</w:t>
      </w:r>
      <w:r>
        <w:rPr>
          <w:rFonts w:hint="eastAsia" w:ascii="仿宋" w:hAnsi="仿宋" w:eastAsia="仿宋" w:cs="仿宋"/>
          <w:color w:val="auto"/>
          <w:sz w:val="24"/>
          <w:highlight w:val="none"/>
        </w:rPr>
        <w:t>…………………………………………………………………（页码）</w:t>
      </w:r>
    </w:p>
    <w:p w14:paraId="17F6BB79">
      <w:pP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（3）中小企业声明函………………………………………………………………（页码）</w:t>
      </w:r>
    </w:p>
    <w:p w14:paraId="569E4BB1">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14:paraId="6EDDA0C3">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11FDDBE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71739CE">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572A864B">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332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17" w:type="dxa"/>
            <w:vAlign w:val="center"/>
          </w:tcPr>
          <w:p w14:paraId="2F5AADF0">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0264766A">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vAlign w:val="center"/>
          </w:tcPr>
          <w:p w14:paraId="6607287E">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637C624B">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6F1F254C">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1B265AD0">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vAlign w:val="center"/>
          </w:tcPr>
          <w:p w14:paraId="134E653F">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3E2EDC37">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tc>
      </w:tr>
      <w:tr w14:paraId="22661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585131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1995D32C">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16B89C93">
            <w:pPr>
              <w:snapToGrid w:val="0"/>
              <w:jc w:val="center"/>
              <w:rPr>
                <w:rFonts w:hint="eastAsia" w:ascii="仿宋" w:hAnsi="仿宋" w:eastAsia="仿宋" w:cs="仿宋"/>
                <w:color w:val="auto"/>
                <w:sz w:val="24"/>
                <w:highlight w:val="none"/>
              </w:rPr>
            </w:pPr>
          </w:p>
        </w:tc>
        <w:tc>
          <w:tcPr>
            <w:tcW w:w="2410" w:type="dxa"/>
            <w:vAlign w:val="center"/>
          </w:tcPr>
          <w:p w14:paraId="0D530846">
            <w:pPr>
              <w:snapToGrid w:val="0"/>
              <w:jc w:val="center"/>
              <w:rPr>
                <w:rFonts w:hint="eastAsia" w:ascii="仿宋" w:hAnsi="仿宋" w:eastAsia="仿宋" w:cs="仿宋"/>
                <w:color w:val="auto"/>
                <w:sz w:val="24"/>
                <w:highlight w:val="none"/>
              </w:rPr>
            </w:pPr>
          </w:p>
        </w:tc>
        <w:tc>
          <w:tcPr>
            <w:tcW w:w="2268" w:type="dxa"/>
            <w:vAlign w:val="center"/>
          </w:tcPr>
          <w:p w14:paraId="26365938">
            <w:pPr>
              <w:snapToGrid w:val="0"/>
              <w:jc w:val="center"/>
              <w:rPr>
                <w:rFonts w:hint="eastAsia" w:ascii="仿宋" w:hAnsi="仿宋" w:eastAsia="仿宋" w:cs="仿宋"/>
                <w:color w:val="auto"/>
                <w:sz w:val="24"/>
                <w:highlight w:val="none"/>
              </w:rPr>
            </w:pPr>
          </w:p>
        </w:tc>
        <w:tc>
          <w:tcPr>
            <w:tcW w:w="2126" w:type="dxa"/>
            <w:vAlign w:val="center"/>
          </w:tcPr>
          <w:p w14:paraId="78790731">
            <w:pPr>
              <w:jc w:val="center"/>
              <w:rPr>
                <w:rFonts w:hint="eastAsia" w:ascii="仿宋" w:hAnsi="仿宋" w:eastAsia="仿宋" w:cs="仿宋"/>
                <w:color w:val="auto"/>
                <w:sz w:val="24"/>
                <w:highlight w:val="none"/>
              </w:rPr>
            </w:pPr>
          </w:p>
        </w:tc>
        <w:tc>
          <w:tcPr>
            <w:tcW w:w="2127" w:type="dxa"/>
          </w:tcPr>
          <w:p w14:paraId="1AACD112">
            <w:pPr>
              <w:jc w:val="center"/>
              <w:rPr>
                <w:rFonts w:hint="eastAsia" w:ascii="仿宋" w:hAnsi="仿宋" w:eastAsia="仿宋" w:cs="仿宋"/>
                <w:color w:val="auto"/>
                <w:sz w:val="24"/>
                <w:highlight w:val="none"/>
              </w:rPr>
            </w:pPr>
          </w:p>
        </w:tc>
        <w:tc>
          <w:tcPr>
            <w:tcW w:w="2126" w:type="dxa"/>
            <w:vAlign w:val="center"/>
          </w:tcPr>
          <w:p w14:paraId="4804C1A3">
            <w:pPr>
              <w:jc w:val="center"/>
              <w:rPr>
                <w:rFonts w:hint="eastAsia" w:ascii="仿宋" w:hAnsi="仿宋" w:eastAsia="仿宋" w:cs="仿宋"/>
                <w:color w:val="auto"/>
                <w:sz w:val="24"/>
                <w:highlight w:val="none"/>
              </w:rPr>
            </w:pPr>
          </w:p>
        </w:tc>
      </w:tr>
      <w:tr w14:paraId="3EF51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DE7E34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256A7FB5">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6964EC90">
            <w:pPr>
              <w:snapToGrid w:val="0"/>
              <w:jc w:val="center"/>
              <w:rPr>
                <w:rFonts w:hint="eastAsia" w:ascii="仿宋" w:hAnsi="仿宋" w:eastAsia="仿宋" w:cs="仿宋"/>
                <w:color w:val="auto"/>
                <w:sz w:val="24"/>
                <w:highlight w:val="none"/>
              </w:rPr>
            </w:pPr>
          </w:p>
        </w:tc>
        <w:tc>
          <w:tcPr>
            <w:tcW w:w="2410" w:type="dxa"/>
            <w:vAlign w:val="center"/>
          </w:tcPr>
          <w:p w14:paraId="30F42B47">
            <w:pPr>
              <w:snapToGrid w:val="0"/>
              <w:jc w:val="center"/>
              <w:rPr>
                <w:rFonts w:hint="eastAsia" w:ascii="仿宋" w:hAnsi="仿宋" w:eastAsia="仿宋" w:cs="仿宋"/>
                <w:color w:val="auto"/>
                <w:sz w:val="24"/>
                <w:highlight w:val="none"/>
              </w:rPr>
            </w:pPr>
          </w:p>
        </w:tc>
        <w:tc>
          <w:tcPr>
            <w:tcW w:w="2268" w:type="dxa"/>
            <w:vAlign w:val="center"/>
          </w:tcPr>
          <w:p w14:paraId="73772F27">
            <w:pPr>
              <w:snapToGrid w:val="0"/>
              <w:jc w:val="center"/>
              <w:rPr>
                <w:rFonts w:hint="eastAsia" w:ascii="仿宋" w:hAnsi="仿宋" w:eastAsia="仿宋" w:cs="仿宋"/>
                <w:color w:val="auto"/>
                <w:sz w:val="24"/>
                <w:highlight w:val="none"/>
              </w:rPr>
            </w:pPr>
          </w:p>
        </w:tc>
        <w:tc>
          <w:tcPr>
            <w:tcW w:w="2126" w:type="dxa"/>
            <w:vAlign w:val="center"/>
          </w:tcPr>
          <w:p w14:paraId="296C0BF0">
            <w:pPr>
              <w:jc w:val="center"/>
              <w:rPr>
                <w:rFonts w:hint="eastAsia" w:ascii="仿宋" w:hAnsi="仿宋" w:eastAsia="仿宋" w:cs="仿宋"/>
                <w:color w:val="auto"/>
                <w:sz w:val="24"/>
                <w:highlight w:val="none"/>
              </w:rPr>
            </w:pPr>
          </w:p>
        </w:tc>
        <w:tc>
          <w:tcPr>
            <w:tcW w:w="2127" w:type="dxa"/>
          </w:tcPr>
          <w:p w14:paraId="77A5E3B3">
            <w:pPr>
              <w:jc w:val="center"/>
              <w:rPr>
                <w:rFonts w:hint="eastAsia" w:ascii="仿宋" w:hAnsi="仿宋" w:eastAsia="仿宋" w:cs="仿宋"/>
                <w:color w:val="auto"/>
                <w:sz w:val="24"/>
                <w:highlight w:val="none"/>
              </w:rPr>
            </w:pPr>
          </w:p>
        </w:tc>
        <w:tc>
          <w:tcPr>
            <w:tcW w:w="2126" w:type="dxa"/>
            <w:vAlign w:val="center"/>
          </w:tcPr>
          <w:p w14:paraId="258B6126">
            <w:pPr>
              <w:jc w:val="center"/>
              <w:rPr>
                <w:rFonts w:hint="eastAsia" w:ascii="仿宋" w:hAnsi="仿宋" w:eastAsia="仿宋" w:cs="仿宋"/>
                <w:color w:val="auto"/>
                <w:sz w:val="24"/>
                <w:highlight w:val="none"/>
              </w:rPr>
            </w:pPr>
          </w:p>
        </w:tc>
      </w:tr>
      <w:tr w14:paraId="351B3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06CEC3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104B4FBF">
            <w:pPr>
              <w:snapToGrid w:val="0"/>
              <w:jc w:val="center"/>
              <w:rPr>
                <w:rFonts w:hint="eastAsia" w:ascii="仿宋" w:hAnsi="仿宋" w:eastAsia="仿宋" w:cs="仿宋"/>
                <w:color w:val="auto"/>
                <w:sz w:val="24"/>
                <w:highlight w:val="none"/>
              </w:rPr>
            </w:pPr>
          </w:p>
        </w:tc>
        <w:tc>
          <w:tcPr>
            <w:tcW w:w="2268" w:type="dxa"/>
            <w:vAlign w:val="center"/>
          </w:tcPr>
          <w:p w14:paraId="169411CC">
            <w:pPr>
              <w:snapToGrid w:val="0"/>
              <w:jc w:val="center"/>
              <w:rPr>
                <w:rFonts w:hint="eastAsia" w:ascii="仿宋" w:hAnsi="仿宋" w:eastAsia="仿宋" w:cs="仿宋"/>
                <w:color w:val="auto"/>
                <w:sz w:val="24"/>
                <w:highlight w:val="none"/>
              </w:rPr>
            </w:pPr>
          </w:p>
        </w:tc>
        <w:tc>
          <w:tcPr>
            <w:tcW w:w="2410" w:type="dxa"/>
            <w:vAlign w:val="center"/>
          </w:tcPr>
          <w:p w14:paraId="3F220C11">
            <w:pPr>
              <w:snapToGrid w:val="0"/>
              <w:jc w:val="center"/>
              <w:rPr>
                <w:rFonts w:hint="eastAsia" w:ascii="仿宋" w:hAnsi="仿宋" w:eastAsia="仿宋" w:cs="仿宋"/>
                <w:color w:val="auto"/>
                <w:sz w:val="24"/>
                <w:highlight w:val="none"/>
              </w:rPr>
            </w:pPr>
          </w:p>
        </w:tc>
        <w:tc>
          <w:tcPr>
            <w:tcW w:w="2268" w:type="dxa"/>
            <w:vAlign w:val="center"/>
          </w:tcPr>
          <w:p w14:paraId="71297C98">
            <w:pPr>
              <w:snapToGrid w:val="0"/>
              <w:jc w:val="center"/>
              <w:rPr>
                <w:rFonts w:hint="eastAsia" w:ascii="仿宋" w:hAnsi="仿宋" w:eastAsia="仿宋" w:cs="仿宋"/>
                <w:color w:val="auto"/>
                <w:sz w:val="24"/>
                <w:highlight w:val="none"/>
              </w:rPr>
            </w:pPr>
          </w:p>
        </w:tc>
        <w:tc>
          <w:tcPr>
            <w:tcW w:w="2126" w:type="dxa"/>
            <w:vAlign w:val="center"/>
          </w:tcPr>
          <w:p w14:paraId="4B4136B9">
            <w:pPr>
              <w:jc w:val="center"/>
              <w:rPr>
                <w:rFonts w:hint="eastAsia" w:ascii="仿宋" w:hAnsi="仿宋" w:eastAsia="仿宋" w:cs="仿宋"/>
                <w:color w:val="auto"/>
                <w:sz w:val="24"/>
                <w:highlight w:val="none"/>
              </w:rPr>
            </w:pPr>
          </w:p>
        </w:tc>
        <w:tc>
          <w:tcPr>
            <w:tcW w:w="2127" w:type="dxa"/>
          </w:tcPr>
          <w:p w14:paraId="6355BC93">
            <w:pPr>
              <w:jc w:val="center"/>
              <w:rPr>
                <w:rFonts w:hint="eastAsia" w:ascii="仿宋" w:hAnsi="仿宋" w:eastAsia="仿宋" w:cs="仿宋"/>
                <w:color w:val="auto"/>
                <w:sz w:val="24"/>
                <w:highlight w:val="none"/>
              </w:rPr>
            </w:pPr>
          </w:p>
        </w:tc>
        <w:tc>
          <w:tcPr>
            <w:tcW w:w="2126" w:type="dxa"/>
            <w:vAlign w:val="center"/>
          </w:tcPr>
          <w:p w14:paraId="7F292145">
            <w:pPr>
              <w:jc w:val="center"/>
              <w:rPr>
                <w:rFonts w:hint="eastAsia" w:ascii="仿宋" w:hAnsi="仿宋" w:eastAsia="仿宋" w:cs="仿宋"/>
                <w:color w:val="auto"/>
                <w:sz w:val="24"/>
                <w:highlight w:val="none"/>
              </w:rPr>
            </w:pPr>
          </w:p>
        </w:tc>
      </w:tr>
      <w:tr w14:paraId="28690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487" w:type="dxa"/>
            <w:gridSpan w:val="4"/>
            <w:vAlign w:val="center"/>
          </w:tcPr>
          <w:p w14:paraId="51BF30E9">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8647" w:type="dxa"/>
            <w:gridSpan w:val="4"/>
          </w:tcPr>
          <w:p w14:paraId="736EA8E3">
            <w:pPr>
              <w:jc w:val="center"/>
              <w:rPr>
                <w:rFonts w:hint="eastAsia" w:ascii="仿宋" w:hAnsi="仿宋" w:eastAsia="仿宋" w:cs="仿宋"/>
                <w:color w:val="auto"/>
                <w:sz w:val="24"/>
                <w:highlight w:val="none"/>
              </w:rPr>
            </w:pPr>
          </w:p>
        </w:tc>
      </w:tr>
      <w:tr w14:paraId="0BE3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835510F">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8647" w:type="dxa"/>
            <w:gridSpan w:val="4"/>
          </w:tcPr>
          <w:p w14:paraId="7F9E200A">
            <w:pPr>
              <w:jc w:val="center"/>
              <w:rPr>
                <w:rFonts w:hint="eastAsia" w:ascii="仿宋" w:hAnsi="仿宋" w:eastAsia="仿宋" w:cs="仿宋"/>
                <w:color w:val="auto"/>
                <w:sz w:val="24"/>
                <w:highlight w:val="none"/>
              </w:rPr>
            </w:pPr>
          </w:p>
        </w:tc>
      </w:tr>
    </w:tbl>
    <w:p w14:paraId="0245A22C">
      <w:pPr>
        <w:snapToGrid w:val="0"/>
        <w:spacing w:line="240" w:lineRule="exact"/>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63A02FAC">
      <w:pPr>
        <w:spacing w:line="240" w:lineRule="exact"/>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77F80003">
      <w:pPr>
        <w:spacing w:line="2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33ECBCEE">
      <w:pPr>
        <w:snapToGrid w:val="0"/>
        <w:spacing w:line="24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8337D6D">
      <w:pPr>
        <w:snapToGrid w:val="0"/>
        <w:spacing w:line="240" w:lineRule="exact"/>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A2024A2">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00A4D04">
      <w:pPr>
        <w:pStyle w:val="692"/>
        <w:keepNext w:val="0"/>
        <w:numPr>
          <w:ilvl w:val="0"/>
          <w:numId w:val="4"/>
        </w:numPr>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报价情况说明（如果有）</w:t>
      </w:r>
    </w:p>
    <w:p w14:paraId="5AB16830">
      <w:pPr>
        <w:pStyle w:val="2"/>
        <w:keepNext w:val="0"/>
        <w:numPr>
          <w:ilvl w:val="255"/>
          <w:numId w:val="0"/>
        </w:numPr>
        <w:snapToGrid w:val="0"/>
        <w:spacing w:before="120" w:after="120"/>
        <w:rPr>
          <w:rFonts w:hint="eastAsia" w:ascii="仿宋" w:eastAsia="仿宋" w:cs="仿宋"/>
          <w:color w:val="auto"/>
          <w:highlight w:val="none"/>
          <w:lang w:val="en-US"/>
        </w:rPr>
      </w:pPr>
      <w:r>
        <w:rPr>
          <w:rFonts w:hint="eastAsia" w:ascii="仿宋" w:eastAsia="仿宋" w:cs="仿宋"/>
          <w:b w:val="0"/>
          <w:bCs w:val="0"/>
          <w:color w:val="auto"/>
          <w:sz w:val="24"/>
          <w:szCs w:val="24"/>
          <w:highlight w:val="none"/>
          <w:lang w:val="en-US"/>
        </w:rPr>
        <w:t>（如供应商报价低于项目预算50%的，应当提交本文档，详细阐述不影响产品质量或者诚信履约的具体原因。）</w:t>
      </w:r>
    </w:p>
    <w:p w14:paraId="1929F989">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4F5A9FA2">
      <w:pPr>
        <w:pStyle w:val="692"/>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三、</w:t>
      </w:r>
      <w:r>
        <w:rPr>
          <w:rFonts w:hint="eastAsia" w:ascii="仿宋" w:hAnsi="仿宋" w:eastAsia="仿宋" w:cs="仿宋"/>
          <w:color w:val="auto"/>
          <w:sz w:val="32"/>
          <w:szCs w:val="32"/>
          <w:highlight w:val="none"/>
        </w:rPr>
        <w:t>中小企业声明函（如果有）</w:t>
      </w:r>
    </w:p>
    <w:p w14:paraId="3DC7CB23">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7483808">
      <w:pPr>
        <w:spacing w:line="360" w:lineRule="auto"/>
        <w:jc w:val="center"/>
        <w:rPr>
          <w:rFonts w:hint="eastAsia" w:ascii="仿宋" w:hAnsi="仿宋" w:eastAsia="仿宋" w:cs="宋体"/>
          <w:b/>
          <w:color w:val="auto"/>
          <w:szCs w:val="21"/>
          <w:highlight w:val="none"/>
        </w:rPr>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cols w:space="720" w:num="1"/>
          <w:titlePg/>
          <w:docGrid w:linePitch="312" w:charSpace="0"/>
        </w:sectPr>
      </w:pPr>
    </w:p>
    <w:p w14:paraId="31A74AB8">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66828AAB">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331EF0E5">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残疾人福利性单位声明函</w:t>
      </w:r>
    </w:p>
    <w:p w14:paraId="58760FC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2170F3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0B0DFC8D">
      <w:pPr>
        <w:spacing w:line="360" w:lineRule="auto"/>
        <w:ind w:firstLine="480" w:firstLineChars="200"/>
        <w:rPr>
          <w:rFonts w:hint="eastAsia" w:ascii="仿宋" w:hAnsi="仿宋" w:eastAsia="仿宋" w:cs="仿宋"/>
          <w:color w:val="auto"/>
          <w:sz w:val="24"/>
          <w:highlight w:val="none"/>
        </w:rPr>
      </w:pPr>
    </w:p>
    <w:p w14:paraId="4BDD2CC1">
      <w:pPr>
        <w:spacing w:line="360" w:lineRule="auto"/>
        <w:ind w:firstLine="480" w:firstLineChars="200"/>
        <w:rPr>
          <w:rFonts w:hint="eastAsia" w:ascii="仿宋" w:hAnsi="仿宋" w:eastAsia="仿宋" w:cs="仿宋"/>
          <w:color w:val="auto"/>
          <w:sz w:val="24"/>
          <w:highlight w:val="none"/>
        </w:rPr>
      </w:pPr>
    </w:p>
    <w:p w14:paraId="237E4B23">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60AAE299">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50926CC6">
      <w:pPr>
        <w:spacing w:line="360" w:lineRule="auto"/>
        <w:jc w:val="left"/>
        <w:rPr>
          <w:rFonts w:hint="eastAsia" w:ascii="仿宋" w:hAnsi="仿宋" w:eastAsia="仿宋" w:cs="仿宋"/>
          <w:b/>
          <w:color w:val="auto"/>
          <w:spacing w:val="6"/>
          <w:sz w:val="32"/>
          <w:szCs w:val="32"/>
          <w:highlight w:val="none"/>
        </w:rPr>
        <w:sectPr>
          <w:pgSz w:w="11906" w:h="16838"/>
          <w:pgMar w:top="1276" w:right="1418" w:bottom="1247" w:left="1418" w:header="851" w:footer="992" w:gutter="0"/>
          <w:cols w:space="720" w:num="1"/>
          <w:titlePg/>
          <w:docGrid w:linePitch="312" w:charSpace="0"/>
        </w:sectPr>
      </w:pPr>
    </w:p>
    <w:p w14:paraId="1E848B1B">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4D769C38">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00ECCDFD">
      <w:pPr>
        <w:snapToGrid w:val="0"/>
        <w:spacing w:before="240" w:beforeLines="100" w:line="276"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20C89938">
      <w:pPr>
        <w:snapToGrid w:val="0"/>
        <w:spacing w:line="276"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3C882656">
      <w:pPr>
        <w:snapToGrid w:val="0"/>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FB2CAB8">
      <w:pPr>
        <w:snapToGrid w:val="0"/>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236C6DC">
      <w:pPr>
        <w:snapToGrid w:val="0"/>
        <w:spacing w:line="276"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5091B197">
      <w:pPr>
        <w:snapToGrid w:val="0"/>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AC48B1B">
      <w:pPr>
        <w:snapToGrid w:val="0"/>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F71CCFF">
      <w:pPr>
        <w:snapToGrid w:val="0"/>
        <w:spacing w:line="276"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02B5452D">
      <w:pPr>
        <w:snapToGrid w:val="0"/>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3A2467D0">
      <w:pPr>
        <w:snapToGrid w:val="0"/>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62EACC9">
      <w:pPr>
        <w:snapToGrid w:val="0"/>
        <w:spacing w:line="276"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35489EF6">
      <w:pPr>
        <w:snapToGrid w:val="0"/>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1F1780F3">
      <w:pPr>
        <w:snapToGrid w:val="0"/>
        <w:spacing w:line="276"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1C3F50AD">
      <w:pPr>
        <w:snapToGrid w:val="0"/>
        <w:spacing w:line="276"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49F2640E">
      <w:pPr>
        <w:snapToGrid w:val="0"/>
        <w:spacing w:line="276"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B574222">
      <w:pPr>
        <w:snapToGrid w:val="0"/>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5F6229DC">
      <w:pPr>
        <w:snapToGrid w:val="0"/>
        <w:spacing w:line="276"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1A8663A">
      <w:pPr>
        <w:snapToGrid w:val="0"/>
        <w:spacing w:line="276"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EEDB077">
      <w:pPr>
        <w:snapToGrid w:val="0"/>
        <w:spacing w:line="276"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4F1EB6CF">
      <w:pPr>
        <w:snapToGrid w:val="0"/>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7D04EE5">
      <w:pPr>
        <w:snapToGrid w:val="0"/>
        <w:spacing w:line="276"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0413414F">
      <w:pPr>
        <w:snapToGrid w:val="0"/>
        <w:spacing w:line="276"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1BE68772">
      <w:pPr>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0EBE9E7">
      <w:pPr>
        <w:spacing w:line="27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9775A51">
      <w:pPr>
        <w:spacing w:line="276"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5B58A3B8">
      <w:pPr>
        <w:widowControl/>
        <w:spacing w:line="27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0375CAD1">
      <w:pPr>
        <w:widowControl/>
        <w:spacing w:line="27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1470FD0">
      <w:pPr>
        <w:widowControl/>
        <w:spacing w:line="27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0D4A1F49">
      <w:pPr>
        <w:widowControl/>
        <w:spacing w:line="27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2793B623">
      <w:pPr>
        <w:widowControl/>
        <w:spacing w:line="27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40716A74">
      <w:pPr>
        <w:widowControl/>
        <w:spacing w:line="27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01721920">
      <w:pPr>
        <w:spacing w:line="360" w:lineRule="auto"/>
        <w:jc w:val="left"/>
        <w:rPr>
          <w:rFonts w:hint="eastAsia" w:ascii="仿宋" w:hAnsi="仿宋" w:eastAsia="仿宋" w:cs="仿宋"/>
          <w:b/>
          <w:color w:val="auto"/>
          <w:spacing w:val="6"/>
          <w:sz w:val="32"/>
          <w:szCs w:val="32"/>
          <w:highlight w:val="none"/>
        </w:rPr>
        <w:sectPr>
          <w:pgSz w:w="11906" w:h="16838"/>
          <w:pgMar w:top="1276" w:right="1418" w:bottom="1247" w:left="1418" w:header="851" w:footer="992" w:gutter="0"/>
          <w:cols w:space="720" w:num="1"/>
          <w:titlePg/>
          <w:docGrid w:linePitch="312" w:charSpace="0"/>
        </w:sectPr>
      </w:pPr>
    </w:p>
    <w:p w14:paraId="3374E8E9">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2FECC665">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7577BC6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471DD58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6EE345D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dotted"/>
        </w:rPr>
        <w:t xml:space="preserve">  </w:t>
      </w:r>
    </w:p>
    <w:p w14:paraId="456ACC08">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p>
    <w:p w14:paraId="5E365A49">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C149C4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D41FEC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D4DDA8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p>
    <w:p w14:paraId="265AF5C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3ABCA2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63E927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50698B2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72CF1D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p>
    <w:p w14:paraId="3436AF1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6CFBB0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3D6F83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5D4C09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788A44C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E0FFCA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73D295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19F08D8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8F0EA2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077CA7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1DFFFECA">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401E595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741B383">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2A8CD8A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740C882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73EA9F8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03C07E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A87EBB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6138CA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5E2687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172CBBC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50C5B1B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6480114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6CCD84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A39E28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DC62B4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2473541">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0F60E1F4">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44DB722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2683936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378C931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5CFA80D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2F0972DA">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14CB7C97">
      <w:pPr>
        <w:autoSpaceDE w:val="0"/>
        <w:autoSpaceDN w:val="0"/>
        <w:jc w:val="center"/>
        <w:rPr>
          <w:rFonts w:hint="eastAsia" w:ascii="仿宋" w:hAnsi="仿宋" w:eastAsia="仿宋" w:cs="仿宋"/>
          <w:b/>
          <w:color w:val="auto"/>
          <w:spacing w:val="6"/>
          <w:sz w:val="32"/>
          <w:szCs w:val="32"/>
          <w:highlight w:val="none"/>
        </w:rPr>
        <w:sectPr>
          <w:pgSz w:w="11906" w:h="16838"/>
          <w:pgMar w:top="1276" w:right="1418" w:bottom="1247" w:left="1418" w:header="851" w:footer="992" w:gutter="0"/>
          <w:cols w:space="720" w:num="1"/>
          <w:titlePg/>
          <w:docGrid w:linePitch="312" w:charSpace="0"/>
        </w:sectPr>
      </w:pPr>
    </w:p>
    <w:p w14:paraId="52D535B4">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201362F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05716A1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2D0AAB7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791354F">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6158D5CE">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D953FAA">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65AAA74A">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7CAB4E60">
      <w:pPr>
        <w:autoSpaceDE w:val="0"/>
        <w:autoSpaceDN w:val="0"/>
        <w:jc w:val="center"/>
        <w:rPr>
          <w:rFonts w:hint="eastAsia" w:ascii="仿宋" w:hAnsi="仿宋" w:eastAsia="仿宋" w:cs="仿宋"/>
          <w:b/>
          <w:color w:val="auto"/>
          <w:spacing w:val="6"/>
          <w:sz w:val="32"/>
          <w:szCs w:val="32"/>
          <w:highlight w:val="none"/>
        </w:rPr>
      </w:pPr>
    </w:p>
    <w:p w14:paraId="55898821">
      <w:pPr>
        <w:autoSpaceDE w:val="0"/>
        <w:autoSpaceDN w:val="0"/>
        <w:jc w:val="center"/>
        <w:rPr>
          <w:rFonts w:hint="eastAsia" w:ascii="仿宋" w:hAnsi="仿宋" w:eastAsia="仿宋" w:cs="仿宋"/>
          <w:b/>
          <w:color w:val="auto"/>
          <w:spacing w:val="6"/>
          <w:sz w:val="32"/>
          <w:szCs w:val="32"/>
          <w:highlight w:val="none"/>
        </w:rPr>
      </w:pPr>
    </w:p>
    <w:p w14:paraId="17AD6258">
      <w:pPr>
        <w:autoSpaceDE w:val="0"/>
        <w:autoSpaceDN w:val="0"/>
        <w:jc w:val="center"/>
        <w:rPr>
          <w:rFonts w:hint="eastAsia" w:ascii="仿宋" w:hAnsi="仿宋" w:eastAsia="仿宋" w:cs="仿宋"/>
          <w:b/>
          <w:color w:val="auto"/>
          <w:spacing w:val="6"/>
          <w:sz w:val="32"/>
          <w:szCs w:val="32"/>
          <w:highlight w:val="none"/>
        </w:rPr>
      </w:pPr>
    </w:p>
    <w:p w14:paraId="3FF18538">
      <w:pPr>
        <w:autoSpaceDE w:val="0"/>
        <w:autoSpaceDN w:val="0"/>
        <w:jc w:val="center"/>
        <w:rPr>
          <w:rFonts w:hint="eastAsia" w:ascii="仿宋" w:hAnsi="仿宋" w:eastAsia="仿宋" w:cs="仿宋"/>
          <w:b/>
          <w:color w:val="auto"/>
          <w:spacing w:val="6"/>
          <w:sz w:val="32"/>
          <w:szCs w:val="32"/>
          <w:highlight w:val="none"/>
        </w:rPr>
      </w:pPr>
    </w:p>
    <w:p w14:paraId="126904A9">
      <w:pPr>
        <w:autoSpaceDE w:val="0"/>
        <w:autoSpaceDN w:val="0"/>
        <w:jc w:val="center"/>
        <w:rPr>
          <w:rFonts w:hint="eastAsia" w:ascii="仿宋" w:hAnsi="仿宋" w:eastAsia="仿宋" w:cs="仿宋"/>
          <w:b/>
          <w:color w:val="auto"/>
          <w:spacing w:val="6"/>
          <w:sz w:val="32"/>
          <w:szCs w:val="32"/>
          <w:highlight w:val="none"/>
        </w:rPr>
      </w:pPr>
    </w:p>
    <w:p w14:paraId="057A2053">
      <w:pPr>
        <w:autoSpaceDE w:val="0"/>
        <w:autoSpaceDN w:val="0"/>
        <w:jc w:val="center"/>
        <w:rPr>
          <w:rFonts w:hint="eastAsia" w:ascii="仿宋" w:hAnsi="仿宋" w:eastAsia="仿宋" w:cs="仿宋"/>
          <w:b/>
          <w:color w:val="auto"/>
          <w:spacing w:val="6"/>
          <w:sz w:val="32"/>
          <w:szCs w:val="32"/>
          <w:highlight w:val="none"/>
        </w:rPr>
      </w:pPr>
    </w:p>
    <w:p w14:paraId="68D07C40">
      <w:pPr>
        <w:autoSpaceDE w:val="0"/>
        <w:autoSpaceDN w:val="0"/>
        <w:jc w:val="center"/>
        <w:rPr>
          <w:rFonts w:hint="eastAsia" w:ascii="仿宋" w:hAnsi="仿宋" w:eastAsia="仿宋" w:cs="仿宋"/>
          <w:b/>
          <w:color w:val="auto"/>
          <w:spacing w:val="6"/>
          <w:sz w:val="32"/>
          <w:szCs w:val="32"/>
          <w:highlight w:val="none"/>
        </w:rPr>
      </w:pPr>
    </w:p>
    <w:p w14:paraId="6D75C7F6">
      <w:pPr>
        <w:autoSpaceDE w:val="0"/>
        <w:autoSpaceDN w:val="0"/>
        <w:jc w:val="center"/>
        <w:rPr>
          <w:rFonts w:hint="eastAsia" w:ascii="仿宋" w:hAnsi="仿宋" w:eastAsia="仿宋" w:cs="仿宋"/>
          <w:b/>
          <w:color w:val="auto"/>
          <w:spacing w:val="6"/>
          <w:sz w:val="32"/>
          <w:szCs w:val="32"/>
          <w:highlight w:val="none"/>
        </w:rPr>
      </w:pPr>
    </w:p>
    <w:p w14:paraId="161713C1">
      <w:pPr>
        <w:autoSpaceDE w:val="0"/>
        <w:autoSpaceDN w:val="0"/>
        <w:jc w:val="center"/>
        <w:rPr>
          <w:rFonts w:hint="eastAsia" w:ascii="仿宋" w:hAnsi="仿宋" w:eastAsia="仿宋" w:cs="仿宋"/>
          <w:b/>
          <w:color w:val="auto"/>
          <w:spacing w:val="6"/>
          <w:sz w:val="32"/>
          <w:szCs w:val="32"/>
          <w:highlight w:val="none"/>
        </w:rPr>
      </w:pPr>
    </w:p>
    <w:p w14:paraId="1CE4B38F">
      <w:pPr>
        <w:autoSpaceDE w:val="0"/>
        <w:autoSpaceDN w:val="0"/>
        <w:jc w:val="center"/>
        <w:rPr>
          <w:rFonts w:hint="eastAsia" w:ascii="仿宋" w:hAnsi="仿宋" w:eastAsia="仿宋" w:cs="仿宋"/>
          <w:b/>
          <w:color w:val="auto"/>
          <w:spacing w:val="6"/>
          <w:sz w:val="32"/>
          <w:szCs w:val="32"/>
          <w:highlight w:val="none"/>
        </w:rPr>
        <w:sectPr>
          <w:pgSz w:w="11906" w:h="16838"/>
          <w:pgMar w:top="1276" w:right="1418" w:bottom="1247" w:left="1418" w:header="851" w:footer="992" w:gutter="0"/>
          <w:cols w:space="720" w:num="1"/>
          <w:titlePg/>
          <w:docGrid w:linePitch="312" w:charSpace="0"/>
        </w:sectPr>
      </w:pPr>
    </w:p>
    <w:p w14:paraId="14AAA299">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6EDF409A">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068FED94">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16C30839">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2E971191">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66F20EAE">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4D8AFBC4">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30077AA8">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0DCD896">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0A262A16">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7D795901">
      <w:pPr>
        <w:snapToGrid w:val="0"/>
        <w:spacing w:line="360" w:lineRule="exact"/>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21" w:name="_Hlk101131882"/>
      <w:r>
        <w:rPr>
          <w:rFonts w:hint="eastAsia" w:ascii="仿宋" w:hAnsi="仿宋" w:eastAsia="仿宋" w:cs="仿宋"/>
          <w:color w:val="auto"/>
          <w:kern w:val="0"/>
          <w:sz w:val="24"/>
          <w:highlight w:val="none"/>
          <w:u w:val="single"/>
        </w:rPr>
        <w:t>联合体成员X,……</w:t>
      </w:r>
      <w:bookmarkEnd w:id="521"/>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22"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22"/>
      <w:r>
        <w:rPr>
          <w:rFonts w:hint="eastAsia" w:ascii="仿宋" w:hAnsi="仿宋" w:eastAsia="仿宋" w:cs="仿宋"/>
          <w:b/>
          <w:color w:val="auto"/>
          <w:kern w:val="0"/>
          <w:sz w:val="24"/>
          <w:highlight w:val="none"/>
          <w:lang w:val="zh-CN"/>
        </w:rPr>
        <w:t>）</w:t>
      </w:r>
    </w:p>
    <w:p w14:paraId="17B78384">
      <w:pPr>
        <w:spacing w:line="360" w:lineRule="exact"/>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23"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23"/>
    </w:p>
    <w:p w14:paraId="31CD0A94">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1C2E132C">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4F959415">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30237BFC">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1FCCD3B6">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121F632D">
      <w:pPr>
        <w:snapToGrid w:val="0"/>
        <w:spacing w:line="360" w:lineRule="exact"/>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27C8A89">
      <w:pPr>
        <w:snapToGrid w:val="0"/>
        <w:spacing w:line="360" w:lineRule="exact"/>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7BBBD82">
      <w:pPr>
        <w:snapToGrid w:val="0"/>
        <w:spacing w:line="360" w:lineRule="exact"/>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92EBF0B">
      <w:pPr>
        <w:snapToGrid w:val="0"/>
        <w:spacing w:line="360" w:lineRule="exact"/>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0C764A01">
      <w:pPr>
        <w:spacing w:line="360" w:lineRule="exact"/>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C6FA8D0">
      <w:pPr>
        <w:widowControl/>
        <w:adjustRightInd/>
        <w:jc w:val="center"/>
        <w:rPr>
          <w:rFonts w:hint="eastAsia" w:ascii="仿宋" w:hAnsi="仿宋" w:eastAsia="仿宋" w:cs="仿宋"/>
          <w:b/>
          <w:color w:val="auto"/>
          <w:spacing w:val="6"/>
          <w:sz w:val="32"/>
          <w:szCs w:val="32"/>
          <w:highlight w:val="none"/>
        </w:rPr>
        <w:sectPr>
          <w:pgSz w:w="11906" w:h="16838"/>
          <w:pgMar w:top="1276" w:right="1418" w:bottom="1247" w:left="1418" w:header="851" w:footer="992" w:gutter="0"/>
          <w:cols w:space="720" w:num="1"/>
          <w:titlePg/>
          <w:docGrid w:linePitch="312" w:charSpace="0"/>
        </w:sectPr>
      </w:pPr>
    </w:p>
    <w:p w14:paraId="76B5026C">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226A294B">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5EF3D98E">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542F3EDC">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65E5830C">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6A88A798">
      <w:pPr>
        <w:pStyle w:val="2"/>
        <w:spacing w:line="360" w:lineRule="exact"/>
        <w:ind w:left="664" w:leftChars="316" w:firstLine="229" w:firstLineChars="95"/>
        <w:rPr>
          <w:rFonts w:hint="eastAsia"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14:paraId="1DD8DBF0">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5A8CADEB">
      <w:pPr>
        <w:snapToGrid w:val="0"/>
        <w:spacing w:line="360" w:lineRule="exact"/>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55CEF903">
      <w:pPr>
        <w:spacing w:line="360" w:lineRule="exact"/>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6CAB60DF">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0580C8FB">
      <w:pPr>
        <w:snapToGrid w:val="0"/>
        <w:spacing w:line="360" w:lineRule="exact"/>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2FBAF43C">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0B9BBF8C">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4616406">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01C9BA33">
      <w:pPr>
        <w:snapToGrid w:val="0"/>
        <w:spacing w:line="360" w:lineRule="exact"/>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1622B4F">
      <w:pPr>
        <w:snapToGrid w:val="0"/>
        <w:spacing w:line="360" w:lineRule="exact"/>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1BD275A6">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6818957">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26F7FD85">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74D3DE8">
      <w:pPr>
        <w:snapToGrid w:val="0"/>
        <w:spacing w:line="36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00F3FE13">
      <w:pPr>
        <w:snapToGrid w:val="0"/>
        <w:spacing w:line="360" w:lineRule="exact"/>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w:t>
      </w:r>
    </w:p>
    <w:p w14:paraId="7BC14AEC">
      <w:pPr>
        <w:snapToGrid w:val="0"/>
        <w:spacing w:line="360" w:lineRule="exact"/>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7F6B268F">
      <w:pPr>
        <w:snapToGrid w:val="0"/>
        <w:spacing w:line="360" w:lineRule="exact"/>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64D032D7">
      <w:pPr>
        <w:snapToGrid w:val="0"/>
        <w:spacing w:line="360" w:lineRule="exact"/>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2273561">
      <w:pPr>
        <w:snapToGrid w:val="0"/>
        <w:spacing w:line="360" w:lineRule="exact"/>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153F16A0">
      <w:pPr>
        <w:spacing w:line="360" w:lineRule="exact"/>
        <w:ind w:right="420"/>
        <w:rPr>
          <w:rFonts w:hint="eastAsia" w:ascii="仿宋" w:hAnsi="仿宋" w:eastAsia="仿宋" w:cs="仿宋"/>
          <w:b/>
          <w:color w:val="auto"/>
          <w:spacing w:val="6"/>
          <w:sz w:val="32"/>
          <w:szCs w:val="32"/>
          <w:highlight w:val="none"/>
        </w:rPr>
      </w:pPr>
      <w:r>
        <w:rPr>
          <w:rFonts w:hint="eastAsia" w:ascii="仿宋" w:hAnsi="仿宋" w:eastAsia="仿宋" w:cs="仿宋"/>
          <w:color w:val="auto"/>
          <w:sz w:val="24"/>
          <w:highlight w:val="none"/>
        </w:rPr>
        <w:t>注：按本格式和要求提供。</w:t>
      </w:r>
    </w:p>
    <w:p w14:paraId="73E3973D">
      <w:pPr>
        <w:spacing w:line="360" w:lineRule="auto"/>
        <w:jc w:val="left"/>
        <w:outlineLvl w:val="0"/>
        <w:rPr>
          <w:rFonts w:hint="eastAsia" w:ascii="仿宋" w:hAnsi="仿宋" w:eastAsia="仿宋" w:cs="仿宋"/>
          <w:b/>
          <w:color w:val="auto"/>
          <w:sz w:val="36"/>
          <w:szCs w:val="20"/>
          <w:highlight w:val="none"/>
        </w:rPr>
        <w:sectPr>
          <w:pgSz w:w="11906" w:h="16838"/>
          <w:pgMar w:top="1276" w:right="1418" w:bottom="1247" w:left="1418" w:header="851" w:footer="992" w:gutter="0"/>
          <w:cols w:space="720" w:num="1"/>
          <w:titlePg/>
          <w:docGrid w:linePitch="312" w:charSpace="0"/>
        </w:sectPr>
      </w:pPr>
    </w:p>
    <w:p w14:paraId="659EF9A5">
      <w:pPr>
        <w:spacing w:line="360" w:lineRule="auto"/>
        <w:jc w:val="left"/>
        <w:outlineLvl w:val="0"/>
        <w:rPr>
          <w:rFonts w:hint="eastAsia" w:ascii="仿宋" w:hAnsi="仿宋" w:eastAsia="仿宋" w:cs="仿宋"/>
          <w:color w:val="auto"/>
          <w:sz w:val="24"/>
          <w:highlight w:val="none"/>
          <w:u w:val="single"/>
        </w:rPr>
      </w:pPr>
      <w:r>
        <w:rPr>
          <w:rFonts w:hint="eastAsia" w:ascii="仿宋" w:hAnsi="仿宋" w:eastAsia="仿宋" w:cs="仿宋"/>
          <w:b/>
          <w:color w:val="auto"/>
          <w:sz w:val="36"/>
          <w:szCs w:val="20"/>
          <w:highlight w:val="none"/>
        </w:rPr>
        <w:t>附件7：中小企业声明函</w:t>
      </w:r>
    </w:p>
    <w:p w14:paraId="51E0975F">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192B0636">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972338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3DC3780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62E8AE1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485555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5A84CCA">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3DD0468C">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49F528DA">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32041E74">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151A9A81">
      <w:pPr>
        <w:ind w:right="42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注：</w:t>
      </w:r>
    </w:p>
    <w:p w14:paraId="4774D2A1">
      <w:pPr>
        <w:numPr>
          <w:ilvl w:val="0"/>
          <w:numId w:val="5"/>
        </w:numPr>
        <w:ind w:right="420"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749F3F3">
      <w:pPr>
        <w:numPr>
          <w:ilvl w:val="0"/>
          <w:numId w:val="5"/>
        </w:numPr>
        <w:ind w:right="420" w:firstLine="440" w:firstLineChars="200"/>
        <w:rPr>
          <w:rFonts w:hint="eastAsia" w:ascii="仿宋" w:hAnsi="仿宋" w:eastAsia="仿宋" w:cs="仿宋"/>
          <w:color w:val="auto"/>
          <w:sz w:val="22"/>
          <w:szCs w:val="22"/>
          <w:highlight w:val="none"/>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2"/>
          <w:szCs w:val="22"/>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A4B2D29">
      <w:pPr>
        <w:pStyle w:val="319"/>
        <w:snapToGrid w:val="0"/>
        <w:spacing w:after="120" w:line="500" w:lineRule="exact"/>
        <w:jc w:val="center"/>
        <w:rPr>
          <w:rFonts w:hint="eastAsia" w:ascii="仿宋" w:hAnsi="仿宋" w:eastAsia="仿宋"/>
          <w:color w:val="auto"/>
          <w:szCs w:val="21"/>
          <w:highlight w:val="none"/>
          <w:u w:val="single"/>
        </w:rPr>
      </w:pPr>
      <w:r>
        <w:rPr>
          <w:rFonts w:ascii="仿宋" w:hAnsi="仿宋" w:eastAsia="仿宋" w:cs="方正小标宋简体"/>
          <w:b/>
          <w:color w:val="auto"/>
          <w:sz w:val="28"/>
          <w:szCs w:val="28"/>
          <w:highlight w:val="none"/>
        </w:rPr>
        <w:t>政府采购活动现场确认声明书</w:t>
      </w:r>
    </w:p>
    <w:p w14:paraId="715D402E">
      <w:pPr>
        <w:pStyle w:val="319"/>
        <w:adjustRightInd w:val="0"/>
        <w:snapToGrid w:val="0"/>
        <w:spacing w:after="120" w:line="360" w:lineRule="auto"/>
        <w:rPr>
          <w:rFonts w:hint="eastAsia" w:ascii="仿宋" w:hAnsi="仿宋" w:eastAsia="仿宋"/>
          <w:b/>
          <w:color w:val="auto"/>
          <w:szCs w:val="21"/>
          <w:highlight w:val="none"/>
        </w:rPr>
      </w:pPr>
      <w:r>
        <w:rPr>
          <w:rFonts w:ascii="仿宋" w:hAnsi="仿宋" w:eastAsia="仿宋"/>
          <w:color w:val="auto"/>
          <w:spacing w:val="6"/>
          <w:szCs w:val="21"/>
          <w:highlight w:val="none"/>
          <w:u w:val="single"/>
        </w:rPr>
        <w:t xml:space="preserve">                 </w:t>
      </w:r>
      <w:r>
        <w:rPr>
          <w:rFonts w:ascii="仿宋" w:hAnsi="仿宋" w:eastAsia="仿宋"/>
          <w:color w:val="auto"/>
          <w:szCs w:val="21"/>
          <w:highlight w:val="none"/>
        </w:rPr>
        <w:t>：</w:t>
      </w:r>
    </w:p>
    <w:p w14:paraId="05FE4EE0">
      <w:pPr>
        <w:pStyle w:val="319"/>
        <w:adjustRightInd w:val="0"/>
        <w:snapToGrid w:val="0"/>
        <w:spacing w:before="120" w:beforeLines="50" w:after="120" w:line="320" w:lineRule="exact"/>
        <w:ind w:firstLine="424" w:firstLineChars="200"/>
        <w:rPr>
          <w:rFonts w:hint="eastAsia" w:ascii="仿宋" w:hAnsi="仿宋" w:eastAsia="仿宋"/>
          <w:color w:val="auto"/>
          <w:spacing w:val="6"/>
          <w:szCs w:val="21"/>
          <w:highlight w:val="none"/>
        </w:rPr>
      </w:pPr>
      <w:r>
        <w:rPr>
          <w:rFonts w:ascii="仿宋" w:hAnsi="仿宋" w:eastAsia="仿宋"/>
          <w:color w:val="auto"/>
          <w:spacing w:val="6"/>
          <w:szCs w:val="21"/>
          <w:highlight w:val="none"/>
        </w:rPr>
        <w:t>本人经由</w:t>
      </w:r>
      <w:r>
        <w:rPr>
          <w:rFonts w:ascii="仿宋" w:hAnsi="仿宋" w:eastAsia="仿宋"/>
          <w:color w:val="auto"/>
          <w:spacing w:val="6"/>
          <w:szCs w:val="21"/>
          <w:highlight w:val="none"/>
          <w:u w:val="single"/>
        </w:rPr>
        <w:t xml:space="preserve">                    （单位全称）</w:t>
      </w:r>
      <w:r>
        <w:rPr>
          <w:rFonts w:ascii="仿宋" w:hAnsi="仿宋" w:eastAsia="仿宋"/>
          <w:color w:val="auto"/>
          <w:spacing w:val="6"/>
          <w:szCs w:val="21"/>
          <w:highlight w:val="none"/>
        </w:rPr>
        <w:t>负责人</w:t>
      </w:r>
      <w:r>
        <w:rPr>
          <w:rFonts w:ascii="仿宋" w:hAnsi="仿宋" w:eastAsia="仿宋"/>
          <w:color w:val="auto"/>
          <w:spacing w:val="6"/>
          <w:szCs w:val="21"/>
          <w:highlight w:val="none"/>
          <w:u w:val="single"/>
        </w:rPr>
        <w:t xml:space="preserve">        （法人姓名）</w:t>
      </w:r>
      <w:r>
        <w:rPr>
          <w:rFonts w:ascii="仿宋" w:hAnsi="仿宋" w:eastAsia="仿宋"/>
          <w:color w:val="auto"/>
          <w:spacing w:val="6"/>
          <w:szCs w:val="21"/>
          <w:highlight w:val="none"/>
        </w:rPr>
        <w:t>合法授权参加</w:t>
      </w:r>
      <w:r>
        <w:rPr>
          <w:rFonts w:ascii="仿宋" w:hAnsi="仿宋" w:eastAsia="仿宋"/>
          <w:color w:val="auto"/>
          <w:spacing w:val="6"/>
          <w:szCs w:val="21"/>
          <w:highlight w:val="none"/>
          <w:u w:val="single"/>
        </w:rPr>
        <w:t xml:space="preserve">     </w:t>
      </w:r>
      <w:r>
        <w:rPr>
          <w:rFonts w:ascii="仿宋" w:hAnsi="仿宋" w:eastAsia="仿宋"/>
          <w:color w:val="auto"/>
          <w:spacing w:val="6"/>
          <w:szCs w:val="21"/>
          <w:highlight w:val="none"/>
        </w:rPr>
        <w:t>项目</w:t>
      </w:r>
      <w:r>
        <w:rPr>
          <w:rFonts w:ascii="仿宋" w:hAnsi="仿宋" w:eastAsia="仿宋"/>
          <w:color w:val="auto"/>
          <w:spacing w:val="6"/>
          <w:szCs w:val="21"/>
          <w:highlight w:val="none"/>
          <w:u w:val="single"/>
        </w:rPr>
        <w:t>（编号：        ）</w:t>
      </w:r>
      <w:r>
        <w:rPr>
          <w:rFonts w:ascii="仿宋" w:hAnsi="仿宋" w:eastAsia="仿宋"/>
          <w:color w:val="auto"/>
          <w:spacing w:val="6"/>
          <w:szCs w:val="21"/>
          <w:highlight w:val="none"/>
        </w:rPr>
        <w:t xml:space="preserve">政府采购活动，经与本单位法人代表（负责人）联系确认，现就有关公平竞争事项郑重声明如下： </w:t>
      </w:r>
    </w:p>
    <w:p w14:paraId="79186C5A">
      <w:pPr>
        <w:pStyle w:val="839"/>
        <w:widowControl/>
        <w:numPr>
          <w:ilvl w:val="0"/>
          <w:numId w:val="6"/>
        </w:numPr>
        <w:tabs>
          <w:tab w:val="clear" w:pos="8268"/>
        </w:tabs>
        <w:snapToGrid w:val="0"/>
        <w:spacing w:before="120" w:beforeLines="50" w:line="320" w:lineRule="exact"/>
        <w:ind w:firstLine="424" w:firstLineChars="202"/>
        <w:rPr>
          <w:rFonts w:hint="eastAsia" w:ascii="仿宋" w:hAnsi="仿宋" w:eastAsia="仿宋"/>
          <w:color w:val="auto"/>
          <w:kern w:val="0"/>
          <w:sz w:val="21"/>
          <w:szCs w:val="21"/>
          <w:highlight w:val="none"/>
        </w:rPr>
      </w:pPr>
      <w:r>
        <w:rPr>
          <w:rFonts w:ascii="仿宋" w:hAnsi="仿宋" w:eastAsia="仿宋"/>
          <w:color w:val="auto"/>
          <w:kern w:val="0"/>
          <w:sz w:val="21"/>
          <w:szCs w:val="21"/>
          <w:highlight w:val="none"/>
        </w:rPr>
        <w:t xml:space="preserve">本单位与采购人之间 </w:t>
      </w:r>
      <w:r>
        <w:rPr>
          <w:rFonts w:ascii="仿宋" w:hAnsi="仿宋" w:eastAsia="仿宋" w:cs="宋体"/>
          <w:color w:val="auto"/>
          <w:kern w:val="0"/>
          <w:sz w:val="21"/>
          <w:szCs w:val="21"/>
          <w:highlight w:val="none"/>
        </w:rPr>
        <w:t>□</w:t>
      </w:r>
      <w:r>
        <w:rPr>
          <w:rFonts w:ascii="仿宋" w:hAnsi="仿宋" w:eastAsia="仿宋"/>
          <w:color w:val="auto"/>
          <w:kern w:val="0"/>
          <w:sz w:val="21"/>
          <w:szCs w:val="21"/>
          <w:highlight w:val="none"/>
        </w:rPr>
        <w:t xml:space="preserve">不存在利害关系 </w:t>
      </w:r>
      <w:r>
        <w:rPr>
          <w:rFonts w:ascii="仿宋" w:hAnsi="仿宋" w:eastAsia="仿宋" w:cs="宋体"/>
          <w:color w:val="auto"/>
          <w:kern w:val="0"/>
          <w:sz w:val="21"/>
          <w:szCs w:val="21"/>
          <w:highlight w:val="none"/>
        </w:rPr>
        <w:t>□</w:t>
      </w:r>
      <w:r>
        <w:rPr>
          <w:rFonts w:ascii="仿宋" w:hAnsi="仿宋" w:eastAsia="仿宋"/>
          <w:color w:val="auto"/>
          <w:kern w:val="0"/>
          <w:sz w:val="21"/>
          <w:szCs w:val="21"/>
          <w:highlight w:val="none"/>
        </w:rPr>
        <w:t>存在下列利害关系</w:t>
      </w:r>
      <w:r>
        <w:rPr>
          <w:rFonts w:ascii="仿宋" w:hAnsi="仿宋" w:eastAsia="仿宋"/>
          <w:color w:val="auto"/>
          <w:kern w:val="0"/>
          <w:sz w:val="21"/>
          <w:szCs w:val="21"/>
          <w:highlight w:val="none"/>
          <w:u w:val="single"/>
        </w:rPr>
        <w:t xml:space="preserve">           </w:t>
      </w:r>
      <w:r>
        <w:rPr>
          <w:rFonts w:ascii="仿宋" w:hAnsi="仿宋" w:eastAsia="仿宋"/>
          <w:color w:val="auto"/>
          <w:kern w:val="0"/>
          <w:sz w:val="21"/>
          <w:szCs w:val="21"/>
          <w:highlight w:val="none"/>
        </w:rPr>
        <w:t>：</w:t>
      </w:r>
    </w:p>
    <w:p w14:paraId="75D77DB8">
      <w:pPr>
        <w:pStyle w:val="839"/>
        <w:widowControl/>
        <w:snapToGrid w:val="0"/>
        <w:spacing w:before="120" w:beforeLines="50" w:line="320" w:lineRule="exact"/>
        <w:ind w:firstLine="424" w:firstLineChars="202"/>
        <w:rPr>
          <w:rFonts w:hint="eastAsia" w:ascii="仿宋" w:hAnsi="仿宋" w:eastAsia="仿宋"/>
          <w:color w:val="auto"/>
          <w:kern w:val="0"/>
          <w:sz w:val="21"/>
          <w:szCs w:val="21"/>
          <w:highlight w:val="none"/>
        </w:rPr>
      </w:pPr>
      <w:r>
        <w:rPr>
          <w:rFonts w:ascii="仿宋" w:hAnsi="仿宋" w:eastAsia="仿宋"/>
          <w:color w:val="auto"/>
          <w:kern w:val="0"/>
          <w:sz w:val="21"/>
          <w:szCs w:val="21"/>
          <w:highlight w:val="none"/>
        </w:rPr>
        <w:t>A.投资关系    B.行政隶属关系    C.业务指导关系</w:t>
      </w:r>
    </w:p>
    <w:p w14:paraId="0CE8D010">
      <w:pPr>
        <w:pStyle w:val="839"/>
        <w:widowControl/>
        <w:snapToGrid w:val="0"/>
        <w:spacing w:before="120" w:beforeLines="50" w:line="320" w:lineRule="exact"/>
        <w:ind w:firstLine="424" w:firstLineChars="202"/>
        <w:rPr>
          <w:rFonts w:hint="eastAsia" w:ascii="仿宋" w:hAnsi="仿宋" w:eastAsia="仿宋"/>
          <w:color w:val="auto"/>
          <w:kern w:val="0"/>
          <w:sz w:val="21"/>
          <w:szCs w:val="21"/>
          <w:highlight w:val="none"/>
        </w:rPr>
      </w:pPr>
      <w:r>
        <w:rPr>
          <w:rFonts w:ascii="仿宋" w:hAnsi="仿宋" w:eastAsia="仿宋"/>
          <w:color w:val="auto"/>
          <w:kern w:val="0"/>
          <w:sz w:val="21"/>
          <w:szCs w:val="21"/>
          <w:highlight w:val="none"/>
        </w:rPr>
        <w:t>D.其他可能</w:t>
      </w:r>
      <w:r>
        <w:rPr>
          <w:rFonts w:ascii="仿宋" w:hAnsi="仿宋" w:eastAsia="仿宋"/>
          <w:color w:val="auto"/>
          <w:sz w:val="21"/>
          <w:szCs w:val="21"/>
          <w:highlight w:val="none"/>
        </w:rPr>
        <w:t>影响采购公正的</w:t>
      </w:r>
      <w:r>
        <w:rPr>
          <w:rFonts w:ascii="仿宋" w:hAnsi="仿宋" w:eastAsia="仿宋"/>
          <w:color w:val="auto"/>
          <w:kern w:val="0"/>
          <w:sz w:val="21"/>
          <w:szCs w:val="21"/>
          <w:highlight w:val="none"/>
        </w:rPr>
        <w:t>利害关系</w:t>
      </w:r>
      <w:r>
        <w:rPr>
          <w:rFonts w:ascii="仿宋" w:hAnsi="仿宋" w:eastAsia="仿宋"/>
          <w:color w:val="auto"/>
          <w:kern w:val="0"/>
          <w:sz w:val="21"/>
          <w:szCs w:val="21"/>
          <w:highlight w:val="none"/>
          <w:u w:val="single"/>
        </w:rPr>
        <w:t xml:space="preserve">（如有，请如实说明）                 </w:t>
      </w:r>
      <w:r>
        <w:rPr>
          <w:rFonts w:ascii="仿宋" w:hAnsi="仿宋" w:eastAsia="仿宋"/>
          <w:color w:val="auto"/>
          <w:kern w:val="0"/>
          <w:sz w:val="21"/>
          <w:szCs w:val="21"/>
          <w:highlight w:val="none"/>
        </w:rPr>
        <w:t>。</w:t>
      </w:r>
    </w:p>
    <w:p w14:paraId="021B5B20">
      <w:pPr>
        <w:pStyle w:val="839"/>
        <w:widowControl/>
        <w:snapToGrid w:val="0"/>
        <w:spacing w:before="120" w:beforeLines="50" w:line="320" w:lineRule="exact"/>
        <w:ind w:firstLine="448" w:firstLineChars="202"/>
        <w:rPr>
          <w:rFonts w:hint="eastAsia" w:ascii="仿宋" w:hAnsi="仿宋" w:eastAsia="仿宋"/>
          <w:color w:val="auto"/>
          <w:kern w:val="0"/>
          <w:sz w:val="21"/>
          <w:szCs w:val="21"/>
          <w:highlight w:val="none"/>
        </w:rPr>
      </w:pPr>
      <w:r>
        <w:rPr>
          <w:rFonts w:ascii="仿宋" w:hAnsi="仿宋" w:eastAsia="仿宋"/>
          <w:color w:val="auto"/>
          <w:spacing w:val="6"/>
          <w:sz w:val="21"/>
          <w:szCs w:val="21"/>
          <w:highlight w:val="none"/>
        </w:rPr>
        <w:t>二、</w:t>
      </w:r>
      <w:r>
        <w:rPr>
          <w:rFonts w:ascii="仿宋" w:hAnsi="仿宋" w:eastAsia="仿宋"/>
          <w:color w:val="auto"/>
          <w:kern w:val="0"/>
          <w:sz w:val="21"/>
          <w:szCs w:val="21"/>
          <w:highlight w:val="none"/>
        </w:rPr>
        <w:t xml:space="preserve">现已清楚知道参加本项目采购活动的其他所有供应商名称，本单位 </w:t>
      </w:r>
      <w:r>
        <w:rPr>
          <w:rFonts w:ascii="仿宋" w:hAnsi="仿宋" w:eastAsia="仿宋" w:cs="宋体"/>
          <w:color w:val="auto"/>
          <w:kern w:val="0"/>
          <w:sz w:val="21"/>
          <w:szCs w:val="21"/>
          <w:highlight w:val="none"/>
        </w:rPr>
        <w:t>□与其他所有供应商之间均</w:t>
      </w:r>
      <w:r>
        <w:rPr>
          <w:rFonts w:ascii="仿宋" w:hAnsi="仿宋" w:eastAsia="仿宋"/>
          <w:color w:val="auto"/>
          <w:kern w:val="0"/>
          <w:sz w:val="21"/>
          <w:szCs w:val="21"/>
          <w:highlight w:val="none"/>
        </w:rPr>
        <w:t>不存在利害关系</w:t>
      </w:r>
      <w:r>
        <w:rPr>
          <w:rFonts w:ascii="仿宋" w:hAnsi="仿宋" w:eastAsia="仿宋" w:cs="宋体"/>
          <w:color w:val="auto"/>
          <w:kern w:val="0"/>
          <w:sz w:val="21"/>
          <w:szCs w:val="21"/>
          <w:highlight w:val="none"/>
        </w:rPr>
        <w:t>□与</w:t>
      </w:r>
      <w:r>
        <w:rPr>
          <w:rFonts w:ascii="仿宋" w:hAnsi="仿宋" w:eastAsia="仿宋" w:cs="宋体"/>
          <w:color w:val="auto"/>
          <w:kern w:val="0"/>
          <w:sz w:val="21"/>
          <w:szCs w:val="21"/>
          <w:highlight w:val="none"/>
          <w:u w:val="single"/>
        </w:rPr>
        <w:t xml:space="preserve">           （供应商名称）</w:t>
      </w:r>
      <w:r>
        <w:rPr>
          <w:rFonts w:ascii="仿宋" w:hAnsi="仿宋" w:eastAsia="仿宋" w:cs="宋体"/>
          <w:color w:val="auto"/>
          <w:kern w:val="0"/>
          <w:sz w:val="21"/>
          <w:szCs w:val="21"/>
          <w:highlight w:val="none"/>
        </w:rPr>
        <w:t>之间</w:t>
      </w:r>
      <w:r>
        <w:rPr>
          <w:rFonts w:ascii="仿宋" w:hAnsi="仿宋" w:eastAsia="仿宋"/>
          <w:color w:val="auto"/>
          <w:kern w:val="0"/>
          <w:sz w:val="21"/>
          <w:szCs w:val="21"/>
          <w:highlight w:val="none"/>
        </w:rPr>
        <w:t>存在下列利害关系</w:t>
      </w:r>
      <w:r>
        <w:rPr>
          <w:rFonts w:ascii="仿宋" w:hAnsi="仿宋" w:eastAsia="仿宋"/>
          <w:color w:val="auto"/>
          <w:kern w:val="0"/>
          <w:sz w:val="21"/>
          <w:szCs w:val="21"/>
          <w:highlight w:val="none"/>
          <w:u w:val="single"/>
        </w:rPr>
        <w:t xml:space="preserve">          </w:t>
      </w:r>
      <w:r>
        <w:rPr>
          <w:rFonts w:ascii="仿宋" w:hAnsi="仿宋" w:eastAsia="仿宋"/>
          <w:color w:val="auto"/>
          <w:kern w:val="0"/>
          <w:sz w:val="21"/>
          <w:szCs w:val="21"/>
          <w:highlight w:val="none"/>
        </w:rPr>
        <w:t>：</w:t>
      </w:r>
    </w:p>
    <w:p w14:paraId="77F568D6">
      <w:pPr>
        <w:pStyle w:val="319"/>
        <w:adjustRightInd w:val="0"/>
        <w:snapToGrid w:val="0"/>
        <w:spacing w:after="120" w:line="360" w:lineRule="auto"/>
        <w:ind w:firstLine="400" w:firstLineChars="200"/>
        <w:rPr>
          <w:rFonts w:hint="eastAsia" w:ascii="仿宋" w:hAnsi="仿宋" w:eastAsia="仿宋"/>
          <w:color w:val="auto"/>
          <w:szCs w:val="21"/>
          <w:highlight w:val="none"/>
        </w:rPr>
      </w:pPr>
      <w:r>
        <w:rPr>
          <w:rFonts w:ascii="仿宋" w:hAnsi="仿宋" w:eastAsia="仿宋"/>
          <w:color w:val="auto"/>
          <w:szCs w:val="21"/>
          <w:highlight w:val="none"/>
        </w:rPr>
        <w:t>A.法定代表人或负责人或实际控制人是同一人</w:t>
      </w:r>
    </w:p>
    <w:p w14:paraId="47542ABA">
      <w:pPr>
        <w:pStyle w:val="319"/>
        <w:adjustRightInd w:val="0"/>
        <w:snapToGrid w:val="0"/>
        <w:spacing w:after="120" w:line="360" w:lineRule="auto"/>
        <w:ind w:firstLine="400" w:firstLineChars="200"/>
        <w:rPr>
          <w:rFonts w:hint="eastAsia" w:ascii="仿宋" w:hAnsi="仿宋" w:eastAsia="仿宋"/>
          <w:color w:val="auto"/>
          <w:spacing w:val="6"/>
          <w:szCs w:val="21"/>
          <w:highlight w:val="none"/>
        </w:rPr>
      </w:pPr>
      <w:r>
        <w:rPr>
          <w:rFonts w:ascii="仿宋" w:hAnsi="仿宋" w:eastAsia="仿宋"/>
          <w:color w:val="auto"/>
          <w:szCs w:val="21"/>
          <w:highlight w:val="none"/>
        </w:rPr>
        <w:t>B.法定代表人或负责人或实际控制人是夫妻关系</w:t>
      </w:r>
    </w:p>
    <w:p w14:paraId="676A340D">
      <w:pPr>
        <w:pStyle w:val="319"/>
        <w:adjustRightInd w:val="0"/>
        <w:snapToGrid w:val="0"/>
        <w:spacing w:after="120" w:line="360" w:lineRule="auto"/>
        <w:ind w:firstLine="400" w:firstLineChars="200"/>
        <w:rPr>
          <w:rFonts w:hint="eastAsia" w:ascii="仿宋" w:hAnsi="仿宋" w:eastAsia="仿宋"/>
          <w:color w:val="auto"/>
          <w:spacing w:val="6"/>
          <w:szCs w:val="21"/>
          <w:highlight w:val="none"/>
        </w:rPr>
      </w:pPr>
      <w:r>
        <w:rPr>
          <w:rFonts w:ascii="仿宋" w:hAnsi="仿宋" w:eastAsia="仿宋"/>
          <w:color w:val="auto"/>
          <w:szCs w:val="21"/>
          <w:highlight w:val="none"/>
        </w:rPr>
        <w:t>C.法定代表人或负责人或实际控制人是直系血亲关系</w:t>
      </w:r>
    </w:p>
    <w:p w14:paraId="1B354BF7">
      <w:pPr>
        <w:pStyle w:val="319"/>
        <w:adjustRightInd w:val="0"/>
        <w:snapToGrid w:val="0"/>
        <w:spacing w:after="120" w:line="360" w:lineRule="auto"/>
        <w:ind w:firstLine="400" w:firstLineChars="200"/>
        <w:rPr>
          <w:rFonts w:hint="eastAsia" w:ascii="仿宋" w:hAnsi="仿宋" w:eastAsia="仿宋"/>
          <w:color w:val="auto"/>
          <w:spacing w:val="6"/>
          <w:szCs w:val="21"/>
          <w:highlight w:val="none"/>
        </w:rPr>
      </w:pPr>
      <w:r>
        <w:rPr>
          <w:rFonts w:ascii="仿宋" w:hAnsi="仿宋" w:eastAsia="仿宋"/>
          <w:color w:val="auto"/>
          <w:szCs w:val="21"/>
          <w:highlight w:val="none"/>
        </w:rPr>
        <w:t>D.法定代表人或负责人或实际控制人存在三代以内旁系血亲关系</w:t>
      </w:r>
    </w:p>
    <w:p w14:paraId="09D774C4">
      <w:pPr>
        <w:pStyle w:val="319"/>
        <w:adjustRightInd w:val="0"/>
        <w:snapToGrid w:val="0"/>
        <w:spacing w:after="120" w:line="360" w:lineRule="auto"/>
        <w:ind w:firstLine="400" w:firstLineChars="200"/>
        <w:rPr>
          <w:rFonts w:hint="eastAsia" w:ascii="仿宋" w:hAnsi="仿宋" w:eastAsia="仿宋"/>
          <w:color w:val="auto"/>
          <w:szCs w:val="21"/>
          <w:highlight w:val="none"/>
        </w:rPr>
      </w:pPr>
      <w:r>
        <w:rPr>
          <w:rFonts w:ascii="仿宋" w:hAnsi="仿宋" w:eastAsia="仿宋"/>
          <w:color w:val="auto"/>
          <w:szCs w:val="21"/>
          <w:highlight w:val="none"/>
        </w:rPr>
        <w:t>E.法定代表人或负责人或实际控制人存在近姻亲关系</w:t>
      </w:r>
    </w:p>
    <w:p w14:paraId="25CD8553">
      <w:pPr>
        <w:pStyle w:val="319"/>
        <w:adjustRightInd w:val="0"/>
        <w:snapToGrid w:val="0"/>
        <w:spacing w:after="120" w:line="360" w:lineRule="auto"/>
        <w:ind w:firstLine="400" w:firstLineChars="200"/>
        <w:rPr>
          <w:rFonts w:hint="eastAsia" w:ascii="仿宋" w:hAnsi="仿宋" w:eastAsia="仿宋"/>
          <w:color w:val="auto"/>
          <w:szCs w:val="21"/>
          <w:highlight w:val="none"/>
        </w:rPr>
      </w:pPr>
      <w:r>
        <w:rPr>
          <w:rFonts w:ascii="仿宋" w:hAnsi="仿宋" w:eastAsia="仿宋"/>
          <w:color w:val="auto"/>
          <w:szCs w:val="21"/>
          <w:highlight w:val="none"/>
        </w:rPr>
        <w:t>F.法定代表人或负责人或实际控制人存在股份控制或实际控制关系</w:t>
      </w:r>
    </w:p>
    <w:p w14:paraId="3E9DF2B7">
      <w:pPr>
        <w:pStyle w:val="319"/>
        <w:adjustRightInd w:val="0"/>
        <w:snapToGrid w:val="0"/>
        <w:spacing w:after="120" w:line="360" w:lineRule="auto"/>
        <w:ind w:firstLine="400" w:firstLineChars="200"/>
        <w:rPr>
          <w:rFonts w:hint="eastAsia" w:ascii="仿宋" w:hAnsi="仿宋" w:eastAsia="仿宋"/>
          <w:color w:val="auto"/>
          <w:szCs w:val="21"/>
          <w:highlight w:val="none"/>
        </w:rPr>
      </w:pPr>
      <w:r>
        <w:rPr>
          <w:rFonts w:ascii="仿宋" w:hAnsi="仿宋" w:eastAsia="仿宋"/>
          <w:color w:val="auto"/>
          <w:szCs w:val="21"/>
          <w:highlight w:val="none"/>
        </w:rPr>
        <w:t>G.存在共同直接或间接投资设立子公司、联营企业和合营企业情况</w:t>
      </w:r>
    </w:p>
    <w:p w14:paraId="04D7CB0E">
      <w:pPr>
        <w:pStyle w:val="319"/>
        <w:adjustRightInd w:val="0"/>
        <w:snapToGrid w:val="0"/>
        <w:spacing w:after="120" w:line="360" w:lineRule="auto"/>
        <w:ind w:firstLine="400" w:firstLineChars="200"/>
        <w:rPr>
          <w:rFonts w:hint="eastAsia" w:ascii="仿宋" w:hAnsi="仿宋" w:eastAsia="仿宋"/>
          <w:color w:val="auto"/>
          <w:szCs w:val="21"/>
          <w:highlight w:val="none"/>
        </w:rPr>
      </w:pPr>
      <w:r>
        <w:rPr>
          <w:rFonts w:ascii="仿宋" w:hAnsi="仿宋" w:eastAsia="仿宋"/>
          <w:color w:val="auto"/>
          <w:szCs w:val="21"/>
          <w:highlight w:val="none"/>
        </w:rPr>
        <w:t>H.存在分级代理或代销关系、同一生产制造商关系、管理关系、重要业务（占主营业务收入50%以上）或重要财务往来关系（如融资）等其他实质性控制关系</w:t>
      </w:r>
    </w:p>
    <w:p w14:paraId="308C3A3A">
      <w:pPr>
        <w:pStyle w:val="319"/>
        <w:adjustRightInd w:val="0"/>
        <w:snapToGrid w:val="0"/>
        <w:spacing w:after="120" w:line="360" w:lineRule="auto"/>
        <w:ind w:firstLine="400" w:firstLineChars="200"/>
        <w:rPr>
          <w:rFonts w:hint="eastAsia" w:ascii="仿宋" w:hAnsi="仿宋" w:eastAsia="仿宋"/>
          <w:color w:val="auto"/>
          <w:spacing w:val="6"/>
          <w:szCs w:val="21"/>
          <w:highlight w:val="none"/>
        </w:rPr>
      </w:pPr>
      <w:r>
        <w:rPr>
          <w:rFonts w:ascii="仿宋" w:hAnsi="仿宋" w:eastAsia="仿宋"/>
          <w:color w:val="auto"/>
          <w:szCs w:val="21"/>
          <w:highlight w:val="none"/>
        </w:rPr>
        <w:t>I.其他利害关系情况</w:t>
      </w:r>
      <w:r>
        <w:rPr>
          <w:rFonts w:ascii="仿宋" w:hAnsi="仿宋" w:eastAsia="仿宋"/>
          <w:color w:val="auto"/>
          <w:szCs w:val="21"/>
          <w:highlight w:val="none"/>
          <w:u w:val="single"/>
        </w:rPr>
        <w:t xml:space="preserve">                              </w:t>
      </w:r>
      <w:r>
        <w:rPr>
          <w:rFonts w:ascii="仿宋" w:hAnsi="仿宋" w:eastAsia="仿宋"/>
          <w:color w:val="auto"/>
          <w:szCs w:val="21"/>
          <w:highlight w:val="none"/>
        </w:rPr>
        <w:t>。</w:t>
      </w:r>
    </w:p>
    <w:p w14:paraId="6F4AF9DA">
      <w:pPr>
        <w:pStyle w:val="839"/>
        <w:widowControl/>
        <w:numPr>
          <w:ilvl w:val="0"/>
          <w:numId w:val="7"/>
        </w:numPr>
        <w:tabs>
          <w:tab w:val="clear" w:pos="8268"/>
        </w:tabs>
        <w:snapToGrid w:val="0"/>
        <w:spacing w:after="120" w:line="360" w:lineRule="auto"/>
        <w:ind w:firstLine="396" w:firstLineChars="189"/>
        <w:rPr>
          <w:rFonts w:hint="eastAsia" w:ascii="仿宋" w:hAnsi="仿宋" w:eastAsia="仿宋"/>
          <w:color w:val="auto"/>
          <w:kern w:val="0"/>
          <w:sz w:val="21"/>
          <w:szCs w:val="21"/>
          <w:highlight w:val="none"/>
        </w:rPr>
      </w:pPr>
      <w:r>
        <w:rPr>
          <w:rFonts w:ascii="仿宋" w:hAnsi="仿宋" w:eastAsia="仿宋"/>
          <w:color w:val="auto"/>
          <w:sz w:val="21"/>
          <w:szCs w:val="21"/>
          <w:highlight w:val="none"/>
        </w:rPr>
        <w:t>现已清楚知道并</w:t>
      </w:r>
      <w:r>
        <w:rPr>
          <w:rFonts w:ascii="仿宋" w:hAnsi="仿宋" w:eastAsia="仿宋"/>
          <w:color w:val="auto"/>
          <w:kern w:val="0"/>
          <w:sz w:val="21"/>
          <w:szCs w:val="21"/>
          <w:highlight w:val="none"/>
        </w:rPr>
        <w:t>严格遵守政府采购法律法规和现场纪律。</w:t>
      </w:r>
    </w:p>
    <w:p w14:paraId="41F58471">
      <w:pPr>
        <w:pStyle w:val="839"/>
        <w:widowControl/>
        <w:numPr>
          <w:ilvl w:val="0"/>
          <w:numId w:val="7"/>
        </w:numPr>
        <w:tabs>
          <w:tab w:val="clear" w:pos="8268"/>
        </w:tabs>
        <w:snapToGrid w:val="0"/>
        <w:spacing w:after="120" w:line="360" w:lineRule="auto"/>
        <w:ind w:firstLine="396" w:firstLineChars="189"/>
        <w:rPr>
          <w:rFonts w:hint="eastAsia" w:ascii="仿宋" w:hAnsi="仿宋" w:eastAsia="仿宋"/>
          <w:color w:val="auto"/>
          <w:kern w:val="0"/>
          <w:sz w:val="21"/>
          <w:szCs w:val="21"/>
          <w:highlight w:val="none"/>
        </w:rPr>
      </w:pPr>
      <w:r>
        <w:rPr>
          <w:rFonts w:ascii="仿宋" w:hAnsi="仿宋" w:eastAsia="仿宋"/>
          <w:color w:val="auto"/>
          <w:kern w:val="0"/>
          <w:sz w:val="21"/>
          <w:szCs w:val="21"/>
          <w:highlight w:val="none"/>
        </w:rPr>
        <w:t>我发现</w:t>
      </w:r>
      <w:r>
        <w:rPr>
          <w:rFonts w:ascii="仿宋" w:hAnsi="仿宋" w:eastAsia="仿宋"/>
          <w:color w:val="auto"/>
          <w:kern w:val="0"/>
          <w:sz w:val="21"/>
          <w:szCs w:val="21"/>
          <w:highlight w:val="none"/>
          <w:u w:val="single"/>
        </w:rPr>
        <w:t xml:space="preserve">                    </w:t>
      </w:r>
      <w:r>
        <w:rPr>
          <w:rFonts w:ascii="仿宋" w:hAnsi="仿宋" w:eastAsia="仿宋"/>
          <w:color w:val="auto"/>
          <w:kern w:val="0"/>
          <w:sz w:val="21"/>
          <w:szCs w:val="21"/>
          <w:highlight w:val="none"/>
        </w:rPr>
        <w:t>供应商之间存在或可能存在上述第二条第</w:t>
      </w:r>
      <w:r>
        <w:rPr>
          <w:rFonts w:ascii="仿宋" w:hAnsi="仿宋" w:eastAsia="仿宋"/>
          <w:color w:val="auto"/>
          <w:kern w:val="0"/>
          <w:sz w:val="21"/>
          <w:szCs w:val="21"/>
          <w:highlight w:val="none"/>
          <w:u w:val="single"/>
        </w:rPr>
        <w:t xml:space="preserve">        </w:t>
      </w:r>
      <w:r>
        <w:rPr>
          <w:rFonts w:ascii="仿宋" w:hAnsi="仿宋" w:eastAsia="仿宋"/>
          <w:color w:val="auto"/>
          <w:kern w:val="0"/>
          <w:sz w:val="21"/>
          <w:szCs w:val="21"/>
          <w:highlight w:val="none"/>
        </w:rPr>
        <w:t>项利害关系。</w:t>
      </w:r>
    </w:p>
    <w:p w14:paraId="71206E6C">
      <w:pPr>
        <w:pStyle w:val="839"/>
        <w:widowControl/>
        <w:numPr>
          <w:ilvl w:val="0"/>
          <w:numId w:val="7"/>
        </w:numPr>
        <w:tabs>
          <w:tab w:val="clear" w:pos="8268"/>
        </w:tabs>
        <w:snapToGrid w:val="0"/>
        <w:spacing w:after="120" w:line="360" w:lineRule="auto"/>
        <w:ind w:firstLine="396" w:firstLineChars="189"/>
        <w:rPr>
          <w:rFonts w:hint="eastAsia" w:ascii="仿宋" w:hAnsi="仿宋" w:eastAsia="仿宋"/>
          <w:color w:val="auto"/>
          <w:kern w:val="0"/>
          <w:sz w:val="21"/>
          <w:szCs w:val="21"/>
          <w:highlight w:val="none"/>
        </w:rPr>
      </w:pPr>
      <w:r>
        <w:rPr>
          <w:rFonts w:ascii="仿宋" w:hAnsi="仿宋" w:eastAsia="仿宋"/>
          <w:color w:val="auto"/>
          <w:kern w:val="0"/>
          <w:sz w:val="21"/>
          <w:szCs w:val="21"/>
          <w:highlight w:val="none"/>
        </w:rPr>
        <w:t>经检查确认所有供应商投标文件</w:t>
      </w:r>
      <w:r>
        <w:rPr>
          <w:rFonts w:ascii="仿宋" w:hAnsi="仿宋" w:eastAsia="仿宋" w:cs="宋体"/>
          <w:color w:val="auto"/>
          <w:kern w:val="0"/>
          <w:sz w:val="21"/>
          <w:szCs w:val="21"/>
          <w:highlight w:val="none"/>
        </w:rPr>
        <w:t>□</w:t>
      </w:r>
      <w:r>
        <w:rPr>
          <w:rFonts w:ascii="仿宋" w:hAnsi="仿宋" w:eastAsia="仿宋"/>
          <w:color w:val="auto"/>
          <w:kern w:val="0"/>
          <w:sz w:val="21"/>
          <w:szCs w:val="21"/>
          <w:highlight w:val="none"/>
        </w:rPr>
        <w:t xml:space="preserve">不存在密封包装问题  </w:t>
      </w:r>
      <w:r>
        <w:rPr>
          <w:rFonts w:ascii="仿宋" w:hAnsi="仿宋" w:eastAsia="仿宋" w:cs="宋体"/>
          <w:color w:val="auto"/>
          <w:kern w:val="0"/>
          <w:sz w:val="21"/>
          <w:szCs w:val="21"/>
          <w:highlight w:val="none"/>
        </w:rPr>
        <w:t>□</w:t>
      </w:r>
      <w:r>
        <w:rPr>
          <w:rFonts w:ascii="仿宋" w:hAnsi="仿宋" w:eastAsia="仿宋"/>
          <w:color w:val="auto"/>
          <w:kern w:val="0"/>
          <w:sz w:val="21"/>
          <w:szCs w:val="21"/>
          <w:highlight w:val="none"/>
        </w:rPr>
        <w:t>存在密封包装问题（具体指出）</w:t>
      </w:r>
      <w:r>
        <w:rPr>
          <w:rFonts w:ascii="仿宋" w:hAnsi="仿宋" w:eastAsia="仿宋"/>
          <w:color w:val="auto"/>
          <w:kern w:val="0"/>
          <w:sz w:val="21"/>
          <w:szCs w:val="21"/>
          <w:highlight w:val="none"/>
          <w:u w:val="single"/>
        </w:rPr>
        <w:t xml:space="preserve">                            </w:t>
      </w:r>
      <w:r>
        <w:rPr>
          <w:rFonts w:ascii="仿宋" w:hAnsi="仿宋" w:eastAsia="仿宋"/>
          <w:color w:val="auto"/>
          <w:kern w:val="0"/>
          <w:sz w:val="21"/>
          <w:szCs w:val="21"/>
          <w:highlight w:val="none"/>
        </w:rPr>
        <w:t>。</w:t>
      </w:r>
    </w:p>
    <w:p w14:paraId="1B0529FE">
      <w:pPr>
        <w:pStyle w:val="319"/>
        <w:adjustRightInd w:val="0"/>
        <w:snapToGrid w:val="0"/>
        <w:spacing w:after="120" w:line="360" w:lineRule="auto"/>
        <w:ind w:firstLine="4200" w:firstLineChars="2100"/>
        <w:rPr>
          <w:rFonts w:hint="eastAsia" w:ascii="仿宋" w:hAnsi="仿宋" w:eastAsia="仿宋"/>
          <w:color w:val="auto"/>
          <w:szCs w:val="21"/>
          <w:highlight w:val="none"/>
        </w:rPr>
      </w:pPr>
      <w:r>
        <w:rPr>
          <w:rFonts w:ascii="仿宋" w:hAnsi="仿宋" w:eastAsia="仿宋"/>
          <w:color w:val="auto"/>
          <w:szCs w:val="21"/>
          <w:highlight w:val="none"/>
        </w:rPr>
        <w:t>（供应商代表签名）</w:t>
      </w:r>
    </w:p>
    <w:p w14:paraId="7816DFD2">
      <w:pPr>
        <w:ind w:right="840" w:firstLine="480"/>
        <w:jc w:val="right"/>
        <w:rPr>
          <w:rFonts w:hint="eastAsia" w:ascii="仿宋" w:hAnsi="仿宋" w:eastAsia="仿宋"/>
          <w:color w:val="auto"/>
          <w:szCs w:val="21"/>
          <w:highlight w:val="none"/>
        </w:rPr>
      </w:pPr>
      <w:r>
        <w:rPr>
          <w:rFonts w:ascii="仿宋" w:hAnsi="仿宋" w:eastAsia="仿宋"/>
          <w:color w:val="auto"/>
          <w:szCs w:val="21"/>
          <w:highlight w:val="none"/>
        </w:rPr>
        <w:t>年</w:t>
      </w:r>
      <w:r>
        <w:rPr>
          <w:rFonts w:hint="eastAsia" w:ascii="仿宋" w:hAnsi="仿宋" w:eastAsia="仿宋"/>
          <w:color w:val="auto"/>
          <w:szCs w:val="21"/>
          <w:highlight w:val="none"/>
        </w:rPr>
        <w:t xml:space="preserve">  </w:t>
      </w:r>
      <w:r>
        <w:rPr>
          <w:rFonts w:ascii="仿宋" w:hAnsi="仿宋" w:eastAsia="仿宋"/>
          <w:color w:val="auto"/>
          <w:szCs w:val="21"/>
          <w:highlight w:val="none"/>
        </w:rPr>
        <w:t>月</w:t>
      </w:r>
      <w:r>
        <w:rPr>
          <w:rFonts w:hint="eastAsia" w:ascii="仿宋" w:hAnsi="仿宋" w:eastAsia="仿宋"/>
          <w:color w:val="auto"/>
          <w:szCs w:val="21"/>
          <w:highlight w:val="none"/>
        </w:rPr>
        <w:t xml:space="preserve">  </w:t>
      </w:r>
      <w:r>
        <w:rPr>
          <w:rFonts w:ascii="仿宋" w:hAnsi="仿宋" w:eastAsia="仿宋"/>
          <w:color w:val="auto"/>
          <w:szCs w:val="21"/>
          <w:highlight w:val="none"/>
        </w:rPr>
        <w:t>日</w:t>
      </w:r>
    </w:p>
    <w:p w14:paraId="60C72440">
      <w:pPr>
        <w:snapToGrid w:val="0"/>
        <w:spacing w:line="360" w:lineRule="auto"/>
        <w:rPr>
          <w:rFonts w:hint="eastAsia" w:ascii="仿宋" w:hAnsi="仿宋" w:eastAsia="仿宋"/>
          <w:b/>
          <w:color w:val="auto"/>
          <w:szCs w:val="21"/>
          <w:highlight w:val="none"/>
        </w:rPr>
      </w:pPr>
      <w:r>
        <w:rPr>
          <w:rFonts w:hint="eastAsia" w:ascii="仿宋" w:hAnsi="仿宋" w:eastAsia="仿宋"/>
          <w:b/>
          <w:color w:val="auto"/>
          <w:szCs w:val="21"/>
          <w:highlight w:val="none"/>
        </w:rPr>
        <w:t>注：结束解密后，供应商通过邮件形式将经授权代表签署的《政府采购活动现场确认声明书》扫描件发至代理机构经办人邮箱（1697976919@qq.com，联系人：黄工，电话：19858153552）</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86"/>
    <w:family w:val="auto"/>
    <w:pitch w:val="default"/>
    <w:sig w:usb0="00000000" w:usb1="00000000" w:usb2="00000000"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D82C6">
    <w:pPr>
      <w:pStyle w:val="39"/>
      <w:framePr w:wrap="around" w:vAnchor="text" w:hAnchor="margin" w:xAlign="right" w:y="1"/>
      <w:rPr>
        <w:rStyle w:val="72"/>
      </w:rPr>
    </w:pPr>
    <w:r>
      <w:fldChar w:fldCharType="begin"/>
    </w:r>
    <w:r>
      <w:rPr>
        <w:rStyle w:val="72"/>
      </w:rPr>
      <w:instrText xml:space="preserve">PAGE  </w:instrText>
    </w:r>
    <w:r>
      <w:fldChar w:fldCharType="end"/>
    </w:r>
  </w:p>
  <w:p w14:paraId="694EADE3">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2AF4F">
    <w:pPr>
      <w:pStyle w:val="39"/>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7141E">
                          <w:pPr>
                            <w:pStyle w:val="39"/>
                          </w:pPr>
                          <w:r>
                            <w:t xml:space="preserve">第 </w:t>
                          </w:r>
                          <w:r>
                            <w:fldChar w:fldCharType="begin"/>
                          </w:r>
                          <w:r>
                            <w:instrText xml:space="preserve"> PAGE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6E7141E">
                    <w:pPr>
                      <w:pStyle w:val="39"/>
                    </w:pPr>
                    <w:r>
                      <w:t xml:space="preserve">第 </w:t>
                    </w:r>
                    <w:r>
                      <w:fldChar w:fldCharType="begin"/>
                    </w:r>
                    <w:r>
                      <w:instrText xml:space="preserve"> PAGE  \* MERGEFORMAT </w:instrText>
                    </w:r>
                    <w:r>
                      <w:fldChar w:fldCharType="separate"/>
                    </w:r>
                    <w:r>
                      <w:t>45</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EB24D">
    <w:pPr>
      <w:pStyle w:val="39"/>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67D88F">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967D88F">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A15A0">
    <w:pPr>
      <w:pStyle w:val="39"/>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FF07F">
                          <w:pPr>
                            <w:pStyle w:val="39"/>
                          </w:pPr>
                          <w:r>
                            <w:t xml:space="preserve">第 </w:t>
                          </w:r>
                          <w:r>
                            <w:fldChar w:fldCharType="begin"/>
                          </w:r>
                          <w:r>
                            <w:instrText xml:space="preserve"> PAGE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3FFF07F">
                    <w:pPr>
                      <w:pStyle w:val="39"/>
                    </w:pPr>
                    <w:r>
                      <w:t xml:space="preserve">第 </w:t>
                    </w:r>
                    <w:r>
                      <w:fldChar w:fldCharType="begin"/>
                    </w:r>
                    <w:r>
                      <w:instrText xml:space="preserve"> PAGE  \* MERGEFORMAT </w:instrText>
                    </w:r>
                    <w:r>
                      <w:fldChar w:fldCharType="separate"/>
                    </w:r>
                    <w:r>
                      <w:t>49</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15B74">
    <w:pPr>
      <w:pStyle w:val="39"/>
      <w:rPr>
        <w:rFonts w:ascii="仿宋_GB2312" w:eastAsia="仿宋_GB2312"/>
        <w:szCs w:val="24"/>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E87D6">
                          <w:pPr>
                            <w:pStyle w:val="39"/>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F2E87D6">
                    <w:pPr>
                      <w:pStyle w:val="39"/>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10420">
    <w:pPr>
      <w:pStyle w:val="39"/>
      <w:framePr w:wrap="around" w:vAnchor="text" w:hAnchor="margin" w:xAlign="right" w:y="1"/>
      <w:rPr>
        <w:rStyle w:val="72"/>
      </w:rPr>
    </w:pPr>
    <w:r>
      <w:fldChar w:fldCharType="begin"/>
    </w:r>
    <w:r>
      <w:rPr>
        <w:rStyle w:val="72"/>
      </w:rPr>
      <w:instrText xml:space="preserve">PAGE  </w:instrText>
    </w:r>
    <w:r>
      <w:fldChar w:fldCharType="end"/>
    </w:r>
  </w:p>
  <w:p w14:paraId="7DC1EC75">
    <w:pPr>
      <w:pStyle w:val="39"/>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EF6F7">
    <w:pPr>
      <w:pStyle w:val="39"/>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B2859A">
                          <w:pPr>
                            <w:pStyle w:val="39"/>
                          </w:pPr>
                          <w:r>
                            <w:t xml:space="preserve">第 </w:t>
                          </w:r>
                          <w:r>
                            <w:fldChar w:fldCharType="begin"/>
                          </w:r>
                          <w:r>
                            <w:instrText xml:space="preserve"> PAGE  \* MERGEFORMAT </w:instrText>
                          </w:r>
                          <w:r>
                            <w:fldChar w:fldCharType="separate"/>
                          </w:r>
                          <w:r>
                            <w:t>51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CB2859A">
                    <w:pPr>
                      <w:pStyle w:val="39"/>
                    </w:pPr>
                    <w:r>
                      <w:t xml:space="preserve">第 </w:t>
                    </w:r>
                    <w:r>
                      <w:fldChar w:fldCharType="begin"/>
                    </w:r>
                    <w:r>
                      <w:instrText xml:space="preserve"> PAGE  \* MERGEFORMAT </w:instrText>
                    </w:r>
                    <w:r>
                      <w:fldChar w:fldCharType="separate"/>
                    </w:r>
                    <w:r>
                      <w:t>51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753B8">
    <w:pPr>
      <w:pStyle w:val="39"/>
      <w:jc w:val="cente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57948">
    <w:pPr>
      <w:pStyle w:val="39"/>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79E710">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0079E710">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95648">
    <w:pPr>
      <w:pStyle w:val="39"/>
      <w:jc w:val="cente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3905E">
    <w:pPr>
      <w:pStyle w:val="39"/>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7D6629">
                          <w:pPr>
                            <w:pStyle w:val="39"/>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D7D6629">
                    <w:pPr>
                      <w:pStyle w:val="39"/>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BAF27">
    <w:pPr>
      <w:pStyle w:val="39"/>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6246ED">
                          <w:pPr>
                            <w:pStyle w:val="39"/>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0A6246ED">
                    <w:pPr>
                      <w:pStyle w:val="39"/>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B638F">
    <w:pPr>
      <w:pStyle w:val="39"/>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429D1A">
                          <w:pPr>
                            <w:pStyle w:val="39"/>
                          </w:pPr>
                          <w:r>
                            <w:t xml:space="preserve">第 </w:t>
                          </w:r>
                          <w:r>
                            <w:fldChar w:fldCharType="begin"/>
                          </w:r>
                          <w:r>
                            <w:instrText xml:space="preserve"> PAGE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B429D1A">
                    <w:pPr>
                      <w:pStyle w:val="39"/>
                    </w:pPr>
                    <w:r>
                      <w:t xml:space="preserve">第 </w:t>
                    </w:r>
                    <w:r>
                      <w:fldChar w:fldCharType="begin"/>
                    </w:r>
                    <w:r>
                      <w:instrText xml:space="preserve"> PAGE  \* MERGEFORMAT </w:instrText>
                    </w:r>
                    <w:r>
                      <w:fldChar w:fldCharType="separate"/>
                    </w:r>
                    <w:r>
                      <w:t>30</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2E387">
    <w:pPr>
      <w:pStyle w:val="39"/>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72A9AC">
                          <w:pPr>
                            <w:pStyle w:val="39"/>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972A9AC">
                    <w:pPr>
                      <w:pStyle w:val="39"/>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13FB4">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F2C5E">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60F2C5E">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82E8C">
    <w:pPr>
      <w:pStyle w:val="40"/>
      <w:pBdr>
        <w:bottom w:val="none" w:color="auto" w:sz="0" w:space="0"/>
      </w:pBdr>
      <w:tabs>
        <w:tab w:val="center" w:pos="4535"/>
        <w:tab w:val="right" w:pos="9070"/>
        <w:tab w:val="clear" w:pos="4153"/>
        <w:tab w:val="clear" w:pos="8306"/>
      </w:tabs>
      <w:jc w:val="right"/>
      <w:rPr>
        <w:rFonts w:ascii="仿宋_GB2312" w:eastAsia="仿宋_GB2312"/>
        <w:i/>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B7FC8">
    <w:pPr>
      <w:pStyle w:val="40"/>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7F680">
    <w:pPr>
      <w:pStyle w:val="40"/>
      <w:pBdr>
        <w:bottom w:val="single" w:color="auto" w:sz="6" w:space="0"/>
      </w:pBdr>
      <w:tabs>
        <w:tab w:val="center" w:pos="4535"/>
        <w:tab w:val="right" w:pos="9070"/>
        <w:tab w:val="clear" w:pos="4153"/>
        <w:tab w:val="clear" w:pos="8306"/>
      </w:tabs>
      <w:jc w:val="right"/>
    </w:pPr>
    <w:r>
      <w:rPr>
        <w:rFonts w:hint="eastAsia" w:ascii="仿宋" w:hAnsi="仿宋" w:eastAsia="仿宋" w:cs="仿宋"/>
        <w:b/>
        <w:bCs/>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277F1">
    <w:pPr>
      <w:pStyle w:val="40"/>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3DDF4">
    <w:pPr>
      <w:pStyle w:val="40"/>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F716D">
    <w:pPr>
      <w:pStyle w:val="40"/>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FF7A8">
    <w:pPr>
      <w:pStyle w:val="40"/>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AA4EE">
    <w:pPr>
      <w:pStyle w:val="40"/>
      <w:jc w:val="right"/>
      <w:rPr>
        <w:rFonts w:ascii="仿宋_GB2312" w:eastAsia="仿宋_GB2312"/>
        <w:b/>
        <w:i/>
        <w:u w:val="single"/>
      </w:rPr>
    </w:pPr>
    <w:r>
      <w:rPr>
        <w:rFonts w:hint="eastAsia"/>
      </w:rPr>
      <w:t xml:space="preserve">                                  </w:t>
    </w:r>
    <w:r>
      <w:t>杭州市政府采购公开招标文件</w:t>
    </w:r>
  </w:p>
  <w:p w14:paraId="05915B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CE225">
    <w:pPr>
      <w:pStyle w:val="40"/>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8BA57">
    <w:pPr>
      <w:pStyle w:val="40"/>
      <w:pBdr>
        <w:bottom w:val="single" w:color="auto" w:sz="6" w:space="0"/>
      </w:pBdr>
      <w:tabs>
        <w:tab w:val="center" w:pos="4535"/>
        <w:tab w:val="right" w:pos="9070"/>
        <w:tab w:val="clear" w:pos="4153"/>
        <w:tab w:val="clear" w:pos="8306"/>
      </w:tabs>
      <w:jc w:val="right"/>
      <w:rPr>
        <w:rFonts w:ascii="仿宋_GB2312" w:eastAsia="仿宋_GB2312"/>
        <w:i/>
        <w:u w:val="single"/>
      </w:rPr>
    </w:pPr>
    <w:r>
      <w:rPr>
        <w:rFonts w:hint="eastAsia" w:ascii="仿宋" w:hAnsi="仿宋" w:eastAsia="仿宋" w:cs="仿宋"/>
        <w:b/>
        <w:bCs/>
        <w:lang w:val="zh-CN"/>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9195F7"/>
    <w:multiLevelType w:val="singleLevel"/>
    <w:tmpl w:val="AB9195F7"/>
    <w:lvl w:ilvl="0" w:tentative="0">
      <w:start w:val="2"/>
      <w:numFmt w:val="decimal"/>
      <w:suff w:val="nothing"/>
      <w:lvlText w:val="%1、"/>
      <w:lvlJc w:val="left"/>
      <w:pPr>
        <w:ind w:left="-60"/>
      </w:pPr>
    </w:lvl>
  </w:abstractNum>
  <w:abstractNum w:abstractNumId="1">
    <w:nsid w:val="C9CCC725"/>
    <w:multiLevelType w:val="singleLevel"/>
    <w:tmpl w:val="C9CCC725"/>
    <w:lvl w:ilvl="0" w:tentative="0">
      <w:start w:val="1"/>
      <w:numFmt w:val="decimal"/>
      <w:suff w:val="nothing"/>
      <w:lvlText w:val="（%1）"/>
      <w:lvlJc w:val="left"/>
    </w:lvl>
  </w:abstractNum>
  <w:abstractNum w:abstractNumId="2">
    <w:nsid w:val="EEEA3664"/>
    <w:multiLevelType w:val="singleLevel"/>
    <w:tmpl w:val="EEEA3664"/>
    <w:lvl w:ilvl="0" w:tentative="0">
      <w:start w:val="5"/>
      <w:numFmt w:val="chineseCounting"/>
      <w:suff w:val="nothing"/>
      <w:lvlText w:val="%1、"/>
      <w:lvlJc w:val="left"/>
      <w:rPr>
        <w:rFonts w:hint="eastAsia"/>
      </w:rPr>
    </w:lvl>
  </w:abstractNum>
  <w:abstractNum w:abstractNumId="3">
    <w:nsid w:val="35D71722"/>
    <w:multiLevelType w:val="singleLevel"/>
    <w:tmpl w:val="35D71722"/>
    <w:lvl w:ilvl="0" w:tentative="0">
      <w:start w:val="2"/>
      <w:numFmt w:val="chineseCounting"/>
      <w:suff w:val="nothing"/>
      <w:lvlText w:val="%1、"/>
      <w:lvlJc w:val="left"/>
      <w:rPr>
        <w:rFonts w:hint="eastAsia"/>
      </w:r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77ACD4CE"/>
    <w:multiLevelType w:val="singleLevel"/>
    <w:tmpl w:val="77ACD4CE"/>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0MWY2ZTkxZDgzNzU2YmEwYWNjYzQxMmI0NDRmNWUifQ=="/>
    <w:docVar w:name="KSO_WPS_MARK_KEY" w:val="e8ed3cae-09d3-43b9-9479-8aa2d1714dbc"/>
  </w:docVars>
  <w:rsids>
    <w:rsidRoot w:val="00172A27"/>
    <w:rsid w:val="00000451"/>
    <w:rsid w:val="00000E76"/>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2FB"/>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CFF"/>
    <w:rsid w:val="00096DFF"/>
    <w:rsid w:val="00097CDB"/>
    <w:rsid w:val="000A0729"/>
    <w:rsid w:val="000A0E69"/>
    <w:rsid w:val="000A0EC4"/>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3E43"/>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86C"/>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4D9"/>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44"/>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0D3B"/>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0D6"/>
    <w:rsid w:val="0028744E"/>
    <w:rsid w:val="002876D2"/>
    <w:rsid w:val="00287936"/>
    <w:rsid w:val="00287BB7"/>
    <w:rsid w:val="002903C5"/>
    <w:rsid w:val="0029041B"/>
    <w:rsid w:val="00290A99"/>
    <w:rsid w:val="00290EAF"/>
    <w:rsid w:val="00291331"/>
    <w:rsid w:val="0029159A"/>
    <w:rsid w:val="00291CF1"/>
    <w:rsid w:val="00292AA1"/>
    <w:rsid w:val="00294012"/>
    <w:rsid w:val="002945B0"/>
    <w:rsid w:val="0029499D"/>
    <w:rsid w:val="00294A13"/>
    <w:rsid w:val="00294B10"/>
    <w:rsid w:val="00294DF9"/>
    <w:rsid w:val="00295073"/>
    <w:rsid w:val="00295468"/>
    <w:rsid w:val="002963CD"/>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7FD"/>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B9F"/>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A06"/>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2A6"/>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5F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46D"/>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40F"/>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467"/>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697"/>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311"/>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1B14"/>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F10"/>
    <w:rsid w:val="00594437"/>
    <w:rsid w:val="00594B70"/>
    <w:rsid w:val="005957F5"/>
    <w:rsid w:val="00596CFA"/>
    <w:rsid w:val="00596EC6"/>
    <w:rsid w:val="005975CE"/>
    <w:rsid w:val="005A0088"/>
    <w:rsid w:val="005A04F6"/>
    <w:rsid w:val="005A14F0"/>
    <w:rsid w:val="005A1861"/>
    <w:rsid w:val="005A1A31"/>
    <w:rsid w:val="005A361D"/>
    <w:rsid w:val="005A36C2"/>
    <w:rsid w:val="005A3719"/>
    <w:rsid w:val="005A3DC5"/>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6FF2"/>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01D"/>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678"/>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A0C"/>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9AA"/>
    <w:rsid w:val="006D0A80"/>
    <w:rsid w:val="006D0AE8"/>
    <w:rsid w:val="006D0B8C"/>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47C"/>
    <w:rsid w:val="006E37C6"/>
    <w:rsid w:val="006E3CF3"/>
    <w:rsid w:val="006E41ED"/>
    <w:rsid w:val="006E4667"/>
    <w:rsid w:val="006E46B7"/>
    <w:rsid w:val="006E475A"/>
    <w:rsid w:val="006E486D"/>
    <w:rsid w:val="006E4880"/>
    <w:rsid w:val="006E48BB"/>
    <w:rsid w:val="006E5EC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8D3"/>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21F"/>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3F82"/>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E7E8D"/>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5F30"/>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1F3"/>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1FAB"/>
    <w:rsid w:val="0094215C"/>
    <w:rsid w:val="009425D9"/>
    <w:rsid w:val="00942A27"/>
    <w:rsid w:val="00942F8E"/>
    <w:rsid w:val="00943543"/>
    <w:rsid w:val="00943554"/>
    <w:rsid w:val="009441DB"/>
    <w:rsid w:val="00944834"/>
    <w:rsid w:val="00946128"/>
    <w:rsid w:val="0094633F"/>
    <w:rsid w:val="00947BA5"/>
    <w:rsid w:val="00950805"/>
    <w:rsid w:val="009510B2"/>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34F"/>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8B0"/>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6DDB"/>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215"/>
    <w:rsid w:val="00A526CE"/>
    <w:rsid w:val="00A53D28"/>
    <w:rsid w:val="00A5468F"/>
    <w:rsid w:val="00A54909"/>
    <w:rsid w:val="00A54DC0"/>
    <w:rsid w:val="00A550C9"/>
    <w:rsid w:val="00A55228"/>
    <w:rsid w:val="00A55410"/>
    <w:rsid w:val="00A55A04"/>
    <w:rsid w:val="00A564DE"/>
    <w:rsid w:val="00A56807"/>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68B"/>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7DD"/>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662"/>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87"/>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C6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3B6"/>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0BD"/>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160"/>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4B27"/>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30F"/>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134"/>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5DE"/>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A1A"/>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4E7E"/>
    <w:rsid w:val="00EE56E2"/>
    <w:rsid w:val="00EE5FCD"/>
    <w:rsid w:val="00EE63BF"/>
    <w:rsid w:val="00EE6D45"/>
    <w:rsid w:val="00EE6E89"/>
    <w:rsid w:val="00EF07C6"/>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66E"/>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B3"/>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D7566"/>
    <w:rsid w:val="01D55165"/>
    <w:rsid w:val="01DF6BF8"/>
    <w:rsid w:val="01EC2C57"/>
    <w:rsid w:val="025F0711"/>
    <w:rsid w:val="026B2E25"/>
    <w:rsid w:val="02824D4D"/>
    <w:rsid w:val="02964D8E"/>
    <w:rsid w:val="029F4CDA"/>
    <w:rsid w:val="02DC4B10"/>
    <w:rsid w:val="02DD76CE"/>
    <w:rsid w:val="02F36323"/>
    <w:rsid w:val="02F5619C"/>
    <w:rsid w:val="0326446A"/>
    <w:rsid w:val="032D5555"/>
    <w:rsid w:val="036634D2"/>
    <w:rsid w:val="03DD35E4"/>
    <w:rsid w:val="04076900"/>
    <w:rsid w:val="04164206"/>
    <w:rsid w:val="041A5A3B"/>
    <w:rsid w:val="042311BA"/>
    <w:rsid w:val="04245B63"/>
    <w:rsid w:val="042B157A"/>
    <w:rsid w:val="045D4804"/>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3060FD"/>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3F7617"/>
    <w:rsid w:val="0A4E70E3"/>
    <w:rsid w:val="0A5B7E63"/>
    <w:rsid w:val="0A740EC6"/>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E17695"/>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297F39"/>
    <w:rsid w:val="104F22F5"/>
    <w:rsid w:val="10646583"/>
    <w:rsid w:val="107D4B15"/>
    <w:rsid w:val="108A3C80"/>
    <w:rsid w:val="10C26171"/>
    <w:rsid w:val="10D81F8B"/>
    <w:rsid w:val="10F33360"/>
    <w:rsid w:val="10FC16EA"/>
    <w:rsid w:val="110F1D40"/>
    <w:rsid w:val="11266F33"/>
    <w:rsid w:val="118963A1"/>
    <w:rsid w:val="11C6522A"/>
    <w:rsid w:val="11E104CC"/>
    <w:rsid w:val="11E20309"/>
    <w:rsid w:val="12255233"/>
    <w:rsid w:val="12530213"/>
    <w:rsid w:val="12650CBC"/>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FC3F92"/>
    <w:rsid w:val="150536C3"/>
    <w:rsid w:val="150C1963"/>
    <w:rsid w:val="151447A0"/>
    <w:rsid w:val="154A6454"/>
    <w:rsid w:val="15762120"/>
    <w:rsid w:val="159D39C7"/>
    <w:rsid w:val="16A8729C"/>
    <w:rsid w:val="16B33777"/>
    <w:rsid w:val="16BC70A7"/>
    <w:rsid w:val="16C6339E"/>
    <w:rsid w:val="17253C74"/>
    <w:rsid w:val="172F2D79"/>
    <w:rsid w:val="17557BEF"/>
    <w:rsid w:val="17D349C1"/>
    <w:rsid w:val="1830729E"/>
    <w:rsid w:val="1870062C"/>
    <w:rsid w:val="18817102"/>
    <w:rsid w:val="18830A15"/>
    <w:rsid w:val="18852B28"/>
    <w:rsid w:val="188B5321"/>
    <w:rsid w:val="189D783A"/>
    <w:rsid w:val="18A10F24"/>
    <w:rsid w:val="190546A8"/>
    <w:rsid w:val="19932372"/>
    <w:rsid w:val="19A20DD5"/>
    <w:rsid w:val="19AE03F1"/>
    <w:rsid w:val="1A071A03"/>
    <w:rsid w:val="1A1F16AE"/>
    <w:rsid w:val="1A3B5C77"/>
    <w:rsid w:val="1A3D6D7F"/>
    <w:rsid w:val="1A984BAD"/>
    <w:rsid w:val="1AB8220E"/>
    <w:rsid w:val="1AE4166C"/>
    <w:rsid w:val="1AF06CFB"/>
    <w:rsid w:val="1AF11B8D"/>
    <w:rsid w:val="1B11359C"/>
    <w:rsid w:val="1B2A271F"/>
    <w:rsid w:val="1B530544"/>
    <w:rsid w:val="1B713184"/>
    <w:rsid w:val="1BA209CF"/>
    <w:rsid w:val="1BB4777D"/>
    <w:rsid w:val="1BD75AB8"/>
    <w:rsid w:val="1C0459C2"/>
    <w:rsid w:val="1C1B3B4A"/>
    <w:rsid w:val="1C27051C"/>
    <w:rsid w:val="1C88086E"/>
    <w:rsid w:val="1D266CE1"/>
    <w:rsid w:val="1D3963AF"/>
    <w:rsid w:val="1D6A673C"/>
    <w:rsid w:val="1D9247AE"/>
    <w:rsid w:val="1DB25259"/>
    <w:rsid w:val="1DB567EC"/>
    <w:rsid w:val="1DF51A98"/>
    <w:rsid w:val="1E19015B"/>
    <w:rsid w:val="1E3D060F"/>
    <w:rsid w:val="1E3F7D2E"/>
    <w:rsid w:val="1E4134E4"/>
    <w:rsid w:val="1E5062B3"/>
    <w:rsid w:val="1E523514"/>
    <w:rsid w:val="1E714A66"/>
    <w:rsid w:val="1E802593"/>
    <w:rsid w:val="1E8B6156"/>
    <w:rsid w:val="1EA703CC"/>
    <w:rsid w:val="1EB7330C"/>
    <w:rsid w:val="1F0A0FF3"/>
    <w:rsid w:val="1F5771FF"/>
    <w:rsid w:val="1F734F24"/>
    <w:rsid w:val="1FD52DD5"/>
    <w:rsid w:val="1FE868A9"/>
    <w:rsid w:val="20034907"/>
    <w:rsid w:val="20173E4B"/>
    <w:rsid w:val="20174376"/>
    <w:rsid w:val="204E48BC"/>
    <w:rsid w:val="20884BC1"/>
    <w:rsid w:val="208921B3"/>
    <w:rsid w:val="20973DEB"/>
    <w:rsid w:val="20B26522"/>
    <w:rsid w:val="20B44310"/>
    <w:rsid w:val="211116EB"/>
    <w:rsid w:val="216133FC"/>
    <w:rsid w:val="218B1F59"/>
    <w:rsid w:val="21D56769"/>
    <w:rsid w:val="21E52EF3"/>
    <w:rsid w:val="21FB5D7B"/>
    <w:rsid w:val="22015E94"/>
    <w:rsid w:val="220B1C3D"/>
    <w:rsid w:val="221D1D20"/>
    <w:rsid w:val="22334A87"/>
    <w:rsid w:val="226D06CE"/>
    <w:rsid w:val="22BE6801"/>
    <w:rsid w:val="233500BF"/>
    <w:rsid w:val="23377FF7"/>
    <w:rsid w:val="234B045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3D662D"/>
    <w:rsid w:val="258B00E2"/>
    <w:rsid w:val="25A917A6"/>
    <w:rsid w:val="25BE27CC"/>
    <w:rsid w:val="25F74A5C"/>
    <w:rsid w:val="2628662C"/>
    <w:rsid w:val="262D45DE"/>
    <w:rsid w:val="26592E1D"/>
    <w:rsid w:val="26871DC8"/>
    <w:rsid w:val="26A53EF9"/>
    <w:rsid w:val="26A94201"/>
    <w:rsid w:val="26AC274F"/>
    <w:rsid w:val="27044A29"/>
    <w:rsid w:val="271D34C8"/>
    <w:rsid w:val="275E3E5D"/>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AA1DB7"/>
    <w:rsid w:val="29CA304E"/>
    <w:rsid w:val="29EB1D89"/>
    <w:rsid w:val="29F26D24"/>
    <w:rsid w:val="29F91F51"/>
    <w:rsid w:val="2A15033F"/>
    <w:rsid w:val="2A1662C1"/>
    <w:rsid w:val="2A1C7367"/>
    <w:rsid w:val="2A2815FA"/>
    <w:rsid w:val="2A6D6092"/>
    <w:rsid w:val="2A7D76B4"/>
    <w:rsid w:val="2AA607D0"/>
    <w:rsid w:val="2ADB491E"/>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734E6D"/>
    <w:rsid w:val="2E9A3C18"/>
    <w:rsid w:val="2EBB0FEE"/>
    <w:rsid w:val="2EC63002"/>
    <w:rsid w:val="2F0A6B38"/>
    <w:rsid w:val="2F946CCB"/>
    <w:rsid w:val="2FD25781"/>
    <w:rsid w:val="2FDC745C"/>
    <w:rsid w:val="2FFD7934"/>
    <w:rsid w:val="3041624C"/>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74374"/>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9F2F06"/>
    <w:rsid w:val="3CCE23CB"/>
    <w:rsid w:val="3CD17D17"/>
    <w:rsid w:val="3D3C7F39"/>
    <w:rsid w:val="3D440F09"/>
    <w:rsid w:val="3D4504A0"/>
    <w:rsid w:val="3D8734BB"/>
    <w:rsid w:val="3D9A11D4"/>
    <w:rsid w:val="3DA16D89"/>
    <w:rsid w:val="3DA364BE"/>
    <w:rsid w:val="3DD341B2"/>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B2F5C"/>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2664FB"/>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9646F1"/>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931DA"/>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9B2FE5"/>
    <w:rsid w:val="54B3506A"/>
    <w:rsid w:val="54CA0D16"/>
    <w:rsid w:val="54CD1DB0"/>
    <w:rsid w:val="54DD4057"/>
    <w:rsid w:val="54E7490F"/>
    <w:rsid w:val="550764A4"/>
    <w:rsid w:val="550B2BF6"/>
    <w:rsid w:val="55214EB5"/>
    <w:rsid w:val="55364EFD"/>
    <w:rsid w:val="553650BE"/>
    <w:rsid w:val="555D4828"/>
    <w:rsid w:val="555E1A6F"/>
    <w:rsid w:val="557A4C8B"/>
    <w:rsid w:val="558931E1"/>
    <w:rsid w:val="55923347"/>
    <w:rsid w:val="55925180"/>
    <w:rsid w:val="55983B1B"/>
    <w:rsid w:val="55A8376B"/>
    <w:rsid w:val="55DC29B6"/>
    <w:rsid w:val="55DD4241"/>
    <w:rsid w:val="566B6D1E"/>
    <w:rsid w:val="56EB6D11"/>
    <w:rsid w:val="57032A2C"/>
    <w:rsid w:val="570F5219"/>
    <w:rsid w:val="571B7610"/>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25174"/>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C1466C"/>
    <w:rsid w:val="61F94C26"/>
    <w:rsid w:val="61FA4982"/>
    <w:rsid w:val="62000E56"/>
    <w:rsid w:val="621457AF"/>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F1583F"/>
    <w:rsid w:val="653C3090"/>
    <w:rsid w:val="65854376"/>
    <w:rsid w:val="658767BE"/>
    <w:rsid w:val="65892531"/>
    <w:rsid w:val="66195831"/>
    <w:rsid w:val="662E75B1"/>
    <w:rsid w:val="66342C2E"/>
    <w:rsid w:val="663E784C"/>
    <w:rsid w:val="66862A27"/>
    <w:rsid w:val="668B6A45"/>
    <w:rsid w:val="66F20FE4"/>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4A193D"/>
    <w:rsid w:val="6ADE0BD1"/>
    <w:rsid w:val="6AE96859"/>
    <w:rsid w:val="6B147746"/>
    <w:rsid w:val="6B24787C"/>
    <w:rsid w:val="6B573233"/>
    <w:rsid w:val="6B5B6274"/>
    <w:rsid w:val="6B935D53"/>
    <w:rsid w:val="6C196F71"/>
    <w:rsid w:val="6C226FCB"/>
    <w:rsid w:val="6C31226F"/>
    <w:rsid w:val="6C552F0B"/>
    <w:rsid w:val="6C8C67B7"/>
    <w:rsid w:val="6C9D744C"/>
    <w:rsid w:val="6CDA3D2E"/>
    <w:rsid w:val="6D167928"/>
    <w:rsid w:val="6D26299B"/>
    <w:rsid w:val="6D4772EC"/>
    <w:rsid w:val="6D9078AF"/>
    <w:rsid w:val="6DAA3FEF"/>
    <w:rsid w:val="6DC0172B"/>
    <w:rsid w:val="6DCB690C"/>
    <w:rsid w:val="6DD41A5B"/>
    <w:rsid w:val="6DE5298B"/>
    <w:rsid w:val="6DF43C2E"/>
    <w:rsid w:val="6DF51CA3"/>
    <w:rsid w:val="6E8335BD"/>
    <w:rsid w:val="6E8E12EF"/>
    <w:rsid w:val="6E972936"/>
    <w:rsid w:val="6ED446C5"/>
    <w:rsid w:val="6EDE0A35"/>
    <w:rsid w:val="6EFD59F9"/>
    <w:rsid w:val="6F2A7D94"/>
    <w:rsid w:val="6F8331F1"/>
    <w:rsid w:val="6FAE1A09"/>
    <w:rsid w:val="6FD75BF8"/>
    <w:rsid w:val="704B4683"/>
    <w:rsid w:val="707723D0"/>
    <w:rsid w:val="70F5661B"/>
    <w:rsid w:val="71360107"/>
    <w:rsid w:val="713A7DFA"/>
    <w:rsid w:val="713B688E"/>
    <w:rsid w:val="71D43752"/>
    <w:rsid w:val="71F1796A"/>
    <w:rsid w:val="72044038"/>
    <w:rsid w:val="72154626"/>
    <w:rsid w:val="72262B5D"/>
    <w:rsid w:val="72283FF7"/>
    <w:rsid w:val="722E7212"/>
    <w:rsid w:val="723A0474"/>
    <w:rsid w:val="725923E4"/>
    <w:rsid w:val="72864BF7"/>
    <w:rsid w:val="729023FC"/>
    <w:rsid w:val="73354F8A"/>
    <w:rsid w:val="73C0646E"/>
    <w:rsid w:val="742222F5"/>
    <w:rsid w:val="74476126"/>
    <w:rsid w:val="74706664"/>
    <w:rsid w:val="747F3682"/>
    <w:rsid w:val="749C4185"/>
    <w:rsid w:val="75067759"/>
    <w:rsid w:val="75184066"/>
    <w:rsid w:val="752E6DCD"/>
    <w:rsid w:val="7551380D"/>
    <w:rsid w:val="75600BE5"/>
    <w:rsid w:val="7564475C"/>
    <w:rsid w:val="7583797F"/>
    <w:rsid w:val="75867464"/>
    <w:rsid w:val="75BA64F4"/>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6A72B4"/>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591D36"/>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99"/>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qFormat/>
    <w:uiPriority w:val="0"/>
    <w:rPr>
      <w:b/>
      <w:bCs/>
    </w:rPr>
  </w:style>
  <w:style w:type="paragraph" w:styleId="60">
    <w:name w:val="Body Text First Indent"/>
    <w:basedOn w:val="23"/>
    <w:link w:val="320"/>
    <w:qFormat/>
    <w:uiPriority w:val="0"/>
    <w:pPr>
      <w:ind w:firstLine="420"/>
    </w:pPr>
    <w:rPr>
      <w:rFonts w:hAnsi="Calibri" w:cs="Times New Roman"/>
      <w:snapToGrid/>
      <w:szCs w:val="20"/>
    </w:rPr>
  </w:style>
  <w:style w:type="paragraph" w:styleId="61">
    <w:name w:val="Body Text First Indent 2"/>
    <w:basedOn w:val="24"/>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2"/>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5"/>
    <w:qFormat/>
    <w:uiPriority w:val="0"/>
    <w:rPr>
      <w:rFonts w:ascii="宋体"/>
      <w:kern w:val="2"/>
      <w:sz w:val="24"/>
      <w:szCs w:val="21"/>
      <w:lang w:val="zh-CN"/>
    </w:rPr>
  </w:style>
  <w:style w:type="character" w:customStyle="1" w:styleId="181">
    <w:name w:val="标题 9 字符"/>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99"/>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6"/>
    <w:qFormat/>
    <w:uiPriority w:val="0"/>
    <w:rPr>
      <w:rFonts w:ascii="黑体" w:hAnsi="Courier New" w:eastAsia="黑体"/>
    </w:rPr>
  </w:style>
  <w:style w:type="character" w:customStyle="1" w:styleId="301">
    <w:name w:val="正文文本 2 字符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9"/>
    <w:qFormat/>
    <w:uiPriority w:val="0"/>
    <w:rPr>
      <w:b/>
      <w:bCs/>
      <w:kern w:val="2"/>
      <w:sz w:val="24"/>
      <w:szCs w:val="24"/>
    </w:rPr>
  </w:style>
  <w:style w:type="character" w:customStyle="1" w:styleId="307">
    <w:name w:val="正文文本缩进 2 字符"/>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qFormat/>
    <w:uiPriority w:val="99"/>
    <w:rPr>
      <w:kern w:val="2"/>
      <w:sz w:val="21"/>
      <w:szCs w:val="24"/>
    </w:rPr>
  </w:style>
  <w:style w:type="character" w:customStyle="1" w:styleId="344">
    <w:name w:val="签名 字符"/>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7"/>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未处理的提及2"/>
    <w:basedOn w:val="69"/>
    <w:semiHidden/>
    <w:unhideWhenUsed/>
    <w:qFormat/>
    <w:uiPriority w:val="99"/>
    <w:rPr>
      <w:color w:val="605E5C"/>
      <w:shd w:val="clear" w:color="auto" w:fill="E1DFDD"/>
    </w:rPr>
  </w:style>
  <w:style w:type="paragraph" w:customStyle="1" w:styleId="965">
    <w:name w:val="正文7"/>
    <w:qFormat/>
    <w:uiPriority w:val="0"/>
    <w:pPr>
      <w:jc w:val="both"/>
    </w:pPr>
    <w:rPr>
      <w:rFonts w:ascii="Times New Roman" w:hAnsi="Times New Roman" w:eastAsia="宋体" w:cs="Times New Roman"/>
      <w:kern w:val="2"/>
      <w:sz w:val="21"/>
      <w:szCs w:val="21"/>
      <w:lang w:val="en-US" w:eastAsia="zh-CN" w:bidi="ar-SA"/>
    </w:rPr>
  </w:style>
  <w:style w:type="paragraph" w:customStyle="1" w:styleId="966">
    <w:name w:val="正文8"/>
    <w:qFormat/>
    <w:uiPriority w:val="0"/>
    <w:pPr>
      <w:jc w:val="both"/>
    </w:pPr>
    <w:rPr>
      <w:rFonts w:ascii="Times New Roman" w:hAnsi="Times New Roman" w:eastAsia="宋体" w:cs="Times New Roman"/>
      <w:kern w:val="2"/>
      <w:sz w:val="21"/>
      <w:szCs w:val="21"/>
      <w:lang w:val="en-US" w:eastAsia="zh-CN" w:bidi="ar-SA"/>
    </w:rPr>
  </w:style>
  <w:style w:type="paragraph" w:customStyle="1" w:styleId="96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20302</Words>
  <Characters>21635</Characters>
  <Lines>357</Lines>
  <Paragraphs>100</Paragraphs>
  <TotalTime>3</TotalTime>
  <ScaleCrop>false</ScaleCrop>
  <LinksUpToDate>false</LinksUpToDate>
  <CharactersWithSpaces>21659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2024-11-27T07:35:00Z</dcterms:created>
  <dc:creator>玥</dc:creator>
  <cp:lastModifiedBy>fr</cp:lastModifiedBy>
  <cp:lastPrinted>2024-10-18T00:46:00Z</cp:lastPrinted>
  <dcterms:modified xsi:type="dcterms:W3CDTF">2024-12-19T06:46:43Z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C354B231CBAC4CF0A5ED03D5388A5200_13</vt:lpwstr>
  </property>
</Properties>
</file>