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tabs>
          <w:tab w:val="left" w:pos="7604"/>
        </w:tabs>
        <w:adjustRightInd/>
        <w:spacing w:line="360" w:lineRule="auto"/>
        <w:jc w:val="left"/>
        <w:rPr>
          <w:rFonts w:hint="eastAsia" w:ascii="宋体" w:hAnsi="宋体" w:eastAsia="宋体" w:cs="宋体"/>
          <w:b/>
          <w:color w:val="auto"/>
          <w:sz w:val="44"/>
          <w:szCs w:val="44"/>
          <w:lang w:eastAsia="zh-CN"/>
        </w:rPr>
      </w:pPr>
    </w:p>
    <w:p>
      <w:pPr>
        <w:spacing w:line="360" w:lineRule="auto"/>
        <w:jc w:val="center"/>
        <w:rPr>
          <w:rFonts w:ascii="宋体" w:hAnsi="宋体" w:cs="宋体"/>
          <w:b/>
          <w:color w:val="auto"/>
          <w:sz w:val="44"/>
          <w:szCs w:val="44"/>
        </w:rPr>
      </w:pPr>
    </w:p>
    <w:p>
      <w:pPr>
        <w:adjustRightInd/>
        <w:spacing w:line="360" w:lineRule="auto"/>
        <w:jc w:val="center"/>
        <w:rPr>
          <w:rFonts w:ascii="宋体" w:hAnsi="宋体" w:cs="宋体"/>
          <w:b/>
          <w:color w:val="auto"/>
          <w:sz w:val="48"/>
          <w:szCs w:val="48"/>
        </w:rPr>
      </w:pP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lang w:val="en-US" w:eastAsia="zh-CN"/>
        </w:rPr>
        <w:t>临平区“三路一环”养护中心物业管理</w:t>
      </w:r>
      <w:r>
        <w:rPr>
          <w:rFonts w:hint="eastAsia" w:ascii="宋体" w:hAnsi="宋体" w:cs="宋体"/>
          <w:color w:val="auto"/>
          <w:sz w:val="48"/>
          <w:szCs w:val="48"/>
          <w:lang w:eastAsia="zh-CN"/>
        </w:rPr>
        <w:t>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w:t>
      </w:r>
      <w:r>
        <w:rPr>
          <w:rFonts w:hint="eastAsia" w:ascii="宋体" w:hAnsi="宋体" w:cs="宋体"/>
          <w:color w:val="auto"/>
          <w:sz w:val="30"/>
          <w:szCs w:val="30"/>
          <w:highlight w:val="none"/>
          <w:lang w:val="en-US" w:eastAsia="zh-CN"/>
        </w:rPr>
        <w:t>HZLPZFCG-2024-049</w:t>
      </w:r>
    </w:p>
    <w:p>
      <w:pPr>
        <w:adjustRightInd/>
        <w:spacing w:line="360" w:lineRule="auto"/>
        <w:rPr>
          <w:rFonts w:ascii="宋体" w:hAnsi="宋体" w:cs="宋体"/>
          <w:color w:val="auto"/>
          <w:sz w:val="28"/>
          <w:szCs w:val="20"/>
        </w:rPr>
      </w:pPr>
    </w:p>
    <w:p>
      <w:pPr>
        <w:tabs>
          <w:tab w:val="center" w:pos="4705"/>
          <w:tab w:val="left" w:pos="6768"/>
        </w:tabs>
        <w:spacing w:line="360" w:lineRule="auto"/>
        <w:jc w:val="left"/>
        <w:rPr>
          <w:rFonts w:hint="eastAsia" w:ascii="宋体" w:hAnsi="宋体" w:eastAsia="宋体" w:cs="宋体"/>
          <w:b/>
          <w:color w:val="auto"/>
          <w:sz w:val="44"/>
          <w:szCs w:val="44"/>
          <w:lang w:eastAsia="zh-CN"/>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pacing w:line="360" w:lineRule="auto"/>
        <w:jc w:val="center"/>
        <w:rPr>
          <w:rFonts w:hint="default" w:ascii="宋体" w:hAnsi="宋体" w:cs="宋体"/>
          <w:bCs/>
          <w:color w:val="auto"/>
          <w:sz w:val="32"/>
          <w:szCs w:val="32"/>
          <w:lang w:val="en-US" w:eastAsia="zh-CN"/>
        </w:rPr>
      </w:pPr>
      <w:r>
        <w:rPr>
          <w:rFonts w:hint="default" w:ascii="宋体" w:hAnsi="宋体" w:cs="宋体"/>
          <w:bCs/>
          <w:color w:val="auto"/>
          <w:sz w:val="32"/>
          <w:szCs w:val="32"/>
          <w:lang w:val="en-US" w:eastAsia="zh-CN"/>
        </w:rPr>
        <w:t>杭州市临平区公路与运输管理服务中心</w:t>
      </w:r>
    </w:p>
    <w:p>
      <w:pPr>
        <w:snapToGrid w:val="0"/>
        <w:spacing w:line="360" w:lineRule="auto"/>
        <w:jc w:val="center"/>
        <w:rPr>
          <w:rFonts w:hint="eastAsia" w:ascii="宋体" w:hAnsi="宋体" w:cs="宋体"/>
          <w:bCs/>
          <w:color w:val="auto"/>
          <w:sz w:val="32"/>
          <w:szCs w:val="32"/>
          <w:lang w:val="en-US" w:eastAsia="zh-CN"/>
        </w:rPr>
      </w:pPr>
      <w:r>
        <w:rPr>
          <w:rFonts w:hint="eastAsia" w:ascii="宋体" w:hAnsi="宋体" w:cs="宋体"/>
          <w:bCs/>
          <w:color w:val="auto"/>
          <w:sz w:val="32"/>
          <w:szCs w:val="32"/>
          <w:lang w:val="en-US" w:eastAsia="zh-CN"/>
        </w:rPr>
        <w:t>杭州市公共资源交易中心临平分中心</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六</w:t>
      </w:r>
      <w:r>
        <w:rPr>
          <w:rFonts w:hint="eastAsia" w:ascii="宋体" w:hAnsi="宋体" w:cs="宋体"/>
          <w:bCs/>
          <w:color w:val="auto"/>
          <w:sz w:val="32"/>
          <w:szCs w:val="32"/>
        </w:rPr>
        <w:t>月</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pStyle w:val="636"/>
        <w:rPr>
          <w:color w:val="auto"/>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val="en-US" w:eastAsia="zh-CN"/>
        </w:rPr>
        <w:t>临平区“三路一环”养护中心物业管理</w:t>
      </w:r>
      <w:r>
        <w:rPr>
          <w:rFonts w:hint="eastAsia" w:ascii="宋体" w:hAnsi="宋体" w:cs="宋体"/>
          <w:color w:val="auto"/>
          <w:sz w:val="24"/>
          <w:u w:val="single"/>
          <w:lang w:eastAsia="zh-CN"/>
        </w:rPr>
        <w:t>项目</w:t>
      </w:r>
      <w:r>
        <w:rPr>
          <w:rFonts w:hint="eastAsia" w:ascii="宋体" w:hAns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6"/>
          <w:rFonts w:hint="eastAsia" w:ascii="宋体" w:hAnsi="宋体" w:eastAsia="宋体" w:cs="宋体"/>
          <w:snapToGrid/>
          <w:color w:val="auto"/>
          <w:kern w:val="2"/>
          <w:sz w:val="24"/>
          <w:szCs w:val="24"/>
        </w:rPr>
        <w:t>https://www.zcygov.cn/）获取（下载）招标文件，并于202</w:t>
      </w:r>
      <w:r>
        <w:rPr>
          <w:rStyle w:val="76"/>
          <w:rFonts w:hint="eastAsia" w:ascii="宋体" w:hAnsi="宋体" w:cs="宋体"/>
          <w:snapToGrid/>
          <w:color w:val="auto"/>
          <w:kern w:val="2"/>
          <w:sz w:val="24"/>
          <w:szCs w:val="24"/>
          <w:lang w:val="en-US" w:eastAsia="zh-CN"/>
        </w:rPr>
        <w:t>4</w:t>
      </w:r>
      <w:r>
        <w:rPr>
          <w:rStyle w:val="76"/>
          <w:rFonts w:hint="eastAsia" w:ascii="宋体" w:hAnsi="宋体" w:eastAsia="宋体" w:cs="宋体"/>
          <w:snapToGrid/>
          <w:color w:val="auto"/>
          <w:kern w:val="2"/>
          <w:sz w:val="24"/>
          <w:szCs w:val="24"/>
        </w:rPr>
        <w:t>年</w:t>
      </w:r>
      <w:r>
        <w:rPr>
          <w:rStyle w:val="76"/>
          <w:rFonts w:hint="eastAsia" w:ascii="宋体" w:hAnsi="宋体" w:cs="宋体"/>
          <w:snapToGrid/>
          <w:color w:val="auto"/>
          <w:kern w:val="2"/>
          <w:sz w:val="24"/>
          <w:szCs w:val="24"/>
          <w:lang w:val="en-US" w:eastAsia="zh-CN"/>
        </w:rPr>
        <w:t>7</w:t>
      </w:r>
      <w:r>
        <w:rPr>
          <w:rStyle w:val="76"/>
          <w:rFonts w:hint="eastAsia" w:ascii="宋体" w:hAnsi="宋体" w:eastAsia="宋体" w:cs="宋体"/>
          <w:snapToGrid/>
          <w:color w:val="auto"/>
          <w:kern w:val="2"/>
          <w:sz w:val="24"/>
          <w:szCs w:val="24"/>
        </w:rPr>
        <w:t>月</w:t>
      </w:r>
      <w:r>
        <w:rPr>
          <w:rStyle w:val="76"/>
          <w:rFonts w:hint="eastAsia" w:ascii="宋体" w:hAnsi="宋体" w:cs="宋体"/>
          <w:snapToGrid/>
          <w:color w:val="auto"/>
          <w:kern w:val="2"/>
          <w:sz w:val="24"/>
          <w:szCs w:val="24"/>
          <w:lang w:val="en-US" w:eastAsia="zh-CN"/>
        </w:rPr>
        <w:t>4</w:t>
      </w:r>
      <w:r>
        <w:rPr>
          <w:rStyle w:val="76"/>
          <w:rFonts w:hint="eastAsia" w:ascii="宋体" w:hAnsi="宋体" w:eastAsia="宋体" w:cs="宋体"/>
          <w:snapToGrid/>
          <w:color w:val="auto"/>
          <w:kern w:val="2"/>
          <w:sz w:val="24"/>
          <w:szCs w:val="24"/>
        </w:rPr>
        <w:t>日</w:t>
      </w:r>
      <w:r>
        <w:rPr>
          <w:rStyle w:val="76"/>
          <w:rFonts w:hint="eastAsia" w:ascii="宋体" w:hAnsi="宋体" w:cs="宋体"/>
          <w:snapToGrid/>
          <w:color w:val="auto"/>
          <w:kern w:val="2"/>
          <w:sz w:val="24"/>
          <w:szCs w:val="24"/>
          <w:lang w:val="en-US" w:eastAsia="zh-CN"/>
        </w:rPr>
        <w:t>9</w:t>
      </w:r>
      <w:r>
        <w:rPr>
          <w:rStyle w:val="76"/>
          <w:rFonts w:hint="eastAsia" w:ascii="宋体" w:hAnsi="宋体" w:eastAsia="宋体" w:cs="宋体"/>
          <w:snapToGrid/>
          <w:color w:val="auto"/>
          <w:kern w:val="2"/>
          <w:sz w:val="24"/>
          <w:szCs w:val="24"/>
        </w:rPr>
        <w:t>点</w:t>
      </w:r>
      <w:r>
        <w:rPr>
          <w:rStyle w:val="76"/>
          <w:rFonts w:hint="eastAsia" w:ascii="宋体" w:hAnsi="宋体" w:cs="宋体"/>
          <w:snapToGrid/>
          <w:color w:val="auto"/>
          <w:kern w:val="2"/>
          <w:sz w:val="24"/>
          <w:szCs w:val="24"/>
          <w:lang w:val="en-US" w:eastAsia="zh-CN"/>
        </w:rPr>
        <w:t>00</w:t>
      </w:r>
      <w:r>
        <w:rPr>
          <w:rStyle w:val="76"/>
          <w:rFonts w:hint="eastAsia" w:ascii="宋体" w:hAnsi="宋体" w:eastAsia="宋体" w:cs="宋体"/>
          <w:snapToGrid/>
          <w:color w:val="auto"/>
          <w:kern w:val="2"/>
          <w:sz w:val="24"/>
          <w:szCs w:val="24"/>
        </w:rPr>
        <w:t>分</w:t>
      </w:r>
      <w:r>
        <w:rPr>
          <w:rStyle w:val="76"/>
          <w:rFonts w:hint="eastAsia" w:ascii="宋体" w:hAnsi="宋体" w:eastAsia="宋体" w:cs="宋体"/>
          <w:bCs/>
          <w:snapToGrid/>
          <w:color w:val="auto"/>
          <w:kern w:val="2"/>
          <w:sz w:val="24"/>
          <w:szCs w:val="24"/>
        </w:rPr>
        <w:t>00秒</w:t>
      </w:r>
      <w:r>
        <w:rPr>
          <w:rStyle w:val="76"/>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highlight w:val="none"/>
          <w:lang w:val="en-US" w:eastAsia="zh-CN"/>
        </w:rPr>
        <w:t>HZLPZFCG-2024-049</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b/>
          <w:color w:val="auto"/>
          <w:sz w:val="24"/>
          <w:lang w:val="en-US" w:eastAsia="zh-CN"/>
        </w:rPr>
        <w:t>临平区“三路一环”养护中心物业管理</w:t>
      </w:r>
      <w:r>
        <w:rPr>
          <w:rFonts w:hint="eastAsia" w:ascii="宋体" w:hAnsi="宋体" w:cs="宋体"/>
          <w:b/>
          <w:color w:val="auto"/>
          <w:sz w:val="24"/>
          <w:lang w:eastAsia="zh-CN"/>
        </w:rPr>
        <w:t>项目</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hint="eastAsia" w:ascii="宋体" w:hAnsi="宋体" w:cs="宋体"/>
          <w:b/>
          <w:color w:val="auto"/>
          <w:sz w:val="24"/>
          <w:lang w:val="en-US" w:eastAsia="zh-CN"/>
        </w:rPr>
        <w:t>661010元</w:t>
      </w:r>
      <w:r>
        <w:rPr>
          <w:rFonts w:ascii="宋体" w:hAnsi="宋体" w:cs="宋体"/>
          <w:color w:val="auto"/>
          <w:sz w:val="24"/>
        </w:rPr>
        <w:t xml:space="preserve"> </w:t>
      </w:r>
    </w:p>
    <w:p>
      <w:pPr>
        <w:pStyle w:val="1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
          <w:color w:val="auto"/>
          <w:sz w:val="24"/>
          <w:lang w:val="en-US" w:eastAsia="zh-CN"/>
        </w:rPr>
        <w:t>临平区“三路一环”养护中心物业管理</w:t>
      </w:r>
      <w:r>
        <w:rPr>
          <w:rFonts w:hint="eastAsia" w:hAnsi="宋体" w:cs="宋体"/>
          <w:b/>
          <w:color w:val="auto"/>
          <w:sz w:val="24"/>
          <w:lang w:eastAsia="zh-CN"/>
        </w:rPr>
        <w:t>项目</w:t>
      </w:r>
      <w:r>
        <w:rPr>
          <w:rFonts w:hint="eastAsia" w:hAnsi="宋体" w:cs="宋体"/>
          <w:bCs/>
          <w:snapToGrid/>
          <w:color w:val="auto"/>
          <w:kern w:val="2"/>
          <w:sz w:val="24"/>
          <w:szCs w:val="24"/>
        </w:rPr>
        <w:t>主要内容：</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0"/>
        <w:ind w:firstLine="482"/>
        <w:outlineLvl w:val="2"/>
        <w:rPr>
          <w:rFonts w:hint="default" w:ascii="宋体" w:hAnsi="宋体" w:eastAsia="宋体" w:cs="宋体"/>
          <w:color w:val="auto"/>
          <w:lang w:val="en-US" w:eastAsia="zh-CN"/>
        </w:rPr>
      </w:pPr>
      <w:r>
        <w:rPr>
          <w:rFonts w:hint="eastAsia" w:ascii="宋体" w:hAnsi="宋体" w:cs="宋体"/>
          <w:b/>
          <w:color w:val="auto"/>
        </w:rPr>
        <w:t>合同履约期限：</w:t>
      </w:r>
      <w:r>
        <w:rPr>
          <w:rFonts w:ascii="宋体" w:hAnsi="宋体" w:cs="宋体"/>
          <w:color w:val="auto"/>
        </w:rPr>
        <w:t xml:space="preserve"> </w:t>
      </w:r>
      <w:r>
        <w:rPr>
          <w:rFonts w:hint="eastAsia" w:ascii="宋体" w:hAnsi="宋体" w:cs="宋体"/>
          <w:color w:val="auto"/>
          <w:lang w:val="en-US" w:eastAsia="zh-CN"/>
        </w:rPr>
        <w:t>详见招标文件</w:t>
      </w:r>
    </w:p>
    <w:p>
      <w:pPr>
        <w:pStyle w:val="1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宋体"/>
              <w:snapToGrid w:val="0"/>
              <w:color w:val="auto"/>
              <w:kern w:val="0"/>
              <w:sz w:val="24"/>
              <w:szCs w:val="20"/>
              <w:lang w:val="en-US" w:eastAsia="zh-CN" w:bidi="ar-SA"/>
            </w:rPr>
            <w:t>☐</w:t>
          </w:r>
        </w:sdtContent>
      </w:sdt>
      <w:r>
        <w:rPr>
          <w:rFonts w:hint="eastAsia" w:hAnsi="宋体" w:cs="宋体"/>
          <w:b/>
          <w:color w:val="auto"/>
          <w:sz w:val="24"/>
        </w:rPr>
        <w:t>是；</w:t>
      </w:r>
      <w:sdt>
        <w:sdtPr>
          <w:rPr>
            <w:rFonts w:hAnsi="宋体" w:cs="宋体"/>
            <w:color w:val="auto"/>
            <w:kern w:val="0"/>
            <w:sz w:val="24"/>
          </w:rPr>
          <w:id w:val="-1591624199"/>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eastAsia="宋体" w:cs="Segoe UI Symbol"/>
              <w:snapToGrid w:val="0"/>
              <w:color w:val="auto"/>
              <w:kern w:val="0"/>
              <w:sz w:val="24"/>
              <w:szCs w:val="20"/>
              <w:lang w:val="en-US" w:eastAsia="zh-CN" w:bidi="ar-SA"/>
            </w:rPr>
            <w:t>þ</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numPr>
          <w:ilvl w:val="0"/>
          <w:numId w:val="1"/>
        </w:numPr>
        <w:spacing w:line="360" w:lineRule="auto"/>
        <w:ind w:firstLine="480" w:firstLineChars="200"/>
        <w:rPr>
          <w:rFonts w:hint="eastAsia" w:ascii="宋体" w:hAnsi="宋体" w:cs="宋体"/>
          <w:color w:val="auto"/>
          <w:sz w:val="24"/>
        </w:rPr>
      </w:pPr>
      <w:r>
        <w:rPr>
          <w:rFonts w:hint="eastAsia" w:ascii="宋体" w:hAnsi="宋体" w:cs="宋体"/>
          <w:color w:val="auto"/>
          <w:sz w:val="24"/>
        </w:rPr>
        <w:t>本项目的特定资格要求：；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无</w:t>
      </w:r>
    </w:p>
    <w:p>
      <w:pPr>
        <w:pStyle w:val="4"/>
        <w:numPr>
          <w:ilvl w:val="-1"/>
          <w:numId w:val="0"/>
        </w:numPr>
        <w:ind w:left="0" w:firstLine="482" w:firstLineChars="200"/>
        <w:rPr>
          <w:color w:val="auto"/>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7</w:t>
      </w:r>
      <w:r>
        <w:rPr>
          <w:rFonts w:hint="eastAsia" w:ascii="宋体" w:hAnsi="宋体" w:cs="宋体"/>
          <w:color w:val="auto"/>
          <w:sz w:val="24"/>
          <w:u w:val="single"/>
        </w:rPr>
        <w:t>月</w:t>
      </w:r>
      <w:r>
        <w:rPr>
          <w:rFonts w:hint="eastAsia" w:ascii="宋体" w:hAnsi="宋体" w:cs="宋体"/>
          <w:color w:val="auto"/>
          <w:sz w:val="24"/>
          <w:u w:val="single"/>
          <w:lang w:val="en-US" w:eastAsia="zh-CN"/>
        </w:rPr>
        <w:t>4</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7</w:t>
      </w:r>
      <w:r>
        <w:rPr>
          <w:rFonts w:hint="eastAsia" w:ascii="宋体" w:hAnsi="宋体" w:cs="宋体"/>
          <w:color w:val="auto"/>
          <w:sz w:val="24"/>
          <w:u w:val="single"/>
        </w:rPr>
        <w:t>月</w:t>
      </w:r>
      <w:r>
        <w:rPr>
          <w:rFonts w:hint="eastAsia" w:ascii="宋体" w:hAnsi="宋体" w:cs="宋体"/>
          <w:color w:val="auto"/>
          <w:sz w:val="24"/>
          <w:u w:val="single"/>
          <w:lang w:val="en-US" w:eastAsia="zh-CN"/>
        </w:rPr>
        <w:t>4</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7</w:t>
      </w:r>
      <w:r>
        <w:rPr>
          <w:rFonts w:hint="eastAsia" w:ascii="宋体" w:hAnsi="宋体" w:cs="宋体"/>
          <w:color w:val="auto"/>
          <w:sz w:val="24"/>
          <w:u w:val="single"/>
        </w:rPr>
        <w:t>月</w:t>
      </w:r>
      <w:r>
        <w:rPr>
          <w:rFonts w:hint="eastAsia" w:ascii="宋体" w:hAnsi="宋体" w:cs="宋体"/>
          <w:color w:val="auto"/>
          <w:sz w:val="24"/>
          <w:u w:val="single"/>
          <w:lang w:val="en-US" w:eastAsia="zh-CN"/>
        </w:rPr>
        <w:t>4</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lang w:eastAsia="zh-CN"/>
        </w:rPr>
        <w:t>采购代理机构</w:t>
      </w:r>
      <w:r>
        <w:rPr>
          <w:rFonts w:hint="eastAsia" w:ascii="宋体" w:hAnsi="宋体" w:cs="宋体"/>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w:t>
      </w:r>
      <w:r>
        <w:rPr>
          <w:rFonts w:hint="eastAsia"/>
          <w:color w:val="auto"/>
          <w:kern w:val="0"/>
          <w:sz w:val="24"/>
          <w:lang w:val="en-US" w:eastAsia="zh-CN"/>
        </w:rPr>
        <w:t>杭州市临平区公路与运输管理服务中心</w:t>
      </w:r>
    </w:p>
    <w:p>
      <w:pPr>
        <w:spacing w:line="360" w:lineRule="auto"/>
        <w:rPr>
          <w:rFonts w:ascii="宋体" w:hAnsi="宋体" w:cs="宋体"/>
          <w:color w:val="auto"/>
          <w:sz w:val="24"/>
        </w:rPr>
      </w:pPr>
      <w:r>
        <w:rPr>
          <w:rFonts w:hint="eastAsia" w:ascii="宋体" w:hAnsi="宋体" w:cs="宋体"/>
          <w:color w:val="auto"/>
          <w:sz w:val="24"/>
        </w:rPr>
        <w:t xml:space="preserve">    地    址：</w:t>
      </w:r>
      <w:r>
        <w:rPr>
          <w:rFonts w:hint="eastAsia"/>
          <w:color w:val="auto"/>
          <w:kern w:val="0"/>
          <w:sz w:val="24"/>
          <w:lang w:val="en-US" w:eastAsia="zh-CN"/>
        </w:rPr>
        <w:t>杭州市临平区东湖街道建富社区恒新街5号</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rPr>
      </w:pPr>
      <w:r>
        <w:rPr>
          <w:rFonts w:hint="eastAsia" w:ascii="宋体" w:hAnsi="宋体" w:cs="宋体"/>
          <w:color w:val="auto"/>
          <w:sz w:val="24"/>
        </w:rPr>
        <w:t xml:space="preserve">项目联系人（询问）： </w:t>
      </w:r>
      <w:r>
        <w:rPr>
          <w:rFonts w:hint="eastAsia" w:ascii="宋体" w:hAnsi="宋体" w:cs="宋体"/>
          <w:color w:val="auto"/>
          <w:sz w:val="24"/>
          <w:lang w:val="en-US" w:eastAsia="zh-CN"/>
        </w:rPr>
        <w:t>李皓</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项目联系方式（询问）：</w:t>
      </w:r>
      <w:r>
        <w:rPr>
          <w:rFonts w:hint="eastAsia"/>
          <w:color w:val="auto"/>
          <w:kern w:val="0"/>
          <w:sz w:val="24"/>
        </w:rPr>
        <w:t>0571-</w:t>
      </w:r>
      <w:r>
        <w:rPr>
          <w:rFonts w:hint="eastAsia" w:ascii="Times New Roman" w:eastAsia="宋体"/>
          <w:color w:val="auto"/>
          <w:kern w:val="0"/>
          <w:sz w:val="24"/>
          <w:lang w:val="en-US" w:eastAsia="zh-CN"/>
        </w:rPr>
        <w:t>86165302</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质疑联系人：</w:t>
      </w:r>
      <w:r>
        <w:rPr>
          <w:rFonts w:hint="eastAsia"/>
          <w:color w:val="auto"/>
          <w:kern w:val="0"/>
          <w:sz w:val="24"/>
          <w:lang w:val="en-US" w:eastAsia="zh-CN"/>
        </w:rPr>
        <w:t>张立</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质疑联系方式：</w:t>
      </w:r>
      <w:r>
        <w:rPr>
          <w:rFonts w:hint="eastAsia"/>
          <w:color w:val="auto"/>
          <w:sz w:val="24"/>
          <w:lang w:val="en-US" w:eastAsia="zh-CN"/>
        </w:rPr>
        <w:t>0571-86160150</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hint="default" w:ascii="宋体" w:hAnsi="宋体" w:eastAsia="宋体" w:cs="宋体"/>
          <w:color w:val="auto"/>
          <w:sz w:val="24"/>
          <w:lang w:val="en-US" w:eastAsia="zh-CN"/>
        </w:rPr>
      </w:pPr>
      <w:r>
        <w:rPr>
          <w:rFonts w:hint="eastAsia" w:ascii="宋体" w:hAnsi="宋体" w:cs="宋体"/>
          <w:color w:val="auto"/>
          <w:sz w:val="24"/>
        </w:rPr>
        <w:t>名    称：</w:t>
      </w:r>
      <w:r>
        <w:rPr>
          <w:rFonts w:hint="eastAsia" w:ascii="宋体" w:hAnsi="宋体" w:cs="宋体"/>
          <w:color w:val="auto"/>
          <w:sz w:val="24"/>
          <w:lang w:val="en-US" w:eastAsia="zh-CN"/>
        </w:rPr>
        <w:t>杭州市公共资源交易中心临平分中心</w:t>
      </w:r>
    </w:p>
    <w:p>
      <w:pPr>
        <w:spacing w:line="360" w:lineRule="auto"/>
        <w:ind w:firstLine="480"/>
        <w:rPr>
          <w:rFonts w:hint="default" w:ascii="宋体" w:hAnsi="宋体" w:eastAsia="宋体" w:cs="宋体"/>
          <w:color w:val="auto"/>
          <w:sz w:val="24"/>
          <w:lang w:val="en-US" w:eastAsia="zh-CN"/>
        </w:rPr>
      </w:pPr>
      <w:r>
        <w:rPr>
          <w:rFonts w:hint="eastAsia" w:ascii="宋体" w:hAnsi="宋体" w:cs="宋体"/>
          <w:color w:val="auto"/>
          <w:sz w:val="24"/>
        </w:rPr>
        <w:t>地    址：</w:t>
      </w:r>
      <w:r>
        <w:rPr>
          <w:rFonts w:hint="eastAsia" w:ascii="宋体" w:hAnsi="宋体" w:cs="宋体"/>
          <w:color w:val="auto"/>
          <w:sz w:val="24"/>
          <w:lang w:val="en-US" w:eastAsia="zh-CN"/>
        </w:rPr>
        <w:t>南大街265号市民之家3楼</w:t>
      </w:r>
    </w:p>
    <w:p>
      <w:pPr>
        <w:spacing w:line="360" w:lineRule="auto"/>
        <w:rPr>
          <w:rFonts w:ascii="宋体" w:hAnsi="宋体" w:cs="宋体"/>
          <w:color w:val="auto"/>
          <w:sz w:val="24"/>
        </w:rPr>
      </w:pPr>
      <w:r>
        <w:rPr>
          <w:rFonts w:hint="eastAsia" w:ascii="宋体" w:hAnsi="宋体" w:cs="宋体"/>
          <w:color w:val="auto"/>
          <w:sz w:val="24"/>
        </w:rPr>
        <w:t xml:space="preserve">    传    真：</w:t>
      </w:r>
      <w:r>
        <w:rPr>
          <w:rFonts w:hint="eastAsia" w:ascii="宋体" w:hAnsi="宋体" w:cs="宋体"/>
          <w:color w:val="auto"/>
          <w:sz w:val="24"/>
          <w:lang w:val="en-US" w:eastAsia="zh-CN"/>
        </w:rPr>
        <w:t>/</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项目联系人（询问）：</w:t>
      </w:r>
      <w:r>
        <w:rPr>
          <w:rFonts w:hint="eastAsia" w:ascii="宋体" w:hAnsi="宋体" w:cs="宋体"/>
          <w:color w:val="auto"/>
          <w:sz w:val="24"/>
          <w:lang w:val="en-US" w:eastAsia="zh-CN"/>
        </w:rPr>
        <w:t>包国金</w:t>
      </w:r>
      <w:r>
        <w:rPr>
          <w:rFonts w:hint="eastAsia" w:ascii="宋体" w:hAnsi="宋体" w:cs="宋体"/>
          <w:color w:val="auto"/>
          <w:sz w:val="24"/>
        </w:rPr>
        <w:t xml:space="preserve">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项目联系方式（询问）：</w:t>
      </w:r>
      <w:r>
        <w:rPr>
          <w:rFonts w:hint="eastAsia" w:ascii="宋体" w:hAnsi="宋体" w:cs="宋体"/>
          <w:color w:val="auto"/>
          <w:sz w:val="24"/>
          <w:lang w:val="en-US" w:eastAsia="zh-CN"/>
        </w:rPr>
        <w:t>0571-89156860</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质疑联系人： </w:t>
      </w:r>
      <w:r>
        <w:rPr>
          <w:rFonts w:hint="eastAsia" w:ascii="宋体" w:hAnsi="宋体" w:cs="宋体"/>
          <w:color w:val="auto"/>
          <w:sz w:val="24"/>
          <w:lang w:val="en-US" w:eastAsia="zh-CN"/>
        </w:rPr>
        <w:t>沈女士</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质疑联系方式：</w:t>
      </w:r>
      <w:r>
        <w:rPr>
          <w:rFonts w:hint="eastAsia" w:ascii="宋体" w:hAnsi="宋体" w:cs="宋体"/>
          <w:color w:val="auto"/>
          <w:sz w:val="24"/>
          <w:lang w:val="en-US" w:eastAsia="zh-CN"/>
        </w:rPr>
        <w:t>0571-89530678</w:t>
      </w:r>
    </w:p>
    <w:p>
      <w:pPr>
        <w:spacing w:line="360" w:lineRule="auto"/>
        <w:rPr>
          <w:rFonts w:ascii="宋体" w:hAnsi="宋体" w:cs="宋体"/>
          <w:color w:val="auto"/>
          <w:sz w:val="24"/>
        </w:rPr>
      </w:pPr>
      <w:r>
        <w:rPr>
          <w:rFonts w:hint="eastAsia" w:ascii="宋体" w:hAnsi="宋体" w:cs="宋体"/>
          <w:color w:val="auto"/>
          <w:sz w:val="24"/>
        </w:rPr>
        <w:t xml:space="preserve">    3.同级政府采购监督管理部门            </w:t>
      </w:r>
    </w:p>
    <w:p>
      <w:pPr>
        <w:spacing w:line="360" w:lineRule="auto"/>
        <w:rPr>
          <w:rFonts w:ascii="宋体" w:hAnsi="宋体" w:cs="宋体"/>
          <w:color w:val="auto"/>
          <w:sz w:val="24"/>
        </w:rPr>
      </w:pPr>
      <w:r>
        <w:rPr>
          <w:rFonts w:hint="eastAsia" w:ascii="宋体" w:hAnsi="宋体" w:cs="宋体"/>
          <w:color w:val="auto"/>
          <w:sz w:val="24"/>
        </w:rPr>
        <w:t xml:space="preserve">   名    称：</w:t>
      </w:r>
      <w:r>
        <w:rPr>
          <w:rFonts w:hint="eastAsia" w:ascii="宋体" w:hAnsi="宋体" w:cs="宋体"/>
          <w:color w:val="auto"/>
          <w:sz w:val="24"/>
          <w:lang w:val="en-US" w:eastAsia="zh-CN"/>
        </w:rPr>
        <w:t>临平区</w:t>
      </w:r>
      <w:r>
        <w:rPr>
          <w:rFonts w:hint="eastAsia" w:ascii="宋体" w:hAnsi="宋体" w:cs="宋体"/>
          <w:color w:val="auto"/>
          <w:sz w:val="24"/>
        </w:rPr>
        <w:t>财政局政府采购监管处 /浙江省政府采购行政裁决服务中心（杭州）</w:t>
      </w:r>
    </w:p>
    <w:p>
      <w:pPr>
        <w:spacing w:line="360" w:lineRule="auto"/>
        <w:rPr>
          <w:rFonts w:ascii="宋体" w:hAnsi="宋体" w:cs="宋体"/>
          <w:color w:val="auto"/>
          <w:sz w:val="24"/>
        </w:rPr>
      </w:pPr>
      <w:r>
        <w:rPr>
          <w:rFonts w:hint="eastAsia" w:ascii="宋体" w:hAnsi="宋体" w:cs="宋体"/>
          <w:color w:val="auto"/>
          <w:sz w:val="24"/>
        </w:rPr>
        <w:t xml:space="preserve">    地    址：杭州市上城区四季青街道新业路市民之家G03办公室 </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ascii="宋体" w:hAnsi="宋体" w:cs="宋体"/>
          <w:color w:val="auto"/>
          <w:sz w:val="24"/>
        </w:rPr>
      </w:pPr>
      <w:r>
        <w:rPr>
          <w:rFonts w:hint="eastAsia" w:ascii="宋体" w:hAnsi="宋体" w:cs="宋体"/>
          <w:color w:val="auto"/>
          <w:sz w:val="24"/>
        </w:rPr>
        <w:t xml:space="preserve">    联系人 ：朱女士、王女士</w:t>
      </w:r>
    </w:p>
    <w:p>
      <w:pPr>
        <w:spacing w:line="360" w:lineRule="auto"/>
        <w:ind w:firstLine="480"/>
        <w:rPr>
          <w:rFonts w:hint="eastAsia" w:ascii="宋体" w:hAnsi="宋体" w:cs="宋体"/>
          <w:color w:val="auto"/>
          <w:sz w:val="24"/>
        </w:rPr>
      </w:pPr>
      <w:r>
        <w:rPr>
          <w:rFonts w:hint="eastAsia" w:ascii="宋体" w:hAnsi="宋体" w:cs="宋体"/>
          <w:color w:val="auto"/>
          <w:sz w:val="24"/>
        </w:rPr>
        <w:t xml:space="preserve">监督投诉电话：电话：0571-85252453   </w:t>
      </w: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lang w:val="en-US" w:eastAsia="zh-CN"/>
        </w:rPr>
        <w:t>政策咨询：陈先生、厉先生，0571-89580460、89580456</w:t>
      </w:r>
    </w:p>
    <w:p>
      <w:pPr>
        <w:spacing w:line="360" w:lineRule="auto"/>
        <w:ind w:firstLine="48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lang w:val="en-US" w:eastAsia="zh-CN"/>
              </w:rPr>
              <w:t>临平区“三路一环”养护中心物业管理</w:t>
            </w:r>
            <w:r>
              <w:rPr>
                <w:rFonts w:hint="eastAsia" w:ascii="宋体" w:hAnsi="宋体" w:cs="宋体"/>
                <w:color w:val="auto"/>
                <w:kern w:val="0"/>
                <w:sz w:val="24"/>
                <w:u w:val="single"/>
                <w:lang w:eastAsia="zh-CN"/>
              </w:rPr>
              <w:t>项目</w:t>
            </w:r>
            <w:r>
              <w:rPr>
                <w:rFonts w:hint="eastAsia" w:ascii="宋体" w:hAnsi="宋体" w:cs="宋体"/>
                <w:color w:val="auto"/>
                <w:kern w:val="0"/>
                <w:sz w:val="24"/>
              </w:rPr>
              <w:t>，属于</w:t>
            </w:r>
            <w:r>
              <w:rPr>
                <w:rFonts w:hint="eastAsia" w:ascii="宋体" w:hAnsi="宋体" w:cs="宋体"/>
                <w:color w:val="auto"/>
                <w:kern w:val="0"/>
                <w:sz w:val="24"/>
                <w:u w:val="single"/>
              </w:rPr>
              <w:t>物业管理</w:t>
            </w:r>
            <w:r>
              <w:rPr>
                <w:rFonts w:hint="eastAsia" w:ascii="宋体" w:hAnsi="宋体" w:cs="宋体"/>
                <w:color w:val="auto"/>
                <w:kern w:val="0"/>
                <w:sz w:val="24"/>
              </w:rPr>
              <w:t>行业；</w:t>
            </w:r>
          </w:p>
          <w:p>
            <w:pPr>
              <w:pStyle w:val="4"/>
              <w:rPr>
                <w:rFonts w:ascii="宋体" w:hAnsi="宋体" w:eastAsia="宋体" w:cs="宋体"/>
                <w:color w:val="auto"/>
                <w:lang w:val="en-US"/>
              </w:rPr>
            </w:pPr>
            <w:r>
              <w:rPr>
                <w:rFonts w:hint="eastAsia" w:ascii="宋体" w:hAnsi="宋体" w:eastAsia="宋体" w:cs="宋体"/>
                <w:b w:val="0"/>
                <w:bCs w:val="0"/>
                <w:color w:val="auto"/>
                <w:kern w:val="0"/>
                <w:sz w:val="24"/>
                <w:szCs w:val="24"/>
                <w:highlight w:val="none"/>
                <w:lang w:val="en-US" w:eastAsia="zh-CN" w:bidi="ar-SA"/>
              </w:rPr>
              <w:t>（2）中小企业划分标准：（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sdt>
              <w:sdtPr>
                <w:rPr>
                  <w:rFonts w:hint="eastAsia" w:ascii="宋体" w:hAnsi="宋体" w:cs="宋体"/>
                  <w:color w:val="auto"/>
                  <w:kern w:val="0"/>
                  <w:sz w:val="24"/>
                </w:rPr>
                <w:id w:val="-127633135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：详见</w:t>
            </w:r>
            <w:r>
              <w:rPr>
                <w:rFonts w:hint="eastAsia" w:ascii="宋体" w:hAnsi="宋体" w:cs="宋体"/>
                <w:color w:val="auto"/>
                <w:sz w:val="24"/>
                <w:u w:val="single"/>
              </w:rPr>
              <w:t>评标办法</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w:t>
            </w:r>
            <w:r>
              <w:rPr>
                <w:rFonts w:hint="eastAsia" w:ascii="宋体" w:hAnsi="宋体" w:cs="宋体"/>
                <w:color w:val="auto"/>
                <w:sz w:val="24"/>
                <w:lang w:eastAsia="zh-CN"/>
              </w:rPr>
              <w:t>采购代理机构</w:t>
            </w:r>
            <w:r>
              <w:rPr>
                <w:rFonts w:hint="eastAsia" w:ascii="宋体" w:hAnsi="宋体" w:cs="宋体"/>
                <w:color w:val="auto"/>
                <w:sz w:val="24"/>
              </w:rPr>
              <w:t>将通知未中标人在规定的时间内取回，逾期未取回的，采购人、</w:t>
            </w:r>
            <w:r>
              <w:rPr>
                <w:rFonts w:hint="eastAsia" w:ascii="宋体" w:hAnsi="宋体" w:cs="宋体"/>
                <w:color w:val="auto"/>
                <w:sz w:val="24"/>
                <w:lang w:eastAsia="zh-CN"/>
              </w:rPr>
              <w:t>采购代理机构</w:t>
            </w:r>
            <w:r>
              <w:rPr>
                <w:rFonts w:hint="eastAsia" w:ascii="宋体" w:hAnsi="宋体" w:cs="宋体"/>
                <w:color w:val="auto"/>
                <w:sz w:val="24"/>
              </w:rPr>
              <w:t>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w:t>
            </w:r>
            <w:r>
              <w:rPr>
                <w:rFonts w:hint="eastAsia" w:ascii="宋体" w:hAnsi="宋体" w:cs="宋体"/>
                <w:color w:val="auto"/>
                <w:kern w:val="0"/>
                <w:sz w:val="24"/>
                <w:u w:val="single"/>
              </w:rPr>
              <w:t>20</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ascii="宋体" w:hAnsi="宋体" w:cs="宋体"/>
                <w:color w:val="auto"/>
                <w:kern w:val="0"/>
                <w:sz w:val="24"/>
              </w:rPr>
              <w:t>分钟，讲解次序以投标文件解密时间先后次序为准，讲解演示人员不超过</w:t>
            </w:r>
            <w:r>
              <w:rPr>
                <w:rFonts w:hint="eastAsia" w:ascii="宋体" w:hAnsi="宋体" w:cs="宋体"/>
                <w:color w:val="auto"/>
                <w:kern w:val="0"/>
                <w:sz w:val="24"/>
                <w:u w:val="single"/>
              </w:rPr>
              <w:t>3</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ascii="宋体" w:hAnsi="宋体" w:cs="宋体"/>
                <w:color w:val="auto"/>
                <w:kern w:val="0"/>
                <w:sz w:val="24"/>
              </w:rPr>
              <w:t>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（2）方案讲解演示可选择以下其中一种方式：</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方式二：交易中心现场讲解演示。现场讲解地点为</w:t>
            </w:r>
            <w:r>
              <w:rPr>
                <w:rFonts w:hint="eastAsia" w:ascii="宋体" w:hAnsi="宋体" w:cs="宋体"/>
                <w:color w:val="auto"/>
                <w:kern w:val="0"/>
                <w:sz w:val="24"/>
                <w:u w:val="single"/>
              </w:rPr>
              <w:t xml:space="preserve">     </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☐依据国家确定的认证机构出具的、处于有效期之内的节能产品认证证书，对获得证书的产品实施政府优先采购或强制采购；其中，对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实施政府强制采购，</w:t>
            </w:r>
            <w:r>
              <w:rPr>
                <w:rFonts w:hint="eastAsia" w:ascii="宋体" w:hAnsi="宋体" w:cs="宋体"/>
                <w:b/>
                <w:bCs/>
                <w:color w:val="auto"/>
                <w:kern w:val="0"/>
                <w:sz w:val="24"/>
                <w:highlight w:val="none"/>
                <w:lang w:val="zh-CN"/>
              </w:rPr>
              <w:t>投标人</w:t>
            </w:r>
            <w:r>
              <w:rPr>
                <w:rFonts w:hint="eastAsia" w:ascii="宋体" w:hAnsi="宋体" w:cs="宋体"/>
                <w:b/>
                <w:bCs/>
                <w:color w:val="auto"/>
                <w:kern w:val="0"/>
                <w:sz w:val="24"/>
                <w:highlight w:val="none"/>
              </w:rPr>
              <w:t>就</w:t>
            </w:r>
            <w:r>
              <w:rPr>
                <w:rFonts w:hint="eastAsia" w:ascii="宋体" w:hAnsi="宋体" w:cs="宋体"/>
                <w:b/>
                <w:bCs/>
                <w:color w:val="auto"/>
                <w:kern w:val="0"/>
                <w:sz w:val="24"/>
                <w:highlight w:val="none"/>
                <w:lang w:val="zh-CN"/>
              </w:rPr>
              <w:t>相应的投标产品未</w:t>
            </w:r>
            <w:r>
              <w:rPr>
                <w:rFonts w:hint="eastAsia" w:ascii="宋体" w:hAnsi="宋体" w:cs="宋体"/>
                <w:b/>
                <w:bCs/>
                <w:color w:val="auto"/>
                <w:kern w:val="0"/>
                <w:sz w:val="24"/>
                <w:highlight w:val="none"/>
              </w:rPr>
              <w:t>提供</w:t>
            </w:r>
            <w:r>
              <w:rPr>
                <w:rFonts w:hint="eastAsia" w:ascii="宋体" w:hAnsi="宋体" w:cs="宋体"/>
                <w:b/>
                <w:bCs/>
                <w:color w:val="auto"/>
                <w:kern w:val="0"/>
                <w:sz w:val="24"/>
                <w:highlight w:val="none"/>
                <w:lang w:val="zh-CN"/>
              </w:rPr>
              <w:t>国家确定的认证机构出具的、处于有效期之内的节能产品认证证书的，投标无效</w:t>
            </w:r>
            <w:r>
              <w:rPr>
                <w:rFonts w:hint="eastAsia" w:ascii="宋体" w:hAnsi="宋体" w:cs="宋体"/>
                <w:color w:val="auto"/>
                <w:kern w:val="0"/>
                <w:sz w:val="24"/>
                <w:highlight w:val="none"/>
                <w:lang w:val="zh-CN"/>
              </w:rPr>
              <w:t>。</w:t>
            </w:r>
          </w:p>
          <w:p>
            <w:pPr>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☐依据国家确定的认证机构出具的、处于有效期之内的环境标志产品认证证书，对获得证书的</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color w:val="auto"/>
                <w:sz w:val="24"/>
                <w:highlight w:val="none"/>
                <w:u w:val="single"/>
                <w:lang w:eastAsia="zh-CN"/>
              </w:rPr>
              <w:t>杭州市公共资源交易中心临平分中心</w:t>
            </w:r>
            <w:r>
              <w:rPr>
                <w:rFonts w:hint="eastAsia" w:hAnsi="宋体" w:cs="宋体"/>
                <w:color w:val="auto"/>
                <w:sz w:val="24"/>
                <w:highlight w:val="none"/>
                <w:u w:val="single"/>
                <w:lang w:val="en-US" w:eastAsia="zh-CN"/>
              </w:rPr>
              <w:t>1号开标室</w:t>
            </w:r>
            <w:r>
              <w:rPr>
                <w:rFonts w:hint="eastAsia" w:hAnsi="宋体" w:cs="宋体"/>
                <w:color w:val="auto"/>
                <w:kern w:val="28"/>
                <w:sz w:val="24"/>
                <w:szCs w:val="24"/>
              </w:rPr>
              <w:t>；备份投标文件签收人员联系电话：</w:t>
            </w:r>
            <w:r>
              <w:rPr>
                <w:rFonts w:hint="eastAsia" w:hAnsi="宋体" w:cs="宋体"/>
                <w:color w:val="auto"/>
                <w:sz w:val="24"/>
                <w:u w:val="single"/>
                <w:lang w:val="en-US" w:eastAsia="zh-CN"/>
              </w:rPr>
              <w:t>89156860</w:t>
            </w:r>
            <w:r>
              <w:rPr>
                <w:rFonts w:hint="eastAsia" w:hAnsi="宋体" w:cs="宋体"/>
                <w:color w:val="auto"/>
                <w:sz w:val="24"/>
                <w:szCs w:val="24"/>
              </w:rPr>
              <w:t>。</w:t>
            </w:r>
            <w:r>
              <w:rPr>
                <w:rFonts w:hint="eastAsia" w:hAnsi="宋体" w:cs="宋体"/>
                <w:b/>
                <w:color w:val="auto"/>
                <w:sz w:val="24"/>
                <w:szCs w:val="24"/>
              </w:rPr>
              <w:t>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rPr>
            </w:pPr>
            <w:r>
              <w:rPr>
                <w:rFonts w:hint="eastAsia" w:ascii="宋体" w:hAnsi="宋体" w:eastAsia="宋体" w:cs="Arial"/>
                <w:color w:val="auto"/>
                <w:kern w:val="0"/>
                <w:sz w:val="24"/>
                <w:highlight w:val="cyan"/>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rPr>
            </w:pPr>
            <w:r>
              <w:rPr>
                <w:rFonts w:hint="eastAsia" w:ascii="宋体" w:hAnsi="宋体" w:cs="宋体"/>
                <w:color w:val="auto"/>
                <w:kern w:val="0"/>
                <w:sz w:val="24"/>
                <w:highlight w:val="none"/>
                <w:lang w:val="en" w:eastAsia="zh-CN"/>
              </w:rPr>
              <w:t>本项目评审报告推荐的中标候选人数量：</w:t>
            </w:r>
            <w:r>
              <w:rPr>
                <w:rFonts w:hint="eastAsia" w:ascii="宋体" w:hAnsi="宋体" w:cs="宋体"/>
                <w:color w:val="auto"/>
                <w:kern w:val="0"/>
                <w:sz w:val="24"/>
                <w:highlight w:val="none"/>
                <w:u w:val="single"/>
                <w:lang w:val="en-US" w:eastAsia="zh-CN"/>
              </w:rPr>
              <w:t xml:space="preserve">  1 </w:t>
            </w:r>
            <w:r>
              <w:rPr>
                <w:rFonts w:hint="eastAsia" w:ascii="宋体" w:hAnsi="宋体" w:cs="宋体"/>
                <w:color w:val="auto"/>
                <w:kern w:val="0"/>
                <w:sz w:val="24"/>
                <w:highlight w:val="none"/>
                <w:lang w:val="en" w:eastAsia="zh-CN"/>
              </w:rPr>
              <w:t>。</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1" w:name="第三部分"/>
      <w:bookmarkStart w:id="12" w:name="_Toc164416483"/>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w:t>
      </w:r>
      <w:r>
        <w:rPr>
          <w:rFonts w:hint="eastAsia" w:ascii="宋体" w:hAnsi="宋体" w:cs="宋体"/>
          <w:color w:val="auto"/>
          <w:sz w:val="24"/>
          <w:lang w:eastAsia="zh-CN"/>
        </w:rPr>
        <w:t>采购代理机构</w:t>
      </w:r>
      <w:r>
        <w:rPr>
          <w:rFonts w:hint="eastAsia" w:ascii="宋体" w:hAnsi="宋体" w:cs="宋体"/>
          <w:color w:val="auto"/>
          <w:sz w:val="24"/>
        </w:rPr>
        <w:t>”系指招标公告中载明的本项目的</w:t>
      </w:r>
      <w:r>
        <w:rPr>
          <w:rFonts w:hint="eastAsia" w:ascii="宋体" w:hAnsi="宋体" w:cs="宋体"/>
          <w:color w:val="auto"/>
          <w:sz w:val="24"/>
          <w:lang w:eastAsia="zh-CN"/>
        </w:rPr>
        <w:t>采购代理机构</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w:t>
      </w:r>
      <w:r>
        <w:rPr>
          <w:rFonts w:hint="eastAsia" w:ascii="宋体" w:hAnsi="宋体" w:cs="宋体"/>
          <w:color w:val="auto"/>
          <w:sz w:val="24"/>
          <w:lang w:val="en-US" w:eastAsia="zh-CN"/>
        </w:rPr>
        <w:t>系</w:t>
      </w:r>
      <w:r>
        <w:rPr>
          <w:rFonts w:hint="eastAsia" w:ascii="宋体" w:hAnsi="宋体" w:cs="宋体"/>
          <w:color w:val="auto"/>
          <w:sz w:val="24"/>
        </w:rPr>
        <w:t>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lang w:eastAsia="zh-CN"/>
        </w:rPr>
        <w:t>采购代理机构</w:t>
      </w:r>
      <w:r>
        <w:rPr>
          <w:rFonts w:hint="eastAsia" w:ascii="宋体" w:hAnsi="宋体" w:cs="宋体"/>
          <w:color w:val="auto"/>
          <w:sz w:val="24"/>
        </w:rPr>
        <w:t>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pStyle w:val="4"/>
        <w:adjustRightInd w:val="0"/>
        <w:ind w:left="0" w:firstLine="480" w:firstLineChars="200"/>
        <w:rPr>
          <w:color w:val="auto"/>
        </w:rPr>
      </w:pPr>
      <w:r>
        <w:rPr>
          <w:rFonts w:hint="eastAsia" w:ascii="宋体" w:hAnsi="宋体" w:eastAsia="宋体" w:cs="仿宋"/>
          <w:b w:val="0"/>
          <w:bCs w:val="0"/>
          <w:color w:val="auto"/>
          <w:sz w:val="24"/>
          <w:szCs w:val="24"/>
          <w:lang w:val="en-US"/>
        </w:rPr>
        <w:t xml:space="preserve">3.4.3 </w:t>
      </w:r>
      <w:r>
        <w:rPr>
          <w:rFonts w:hint="eastAsia" w:ascii="宋体" w:hAnsi="宋体" w:eastAsia="宋体" w:cs="仿宋"/>
          <w:b w:val="0"/>
          <w:bCs w:val="0"/>
          <w:color w:val="auto"/>
          <w:sz w:val="24"/>
          <w:szCs w:val="24"/>
          <w:lang w:val="en-US" w:eastAsia="zh-CN"/>
        </w:rPr>
        <w:t>采购人应当贯彻落实知识产权保护相关法律法规，</w:t>
      </w:r>
      <w:r>
        <w:rPr>
          <w:rFonts w:hint="eastAsia" w:ascii="宋体" w:hAnsi="宋体" w:eastAsia="宋体" w:cs="仿宋"/>
          <w:b w:val="0"/>
          <w:bCs w:val="0"/>
          <w:color w:val="auto"/>
          <w:sz w:val="24"/>
          <w:szCs w:val="24"/>
          <w:lang w:val="en-US"/>
        </w:rPr>
        <w:t>应当采购使用正版软件。</w:t>
      </w:r>
    </w:p>
    <w:p>
      <w:pPr>
        <w:spacing w:line="360" w:lineRule="auto"/>
        <w:ind w:firstLine="480" w:firstLineChars="200"/>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r>
        <w:rPr>
          <w:rFonts w:hint="eastAsia" w:ascii="宋体" w:hAnsi="宋体" w:cs="仿宋"/>
          <w:color w:val="auto"/>
          <w:sz w:val="24"/>
        </w:rPr>
        <w:t>、补偿救济</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2"/>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lang w:eastAsia="zh-CN"/>
        </w:rPr>
        <w:t>采购代理机构</w:t>
      </w:r>
      <w:r>
        <w:rPr>
          <w:rFonts w:hint="eastAsia" w:hAnsi="宋体" w:cs="宋体"/>
          <w:color w:val="auto"/>
          <w:sz w:val="24"/>
        </w:rPr>
        <w:t>提出质疑，否则，采购人或者</w:t>
      </w:r>
      <w:r>
        <w:rPr>
          <w:rFonts w:hint="eastAsia" w:hAnsi="宋体" w:cs="宋体"/>
          <w:color w:val="auto"/>
          <w:sz w:val="24"/>
          <w:lang w:eastAsia="zh-CN"/>
        </w:rPr>
        <w:t>采购代理机构</w:t>
      </w:r>
      <w:r>
        <w:rPr>
          <w:rFonts w:hint="eastAsia" w:hAnsi="宋体" w:cs="宋体"/>
          <w:color w:val="auto"/>
          <w:sz w:val="24"/>
        </w:rPr>
        <w:t>不予受理：</w:t>
      </w:r>
    </w:p>
    <w:p>
      <w:pPr>
        <w:pStyle w:val="1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2"/>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8"/>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8"/>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lang w:val="zh-CN"/>
        </w:rPr>
        <w:t>4.3</w:t>
      </w:r>
      <w:r>
        <w:rPr>
          <w:rFonts w:hint="eastAsia"/>
          <w:color w:val="auto"/>
        </w:rPr>
        <w:t>.5</w:t>
      </w:r>
      <w:r>
        <w:rPr>
          <w:rFonts w:hint="eastAsia"/>
          <w:color w:val="auto"/>
          <w:highlight w:val="none"/>
        </w:rPr>
        <w:t>采购人或者采购机构应当在</w:t>
      </w:r>
      <w:r>
        <w:rPr>
          <w:rFonts w:hint="eastAsia"/>
          <w:color w:val="auto"/>
          <w:highlight w:val="none"/>
          <w:lang w:val="en-US" w:eastAsia="zh-CN"/>
        </w:rPr>
        <w:t>根据</w:t>
      </w:r>
      <w:r>
        <w:rPr>
          <w:rFonts w:hint="eastAsia" w:ascii="宋体" w:hAnsi="宋体" w:eastAsia="宋体"/>
          <w:color w:val="auto"/>
          <w:sz w:val="24"/>
          <w:highlight w:val="none"/>
        </w:rPr>
        <w:t>《</w:t>
      </w:r>
      <w:r>
        <w:rPr>
          <w:rFonts w:hint="eastAsia"/>
          <w:color w:val="auto"/>
          <w:sz w:val="24"/>
          <w:highlight w:val="none"/>
          <w:lang w:val="en-US" w:eastAsia="zh-CN"/>
        </w:rPr>
        <w:t>年度</w:t>
      </w:r>
      <w:r>
        <w:rPr>
          <w:rFonts w:hint="eastAsia" w:ascii="宋体" w:hAnsi="宋体" w:eastAsia="宋体"/>
          <w:color w:val="auto"/>
          <w:sz w:val="24"/>
          <w:highlight w:val="none"/>
        </w:rPr>
        <w:t>集中采购委托协议》的</w:t>
      </w:r>
      <w:r>
        <w:rPr>
          <w:rFonts w:hint="eastAsia" w:ascii="宋体" w:hAnsi="宋体" w:eastAsia="宋体"/>
          <w:color w:val="auto"/>
          <w:sz w:val="24"/>
          <w:highlight w:val="none"/>
          <w:lang w:val="en-US" w:eastAsia="zh-CN"/>
        </w:rPr>
        <w:t>约定，</w:t>
      </w:r>
      <w:r>
        <w:rPr>
          <w:rFonts w:hint="eastAsia"/>
          <w:color w:val="auto"/>
          <w:highlight w:val="none"/>
        </w:rPr>
        <w:t>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line="360" w:lineRule="auto"/>
        <w:ind w:firstLine="400"/>
        <w:contextualSpacing/>
        <w:rPr>
          <w:rFonts w:hint="eastAsia" w:ascii="宋体" w:hAnsi="宋体" w:eastAsia="宋体"/>
          <w:color w:val="auto"/>
          <w:sz w:val="24"/>
          <w:highlight w:val="none"/>
        </w:rPr>
      </w:pPr>
      <w:r>
        <w:rPr>
          <w:rFonts w:hint="eastAsia" w:ascii="宋体" w:hAnsi="宋体" w:eastAsia="宋体"/>
          <w:color w:val="auto"/>
          <w:sz w:val="24"/>
          <w:highlight w:val="none"/>
        </w:rPr>
        <w:t>根据采购人与采购机构签订的《</w:t>
      </w:r>
      <w:r>
        <w:rPr>
          <w:rFonts w:hint="eastAsia"/>
          <w:color w:val="auto"/>
          <w:sz w:val="24"/>
          <w:highlight w:val="none"/>
          <w:lang w:val="en-US" w:eastAsia="zh-CN"/>
        </w:rPr>
        <w:t>年度</w:t>
      </w:r>
      <w:r>
        <w:rPr>
          <w:rFonts w:hint="eastAsia" w:ascii="宋体" w:hAnsi="宋体" w:eastAsia="宋体"/>
          <w:color w:val="auto"/>
          <w:sz w:val="24"/>
          <w:highlight w:val="none"/>
        </w:rPr>
        <w:t>集中采购委托协议》的</w:t>
      </w:r>
      <w:r>
        <w:rPr>
          <w:rFonts w:hint="eastAsia"/>
          <w:color w:val="auto"/>
          <w:sz w:val="24"/>
          <w:highlight w:val="none"/>
          <w:lang w:val="en-US" w:eastAsia="zh-CN"/>
        </w:rPr>
        <w:t>约</w:t>
      </w:r>
      <w:r>
        <w:rPr>
          <w:rFonts w:hint="eastAsia" w:ascii="宋体" w:hAnsi="宋体" w:eastAsia="宋体"/>
          <w:color w:val="auto"/>
          <w:sz w:val="24"/>
          <w:highlight w:val="none"/>
        </w:rPr>
        <w:t>定，质疑答复责任主体如下：</w:t>
      </w:r>
    </w:p>
    <w:p>
      <w:pPr>
        <w:widowControl/>
        <w:adjustRightInd/>
        <w:spacing w:line="360" w:lineRule="auto"/>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质疑答复责任主体一览表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54" w:type="dxa"/>
            <w:gridSpan w:val="2"/>
            <w:noWrap w:val="0"/>
            <w:vAlign w:val="center"/>
          </w:tcPr>
          <w:p>
            <w:pPr>
              <w:pStyle w:val="32"/>
              <w:spacing w:line="360" w:lineRule="auto"/>
              <w:jc w:val="center"/>
              <w:rPr>
                <w:rFonts w:ascii="宋体" w:hAnsi="宋体" w:eastAsia="宋体"/>
                <w:b/>
                <w:bCs/>
                <w:color w:val="auto"/>
                <w:sz w:val="24"/>
                <w:highlight w:val="none"/>
              </w:rPr>
            </w:pPr>
            <w:r>
              <w:rPr>
                <w:rFonts w:hint="eastAsia" w:ascii="宋体" w:hAnsi="宋体" w:eastAsia="宋体"/>
                <w:b/>
                <w:bCs/>
                <w:color w:val="auto"/>
                <w:sz w:val="24"/>
                <w:highlight w:val="none"/>
              </w:rPr>
              <w:t>质疑内容</w:t>
            </w:r>
          </w:p>
        </w:tc>
        <w:tc>
          <w:tcPr>
            <w:tcW w:w="2232" w:type="dxa"/>
            <w:noWrap w:val="0"/>
            <w:vAlign w:val="center"/>
          </w:tcPr>
          <w:p>
            <w:pPr>
              <w:pStyle w:val="32"/>
              <w:spacing w:line="360" w:lineRule="auto"/>
              <w:jc w:val="center"/>
              <w:rPr>
                <w:rFonts w:ascii="宋体" w:hAnsi="宋体" w:eastAsia="宋体"/>
                <w:b/>
                <w:bCs/>
                <w:color w:val="auto"/>
                <w:sz w:val="24"/>
                <w:highlight w:val="none"/>
              </w:rPr>
            </w:pPr>
            <w:r>
              <w:rPr>
                <w:rFonts w:hint="eastAsia" w:ascii="宋体" w:hAnsi="宋体" w:eastAsia="宋体"/>
                <w:b/>
                <w:bCs/>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noWrap w:val="0"/>
            <w:vAlign w:val="center"/>
          </w:tcPr>
          <w:p>
            <w:pPr>
              <w:pStyle w:val="32"/>
              <w:spacing w:line="360" w:lineRule="auto"/>
              <w:jc w:val="center"/>
              <w:rPr>
                <w:rFonts w:ascii="宋体" w:hAnsi="宋体" w:eastAsia="宋体"/>
                <w:color w:val="auto"/>
                <w:sz w:val="24"/>
                <w:highlight w:val="none"/>
              </w:rPr>
            </w:pPr>
            <w:r>
              <w:rPr>
                <w:rFonts w:hint="eastAsia" w:ascii="宋体" w:hAnsi="宋体" w:eastAsia="宋体"/>
                <w:color w:val="auto"/>
                <w:sz w:val="24"/>
                <w:highlight w:val="none"/>
              </w:rPr>
              <w:t>对采购文件提出质疑</w:t>
            </w:r>
          </w:p>
        </w:tc>
        <w:tc>
          <w:tcPr>
            <w:tcW w:w="4536" w:type="dxa"/>
            <w:noWrap w:val="0"/>
            <w:vAlign w:val="center"/>
          </w:tcPr>
          <w:p>
            <w:pPr>
              <w:pStyle w:val="32"/>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对采购文件中</w:t>
            </w:r>
            <w:r>
              <w:rPr>
                <w:rFonts w:hint="eastAsia" w:ascii="宋体" w:hAnsi="宋体" w:eastAsia="宋体"/>
                <w:color w:val="auto"/>
                <w:sz w:val="24"/>
                <w:szCs w:val="21"/>
                <w:highlight w:val="none"/>
              </w:rPr>
              <w:t>“申请人的资格要求”、“采购需求”、“评审办法”、“采购合同的主要条款”、“采购文件前附表内容”、“报价内容”</w:t>
            </w:r>
            <w:r>
              <w:rPr>
                <w:rFonts w:hint="eastAsia" w:ascii="宋体" w:hAnsi="宋体" w:eastAsia="宋体"/>
                <w:color w:val="auto"/>
                <w:sz w:val="24"/>
                <w:highlight w:val="none"/>
              </w:rPr>
              <w:t>的质疑</w:t>
            </w:r>
          </w:p>
        </w:tc>
        <w:tc>
          <w:tcPr>
            <w:tcW w:w="2232" w:type="dxa"/>
            <w:noWrap w:val="0"/>
            <w:vAlign w:val="center"/>
          </w:tcPr>
          <w:p>
            <w:pPr>
              <w:pStyle w:val="32"/>
              <w:spacing w:line="360" w:lineRule="auto"/>
              <w:jc w:val="center"/>
              <w:rPr>
                <w:rFonts w:ascii="宋体" w:hAnsi="宋体" w:eastAsia="宋体"/>
                <w:color w:val="auto"/>
                <w:sz w:val="24"/>
                <w:highlight w:val="none"/>
              </w:rPr>
            </w:pPr>
            <w:r>
              <w:rPr>
                <w:rFonts w:hint="eastAsia" w:ascii="宋体" w:hAnsi="宋体" w:eastAsia="宋体"/>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noWrap w:val="0"/>
            <w:vAlign w:val="center"/>
          </w:tcPr>
          <w:p>
            <w:pPr>
              <w:pStyle w:val="32"/>
              <w:spacing w:line="360" w:lineRule="auto"/>
              <w:jc w:val="center"/>
              <w:rPr>
                <w:rFonts w:ascii="宋体" w:hAnsi="宋体" w:eastAsia="宋体"/>
                <w:color w:val="auto"/>
                <w:sz w:val="24"/>
                <w:highlight w:val="none"/>
              </w:rPr>
            </w:pPr>
          </w:p>
        </w:tc>
        <w:tc>
          <w:tcPr>
            <w:tcW w:w="4536" w:type="dxa"/>
            <w:noWrap w:val="0"/>
            <w:vAlign w:val="center"/>
          </w:tcPr>
          <w:p>
            <w:pPr>
              <w:pStyle w:val="32"/>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对采购文件中其他内容提出的质疑</w:t>
            </w:r>
          </w:p>
        </w:tc>
        <w:tc>
          <w:tcPr>
            <w:tcW w:w="2232" w:type="dxa"/>
            <w:noWrap w:val="0"/>
            <w:vAlign w:val="center"/>
          </w:tcPr>
          <w:p>
            <w:pPr>
              <w:pStyle w:val="32"/>
              <w:spacing w:line="360" w:lineRule="auto"/>
              <w:jc w:val="center"/>
              <w:rPr>
                <w:rFonts w:ascii="宋体" w:hAnsi="宋体" w:eastAsia="宋体"/>
                <w:color w:val="auto"/>
                <w:sz w:val="24"/>
                <w:highlight w:val="none"/>
              </w:rPr>
            </w:pPr>
            <w:r>
              <w:rPr>
                <w:rFonts w:hint="eastAsia" w:ascii="宋体" w:hAnsi="宋体" w:eastAsia="宋体"/>
                <w:color w:val="auto"/>
                <w:sz w:val="24"/>
                <w:highlight w:val="none"/>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noWrap w:val="0"/>
            <w:vAlign w:val="center"/>
          </w:tcPr>
          <w:p>
            <w:pPr>
              <w:pStyle w:val="32"/>
              <w:spacing w:line="360" w:lineRule="auto"/>
              <w:jc w:val="center"/>
              <w:rPr>
                <w:rFonts w:ascii="宋体" w:hAnsi="宋体" w:eastAsia="宋体"/>
                <w:color w:val="auto"/>
                <w:sz w:val="24"/>
                <w:highlight w:val="none"/>
              </w:rPr>
            </w:pPr>
            <w:r>
              <w:rPr>
                <w:rFonts w:hint="eastAsia" w:ascii="宋体" w:hAnsi="宋体" w:eastAsia="宋体"/>
                <w:color w:val="auto"/>
                <w:sz w:val="24"/>
                <w:highlight w:val="none"/>
              </w:rPr>
              <w:t>对采购过程</w:t>
            </w:r>
            <w:r>
              <w:rPr>
                <w:rFonts w:hint="eastAsia" w:ascii="宋体" w:hAnsi="宋体" w:eastAsia="宋体"/>
                <w:color w:val="auto"/>
                <w:sz w:val="24"/>
                <w:highlight w:val="none"/>
                <w:lang w:eastAsia="zh-CN"/>
              </w:rPr>
              <w:t>、</w:t>
            </w:r>
            <w:r>
              <w:rPr>
                <w:rFonts w:hint="eastAsia" w:ascii="宋体" w:hAnsi="宋体" w:eastAsia="宋体"/>
                <w:color w:val="auto"/>
                <w:sz w:val="24"/>
                <w:highlight w:val="none"/>
                <w:lang w:val="en-US" w:eastAsia="zh-CN"/>
              </w:rPr>
              <w:t>采购结果</w:t>
            </w:r>
            <w:r>
              <w:rPr>
                <w:rFonts w:hint="eastAsia" w:ascii="宋体" w:hAnsi="宋体" w:eastAsia="宋体"/>
                <w:color w:val="auto"/>
                <w:sz w:val="24"/>
                <w:highlight w:val="none"/>
              </w:rPr>
              <w:t>提出质疑</w:t>
            </w:r>
          </w:p>
        </w:tc>
        <w:tc>
          <w:tcPr>
            <w:tcW w:w="4536" w:type="dxa"/>
            <w:noWrap w:val="0"/>
            <w:vAlign w:val="center"/>
          </w:tcPr>
          <w:p>
            <w:pPr>
              <w:pStyle w:val="32"/>
              <w:spacing w:line="360" w:lineRule="auto"/>
              <w:jc w:val="left"/>
              <w:rPr>
                <w:rFonts w:ascii="宋体" w:hAnsi="宋体" w:eastAsia="宋体"/>
                <w:color w:val="auto"/>
                <w:sz w:val="24"/>
                <w:highlight w:val="none"/>
              </w:rPr>
            </w:pPr>
            <w:r>
              <w:rPr>
                <w:rFonts w:hint="eastAsia" w:ascii="宋体" w:hAnsi="宋体" w:eastAsia="宋体"/>
                <w:color w:val="auto"/>
                <w:sz w:val="24"/>
                <w:szCs w:val="21"/>
                <w:highlight w:val="none"/>
              </w:rPr>
              <w:t>对“现场考察、答疑会”、 “甲方负责接收和保存的样品” 、“资格审查”等由</w:t>
            </w:r>
            <w:r>
              <w:rPr>
                <w:rFonts w:hint="eastAsia" w:ascii="宋体" w:hAnsi="宋体" w:eastAsia="宋体"/>
                <w:color w:val="auto"/>
                <w:sz w:val="24"/>
                <w:szCs w:val="21"/>
                <w:highlight w:val="none"/>
                <w:lang w:val="en-US" w:eastAsia="zh-CN"/>
              </w:rPr>
              <w:t>采购人</w:t>
            </w:r>
            <w:r>
              <w:rPr>
                <w:rFonts w:hint="eastAsia" w:ascii="宋体" w:hAnsi="宋体" w:eastAsia="宋体"/>
                <w:color w:val="auto"/>
                <w:sz w:val="24"/>
                <w:szCs w:val="21"/>
                <w:highlight w:val="none"/>
              </w:rPr>
              <w:t>负责组织的环节的质疑</w:t>
            </w:r>
          </w:p>
        </w:tc>
        <w:tc>
          <w:tcPr>
            <w:tcW w:w="2232" w:type="dxa"/>
            <w:noWrap w:val="0"/>
            <w:vAlign w:val="center"/>
          </w:tcPr>
          <w:p>
            <w:pPr>
              <w:pStyle w:val="32"/>
              <w:spacing w:line="360" w:lineRule="auto"/>
              <w:jc w:val="center"/>
              <w:rPr>
                <w:rFonts w:ascii="宋体" w:hAnsi="宋体" w:eastAsia="宋体"/>
                <w:color w:val="auto"/>
                <w:sz w:val="24"/>
                <w:highlight w:val="none"/>
              </w:rPr>
            </w:pPr>
            <w:r>
              <w:rPr>
                <w:rFonts w:hint="eastAsia" w:ascii="宋体" w:hAnsi="宋体" w:eastAsia="宋体"/>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518" w:type="dxa"/>
            <w:vMerge w:val="continue"/>
            <w:noWrap w:val="0"/>
            <w:vAlign w:val="center"/>
          </w:tcPr>
          <w:p>
            <w:pPr>
              <w:pStyle w:val="32"/>
              <w:spacing w:line="360" w:lineRule="auto"/>
              <w:jc w:val="center"/>
              <w:rPr>
                <w:rFonts w:ascii="宋体" w:hAnsi="宋体" w:eastAsia="宋体"/>
                <w:color w:val="auto"/>
                <w:sz w:val="24"/>
                <w:highlight w:val="none"/>
              </w:rPr>
            </w:pPr>
          </w:p>
        </w:tc>
        <w:tc>
          <w:tcPr>
            <w:tcW w:w="4536" w:type="dxa"/>
            <w:noWrap w:val="0"/>
            <w:vAlign w:val="center"/>
          </w:tcPr>
          <w:p>
            <w:pPr>
              <w:pStyle w:val="32"/>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对采购过程</w:t>
            </w:r>
            <w:r>
              <w:rPr>
                <w:rFonts w:hint="eastAsia" w:ascii="宋体" w:hAnsi="宋体" w:eastAsia="宋体"/>
                <w:color w:val="auto"/>
                <w:sz w:val="24"/>
                <w:highlight w:val="none"/>
                <w:lang w:eastAsia="zh-CN"/>
              </w:rPr>
              <w:t>、</w:t>
            </w:r>
            <w:r>
              <w:rPr>
                <w:rFonts w:hint="eastAsia" w:ascii="宋体" w:hAnsi="宋体" w:eastAsia="宋体"/>
                <w:color w:val="auto"/>
                <w:sz w:val="24"/>
                <w:highlight w:val="none"/>
                <w:lang w:val="en-US" w:eastAsia="zh-CN"/>
              </w:rPr>
              <w:t>采购结果其他</w:t>
            </w:r>
            <w:r>
              <w:rPr>
                <w:rFonts w:hint="eastAsia" w:ascii="宋体" w:hAnsi="宋体" w:eastAsia="宋体"/>
                <w:color w:val="auto"/>
                <w:sz w:val="24"/>
                <w:szCs w:val="21"/>
                <w:highlight w:val="none"/>
              </w:rPr>
              <w:t>环节的质疑</w:t>
            </w:r>
          </w:p>
        </w:tc>
        <w:tc>
          <w:tcPr>
            <w:tcW w:w="2232" w:type="dxa"/>
            <w:noWrap w:val="0"/>
            <w:vAlign w:val="center"/>
          </w:tcPr>
          <w:p>
            <w:pPr>
              <w:pStyle w:val="32"/>
              <w:spacing w:line="360" w:lineRule="auto"/>
              <w:jc w:val="center"/>
              <w:rPr>
                <w:rFonts w:ascii="宋体" w:hAnsi="宋体" w:eastAsia="宋体"/>
                <w:color w:val="auto"/>
                <w:sz w:val="24"/>
                <w:highlight w:val="none"/>
              </w:rPr>
            </w:pPr>
            <w:r>
              <w:rPr>
                <w:rFonts w:hint="eastAsia" w:ascii="宋体" w:hAnsi="宋体" w:eastAsia="宋体"/>
                <w:color w:val="auto"/>
                <w:sz w:val="24"/>
                <w:highlight w:val="none"/>
              </w:rPr>
              <w:t>采购机构</w:t>
            </w:r>
          </w:p>
        </w:tc>
      </w:tr>
    </w:tbl>
    <w:p>
      <w:pPr>
        <w:pStyle w:val="888"/>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8"/>
        <w:shd w:val="clear" w:color="auto" w:fill="FFFFFF"/>
        <w:snapToGrid w:val="0"/>
        <w:spacing w:after="240" w:afterAutospacing="0" w:line="360" w:lineRule="auto"/>
        <w:ind w:firstLine="400"/>
        <w:contextualSpacing/>
        <w:rPr>
          <w:color w:val="auto"/>
        </w:rPr>
      </w:pPr>
      <w:r>
        <w:rPr>
          <w:rFonts w:hint="eastAsia"/>
          <w:color w:val="auto"/>
        </w:rPr>
        <w:t>4.4.1质疑供应商对采购人、</w:t>
      </w:r>
      <w:r>
        <w:rPr>
          <w:rFonts w:hint="eastAsia"/>
          <w:color w:val="auto"/>
          <w:lang w:eastAsia="zh-CN"/>
        </w:rPr>
        <w:t>采购代理机构</w:t>
      </w:r>
      <w:r>
        <w:rPr>
          <w:rFonts w:hint="eastAsia"/>
          <w:color w:val="auto"/>
        </w:rPr>
        <w:t>的答复不满意或者采购人、</w:t>
      </w:r>
      <w:r>
        <w:rPr>
          <w:rFonts w:hint="eastAsia"/>
          <w:color w:val="auto"/>
          <w:lang w:eastAsia="zh-CN"/>
        </w:rPr>
        <w:t>采购代理机构</w:t>
      </w:r>
      <w:r>
        <w:rPr>
          <w:rFonts w:hint="eastAsia"/>
          <w:color w:val="auto"/>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8"/>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adjustRightInd w:val="0"/>
        <w:snapToGrid w:val="0"/>
        <w:spacing w:line="360" w:lineRule="auto"/>
        <w:ind w:firstLine="480" w:firstLineChars="200"/>
        <w:rPr>
          <w:rFonts w:hint="eastAsia" w:ascii="宋体" w:hAnsi="宋体" w:cs="仿宋"/>
          <w:color w:val="auto"/>
          <w:sz w:val="24"/>
        </w:rPr>
      </w:pPr>
      <w:r>
        <w:rPr>
          <w:rFonts w:hint="eastAsia" w:ascii="宋体" w:hAnsi="宋体" w:cs="仿宋"/>
          <w:color w:val="auto"/>
          <w:sz w:val="24"/>
        </w:rPr>
        <w:t>4.5 补偿救济</w:t>
      </w:r>
    </w:p>
    <w:p>
      <w:pPr>
        <w:adjustRightInd w:val="0"/>
        <w:snapToGrid w:val="0"/>
        <w:spacing w:line="360" w:lineRule="auto"/>
        <w:ind w:firstLine="480" w:firstLineChars="200"/>
        <w:rPr>
          <w:rFonts w:hint="eastAsia" w:ascii="宋体" w:hAnsi="宋体" w:cs="仿宋"/>
          <w:color w:val="auto"/>
          <w:sz w:val="24"/>
        </w:rPr>
      </w:pPr>
      <w:r>
        <w:rPr>
          <w:rFonts w:hint="eastAsia" w:ascii="宋体" w:hAnsi="宋体" w:cs="仿宋"/>
          <w:color w:val="auto"/>
          <w:sz w:val="24"/>
        </w:rPr>
        <w:t>采购人（行政机关）因政策变化、规划调整而不履行政府采购合同的，供应商可依据《杭州市涉企补偿救济实施办法（试行）》向采购人（行政机关）提起补偿申请。</w:t>
      </w:r>
    </w:p>
    <w:p>
      <w:pPr>
        <w:pStyle w:val="888"/>
        <w:shd w:val="clear" w:color="auto" w:fill="FFFFFF"/>
        <w:snapToGrid w:val="0"/>
        <w:spacing w:after="240" w:afterAutospacing="0" w:line="360" w:lineRule="auto"/>
        <w:ind w:firstLine="400"/>
        <w:contextualSpacing/>
        <w:rPr>
          <w:rFonts w:hint="eastAsia"/>
          <w:color w:val="auto"/>
          <w:highlight w:val="none"/>
        </w:rPr>
      </w:pPr>
    </w:p>
    <w:p>
      <w:pPr>
        <w:pStyle w:val="888"/>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30"/>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2"/>
        <w:spacing w:line="360" w:lineRule="auto"/>
        <w:rPr>
          <w:rFonts w:hAnsi="宋体" w:cs="宋体"/>
          <w:b/>
          <w:color w:val="auto"/>
          <w:sz w:val="24"/>
          <w:szCs w:val="24"/>
        </w:rPr>
      </w:pPr>
      <w:r>
        <w:rPr>
          <w:rFonts w:hint="eastAsia" w:hAnsi="宋体" w:cs="宋体"/>
          <w:b/>
          <w:color w:val="auto"/>
          <w:sz w:val="24"/>
          <w:szCs w:val="24"/>
        </w:rPr>
        <w:t>5．招标文件的构成</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2"/>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30"/>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w:t>
      </w:r>
      <w:r>
        <w:rPr>
          <w:rFonts w:hint="eastAsia" w:ascii="宋体" w:hAnsi="宋体" w:cs="宋体"/>
          <w:color w:val="auto"/>
          <w:lang w:eastAsia="zh-CN"/>
        </w:rPr>
        <w:t>采购代理机构</w:t>
      </w:r>
      <w:r>
        <w:rPr>
          <w:rFonts w:hint="eastAsia" w:ascii="宋体" w:hAnsi="宋体" w:cs="宋体"/>
          <w:color w:val="auto"/>
        </w:rPr>
        <w:t>提出。</w:t>
      </w:r>
    </w:p>
    <w:p>
      <w:pPr>
        <w:pStyle w:val="130"/>
        <w:snapToGrid w:val="0"/>
        <w:spacing w:before="0"/>
        <w:ind w:firstLine="480"/>
        <w:rPr>
          <w:rFonts w:ascii="宋体" w:hAnsi="宋体" w:cs="宋体"/>
          <w:color w:val="auto"/>
        </w:rPr>
      </w:pPr>
      <w:r>
        <w:rPr>
          <w:rFonts w:hint="eastAsia" w:ascii="宋体" w:hAnsi="宋体" w:cs="宋体"/>
          <w:color w:val="auto"/>
        </w:rPr>
        <w:t xml:space="preserve">6.2 </w:t>
      </w:r>
      <w:r>
        <w:rPr>
          <w:rFonts w:hint="eastAsia" w:ascii="宋体" w:hAnsi="宋体" w:cs="宋体"/>
          <w:color w:val="auto"/>
          <w:lang w:eastAsia="zh-CN"/>
        </w:rPr>
        <w:t>采购代理机构</w:t>
      </w:r>
      <w:r>
        <w:rPr>
          <w:rFonts w:hint="eastAsia" w:ascii="宋体" w:hAnsi="宋体" w:cs="宋体"/>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2"/>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2"/>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rPr>
      </w:pPr>
      <w:r>
        <w:rPr>
          <w:rFonts w:hint="eastAsia" w:hAnsi="宋体" w:cs="宋体"/>
          <w:b/>
          <w:color w:val="auto"/>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2"/>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hint="eastAsia" w:ascii="宋体" w:hAnsi="宋体" w:cs="宋体"/>
          <w:color w:val="auto"/>
          <w:sz w:val="24"/>
        </w:rPr>
      </w:pPr>
      <w:r>
        <w:rPr>
          <w:rFonts w:hint="eastAsia" w:ascii="宋体" w:hAnsi="宋体" w:cs="宋体"/>
          <w:color w:val="auto"/>
          <w:sz w:val="24"/>
        </w:rPr>
        <w:t>11.3.1开标一览表（报价表）；</w:t>
      </w:r>
    </w:p>
    <w:p>
      <w:pPr>
        <w:pStyle w:val="4"/>
        <w:adjustRightInd w:val="0"/>
        <w:ind w:left="0" w:firstLine="960" w:firstLineChars="400"/>
        <w:rPr>
          <w:color w:val="auto"/>
        </w:rPr>
      </w:pPr>
      <w:r>
        <w:rPr>
          <w:rFonts w:hint="eastAsia" w:ascii="宋体" w:hAnsi="宋体" w:eastAsia="宋体" w:cs="宋体"/>
          <w:b w:val="0"/>
          <w:bCs w:val="0"/>
          <w:color w:val="auto"/>
          <w:sz w:val="24"/>
          <w:szCs w:val="24"/>
          <w:lang w:val="en-US"/>
        </w:rPr>
        <w:t>11.3.</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w:t>
      </w:r>
      <w:r>
        <w:rPr>
          <w:rFonts w:hint="eastAsia" w:ascii="宋体" w:hAnsi="宋体" w:cs="宋体"/>
          <w:color w:val="auto"/>
          <w:sz w:val="24"/>
          <w:lang w:val="en-US" w:eastAsia="zh-CN"/>
        </w:rPr>
        <w:t>3</w:t>
      </w:r>
      <w:r>
        <w:rPr>
          <w:rFonts w:hint="eastAsia" w:ascii="宋体" w:hAnsi="宋体" w:cs="宋体"/>
          <w:color w:val="auto"/>
          <w:sz w:val="24"/>
        </w:rPr>
        <w:t>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hint="eastAsia" w:ascii="宋体" w:hAnsi="宋体" w:cs="宋体"/>
          <w:b/>
          <w:color w:val="auto"/>
          <w:sz w:val="24"/>
        </w:rPr>
      </w:pPr>
      <w:r>
        <w:rPr>
          <w:rFonts w:hint="eastAsia" w:ascii="宋体" w:hAnsi="宋体" w:cs="宋体"/>
          <w:b/>
          <w:color w:val="auto"/>
          <w:sz w:val="24"/>
        </w:rPr>
        <w:t>投标人提供虚假材料投标的，投标无效。</w:t>
      </w:r>
    </w:p>
    <w:p>
      <w:pPr>
        <w:spacing w:line="360" w:lineRule="auto"/>
        <w:ind w:firstLine="720" w:firstLineChars="300"/>
        <w:rPr>
          <w:color w:val="auto"/>
        </w:rPr>
      </w:pPr>
      <w:r>
        <w:rPr>
          <w:rFonts w:hint="eastAsia"/>
          <w:color w:val="auto"/>
          <w:sz w:val="24"/>
          <w:szCs w:val="24"/>
          <w:shd w:val="clear" w:color="auto" w:fill="FFFFFF"/>
          <w:lang w:val="en-US" w:eastAsia="zh-CN"/>
        </w:rPr>
        <w:t>投标人应对投标文件中材料的真实性、合法性负责。</w:t>
      </w:r>
    </w:p>
    <w:p>
      <w:pPr>
        <w:pStyle w:val="130"/>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30"/>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30"/>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30"/>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auto"/>
          <w:szCs w:val="24"/>
        </w:rPr>
      </w:pPr>
      <w:r>
        <w:rPr>
          <w:rFonts w:hint="eastAsia" w:ascii="宋体" w:hAnsi="宋体" w:cs="宋体"/>
          <w:color w:val="auto"/>
          <w:szCs w:val="24"/>
        </w:rPr>
        <w:t>14.3采购人、</w:t>
      </w:r>
      <w:r>
        <w:rPr>
          <w:rFonts w:hint="eastAsia" w:ascii="宋体" w:hAnsi="宋体" w:cs="宋体"/>
          <w:color w:val="auto"/>
          <w:szCs w:val="24"/>
          <w:lang w:eastAsia="zh-CN"/>
        </w:rPr>
        <w:t>采购代理机构</w:t>
      </w:r>
      <w:r>
        <w:rPr>
          <w:rFonts w:hint="eastAsia" w:ascii="宋体" w:hAnsi="宋体" w:cs="宋体"/>
          <w:color w:val="auto"/>
          <w:szCs w:val="24"/>
        </w:rPr>
        <w:t>可以视情况延长投标文件提交的截止时间。在上述情况下，</w:t>
      </w:r>
      <w:r>
        <w:rPr>
          <w:rFonts w:hint="eastAsia" w:ascii="宋体" w:hAnsi="宋体" w:cs="宋体"/>
          <w:color w:val="auto"/>
          <w:szCs w:val="24"/>
          <w:lang w:eastAsia="zh-CN"/>
        </w:rPr>
        <w:t>采购代理机构</w:t>
      </w:r>
      <w:r>
        <w:rPr>
          <w:rFonts w:hint="eastAsia" w:ascii="宋体" w:hAnsi="宋体" w:cs="宋体"/>
          <w:color w:val="auto"/>
          <w:szCs w:val="24"/>
        </w:rPr>
        <w:t>与投标人以前在投标截止期方面的全部权利、责任和义务，将适用于延长至新的投标截止期。</w:t>
      </w:r>
    </w:p>
    <w:p>
      <w:pPr>
        <w:pStyle w:val="32"/>
        <w:spacing w:line="360" w:lineRule="auto"/>
        <w:rPr>
          <w:rFonts w:hAnsi="宋体" w:cs="宋体"/>
          <w:b/>
          <w:color w:val="auto"/>
          <w:sz w:val="24"/>
          <w:szCs w:val="24"/>
        </w:rPr>
      </w:pPr>
      <w:r>
        <w:rPr>
          <w:rFonts w:hint="eastAsia" w:hAnsi="宋体" w:cs="宋体"/>
          <w:b/>
          <w:color w:val="auto"/>
          <w:sz w:val="24"/>
          <w:szCs w:val="24"/>
        </w:rPr>
        <w:t>15.备份投标文件</w:t>
      </w:r>
    </w:p>
    <w:p>
      <w:pPr>
        <w:pStyle w:val="32"/>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p>
      <w:pPr>
        <w:pStyle w:val="32"/>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lang w:val="en-US" w:eastAsia="zh-CN"/>
        </w:rPr>
        <w:t>等存储介质</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w:t>
      </w:r>
      <w:r>
        <w:rPr>
          <w:rFonts w:hint="eastAsia" w:hAnsi="宋体" w:cs="宋体"/>
          <w:color w:val="auto"/>
          <w:sz w:val="24"/>
          <w:szCs w:val="24"/>
          <w:lang w:eastAsia="zh-CN"/>
        </w:rPr>
        <w:t>采购代理机构</w:t>
      </w:r>
      <w:r>
        <w:rPr>
          <w:rFonts w:hint="eastAsia" w:hAnsi="宋体" w:cs="宋体"/>
          <w:color w:val="auto"/>
          <w:sz w:val="24"/>
          <w:szCs w:val="24"/>
        </w:rPr>
        <w:t>，</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4"/>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30"/>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30"/>
        <w:spacing w:before="0"/>
        <w:ind w:firstLine="480"/>
        <w:rPr>
          <w:rFonts w:ascii="宋体" w:hAnsi="宋体" w:cs="宋体"/>
          <w:color w:val="auto"/>
        </w:rPr>
      </w:pPr>
      <w:r>
        <w:rPr>
          <w:rFonts w:hint="eastAsia" w:ascii="宋体" w:hAnsi="宋体" w:cs="宋体"/>
          <w:color w:val="auto"/>
        </w:rPr>
        <w:t>17.3在原定投标有效期满之前，如果出现特殊情况，</w:t>
      </w:r>
      <w:r>
        <w:rPr>
          <w:rFonts w:hint="eastAsia" w:ascii="宋体" w:hAnsi="宋体" w:cs="宋体"/>
          <w:color w:val="auto"/>
          <w:lang w:eastAsia="zh-CN"/>
        </w:rPr>
        <w:t>采购代理机构</w:t>
      </w:r>
      <w:r>
        <w:rPr>
          <w:rFonts w:hint="eastAsia" w:ascii="宋体" w:hAnsi="宋体" w:cs="宋体"/>
          <w:color w:val="auto"/>
        </w:rPr>
        <w:t>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color w:val="auto"/>
          <w:sz w:val="32"/>
        </w:rPr>
      </w:pPr>
    </w:p>
    <w:p>
      <w:pPr>
        <w:pStyle w:val="130"/>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6"/>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6"/>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w:t>
      </w:r>
      <w:r>
        <w:rPr>
          <w:rFonts w:hint="eastAsia" w:ascii="宋体" w:hAnsi="宋体" w:cs="宋体"/>
          <w:color w:val="auto"/>
          <w:sz w:val="24"/>
          <w:lang w:eastAsia="zh-CN"/>
        </w:rPr>
        <w:t>采购代理机构</w:t>
      </w:r>
      <w:r>
        <w:rPr>
          <w:rFonts w:hint="eastAsia" w:ascii="宋体" w:hAnsi="宋体" w:cs="宋体"/>
          <w:color w:val="auto"/>
          <w:sz w:val="24"/>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w:t>
      </w:r>
      <w:r>
        <w:rPr>
          <w:rFonts w:hint="eastAsia" w:ascii="宋体" w:hAnsi="宋体" w:cs="宋体"/>
          <w:color w:val="auto"/>
          <w:sz w:val="24"/>
          <w:lang w:eastAsia="zh-CN"/>
        </w:rPr>
        <w:t>采购代理机构</w:t>
      </w:r>
      <w:r>
        <w:rPr>
          <w:rFonts w:hint="eastAsia" w:ascii="宋体" w:hAnsi="宋体" w:cs="宋体"/>
          <w:color w:val="auto"/>
          <w:sz w:val="24"/>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19.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130"/>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kern w:val="0"/>
          <w:szCs w:val="24"/>
          <w:lang w:val="en-US" w:eastAsia="zh-CN"/>
        </w:rPr>
        <w:t>2</w:t>
      </w:r>
      <w:r>
        <w:rPr>
          <w:rFonts w:hint="eastAsia" w:ascii="宋体" w:hAnsi="宋体" w:cs="宋体"/>
          <w:color w:val="auto"/>
          <w:kern w:val="0"/>
          <w:szCs w:val="24"/>
        </w:rPr>
        <w:t>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130"/>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3</w:t>
      </w:r>
      <w:r>
        <w:rPr>
          <w:rFonts w:hint="eastAsia" w:ascii="宋体" w:hAnsi="宋体" w:cs="宋体"/>
          <w:color w:val="auto"/>
        </w:rPr>
        <w:t>对未通过资格审查的投标人，采购人或</w:t>
      </w:r>
      <w:r>
        <w:rPr>
          <w:rFonts w:hint="eastAsia" w:ascii="宋体" w:hAnsi="宋体" w:cs="宋体"/>
          <w:color w:val="auto"/>
          <w:lang w:eastAsia="zh-CN"/>
        </w:rPr>
        <w:t>采购代理机构</w:t>
      </w:r>
      <w:r>
        <w:rPr>
          <w:rFonts w:hint="eastAsia" w:ascii="宋体" w:hAnsi="宋体" w:cs="宋体"/>
          <w:color w:val="auto"/>
        </w:rPr>
        <w:t>告知其未通过的原因。</w:t>
      </w:r>
    </w:p>
    <w:p>
      <w:pPr>
        <w:pStyle w:val="130"/>
        <w:spacing w:before="0"/>
        <w:ind w:firstLine="480"/>
        <w:rPr>
          <w:rFonts w:hint="eastAsia"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130"/>
        <w:snapToGrid w:val="0"/>
        <w:spacing w:before="0"/>
        <w:ind w:firstLine="480"/>
        <w:rPr>
          <w:rFonts w:hint="eastAsia" w:ascii="宋体" w:hAnsi="宋体" w:cs="宋体"/>
          <w:color w:val="auto"/>
        </w:rPr>
      </w:pPr>
      <w:r>
        <w:rPr>
          <w:rFonts w:hint="eastAsia" w:ascii="宋体" w:hAnsi="宋体" w:cs="宋体"/>
          <w:color w:val="auto"/>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w:t>
      </w:r>
      <w:r>
        <w:rPr>
          <w:rFonts w:hint="eastAsia" w:ascii="宋体" w:hAnsi="宋体" w:cs="宋体"/>
          <w:color w:val="auto"/>
          <w:kern w:val="0"/>
          <w:szCs w:val="24"/>
          <w:lang w:eastAsia="zh-CN"/>
        </w:rPr>
        <w:t>采购代理机构</w:t>
      </w:r>
      <w:r>
        <w:rPr>
          <w:rFonts w:hint="eastAsia" w:ascii="宋体" w:hAnsi="宋体" w:cs="宋体"/>
          <w:color w:val="auto"/>
          <w:kern w:val="0"/>
          <w:szCs w:val="24"/>
        </w:rPr>
        <w:t>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30"/>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3"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4"/>
        <w:spacing w:line="360" w:lineRule="auto"/>
        <w:ind w:left="479" w:hanging="479" w:hangingChars="199"/>
        <w:rPr>
          <w:rFonts w:cs="宋体"/>
          <w:b/>
          <w:color w:val="auto"/>
        </w:rPr>
      </w:pPr>
      <w:r>
        <w:rPr>
          <w:rFonts w:hint="eastAsia" w:cs="宋体"/>
          <w:b/>
          <w:color w:val="auto"/>
        </w:rPr>
        <w:t>22. 确定中标供应商</w:t>
      </w:r>
    </w:p>
    <w:p>
      <w:pPr>
        <w:pStyle w:val="130"/>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lang w:val="en-US" w:eastAsia="zh-CN"/>
        </w:rPr>
        <w:t>鼓励</w:t>
      </w:r>
      <w:r>
        <w:rPr>
          <w:rFonts w:hint="eastAsia" w:ascii="宋体" w:hAnsi="宋体" w:cs="宋体"/>
          <w:color w:val="auto"/>
          <w:szCs w:val="24"/>
        </w:rPr>
        <w:t>在收到评审报告当天</w:t>
      </w:r>
      <w:r>
        <w:rPr>
          <w:rFonts w:hint="eastAsia" w:ascii="宋体" w:hAnsi="宋体" w:cs="宋体"/>
          <w:color w:val="auto"/>
          <w:szCs w:val="24"/>
          <w:lang w:val="en-US" w:eastAsia="zh-CN"/>
        </w:rPr>
        <w:t>在线</w:t>
      </w:r>
      <w:r>
        <w:rPr>
          <w:rFonts w:hint="eastAsia" w:ascii="宋体" w:hAnsi="宋体" w:cs="宋体"/>
          <w:color w:val="auto"/>
          <w:szCs w:val="24"/>
        </w:rPr>
        <w:t>确定中标或者成交供应商。中标、成交通知书和中标、成交结果公告应当在规定时间内同时发出。</w:t>
      </w:r>
    </w:p>
    <w:p>
      <w:pPr>
        <w:pStyle w:val="130"/>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rPr>
        <w:t>资格审查情况、评审专家抽取规则、符合性审查情况、</w:t>
      </w:r>
      <w:bookmarkEnd w:id="14"/>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hint="eastAsia" w:ascii="宋体" w:hAnsi="宋体" w:cs="宋体"/>
          <w:color w:val="auto"/>
          <w:sz w:val="24"/>
        </w:rPr>
      </w:pPr>
      <w:r>
        <w:rPr>
          <w:rFonts w:hint="eastAsia" w:ascii="宋体" w:hAnsi="宋体" w:cs="宋体"/>
          <w:color w:val="auto"/>
          <w:sz w:val="24"/>
        </w:rPr>
        <w:t>23.3公告期限为1个工作日。</w:t>
      </w:r>
    </w:p>
    <w:p>
      <w:pPr>
        <w:pStyle w:val="130"/>
        <w:adjustRightInd w:val="0"/>
        <w:snapToGrid w:val="0"/>
        <w:spacing w:before="0"/>
        <w:ind w:firstLine="482" w:firstLineChars="200"/>
        <w:rPr>
          <w:rStyle w:val="78"/>
          <w:color w:val="auto"/>
        </w:rPr>
      </w:pPr>
      <w:r>
        <w:rPr>
          <w:rFonts w:hint="eastAsia" w:ascii="宋体" w:hAnsi="宋体" w:cs="宋体"/>
          <w:b/>
          <w:color w:val="auto"/>
          <w:szCs w:val="24"/>
          <w:lang w:val="en-US" w:eastAsia="zh-CN"/>
        </w:rPr>
        <w:t xml:space="preserve">23.4 </w:t>
      </w:r>
      <w:r>
        <w:rPr>
          <w:rFonts w:hint="eastAsia" w:ascii="宋体" w:hAnsi="宋体" w:cs="宋体"/>
          <w:b w:val="0"/>
          <w:bCs/>
          <w:color w:val="auto"/>
          <w:szCs w:val="24"/>
        </w:rPr>
        <w:t>由于</w:t>
      </w:r>
      <w:r>
        <w:rPr>
          <w:rFonts w:hint="eastAsia" w:ascii="宋体" w:hAnsi="宋体" w:cs="宋体"/>
          <w:bCs/>
          <w:color w:val="auto"/>
          <w:szCs w:val="24"/>
        </w:rPr>
        <w:t>中标、成交供应商原因导致重新采购的，应当承担支付代理费和专家评审费等费用在内的赔偿责任。</w:t>
      </w:r>
    </w:p>
    <w:p>
      <w:pPr>
        <w:pStyle w:val="79"/>
        <w:rPr>
          <w:color w:val="auto"/>
        </w:rPr>
      </w:pP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4"/>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4"/>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w:t>
      </w:r>
      <w:r>
        <w:rPr>
          <w:rFonts w:hint="eastAsia" w:ascii="宋体" w:hAnsi="宋体" w:cs="宋体"/>
          <w:color w:val="auto"/>
          <w:sz w:val="24"/>
          <w:highlight w:val="none"/>
        </w:rPr>
        <w:t>，鼓励根据项目特点、供应商诚信等因素免收履约保证金或降低缴纳比例</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4"/>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rPr>
      </w:pPr>
    </w:p>
    <w:p>
      <w:pPr>
        <w:snapToGrid w:val="0"/>
        <w:spacing w:line="360" w:lineRule="auto"/>
        <w:ind w:firstLine="3357" w:firstLineChars="1045"/>
        <w:rPr>
          <w:rFonts w:ascii="宋体" w:hAnsi="宋体" w:cs="宋体"/>
          <w:b/>
          <w:color w:val="auto"/>
          <w:sz w:val="32"/>
        </w:rPr>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30"/>
        <w:snapToGrid w:val="0"/>
        <w:spacing w:before="0"/>
        <w:ind w:firstLine="0" w:firstLineChars="0"/>
        <w:rPr>
          <w:rFonts w:ascii="宋体" w:hAnsi="宋体" w:cs="宋体"/>
          <w:color w:val="auto"/>
        </w:rPr>
      </w:pPr>
      <w:r>
        <w:rPr>
          <w:rFonts w:ascii="宋体" w:hAnsi="宋体" w:cs="宋体"/>
          <w:b/>
          <w:bCs/>
          <w:color w:val="auto"/>
          <w:sz w:val="24"/>
          <w:szCs w:val="20"/>
        </w:rPr>
        <w:t>2</w:t>
      </w:r>
      <w:r>
        <w:rPr>
          <w:rFonts w:ascii="宋体" w:hAnsi="宋体" w:cs="宋体"/>
          <w:b/>
          <w:bCs/>
          <w:color w:val="auto"/>
          <w:sz w:val="24"/>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w:t>
      </w:r>
      <w:r>
        <w:rPr>
          <w:rFonts w:hint="eastAsia" w:ascii="宋体" w:hAnsi="宋体" w:cs="宋体"/>
          <w:color w:val="auto"/>
          <w:lang w:eastAsia="zh-CN"/>
        </w:rPr>
        <w:t>采购代理机构</w:t>
      </w:r>
      <w:r>
        <w:rPr>
          <w:rFonts w:hint="eastAsia" w:ascii="宋体" w:hAnsi="宋体" w:cs="宋体"/>
          <w:color w:val="auto"/>
        </w:rPr>
        <w:t>可中止电子交易活动：</w:t>
      </w:r>
    </w:p>
    <w:p>
      <w:pPr>
        <w:pStyle w:val="130"/>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130"/>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130"/>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130"/>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130"/>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130"/>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4"/>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color w:val="auto"/>
          <w:kern w:val="0"/>
          <w:sz w:val="24"/>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4"/>
        <w:adjustRightInd w:val="0"/>
        <w:snapToGrid w:val="0"/>
        <w:ind w:left="0" w:firstLine="480" w:firstLineChars="200"/>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lang w:val="en-US" w:eastAsia="zh-CN"/>
        </w:rPr>
        <w:t>合同管理</w:t>
      </w:r>
      <w:r>
        <w:rPr>
          <w:rFonts w:hint="eastAsia" w:ascii="宋体" w:hAnsi="宋体" w:eastAsia="宋体" w:cs="宋体"/>
          <w:b w:val="0"/>
          <w:bCs w:val="0"/>
          <w:color w:val="auto"/>
          <w:kern w:val="0"/>
          <w:sz w:val="24"/>
          <w:szCs w:val="24"/>
          <w:lang w:val="en-US"/>
        </w:rPr>
        <w:t>-支付管理。对于供应商提起在线支付申请的，采购</w:t>
      </w:r>
      <w:r>
        <w:rPr>
          <w:rFonts w:hint="eastAsia" w:ascii="宋体" w:hAnsi="宋体" w:eastAsia="宋体" w:cs="宋体"/>
          <w:b w:val="0"/>
          <w:bCs w:val="0"/>
          <w:color w:val="auto"/>
          <w:kern w:val="0"/>
          <w:sz w:val="24"/>
          <w:szCs w:val="24"/>
          <w:lang w:val="en-US" w:eastAsia="zh-CN"/>
        </w:rPr>
        <w:t>人</w:t>
      </w:r>
      <w:r>
        <w:rPr>
          <w:rFonts w:hint="eastAsia" w:ascii="宋体" w:hAnsi="宋体" w:eastAsia="宋体" w:cs="宋体"/>
          <w:b w:val="0"/>
          <w:bCs w:val="0"/>
          <w:color w:val="auto"/>
          <w:kern w:val="0"/>
          <w:sz w:val="24"/>
          <w:szCs w:val="24"/>
          <w:lang w:val="en-US"/>
        </w:rPr>
        <w:t>应当</w:t>
      </w:r>
      <w:r>
        <w:rPr>
          <w:rFonts w:hint="eastAsia" w:ascii="宋体" w:hAnsi="宋体" w:eastAsia="宋体" w:cs="宋体"/>
          <w:b w:val="0"/>
          <w:bCs w:val="0"/>
          <w:color w:val="auto"/>
          <w:kern w:val="0"/>
          <w:sz w:val="24"/>
          <w:szCs w:val="24"/>
          <w:lang w:val="en-US" w:eastAsia="zh-CN"/>
        </w:rPr>
        <w:t>按规定</w:t>
      </w:r>
      <w:r>
        <w:rPr>
          <w:rFonts w:hint="eastAsia" w:ascii="宋体" w:hAnsi="宋体" w:eastAsia="宋体" w:cs="宋体"/>
          <w:b w:val="0"/>
          <w:bCs w:val="0"/>
          <w:color w:val="auto"/>
          <w:kern w:val="0"/>
          <w:sz w:val="24"/>
          <w:szCs w:val="24"/>
          <w:lang w:val="en-US"/>
        </w:rPr>
        <w:t>做好审核并完成支付。</w:t>
      </w:r>
    </w:p>
    <w:p>
      <w:pPr>
        <w:pStyle w:val="79"/>
        <w:rPr>
          <w:color w:val="auto"/>
        </w:rPr>
      </w:pPr>
    </w:p>
    <w:bookmarkEnd w:id="13"/>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docGrid w:linePitch="312" w:charSpace="0"/>
        </w:sectPr>
      </w:pPr>
      <w:bookmarkStart w:id="15" w:name="_Hlt75236011"/>
      <w:bookmarkEnd w:id="15"/>
      <w:bookmarkStart w:id="16" w:name="_Hlt68057669"/>
      <w:bookmarkEnd w:id="16"/>
      <w:bookmarkStart w:id="17" w:name="_Hlt68403820"/>
      <w:bookmarkEnd w:id="17"/>
      <w:bookmarkStart w:id="18" w:name="_Hlt74730295"/>
      <w:bookmarkEnd w:id="18"/>
      <w:bookmarkStart w:id="19" w:name="_Hlt75236101"/>
      <w:bookmarkEnd w:id="19"/>
      <w:bookmarkStart w:id="20" w:name="_Hlt68072998"/>
      <w:bookmarkEnd w:id="20"/>
      <w:bookmarkStart w:id="21" w:name="_Hlt75236290"/>
      <w:bookmarkEnd w:id="21"/>
      <w:bookmarkStart w:id="22" w:name="_Hlt68072990"/>
      <w:bookmarkEnd w:id="22"/>
      <w:bookmarkStart w:id="23" w:name="_Hlt74714665"/>
      <w:bookmarkEnd w:id="23"/>
      <w:bookmarkStart w:id="24" w:name="_Hlt74729768"/>
      <w:bookmarkEnd w:id="24"/>
      <w:bookmarkStart w:id="25" w:name="_Hlt74707468"/>
      <w:bookmarkEnd w:id="25"/>
      <w:bookmarkStart w:id="26" w:name="_Hlt68073093"/>
      <w:bookmarkEnd w:id="26"/>
    </w:p>
    <w:bookmarkEnd w:id="11"/>
    <w:bookmarkEnd w:id="12"/>
    <w:p>
      <w:pPr>
        <w:numPr>
          <w:ilvl w:val="0"/>
          <w:numId w:val="2"/>
        </w:numPr>
        <w:spacing w:line="360" w:lineRule="auto"/>
        <w:jc w:val="center"/>
        <w:outlineLvl w:val="0"/>
        <w:rPr>
          <w:rFonts w:hint="eastAsia" w:ascii="宋体" w:hAnsi="宋体" w:cs="宋体"/>
          <w:b/>
          <w:color w:val="auto"/>
          <w:sz w:val="36"/>
          <w:szCs w:val="36"/>
        </w:rPr>
      </w:pPr>
      <w:bookmarkStart w:id="27" w:name="第四部分"/>
      <w:r>
        <w:rPr>
          <w:rFonts w:hint="eastAsia" w:ascii="宋体" w:hAnsi="宋体" w:cs="宋体"/>
          <w:b/>
          <w:color w:val="auto"/>
          <w:sz w:val="36"/>
          <w:szCs w:val="36"/>
        </w:rPr>
        <w:t xml:space="preserve">  采购需求</w:t>
      </w:r>
    </w:p>
    <w:p>
      <w:pPr>
        <w:pStyle w:val="2"/>
        <w:numPr>
          <w:ilvl w:val="-1"/>
          <w:numId w:val="0"/>
        </w:numPr>
        <w:ind w:left="180" w:firstLine="0"/>
        <w:rPr>
          <w:color w:val="auto"/>
        </w:rPr>
      </w:pPr>
      <w:r>
        <w:rPr>
          <w:rFonts w:hint="eastAsia" w:ascii="宋体" w:hAnsi="宋体" w:cs="Arial"/>
          <w:b/>
          <w:bCs/>
          <w:snapToGrid w:val="0"/>
          <w:color w:val="auto"/>
          <w:kern w:val="0"/>
          <w:sz w:val="24"/>
          <w:szCs w:val="24"/>
        </w:rPr>
        <w:t>带“</w:t>
      </w:r>
      <w:r>
        <w:rPr>
          <w:rFonts w:hint="eastAsia" w:ascii="宋体" w:hAnsi="宋体" w:cs="Arial"/>
          <w:b/>
          <w:bCs/>
          <w:snapToGrid w:val="0"/>
          <w:color w:val="auto"/>
          <w:kern w:val="0"/>
          <w:sz w:val="24"/>
          <w:szCs w:val="24"/>
          <w:lang w:eastAsia="zh-CN"/>
        </w:rPr>
        <w:t>▲</w:t>
      </w:r>
      <w:r>
        <w:rPr>
          <w:rFonts w:hint="eastAsia" w:ascii="宋体" w:hAnsi="宋体" w:cs="Arial"/>
          <w:b/>
          <w:bCs/>
          <w:snapToGrid w:val="0"/>
          <w:color w:val="auto"/>
          <w:kern w:val="0"/>
          <w:sz w:val="24"/>
          <w:szCs w:val="24"/>
        </w:rPr>
        <w:t>”条款为实质性条款，投标人须提供《符合性审查资料》，如有任意一条未响应或不满足，将被视为无效。</w:t>
      </w:r>
    </w:p>
    <w:p>
      <w:pPr>
        <w:snapToGrid w:val="0"/>
        <w:spacing w:line="400" w:lineRule="atLeast"/>
        <w:rPr>
          <w:b/>
          <w:bCs/>
          <w:color w:val="auto"/>
          <w:sz w:val="24"/>
        </w:rPr>
      </w:pPr>
      <w:r>
        <w:rPr>
          <w:rFonts w:hint="eastAsia" w:ascii="宋体" w:hAnsi="宋体" w:cs="宋体"/>
          <w:b/>
          <w:bCs/>
          <w:color w:val="auto"/>
          <w:sz w:val="24"/>
        </w:rPr>
        <w:t xml:space="preserve"> </w:t>
      </w:r>
      <w:r>
        <w:rPr>
          <w:b/>
          <w:bCs/>
          <w:color w:val="auto"/>
          <w:sz w:val="24"/>
        </w:rPr>
        <w:t>一、项目概述：</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本项目为“交钥匙”项目，采购内容包括培训、质保期内的售后服务等。投标报价包括售后服务费、培训费、有关部门的验收费、政策性文件规定及合同包含的所有风险、责任等各项全部费用。</w:t>
      </w:r>
    </w:p>
    <w:p>
      <w:pPr>
        <w:snapToGrid w:val="0"/>
        <w:spacing w:line="400" w:lineRule="atLeast"/>
        <w:rPr>
          <w:b/>
          <w:bCs/>
          <w:color w:val="auto"/>
          <w:sz w:val="24"/>
        </w:rPr>
      </w:pPr>
      <w:r>
        <w:rPr>
          <w:b/>
          <w:bCs/>
          <w:color w:val="auto"/>
          <w:sz w:val="24"/>
        </w:rPr>
        <w:t>二、具体服务内容、要求等：</w:t>
      </w:r>
    </w:p>
    <w:p>
      <w:pPr>
        <w:widowControl/>
        <w:spacing w:line="570" w:lineRule="exact"/>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本项目预算金额为一年服务期的预算价，金额为</w:t>
      </w:r>
      <w:r>
        <w:rPr>
          <w:rFonts w:hint="eastAsia" w:ascii="宋体" w:hAnsi="宋体" w:cs="宋体"/>
          <w:bCs/>
          <w:color w:val="auto"/>
          <w:sz w:val="24"/>
          <w:szCs w:val="24"/>
          <w:lang w:val="en-US" w:eastAsia="zh-CN"/>
        </w:rPr>
        <w:t>66.101</w:t>
      </w:r>
      <w:r>
        <w:rPr>
          <w:rFonts w:hint="eastAsia" w:ascii="宋体" w:hAnsi="宋体" w:eastAsia="宋体" w:cs="宋体"/>
          <w:bCs/>
          <w:color w:val="auto"/>
          <w:sz w:val="24"/>
          <w:szCs w:val="24"/>
        </w:rPr>
        <w:t>万元。服务年限为自合同签订生效之日起</w:t>
      </w:r>
      <w:r>
        <w:rPr>
          <w:rFonts w:hint="eastAsia" w:ascii="宋体" w:hAnsi="宋体" w:cs="宋体"/>
          <w:bCs/>
          <w:color w:val="auto"/>
          <w:sz w:val="24"/>
          <w:szCs w:val="24"/>
          <w:lang w:val="en-US" w:eastAsia="zh-CN"/>
        </w:rPr>
        <w:t>12</w:t>
      </w:r>
      <w:r>
        <w:rPr>
          <w:rFonts w:hint="eastAsia" w:ascii="宋体" w:hAnsi="宋体" w:eastAsia="宋体" w:cs="宋体"/>
          <w:bCs/>
          <w:color w:val="auto"/>
          <w:sz w:val="24"/>
          <w:szCs w:val="24"/>
        </w:rPr>
        <w:t>个月。合同期满，供应商应根据采购人的要求延续提供1-2个月的服务，费用标准按原合同规定执行。</w:t>
      </w:r>
    </w:p>
    <w:p>
      <w:pPr>
        <w:widowControl/>
        <w:spacing w:line="570" w:lineRule="exact"/>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（一）</w:t>
      </w:r>
      <w:r>
        <w:rPr>
          <w:rFonts w:hint="eastAsia" w:ascii="宋体" w:hAnsi="宋体" w:eastAsia="宋体" w:cs="宋体"/>
          <w:color w:val="auto"/>
          <w:kern w:val="0"/>
          <w:sz w:val="21"/>
          <w:szCs w:val="21"/>
          <w:lang w:val="en-US" w:eastAsia="zh-CN" w:bidi="ar"/>
        </w:rPr>
        <w:t>临平</w:t>
      </w:r>
      <w:r>
        <w:rPr>
          <w:rFonts w:hint="eastAsia" w:ascii="宋体" w:hAnsi="宋体" w:eastAsia="宋体" w:cs="宋体"/>
          <w:bCs/>
          <w:color w:val="auto"/>
          <w:sz w:val="24"/>
          <w:szCs w:val="24"/>
          <w:highlight w:val="none"/>
          <w:shd w:val="clear" w:color="auto" w:fill="auto"/>
          <w:lang w:val="en-US" w:eastAsia="zh-CN"/>
        </w:rPr>
        <w:t>区</w:t>
      </w:r>
      <w:r>
        <w:rPr>
          <w:rFonts w:hint="default" w:ascii="宋体" w:hAnsi="宋体" w:eastAsia="宋体" w:cs="宋体"/>
          <w:bCs/>
          <w:color w:val="auto"/>
          <w:sz w:val="24"/>
          <w:szCs w:val="24"/>
          <w:highlight w:val="none"/>
          <w:shd w:val="clear" w:color="auto" w:fill="auto"/>
          <w:lang w:val="en-US" w:eastAsia="zh-CN"/>
        </w:rPr>
        <w:t>“</w:t>
      </w:r>
      <w:r>
        <w:rPr>
          <w:rFonts w:hint="eastAsia" w:ascii="宋体" w:hAnsi="宋体" w:eastAsia="宋体" w:cs="宋体"/>
          <w:bCs/>
          <w:color w:val="auto"/>
          <w:sz w:val="24"/>
          <w:szCs w:val="24"/>
          <w:highlight w:val="none"/>
          <w:shd w:val="clear" w:color="auto" w:fill="auto"/>
          <w:lang w:val="en-US" w:eastAsia="zh-CN"/>
        </w:rPr>
        <w:t>三路一环</w:t>
      </w:r>
      <w:r>
        <w:rPr>
          <w:rFonts w:hint="default" w:ascii="宋体" w:hAnsi="宋体" w:eastAsia="宋体" w:cs="宋体"/>
          <w:bCs/>
          <w:color w:val="auto"/>
          <w:sz w:val="24"/>
          <w:szCs w:val="24"/>
          <w:highlight w:val="none"/>
          <w:shd w:val="clear" w:color="auto" w:fill="auto"/>
          <w:lang w:val="en-US" w:eastAsia="zh-CN"/>
        </w:rPr>
        <w:t>”</w:t>
      </w:r>
      <w:r>
        <w:rPr>
          <w:rFonts w:hint="eastAsia" w:ascii="宋体" w:hAnsi="宋体" w:eastAsia="宋体" w:cs="宋体"/>
          <w:bCs/>
          <w:color w:val="auto"/>
          <w:sz w:val="24"/>
          <w:szCs w:val="24"/>
          <w:highlight w:val="none"/>
          <w:shd w:val="clear" w:color="auto" w:fill="auto"/>
          <w:lang w:val="en-US" w:eastAsia="zh-CN"/>
        </w:rPr>
        <w:t>养护中心位于杭州市临平区临平街道临平大道 837 号</w:t>
      </w:r>
      <w:r>
        <w:rPr>
          <w:rFonts w:hint="eastAsia" w:ascii="宋体" w:hAnsi="宋体" w:eastAsia="宋体" w:cs="宋体"/>
          <w:bCs/>
          <w:color w:val="auto"/>
          <w:sz w:val="24"/>
          <w:szCs w:val="24"/>
          <w:highlight w:val="none"/>
          <w:shd w:val="clear" w:color="auto" w:fill="auto"/>
        </w:rPr>
        <w:t>，总建筑面积</w:t>
      </w:r>
      <w:r>
        <w:rPr>
          <w:rFonts w:hint="eastAsia" w:ascii="宋体" w:hAnsi="宋体" w:cs="宋体"/>
          <w:bCs/>
          <w:color w:val="auto"/>
          <w:sz w:val="24"/>
          <w:szCs w:val="24"/>
          <w:highlight w:val="none"/>
          <w:shd w:val="clear" w:color="auto" w:fill="auto"/>
          <w:lang w:val="en-US" w:eastAsia="zh-CN"/>
        </w:rPr>
        <w:t>5775</w:t>
      </w:r>
      <w:r>
        <w:rPr>
          <w:rFonts w:hint="eastAsia" w:ascii="宋体" w:hAnsi="宋体" w:eastAsia="宋体" w:cs="宋体"/>
          <w:bCs/>
          <w:color w:val="auto"/>
          <w:sz w:val="24"/>
          <w:szCs w:val="24"/>
          <w:highlight w:val="none"/>
          <w:shd w:val="clear" w:color="auto" w:fill="auto"/>
        </w:rPr>
        <w:t>平方米（</w:t>
      </w:r>
      <w:r>
        <w:rPr>
          <w:rFonts w:hint="eastAsia" w:ascii="宋体" w:hAnsi="宋体" w:cs="宋体"/>
          <w:bCs/>
          <w:color w:val="auto"/>
          <w:sz w:val="24"/>
          <w:szCs w:val="24"/>
          <w:highlight w:val="none"/>
          <w:shd w:val="clear" w:color="auto" w:fill="auto"/>
          <w:lang w:val="en-US" w:eastAsia="zh-CN"/>
        </w:rPr>
        <w:t>地上面积3921</w:t>
      </w:r>
      <w:r>
        <w:rPr>
          <w:rFonts w:hint="eastAsia" w:ascii="宋体" w:hAnsi="宋体" w:eastAsia="宋体" w:cs="宋体"/>
          <w:bCs/>
          <w:color w:val="auto"/>
          <w:sz w:val="24"/>
          <w:szCs w:val="24"/>
          <w:highlight w:val="none"/>
          <w:shd w:val="clear" w:color="auto" w:fill="auto"/>
        </w:rPr>
        <w:t>平方米、地下面积</w:t>
      </w:r>
      <w:r>
        <w:rPr>
          <w:rFonts w:hint="eastAsia" w:ascii="宋体" w:hAnsi="宋体" w:cs="宋体"/>
          <w:bCs/>
          <w:color w:val="auto"/>
          <w:sz w:val="24"/>
          <w:szCs w:val="24"/>
          <w:highlight w:val="none"/>
          <w:shd w:val="clear" w:color="auto" w:fill="auto"/>
          <w:lang w:val="en-US" w:eastAsia="zh-CN"/>
        </w:rPr>
        <w:t>1854</w:t>
      </w:r>
      <w:r>
        <w:rPr>
          <w:rFonts w:hint="eastAsia" w:ascii="宋体" w:hAnsi="宋体" w:eastAsia="宋体" w:cs="宋体"/>
          <w:bCs/>
          <w:color w:val="auto"/>
          <w:sz w:val="24"/>
          <w:szCs w:val="24"/>
          <w:highlight w:val="none"/>
          <w:shd w:val="clear" w:color="auto" w:fill="auto"/>
        </w:rPr>
        <w:t>平方米）</w:t>
      </w: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color w:val="auto"/>
          <w:sz w:val="24"/>
          <w:szCs w:val="24"/>
          <w:highlight w:val="none"/>
          <w:shd w:val="clear" w:color="auto" w:fill="auto"/>
        </w:rPr>
        <w:t>室外场地面积</w:t>
      </w:r>
      <w:r>
        <w:rPr>
          <w:rFonts w:hint="eastAsia" w:ascii="宋体" w:hAnsi="宋体" w:cs="宋体"/>
          <w:bCs/>
          <w:color w:val="auto"/>
          <w:sz w:val="24"/>
          <w:szCs w:val="24"/>
          <w:highlight w:val="none"/>
          <w:shd w:val="clear" w:color="auto" w:fill="auto"/>
          <w:lang w:val="en-US" w:eastAsia="zh-CN"/>
        </w:rPr>
        <w:t>10235</w:t>
      </w:r>
      <w:r>
        <w:rPr>
          <w:rFonts w:hint="eastAsia" w:ascii="宋体" w:hAnsi="宋体" w:eastAsia="宋体" w:cs="宋体"/>
          <w:bCs/>
          <w:color w:val="auto"/>
          <w:sz w:val="24"/>
          <w:szCs w:val="24"/>
          <w:highlight w:val="none"/>
          <w:shd w:val="clear" w:color="auto" w:fill="auto"/>
        </w:rPr>
        <w:t>平方米。</w:t>
      </w:r>
    </w:p>
    <w:p>
      <w:pPr>
        <w:widowControl/>
        <w:spacing w:line="570" w:lineRule="exact"/>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（二）采购内容：</w:t>
      </w:r>
      <w:r>
        <w:rPr>
          <w:rFonts w:hint="eastAsia" w:ascii="宋体" w:hAnsi="宋体" w:eastAsia="宋体" w:cs="宋体"/>
          <w:b/>
          <w:color w:val="auto"/>
          <w:sz w:val="24"/>
          <w:szCs w:val="24"/>
        </w:rPr>
        <w:t>物业服务。</w:t>
      </w:r>
      <w:r>
        <w:rPr>
          <w:rFonts w:hint="eastAsia" w:ascii="宋体" w:hAnsi="宋体" w:eastAsia="宋体" w:cs="宋体"/>
          <w:bCs/>
          <w:color w:val="auto"/>
          <w:sz w:val="24"/>
          <w:szCs w:val="24"/>
        </w:rPr>
        <w:t>包括指定场所的房屋日常养护维护、共用设备管理与维修养护（供电设备运行维护、给排水设备运行维护）、传达保安秩序管理、环境卫生管理（除日常保洁外，也包括了垃圾分类等工作）</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绿化管理（包括室内绿化、室外绿化、广场绿化）等基础服务以及消防设施管理维护、监控设施、弱电网络系统维护、中央空调系统运行维护、会务等特约服务等。</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三）投标报价包括完成本项目各项服务可能发生的全部费用及投标人的利润和应交纳的税金等（包括人员工资、加班费、福利《劳动合同法》规定的各种社会保险费、人员食宿与交通、工具、服装、办公费等）、有关部门的验收费、政策性文件规定及合同包含的所有风险、责任等各项全部费用。办公室的保洁工具等、日常各类维修的材料配件费（</w:t>
      </w: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rPr>
        <w:t>00元以下的单个维修耗材配件）等均包含在投标报价中，采购人不再支付其他费用。</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金额在</w:t>
      </w: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rPr>
        <w:t>00元以上的单个维修耗材或配件但须书面报采购人批准后方可执行。</w:t>
      </w:r>
    </w:p>
    <w:p>
      <w:pPr>
        <w:spacing w:line="360" w:lineRule="auto"/>
        <w:ind w:firstLine="480" w:firstLineChars="200"/>
        <w:rPr>
          <w:rFonts w:hint="eastAsia" w:ascii="宋体" w:hAnsi="宋体" w:eastAsia="宋体" w:cs="宋体"/>
          <w:bCs/>
          <w:color w:val="auto"/>
          <w:sz w:val="32"/>
          <w:szCs w:val="32"/>
        </w:rPr>
      </w:pPr>
      <w:r>
        <w:rPr>
          <w:rFonts w:hint="eastAsia" w:ascii="宋体" w:hAnsi="宋体" w:eastAsia="宋体" w:cs="宋体"/>
          <w:bCs/>
          <w:color w:val="auto"/>
          <w:sz w:val="24"/>
          <w:szCs w:val="24"/>
        </w:rPr>
        <w:t>（四）</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人员需求：本项目经理1人；保证物业消控室24小时在岗，安保人员不少于</w:t>
      </w:r>
      <w:r>
        <w:rPr>
          <w:rFonts w:hint="eastAsia" w:ascii="宋体" w:hAnsi="宋体" w:eastAsia="宋体" w:cs="宋体"/>
          <w:bCs/>
          <w:color w:val="auto"/>
          <w:sz w:val="24"/>
          <w:szCs w:val="24"/>
          <w:lang w:val="en-US" w:eastAsia="zh-CN"/>
        </w:rPr>
        <w:t>9</w:t>
      </w:r>
      <w:r>
        <w:rPr>
          <w:rFonts w:hint="eastAsia" w:ascii="宋体" w:hAnsi="宋体" w:eastAsia="宋体" w:cs="宋体"/>
          <w:bCs/>
          <w:color w:val="auto"/>
          <w:sz w:val="24"/>
          <w:szCs w:val="24"/>
        </w:rPr>
        <w:t>人</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含消控员</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名</w:t>
      </w:r>
      <w:r>
        <w:rPr>
          <w:rFonts w:hint="eastAsia" w:ascii="宋体" w:hAnsi="宋体" w:cs="宋体"/>
          <w:bCs/>
          <w:color w:val="auto"/>
          <w:sz w:val="24"/>
          <w:szCs w:val="24"/>
          <w:lang w:eastAsia="zh-CN"/>
        </w:rPr>
        <w:t>）</w:t>
      </w:r>
      <w:r>
        <w:rPr>
          <w:rFonts w:hint="eastAsia" w:ascii="宋体" w:hAnsi="宋体" w:cs="宋体"/>
          <w:bCs/>
          <w:color w:val="auto"/>
          <w:sz w:val="24"/>
          <w:szCs w:val="24"/>
          <w:shd w:val="clear" w:color="auto" w:fill="auto"/>
          <w:lang w:eastAsia="zh-CN"/>
        </w:rPr>
        <w:t>；</w:t>
      </w:r>
      <w:r>
        <w:rPr>
          <w:rFonts w:hint="eastAsia" w:ascii="宋体" w:hAnsi="宋体" w:eastAsia="宋体" w:cs="宋体"/>
          <w:bCs/>
          <w:color w:val="auto"/>
          <w:sz w:val="24"/>
          <w:szCs w:val="24"/>
          <w:shd w:val="clear" w:color="auto" w:fill="auto"/>
        </w:rPr>
        <w:t>保洁人员不少于</w:t>
      </w:r>
      <w:r>
        <w:rPr>
          <w:rFonts w:hint="eastAsia" w:ascii="宋体" w:hAnsi="宋体" w:cs="宋体"/>
          <w:bCs/>
          <w:color w:val="auto"/>
          <w:sz w:val="24"/>
          <w:szCs w:val="24"/>
          <w:shd w:val="clear" w:color="auto" w:fill="auto"/>
          <w:lang w:val="en-US" w:eastAsia="zh-CN"/>
        </w:rPr>
        <w:t>3</w:t>
      </w:r>
      <w:r>
        <w:rPr>
          <w:rFonts w:hint="eastAsia" w:ascii="宋体" w:hAnsi="宋体" w:eastAsia="宋体" w:cs="宋体"/>
          <w:bCs/>
          <w:color w:val="auto"/>
          <w:sz w:val="24"/>
          <w:szCs w:val="24"/>
          <w:shd w:val="clear" w:color="auto" w:fill="auto"/>
        </w:rPr>
        <w:t>人；会务人员不少于</w:t>
      </w:r>
      <w:r>
        <w:rPr>
          <w:rFonts w:hint="eastAsia" w:ascii="宋体" w:hAnsi="宋体" w:eastAsia="宋体" w:cs="宋体"/>
          <w:bCs/>
          <w:color w:val="auto"/>
          <w:sz w:val="24"/>
          <w:szCs w:val="24"/>
          <w:shd w:val="clear" w:color="auto" w:fill="auto"/>
          <w:lang w:val="en-US" w:eastAsia="zh-CN"/>
        </w:rPr>
        <w:t>1</w:t>
      </w:r>
      <w:r>
        <w:rPr>
          <w:rFonts w:hint="eastAsia" w:ascii="宋体" w:hAnsi="宋体" w:eastAsia="宋体" w:cs="宋体"/>
          <w:bCs/>
          <w:color w:val="auto"/>
          <w:sz w:val="24"/>
          <w:szCs w:val="24"/>
          <w:shd w:val="clear" w:color="auto" w:fill="auto"/>
        </w:rPr>
        <w:t>人；设施设备技术维修人员不少于1人。如有</w:t>
      </w:r>
      <w:r>
        <w:rPr>
          <w:rFonts w:hint="eastAsia" w:ascii="宋体" w:hAnsi="宋体" w:eastAsia="宋体" w:cs="宋体"/>
          <w:bCs/>
          <w:color w:val="auto"/>
          <w:sz w:val="24"/>
          <w:szCs w:val="24"/>
        </w:rPr>
        <w:t>重大保障任务的临时增加用工人员含在报价中。</w:t>
      </w:r>
    </w:p>
    <w:p>
      <w:pPr>
        <w:pStyle w:val="24"/>
        <w:rPr>
          <w:color w:val="auto"/>
        </w:rPr>
      </w:pPr>
    </w:p>
    <w:tbl>
      <w:tblPr>
        <w:tblStyle w:val="62"/>
        <w:tblW w:w="87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74"/>
        <w:gridCol w:w="1200"/>
        <w:gridCol w:w="789"/>
        <w:gridCol w:w="2505"/>
        <w:gridCol w:w="2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2274"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ascii="宋体" w:hAnsi="宋体" w:cs="宋体"/>
                <w:b/>
                <w:color w:val="auto"/>
                <w:sz w:val="24"/>
              </w:rPr>
            </w:pPr>
            <w:r>
              <w:rPr>
                <w:rFonts w:hint="eastAsia" w:ascii="宋体" w:hAnsi="宋体" w:cs="宋体"/>
                <w:b/>
                <w:color w:val="auto"/>
                <w:kern w:val="0"/>
                <w:sz w:val="24"/>
              </w:rPr>
              <w:t>项目概况</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ascii="宋体" w:hAnsi="宋体" w:cs="宋体"/>
                <w:b/>
                <w:color w:val="auto"/>
                <w:sz w:val="24"/>
              </w:rPr>
            </w:pPr>
            <w:r>
              <w:rPr>
                <w:rFonts w:hint="eastAsia" w:ascii="宋体" w:hAnsi="宋体" w:cs="宋体"/>
                <w:b/>
                <w:color w:val="auto"/>
                <w:kern w:val="0"/>
                <w:sz w:val="24"/>
              </w:rPr>
              <w:t>工程量</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ascii="宋体" w:hAnsi="宋体" w:cs="宋体"/>
                <w:b/>
                <w:color w:val="auto"/>
                <w:sz w:val="24"/>
              </w:rPr>
            </w:pPr>
            <w:r>
              <w:rPr>
                <w:rFonts w:hint="eastAsia" w:ascii="宋体" w:hAnsi="宋体" w:cs="宋体"/>
                <w:b/>
                <w:color w:val="auto"/>
                <w:kern w:val="0"/>
                <w:sz w:val="24"/>
              </w:rPr>
              <w:t>单位</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ascii="宋体" w:hAnsi="宋体" w:cs="宋体"/>
                <w:b/>
                <w:color w:val="auto"/>
                <w:sz w:val="24"/>
              </w:rPr>
            </w:pPr>
            <w:r>
              <w:rPr>
                <w:rFonts w:hint="eastAsia" w:ascii="宋体" w:hAnsi="宋体" w:cs="宋体"/>
                <w:b/>
                <w:color w:val="auto"/>
                <w:kern w:val="0"/>
                <w:sz w:val="24"/>
              </w:rPr>
              <w:t>物业项目</w:t>
            </w:r>
          </w:p>
        </w:tc>
        <w:tc>
          <w:tcPr>
            <w:tcW w:w="2022"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hint="eastAsia" w:ascii="宋体" w:hAnsi="宋体" w:eastAsia="宋体" w:cs="宋体"/>
                <w:b/>
                <w:color w:val="auto"/>
                <w:kern w:val="0"/>
                <w:sz w:val="24"/>
                <w:lang w:eastAsia="zh-CN"/>
              </w:rPr>
            </w:pPr>
            <w:r>
              <w:rPr>
                <w:rFonts w:hint="eastAsia" w:ascii="宋体" w:hAnsi="宋体" w:cs="宋体"/>
                <w:b/>
                <w:color w:val="auto"/>
                <w:kern w:val="0"/>
                <w:sz w:val="24"/>
              </w:rPr>
              <w:t>备注</w:t>
            </w:r>
            <w:r>
              <w:rPr>
                <w:rFonts w:hint="eastAsia" w:ascii="宋体" w:hAnsi="宋体" w:cs="宋体"/>
                <w:b/>
                <w:color w:val="auto"/>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2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70" w:lineRule="exact"/>
              <w:jc w:val="both"/>
              <w:textAlignment w:val="center"/>
              <w:rPr>
                <w:rFonts w:ascii="宋体" w:hAnsi="宋体" w:cs="宋体"/>
                <w:snapToGrid w:val="0"/>
                <w:color w:val="auto"/>
              </w:rPr>
            </w:pPr>
            <w:r>
              <w:rPr>
                <w:rFonts w:hint="eastAsia" w:ascii="宋体" w:hAnsi="宋体" w:eastAsia="宋体" w:cs="宋体"/>
                <w:color w:val="auto"/>
                <w:kern w:val="0"/>
                <w:sz w:val="21"/>
                <w:szCs w:val="21"/>
                <w:lang w:val="en-US" w:eastAsia="zh-CN" w:bidi="ar"/>
              </w:rPr>
              <w:t>临平</w:t>
            </w:r>
            <w:r>
              <w:rPr>
                <w:rFonts w:hint="eastAsia" w:ascii="宋体" w:hAnsi="宋体" w:eastAsia="宋体" w:cs="宋体"/>
                <w:bCs/>
                <w:color w:val="auto"/>
                <w:sz w:val="24"/>
                <w:szCs w:val="24"/>
                <w:highlight w:val="none"/>
                <w:shd w:val="clear" w:color="auto" w:fill="auto"/>
                <w:lang w:val="en-US" w:eastAsia="zh-CN"/>
              </w:rPr>
              <w:t>区</w:t>
            </w:r>
            <w:r>
              <w:rPr>
                <w:rFonts w:hint="default" w:ascii="宋体" w:hAnsi="宋体" w:eastAsia="宋体" w:cs="宋体"/>
                <w:bCs/>
                <w:color w:val="auto"/>
                <w:sz w:val="24"/>
                <w:szCs w:val="24"/>
                <w:highlight w:val="none"/>
                <w:shd w:val="clear" w:color="auto" w:fill="auto"/>
                <w:lang w:val="en-US" w:eastAsia="zh-CN"/>
              </w:rPr>
              <w:t>“</w:t>
            </w:r>
            <w:r>
              <w:rPr>
                <w:rFonts w:hint="eastAsia" w:ascii="宋体" w:hAnsi="宋体" w:eastAsia="宋体" w:cs="宋体"/>
                <w:bCs/>
                <w:color w:val="auto"/>
                <w:sz w:val="24"/>
                <w:szCs w:val="24"/>
                <w:highlight w:val="none"/>
                <w:shd w:val="clear" w:color="auto" w:fill="auto"/>
                <w:lang w:val="en-US" w:eastAsia="zh-CN"/>
              </w:rPr>
              <w:t>三路一环</w:t>
            </w:r>
            <w:r>
              <w:rPr>
                <w:rFonts w:hint="default" w:ascii="宋体" w:hAnsi="宋体" w:eastAsia="宋体" w:cs="宋体"/>
                <w:bCs/>
                <w:color w:val="auto"/>
                <w:sz w:val="24"/>
                <w:szCs w:val="24"/>
                <w:highlight w:val="none"/>
                <w:shd w:val="clear" w:color="auto" w:fill="auto"/>
                <w:lang w:val="en-US" w:eastAsia="zh-CN"/>
              </w:rPr>
              <w:t>”</w:t>
            </w:r>
            <w:r>
              <w:rPr>
                <w:rFonts w:hint="eastAsia" w:ascii="宋体" w:hAnsi="宋体" w:eastAsia="宋体" w:cs="宋体"/>
                <w:bCs/>
                <w:color w:val="auto"/>
                <w:sz w:val="24"/>
                <w:szCs w:val="24"/>
                <w:highlight w:val="none"/>
                <w:shd w:val="clear" w:color="auto" w:fill="auto"/>
                <w:lang w:val="en-US" w:eastAsia="zh-CN"/>
              </w:rPr>
              <w:t>养护中心位于杭州市临平区临平街道临平大道 837 号</w:t>
            </w:r>
            <w:r>
              <w:rPr>
                <w:rFonts w:hint="eastAsia" w:ascii="宋体" w:hAnsi="宋体" w:eastAsia="宋体" w:cs="宋体"/>
                <w:bCs/>
                <w:color w:val="auto"/>
                <w:sz w:val="24"/>
                <w:szCs w:val="24"/>
                <w:highlight w:val="none"/>
                <w:shd w:val="clear" w:color="auto" w:fill="auto"/>
              </w:rPr>
              <w:t>，总建筑面积</w:t>
            </w:r>
            <w:r>
              <w:rPr>
                <w:rFonts w:hint="eastAsia" w:ascii="宋体" w:hAnsi="宋体" w:cs="宋体"/>
                <w:bCs/>
                <w:color w:val="auto"/>
                <w:sz w:val="24"/>
                <w:szCs w:val="24"/>
                <w:highlight w:val="none"/>
                <w:shd w:val="clear" w:color="auto" w:fill="auto"/>
                <w:lang w:val="en-US" w:eastAsia="zh-CN"/>
              </w:rPr>
              <w:t>5775</w:t>
            </w:r>
            <w:r>
              <w:rPr>
                <w:rFonts w:hint="eastAsia" w:ascii="宋体" w:hAnsi="宋体" w:eastAsia="宋体" w:cs="宋体"/>
                <w:bCs/>
                <w:color w:val="auto"/>
                <w:sz w:val="24"/>
                <w:szCs w:val="24"/>
                <w:highlight w:val="none"/>
                <w:shd w:val="clear" w:color="auto" w:fill="auto"/>
              </w:rPr>
              <w:t>平方米（</w:t>
            </w:r>
            <w:r>
              <w:rPr>
                <w:rFonts w:hint="eastAsia" w:ascii="宋体" w:hAnsi="宋体" w:cs="宋体"/>
                <w:bCs/>
                <w:color w:val="auto"/>
                <w:sz w:val="24"/>
                <w:szCs w:val="24"/>
                <w:highlight w:val="none"/>
                <w:shd w:val="clear" w:color="auto" w:fill="auto"/>
                <w:lang w:val="en-US" w:eastAsia="zh-CN"/>
              </w:rPr>
              <w:t>地上面积3921</w:t>
            </w:r>
            <w:r>
              <w:rPr>
                <w:rFonts w:hint="eastAsia" w:ascii="宋体" w:hAnsi="宋体" w:eastAsia="宋体" w:cs="宋体"/>
                <w:bCs/>
                <w:color w:val="auto"/>
                <w:sz w:val="24"/>
                <w:szCs w:val="24"/>
                <w:highlight w:val="none"/>
                <w:shd w:val="clear" w:color="auto" w:fill="auto"/>
              </w:rPr>
              <w:t>平方米、地下面积</w:t>
            </w:r>
            <w:r>
              <w:rPr>
                <w:rFonts w:hint="eastAsia" w:ascii="宋体" w:hAnsi="宋体" w:cs="宋体"/>
                <w:bCs/>
                <w:color w:val="auto"/>
                <w:sz w:val="24"/>
                <w:szCs w:val="24"/>
                <w:highlight w:val="none"/>
                <w:shd w:val="clear" w:color="auto" w:fill="auto"/>
                <w:lang w:val="en-US" w:eastAsia="zh-CN"/>
              </w:rPr>
              <w:t>1854</w:t>
            </w:r>
            <w:r>
              <w:rPr>
                <w:rFonts w:hint="eastAsia" w:ascii="宋体" w:hAnsi="宋体" w:eastAsia="宋体" w:cs="宋体"/>
                <w:bCs/>
                <w:color w:val="auto"/>
                <w:sz w:val="24"/>
                <w:szCs w:val="24"/>
                <w:highlight w:val="none"/>
                <w:shd w:val="clear" w:color="auto" w:fill="auto"/>
              </w:rPr>
              <w:t>平方米）</w:t>
            </w: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color w:val="auto"/>
                <w:sz w:val="24"/>
                <w:szCs w:val="24"/>
                <w:highlight w:val="none"/>
                <w:shd w:val="clear" w:color="auto" w:fill="auto"/>
              </w:rPr>
              <w:t>室外场地面积</w:t>
            </w:r>
            <w:r>
              <w:rPr>
                <w:rFonts w:hint="eastAsia" w:ascii="宋体" w:hAnsi="宋体" w:cs="宋体"/>
                <w:bCs/>
                <w:color w:val="auto"/>
                <w:sz w:val="24"/>
                <w:szCs w:val="24"/>
                <w:highlight w:val="none"/>
                <w:shd w:val="clear" w:color="auto" w:fill="auto"/>
                <w:lang w:val="en-US" w:eastAsia="zh-CN"/>
              </w:rPr>
              <w:t>10235</w:t>
            </w:r>
            <w:r>
              <w:rPr>
                <w:rFonts w:hint="eastAsia" w:ascii="宋体" w:hAnsi="宋体" w:eastAsia="宋体" w:cs="宋体"/>
                <w:bCs/>
                <w:color w:val="auto"/>
                <w:sz w:val="24"/>
                <w:szCs w:val="24"/>
                <w:highlight w:val="none"/>
                <w:shd w:val="clear" w:color="auto" w:fill="auto"/>
              </w:rPr>
              <w:t>平方米。</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hint="default" w:ascii="宋体" w:hAnsi="宋体" w:eastAsia="宋体" w:cs="宋体"/>
                <w:snapToGrid w:val="0"/>
                <w:color w:val="auto"/>
                <w:kern w:val="2"/>
                <w:sz w:val="21"/>
                <w:szCs w:val="24"/>
                <w:highlight w:val="none"/>
                <w:shd w:val="clear" w:color="auto" w:fill="auto"/>
                <w:lang w:val="en-US" w:eastAsia="zh-CN" w:bidi="ar-SA"/>
              </w:rPr>
            </w:pPr>
            <w:r>
              <w:rPr>
                <w:rFonts w:hint="eastAsia" w:ascii="宋体" w:hAnsi="宋体" w:cs="宋体"/>
                <w:bCs/>
                <w:color w:val="auto"/>
                <w:sz w:val="24"/>
                <w:szCs w:val="24"/>
                <w:highlight w:val="none"/>
                <w:shd w:val="clear" w:color="auto" w:fill="auto"/>
                <w:lang w:val="en-US" w:eastAsia="zh-CN"/>
              </w:rPr>
              <w:t>5775</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平方米</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1.房屋日常养护维护；</w:t>
            </w:r>
          </w:p>
        </w:tc>
        <w:tc>
          <w:tcPr>
            <w:tcW w:w="2022"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ascii="宋体" w:hAnsi="宋体" w:eastAsia="宋体" w:cs="宋体"/>
                <w:snapToGrid w:val="0"/>
                <w:color w:val="auto"/>
                <w:kern w:val="2"/>
                <w:sz w:val="21"/>
                <w:szCs w:val="24"/>
                <w:highlight w:val="none"/>
                <w:shd w:val="clear" w:color="auto" w:fill="auto"/>
                <w:lang w:val="en-US" w:eastAsia="zh-CN" w:bidi="ar-SA"/>
              </w:rPr>
            </w:pPr>
            <w:r>
              <w:rPr>
                <w:rFonts w:hint="eastAsia" w:ascii="宋体" w:hAnsi="宋体" w:cs="宋体"/>
                <w:bCs/>
                <w:color w:val="auto"/>
                <w:sz w:val="24"/>
                <w:szCs w:val="24"/>
                <w:highlight w:val="none"/>
                <w:shd w:val="clear" w:color="auto" w:fill="auto"/>
                <w:lang w:val="en-US" w:eastAsia="zh-CN"/>
              </w:rPr>
              <w:t>5775</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平方米</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2.共用设备管理与维修养护（供电设备运行维护）</w:t>
            </w:r>
          </w:p>
        </w:tc>
        <w:tc>
          <w:tcPr>
            <w:tcW w:w="2022"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ascii="宋体" w:hAnsi="宋体" w:eastAsia="宋体" w:cs="宋体"/>
                <w:snapToGrid w:val="0"/>
                <w:color w:val="auto"/>
                <w:kern w:val="2"/>
                <w:sz w:val="21"/>
                <w:szCs w:val="24"/>
                <w:highlight w:val="none"/>
                <w:shd w:val="clear" w:color="auto" w:fill="auto"/>
                <w:lang w:val="en-US" w:eastAsia="zh-CN" w:bidi="ar-SA"/>
              </w:rPr>
            </w:pPr>
            <w:r>
              <w:rPr>
                <w:rFonts w:hint="eastAsia" w:ascii="宋体" w:hAnsi="宋体" w:cs="宋体"/>
                <w:bCs/>
                <w:color w:val="auto"/>
                <w:sz w:val="24"/>
                <w:szCs w:val="24"/>
                <w:highlight w:val="none"/>
                <w:shd w:val="clear" w:color="auto" w:fill="auto"/>
                <w:lang w:val="en-US" w:eastAsia="zh-CN"/>
              </w:rPr>
              <w:t>5775</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平方米</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3.共用设备管理与维修养护（给排水设备运行维护）</w:t>
            </w:r>
          </w:p>
        </w:tc>
        <w:tc>
          <w:tcPr>
            <w:tcW w:w="2022"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ascii="宋体" w:hAnsi="宋体" w:eastAsia="宋体" w:cs="宋体"/>
                <w:snapToGrid w:val="0"/>
                <w:color w:val="auto"/>
                <w:kern w:val="2"/>
                <w:sz w:val="21"/>
                <w:szCs w:val="24"/>
                <w:highlight w:val="none"/>
                <w:shd w:val="clear" w:color="auto" w:fill="auto"/>
                <w:lang w:val="en-US" w:eastAsia="zh-CN" w:bidi="ar-SA"/>
              </w:rPr>
            </w:pPr>
            <w:r>
              <w:rPr>
                <w:rFonts w:hint="eastAsia" w:ascii="宋体" w:hAnsi="宋体" w:cs="宋体"/>
                <w:bCs/>
                <w:color w:val="auto"/>
                <w:sz w:val="24"/>
                <w:szCs w:val="24"/>
                <w:highlight w:val="none"/>
                <w:shd w:val="clear" w:color="auto" w:fill="auto"/>
                <w:lang w:val="en-US" w:eastAsia="zh-CN"/>
              </w:rPr>
              <w:t>5775</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平方米</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4.传达保安秩序管理</w:t>
            </w:r>
          </w:p>
        </w:tc>
        <w:tc>
          <w:tcPr>
            <w:tcW w:w="2022"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color w:val="auto"/>
                <w:szCs w:val="21"/>
              </w:rPr>
              <w:t>不少于</w:t>
            </w:r>
            <w:r>
              <w:rPr>
                <w:rFonts w:hint="eastAsia" w:ascii="宋体" w:hAnsi="宋体" w:cs="宋体"/>
                <w:color w:val="auto"/>
                <w:szCs w:val="21"/>
                <w:lang w:val="en-US" w:eastAsia="zh-CN"/>
              </w:rPr>
              <w:t>9</w:t>
            </w:r>
            <w:r>
              <w:rPr>
                <w:rFonts w:hint="eastAsia" w:ascii="宋体" w:hAnsi="宋体" w:cs="宋体"/>
                <w:color w:val="auto"/>
                <w:szCs w:val="21"/>
              </w:rPr>
              <w:t>人，年龄50周岁以下。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ascii="宋体" w:hAnsi="宋体" w:eastAsia="宋体" w:cs="宋体"/>
                <w:snapToGrid w:val="0"/>
                <w:color w:val="auto"/>
                <w:kern w:val="2"/>
                <w:sz w:val="21"/>
                <w:szCs w:val="24"/>
                <w:highlight w:val="none"/>
                <w:shd w:val="clear" w:color="auto" w:fill="auto"/>
                <w:lang w:val="en-US" w:eastAsia="zh-CN" w:bidi="ar-SA"/>
              </w:rPr>
            </w:pPr>
            <w:r>
              <w:rPr>
                <w:rFonts w:hint="eastAsia" w:ascii="宋体" w:hAnsi="宋体" w:cs="宋体"/>
                <w:snapToGrid w:val="0"/>
                <w:color w:val="auto"/>
                <w:highlight w:val="none"/>
                <w:shd w:val="clear" w:color="auto" w:fill="auto"/>
                <w:lang w:val="en-US" w:eastAsia="zh-CN"/>
              </w:rPr>
              <w:t>10235</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平方米</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shd w:val="clear" w:color="auto" w:fill="auto"/>
              </w:rPr>
            </w:pPr>
            <w:r>
              <w:rPr>
                <w:rFonts w:hint="eastAsia" w:ascii="宋体" w:hAnsi="宋体" w:cs="宋体"/>
                <w:snapToGrid w:val="0"/>
                <w:color w:val="auto"/>
                <w:shd w:val="clear" w:color="auto" w:fill="auto"/>
              </w:rPr>
              <w:t>5.环境卫生管理</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napToGrid w:val="0"/>
                <w:color w:val="auto"/>
                <w:shd w:val="clear" w:color="auto" w:fill="auto"/>
              </w:rPr>
            </w:pPr>
            <w:r>
              <w:rPr>
                <w:rFonts w:hint="eastAsia" w:ascii="宋体" w:hAnsi="宋体" w:cs="宋体"/>
                <w:color w:val="auto"/>
                <w:szCs w:val="21"/>
                <w:shd w:val="clear" w:color="auto" w:fill="auto"/>
              </w:rPr>
              <w:t>不少于</w:t>
            </w:r>
            <w:r>
              <w:rPr>
                <w:rFonts w:hint="eastAsia" w:ascii="宋体" w:hAnsi="宋体" w:cs="宋体"/>
                <w:color w:val="auto"/>
                <w:szCs w:val="21"/>
                <w:shd w:val="clear" w:color="auto" w:fill="auto"/>
                <w:lang w:val="en-US" w:eastAsia="zh-CN"/>
              </w:rPr>
              <w:t>3</w:t>
            </w:r>
            <w:r>
              <w:rPr>
                <w:rFonts w:hint="eastAsia" w:ascii="宋体" w:hAnsi="宋体" w:cs="宋体"/>
                <w:color w:val="auto"/>
                <w:szCs w:val="21"/>
                <w:shd w:val="clear" w:color="auto" w:fill="auto"/>
              </w:rPr>
              <w:t>人，年龄50周岁以下。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ascii="宋体" w:hAnsi="宋体" w:eastAsia="宋体" w:cs="宋体"/>
                <w:snapToGrid w:val="0"/>
                <w:color w:val="auto"/>
                <w:kern w:val="2"/>
                <w:sz w:val="21"/>
                <w:szCs w:val="24"/>
                <w:highlight w:val="none"/>
                <w:shd w:val="clear" w:color="auto" w:fill="auto"/>
                <w:lang w:val="en-US" w:eastAsia="zh-CN" w:bidi="ar-SA"/>
              </w:rPr>
            </w:pPr>
            <w:r>
              <w:rPr>
                <w:rFonts w:hint="eastAsia" w:ascii="宋体" w:hAnsi="宋体" w:cs="宋体"/>
                <w:bCs/>
                <w:color w:val="auto"/>
                <w:sz w:val="24"/>
                <w:szCs w:val="24"/>
                <w:highlight w:val="none"/>
                <w:shd w:val="clear" w:color="auto" w:fill="auto"/>
                <w:lang w:val="en-US" w:eastAsia="zh-CN"/>
              </w:rPr>
              <w:t>5775</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平方米</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lang w:val="en-US" w:eastAsia="zh-CN"/>
              </w:rPr>
              <w:t>6</w:t>
            </w:r>
            <w:r>
              <w:rPr>
                <w:rFonts w:hint="eastAsia" w:ascii="宋体" w:hAnsi="宋体" w:cs="宋体"/>
                <w:snapToGrid w:val="0"/>
                <w:color w:val="auto"/>
              </w:rPr>
              <w:t>.消防设施管理维护</w:t>
            </w:r>
          </w:p>
        </w:tc>
        <w:tc>
          <w:tcPr>
            <w:tcW w:w="2022"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ascii="宋体" w:hAnsi="宋体" w:eastAsia="宋体" w:cs="宋体"/>
                <w:snapToGrid w:val="0"/>
                <w:color w:val="auto"/>
                <w:kern w:val="2"/>
                <w:sz w:val="21"/>
                <w:szCs w:val="24"/>
                <w:highlight w:val="none"/>
                <w:shd w:val="clear" w:color="auto" w:fill="auto"/>
                <w:lang w:val="en-US" w:eastAsia="zh-CN" w:bidi="ar-SA"/>
              </w:rPr>
            </w:pPr>
            <w:r>
              <w:rPr>
                <w:rFonts w:hint="eastAsia" w:ascii="宋体" w:hAnsi="宋体" w:cs="宋体"/>
                <w:bCs/>
                <w:color w:val="auto"/>
                <w:sz w:val="24"/>
                <w:szCs w:val="24"/>
                <w:highlight w:val="none"/>
                <w:shd w:val="clear" w:color="auto" w:fill="auto"/>
                <w:lang w:val="en-US" w:eastAsia="zh-CN"/>
              </w:rPr>
              <w:t>5775</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平方米</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lang w:val="en-US" w:eastAsia="zh-CN"/>
              </w:rPr>
              <w:t>7</w:t>
            </w:r>
            <w:r>
              <w:rPr>
                <w:rFonts w:hint="eastAsia" w:ascii="宋体" w:hAnsi="宋体" w:cs="宋体"/>
                <w:snapToGrid w:val="0"/>
                <w:color w:val="auto"/>
              </w:rPr>
              <w:t>.弱电网络系统维护</w:t>
            </w:r>
          </w:p>
        </w:tc>
        <w:tc>
          <w:tcPr>
            <w:tcW w:w="2022"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ascii="宋体" w:hAnsi="宋体" w:eastAsia="宋体" w:cs="宋体"/>
                <w:snapToGrid w:val="0"/>
                <w:color w:val="auto"/>
                <w:kern w:val="2"/>
                <w:sz w:val="21"/>
                <w:szCs w:val="24"/>
                <w:highlight w:val="none"/>
                <w:shd w:val="clear" w:color="auto" w:fill="auto"/>
                <w:lang w:val="en-US" w:eastAsia="zh-CN" w:bidi="ar-SA"/>
              </w:rPr>
            </w:pPr>
            <w:r>
              <w:rPr>
                <w:rFonts w:hint="eastAsia" w:ascii="宋体" w:hAnsi="宋体" w:cs="宋体"/>
                <w:bCs/>
                <w:color w:val="auto"/>
                <w:sz w:val="24"/>
                <w:szCs w:val="24"/>
                <w:highlight w:val="none"/>
                <w:shd w:val="clear" w:color="auto" w:fill="auto"/>
                <w:lang w:val="en-US" w:eastAsia="zh-CN"/>
              </w:rPr>
              <w:t>5775</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平方米</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lang w:val="en-US" w:eastAsia="zh-CN"/>
              </w:rPr>
              <w:t>8</w:t>
            </w:r>
            <w:r>
              <w:rPr>
                <w:rFonts w:hint="eastAsia" w:ascii="宋体" w:hAnsi="宋体" w:cs="宋体"/>
                <w:snapToGrid w:val="0"/>
                <w:color w:val="auto"/>
              </w:rPr>
              <w:t>.中央空调系统运行维护</w:t>
            </w:r>
          </w:p>
        </w:tc>
        <w:tc>
          <w:tcPr>
            <w:tcW w:w="2022"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1" w:hRule="atLeast"/>
          <w:jc w:val="center"/>
        </w:trPr>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textAlignment w:val="center"/>
              <w:rPr>
                <w:rFonts w:ascii="宋体" w:hAnsi="宋体" w:cs="宋体"/>
                <w:snapToGrid w:val="0"/>
                <w:color w:val="auto"/>
              </w:rPr>
            </w:pP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left"/>
              <w:textAlignment w:val="center"/>
              <w:rPr>
                <w:rFonts w:ascii="宋体" w:hAnsi="宋体" w:cs="宋体"/>
                <w:snapToGrid w:val="0"/>
                <w:color w:val="auto"/>
              </w:rPr>
            </w:pPr>
            <w:r>
              <w:rPr>
                <w:rFonts w:hint="eastAsia" w:ascii="宋体" w:hAnsi="宋体" w:cs="宋体"/>
                <w:snapToGrid w:val="0"/>
                <w:color w:val="auto"/>
              </w:rPr>
              <w:t>人</w:t>
            </w:r>
          </w:p>
        </w:tc>
        <w:tc>
          <w:tcPr>
            <w:tcW w:w="2505" w:type="dxa"/>
            <w:tcBorders>
              <w:top w:val="single" w:color="auto" w:sz="4" w:space="0"/>
              <w:left w:val="single" w:color="auto" w:sz="4" w:space="0"/>
              <w:bottom w:val="single" w:color="auto" w:sz="4" w:space="0"/>
              <w:right w:val="single" w:color="000000" w:sz="4" w:space="0"/>
            </w:tcBorders>
            <w:vAlign w:val="center"/>
          </w:tcPr>
          <w:p>
            <w:pPr>
              <w:widowControl/>
              <w:spacing w:line="570" w:lineRule="exact"/>
              <w:jc w:val="left"/>
              <w:textAlignment w:val="center"/>
              <w:rPr>
                <w:rFonts w:ascii="宋体" w:hAnsi="宋体" w:cs="宋体"/>
                <w:snapToGrid w:val="0"/>
                <w:color w:val="auto"/>
                <w:shd w:val="clear" w:color="auto" w:fill="auto"/>
              </w:rPr>
            </w:pPr>
            <w:r>
              <w:rPr>
                <w:rFonts w:hint="eastAsia" w:ascii="宋体" w:hAnsi="宋体" w:cs="宋体"/>
                <w:snapToGrid w:val="0"/>
                <w:color w:val="auto"/>
                <w:shd w:val="clear" w:color="auto" w:fill="auto"/>
                <w:lang w:val="en-US" w:eastAsia="zh-CN"/>
              </w:rPr>
              <w:t>9</w:t>
            </w:r>
            <w:r>
              <w:rPr>
                <w:rFonts w:hint="eastAsia" w:ascii="宋体" w:hAnsi="宋体" w:cs="宋体"/>
                <w:snapToGrid w:val="0"/>
                <w:color w:val="auto"/>
                <w:shd w:val="clear" w:color="auto" w:fill="auto"/>
              </w:rPr>
              <w:t>.会务（小型中型会议室</w:t>
            </w:r>
            <w:r>
              <w:rPr>
                <w:rFonts w:hint="eastAsia" w:ascii="宋体" w:hAnsi="宋体" w:cs="宋体"/>
                <w:snapToGrid w:val="0"/>
                <w:color w:val="auto"/>
                <w:shd w:val="clear" w:color="auto" w:fill="auto"/>
                <w:lang w:val="en-US" w:eastAsia="zh-CN"/>
              </w:rPr>
              <w:t>2</w:t>
            </w:r>
            <w:r>
              <w:rPr>
                <w:rFonts w:hint="eastAsia" w:ascii="宋体" w:hAnsi="宋体" w:cs="宋体"/>
                <w:snapToGrid w:val="0"/>
                <w:color w:val="auto"/>
                <w:shd w:val="clear" w:color="auto" w:fill="auto"/>
              </w:rPr>
              <w:t>个）</w:t>
            </w:r>
          </w:p>
        </w:tc>
        <w:tc>
          <w:tcPr>
            <w:tcW w:w="2022" w:type="dxa"/>
            <w:tcBorders>
              <w:top w:val="single" w:color="auto" w:sz="4" w:space="0"/>
              <w:left w:val="single" w:color="auto" w:sz="4" w:space="0"/>
              <w:bottom w:val="single" w:color="auto" w:sz="4" w:space="0"/>
              <w:right w:val="single" w:color="000000" w:sz="4" w:space="0"/>
            </w:tcBorders>
            <w:vAlign w:val="center"/>
          </w:tcPr>
          <w:p>
            <w:pPr>
              <w:rPr>
                <w:rFonts w:ascii="宋体" w:hAnsi="宋体" w:cs="宋体"/>
                <w:snapToGrid w:val="0"/>
                <w:color w:val="auto"/>
                <w:shd w:val="clear" w:color="auto" w:fill="auto"/>
              </w:rPr>
            </w:pPr>
            <w:r>
              <w:rPr>
                <w:rFonts w:hint="eastAsia" w:ascii="宋体" w:hAnsi="宋体" w:cs="宋体"/>
                <w:color w:val="auto"/>
                <w:szCs w:val="21"/>
                <w:shd w:val="clear" w:color="auto" w:fill="auto"/>
              </w:rPr>
              <w:t>不少于</w:t>
            </w:r>
            <w:r>
              <w:rPr>
                <w:rFonts w:hint="eastAsia" w:ascii="宋体" w:hAnsi="宋体" w:cs="宋体"/>
                <w:color w:val="auto"/>
                <w:szCs w:val="21"/>
                <w:shd w:val="clear" w:color="auto" w:fill="auto"/>
                <w:lang w:val="en-US" w:eastAsia="zh-CN"/>
              </w:rPr>
              <w:t>1</w:t>
            </w:r>
            <w:r>
              <w:rPr>
                <w:rFonts w:hint="eastAsia" w:ascii="宋体" w:hAnsi="宋体" w:cs="宋体"/>
                <w:color w:val="auto"/>
                <w:szCs w:val="21"/>
                <w:shd w:val="clear" w:color="auto" w:fill="auto"/>
              </w:rPr>
              <w:t>人，年龄45周岁以下。</w:t>
            </w:r>
          </w:p>
        </w:tc>
      </w:tr>
    </w:tbl>
    <w:p>
      <w:pPr>
        <w:spacing w:line="360" w:lineRule="auto"/>
        <w:ind w:firstLine="482" w:firstLineChars="200"/>
        <w:rPr>
          <w:rFonts w:ascii="宋体" w:hAnsi="宋体" w:cs="宋体"/>
          <w:color w:val="auto"/>
          <w:sz w:val="24"/>
        </w:rPr>
      </w:pPr>
      <w:r>
        <w:rPr>
          <w:rFonts w:hint="eastAsia" w:ascii="宋体" w:hAnsi="宋体" w:cs="宋体"/>
          <w:b/>
          <w:color w:val="auto"/>
          <w:sz w:val="24"/>
          <w:szCs w:val="20"/>
        </w:rPr>
        <w:t xml:space="preserve"> </w:t>
      </w:r>
      <w:r>
        <w:rPr>
          <w:rFonts w:hint="eastAsia" w:ascii="宋体" w:hAnsi="宋体" w:cs="宋体"/>
          <w:color w:val="auto"/>
          <w:sz w:val="24"/>
        </w:rPr>
        <w:t>本项目主要的办公室、会议室、食堂、安保点位、停车场等场地和空调、强弱电、消防等设施设备以现场实际踏勘为准。</w:t>
      </w:r>
    </w:p>
    <w:p>
      <w:pPr>
        <w:spacing w:line="360" w:lineRule="auto"/>
        <w:ind w:firstLine="482" w:firstLineChars="200"/>
        <w:rPr>
          <w:rFonts w:ascii="宋体" w:hAnsi="宋体" w:cs="宋体"/>
          <w:b/>
          <w:color w:val="auto"/>
          <w:sz w:val="24"/>
          <w:szCs w:val="20"/>
        </w:rPr>
      </w:pPr>
      <w:r>
        <w:rPr>
          <w:rFonts w:hint="eastAsia" w:ascii="宋体" w:hAnsi="宋体" w:cs="宋体"/>
          <w:b/>
          <w:color w:val="auto"/>
          <w:sz w:val="24"/>
          <w:szCs w:val="20"/>
        </w:rPr>
        <w:t>二、具体服务内容和服务要求等</w:t>
      </w:r>
    </w:p>
    <w:tbl>
      <w:tblPr>
        <w:tblStyle w:val="62"/>
        <w:tblW w:w="91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8"/>
        <w:gridCol w:w="12"/>
        <w:gridCol w:w="8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10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ascii="宋体" w:hAnsi="宋体" w:cs="宋体"/>
                <w:color w:val="auto"/>
                <w:szCs w:val="21"/>
              </w:rPr>
              <w:t>项 目</w:t>
            </w:r>
          </w:p>
        </w:tc>
        <w:tc>
          <w:tcPr>
            <w:tcW w:w="8085"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cs="宋体"/>
                <w:color w:val="auto"/>
                <w:szCs w:val="21"/>
              </w:rPr>
            </w:pPr>
            <w:r>
              <w:rPr>
                <w:rFonts w:hint="eastAsia" w:ascii="宋体" w:hAnsi="宋体" w:cs="宋体"/>
                <w:color w:val="auto"/>
                <w:szCs w:val="21"/>
              </w:rPr>
              <w:t>服 务 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5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color w:val="auto"/>
                <w:szCs w:val="21"/>
              </w:rPr>
            </w:pPr>
          </w:p>
          <w:p>
            <w:pPr>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保</w:t>
            </w:r>
          </w:p>
          <w:p>
            <w:pPr>
              <w:ind w:firstLine="420" w:firstLineChars="200"/>
              <w:rPr>
                <w:rFonts w:ascii="宋体" w:hAnsi="宋体" w:cs="宋体"/>
                <w:color w:val="auto"/>
                <w:szCs w:val="21"/>
              </w:rPr>
            </w:pPr>
            <w:r>
              <w:rPr>
                <w:rFonts w:hint="eastAsia" w:ascii="宋体" w:hAnsi="宋体" w:cs="宋体"/>
                <w:color w:val="auto"/>
                <w:szCs w:val="21"/>
              </w:rPr>
              <w:t>安</w:t>
            </w:r>
          </w:p>
          <w:p>
            <w:pPr>
              <w:ind w:firstLine="420" w:firstLineChars="200"/>
              <w:rPr>
                <w:rFonts w:ascii="宋体" w:hAnsi="宋体" w:cs="宋体"/>
                <w:color w:val="auto"/>
                <w:szCs w:val="21"/>
              </w:rPr>
            </w:pPr>
            <w:r>
              <w:rPr>
                <w:rFonts w:hint="eastAsia" w:ascii="宋体" w:hAnsi="宋体" w:cs="宋体"/>
                <w:color w:val="auto"/>
                <w:szCs w:val="21"/>
              </w:rPr>
              <w:t>及</w:t>
            </w:r>
          </w:p>
          <w:p>
            <w:pPr>
              <w:ind w:firstLine="420" w:firstLineChars="200"/>
              <w:rPr>
                <w:rFonts w:ascii="宋体" w:hAnsi="宋体" w:cs="宋体"/>
                <w:color w:val="auto"/>
                <w:szCs w:val="21"/>
              </w:rPr>
            </w:pPr>
            <w:r>
              <w:rPr>
                <w:rFonts w:hint="eastAsia" w:ascii="宋体" w:hAnsi="宋体" w:cs="宋体"/>
                <w:color w:val="auto"/>
                <w:szCs w:val="21"/>
              </w:rPr>
              <w:t>门</w:t>
            </w:r>
          </w:p>
          <w:p>
            <w:pPr>
              <w:ind w:firstLine="420" w:firstLineChars="200"/>
              <w:rPr>
                <w:rFonts w:ascii="宋体" w:hAnsi="宋体" w:cs="宋体"/>
                <w:color w:val="auto"/>
                <w:szCs w:val="21"/>
              </w:rPr>
            </w:pPr>
            <w:r>
              <w:rPr>
                <w:rFonts w:hint="eastAsia" w:ascii="宋体" w:hAnsi="宋体" w:cs="宋体"/>
                <w:color w:val="auto"/>
                <w:szCs w:val="21"/>
              </w:rPr>
              <w:t>卫</w:t>
            </w:r>
          </w:p>
        </w:tc>
        <w:tc>
          <w:tcPr>
            <w:tcW w:w="8085" w:type="dxa"/>
            <w:tcBorders>
              <w:top w:val="single" w:color="auto" w:sz="4" w:space="0"/>
              <w:left w:val="nil"/>
              <w:bottom w:val="single" w:color="auto" w:sz="4" w:space="0"/>
              <w:right w:val="single" w:color="auto" w:sz="4" w:space="0"/>
            </w:tcBorders>
            <w:vAlign w:val="center"/>
          </w:tcPr>
          <w:p>
            <w:pPr>
              <w:ind w:firstLine="422" w:firstLineChars="200"/>
              <w:rPr>
                <w:rFonts w:ascii="宋体" w:hAnsi="宋体" w:cs="宋体"/>
                <w:b/>
                <w:bCs/>
                <w:color w:val="auto"/>
                <w:szCs w:val="21"/>
              </w:rPr>
            </w:pPr>
            <w:r>
              <w:rPr>
                <w:rFonts w:hint="eastAsia" w:ascii="宋体" w:hAnsi="宋体" w:cs="宋体"/>
                <w:b/>
                <w:bCs/>
                <w:color w:val="auto"/>
                <w:szCs w:val="21"/>
              </w:rPr>
              <w:t xml:space="preserve">（一）保安（含门卫、消控室人员）人员要求    </w:t>
            </w:r>
          </w:p>
          <w:p>
            <w:pPr>
              <w:ind w:firstLine="420" w:firstLineChars="200"/>
              <w:rPr>
                <w:rFonts w:ascii="宋体" w:hAnsi="宋体" w:cs="宋体"/>
                <w:color w:val="auto"/>
                <w:szCs w:val="21"/>
              </w:rPr>
            </w:pPr>
            <w:r>
              <w:rPr>
                <w:rFonts w:hint="eastAsia" w:ascii="宋体" w:hAnsi="宋体" w:cs="宋体"/>
                <w:color w:val="auto"/>
                <w:szCs w:val="21"/>
              </w:rPr>
              <w:t>1.人员不少于：</w:t>
            </w:r>
            <w:r>
              <w:rPr>
                <w:rFonts w:hint="eastAsia" w:ascii="宋体" w:hAnsi="宋体" w:cs="宋体"/>
                <w:color w:val="auto"/>
                <w:szCs w:val="21"/>
                <w:lang w:val="en-US" w:eastAsia="zh-CN"/>
              </w:rPr>
              <w:t>9</w:t>
            </w:r>
            <w:r>
              <w:rPr>
                <w:rFonts w:hint="eastAsia" w:ascii="宋体" w:hAnsi="宋体" w:cs="宋体"/>
                <w:color w:val="auto"/>
                <w:szCs w:val="21"/>
              </w:rPr>
              <w:t>人</w:t>
            </w:r>
          </w:p>
          <w:p>
            <w:pPr>
              <w:ind w:firstLine="420" w:firstLineChars="200"/>
              <w:rPr>
                <w:rFonts w:ascii="宋体" w:hAnsi="宋体" w:cs="宋体"/>
                <w:color w:val="auto"/>
                <w:szCs w:val="21"/>
              </w:rPr>
            </w:pPr>
            <w:r>
              <w:rPr>
                <w:rFonts w:hint="eastAsia" w:ascii="宋体" w:hAnsi="宋体" w:cs="宋体"/>
                <w:color w:val="auto"/>
                <w:szCs w:val="21"/>
              </w:rPr>
              <w:t>2.人员要求50周岁及以下,身体健康，仪表端庄，精力充沛，无不良嗜好，工作认真负责并定期接受培训具体要求如下:</w:t>
            </w:r>
          </w:p>
          <w:p>
            <w:pPr>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eastAsia="zh-CN"/>
              </w:rPr>
              <w:t>保安人员</w:t>
            </w:r>
            <w:r>
              <w:rPr>
                <w:rFonts w:hint="eastAsia" w:ascii="宋体" w:hAnsi="宋体" w:cs="宋体"/>
                <w:color w:val="auto"/>
                <w:szCs w:val="21"/>
              </w:rPr>
              <w:t>具有保安员上岗证，消控员具有国考消控证，能处理和应对采购人公共秩序维护工作，能正确使用各类消防器械和设备，能够熟悉、掌握各类刑事、治安案件和各类灾害事故的应急预案；</w:t>
            </w:r>
          </w:p>
          <w:p>
            <w:pPr>
              <w:ind w:firstLine="420" w:firstLineChars="200"/>
              <w:rPr>
                <w:rFonts w:ascii="宋体" w:hAnsi="宋体" w:cs="宋体"/>
                <w:color w:val="auto"/>
                <w:szCs w:val="21"/>
              </w:rPr>
            </w:pPr>
            <w:r>
              <w:rPr>
                <w:rFonts w:hint="eastAsia" w:ascii="宋体" w:hAnsi="宋体" w:cs="宋体"/>
                <w:color w:val="auto"/>
                <w:szCs w:val="21"/>
              </w:rPr>
              <w:t>2、上岗时佩戴统一标志，按需求穿戴统一制服（精致），装备佩戴规范，仪容仪表规范整齐，当值时坐姿挺直，站岗时不倚不靠、采用跨立站岗。</w:t>
            </w:r>
          </w:p>
          <w:p>
            <w:pPr>
              <w:ind w:firstLine="420" w:firstLineChars="200"/>
              <w:rPr>
                <w:rFonts w:ascii="宋体" w:hAnsi="宋体" w:cs="宋体"/>
                <w:color w:val="auto"/>
                <w:szCs w:val="21"/>
              </w:rPr>
            </w:pPr>
            <w:r>
              <w:rPr>
                <w:rFonts w:hint="eastAsia" w:ascii="宋体" w:hAnsi="宋体" w:cs="宋体"/>
                <w:color w:val="auto"/>
                <w:szCs w:val="21"/>
              </w:rPr>
              <w:t>3、文明执勤，训练有素，言语规范，认真负责；配备必备的安全护卫器械和通讯器材（由中标单位负责），盾牌、钢叉等反恐设备由采购人提供。</w:t>
            </w:r>
          </w:p>
          <w:p>
            <w:pPr>
              <w:ind w:firstLine="422" w:firstLineChars="200"/>
              <w:rPr>
                <w:rFonts w:ascii="宋体" w:hAnsi="宋体" w:cs="宋体"/>
                <w:b/>
                <w:bCs/>
                <w:color w:val="auto"/>
                <w:szCs w:val="21"/>
              </w:rPr>
            </w:pPr>
            <w:r>
              <w:rPr>
                <w:rFonts w:hint="eastAsia" w:ascii="宋体" w:hAnsi="宋体" w:cs="宋体"/>
                <w:b/>
                <w:bCs/>
                <w:color w:val="auto"/>
                <w:szCs w:val="21"/>
              </w:rPr>
              <w:t>（二）保安（含门卫、消控室人员）服务内容及要求：</w:t>
            </w:r>
          </w:p>
          <w:p>
            <w:pPr>
              <w:ind w:firstLine="420" w:firstLineChars="200"/>
              <w:rPr>
                <w:rFonts w:ascii="宋体" w:hAnsi="宋体" w:cs="宋体"/>
                <w:color w:val="auto"/>
                <w:szCs w:val="21"/>
              </w:rPr>
            </w:pPr>
            <w:r>
              <w:rPr>
                <w:rFonts w:hint="eastAsia" w:ascii="宋体" w:hAnsi="宋体" w:cs="宋体"/>
                <w:color w:val="auto"/>
                <w:szCs w:val="21"/>
              </w:rPr>
              <w:t>1、服务内容：熟悉周边的环境，能处理和应对公共秩序维护工作，能正确使用各类消防、物防、技防器械和设备，能够熟悉、掌握各类刑事、治安案件和各类灾害事故的应急预案；来人来访的通报、证件检验、登记、报刊信件收发等，快递及包裹原则上由收件人亲自签收，得到收件人授权后方能代为签收，并按规范记录接收信息；门卫、守护和巡逻，维护公共秩序；处理治安及共他突发事件；负责道路交通管理、机动车和非机动车停放管理；负责防盗、防火管理。积极主动的配合、服从对口管理部门的临时应急调度。</w:t>
            </w:r>
          </w:p>
          <w:p>
            <w:pPr>
              <w:ind w:firstLine="420" w:firstLineChars="200"/>
              <w:rPr>
                <w:rFonts w:ascii="宋体" w:hAnsi="宋体" w:cs="宋体"/>
                <w:color w:val="auto"/>
                <w:szCs w:val="21"/>
              </w:rPr>
            </w:pPr>
            <w:r>
              <w:rPr>
                <w:rFonts w:hint="eastAsia" w:ascii="宋体" w:hAnsi="宋体" w:cs="宋体"/>
                <w:color w:val="auto"/>
                <w:szCs w:val="21"/>
              </w:rPr>
              <w:t>2、服务质量标准:</w:t>
            </w:r>
          </w:p>
          <w:p>
            <w:pPr>
              <w:ind w:firstLine="420" w:firstLineChars="200"/>
              <w:rPr>
                <w:rFonts w:ascii="宋体" w:hAnsi="宋体" w:cs="宋体"/>
                <w:color w:val="auto"/>
                <w:szCs w:val="21"/>
              </w:rPr>
            </w:pPr>
            <w:r>
              <w:rPr>
                <w:rFonts w:hint="eastAsia" w:ascii="宋体" w:hAnsi="宋体" w:cs="宋体"/>
                <w:color w:val="auto"/>
                <w:szCs w:val="21"/>
              </w:rPr>
              <w:t>(1)门卫值班。</w:t>
            </w:r>
          </w:p>
          <w:p>
            <w:pPr>
              <w:ind w:firstLine="420" w:firstLineChars="200"/>
              <w:rPr>
                <w:rFonts w:ascii="宋体" w:hAnsi="宋体" w:cs="宋体"/>
                <w:color w:val="auto"/>
                <w:szCs w:val="21"/>
              </w:rPr>
            </w:pPr>
            <w:r>
              <w:rPr>
                <w:rFonts w:hint="eastAsia" w:ascii="宋体" w:hAnsi="宋体" w:cs="宋体"/>
                <w:color w:val="auto"/>
                <w:szCs w:val="21"/>
              </w:rPr>
              <w:t>上岗时佩戴统一标志，按需求穿戴统一制服（精致），装备佩戴规范，仪容仪表规范整齐，当值时坐姿挺直，站岗时不倚不靠。文明执勤，训练有素，言语规范，认真负责；配备对讲装置和其他必备的安全护卫器械。出入口安排24小时值勤，建立传达、保安、车辆、道路及公共秩序管理等制度。用语规范，礼貌待客，文明工作。严格验证、登记制度，杜绝闲杂人员进入行政区域内，维护行政区域安全、正常的工作环境。对物品进出实施分类管理，实行物品进出审验制度，杜绝危险物品进入行政区域内。</w:t>
            </w:r>
          </w:p>
          <w:p>
            <w:pPr>
              <w:ind w:firstLine="420" w:firstLineChars="200"/>
              <w:rPr>
                <w:rFonts w:ascii="宋体" w:hAnsi="宋体" w:cs="宋体"/>
                <w:color w:val="auto"/>
                <w:szCs w:val="21"/>
              </w:rPr>
            </w:pPr>
            <w:r>
              <w:rPr>
                <w:rFonts w:hint="eastAsia" w:ascii="宋体" w:hAnsi="宋体" w:cs="宋体"/>
                <w:color w:val="auto"/>
                <w:szCs w:val="21"/>
              </w:rPr>
              <w:t>(2)巡查。</w:t>
            </w:r>
          </w:p>
          <w:p>
            <w:pPr>
              <w:ind w:firstLine="420" w:firstLineChars="200"/>
              <w:rPr>
                <w:rFonts w:ascii="宋体" w:hAnsi="宋体" w:cs="宋体"/>
                <w:color w:val="auto"/>
                <w:szCs w:val="21"/>
              </w:rPr>
            </w:pPr>
            <w:r>
              <w:rPr>
                <w:rFonts w:hint="eastAsia" w:ascii="宋体" w:hAnsi="宋体" w:cs="宋体"/>
                <w:color w:val="auto"/>
                <w:szCs w:val="21"/>
              </w:rPr>
              <w:t>规划公安使用范围以内安排24小时巡查。明确巡查工作职责，规范巡视工作流程，制定相对固定的巡视路线，对重要区域、部位、设备机房进行重点巡视并记录巡视情况，及时发现和处理各种安全和事故隐患。巡视时必须使用巡更设备。监控室应保持巡更记录。在接到监控室发出的指令后，巡视人员应及时到达事发现场，采取相应措施妥善处理；如巡视时现异常情况，应立即通知有关部门并在现场采取必要措施，随时准备启动并执行相应的应急预案。</w:t>
            </w:r>
          </w:p>
          <w:p>
            <w:pPr>
              <w:ind w:firstLine="420" w:firstLineChars="200"/>
              <w:rPr>
                <w:rFonts w:ascii="宋体" w:hAnsi="宋体" w:cs="宋体"/>
                <w:color w:val="auto"/>
                <w:szCs w:val="21"/>
              </w:rPr>
            </w:pPr>
            <w:r>
              <w:rPr>
                <w:rFonts w:hint="eastAsia" w:ascii="宋体" w:hAnsi="宋体" w:cs="宋体"/>
                <w:color w:val="auto"/>
                <w:szCs w:val="21"/>
              </w:rPr>
              <w:t>(3) 停车管理。</w:t>
            </w:r>
          </w:p>
          <w:p>
            <w:pPr>
              <w:ind w:firstLine="420" w:firstLineChars="200"/>
              <w:rPr>
                <w:rFonts w:ascii="宋体" w:hAnsi="宋体" w:cs="宋体"/>
                <w:color w:val="auto"/>
                <w:szCs w:val="21"/>
              </w:rPr>
            </w:pPr>
            <w:r>
              <w:rPr>
                <w:rFonts w:hint="eastAsia" w:ascii="宋体" w:hAnsi="宋体" w:cs="宋体"/>
                <w:color w:val="auto"/>
                <w:szCs w:val="21"/>
              </w:rPr>
              <w:t>管辖区域设置行车指示标志，规定车辆行驶路线，指定车辆停放区域，非机动车应实行定点停放。对进出管辖区域的各类车辆进行管理，维护交通秩序，保证车辆有序通行、有序停放。</w:t>
            </w:r>
          </w:p>
          <w:p>
            <w:pPr>
              <w:ind w:firstLine="420" w:firstLineChars="200"/>
              <w:rPr>
                <w:rFonts w:ascii="宋体" w:hAnsi="宋体" w:cs="宋体"/>
                <w:color w:val="auto"/>
                <w:szCs w:val="21"/>
              </w:rPr>
            </w:pPr>
            <w:r>
              <w:rPr>
                <w:rFonts w:hint="eastAsia" w:ascii="宋体" w:hAnsi="宋体" w:cs="宋体"/>
                <w:color w:val="auto"/>
                <w:szCs w:val="21"/>
              </w:rPr>
              <w:t>(4) 突发事件处理。</w:t>
            </w:r>
          </w:p>
          <w:p>
            <w:pPr>
              <w:ind w:firstLine="420" w:firstLineChars="200"/>
              <w:rPr>
                <w:rFonts w:ascii="宋体" w:hAnsi="宋体" w:cs="宋体"/>
                <w:color w:val="auto"/>
                <w:szCs w:val="21"/>
              </w:rPr>
            </w:pPr>
            <w:r>
              <w:rPr>
                <w:rFonts w:hint="eastAsia" w:ascii="宋体" w:hAnsi="宋体" w:cs="宋体"/>
                <w:color w:val="auto"/>
                <w:szCs w:val="21"/>
              </w:rPr>
              <w:t>按照要求制订各类突发事件应急预案，并将预案内容在物业办公室张榜悬挂。在各楼层固定位置悬挂疏散示意图及引路标志，每年组织不少于1次的突发事件应急演习。当发生台风、暴雨等灾害性天气及其他危害公共突发事件时，应采取以下应急措施:对设备机房、停车场、广告牌、电线杆等露天设施进行检查和加固。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105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水</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电</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维</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修</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及</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房</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屋</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养</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护</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维</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修</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tc>
        <w:tc>
          <w:tcPr>
            <w:tcW w:w="8085" w:type="dxa"/>
            <w:tcBorders>
              <w:top w:val="single" w:color="auto" w:sz="4" w:space="0"/>
              <w:left w:val="nil"/>
              <w:bottom w:val="single" w:color="auto" w:sz="4" w:space="0"/>
              <w:right w:val="single" w:color="auto" w:sz="4" w:space="0"/>
            </w:tcBorders>
            <w:vAlign w:val="center"/>
          </w:tcPr>
          <w:p>
            <w:pPr>
              <w:ind w:firstLine="422" w:firstLineChars="200"/>
              <w:rPr>
                <w:rFonts w:ascii="宋体" w:hAnsi="宋体" w:cs="宋体"/>
                <w:b/>
                <w:bCs/>
                <w:color w:val="auto"/>
                <w:szCs w:val="21"/>
              </w:rPr>
            </w:pPr>
            <w:r>
              <w:rPr>
                <w:rFonts w:hint="eastAsia" w:ascii="宋体" w:hAnsi="宋体" w:cs="宋体"/>
                <w:b/>
                <w:bCs/>
                <w:color w:val="auto"/>
                <w:szCs w:val="21"/>
              </w:rPr>
              <w:t>（一）维保人员设置需求、要求</w:t>
            </w:r>
          </w:p>
          <w:p>
            <w:pPr>
              <w:ind w:firstLine="420" w:firstLineChars="200"/>
              <w:rPr>
                <w:rFonts w:ascii="宋体" w:hAnsi="宋体" w:cs="宋体"/>
                <w:color w:val="auto"/>
                <w:szCs w:val="21"/>
              </w:rPr>
            </w:pPr>
            <w:r>
              <w:rPr>
                <w:rFonts w:hint="eastAsia" w:ascii="宋体" w:hAnsi="宋体" w:cs="宋体"/>
                <w:color w:val="auto"/>
                <w:szCs w:val="21"/>
              </w:rPr>
              <w:t xml:space="preserve"> 1、</w:t>
            </w:r>
            <w:r>
              <w:rPr>
                <w:rFonts w:hint="eastAsia" w:ascii="宋体" w:hAnsi="宋体" w:cs="宋体"/>
                <w:color w:val="auto"/>
                <w:szCs w:val="21"/>
                <w:shd w:val="clear" w:color="auto" w:fill="auto"/>
              </w:rPr>
              <w:t>水电、设施设备维保人员</w:t>
            </w:r>
            <w:r>
              <w:rPr>
                <w:rFonts w:hint="eastAsia" w:ascii="宋体" w:hAnsi="宋体" w:cs="宋体"/>
                <w:color w:val="auto"/>
                <w:szCs w:val="21"/>
              </w:rPr>
              <w:t>需求不少于：1人；</w:t>
            </w:r>
          </w:p>
          <w:p>
            <w:pPr>
              <w:ind w:firstLine="420" w:firstLineChars="200"/>
              <w:rPr>
                <w:rFonts w:ascii="宋体" w:hAnsi="宋体" w:cs="宋体"/>
                <w:color w:val="auto"/>
                <w:szCs w:val="21"/>
              </w:rPr>
            </w:pPr>
            <w:r>
              <w:rPr>
                <w:rFonts w:hint="eastAsia" w:ascii="宋体" w:hAnsi="宋体" w:cs="宋体"/>
                <w:color w:val="auto"/>
                <w:szCs w:val="21"/>
              </w:rPr>
              <w:t xml:space="preserve"> 2、要求专业人员中青年为主，身体健康，仪表端庄，无不良嗜好，工作认真负责并定期接受培训；上岗时统一着装，佩戴统一标志，仪容仪表规范整齐；文明工作，训练有素，言语规范，认真负责；相关维修人员持证上岗；严格执行安全规范，确保安全。</w:t>
            </w:r>
          </w:p>
          <w:p>
            <w:pPr>
              <w:ind w:firstLine="422" w:firstLineChars="200"/>
              <w:rPr>
                <w:rFonts w:ascii="宋体" w:hAnsi="宋体" w:cs="宋体"/>
                <w:b/>
                <w:bCs/>
                <w:color w:val="auto"/>
                <w:szCs w:val="21"/>
              </w:rPr>
            </w:pPr>
            <w:r>
              <w:rPr>
                <w:rFonts w:hint="eastAsia" w:ascii="宋体" w:hAnsi="宋体" w:cs="宋体"/>
                <w:b/>
                <w:bCs/>
                <w:color w:val="auto"/>
                <w:szCs w:val="21"/>
              </w:rPr>
              <w:t>（二）水电维修要求</w:t>
            </w:r>
          </w:p>
          <w:p>
            <w:pPr>
              <w:ind w:firstLine="420" w:firstLineChars="200"/>
              <w:rPr>
                <w:rFonts w:ascii="宋体" w:hAnsi="宋体" w:cs="宋体"/>
                <w:color w:val="auto"/>
                <w:szCs w:val="21"/>
              </w:rPr>
            </w:pPr>
            <w:r>
              <w:rPr>
                <w:rFonts w:hint="eastAsia" w:ascii="宋体" w:hAnsi="宋体" w:cs="宋体"/>
                <w:color w:val="auto"/>
                <w:szCs w:val="21"/>
              </w:rPr>
              <w:t>供电系统</w:t>
            </w:r>
          </w:p>
          <w:p>
            <w:pPr>
              <w:ind w:firstLine="420" w:firstLineChars="200"/>
              <w:rPr>
                <w:rFonts w:ascii="宋体" w:hAnsi="宋体" w:cs="宋体"/>
                <w:color w:val="auto"/>
                <w:szCs w:val="21"/>
              </w:rPr>
            </w:pPr>
            <w:r>
              <w:rPr>
                <w:rFonts w:hint="eastAsia" w:ascii="宋体" w:hAnsi="宋体" w:cs="宋体"/>
                <w:color w:val="auto"/>
                <w:szCs w:val="21"/>
              </w:rPr>
              <w:t xml:space="preserve">1、服务内容: 对区域内的电气管线、电线电缆、电源开关、动力插座、电开水炉等低压用电设施进行日常管理和维护、维修，保持设施正常运行，所需费用全部包含在本次投标报价中。 </w:t>
            </w:r>
          </w:p>
          <w:p>
            <w:pPr>
              <w:ind w:firstLine="420" w:firstLineChars="200"/>
              <w:rPr>
                <w:rFonts w:ascii="宋体" w:hAnsi="宋体" w:cs="宋体"/>
                <w:color w:val="auto"/>
                <w:szCs w:val="21"/>
              </w:rPr>
            </w:pPr>
            <w:r>
              <w:rPr>
                <w:rFonts w:hint="eastAsia" w:ascii="宋体" w:hAnsi="宋体" w:cs="宋体"/>
                <w:color w:val="auto"/>
                <w:szCs w:val="21"/>
              </w:rPr>
              <w:t>2、服务质量标准:</w:t>
            </w:r>
          </w:p>
          <w:p>
            <w:pPr>
              <w:ind w:firstLine="420" w:firstLineChars="200"/>
              <w:rPr>
                <w:rFonts w:ascii="宋体" w:hAnsi="宋体" w:cs="宋体"/>
                <w:color w:val="auto"/>
                <w:szCs w:val="21"/>
              </w:rPr>
            </w:pPr>
            <w:r>
              <w:rPr>
                <w:rFonts w:hint="eastAsia" w:ascii="宋体" w:hAnsi="宋体" w:cs="宋体"/>
                <w:color w:val="auto"/>
                <w:szCs w:val="21"/>
              </w:rPr>
              <w:t>(1) 负责各类照明灯具、泛光照明系统、供用电设备设施的日常管理和维护修理。各分电表箱、配电箱、配电柜及每层管线分线盒：无积尘，接头无松动现象，每季清洁一次；主要用电线路的绝缘状况，每半年测试一次，绝缘良好。总配电箱、高配电房：每年保养和测试，无积尘，接头无松动现象；公共使用的照明、指示灯具线路、开关要保证完好。</w:t>
            </w:r>
          </w:p>
          <w:p>
            <w:pPr>
              <w:ind w:firstLine="420" w:firstLineChars="200"/>
              <w:rPr>
                <w:rFonts w:ascii="宋体" w:hAnsi="宋体" w:cs="宋体"/>
                <w:color w:val="auto"/>
                <w:szCs w:val="21"/>
              </w:rPr>
            </w:pPr>
            <w:r>
              <w:rPr>
                <w:rFonts w:hint="eastAsia" w:ascii="宋体" w:hAnsi="宋体" w:cs="宋体"/>
                <w:color w:val="auto"/>
                <w:szCs w:val="21"/>
              </w:rPr>
              <w:t>（2）保证整个大楼的供电安全。</w:t>
            </w:r>
          </w:p>
          <w:p>
            <w:pPr>
              <w:ind w:firstLine="420" w:firstLineChars="200"/>
              <w:rPr>
                <w:rFonts w:ascii="宋体" w:hAnsi="宋体" w:cs="宋体"/>
                <w:color w:val="auto"/>
                <w:szCs w:val="21"/>
              </w:rPr>
            </w:pPr>
            <w:r>
              <w:rPr>
                <w:rFonts w:hint="eastAsia" w:ascii="宋体" w:hAnsi="宋体" w:cs="宋体"/>
                <w:color w:val="auto"/>
                <w:szCs w:val="21"/>
              </w:rPr>
              <w:t>(3) 应急供电系统运行正常。</w:t>
            </w:r>
          </w:p>
          <w:p>
            <w:pPr>
              <w:ind w:firstLine="420" w:firstLineChars="200"/>
              <w:rPr>
                <w:rFonts w:ascii="宋体" w:hAnsi="宋体" w:cs="宋体"/>
                <w:color w:val="auto"/>
                <w:szCs w:val="21"/>
              </w:rPr>
            </w:pPr>
            <w:r>
              <w:rPr>
                <w:rFonts w:hint="eastAsia" w:ascii="宋体" w:hAnsi="宋体" w:cs="宋体"/>
                <w:color w:val="auto"/>
                <w:szCs w:val="21"/>
              </w:rPr>
              <w:t>(4) 保证网络正常运行，并负责会议、演出音控。</w:t>
            </w:r>
          </w:p>
          <w:p>
            <w:pPr>
              <w:ind w:firstLine="420" w:firstLineChars="200"/>
              <w:rPr>
                <w:rFonts w:ascii="宋体" w:hAnsi="宋体" w:cs="宋体"/>
                <w:color w:val="auto"/>
                <w:szCs w:val="21"/>
              </w:rPr>
            </w:pPr>
            <w:r>
              <w:rPr>
                <w:rFonts w:hint="eastAsia" w:ascii="宋体" w:hAnsi="宋体" w:cs="宋体"/>
                <w:color w:val="auto"/>
                <w:szCs w:val="21"/>
              </w:rPr>
              <w:t>(5)通过有效的管理措施及技术措施，积极开展节能管理工作。</w:t>
            </w:r>
          </w:p>
          <w:p>
            <w:pPr>
              <w:ind w:firstLine="420" w:firstLineChars="200"/>
              <w:rPr>
                <w:rFonts w:ascii="宋体" w:hAnsi="宋体" w:cs="宋体"/>
                <w:color w:val="auto"/>
                <w:szCs w:val="21"/>
              </w:rPr>
            </w:pPr>
            <w:r>
              <w:rPr>
                <w:rFonts w:hint="eastAsia" w:ascii="宋体" w:hAnsi="宋体" w:cs="宋体"/>
                <w:color w:val="auto"/>
                <w:szCs w:val="21"/>
              </w:rPr>
              <w:t xml:space="preserve"> 给排水系统</w:t>
            </w:r>
          </w:p>
          <w:p>
            <w:pPr>
              <w:ind w:firstLine="420" w:firstLineChars="200"/>
              <w:rPr>
                <w:rFonts w:ascii="宋体" w:hAnsi="宋体" w:cs="宋体"/>
                <w:color w:val="auto"/>
                <w:szCs w:val="21"/>
              </w:rPr>
            </w:pPr>
            <w:r>
              <w:rPr>
                <w:rFonts w:hint="eastAsia" w:ascii="宋体" w:hAnsi="宋体" w:cs="宋体"/>
                <w:color w:val="auto"/>
                <w:szCs w:val="21"/>
              </w:rPr>
              <w:t>1、服务内容:对物业管理区域室内外给排水系统的设备、设施，如水泵、水箱、气压给水装置、水处理设备、消火栓、管道、管件、阀门、水嘴、卫生洁具、排水管、透气管、水封设备、室外排水管及附属构筑物等进行日常养护维修，保持正常运行。</w:t>
            </w:r>
          </w:p>
          <w:p>
            <w:pPr>
              <w:ind w:firstLine="420" w:firstLineChars="200"/>
              <w:rPr>
                <w:rFonts w:ascii="宋体" w:hAnsi="宋体" w:cs="宋体"/>
                <w:color w:val="auto"/>
                <w:szCs w:val="21"/>
              </w:rPr>
            </w:pPr>
            <w:r>
              <w:rPr>
                <w:rFonts w:hint="eastAsia" w:ascii="宋体" w:hAnsi="宋体" w:cs="宋体"/>
                <w:color w:val="auto"/>
                <w:szCs w:val="21"/>
              </w:rPr>
              <w:t>2、服务质量标准:</w:t>
            </w:r>
          </w:p>
          <w:p>
            <w:pPr>
              <w:ind w:firstLine="420" w:firstLineChars="200"/>
              <w:rPr>
                <w:rFonts w:ascii="宋体" w:hAnsi="宋体" w:cs="宋体"/>
                <w:color w:val="auto"/>
                <w:szCs w:val="21"/>
              </w:rPr>
            </w:pPr>
            <w:r>
              <w:rPr>
                <w:rFonts w:hint="eastAsia" w:ascii="宋体" w:hAnsi="宋体" w:cs="宋体"/>
                <w:color w:val="auto"/>
                <w:szCs w:val="21"/>
              </w:rPr>
              <w:t>(1) 每半年对给排水系统进行维护、润滑。</w:t>
            </w:r>
          </w:p>
          <w:p>
            <w:pPr>
              <w:ind w:firstLine="420" w:firstLineChars="200"/>
              <w:rPr>
                <w:rFonts w:ascii="宋体" w:hAnsi="宋体" w:cs="宋体"/>
                <w:color w:val="auto"/>
                <w:szCs w:val="21"/>
              </w:rPr>
            </w:pPr>
            <w:r>
              <w:rPr>
                <w:rFonts w:hint="eastAsia" w:ascii="宋体" w:hAnsi="宋体" w:cs="宋体"/>
                <w:color w:val="auto"/>
                <w:szCs w:val="21"/>
              </w:rPr>
              <w:t>(2) 用户末端的水压及流量满足使用要求。</w:t>
            </w:r>
          </w:p>
          <w:p>
            <w:pPr>
              <w:ind w:firstLine="420" w:firstLineChars="200"/>
              <w:rPr>
                <w:rFonts w:ascii="宋体" w:hAnsi="宋体" w:cs="宋体"/>
                <w:color w:val="auto"/>
                <w:szCs w:val="21"/>
              </w:rPr>
            </w:pPr>
            <w:r>
              <w:rPr>
                <w:rFonts w:hint="eastAsia" w:ascii="宋体" w:hAnsi="宋体" w:cs="宋体"/>
                <w:color w:val="auto"/>
                <w:szCs w:val="21"/>
              </w:rPr>
              <w:t>(3) 每季对楼宇排水总管进行检查，每半年对水泵、管道进行防锈处理。</w:t>
            </w:r>
          </w:p>
          <w:p>
            <w:pPr>
              <w:ind w:firstLine="420" w:firstLineChars="200"/>
              <w:rPr>
                <w:rFonts w:ascii="宋体" w:hAnsi="宋体" w:cs="宋体"/>
                <w:color w:val="auto"/>
                <w:szCs w:val="21"/>
              </w:rPr>
            </w:pPr>
            <w:r>
              <w:rPr>
                <w:rFonts w:hint="eastAsia" w:ascii="宋体" w:hAnsi="宋体" w:cs="宋体"/>
                <w:color w:val="auto"/>
                <w:szCs w:val="21"/>
              </w:rPr>
              <w:t>(4)确保水质无污染并符合规定的要求，生活饮用水水质符合GB5749一2006《生活饮用水卫生标准》的要求。生活饮用水设施的日常使用管理、清洗消毒、作业人员健康检查以及水质检测参照建设部、卫生部《城市供水水质管理规定》(建设部令第67号)执行。请有资质人员定期清洗水箱，每年不少于2次，并提供清洗后水质检测报告。</w:t>
            </w:r>
          </w:p>
          <w:p>
            <w:pPr>
              <w:ind w:firstLine="420" w:firstLineChars="200"/>
              <w:rPr>
                <w:rFonts w:ascii="宋体" w:hAnsi="宋体" w:cs="宋体"/>
                <w:color w:val="auto"/>
                <w:szCs w:val="21"/>
              </w:rPr>
            </w:pPr>
            <w:r>
              <w:rPr>
                <w:rFonts w:hint="eastAsia" w:ascii="宋体" w:hAnsi="宋体" w:cs="宋体"/>
                <w:color w:val="auto"/>
                <w:szCs w:val="21"/>
              </w:rPr>
              <w:t>(5)每季度对水质处理、消毒装置、电开水炉及设备控制柜进行保养。</w:t>
            </w:r>
          </w:p>
          <w:p>
            <w:pPr>
              <w:ind w:firstLine="420" w:firstLineChars="200"/>
              <w:rPr>
                <w:rFonts w:ascii="宋体" w:hAnsi="宋体" w:cs="宋体"/>
                <w:color w:val="auto"/>
                <w:szCs w:val="21"/>
              </w:rPr>
            </w:pPr>
            <w:r>
              <w:rPr>
                <w:rFonts w:hint="eastAsia" w:ascii="宋体" w:hAnsi="宋体" w:cs="宋体"/>
                <w:color w:val="auto"/>
                <w:szCs w:val="21"/>
              </w:rPr>
              <w:t>(6)每年至少清理污水化粪池一次，确保排水微量元素等达标；公共雨、污水管道、房顶：保证畅通无堵，每月要定期检查疏通；窨井、窨沟、排水沟、集水井：管道通畅，无堵塞外溢现象，每月要定期检查清理。</w:t>
            </w:r>
          </w:p>
          <w:p>
            <w:pPr>
              <w:ind w:firstLine="422" w:firstLineChars="200"/>
              <w:rPr>
                <w:rFonts w:ascii="宋体" w:hAnsi="宋体" w:cs="宋体"/>
                <w:b/>
                <w:bCs/>
                <w:color w:val="auto"/>
                <w:szCs w:val="21"/>
              </w:rPr>
            </w:pPr>
            <w:r>
              <w:rPr>
                <w:rFonts w:hint="eastAsia" w:ascii="宋体" w:hAnsi="宋体" w:cs="宋体"/>
                <w:b/>
                <w:bCs/>
                <w:color w:val="auto"/>
                <w:szCs w:val="21"/>
              </w:rPr>
              <w:t>（三）房屋养护维修要求</w:t>
            </w:r>
          </w:p>
          <w:p>
            <w:pPr>
              <w:ind w:firstLine="420" w:firstLineChars="200"/>
              <w:rPr>
                <w:rFonts w:ascii="宋体" w:hAnsi="宋体" w:cs="宋体"/>
                <w:color w:val="auto"/>
                <w:szCs w:val="21"/>
              </w:rPr>
            </w:pPr>
            <w:r>
              <w:rPr>
                <w:rFonts w:hint="eastAsia" w:ascii="宋体" w:hAnsi="宋体" w:cs="宋体"/>
                <w:color w:val="auto"/>
                <w:szCs w:val="21"/>
              </w:rPr>
              <w:t>1、服务内容: 物业管理区域内房屋地面、墙、台面及吊顶、门窗、楼梯、通风道、大厅大面积玻璃顶等的日常巡查和养护维修；外墙幕墙的养护和维修。</w:t>
            </w:r>
          </w:p>
          <w:p>
            <w:pPr>
              <w:ind w:firstLine="420" w:firstLineChars="200"/>
              <w:rPr>
                <w:rFonts w:ascii="宋体" w:hAnsi="宋体" w:cs="宋体"/>
                <w:color w:val="auto"/>
                <w:szCs w:val="21"/>
              </w:rPr>
            </w:pPr>
            <w:r>
              <w:rPr>
                <w:rFonts w:hint="eastAsia" w:ascii="宋体" w:hAnsi="宋体" w:cs="宋体"/>
                <w:color w:val="auto"/>
                <w:szCs w:val="21"/>
              </w:rPr>
              <w:t>2、服务质量标准:</w:t>
            </w:r>
          </w:p>
          <w:p>
            <w:pPr>
              <w:ind w:firstLine="420" w:firstLineChars="200"/>
              <w:rPr>
                <w:rFonts w:ascii="宋体" w:hAnsi="宋体" w:cs="宋体"/>
                <w:color w:val="auto"/>
                <w:szCs w:val="21"/>
              </w:rPr>
            </w:pPr>
            <w:r>
              <w:rPr>
                <w:rFonts w:hint="eastAsia" w:ascii="宋体" w:hAnsi="宋体" w:cs="宋体"/>
                <w:color w:val="auto"/>
                <w:szCs w:val="21"/>
              </w:rPr>
              <w:t>(1)确保物业管理区域内房屋及设施的完好等级和正常使用。</w:t>
            </w:r>
          </w:p>
          <w:p>
            <w:pPr>
              <w:ind w:firstLine="420" w:firstLineChars="200"/>
              <w:rPr>
                <w:rFonts w:ascii="宋体" w:hAnsi="宋体" w:cs="宋体"/>
                <w:color w:val="auto"/>
                <w:szCs w:val="21"/>
              </w:rPr>
            </w:pPr>
            <w:r>
              <w:rPr>
                <w:rFonts w:hint="eastAsia" w:ascii="宋体" w:hAnsi="宋体" w:cs="宋体"/>
                <w:color w:val="auto"/>
                <w:szCs w:val="21"/>
              </w:rPr>
              <w:t>(2)玻璃无破裂，五金配件完好，门窗开闭灵活、密封性好、无异常声响。否则应及时修复或更换，不能立即修复的涉及安全性的应采取措施消除安全隐患。</w:t>
            </w:r>
          </w:p>
          <w:p>
            <w:pPr>
              <w:ind w:firstLine="420" w:firstLineChars="200"/>
              <w:rPr>
                <w:rFonts w:ascii="宋体" w:hAnsi="宋体" w:cs="宋体"/>
                <w:color w:val="auto"/>
                <w:szCs w:val="21"/>
              </w:rPr>
            </w:pPr>
            <w:r>
              <w:rPr>
                <w:rFonts w:hint="eastAsia" w:ascii="宋体" w:hAnsi="宋体" w:cs="宋体"/>
                <w:color w:val="auto"/>
                <w:szCs w:val="21"/>
              </w:rPr>
              <w:t>(3)粉刷无明显剥落开裂，墙面砖、地坪、地砖、地板平整不起壳、无遗缺，吊顶无污（水）渍、开缝和破损。否则应及时修复或更换，不能影响车辆和行人通行。</w:t>
            </w:r>
          </w:p>
          <w:p>
            <w:pPr>
              <w:ind w:firstLine="420" w:firstLineChars="200"/>
              <w:rPr>
                <w:rFonts w:ascii="宋体" w:hAnsi="宋体" w:cs="宋体"/>
                <w:color w:val="auto"/>
                <w:szCs w:val="21"/>
              </w:rPr>
            </w:pPr>
            <w:r>
              <w:rPr>
                <w:rFonts w:hint="eastAsia" w:ascii="宋体" w:hAnsi="宋体" w:cs="宋体"/>
                <w:color w:val="auto"/>
                <w:szCs w:val="21"/>
              </w:rPr>
              <w:t>(4)屋面排水沟、室内室外排水管保障畅通；雨前及时巡查，排除隐患。发现过滤网及管道破损及时修复或更换。</w:t>
            </w:r>
          </w:p>
          <w:p>
            <w:pPr>
              <w:ind w:firstLine="420" w:firstLineChars="200"/>
              <w:rPr>
                <w:rFonts w:ascii="宋体" w:hAnsi="宋体" w:cs="宋体"/>
                <w:color w:val="auto"/>
                <w:szCs w:val="21"/>
              </w:rPr>
            </w:pPr>
            <w:r>
              <w:rPr>
                <w:rFonts w:hint="eastAsia" w:ascii="宋体" w:hAnsi="宋体" w:cs="宋体"/>
                <w:color w:val="auto"/>
                <w:szCs w:val="21"/>
              </w:rPr>
              <w:t>(5)发现屋面或其他防水层有气鼓、破裂，隔热板有断裂、缺损的，屋面、墙面有渗漏的，应在3个工作日内安排专项修理。</w:t>
            </w:r>
          </w:p>
          <w:p>
            <w:pPr>
              <w:ind w:firstLine="420" w:firstLineChars="200"/>
              <w:rPr>
                <w:rFonts w:ascii="宋体" w:hAnsi="宋体" w:cs="宋体"/>
                <w:color w:val="auto"/>
                <w:szCs w:val="21"/>
              </w:rPr>
            </w:pPr>
            <w:r>
              <w:rPr>
                <w:rFonts w:hint="eastAsia" w:ascii="宋体" w:hAnsi="宋体" w:cs="宋体"/>
                <w:color w:val="auto"/>
                <w:szCs w:val="21"/>
              </w:rPr>
              <w:t>(6)及时完成家具、设备等各项零星维修任务，一般维修任务确保不超过24小时，确保家具、设备维修合格率达到100%。</w:t>
            </w:r>
          </w:p>
          <w:p>
            <w:pPr>
              <w:ind w:firstLine="420" w:firstLineChars="200"/>
              <w:rPr>
                <w:rFonts w:ascii="宋体" w:hAnsi="宋体" w:cs="宋体"/>
                <w:color w:val="auto"/>
                <w:szCs w:val="21"/>
              </w:rPr>
            </w:pPr>
            <w:r>
              <w:rPr>
                <w:rFonts w:hint="eastAsia" w:ascii="宋体" w:hAnsi="宋体" w:cs="宋体"/>
                <w:color w:val="auto"/>
                <w:szCs w:val="21"/>
              </w:rPr>
              <w:t>(7)楼内相关设施发现损坏应立即修复，安全标志等应清晰完整。保证各项设施、器材的正常使用；</w:t>
            </w:r>
          </w:p>
          <w:p>
            <w:pPr>
              <w:ind w:firstLine="422" w:firstLineChars="200"/>
              <w:rPr>
                <w:rFonts w:ascii="宋体" w:hAnsi="宋体" w:cs="宋体"/>
                <w:b/>
                <w:bCs/>
                <w:color w:val="auto"/>
                <w:szCs w:val="21"/>
              </w:rPr>
            </w:pPr>
            <w:r>
              <w:rPr>
                <w:rFonts w:hint="eastAsia" w:ascii="宋体" w:hAnsi="宋体" w:cs="宋体"/>
                <w:b/>
                <w:bCs/>
                <w:color w:val="auto"/>
                <w:szCs w:val="21"/>
              </w:rPr>
              <w:t>（四）其他要求</w:t>
            </w:r>
          </w:p>
          <w:p>
            <w:pPr>
              <w:ind w:firstLine="420" w:firstLineChars="200"/>
              <w:rPr>
                <w:rFonts w:ascii="宋体" w:hAnsi="宋体" w:cs="宋体"/>
                <w:color w:val="auto"/>
                <w:szCs w:val="21"/>
              </w:rPr>
            </w:pPr>
            <w:r>
              <w:rPr>
                <w:rFonts w:hint="eastAsia" w:ascii="宋体" w:hAnsi="宋体" w:cs="宋体"/>
                <w:color w:val="auto"/>
                <w:szCs w:val="21"/>
              </w:rPr>
              <w:t>（1）各类设备、房屋维修出现故障时，维修人员应在接到报修后30分钟内到达现场，设备零修合格率达到100%，一般性维修不过夜。</w:t>
            </w:r>
          </w:p>
          <w:p>
            <w:pPr>
              <w:ind w:firstLine="420" w:firstLineChars="200"/>
              <w:rPr>
                <w:rFonts w:ascii="宋体" w:hAnsi="宋体" w:cs="宋体"/>
                <w:color w:val="auto"/>
                <w:szCs w:val="21"/>
              </w:rPr>
            </w:pPr>
            <w:r>
              <w:rPr>
                <w:rFonts w:hint="eastAsia" w:ascii="宋体" w:hAnsi="宋体" w:cs="宋体"/>
                <w:color w:val="auto"/>
                <w:szCs w:val="21"/>
              </w:rPr>
              <w:t xml:space="preserve"> (2)针对大楼的防雷设施、设备的维保，需委托专业维保单位，进行检测保养；室外设备需定期进行防锈处理。</w:t>
            </w:r>
          </w:p>
          <w:p>
            <w:pPr>
              <w:ind w:firstLine="420" w:firstLineChars="200"/>
              <w:rPr>
                <w:rFonts w:ascii="宋体" w:hAnsi="宋体" w:cs="宋体"/>
                <w:color w:val="auto"/>
                <w:szCs w:val="21"/>
              </w:rPr>
            </w:pPr>
            <w:r>
              <w:rPr>
                <w:rFonts w:hint="eastAsia" w:ascii="宋体" w:hAnsi="宋体" w:cs="宋体"/>
                <w:color w:val="auto"/>
                <w:szCs w:val="21"/>
              </w:rPr>
              <w:t>(3)完成采购人交办的临时任务。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05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公</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共</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区</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域</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保</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洁</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及</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服</w:t>
            </w:r>
          </w:p>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务</w:t>
            </w:r>
          </w:p>
        </w:tc>
        <w:tc>
          <w:tcPr>
            <w:tcW w:w="8085" w:type="dxa"/>
            <w:tcBorders>
              <w:top w:val="single" w:color="auto" w:sz="4" w:space="0"/>
              <w:left w:val="nil"/>
              <w:bottom w:val="single" w:color="auto" w:sz="4" w:space="0"/>
              <w:right w:val="single" w:color="auto" w:sz="4" w:space="0"/>
            </w:tcBorders>
            <w:vAlign w:val="center"/>
          </w:tcPr>
          <w:p>
            <w:pPr>
              <w:ind w:firstLine="422" w:firstLineChars="200"/>
              <w:rPr>
                <w:rFonts w:ascii="宋体" w:hAnsi="宋体" w:cs="宋体"/>
                <w:color w:val="auto"/>
                <w:szCs w:val="21"/>
              </w:rPr>
            </w:pPr>
            <w:r>
              <w:rPr>
                <w:rFonts w:hint="eastAsia" w:ascii="宋体" w:hAnsi="宋体" w:cs="宋体"/>
                <w:b/>
                <w:bCs/>
                <w:color w:val="auto"/>
                <w:szCs w:val="21"/>
              </w:rPr>
              <w:t>（一）人员设置需求：</w:t>
            </w:r>
          </w:p>
          <w:p>
            <w:pPr>
              <w:ind w:firstLine="420" w:firstLineChars="200"/>
              <w:rPr>
                <w:rFonts w:ascii="宋体" w:hAnsi="宋体" w:cs="宋体"/>
                <w:color w:val="auto"/>
                <w:szCs w:val="21"/>
                <w:shd w:val="clear" w:color="auto" w:fill="auto"/>
              </w:rPr>
            </w:pPr>
            <w:r>
              <w:rPr>
                <w:rFonts w:hint="eastAsia" w:ascii="宋体" w:hAnsi="宋体" w:cs="宋体"/>
                <w:color w:val="auto"/>
                <w:szCs w:val="21"/>
                <w:shd w:val="clear" w:color="auto" w:fill="auto"/>
              </w:rPr>
              <w:t>1、保洁员不少于</w:t>
            </w:r>
            <w:r>
              <w:rPr>
                <w:rFonts w:hint="eastAsia" w:ascii="宋体" w:hAnsi="宋体" w:cs="宋体"/>
                <w:color w:val="auto"/>
                <w:szCs w:val="21"/>
                <w:shd w:val="clear" w:color="auto" w:fill="auto"/>
                <w:lang w:val="en-US" w:eastAsia="zh-CN"/>
              </w:rPr>
              <w:t>3</w:t>
            </w:r>
            <w:r>
              <w:rPr>
                <w:rFonts w:hint="eastAsia" w:ascii="宋体" w:hAnsi="宋体" w:cs="宋体"/>
                <w:color w:val="auto"/>
                <w:szCs w:val="21"/>
                <w:shd w:val="clear" w:color="auto" w:fill="auto"/>
              </w:rPr>
              <w:t>人</w:t>
            </w:r>
          </w:p>
          <w:p>
            <w:pPr>
              <w:ind w:firstLine="422" w:firstLineChars="200"/>
              <w:rPr>
                <w:rFonts w:ascii="宋体" w:hAnsi="宋体" w:cs="宋体"/>
                <w:b/>
                <w:bCs/>
                <w:color w:val="auto"/>
                <w:szCs w:val="21"/>
              </w:rPr>
            </w:pPr>
            <w:r>
              <w:rPr>
                <w:rFonts w:hint="eastAsia" w:ascii="宋体" w:hAnsi="宋体" w:cs="宋体"/>
                <w:b/>
                <w:bCs/>
                <w:color w:val="auto"/>
                <w:szCs w:val="21"/>
              </w:rPr>
              <w:t>（二）保洁人员要求：</w:t>
            </w:r>
          </w:p>
          <w:p>
            <w:pPr>
              <w:ind w:firstLine="420" w:firstLineChars="200"/>
              <w:rPr>
                <w:rFonts w:ascii="宋体" w:hAnsi="宋体" w:cs="宋体"/>
                <w:color w:val="auto"/>
                <w:szCs w:val="21"/>
              </w:rPr>
            </w:pPr>
            <w:r>
              <w:rPr>
                <w:rFonts w:hint="eastAsia" w:ascii="宋体" w:hAnsi="宋体" w:cs="宋体"/>
                <w:color w:val="auto"/>
                <w:szCs w:val="21"/>
              </w:rPr>
              <w:t>1、保洁人员要求50周岁以下，身体健康，无不良嗜好，工作认真负责并定期接受培训。</w:t>
            </w:r>
          </w:p>
          <w:p>
            <w:pPr>
              <w:ind w:firstLine="420" w:firstLineChars="200"/>
              <w:rPr>
                <w:rFonts w:ascii="宋体" w:hAnsi="宋体" w:cs="宋体"/>
                <w:color w:val="auto"/>
                <w:szCs w:val="21"/>
              </w:rPr>
            </w:pPr>
            <w:r>
              <w:rPr>
                <w:rFonts w:hint="eastAsia" w:ascii="宋体" w:hAnsi="宋体" w:cs="宋体"/>
                <w:color w:val="auto"/>
                <w:szCs w:val="21"/>
              </w:rPr>
              <w:t>2、上岗时佩戴统一标志，按需求穿戴统一制服，仪容仪表规范整齐。</w:t>
            </w:r>
          </w:p>
          <w:p>
            <w:pPr>
              <w:ind w:firstLine="420" w:firstLineChars="200"/>
              <w:rPr>
                <w:rFonts w:ascii="宋体" w:hAnsi="宋体" w:cs="宋体"/>
                <w:color w:val="auto"/>
                <w:szCs w:val="21"/>
              </w:rPr>
            </w:pPr>
            <w:r>
              <w:rPr>
                <w:rFonts w:hint="eastAsia" w:ascii="宋体" w:hAnsi="宋体" w:cs="宋体"/>
                <w:color w:val="auto"/>
                <w:szCs w:val="21"/>
              </w:rPr>
              <w:t>3、文明工作，训练有素，言语规范，认真负责。</w:t>
            </w:r>
          </w:p>
          <w:p>
            <w:pPr>
              <w:ind w:firstLine="422" w:firstLineChars="200"/>
              <w:rPr>
                <w:rFonts w:ascii="宋体" w:hAnsi="宋体" w:cs="宋体"/>
                <w:b/>
                <w:bCs/>
                <w:color w:val="auto"/>
                <w:szCs w:val="21"/>
              </w:rPr>
            </w:pPr>
            <w:r>
              <w:rPr>
                <w:rFonts w:hint="eastAsia" w:ascii="宋体" w:hAnsi="宋体" w:cs="宋体"/>
                <w:b/>
                <w:bCs/>
                <w:color w:val="auto"/>
                <w:szCs w:val="21"/>
              </w:rPr>
              <w:t>（三）服务内容及要求：</w:t>
            </w:r>
          </w:p>
          <w:p>
            <w:pPr>
              <w:ind w:firstLine="420" w:firstLineChars="200"/>
              <w:rPr>
                <w:rFonts w:ascii="宋体" w:hAnsi="宋体" w:cs="宋体"/>
                <w:color w:val="auto"/>
                <w:szCs w:val="21"/>
              </w:rPr>
            </w:pPr>
            <w:r>
              <w:rPr>
                <w:rFonts w:hint="eastAsia" w:ascii="宋体" w:hAnsi="宋体" w:cs="宋体"/>
                <w:color w:val="auto"/>
                <w:szCs w:val="21"/>
              </w:rPr>
              <w:t>1、服务内容: 完成本物业大楼内的楼梯、大厅、走廊、屋顶天台、吊顶、平台、雨棚、卫生间、茶水间、花盆、会议室、接待室、办公区域及单位办公室、公共活动场所的台（地）面、明沟、墙面、门、窗、灯具、果壳箱等设施和器皿，楼宇外墙等所有公共部位设施，道路、园林、停车场(库)、垃圾房等所有公共场地及设施和门前三包"区域的日常保洁保养以及垃圾、废弃物清理等所有环境卫生保洁。具体如下：</w:t>
            </w:r>
          </w:p>
          <w:p>
            <w:pPr>
              <w:ind w:firstLine="420" w:firstLineChars="200"/>
              <w:rPr>
                <w:rFonts w:ascii="宋体" w:hAnsi="宋体" w:cs="宋体"/>
                <w:color w:val="auto"/>
                <w:szCs w:val="21"/>
              </w:rPr>
            </w:pPr>
            <w:r>
              <w:rPr>
                <w:rFonts w:hint="eastAsia" w:ascii="宋体" w:hAnsi="宋体" w:cs="宋体"/>
                <w:color w:val="auto"/>
                <w:szCs w:val="21"/>
              </w:rPr>
              <w:t>（1）公共场所日常服务内容：水泥地面、石材地面、扶手、门窗玻璃、门及门窗框及有关附体，沙发、桌子、各类宣传牌、橱窗及有关附体，天花板、栏杆、消防楼梯区域等，楼道地面、楼梯每日至少拖洗一次，扶手、门每日至少擦抹一次，天花板、公共楼道灯、会议室吊灯：每季至少除尘一次，做到巡回保洁，及时清除各种垃圾等杂物，无积灰、印迹、污渍。</w:t>
            </w:r>
          </w:p>
          <w:p>
            <w:pPr>
              <w:ind w:firstLine="420" w:firstLineChars="200"/>
              <w:rPr>
                <w:rFonts w:ascii="宋体" w:hAnsi="宋体" w:cs="宋体"/>
                <w:color w:val="auto"/>
                <w:szCs w:val="21"/>
              </w:rPr>
            </w:pPr>
            <w:r>
              <w:rPr>
                <w:rFonts w:hint="eastAsia" w:ascii="宋体" w:hAnsi="宋体" w:cs="宋体"/>
                <w:color w:val="auto"/>
                <w:szCs w:val="21"/>
              </w:rPr>
              <w:t>（2）门厅、办公区域等特定区域服务内容：地面、大厅石材墙面、天花板、大厅、门窗玻璃、门及门窗框、墙壁附体，灯具、音响、垃圾桶等公用设施表面及卫生间，办公室内储物柜和桌椅表面等严格按要求做好清洁、清运及日常消杀工作，无积灰、印迹、污渍。卫生间每天至少拖洗两次，保持地面清洁、无杂物、无积水、无毛发、无异味、便池、水池下水道要畅通。配备洗手液、卫生纸、擦手纸等相关保洁耗材，每日检查，发现用完及时补充，有破损的及时更换，确保运作正常；瓷砖：2米以下每日擦抹不少于一次；2米以上每月清洁不少于一次，无明显积灰、水渍；暂时空置的房间每周进行一次卫生保洁，确保地面、桌面、玻璃面整洁干净。白色墙面及顶面如有污渍等应及时清除，墙面去污后及时用乳胶漆补刷。</w:t>
            </w:r>
          </w:p>
          <w:p>
            <w:pPr>
              <w:ind w:firstLine="420" w:firstLineChars="200"/>
              <w:rPr>
                <w:rFonts w:ascii="宋体" w:hAnsi="宋体" w:cs="宋体"/>
                <w:color w:val="auto"/>
                <w:szCs w:val="21"/>
              </w:rPr>
            </w:pPr>
            <w:r>
              <w:rPr>
                <w:rFonts w:hint="eastAsia" w:ascii="宋体" w:hAnsi="宋体" w:cs="宋体"/>
                <w:color w:val="auto"/>
                <w:szCs w:val="21"/>
              </w:rPr>
              <w:t>（3）顶篷等边缘区域服务内容：屋顶屋面、沟槽、地面、雨篷及边角区域，各种附体的表面清洁，大厅遮阳卷帘清洁且保持运行正常。</w:t>
            </w:r>
          </w:p>
          <w:p>
            <w:pPr>
              <w:ind w:firstLine="420" w:firstLineChars="200"/>
              <w:rPr>
                <w:rFonts w:ascii="宋体" w:hAnsi="宋体" w:cs="宋体"/>
                <w:color w:val="auto"/>
                <w:szCs w:val="21"/>
              </w:rPr>
            </w:pPr>
            <w:r>
              <w:rPr>
                <w:rFonts w:hint="eastAsia" w:ascii="宋体" w:hAnsi="宋体" w:cs="宋体"/>
                <w:color w:val="auto"/>
                <w:szCs w:val="21"/>
              </w:rPr>
              <w:t>（4）水电和设备等设施类服务内容：一般机器表面清洁（有特殊规定的设备除外），消防设施、空调的过滤网际外壳洗尘与保洁。开关盒、表箱盖2米以下的每日擦抹不少于一次；2米以上每周不少于一次，无灰尘、污迹。</w:t>
            </w:r>
          </w:p>
          <w:p>
            <w:pPr>
              <w:ind w:firstLine="420" w:firstLineChars="200"/>
              <w:rPr>
                <w:rFonts w:ascii="宋体" w:hAnsi="宋体" w:cs="宋体"/>
                <w:color w:val="auto"/>
                <w:szCs w:val="21"/>
              </w:rPr>
            </w:pPr>
            <w:r>
              <w:rPr>
                <w:rFonts w:hint="eastAsia" w:ascii="宋体" w:hAnsi="宋体" w:cs="宋体"/>
                <w:color w:val="auto"/>
                <w:szCs w:val="21"/>
              </w:rPr>
              <w:t>（5）窗帘服务内容：保持窗帘表面清洁，普通窗帘根据窗帘清洁情况定时拆装清洗，布质窗帘一年清洗不少于一次。</w:t>
            </w:r>
          </w:p>
          <w:p>
            <w:pPr>
              <w:ind w:firstLine="420" w:firstLineChars="200"/>
              <w:rPr>
                <w:rFonts w:ascii="宋体" w:hAnsi="宋体" w:cs="宋体"/>
                <w:color w:val="auto"/>
                <w:szCs w:val="21"/>
              </w:rPr>
            </w:pPr>
            <w:r>
              <w:rPr>
                <w:rFonts w:hint="eastAsia" w:ascii="宋体" w:hAnsi="宋体" w:cs="宋体"/>
                <w:color w:val="auto"/>
                <w:szCs w:val="21"/>
              </w:rPr>
              <w:t>（6）玻璃门、地、屏上每日清扫，无污渍、无灰尘及手印，表面光亮色泽一致；地面无污渍、灰尘、水渍及鞋印，洁净光亮、无灰尘及手印，整洁光亮。</w:t>
            </w:r>
          </w:p>
          <w:p>
            <w:pPr>
              <w:ind w:firstLine="420" w:firstLineChars="200"/>
              <w:rPr>
                <w:rFonts w:ascii="宋体" w:hAnsi="宋体" w:cs="宋体"/>
                <w:color w:val="auto"/>
                <w:szCs w:val="21"/>
              </w:rPr>
            </w:pPr>
            <w:r>
              <w:rPr>
                <w:rFonts w:hint="eastAsia" w:ascii="宋体" w:hAnsi="宋体" w:cs="宋体"/>
                <w:color w:val="auto"/>
                <w:szCs w:val="21"/>
              </w:rPr>
              <w:t>(7)不锈钢服务内容：包括所有不锈钢制品、设施、设备，除有明确规定的保洁要求外，至少每二个月用不锈钢油保养一次。哑光不锈钢表面无污渍、无灰尘；镜面不锈钢表面光亮，三米内能清晰映出人影。</w:t>
            </w:r>
          </w:p>
          <w:p>
            <w:pPr>
              <w:ind w:firstLine="420" w:firstLineChars="200"/>
              <w:rPr>
                <w:rFonts w:ascii="宋体" w:hAnsi="宋体" w:cs="宋体"/>
                <w:color w:val="auto"/>
                <w:szCs w:val="21"/>
              </w:rPr>
            </w:pPr>
            <w:r>
              <w:rPr>
                <w:rFonts w:hint="eastAsia" w:ascii="宋体" w:hAnsi="宋体" w:cs="宋体"/>
                <w:color w:val="auto"/>
                <w:szCs w:val="21"/>
              </w:rPr>
              <w:t>（8）垃圾清运服务内容：垃圾箱、筒的垃圾存量不超过上缘，垃圾不在筒箱内过夜，符合垃圾分类要求。垃圾中转站工具摆放整齐，垃圾存量不超过三分之二且做到日产日清，定期清洗，每周消毒一次，无明显积水，无蚊蝇飞舞。垃圾清运工具应保持清洁无破损，清运过程中不得产生二次污染。各类垃圾运到规定的地方，其中公共区、卫生间无堆积垃圾。化粪池、污水池及时清理，确保排放指标正常。</w:t>
            </w:r>
          </w:p>
          <w:p>
            <w:pPr>
              <w:ind w:firstLine="420" w:firstLineChars="200"/>
              <w:rPr>
                <w:rFonts w:ascii="宋体" w:hAnsi="宋体" w:cs="宋体"/>
                <w:color w:val="auto"/>
                <w:szCs w:val="21"/>
              </w:rPr>
            </w:pPr>
            <w:r>
              <w:rPr>
                <w:rFonts w:hint="eastAsia" w:ascii="宋体" w:hAnsi="宋体" w:cs="宋体"/>
                <w:color w:val="auto"/>
                <w:szCs w:val="21"/>
              </w:rPr>
              <w:t>2、服务质量标准:</w:t>
            </w:r>
          </w:p>
          <w:p>
            <w:pPr>
              <w:ind w:firstLine="420" w:firstLineChars="200"/>
              <w:rPr>
                <w:rFonts w:ascii="宋体" w:hAnsi="宋体" w:cs="宋体"/>
                <w:color w:val="auto"/>
                <w:szCs w:val="21"/>
              </w:rPr>
            </w:pPr>
            <w:r>
              <w:rPr>
                <w:rFonts w:hint="eastAsia" w:ascii="宋体" w:hAnsi="宋体" w:cs="宋体"/>
                <w:color w:val="auto"/>
                <w:szCs w:val="21"/>
              </w:rPr>
              <w:t>（1）围墙内的道路、地下车库、停车场门前“三包”及所有公共区域的地面，无有形垃圾和建筑垃圾、无堆积杂物、无积灰、无积水和淤泥、无阻塞等。做到每日清扫两次，巡回保洁。</w:t>
            </w:r>
          </w:p>
          <w:p>
            <w:pPr>
              <w:ind w:firstLine="420" w:firstLineChars="200"/>
              <w:rPr>
                <w:rFonts w:ascii="宋体" w:hAnsi="宋体" w:cs="宋体"/>
                <w:color w:val="auto"/>
                <w:szCs w:val="21"/>
              </w:rPr>
            </w:pPr>
            <w:r>
              <w:rPr>
                <w:rFonts w:hint="eastAsia" w:ascii="宋体" w:hAnsi="宋体" w:cs="宋体"/>
                <w:color w:val="auto"/>
                <w:szCs w:val="21"/>
              </w:rPr>
              <w:t>（2）未列入的且为正常保洁工作以及突发性事件造成的保洁工作的项目、部位均包括在本次采购范围内，中标单位不得因此拒绝提供服务（保洁耗材等所需费用全部包括在投标报价中）。</w:t>
            </w:r>
          </w:p>
          <w:p>
            <w:pPr>
              <w:ind w:firstLine="422" w:firstLineChars="200"/>
              <w:rPr>
                <w:rFonts w:ascii="宋体" w:hAnsi="宋体" w:cs="宋体"/>
                <w:b/>
                <w:bCs/>
                <w:color w:val="auto"/>
                <w:szCs w:val="21"/>
              </w:rPr>
            </w:pPr>
            <w:r>
              <w:rPr>
                <w:rFonts w:hint="eastAsia" w:ascii="宋体" w:hAnsi="宋体" w:cs="宋体"/>
                <w:b/>
                <w:bCs/>
                <w:color w:val="auto"/>
                <w:szCs w:val="21"/>
              </w:rPr>
              <w:t>（五）耗材需求及要求：</w:t>
            </w:r>
          </w:p>
          <w:p>
            <w:pPr>
              <w:adjustRightInd/>
              <w:ind w:firstLine="420" w:firstLineChars="200"/>
              <w:rPr>
                <w:rFonts w:ascii="宋体" w:hAnsi="宋体" w:cs="宋体"/>
                <w:color w:val="auto"/>
                <w:szCs w:val="21"/>
              </w:rPr>
            </w:pPr>
            <w:r>
              <w:rPr>
                <w:rFonts w:hint="eastAsia" w:ascii="宋体" w:hAnsi="宋体" w:cs="宋体"/>
                <w:color w:val="auto"/>
                <w:szCs w:val="21"/>
              </w:rPr>
              <w:t>①洗手液；</w:t>
            </w:r>
          </w:p>
          <w:p>
            <w:pPr>
              <w:adjustRightInd/>
              <w:ind w:firstLine="420" w:firstLineChars="200"/>
              <w:rPr>
                <w:rFonts w:ascii="宋体" w:hAnsi="宋体" w:cs="宋体"/>
                <w:color w:val="auto"/>
                <w:szCs w:val="21"/>
              </w:rPr>
            </w:pPr>
            <w:r>
              <w:rPr>
                <w:rFonts w:hint="eastAsia" w:ascii="宋体" w:hAnsi="宋体" w:cs="宋体"/>
                <w:color w:val="auto"/>
                <w:szCs w:val="21"/>
              </w:rPr>
              <w:t>②大卷卫生纸：产品主要原料为原生木浆、柔软洁白、无致病菌产品；规格：90mm×120mm～95mm×180mm；2层及以上；每卷在210～230米；卷纸半径在105mm～120mm之间；每卷原生木浆重量不少于680克。</w:t>
            </w:r>
          </w:p>
          <w:p>
            <w:pPr>
              <w:adjustRightInd/>
              <w:ind w:firstLine="420" w:firstLineChars="200"/>
              <w:rPr>
                <w:rFonts w:ascii="宋体" w:hAnsi="宋体" w:cs="宋体"/>
                <w:color w:val="auto"/>
                <w:szCs w:val="21"/>
              </w:rPr>
            </w:pPr>
            <w:r>
              <w:rPr>
                <w:rFonts w:hint="eastAsia" w:ascii="宋体" w:hAnsi="宋体" w:cs="宋体"/>
                <w:color w:val="auto"/>
                <w:szCs w:val="21"/>
              </w:rPr>
              <w:t>2、保洁耗材：各类拖把、扫把、毛巾、洁厕液、除臭剂、卫生间纸桶等以上卫生间耗材及保洁用品等均由中标单位提供，选用的垃圾桶垃圾袋、洗手液、卫生纸、擦手纸等耗材由正规厂家生产，符合国家相关标准，要求每日检查，发现用完及时补充，发现有破损的，应及时更换，确保运作正常。</w:t>
            </w:r>
          </w:p>
          <w:p>
            <w:pPr>
              <w:ind w:firstLine="420" w:firstLineChars="200"/>
              <w:rPr>
                <w:rFonts w:ascii="宋体" w:hAnsi="宋体" w:cs="宋体"/>
                <w:color w:val="auto"/>
                <w:szCs w:val="21"/>
              </w:rPr>
            </w:pPr>
            <w:r>
              <w:rPr>
                <w:rFonts w:hint="eastAsia" w:ascii="宋体" w:hAnsi="宋体" w:cs="宋体"/>
                <w:color w:val="auto"/>
                <w:szCs w:val="21"/>
              </w:rPr>
              <w:t>（六）其他</w:t>
            </w:r>
          </w:p>
          <w:p>
            <w:pPr>
              <w:ind w:firstLine="420" w:firstLineChars="200"/>
              <w:rPr>
                <w:rFonts w:ascii="宋体" w:hAnsi="宋体" w:cs="宋体"/>
                <w:color w:val="auto"/>
                <w:szCs w:val="21"/>
              </w:rPr>
            </w:pPr>
            <w:r>
              <w:rPr>
                <w:rFonts w:hint="eastAsia" w:ascii="宋体" w:hAnsi="宋体" w:cs="宋体"/>
                <w:color w:val="auto"/>
                <w:szCs w:val="21"/>
              </w:rPr>
              <w:t>1、工作纪律：保洁员在工作期间要接受采购人的领导和监督，遵守采购人的有关规章制度。</w:t>
            </w:r>
          </w:p>
          <w:p>
            <w:pPr>
              <w:ind w:firstLine="420" w:firstLineChars="200"/>
              <w:rPr>
                <w:rFonts w:ascii="宋体" w:hAnsi="宋体" w:cs="宋体"/>
                <w:color w:val="auto"/>
                <w:szCs w:val="21"/>
              </w:rPr>
            </w:pPr>
            <w:r>
              <w:rPr>
                <w:rFonts w:hint="eastAsia" w:ascii="宋体" w:hAnsi="宋体" w:cs="宋体"/>
                <w:color w:val="auto"/>
                <w:szCs w:val="21"/>
              </w:rPr>
              <w:t>2、在遇到来咨询和服务的老人、残疾人需要帮助时，应主动热情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050" w:type="dxa"/>
            <w:gridSpan w:val="2"/>
            <w:tcBorders>
              <w:top w:val="single" w:color="auto" w:sz="4" w:space="0"/>
              <w:left w:val="single" w:color="auto" w:sz="4" w:space="0"/>
              <w:bottom w:val="single" w:color="auto" w:sz="4" w:space="0"/>
              <w:right w:val="single" w:color="auto" w:sz="4" w:space="0"/>
            </w:tcBorders>
            <w:vAlign w:val="center"/>
          </w:tcPr>
          <w:p>
            <w:pPr>
              <w:adjustRightInd/>
              <w:jc w:val="center"/>
              <w:rPr>
                <w:rFonts w:hint="eastAsia" w:ascii="宋体" w:hAnsi="宋体" w:cs="宋体"/>
                <w:color w:val="auto"/>
                <w:szCs w:val="21"/>
              </w:rPr>
            </w:pPr>
            <w:r>
              <w:rPr>
                <w:rFonts w:hint="eastAsia" w:ascii="宋体" w:hAnsi="宋体" w:cs="宋体"/>
                <w:color w:val="auto"/>
                <w:szCs w:val="21"/>
              </w:rPr>
              <w:t>绿</w:t>
            </w:r>
          </w:p>
          <w:p>
            <w:pPr>
              <w:adjustRightInd/>
              <w:jc w:val="center"/>
              <w:rPr>
                <w:rFonts w:hint="eastAsia" w:ascii="宋体" w:hAnsi="宋体" w:cs="宋体"/>
                <w:color w:val="auto"/>
                <w:szCs w:val="21"/>
              </w:rPr>
            </w:pPr>
            <w:r>
              <w:rPr>
                <w:rFonts w:hint="eastAsia" w:ascii="宋体" w:hAnsi="宋体" w:cs="宋体"/>
                <w:color w:val="auto"/>
                <w:szCs w:val="21"/>
              </w:rPr>
              <w:t>化</w:t>
            </w:r>
          </w:p>
          <w:p>
            <w:pPr>
              <w:adjustRightInd/>
              <w:jc w:val="center"/>
              <w:rPr>
                <w:rFonts w:hint="eastAsia" w:ascii="宋体" w:hAnsi="宋体" w:cs="宋体"/>
                <w:color w:val="auto"/>
                <w:szCs w:val="21"/>
              </w:rPr>
            </w:pPr>
            <w:r>
              <w:rPr>
                <w:rFonts w:hint="eastAsia" w:ascii="宋体" w:hAnsi="宋体" w:cs="宋体"/>
                <w:color w:val="auto"/>
                <w:szCs w:val="21"/>
              </w:rPr>
              <w:t>维</w:t>
            </w:r>
          </w:p>
          <w:p>
            <w:pPr>
              <w:adjustRightInd/>
              <w:jc w:val="center"/>
              <w:rPr>
                <w:rFonts w:hint="eastAsia" w:ascii="宋体" w:hAnsi="宋体" w:cs="宋体"/>
                <w:color w:val="auto"/>
                <w:szCs w:val="21"/>
              </w:rPr>
            </w:pPr>
            <w:r>
              <w:rPr>
                <w:rFonts w:hint="eastAsia" w:ascii="宋体" w:hAnsi="宋体" w:cs="宋体"/>
                <w:color w:val="auto"/>
                <w:szCs w:val="21"/>
              </w:rPr>
              <w:t>护</w:t>
            </w:r>
          </w:p>
          <w:p>
            <w:pPr>
              <w:adjustRightInd/>
              <w:jc w:val="center"/>
              <w:rPr>
                <w:rFonts w:hint="eastAsia" w:ascii="宋体" w:hAnsi="宋体" w:cs="宋体"/>
                <w:color w:val="auto"/>
                <w:szCs w:val="21"/>
              </w:rPr>
            </w:pPr>
            <w:r>
              <w:rPr>
                <w:rFonts w:hint="eastAsia" w:ascii="宋体" w:hAnsi="宋体" w:cs="宋体"/>
                <w:color w:val="auto"/>
                <w:szCs w:val="21"/>
              </w:rPr>
              <w:t>和</w:t>
            </w:r>
          </w:p>
          <w:p>
            <w:pPr>
              <w:adjustRightInd/>
              <w:jc w:val="center"/>
              <w:rPr>
                <w:rFonts w:hint="eastAsia" w:ascii="宋体" w:hAnsi="宋体" w:cs="宋体"/>
                <w:color w:val="auto"/>
                <w:szCs w:val="21"/>
              </w:rPr>
            </w:pPr>
            <w:r>
              <w:rPr>
                <w:rFonts w:hint="eastAsia" w:ascii="宋体" w:hAnsi="宋体" w:cs="宋体"/>
                <w:color w:val="auto"/>
                <w:szCs w:val="21"/>
              </w:rPr>
              <w:t>管</w:t>
            </w:r>
          </w:p>
          <w:p>
            <w:pPr>
              <w:adjustRightInd/>
              <w:jc w:val="center"/>
              <w:rPr>
                <w:rFonts w:hint="eastAsia" w:ascii="宋体" w:hAnsi="宋体" w:cs="宋体"/>
                <w:color w:val="auto"/>
                <w:szCs w:val="21"/>
              </w:rPr>
            </w:pPr>
            <w:r>
              <w:rPr>
                <w:rFonts w:hint="eastAsia" w:ascii="宋体" w:hAnsi="宋体" w:cs="宋体"/>
                <w:color w:val="auto"/>
                <w:szCs w:val="21"/>
              </w:rPr>
              <w:t>理</w:t>
            </w:r>
          </w:p>
          <w:p>
            <w:pPr>
              <w:adjustRightInd/>
              <w:jc w:val="center"/>
              <w:rPr>
                <w:rFonts w:hint="eastAsia" w:ascii="宋体" w:hAnsi="宋体" w:cs="宋体"/>
                <w:color w:val="auto"/>
                <w:szCs w:val="21"/>
              </w:rPr>
            </w:pPr>
            <w:r>
              <w:rPr>
                <w:rFonts w:hint="eastAsia" w:ascii="宋体" w:hAnsi="宋体" w:cs="宋体"/>
                <w:color w:val="auto"/>
                <w:szCs w:val="21"/>
              </w:rPr>
              <w:t>指</w:t>
            </w:r>
          </w:p>
          <w:p>
            <w:pPr>
              <w:adjustRightInd/>
              <w:jc w:val="center"/>
              <w:rPr>
                <w:rFonts w:ascii="宋体" w:hAnsi="宋体" w:cs="宋体"/>
                <w:color w:val="auto"/>
                <w:szCs w:val="21"/>
              </w:rPr>
            </w:pPr>
            <w:r>
              <w:rPr>
                <w:rFonts w:hint="eastAsia" w:ascii="宋体" w:hAnsi="宋体" w:cs="宋体"/>
                <w:color w:val="auto"/>
                <w:szCs w:val="21"/>
              </w:rPr>
              <w:t>标</w:t>
            </w:r>
          </w:p>
          <w:p>
            <w:pPr>
              <w:adjustRightInd/>
              <w:ind w:firstLine="420" w:firstLineChars="200"/>
              <w:rPr>
                <w:rFonts w:hint="eastAsia" w:ascii="宋体" w:hAnsi="宋体" w:eastAsia="宋体" w:cs="宋体"/>
                <w:color w:val="auto"/>
                <w:kern w:val="2"/>
                <w:sz w:val="21"/>
                <w:szCs w:val="21"/>
                <w:lang w:val="en-US" w:eastAsia="zh-CN" w:bidi="ar-SA"/>
              </w:rPr>
            </w:pPr>
          </w:p>
        </w:tc>
        <w:tc>
          <w:tcPr>
            <w:tcW w:w="8085" w:type="dxa"/>
            <w:tcBorders>
              <w:top w:val="single" w:color="auto" w:sz="4" w:space="0"/>
              <w:left w:val="nil"/>
              <w:bottom w:val="single" w:color="auto" w:sz="4" w:space="0"/>
              <w:right w:val="single" w:color="auto" w:sz="4" w:space="0"/>
            </w:tcBorders>
            <w:vAlign w:val="center"/>
          </w:tcPr>
          <w:p>
            <w:pPr>
              <w:adjustRightInd/>
              <w:ind w:firstLine="422" w:firstLineChars="200"/>
              <w:rPr>
                <w:rFonts w:ascii="宋体" w:hAnsi="宋体" w:cs="宋体"/>
                <w:b/>
                <w:bCs/>
                <w:color w:val="auto"/>
                <w:szCs w:val="21"/>
              </w:rPr>
            </w:pPr>
            <w:r>
              <w:rPr>
                <w:rFonts w:hint="eastAsia" w:ascii="宋体" w:hAnsi="宋体" w:cs="宋体"/>
                <w:b/>
                <w:bCs/>
                <w:color w:val="auto"/>
                <w:szCs w:val="21"/>
              </w:rPr>
              <w:t>绿化服务内容及要求：</w:t>
            </w:r>
          </w:p>
          <w:p>
            <w:pPr>
              <w:adjustRightInd/>
              <w:ind w:firstLine="420" w:firstLineChars="200"/>
              <w:rPr>
                <w:rFonts w:ascii="宋体" w:hAnsi="宋体" w:cs="宋体"/>
                <w:color w:val="auto"/>
                <w:szCs w:val="21"/>
              </w:rPr>
            </w:pPr>
            <w:r>
              <w:rPr>
                <w:rFonts w:hint="eastAsia" w:ascii="宋体" w:hAnsi="宋体" w:cs="宋体"/>
                <w:color w:val="auto"/>
                <w:szCs w:val="21"/>
              </w:rPr>
              <w:t>1、服务内容：本物业大楼使用范围内的绿化带的树木、花草、色块等的日常养护和管理。根据大楼实际及现摆放情况提出更好的设计方案，做好室内绿化摆放和会议摆花等工作。落实责任人进行养护，实行巡查制度，建档记录。</w:t>
            </w:r>
          </w:p>
          <w:p>
            <w:pPr>
              <w:adjustRightInd/>
              <w:ind w:firstLine="420" w:firstLineChars="200"/>
              <w:rPr>
                <w:rFonts w:ascii="宋体" w:hAnsi="宋体" w:cs="宋体"/>
                <w:color w:val="auto"/>
                <w:szCs w:val="21"/>
              </w:rPr>
            </w:pPr>
            <w:r>
              <w:rPr>
                <w:rFonts w:hint="eastAsia" w:ascii="宋体" w:hAnsi="宋体" w:cs="宋体"/>
                <w:color w:val="auto"/>
                <w:szCs w:val="21"/>
              </w:rPr>
              <w:t>2、服务质量标准:建立定期除草、修剪制度，确保绿化无杂草、造型规整；及时喷洒农药、浇水施肥，确保绿化养护期内100%存活。具体要求如下：</w:t>
            </w:r>
          </w:p>
          <w:p>
            <w:pPr>
              <w:adjustRightInd/>
              <w:ind w:firstLine="420" w:firstLineChars="200"/>
              <w:rPr>
                <w:rFonts w:ascii="宋体" w:hAnsi="宋体" w:cs="宋体"/>
                <w:color w:val="auto"/>
                <w:szCs w:val="21"/>
              </w:rPr>
            </w:pPr>
            <w:r>
              <w:rPr>
                <w:rFonts w:hint="eastAsia" w:ascii="宋体" w:hAnsi="宋体" w:cs="宋体"/>
                <w:color w:val="auto"/>
                <w:szCs w:val="21"/>
              </w:rPr>
              <w:t>（1）花坛和花景。及时清除枯萎的花蒂、黄叶、杂草、垃圾，做好病虫害防治。花坛和花景做到造型新颖、色彩鲜艳、植物长势好。</w:t>
            </w:r>
          </w:p>
          <w:p>
            <w:pPr>
              <w:adjustRightInd/>
              <w:ind w:firstLine="420" w:firstLineChars="200"/>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2）室内花木。花箱由中标单位免费提供使用；办公室、会议室、大厅服务场所摆放盆花和绿色植物，按时更换，落实责任人进行养护。保持常年鲜艳，按采购单位要求及时更换，重大节假日摆放应体现节日气氛，美观大气。根据一年四季的变化更换花木，特殊情况按需更新。投标人提供花盆花架等辅助设备，辅助设备及植物摆放要求不低于原来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502" w:hRule="atLeast"/>
          <w:jc w:val="center"/>
        </w:trPr>
        <w:tc>
          <w:tcPr>
            <w:tcW w:w="105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 xml:space="preserve">空 </w:t>
            </w:r>
          </w:p>
          <w:p>
            <w:pPr>
              <w:ind w:firstLine="420" w:firstLineChars="200"/>
              <w:rPr>
                <w:rFonts w:ascii="宋体" w:hAnsi="宋体" w:cs="宋体"/>
                <w:color w:val="auto"/>
                <w:szCs w:val="21"/>
              </w:rPr>
            </w:pPr>
            <w:r>
              <w:rPr>
                <w:rFonts w:hint="eastAsia" w:ascii="宋体" w:hAnsi="宋体" w:cs="宋体"/>
                <w:color w:val="auto"/>
                <w:szCs w:val="21"/>
              </w:rPr>
              <w:t xml:space="preserve">调 </w:t>
            </w:r>
          </w:p>
          <w:p>
            <w:pPr>
              <w:ind w:firstLine="420" w:firstLineChars="200"/>
              <w:rPr>
                <w:rFonts w:ascii="宋体" w:hAnsi="宋体" w:cs="宋体"/>
                <w:color w:val="auto"/>
                <w:szCs w:val="21"/>
              </w:rPr>
            </w:pPr>
            <w:r>
              <w:rPr>
                <w:rFonts w:hint="eastAsia" w:ascii="宋体" w:hAnsi="宋体" w:cs="宋体"/>
                <w:color w:val="auto"/>
                <w:szCs w:val="21"/>
              </w:rPr>
              <w:t xml:space="preserve">维   </w:t>
            </w:r>
          </w:p>
          <w:p>
            <w:pPr>
              <w:ind w:firstLine="420" w:firstLineChars="200"/>
              <w:rPr>
                <w:rFonts w:ascii="宋体" w:hAnsi="宋体" w:cs="宋体"/>
                <w:color w:val="auto"/>
                <w:szCs w:val="21"/>
              </w:rPr>
            </w:pPr>
            <w:r>
              <w:rPr>
                <w:rFonts w:hint="eastAsia" w:ascii="宋体" w:hAnsi="宋体" w:cs="宋体"/>
                <w:color w:val="auto"/>
                <w:szCs w:val="21"/>
              </w:rPr>
              <w:t>护 </w:t>
            </w:r>
          </w:p>
        </w:tc>
        <w:tc>
          <w:tcPr>
            <w:tcW w:w="8085"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cs="宋体"/>
                <w:color w:val="auto"/>
                <w:szCs w:val="21"/>
              </w:rPr>
            </w:pPr>
            <w:r>
              <w:rPr>
                <w:rFonts w:hint="eastAsia" w:ascii="宋体" w:hAnsi="宋体" w:cs="宋体"/>
                <w:color w:val="auto"/>
                <w:szCs w:val="21"/>
              </w:rPr>
              <w:t>1、服务内容:所有空调的日常养护维修，所需费用全部包含在本次投标报价中。</w:t>
            </w:r>
          </w:p>
          <w:p>
            <w:pPr>
              <w:ind w:firstLine="420" w:firstLineChars="200"/>
              <w:rPr>
                <w:rFonts w:ascii="宋体" w:hAnsi="宋体" w:cs="宋体"/>
                <w:color w:val="auto"/>
                <w:szCs w:val="21"/>
              </w:rPr>
            </w:pPr>
            <w:r>
              <w:rPr>
                <w:rFonts w:hint="eastAsia" w:ascii="宋体" w:hAnsi="宋体" w:cs="宋体"/>
                <w:color w:val="auto"/>
                <w:szCs w:val="21"/>
              </w:rPr>
              <w:t>2、服务质量标准:</w:t>
            </w:r>
          </w:p>
          <w:p>
            <w:pPr>
              <w:ind w:firstLine="420" w:firstLineChars="200"/>
              <w:rPr>
                <w:rFonts w:ascii="宋体" w:hAnsi="宋体" w:cs="宋体"/>
                <w:color w:val="auto"/>
                <w:szCs w:val="21"/>
              </w:rPr>
            </w:pPr>
            <w:r>
              <w:rPr>
                <w:rFonts w:hint="eastAsia" w:ascii="宋体" w:hAnsi="宋体" w:cs="宋体"/>
                <w:color w:val="auto"/>
                <w:szCs w:val="21"/>
              </w:rPr>
              <w:t>(1) 每半年对内置滤网清洗一次。</w:t>
            </w:r>
          </w:p>
          <w:p>
            <w:pPr>
              <w:ind w:firstLine="420" w:firstLineChars="200"/>
              <w:rPr>
                <w:rFonts w:ascii="宋体" w:hAnsi="宋体" w:cs="宋体"/>
                <w:color w:val="auto"/>
                <w:szCs w:val="21"/>
              </w:rPr>
            </w:pPr>
            <w:r>
              <w:rPr>
                <w:rFonts w:hint="eastAsia" w:ascii="宋体" w:hAnsi="宋体" w:cs="宋体"/>
                <w:color w:val="auto"/>
                <w:szCs w:val="21"/>
              </w:rPr>
              <w:t>(2) 定期检查保养，及时排除故障，保证运行正常，无漏水现象；</w:t>
            </w:r>
          </w:p>
          <w:p>
            <w:pPr>
              <w:ind w:firstLine="420" w:firstLineChars="200"/>
              <w:rPr>
                <w:rFonts w:ascii="宋体" w:hAnsi="宋体" w:cs="宋体"/>
                <w:color w:val="auto"/>
                <w:szCs w:val="21"/>
              </w:rPr>
            </w:pPr>
            <w:r>
              <w:rPr>
                <w:rFonts w:hint="eastAsia" w:ascii="宋体" w:hAnsi="宋体" w:cs="宋体"/>
                <w:color w:val="auto"/>
                <w:szCs w:val="21"/>
              </w:rPr>
              <w:t>(3)通过有效的管理措施及技术措施，积极开展节能管理工作。</w:t>
            </w:r>
          </w:p>
          <w:p>
            <w:pPr>
              <w:ind w:firstLine="420" w:firstLineChars="200"/>
              <w:rPr>
                <w:rFonts w:ascii="宋体" w:hAnsi="宋体" w:cs="宋体"/>
                <w:color w:val="auto"/>
                <w:szCs w:val="21"/>
              </w:rPr>
            </w:pPr>
            <w:r>
              <w:rPr>
                <w:rFonts w:hint="eastAsia" w:ascii="宋体" w:hAnsi="宋体" w:cs="宋体"/>
                <w:color w:val="auto"/>
                <w:szCs w:val="21"/>
              </w:rPr>
              <w:t>空调系统出现故障后，由有相应资格的维修人员在30分钟内到达现场维修，小修及时处理，中修、大修及时联系厂家技术人员并协助维修；维修及时率100%；有故障应急处理方案。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88" w:hRule="atLeast"/>
          <w:jc w:val="center"/>
        </w:trPr>
        <w:tc>
          <w:tcPr>
            <w:tcW w:w="10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ascii="宋体" w:hAnsi="宋体" w:cs="宋体"/>
                <w:color w:val="auto"/>
                <w:szCs w:val="21"/>
              </w:rPr>
              <w:t>消防、弱电网络与监控设备维护</w:t>
            </w:r>
          </w:p>
        </w:tc>
        <w:tc>
          <w:tcPr>
            <w:tcW w:w="8085"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cs="宋体"/>
                <w:color w:val="auto"/>
                <w:szCs w:val="21"/>
              </w:rPr>
            </w:pPr>
            <w:r>
              <w:rPr>
                <w:rFonts w:hint="eastAsia" w:ascii="宋体" w:hAnsi="宋体" w:cs="宋体"/>
                <w:color w:val="auto"/>
                <w:szCs w:val="21"/>
              </w:rPr>
              <w:t>1、消防维保人员要求：经过相关消防知识培训，具有杭州市消防安全知识培训合格证或中华人民共和国自动消防系统操作资格证。</w:t>
            </w:r>
          </w:p>
          <w:p>
            <w:pPr>
              <w:ind w:firstLine="420" w:firstLineChars="200"/>
              <w:rPr>
                <w:rFonts w:ascii="宋体" w:hAnsi="宋体" w:cs="宋体"/>
                <w:color w:val="auto"/>
                <w:szCs w:val="21"/>
              </w:rPr>
            </w:pPr>
            <w:r>
              <w:rPr>
                <w:rFonts w:hint="eastAsia" w:ascii="宋体" w:hAnsi="宋体" w:cs="宋体"/>
                <w:color w:val="auto"/>
                <w:szCs w:val="21"/>
              </w:rPr>
              <w:t>2、由有相应资格的专业人员定期对消防、监控主机及各消防、弱电网络与监控点的设备进行维护保养，确保网络交换机、网络线路、电话通讯线路畅通，确保运行无故障；定期对室外的消防栓、消防水带、消防泵等设备进行检查，有无埋压或损坏等情况；定期对各楼层消防栓进行检查，设施是否齐全；定期对各楼层的感烟探测器、感温探测器、手动报警按钮、层显等设备进行检查，是否有遮挡或损坏等情况；定期对各楼层的灭火器进行检查更换，是否有压力不足或缺少等情况；定期对各楼层的排烟通风口、消防通道进行检查，是否有遮挡或堵塞，各楼层的疏散指示标志是否有损坏或缺少等情况；定期对各楼层应急电源的主、备电情况进行检查。</w:t>
            </w:r>
          </w:p>
          <w:p>
            <w:pPr>
              <w:ind w:firstLine="420" w:firstLineChars="200"/>
              <w:rPr>
                <w:rFonts w:ascii="宋体" w:hAnsi="宋体" w:cs="宋体"/>
                <w:color w:val="auto"/>
                <w:szCs w:val="21"/>
              </w:rPr>
            </w:pPr>
            <w:r>
              <w:rPr>
                <w:rFonts w:hint="eastAsia" w:ascii="宋体" w:hAnsi="宋体" w:cs="宋体"/>
                <w:color w:val="auto"/>
                <w:szCs w:val="21"/>
              </w:rPr>
              <w:t>3、临时故障紧急修理，接通知后30分钟内到现场检修。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846" w:hRule="atLeast"/>
          <w:jc w:val="center"/>
        </w:trPr>
        <w:tc>
          <w:tcPr>
            <w:tcW w:w="1050"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auto"/>
                <w:szCs w:val="21"/>
                <w:lang w:val="en-US" w:eastAsia="zh-CN"/>
              </w:rPr>
            </w:pPr>
            <w:r>
              <w:rPr>
                <w:rFonts w:hint="eastAsia" w:ascii="宋体" w:hAnsi="宋体" w:cs="宋体"/>
                <w:color w:val="auto"/>
                <w:szCs w:val="21"/>
              </w:rPr>
              <w:t>直饮水设备维护</w:t>
            </w:r>
            <w:r>
              <w:rPr>
                <w:rFonts w:hint="eastAsia" w:ascii="宋体" w:hAnsi="宋体" w:cs="宋体"/>
                <w:color w:val="auto"/>
                <w:szCs w:val="21"/>
                <w:lang w:eastAsia="zh-CN"/>
              </w:rPr>
              <w:t>（</w:t>
            </w:r>
            <w:r>
              <w:rPr>
                <w:rFonts w:hint="eastAsia" w:ascii="宋体" w:hAnsi="宋体" w:cs="宋体"/>
                <w:color w:val="auto"/>
                <w:szCs w:val="21"/>
                <w:lang w:val="en-US" w:eastAsia="zh-CN"/>
              </w:rPr>
              <w:t>如有）</w:t>
            </w:r>
          </w:p>
        </w:tc>
        <w:tc>
          <w:tcPr>
            <w:tcW w:w="8085"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cs="宋体"/>
                <w:color w:val="auto"/>
                <w:szCs w:val="21"/>
              </w:rPr>
            </w:pPr>
            <w:r>
              <w:rPr>
                <w:rFonts w:hint="eastAsia" w:ascii="宋体" w:hAnsi="宋体" w:cs="宋体"/>
                <w:color w:val="auto"/>
                <w:szCs w:val="21"/>
              </w:rPr>
              <w:t>1.服务内容：全责保养维护</w:t>
            </w:r>
          </w:p>
          <w:p>
            <w:pPr>
              <w:ind w:firstLine="420" w:firstLineChars="200"/>
              <w:rPr>
                <w:rFonts w:ascii="宋体" w:hAnsi="宋体" w:cs="宋体"/>
                <w:color w:val="auto"/>
                <w:szCs w:val="21"/>
              </w:rPr>
            </w:pPr>
            <w:r>
              <w:rPr>
                <w:rFonts w:hint="eastAsia" w:ascii="宋体" w:hAnsi="宋体" w:cs="宋体"/>
                <w:color w:val="auto"/>
                <w:szCs w:val="21"/>
              </w:rPr>
              <w:t>2.服务质量标准：</w:t>
            </w:r>
          </w:p>
          <w:p>
            <w:pPr>
              <w:ind w:firstLine="420" w:firstLineChars="200"/>
              <w:rPr>
                <w:rFonts w:ascii="宋体" w:hAnsi="宋体" w:cs="宋体"/>
                <w:color w:val="auto"/>
                <w:szCs w:val="21"/>
              </w:rPr>
            </w:pPr>
            <w:r>
              <w:rPr>
                <w:rFonts w:hint="eastAsia" w:ascii="宋体" w:hAnsi="宋体" w:cs="宋体"/>
                <w:color w:val="auto"/>
                <w:szCs w:val="21"/>
              </w:rPr>
              <w:t>(1)保证饮水设备的24小时正常运转使用。</w:t>
            </w:r>
          </w:p>
          <w:p>
            <w:pPr>
              <w:ind w:firstLine="420" w:firstLineChars="200"/>
              <w:rPr>
                <w:rFonts w:ascii="宋体" w:hAnsi="宋体" w:cs="宋体"/>
                <w:color w:val="auto"/>
                <w:szCs w:val="21"/>
              </w:rPr>
            </w:pPr>
            <w:r>
              <w:rPr>
                <w:rFonts w:hint="eastAsia" w:ascii="宋体" w:hAnsi="宋体" w:cs="宋体"/>
                <w:color w:val="auto"/>
                <w:szCs w:val="21"/>
              </w:rPr>
              <w:t>(2)按要求更换滤芯设备，每季不少于1次，定期巡检。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93" w:hRule="atLeast"/>
          <w:jc w:val="center"/>
        </w:trPr>
        <w:tc>
          <w:tcPr>
            <w:tcW w:w="1050" w:type="dxa"/>
            <w:gridSpan w:val="2"/>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宋体" w:hAnsi="宋体" w:cs="宋体"/>
                <w:color w:val="auto"/>
                <w:szCs w:val="21"/>
              </w:rPr>
            </w:pPr>
            <w:r>
              <w:rPr>
                <w:rFonts w:hint="eastAsia" w:ascii="宋体" w:hAnsi="宋体" w:cs="宋体"/>
                <w:color w:val="auto"/>
                <w:szCs w:val="21"/>
              </w:rPr>
              <w:t>培训会议服务</w:t>
            </w:r>
          </w:p>
        </w:tc>
        <w:tc>
          <w:tcPr>
            <w:tcW w:w="8085" w:type="dxa"/>
            <w:tcBorders>
              <w:top w:val="single" w:color="auto" w:sz="4" w:space="0"/>
              <w:left w:val="nil"/>
              <w:bottom w:val="single" w:color="auto" w:sz="4" w:space="0"/>
              <w:right w:val="single" w:color="auto" w:sz="4" w:space="0"/>
            </w:tcBorders>
            <w:vAlign w:val="top"/>
          </w:tcPr>
          <w:p>
            <w:pPr>
              <w:pStyle w:val="57"/>
              <w:keepLines/>
              <w:spacing w:before="0" w:beforeAutospacing="0" w:after="0" w:afterAutospacing="0" w:line="360" w:lineRule="exact"/>
              <w:jc w:val="both"/>
              <w:rPr>
                <w:b/>
                <w:color w:val="auto"/>
                <w:sz w:val="21"/>
                <w:szCs w:val="21"/>
              </w:rPr>
            </w:pPr>
            <w:r>
              <w:rPr>
                <w:rFonts w:hint="eastAsia"/>
                <w:b/>
                <w:color w:val="auto"/>
              </w:rPr>
              <w:t>1</w:t>
            </w:r>
            <w:r>
              <w:rPr>
                <w:rFonts w:hint="eastAsia"/>
                <w:b/>
                <w:color w:val="auto"/>
                <w:sz w:val="21"/>
                <w:szCs w:val="21"/>
              </w:rPr>
              <w:t>．会前接待</w:t>
            </w:r>
          </w:p>
          <w:p>
            <w:pPr>
              <w:keepLines/>
              <w:widowControl/>
              <w:shd w:val="clear" w:color="auto" w:fill="FFFFFF"/>
              <w:spacing w:line="360" w:lineRule="exact"/>
              <w:ind w:firstLine="420" w:firstLineChars="200"/>
              <w:rPr>
                <w:rFonts w:ascii="宋体" w:hAnsi="宋体"/>
                <w:color w:val="auto"/>
                <w:szCs w:val="21"/>
              </w:rPr>
            </w:pPr>
            <w:r>
              <w:rPr>
                <w:rFonts w:hint="eastAsia" w:ascii="宋体" w:hAnsi="宋体"/>
                <w:color w:val="auto"/>
                <w:szCs w:val="21"/>
              </w:rPr>
              <w:t>接到会议通知单后了解会议种类、名称、总人数、接待标准、日期，所需会议服务要求、有无特殊需要等。并要详细登记会议联系人的电话、姓名等相关事宜。根据会议规模和要求进一步确认对会议设施和会议服务的具体要求。</w:t>
            </w:r>
          </w:p>
          <w:p>
            <w:pPr>
              <w:keepLines/>
              <w:widowControl/>
              <w:shd w:val="clear" w:color="auto" w:fill="FFFFFF"/>
              <w:spacing w:line="360" w:lineRule="exact"/>
              <w:rPr>
                <w:b/>
                <w:color w:val="auto"/>
                <w:szCs w:val="21"/>
              </w:rPr>
            </w:pPr>
            <w:r>
              <w:rPr>
                <w:rFonts w:hint="eastAsia"/>
                <w:b/>
                <w:color w:val="auto"/>
                <w:szCs w:val="21"/>
              </w:rPr>
              <w:t>2．接待准备</w:t>
            </w:r>
          </w:p>
          <w:p>
            <w:pPr>
              <w:keepLines/>
              <w:widowControl/>
              <w:shd w:val="clear" w:color="auto" w:fill="FFFFFF"/>
              <w:spacing w:line="360" w:lineRule="exact"/>
              <w:ind w:firstLine="420" w:firstLineChars="200"/>
              <w:rPr>
                <w:rFonts w:ascii="宋体" w:hAnsi="宋体"/>
                <w:color w:val="auto"/>
                <w:szCs w:val="21"/>
              </w:rPr>
            </w:pPr>
            <w:r>
              <w:rPr>
                <w:rFonts w:hint="eastAsia"/>
                <w:color w:val="auto"/>
                <w:szCs w:val="21"/>
              </w:rPr>
              <w:t>落实各会议培训班服务人员，</w:t>
            </w:r>
            <w:r>
              <w:rPr>
                <w:rFonts w:hint="eastAsia" w:ascii="宋体" w:hAnsi="宋体"/>
                <w:color w:val="auto"/>
                <w:szCs w:val="21"/>
              </w:rPr>
              <w:t>保证与会议进程同步的适时服务。做好各种相关设备、设施的检查，并根据会议特殊需要进行调整。要做好培训会议所需的文书材料、文具用品和茶饮物品。</w:t>
            </w:r>
          </w:p>
          <w:p>
            <w:pPr>
              <w:keepLines/>
              <w:widowControl/>
              <w:shd w:val="clear" w:color="auto" w:fill="FFFFFF"/>
              <w:spacing w:line="360" w:lineRule="exact"/>
              <w:rPr>
                <w:rFonts w:ascii="宋体" w:hAnsi="宋体"/>
                <w:b/>
                <w:color w:val="auto"/>
                <w:szCs w:val="21"/>
              </w:rPr>
            </w:pPr>
            <w:r>
              <w:rPr>
                <w:rFonts w:hint="eastAsia" w:ascii="宋体" w:hAnsi="宋体"/>
                <w:b/>
                <w:color w:val="auto"/>
                <w:szCs w:val="21"/>
              </w:rPr>
              <w:t>3.会议服务过程服务</w:t>
            </w:r>
          </w:p>
          <w:p>
            <w:pPr>
              <w:keepLines/>
              <w:widowControl/>
              <w:shd w:val="clear" w:color="auto" w:fill="FFFFFF"/>
              <w:spacing w:line="360" w:lineRule="exact"/>
              <w:ind w:firstLine="420" w:firstLineChars="200"/>
              <w:rPr>
                <w:rFonts w:ascii="宋体" w:hAnsi="宋体"/>
                <w:color w:val="auto"/>
                <w:szCs w:val="21"/>
              </w:rPr>
            </w:pPr>
            <w:r>
              <w:rPr>
                <w:rFonts w:hint="eastAsia" w:ascii="宋体" w:hAnsi="宋体"/>
                <w:color w:val="auto"/>
                <w:szCs w:val="21"/>
              </w:rPr>
              <w:t>向每位参加会议人员提供茶水服务，茶泡好后，要为客人斟茶。一手端壶把，一手拿壶盖，茶水倒入茶杯4/5量为好。斟茶时，要注意茶杯把偏右，壶嘴朝外，不要对着客人，礼貌地请人用茶。会议进行中每20分钟进会场斟倒一次，根据会议需要选择，站立服务（会场内、会场外）</w:t>
            </w:r>
          </w:p>
          <w:p>
            <w:pPr>
              <w:keepLines/>
              <w:widowControl/>
              <w:shd w:val="clear" w:color="auto" w:fill="FFFFFF"/>
              <w:spacing w:line="360" w:lineRule="exact"/>
              <w:ind w:left="626" w:hanging="626" w:hangingChars="297"/>
              <w:rPr>
                <w:rFonts w:ascii="宋体" w:hAnsi="宋体"/>
                <w:color w:val="auto"/>
                <w:szCs w:val="21"/>
              </w:rPr>
            </w:pPr>
            <w:r>
              <w:rPr>
                <w:rFonts w:hint="eastAsia" w:ascii="宋体" w:hAnsi="宋体"/>
                <w:b/>
                <w:color w:val="auto"/>
                <w:szCs w:val="21"/>
              </w:rPr>
              <w:t>4.会议结束</w:t>
            </w:r>
          </w:p>
          <w:p>
            <w:pPr>
              <w:keepLines/>
              <w:widowControl/>
              <w:shd w:val="clear" w:color="auto" w:fill="FFFFFF"/>
              <w:spacing w:line="360" w:lineRule="exact"/>
              <w:ind w:firstLine="420" w:firstLineChars="200"/>
              <w:rPr>
                <w:rFonts w:ascii="宋体" w:hAnsi="宋体" w:cs="宋体"/>
                <w:color w:val="auto"/>
                <w:szCs w:val="21"/>
              </w:rPr>
            </w:pPr>
            <w:r>
              <w:rPr>
                <w:rFonts w:hint="eastAsia" w:ascii="宋体" w:hAnsi="宋体"/>
                <w:color w:val="auto"/>
                <w:szCs w:val="21"/>
              </w:rPr>
              <w:t>会议人员全部离开会场后，服务员要检查会场有无客人遗忘的物品。清理会场要不留死角，特别留意有无未熄灭的烟头，避免留下事故隐患。清扫卫生，桌椅归位，位撤下会议所用之物，关闭电源、关好门窗，再巡视一遍，确认无误后撤出锁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hint="eastAsia" w:ascii="宋体" w:hAnsi="宋体" w:cs="宋体"/>
                <w:color w:val="auto"/>
                <w:szCs w:val="21"/>
              </w:rPr>
            </w:pPr>
            <w:r>
              <w:rPr>
                <w:rFonts w:hint="eastAsia" w:ascii="宋体" w:hAnsi="宋体" w:cs="宋体"/>
                <w:color w:val="auto"/>
                <w:szCs w:val="21"/>
              </w:rPr>
              <w:t>其他管理</w:t>
            </w:r>
          </w:p>
        </w:tc>
        <w:tc>
          <w:tcPr>
            <w:tcW w:w="8097" w:type="dxa"/>
            <w:gridSpan w:val="2"/>
            <w:tcBorders>
              <w:top w:val="single" w:color="auto" w:sz="4" w:space="0"/>
              <w:left w:val="single" w:color="auto" w:sz="4" w:space="0"/>
              <w:bottom w:val="single" w:color="auto" w:sz="4" w:space="0"/>
              <w:right w:val="single" w:color="auto" w:sz="4" w:space="0"/>
            </w:tcBorders>
            <w:vAlign w:val="top"/>
          </w:tcPr>
          <w:p>
            <w:pPr>
              <w:keepLines/>
              <w:tabs>
                <w:tab w:val="left" w:pos="5565"/>
              </w:tabs>
              <w:spacing w:line="360" w:lineRule="exact"/>
              <w:rPr>
                <w:rFonts w:ascii="宋体" w:hAnsi="宋体"/>
                <w:color w:val="auto"/>
                <w:szCs w:val="21"/>
              </w:rPr>
            </w:pPr>
            <w:r>
              <w:rPr>
                <w:rFonts w:hint="eastAsia" w:ascii="宋体" w:hAnsi="宋体" w:cs="Arial"/>
                <w:color w:val="auto"/>
                <w:szCs w:val="21"/>
              </w:rPr>
              <w:t>根据采购单位需要提供综合会议、活动服务等各类活动的劳动服务，制定完备的会务服务工作流程、细则及服务工作计划并严格执行以及配合采购单位完成设施设备运行及维护、综合维修及巡查等相关工作，并做好记录和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hint="eastAsia" w:ascii="宋体" w:hAnsi="宋体" w:cs="宋体"/>
                <w:color w:val="auto"/>
                <w:szCs w:val="21"/>
              </w:rPr>
            </w:pPr>
            <w:r>
              <w:rPr>
                <w:rFonts w:hint="eastAsia" w:ascii="宋体" w:hAnsi="宋体" w:cs="宋体"/>
                <w:color w:val="auto"/>
                <w:szCs w:val="21"/>
              </w:rPr>
              <w:t>执行标准</w:t>
            </w:r>
          </w:p>
        </w:tc>
        <w:tc>
          <w:tcPr>
            <w:tcW w:w="8097" w:type="dxa"/>
            <w:gridSpan w:val="2"/>
            <w:tcBorders>
              <w:top w:val="single" w:color="auto" w:sz="4" w:space="0"/>
              <w:left w:val="single" w:color="auto" w:sz="4" w:space="0"/>
              <w:bottom w:val="single" w:color="auto" w:sz="4" w:space="0"/>
              <w:right w:val="single" w:color="auto" w:sz="4" w:space="0"/>
            </w:tcBorders>
            <w:vAlign w:val="top"/>
          </w:tcPr>
          <w:p>
            <w:pPr>
              <w:keepLines/>
              <w:tabs>
                <w:tab w:val="left" w:pos="5565"/>
              </w:tabs>
              <w:spacing w:line="360" w:lineRule="exact"/>
              <w:rPr>
                <w:rFonts w:ascii="宋体" w:hAnsi="宋体" w:cs="Arial"/>
                <w:color w:val="auto"/>
                <w:szCs w:val="21"/>
              </w:rPr>
            </w:pPr>
            <w:r>
              <w:rPr>
                <w:rFonts w:hint="eastAsia" w:ascii="宋体" w:hAnsi="宋体" w:cs="Arial"/>
                <w:color w:val="auto"/>
                <w:szCs w:val="21"/>
              </w:rPr>
              <w:t>1．通过努力达到“三优一保证”（优美环境、优质服务、优化功能、保证安全）；</w:t>
            </w:r>
          </w:p>
          <w:p>
            <w:pPr>
              <w:keepLines/>
              <w:tabs>
                <w:tab w:val="left" w:pos="5565"/>
              </w:tabs>
              <w:spacing w:line="360" w:lineRule="exact"/>
              <w:rPr>
                <w:rFonts w:ascii="宋体" w:hAnsi="宋体" w:cs="Arial"/>
                <w:color w:val="auto"/>
                <w:szCs w:val="21"/>
              </w:rPr>
            </w:pPr>
            <w:r>
              <w:rPr>
                <w:rFonts w:hint="eastAsia" w:ascii="宋体" w:hAnsi="宋体" w:cs="Arial"/>
                <w:color w:val="auto"/>
                <w:szCs w:val="21"/>
              </w:rPr>
              <w:t>2．环境卫生、清洁率达99%；零修、报修及时率100%，返修率小于1%；</w:t>
            </w:r>
          </w:p>
          <w:p>
            <w:pPr>
              <w:keepLines/>
              <w:tabs>
                <w:tab w:val="left" w:pos="5565"/>
              </w:tabs>
              <w:spacing w:line="360" w:lineRule="exact"/>
              <w:rPr>
                <w:rFonts w:ascii="宋体" w:hAnsi="宋体"/>
                <w:color w:val="auto"/>
                <w:szCs w:val="21"/>
              </w:rPr>
            </w:pPr>
            <w:r>
              <w:rPr>
                <w:rFonts w:hint="eastAsia" w:ascii="宋体" w:hAnsi="宋体" w:cs="Arial"/>
                <w:color w:val="auto"/>
                <w:szCs w:val="21"/>
              </w:rPr>
              <w:t>3．服务有效投诉少于1%，处理率100%；业主满意率95%以上。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ascii="宋体" w:hAnsi="宋体" w:cs="宋体"/>
                <w:color w:val="auto"/>
                <w:szCs w:val="21"/>
              </w:rPr>
              <w:t>说明</w:t>
            </w:r>
          </w:p>
        </w:tc>
        <w:tc>
          <w:tcPr>
            <w:tcW w:w="809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ascii="宋体" w:hAnsi="宋体" w:cs="宋体"/>
                <w:color w:val="auto"/>
                <w:szCs w:val="21"/>
              </w:rPr>
              <w:t>质保期内相关设备的日常管理和保养、检修联系均由物业公司负责。</w:t>
            </w:r>
          </w:p>
        </w:tc>
      </w:tr>
    </w:tbl>
    <w:p>
      <w:pPr>
        <w:spacing w:line="360" w:lineRule="auto"/>
        <w:rPr>
          <w:rFonts w:ascii="宋体" w:hAnsi="宋体" w:cs="宋体"/>
          <w:b/>
          <w:bCs/>
          <w:color w:val="auto"/>
          <w:sz w:val="24"/>
        </w:rPr>
      </w:pPr>
      <w:r>
        <w:rPr>
          <w:rFonts w:hint="eastAsia" w:ascii="宋体" w:hAnsi="宋体" w:cs="宋体"/>
          <w:b/>
          <w:bCs/>
          <w:color w:val="auto"/>
          <w:sz w:val="24"/>
        </w:rPr>
        <w:t>三、管理服务费用及财务管理要求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1、服务费用以签订的合同价为准</w:t>
      </w:r>
      <w:r>
        <w:rPr>
          <w:rFonts w:hint="eastAsia" w:ascii="宋体" w:hAnsi="宋体" w:cs="宋体"/>
          <w:b/>
          <w:bCs/>
          <w:color w:val="auto"/>
          <w:sz w:val="24"/>
        </w:rPr>
        <w:t>（合同期内如遇工作人员的最低工资调整等其他因素，产生的费用由中标单位承担）。</w:t>
      </w:r>
    </w:p>
    <w:p>
      <w:pPr>
        <w:spacing w:line="360" w:lineRule="auto"/>
        <w:ind w:firstLine="480" w:firstLineChars="200"/>
        <w:rPr>
          <w:rFonts w:ascii="宋体" w:hAnsi="宋体" w:cs="宋体"/>
          <w:color w:val="auto"/>
          <w:sz w:val="24"/>
        </w:rPr>
      </w:pPr>
      <w:r>
        <w:rPr>
          <w:rFonts w:hint="eastAsia" w:ascii="宋体" w:hAnsi="宋体" w:cs="宋体"/>
          <w:color w:val="auto"/>
          <w:sz w:val="24"/>
        </w:rPr>
        <w:t>2、中标单位需承担相关所需安保用品、物业保洁和维护设备、工具及所有保洁消耗品。中标单位必须配置办公设备独立放置于采购单位提供的办公区域内，且不能与物管区域外单位、部门或团体共用，其办公用品所需耗材应由中标单位自行承担。</w:t>
      </w:r>
    </w:p>
    <w:p>
      <w:pPr>
        <w:pStyle w:val="965"/>
        <w:rPr>
          <w:color w:val="auto"/>
        </w:rPr>
      </w:pP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四、相关场地提供</w:t>
      </w:r>
    </w:p>
    <w:p>
      <w:pPr>
        <w:spacing w:line="360" w:lineRule="auto"/>
        <w:ind w:firstLine="480" w:firstLineChars="200"/>
        <w:rPr>
          <w:rFonts w:ascii="宋体" w:hAnsi="宋体" w:cs="宋体"/>
          <w:color w:val="auto"/>
          <w:sz w:val="24"/>
        </w:rPr>
      </w:pPr>
      <w:r>
        <w:rPr>
          <w:rFonts w:hint="eastAsia" w:ascii="宋体" w:hAnsi="宋体" w:cs="宋体"/>
          <w:color w:val="auto"/>
          <w:sz w:val="24"/>
        </w:rPr>
        <w:t>1、采购单位免费提供物业管理的办公场地 （办公室</w:t>
      </w:r>
      <w:r>
        <w:rPr>
          <w:rFonts w:hint="eastAsia" w:ascii="宋体" w:hAnsi="宋体" w:cs="宋体"/>
          <w:color w:val="auto"/>
          <w:sz w:val="24"/>
          <w:lang w:val="en-US" w:eastAsia="zh-CN"/>
        </w:rPr>
        <w:t>3</w:t>
      </w:r>
      <w:r>
        <w:rPr>
          <w:rFonts w:hint="eastAsia" w:ascii="宋体" w:hAnsi="宋体" w:cs="宋体"/>
          <w:color w:val="auto"/>
          <w:sz w:val="24"/>
        </w:rPr>
        <w:t>间），但办公用品及所需耗材由供应商自行解决。</w:t>
      </w:r>
    </w:p>
    <w:p>
      <w:pPr>
        <w:spacing w:line="360" w:lineRule="auto"/>
        <w:ind w:firstLine="480" w:firstLineChars="200"/>
        <w:rPr>
          <w:rFonts w:ascii="宋体" w:hAnsi="宋体" w:cs="宋体"/>
          <w:color w:val="auto"/>
          <w:sz w:val="24"/>
        </w:rPr>
      </w:pPr>
      <w:r>
        <w:rPr>
          <w:rFonts w:hint="eastAsia" w:ascii="宋体" w:hAnsi="宋体" w:cs="宋体"/>
          <w:color w:val="auto"/>
          <w:sz w:val="24"/>
        </w:rPr>
        <w:t>2、根据需要在适合的楼层配备洁具堆放间，其它房间（如工程管理需要的应急备件仓库、工程值班室、保洁仓库、员工的更衣室）进场后视情况协调解决。</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五、费用结算方式</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结算方式：</w:t>
      </w:r>
    </w:p>
    <w:p>
      <w:pPr>
        <w:spacing w:line="360" w:lineRule="auto"/>
        <w:ind w:firstLine="480" w:firstLineChars="200"/>
        <w:rPr>
          <w:rFonts w:hint="eastAsia" w:ascii="宋体" w:hAnsi="宋体" w:eastAsia="宋体" w:cs="宋体"/>
          <w:bCs/>
          <w:snapToGrid w:val="0"/>
          <w:color w:val="auto"/>
          <w:sz w:val="24"/>
          <w:highlight w:val="none"/>
          <w:lang w:eastAsia="zh-CN"/>
        </w:rPr>
      </w:pPr>
      <w:r>
        <w:rPr>
          <w:rFonts w:hint="eastAsia" w:ascii="宋体" w:hAnsi="宋体" w:cs="宋体"/>
          <w:color w:val="auto"/>
          <w:sz w:val="24"/>
          <w:lang w:val="en-US" w:eastAsia="zh-CN"/>
        </w:rPr>
        <w:t>（1）</w:t>
      </w:r>
      <w:r>
        <w:rPr>
          <w:rFonts w:hint="eastAsia" w:ascii="宋体" w:hAnsi="宋体" w:eastAsia="宋体" w:cs="宋体"/>
          <w:bCs/>
          <w:snapToGrid w:val="0"/>
          <w:color w:val="auto"/>
          <w:sz w:val="24"/>
          <w:highlight w:val="none"/>
        </w:rPr>
        <w:t>合同签订生效以及具备实施条件后</w:t>
      </w:r>
      <w:r>
        <w:rPr>
          <w:rFonts w:hint="eastAsia" w:ascii="宋体" w:hAnsi="宋体" w:cs="宋体"/>
          <w:bCs/>
          <w:snapToGrid w:val="0"/>
          <w:color w:val="auto"/>
          <w:sz w:val="24"/>
          <w:highlight w:val="none"/>
          <w:lang w:val="en-US" w:eastAsia="zh-CN"/>
        </w:rPr>
        <w:t>5</w:t>
      </w:r>
      <w:r>
        <w:rPr>
          <w:rFonts w:hint="eastAsia" w:ascii="宋体" w:hAnsi="宋体" w:eastAsia="宋体" w:cs="宋体"/>
          <w:bCs/>
          <w:snapToGrid w:val="0"/>
          <w:color w:val="auto"/>
          <w:sz w:val="24"/>
          <w:highlight w:val="none"/>
        </w:rPr>
        <w:t>个工作日内，采购单位向中标单位支付合同金额</w:t>
      </w:r>
      <w:r>
        <w:rPr>
          <w:rFonts w:hint="eastAsia" w:ascii="宋体" w:hAnsi="宋体" w:cs="宋体"/>
          <w:bCs/>
          <w:snapToGrid w:val="0"/>
          <w:color w:val="auto"/>
          <w:sz w:val="24"/>
          <w:highlight w:val="none"/>
          <w:lang w:val="en-US" w:eastAsia="zh-CN"/>
        </w:rPr>
        <w:t>5</w:t>
      </w:r>
      <w:r>
        <w:rPr>
          <w:rFonts w:hint="eastAsia" w:ascii="宋体" w:hAnsi="宋体" w:eastAsia="宋体" w:cs="宋体"/>
          <w:bCs/>
          <w:snapToGrid w:val="0"/>
          <w:color w:val="auto"/>
          <w:sz w:val="24"/>
          <w:highlight w:val="none"/>
        </w:rPr>
        <w:t>0％的预付款；采购单位凭发票、确认单以及合同上报区财政，区财政审批下拨款到位后，</w:t>
      </w:r>
      <w:r>
        <w:rPr>
          <w:rFonts w:hint="eastAsia" w:ascii="宋体" w:hAnsi="宋体" w:eastAsia="宋体" w:cs="宋体"/>
          <w:bCs/>
          <w:snapToGrid w:val="0"/>
          <w:color w:val="auto"/>
          <w:sz w:val="24"/>
          <w:highlight w:val="none"/>
          <w:lang w:val="en-US" w:eastAsia="zh-CN"/>
        </w:rPr>
        <w:t>按季支付</w:t>
      </w:r>
      <w:r>
        <w:rPr>
          <w:rFonts w:hint="eastAsia" w:ascii="宋体" w:hAnsi="宋体" w:eastAsia="宋体" w:cs="宋体"/>
          <w:bCs/>
          <w:snapToGrid w:val="0"/>
          <w:color w:val="auto"/>
          <w:sz w:val="24"/>
          <w:highlight w:val="none"/>
        </w:rPr>
        <w:t>支付剩余</w:t>
      </w:r>
      <w:r>
        <w:rPr>
          <w:rFonts w:hint="eastAsia" w:ascii="宋体" w:hAnsi="宋体" w:eastAsia="宋体" w:cs="宋体"/>
          <w:bCs/>
          <w:snapToGrid w:val="0"/>
          <w:color w:val="auto"/>
          <w:sz w:val="24"/>
          <w:highlight w:val="none"/>
          <w:lang w:val="en-US" w:eastAsia="zh-CN"/>
        </w:rPr>
        <w:t>应付款项</w:t>
      </w:r>
      <w:r>
        <w:rPr>
          <w:rFonts w:hint="eastAsia" w:ascii="宋体" w:hAnsi="宋体" w:eastAsia="宋体" w:cs="宋体"/>
          <w:bCs/>
          <w:snapToGrid w:val="0"/>
          <w:color w:val="auto"/>
          <w:sz w:val="24"/>
          <w:highlight w:val="none"/>
          <w:lang w:eastAsia="zh-CN"/>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2</w:t>
      </w:r>
      <w:r>
        <w:rPr>
          <w:rFonts w:hint="eastAsia" w:ascii="宋体" w:hAnsi="宋体" w:cs="宋体"/>
          <w:color w:val="auto"/>
          <w:sz w:val="24"/>
        </w:rPr>
        <w:t>）采购人按季付款，</w:t>
      </w:r>
      <w:r>
        <w:rPr>
          <w:rFonts w:hint="eastAsia" w:ascii="宋体" w:hAnsi="宋体" w:cs="宋体"/>
          <w:color w:val="auto"/>
          <w:sz w:val="24"/>
          <w:lang w:val="en-US" w:eastAsia="zh-CN"/>
        </w:rPr>
        <w:t>第二季度</w:t>
      </w:r>
      <w:r>
        <w:rPr>
          <w:rFonts w:hint="eastAsia" w:ascii="宋体" w:hAnsi="宋体" w:cs="宋体"/>
          <w:color w:val="auto"/>
          <w:sz w:val="24"/>
        </w:rPr>
        <w:t>按年合同价</w:t>
      </w:r>
      <w:r>
        <w:rPr>
          <w:rFonts w:hint="eastAsia" w:ascii="宋体" w:hAnsi="宋体" w:cs="宋体"/>
          <w:color w:val="auto"/>
          <w:sz w:val="24"/>
          <w:lang w:val="en-US" w:eastAsia="zh-CN"/>
        </w:rPr>
        <w:t>15%、第三季度按年合同价15%、第四季度按合同价20%的额度</w:t>
      </w:r>
      <w:r>
        <w:rPr>
          <w:rFonts w:hint="eastAsia" w:ascii="宋体" w:hAnsi="宋体" w:cs="宋体"/>
          <w:color w:val="auto"/>
          <w:sz w:val="24"/>
        </w:rPr>
        <w:t>在每季度末付款。</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）物业公司因工作失误或考核结果造成的扣款则在季付款的同时相应扣除。</w:t>
      </w:r>
    </w:p>
    <w:p>
      <w:pPr>
        <w:widowControl/>
        <w:autoSpaceDE w:val="0"/>
        <w:autoSpaceDN w:val="0"/>
        <w:adjustRightInd w:val="0"/>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lang w:val="en-US" w:eastAsia="zh-CN"/>
        </w:rPr>
        <w:t>六</w:t>
      </w:r>
      <w:r>
        <w:rPr>
          <w:rFonts w:hint="eastAsia" w:ascii="宋体" w:hAnsi="宋体" w:cs="宋体"/>
          <w:b/>
          <w:bCs/>
          <w:color w:val="auto"/>
          <w:sz w:val="24"/>
        </w:rPr>
        <w:t>、验收要求(考核办法)：</w:t>
      </w:r>
    </w:p>
    <w:p>
      <w:pPr>
        <w:widowControl/>
        <w:autoSpaceDE w:val="0"/>
        <w:autoSpaceDN w:val="0"/>
        <w:adjustRightIn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中标方应制订具体的质量保证措施及质量保证和相关服务承诺。中标方所有的工作除应按中标方的内部流程实施外，还应接受采购方或第三方的随时检查。如因质量未达到目标，采购方有权要求其整改，同时中标方应承担责任和经济赔偿(扣款或终止合同)。</w:t>
      </w:r>
    </w:p>
    <w:p>
      <w:pPr>
        <w:widowControl/>
        <w:autoSpaceDE w:val="0"/>
        <w:autoSpaceDN w:val="0"/>
        <w:adjustRightIn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rPr>
        <w:t>（</w:t>
      </w:r>
      <w:r>
        <w:rPr>
          <w:rFonts w:hint="eastAsia" w:ascii="宋体" w:hAnsi="宋体" w:cs="宋体"/>
          <w:color w:val="auto"/>
          <w:sz w:val="24"/>
          <w:lang w:val="en-US" w:eastAsia="zh-CN"/>
        </w:rPr>
        <w:t>2</w:t>
      </w:r>
      <w:r>
        <w:rPr>
          <w:rFonts w:hint="eastAsia" w:ascii="宋体" w:hAnsi="宋体" w:cs="宋体"/>
          <w:color w:val="auto"/>
          <w:sz w:val="24"/>
        </w:rPr>
        <w:t>）</w:t>
      </w:r>
      <w:r>
        <w:rPr>
          <w:rFonts w:hint="eastAsia" w:ascii="宋体" w:hAnsi="宋体" w:cs="宋体"/>
          <w:color w:val="auto"/>
          <w:sz w:val="24"/>
          <w:lang w:val="en-US" w:eastAsia="zh-CN"/>
        </w:rPr>
        <w:t>采购方定期和不定期地对中标方管理服务进行检查和抽查，检查记录和整改时限反馈中标方。并每季对服务内容的检查结果进行考核验收。</w:t>
      </w:r>
    </w:p>
    <w:p>
      <w:pPr>
        <w:widowControl/>
        <w:autoSpaceDE w:val="0"/>
        <w:autoSpaceDN w:val="0"/>
        <w:adjustRightInd w:val="0"/>
        <w:spacing w:line="360" w:lineRule="auto"/>
        <w:ind w:firstLine="482" w:firstLineChars="200"/>
        <w:rPr>
          <w:rFonts w:ascii="宋体" w:hAnsi="宋体"/>
          <w:b/>
          <w:color w:val="auto"/>
          <w:sz w:val="24"/>
        </w:rPr>
      </w:pPr>
      <w:r>
        <w:rPr>
          <w:rFonts w:hint="eastAsia" w:ascii="宋体" w:hAnsi="宋体" w:cs="Arial"/>
          <w:b/>
          <w:snapToGrid w:val="0"/>
          <w:color w:val="auto"/>
          <w:kern w:val="0"/>
          <w:sz w:val="24"/>
          <w:lang w:val="en-US" w:eastAsia="zh-CN"/>
        </w:rPr>
        <w:t>七</w:t>
      </w:r>
      <w:r>
        <w:rPr>
          <w:rFonts w:hint="eastAsia" w:ascii="宋体" w:hAnsi="宋体" w:cs="Arial"/>
          <w:b/>
          <w:snapToGrid w:val="0"/>
          <w:color w:val="auto"/>
          <w:kern w:val="0"/>
          <w:sz w:val="24"/>
        </w:rPr>
        <w:t>、</w:t>
      </w:r>
      <w:r>
        <w:rPr>
          <w:rFonts w:hint="eastAsia" w:ascii="宋体" w:hAnsi="宋体"/>
          <w:b/>
          <w:color w:val="auto"/>
          <w:sz w:val="24"/>
        </w:rPr>
        <w:t>其他</w:t>
      </w:r>
    </w:p>
    <w:p>
      <w:pPr>
        <w:pStyle w:val="19"/>
        <w:spacing w:line="360" w:lineRule="auto"/>
        <w:rPr>
          <w:b/>
          <w:bCs/>
          <w:color w:val="auto"/>
        </w:rPr>
      </w:pPr>
      <w:r>
        <w:rPr>
          <w:rFonts w:hint="eastAsia" w:ascii="宋体" w:hAnsi="宋体"/>
          <w:b/>
          <w:color w:val="auto"/>
          <w:sz w:val="44"/>
          <w:szCs w:val="44"/>
        </w:rPr>
        <w:t xml:space="preserve">  </w:t>
      </w:r>
      <w:r>
        <w:rPr>
          <w:rFonts w:hint="eastAsia" w:ascii="宋体" w:hAnsi="宋体" w:cs="Arial"/>
          <w:b/>
          <w:bCs/>
          <w:snapToGrid w:val="0"/>
          <w:color w:val="auto"/>
          <w:kern w:val="0"/>
          <w:sz w:val="24"/>
          <w:szCs w:val="24"/>
        </w:rPr>
        <w:t>带“</w:t>
      </w:r>
      <w:r>
        <w:rPr>
          <w:rFonts w:hint="eastAsia" w:ascii="宋体" w:hAnsi="宋体" w:cs="Arial"/>
          <w:b/>
          <w:bCs/>
          <w:snapToGrid w:val="0"/>
          <w:color w:val="auto"/>
          <w:kern w:val="0"/>
          <w:sz w:val="24"/>
          <w:szCs w:val="24"/>
          <w:lang w:eastAsia="zh-CN"/>
        </w:rPr>
        <w:t>▲</w:t>
      </w:r>
      <w:r>
        <w:rPr>
          <w:rFonts w:hint="eastAsia" w:ascii="宋体" w:hAnsi="宋体" w:cs="Arial"/>
          <w:b/>
          <w:bCs/>
          <w:snapToGrid w:val="0"/>
          <w:color w:val="auto"/>
          <w:kern w:val="0"/>
          <w:sz w:val="24"/>
          <w:szCs w:val="24"/>
        </w:rPr>
        <w:t>”条款为实质性条款，投标人须提供《符合性审查资料》，如有任意一条未响应或不满足，将被视为无效。</w:t>
      </w:r>
    </w:p>
    <w:p>
      <w:pPr>
        <w:spacing w:line="360" w:lineRule="auto"/>
        <w:ind w:firstLine="480" w:firstLineChars="200"/>
        <w:rPr>
          <w:rFonts w:ascii="宋体" w:hAnsi="宋体" w:cs="宋体"/>
          <w:color w:val="auto"/>
          <w:sz w:val="24"/>
        </w:rPr>
      </w:pPr>
      <w:r>
        <w:rPr>
          <w:rFonts w:hint="eastAsia" w:ascii="宋体" w:hAnsi="宋体" w:cs="宋体"/>
          <w:color w:val="auto"/>
          <w:sz w:val="24"/>
        </w:rPr>
        <w:t>（1）投标人应制订具体的质量保证措施及质量保证及相关服务的承诺。如因服务质量未达到目标，供应商应因此承担责任和经济赔偿。在维保范围项目，供应商无任何理由拒绝保养维修。</w:t>
      </w:r>
    </w:p>
    <w:p>
      <w:pPr>
        <w:spacing w:line="360" w:lineRule="auto"/>
        <w:ind w:firstLine="480" w:firstLineChars="200"/>
        <w:rPr>
          <w:rFonts w:ascii="宋体" w:hAnsi="宋体" w:cs="宋体"/>
          <w:color w:val="auto"/>
          <w:sz w:val="24"/>
        </w:rPr>
      </w:pPr>
      <w:r>
        <w:rPr>
          <w:rFonts w:hint="eastAsia" w:ascii="宋体" w:hAnsi="宋体" w:cs="宋体"/>
          <w:color w:val="auto"/>
          <w:sz w:val="24"/>
        </w:rPr>
        <w:t>（2）按要求和事项发生量及时配备足够和胜任的相关管理和服务人员，并保持人员的稳定。遇调动或辞职时，物业项目主管需提前20天、保安、保洁、会务需提前7天告知采购人并得到同意后才能更换，按要求及时补充相应人员，提前做好交接班。对采购人认为无能力、工作失职或不合适人员，应立即更换。岗位人数不足时，按相应岗位成本扣除服务费。</w:t>
      </w:r>
    </w:p>
    <w:p>
      <w:pPr>
        <w:spacing w:line="360" w:lineRule="auto"/>
        <w:ind w:firstLine="480" w:firstLineChars="200"/>
        <w:rPr>
          <w:rFonts w:ascii="宋体" w:hAnsi="宋体" w:cs="宋体"/>
          <w:color w:val="auto"/>
          <w:sz w:val="24"/>
        </w:rPr>
      </w:pPr>
      <w:r>
        <w:rPr>
          <w:rFonts w:hint="eastAsia" w:ascii="宋体" w:hAnsi="宋体" w:cs="宋体"/>
          <w:color w:val="auto"/>
          <w:sz w:val="24"/>
        </w:rPr>
        <w:t>（3）按国家和当地政府有关劳动法规、条例，向管理服务人员提供相应工种的劳动工资、加班工资、劳动保护等待遇。</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highlight w:val="none"/>
        </w:rPr>
        <w:t>（4）</w:t>
      </w:r>
      <w:r>
        <w:rPr>
          <w:rFonts w:hint="eastAsia" w:ascii="宋体" w:hAnsi="宋体" w:cs="宋体"/>
          <w:b/>
          <w:bCs/>
          <w:color w:val="auto"/>
          <w:sz w:val="24"/>
          <w:highlight w:val="none"/>
          <w:shd w:val="clear" w:color="auto" w:fill="auto"/>
          <w:lang w:eastAsia="zh-CN"/>
        </w:rPr>
        <w:t>相关岗位按要</w:t>
      </w:r>
      <w:r>
        <w:rPr>
          <w:rFonts w:hint="eastAsia" w:ascii="宋体" w:hAnsi="宋体" w:cs="宋体"/>
          <w:b/>
          <w:bCs/>
          <w:color w:val="auto"/>
          <w:sz w:val="24"/>
          <w:highlight w:val="none"/>
          <w:shd w:val="clear" w:color="auto" w:fill="auto"/>
        </w:rPr>
        <w:t>求持证上岗</w:t>
      </w:r>
      <w:r>
        <w:rPr>
          <w:rFonts w:hint="eastAsia" w:ascii="宋体" w:hAnsi="宋体" w:cs="宋体"/>
          <w:b/>
          <w:bCs/>
          <w:color w:val="auto"/>
          <w:sz w:val="24"/>
          <w:highlight w:val="none"/>
          <w:shd w:val="clear" w:color="auto" w:fill="auto"/>
          <w:lang w:eastAsia="zh-CN"/>
        </w:rPr>
        <w:t>；</w:t>
      </w:r>
      <w:r>
        <w:rPr>
          <w:rFonts w:hint="eastAsia" w:ascii="宋体" w:hAnsi="宋体" w:cs="宋体"/>
          <w:b/>
          <w:bCs/>
          <w:color w:val="auto"/>
          <w:sz w:val="24"/>
          <w:highlight w:val="none"/>
          <w:shd w:val="clear" w:color="auto" w:fill="auto"/>
        </w:rPr>
        <w:t>以上人员的工资不得低于杭州市政府公布的最低工资水平，并缴纳相关社会保险，提供福利待遇等方面的证明。</w:t>
      </w:r>
      <w:r>
        <w:rPr>
          <w:rFonts w:hint="eastAsia" w:ascii="宋体" w:hAnsi="宋体" w:cs="宋体"/>
          <w:b/>
          <w:bCs/>
          <w:color w:val="auto"/>
          <w:sz w:val="24"/>
          <w:highlight w:val="none"/>
        </w:rPr>
        <w:t xml:space="preserve"> </w:t>
      </w:r>
      <w:r>
        <w:rPr>
          <w:rFonts w:ascii="宋体" w:hAnsi="宋体" w:cs="宋体"/>
          <w:b/>
          <w:bCs/>
          <w:color w:val="auto"/>
          <w:sz w:val="24"/>
          <w:highlight w:val="none"/>
        </w:rPr>
        <w:t xml:space="preserve"> </w:t>
      </w:r>
      <w:r>
        <w:rPr>
          <w:rFonts w:ascii="宋体" w:hAnsi="宋体" w:cs="宋体"/>
          <w:b/>
          <w:bCs/>
          <w:color w:val="auto"/>
          <w:sz w:val="24"/>
        </w:rPr>
        <w:t xml:space="preserve"> </w:t>
      </w:r>
    </w:p>
    <w:p>
      <w:pPr>
        <w:spacing w:line="360" w:lineRule="auto"/>
        <w:ind w:firstLine="482" w:firstLineChars="200"/>
        <w:rPr>
          <w:rFonts w:ascii="宋体" w:hAnsi="宋体" w:cs="宋体"/>
          <w:b/>
          <w:bCs/>
          <w:color w:val="auto"/>
          <w:sz w:val="24"/>
        </w:rPr>
      </w:pPr>
      <w:r>
        <w:rPr>
          <w:rFonts w:hint="eastAsia" w:ascii="宋体" w:hAnsi="宋体" w:cs="Arial"/>
          <w:b/>
          <w:bCs/>
          <w:color w:val="auto"/>
          <w:kern w:val="0"/>
          <w:sz w:val="24"/>
        </w:rPr>
        <w:t>合同签订后，进场服务的项目组主要成员须与投标文件一致，如有出入自动解除合同。</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）服务人员上岗时须统一着装，服装样式体现岗位特色和方便不同岗位操作，并经采购人认可。</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）为提高物业管理服务水平，所有管理服务人员在服务期间按岗位要求进行定期短期培训。</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）中标单位应承诺在合同期内，承包区域内提供物业安保、保洁、会议服务、水电与设备维护及其他相关服务，并承担由此带来的一切风险。</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8</w:t>
      </w:r>
      <w:r>
        <w:rPr>
          <w:rFonts w:hint="eastAsia" w:ascii="宋体" w:hAnsi="宋体" w:cs="宋体"/>
          <w:color w:val="auto"/>
          <w:sz w:val="24"/>
        </w:rPr>
        <w:t>）所有的工作除应按中标单位的内部流程实施外还应接受采购单位或第三方的检查。中标单位达不到采购单位要求及各项服务承诺，采购单位有权要求其整改，直至扣款或终止合同。</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9</w:t>
      </w:r>
      <w:r>
        <w:rPr>
          <w:rFonts w:hint="eastAsia" w:ascii="宋体" w:hAnsi="宋体" w:cs="宋体"/>
          <w:color w:val="auto"/>
          <w:sz w:val="24"/>
        </w:rPr>
        <w:t>）如今后物业服务范围增加，采购单位将按成交单价根据有关规定另行签订补充协议。</w:t>
      </w:r>
    </w:p>
    <w:p>
      <w:pPr>
        <w:snapToGrid w:val="0"/>
        <w:spacing w:line="400" w:lineRule="atLeast"/>
        <w:ind w:firstLine="480" w:firstLineChars="200"/>
        <w:rPr>
          <w:rFonts w:hint="eastAsia"/>
          <w:b/>
          <w:bCs/>
          <w:color w:val="auto"/>
          <w:sz w:val="24"/>
        </w:rPr>
      </w:pPr>
      <w:r>
        <w:rPr>
          <w:rFonts w:hint="eastAsia" w:ascii="宋体" w:hAnsi="宋体" w:cs="宋体"/>
          <w:color w:val="auto"/>
          <w:sz w:val="24"/>
        </w:rPr>
        <w:t>（1</w:t>
      </w:r>
      <w:r>
        <w:rPr>
          <w:rFonts w:hint="eastAsia" w:ascii="宋体" w:hAnsi="宋体" w:cs="宋体"/>
          <w:color w:val="auto"/>
          <w:sz w:val="24"/>
          <w:lang w:val="en-US" w:eastAsia="zh-CN"/>
        </w:rPr>
        <w:t>0</w:t>
      </w:r>
      <w:r>
        <w:rPr>
          <w:rFonts w:hint="eastAsia" w:ascii="宋体" w:hAnsi="宋体" w:cs="宋体"/>
          <w:color w:val="auto"/>
          <w:sz w:val="24"/>
        </w:rPr>
        <w:t>）中标单位须按省、市、</w:t>
      </w:r>
      <w:r>
        <w:rPr>
          <w:rFonts w:hint="eastAsia" w:ascii="宋体" w:hAnsi="宋体" w:cs="宋体"/>
          <w:color w:val="auto"/>
          <w:sz w:val="24"/>
          <w:lang w:eastAsia="zh-CN"/>
        </w:rPr>
        <w:t>临平</w:t>
      </w:r>
      <w:r>
        <w:rPr>
          <w:rFonts w:hint="eastAsia" w:ascii="宋体" w:hAnsi="宋体" w:cs="宋体"/>
          <w:color w:val="auto"/>
          <w:sz w:val="24"/>
        </w:rPr>
        <w:t>区相关物业管理条例及其他国家有关标准和规范完成采购文件要求的物业管理工作。</w:t>
      </w:r>
      <w:r>
        <w:rPr>
          <w:rFonts w:hint="eastAsia"/>
          <w:b/>
          <w:bCs/>
          <w:color w:val="auto"/>
          <w:sz w:val="24"/>
        </w:rPr>
        <w:t xml:space="preserve"> </w:t>
      </w:r>
    </w:p>
    <w:p>
      <w:pPr>
        <w:spacing w:line="360" w:lineRule="auto"/>
        <w:jc w:val="center"/>
        <w:outlineLvl w:val="0"/>
        <w:rPr>
          <w:rFonts w:ascii="宋体" w:hAnsi="宋体" w:cs="宋体"/>
          <w:b/>
          <w:color w:val="auto"/>
          <w:sz w:val="36"/>
          <w:szCs w:val="36"/>
        </w:rPr>
      </w:pPr>
      <w:r>
        <w:rPr>
          <w:rFonts w:hint="eastAsia" w:ascii="宋体" w:hAnsi="宋体" w:cs="宋体"/>
          <w:b/>
          <w:color w:val="auto"/>
          <w:sz w:val="24"/>
        </w:rPr>
        <w:br w:type="page"/>
      </w:r>
      <w:r>
        <w:rPr>
          <w:rFonts w:hint="eastAsia" w:ascii="宋体" w:hAnsi="宋体" w:cs="宋体"/>
          <w:b/>
          <w:color w:val="auto"/>
          <w:sz w:val="36"/>
          <w:szCs w:val="36"/>
        </w:rPr>
        <w:t xml:space="preserve">第四部分   </w:t>
      </w:r>
      <w:bookmarkStart w:id="28" w:name="_Toc184308078"/>
      <w:bookmarkEnd w:id="28"/>
      <w:bookmarkStart w:id="29" w:name="_Toc184310307"/>
      <w:bookmarkEnd w:id="29"/>
      <w:bookmarkStart w:id="30" w:name="_Toc184312112"/>
      <w:bookmarkEnd w:id="30"/>
      <w:bookmarkStart w:id="31" w:name="_Toc184308087"/>
      <w:bookmarkEnd w:id="31"/>
      <w:bookmarkStart w:id="32" w:name="_Toc184308101"/>
      <w:bookmarkEnd w:id="32"/>
      <w:bookmarkStart w:id="33" w:name="_Toc184313268"/>
      <w:bookmarkEnd w:id="33"/>
      <w:bookmarkStart w:id="34" w:name="_Toc184312084"/>
      <w:bookmarkEnd w:id="34"/>
      <w:bookmarkStart w:id="35" w:name="_Toc184314410"/>
      <w:bookmarkEnd w:id="35"/>
      <w:bookmarkStart w:id="36" w:name="_Toc184312114"/>
      <w:bookmarkEnd w:id="36"/>
      <w:bookmarkStart w:id="37" w:name="_Toc184312104"/>
      <w:bookmarkEnd w:id="37"/>
      <w:bookmarkStart w:id="38" w:name="_Toc184313279"/>
      <w:bookmarkEnd w:id="38"/>
      <w:bookmarkStart w:id="39" w:name="_Toc184313254"/>
      <w:bookmarkEnd w:id="39"/>
      <w:bookmarkStart w:id="40" w:name="_Toc184310296"/>
      <w:bookmarkEnd w:id="40"/>
      <w:bookmarkStart w:id="41" w:name="_Toc184314476"/>
      <w:bookmarkEnd w:id="41"/>
      <w:bookmarkStart w:id="42" w:name="_Toc184312133"/>
      <w:bookmarkEnd w:id="42"/>
      <w:bookmarkStart w:id="43" w:name="_Toc184314478"/>
      <w:bookmarkEnd w:id="43"/>
      <w:bookmarkStart w:id="44" w:name="_Toc184310287"/>
      <w:bookmarkEnd w:id="44"/>
      <w:bookmarkStart w:id="45" w:name="_Toc184314474"/>
      <w:bookmarkEnd w:id="45"/>
      <w:bookmarkStart w:id="46" w:name="_Toc184308074"/>
      <w:bookmarkEnd w:id="46"/>
      <w:bookmarkStart w:id="47" w:name="_Toc184310291"/>
      <w:bookmarkEnd w:id="47"/>
      <w:bookmarkStart w:id="48" w:name="_Toc184310300"/>
      <w:bookmarkEnd w:id="48"/>
      <w:bookmarkStart w:id="49" w:name="_Toc184313283"/>
      <w:bookmarkEnd w:id="49"/>
      <w:bookmarkStart w:id="50" w:name="_Toc184308093"/>
      <w:bookmarkEnd w:id="50"/>
      <w:bookmarkStart w:id="51" w:name="_Toc184310322"/>
      <w:bookmarkEnd w:id="51"/>
      <w:bookmarkStart w:id="52" w:name="_Toc184310299"/>
      <w:bookmarkEnd w:id="52"/>
      <w:bookmarkStart w:id="53" w:name="_Toc184312082"/>
      <w:bookmarkEnd w:id="53"/>
      <w:bookmarkStart w:id="54" w:name="_Toc184313239"/>
      <w:bookmarkEnd w:id="54"/>
      <w:bookmarkStart w:id="55" w:name="_Toc184310341"/>
      <w:bookmarkEnd w:id="55"/>
      <w:bookmarkStart w:id="56" w:name="_Toc184310302"/>
      <w:bookmarkEnd w:id="56"/>
      <w:bookmarkStart w:id="57" w:name="_Toc184312088"/>
      <w:bookmarkEnd w:id="57"/>
      <w:bookmarkStart w:id="58" w:name="_Toc184312111"/>
      <w:bookmarkEnd w:id="58"/>
      <w:bookmarkStart w:id="59" w:name="_Toc184314426"/>
      <w:bookmarkEnd w:id="59"/>
      <w:bookmarkStart w:id="60" w:name="_Toc184308057"/>
      <w:bookmarkEnd w:id="60"/>
      <w:bookmarkStart w:id="61" w:name="_Toc184308055"/>
      <w:bookmarkEnd w:id="61"/>
      <w:bookmarkStart w:id="62" w:name="_Toc184308050"/>
      <w:bookmarkEnd w:id="62"/>
      <w:bookmarkStart w:id="63" w:name="_Toc184314420"/>
      <w:bookmarkEnd w:id="63"/>
      <w:bookmarkStart w:id="64" w:name="_Toc184312096"/>
      <w:bookmarkEnd w:id="64"/>
      <w:bookmarkStart w:id="65" w:name="_Toc184312086"/>
      <w:bookmarkEnd w:id="65"/>
      <w:bookmarkStart w:id="66" w:name="_Toc184314454"/>
      <w:bookmarkEnd w:id="66"/>
      <w:bookmarkStart w:id="67" w:name="_Toc184314444"/>
      <w:bookmarkEnd w:id="67"/>
      <w:bookmarkStart w:id="68" w:name="_Toc184313267"/>
      <w:bookmarkEnd w:id="68"/>
      <w:bookmarkStart w:id="69" w:name="_Toc184314433"/>
      <w:bookmarkEnd w:id="69"/>
      <w:bookmarkStart w:id="70" w:name="_Toc184310304"/>
      <w:bookmarkEnd w:id="70"/>
      <w:bookmarkStart w:id="71" w:name="_Toc184314422"/>
      <w:bookmarkEnd w:id="71"/>
      <w:bookmarkStart w:id="72" w:name="_Toc184312078"/>
      <w:bookmarkEnd w:id="72"/>
      <w:bookmarkStart w:id="73" w:name="_Toc184314419"/>
      <w:bookmarkEnd w:id="73"/>
      <w:bookmarkStart w:id="74" w:name="_Toc184313293"/>
      <w:bookmarkEnd w:id="74"/>
      <w:bookmarkStart w:id="75" w:name="_Toc184314458"/>
      <w:bookmarkEnd w:id="75"/>
      <w:bookmarkStart w:id="76" w:name="_Toc184310294"/>
      <w:bookmarkEnd w:id="76"/>
      <w:bookmarkStart w:id="77" w:name="_Toc184308086"/>
      <w:bookmarkEnd w:id="77"/>
      <w:bookmarkStart w:id="78" w:name="_Toc184308092"/>
      <w:bookmarkEnd w:id="78"/>
      <w:bookmarkStart w:id="79" w:name="_Toc184314462"/>
      <w:bookmarkEnd w:id="79"/>
      <w:bookmarkStart w:id="80" w:name="_Toc184312137"/>
      <w:bookmarkEnd w:id="80"/>
      <w:bookmarkStart w:id="81" w:name="_Toc184310273"/>
      <w:bookmarkEnd w:id="81"/>
      <w:bookmarkStart w:id="82" w:name="_Toc184308102"/>
      <w:bookmarkEnd w:id="82"/>
      <w:bookmarkStart w:id="83" w:name="_Toc184312098"/>
      <w:bookmarkEnd w:id="83"/>
      <w:bookmarkStart w:id="84" w:name="_Toc184310318"/>
      <w:bookmarkEnd w:id="84"/>
      <w:bookmarkStart w:id="85" w:name="_Toc184313276"/>
      <w:bookmarkEnd w:id="85"/>
      <w:bookmarkStart w:id="86" w:name="_Toc184310289"/>
      <w:bookmarkEnd w:id="86"/>
      <w:bookmarkStart w:id="87" w:name="_Toc184310313"/>
      <w:bookmarkEnd w:id="87"/>
      <w:bookmarkStart w:id="88" w:name="_Toc184313244"/>
      <w:bookmarkEnd w:id="88"/>
      <w:bookmarkStart w:id="89" w:name="_Toc184310316"/>
      <w:bookmarkEnd w:id="89"/>
      <w:bookmarkStart w:id="90" w:name="_Toc184310323"/>
      <w:bookmarkEnd w:id="90"/>
      <w:bookmarkStart w:id="91" w:name="_Toc184313290"/>
      <w:bookmarkEnd w:id="91"/>
      <w:bookmarkStart w:id="92" w:name="_Toc184313282"/>
      <w:bookmarkEnd w:id="92"/>
      <w:bookmarkStart w:id="93" w:name="_Toc184313295"/>
      <w:bookmarkEnd w:id="93"/>
      <w:bookmarkStart w:id="94" w:name="_Toc184308077"/>
      <w:bookmarkEnd w:id="94"/>
      <w:bookmarkStart w:id="95" w:name="_Toc184312094"/>
      <w:bookmarkEnd w:id="95"/>
      <w:bookmarkStart w:id="96" w:name="_Toc184312110"/>
      <w:bookmarkEnd w:id="96"/>
      <w:bookmarkStart w:id="97" w:name="_Toc184312068"/>
      <w:bookmarkEnd w:id="97"/>
      <w:bookmarkStart w:id="98" w:name="_Toc184313260"/>
      <w:bookmarkEnd w:id="98"/>
      <w:bookmarkStart w:id="99" w:name="_Toc184312105"/>
      <w:bookmarkEnd w:id="99"/>
      <w:bookmarkStart w:id="100" w:name="_Toc184313273"/>
      <w:bookmarkEnd w:id="100"/>
      <w:bookmarkStart w:id="101" w:name="_Toc184308040"/>
      <w:bookmarkEnd w:id="101"/>
      <w:bookmarkStart w:id="102" w:name="_Toc184314463"/>
      <w:bookmarkEnd w:id="102"/>
      <w:bookmarkStart w:id="103" w:name="_Toc184314453"/>
      <w:bookmarkEnd w:id="103"/>
      <w:bookmarkStart w:id="104" w:name="_Toc184313286"/>
      <w:bookmarkEnd w:id="104"/>
      <w:bookmarkStart w:id="105" w:name="_Toc184308097"/>
      <w:bookmarkEnd w:id="105"/>
      <w:bookmarkStart w:id="106" w:name="_Toc184310320"/>
      <w:bookmarkEnd w:id="106"/>
      <w:bookmarkStart w:id="107" w:name="_Toc184314465"/>
      <w:bookmarkEnd w:id="107"/>
      <w:bookmarkStart w:id="108" w:name="_Toc184314470"/>
      <w:bookmarkEnd w:id="108"/>
      <w:bookmarkStart w:id="109" w:name="_Toc184313262"/>
      <w:bookmarkEnd w:id="109"/>
      <w:bookmarkStart w:id="110" w:name="_Toc184310286"/>
      <w:bookmarkEnd w:id="110"/>
      <w:bookmarkStart w:id="111" w:name="_Toc184310339"/>
      <w:bookmarkEnd w:id="111"/>
      <w:bookmarkStart w:id="112" w:name="_Toc184308046"/>
      <w:bookmarkEnd w:id="112"/>
      <w:bookmarkStart w:id="113" w:name="_Toc184313266"/>
      <w:bookmarkEnd w:id="113"/>
      <w:bookmarkStart w:id="114" w:name="_Toc184310288"/>
      <w:bookmarkEnd w:id="114"/>
      <w:bookmarkStart w:id="115" w:name="_Toc184308068"/>
      <w:bookmarkEnd w:id="115"/>
      <w:bookmarkStart w:id="116" w:name="_Toc184308045"/>
      <w:bookmarkEnd w:id="116"/>
      <w:bookmarkStart w:id="117" w:name="_Toc184312101"/>
      <w:bookmarkEnd w:id="117"/>
      <w:bookmarkStart w:id="118" w:name="_Toc184314413"/>
      <w:bookmarkEnd w:id="118"/>
      <w:bookmarkStart w:id="119" w:name="_Toc184313300"/>
      <w:bookmarkEnd w:id="119"/>
      <w:bookmarkStart w:id="120" w:name="_Toc184310292"/>
      <w:bookmarkEnd w:id="120"/>
      <w:bookmarkStart w:id="121" w:name="_Toc184314436"/>
      <w:bookmarkEnd w:id="121"/>
      <w:bookmarkStart w:id="122" w:name="_Toc184314417"/>
      <w:bookmarkEnd w:id="122"/>
      <w:bookmarkStart w:id="123" w:name="_Toc184314455"/>
      <w:bookmarkEnd w:id="123"/>
      <w:bookmarkStart w:id="124" w:name="_Toc184308039"/>
      <w:bookmarkEnd w:id="124"/>
      <w:bookmarkStart w:id="125" w:name="_Toc184310301"/>
      <w:bookmarkEnd w:id="125"/>
      <w:bookmarkStart w:id="126" w:name="_Toc184314425"/>
      <w:bookmarkEnd w:id="126"/>
      <w:bookmarkStart w:id="127" w:name="_Toc184313238"/>
      <w:bookmarkEnd w:id="127"/>
      <w:bookmarkStart w:id="128" w:name="_Toc184310285"/>
      <w:bookmarkEnd w:id="128"/>
      <w:bookmarkStart w:id="129" w:name="_Toc184312113"/>
      <w:bookmarkEnd w:id="129"/>
      <w:bookmarkStart w:id="130" w:name="_Toc184312092"/>
      <w:bookmarkEnd w:id="130"/>
      <w:bookmarkStart w:id="131" w:name="_Toc184308085"/>
      <w:bookmarkEnd w:id="131"/>
      <w:bookmarkStart w:id="132" w:name="_Toc184314460"/>
      <w:bookmarkEnd w:id="132"/>
      <w:bookmarkStart w:id="133" w:name="_Toc184308069"/>
      <w:bookmarkEnd w:id="133"/>
      <w:bookmarkStart w:id="134" w:name="_Toc184314447"/>
      <w:bookmarkEnd w:id="134"/>
      <w:bookmarkStart w:id="135" w:name="_Toc184312081"/>
      <w:bookmarkEnd w:id="135"/>
      <w:bookmarkStart w:id="136" w:name="_Toc184314424"/>
      <w:bookmarkEnd w:id="136"/>
      <w:bookmarkStart w:id="137" w:name="_Toc184312093"/>
      <w:bookmarkEnd w:id="137"/>
      <w:bookmarkStart w:id="138" w:name="_Toc184313305"/>
      <w:bookmarkEnd w:id="138"/>
      <w:bookmarkStart w:id="139" w:name="_Toc184313294"/>
      <w:bookmarkEnd w:id="139"/>
      <w:bookmarkStart w:id="140" w:name="_Toc184312097"/>
      <w:bookmarkEnd w:id="140"/>
      <w:bookmarkStart w:id="141" w:name="_Toc184312118"/>
      <w:bookmarkEnd w:id="141"/>
      <w:bookmarkStart w:id="142" w:name="_Toc184313270"/>
      <w:bookmarkEnd w:id="142"/>
      <w:bookmarkStart w:id="143" w:name="_Toc184314421"/>
      <w:bookmarkEnd w:id="143"/>
      <w:bookmarkStart w:id="144" w:name="_Toc184314434"/>
      <w:bookmarkEnd w:id="144"/>
      <w:bookmarkStart w:id="145" w:name="_Toc184308108"/>
      <w:bookmarkEnd w:id="145"/>
      <w:bookmarkStart w:id="146" w:name="_Toc184312079"/>
      <w:bookmarkEnd w:id="146"/>
      <w:bookmarkStart w:id="147" w:name="_Toc184312126"/>
      <w:bookmarkEnd w:id="147"/>
      <w:bookmarkStart w:id="148" w:name="_Toc184310283"/>
      <w:bookmarkEnd w:id="148"/>
      <w:bookmarkStart w:id="149" w:name="_Toc184313241"/>
      <w:bookmarkEnd w:id="149"/>
      <w:bookmarkStart w:id="150" w:name="_Toc184312123"/>
      <w:bookmarkEnd w:id="150"/>
      <w:bookmarkStart w:id="151" w:name="_Toc184314428"/>
      <w:bookmarkEnd w:id="151"/>
      <w:bookmarkStart w:id="152" w:name="_Toc184314452"/>
      <w:bookmarkEnd w:id="152"/>
      <w:bookmarkStart w:id="153" w:name="_Toc184308088"/>
      <w:bookmarkEnd w:id="153"/>
      <w:bookmarkStart w:id="154" w:name="_Toc184312090"/>
      <w:bookmarkEnd w:id="154"/>
      <w:bookmarkStart w:id="155" w:name="_Toc184313309"/>
      <w:bookmarkEnd w:id="155"/>
      <w:bookmarkStart w:id="156" w:name="_Toc184308043"/>
      <w:bookmarkEnd w:id="156"/>
      <w:bookmarkStart w:id="157" w:name="_Toc184313240"/>
      <w:bookmarkEnd w:id="157"/>
      <w:bookmarkStart w:id="158" w:name="_Toc184313291"/>
      <w:bookmarkEnd w:id="158"/>
      <w:bookmarkStart w:id="159" w:name="_Toc184313271"/>
      <w:bookmarkEnd w:id="159"/>
      <w:bookmarkStart w:id="160" w:name="_Toc184310344"/>
      <w:bookmarkEnd w:id="160"/>
      <w:bookmarkStart w:id="161" w:name="_Toc184310295"/>
      <w:bookmarkEnd w:id="161"/>
      <w:bookmarkStart w:id="162" w:name="_Toc184313296"/>
      <w:bookmarkEnd w:id="162"/>
      <w:bookmarkStart w:id="163" w:name="_Toc184308073"/>
      <w:bookmarkEnd w:id="163"/>
      <w:bookmarkStart w:id="164" w:name="_Toc184312080"/>
      <w:bookmarkEnd w:id="164"/>
      <w:bookmarkStart w:id="165" w:name="_Toc184310306"/>
      <w:bookmarkEnd w:id="165"/>
      <w:bookmarkStart w:id="166" w:name="_Toc184313259"/>
      <w:bookmarkEnd w:id="166"/>
      <w:bookmarkStart w:id="167" w:name="_Toc184308056"/>
      <w:bookmarkEnd w:id="167"/>
      <w:bookmarkStart w:id="168" w:name="_Toc184313272"/>
      <w:bookmarkEnd w:id="168"/>
      <w:bookmarkStart w:id="169" w:name="_Toc184308103"/>
      <w:bookmarkEnd w:id="169"/>
      <w:bookmarkStart w:id="170" w:name="_Toc184312089"/>
      <w:bookmarkEnd w:id="170"/>
      <w:bookmarkStart w:id="171" w:name="_Toc184313251"/>
      <w:bookmarkEnd w:id="171"/>
      <w:bookmarkStart w:id="172" w:name="_Toc184312138"/>
      <w:bookmarkEnd w:id="172"/>
      <w:bookmarkStart w:id="173" w:name="_Toc184308083"/>
      <w:bookmarkEnd w:id="173"/>
      <w:bookmarkStart w:id="174" w:name="_Toc184314415"/>
      <w:bookmarkEnd w:id="174"/>
      <w:bookmarkStart w:id="175" w:name="_Toc184308053"/>
      <w:bookmarkEnd w:id="175"/>
      <w:bookmarkStart w:id="176" w:name="_Toc184314441"/>
      <w:bookmarkEnd w:id="176"/>
      <w:bookmarkStart w:id="177" w:name="_Toc184310319"/>
      <w:bookmarkEnd w:id="177"/>
      <w:bookmarkStart w:id="178" w:name="_Toc184308038"/>
      <w:bookmarkEnd w:id="178"/>
      <w:bookmarkStart w:id="179" w:name="_Toc184312134"/>
      <w:bookmarkEnd w:id="179"/>
      <w:bookmarkStart w:id="180" w:name="_Toc184308084"/>
      <w:bookmarkEnd w:id="180"/>
      <w:bookmarkStart w:id="181" w:name="_Toc184312083"/>
      <w:bookmarkEnd w:id="181"/>
      <w:bookmarkStart w:id="182" w:name="_Toc184312131"/>
      <w:bookmarkEnd w:id="182"/>
      <w:bookmarkStart w:id="183" w:name="_Toc184310298"/>
      <w:bookmarkEnd w:id="183"/>
      <w:bookmarkStart w:id="184" w:name="_Toc184308036"/>
      <w:bookmarkEnd w:id="184"/>
      <w:bookmarkStart w:id="185" w:name="_Toc184308067"/>
      <w:bookmarkEnd w:id="185"/>
      <w:bookmarkStart w:id="186" w:name="_Toc184314423"/>
      <w:bookmarkEnd w:id="186"/>
      <w:bookmarkStart w:id="187" w:name="_Toc184313258"/>
      <w:bookmarkEnd w:id="187"/>
      <w:bookmarkStart w:id="188" w:name="_Toc184308042"/>
      <w:bookmarkEnd w:id="188"/>
      <w:bookmarkStart w:id="189" w:name="_Toc184314435"/>
      <w:bookmarkEnd w:id="189"/>
      <w:bookmarkStart w:id="190" w:name="_Toc184314482"/>
      <w:bookmarkEnd w:id="190"/>
      <w:bookmarkStart w:id="191" w:name="_Toc184312117"/>
      <w:bookmarkEnd w:id="191"/>
      <w:bookmarkStart w:id="192" w:name="_Toc184313248"/>
      <w:bookmarkEnd w:id="192"/>
      <w:bookmarkStart w:id="193" w:name="_Toc184313280"/>
      <w:bookmarkEnd w:id="193"/>
      <w:bookmarkStart w:id="194" w:name="_Toc184314451"/>
      <w:bookmarkEnd w:id="194"/>
      <w:bookmarkStart w:id="195" w:name="_Toc184310305"/>
      <w:bookmarkEnd w:id="195"/>
      <w:bookmarkStart w:id="196" w:name="_Toc184308058"/>
      <w:bookmarkEnd w:id="196"/>
      <w:bookmarkStart w:id="197" w:name="_Toc184314461"/>
      <w:bookmarkEnd w:id="197"/>
      <w:bookmarkStart w:id="198" w:name="_Toc184310310"/>
      <w:bookmarkEnd w:id="198"/>
      <w:bookmarkStart w:id="199" w:name="_Toc184314471"/>
      <w:bookmarkEnd w:id="199"/>
      <w:bookmarkStart w:id="200" w:name="_Toc184312100"/>
      <w:bookmarkEnd w:id="200"/>
      <w:bookmarkStart w:id="201" w:name="_Toc184308106"/>
      <w:bookmarkEnd w:id="201"/>
      <w:bookmarkStart w:id="202" w:name="_Toc184308060"/>
      <w:bookmarkEnd w:id="202"/>
      <w:bookmarkStart w:id="203" w:name="_Toc184310334"/>
      <w:bookmarkEnd w:id="203"/>
      <w:bookmarkStart w:id="204" w:name="_Toc184312132"/>
      <w:bookmarkEnd w:id="204"/>
      <w:bookmarkStart w:id="205" w:name="_Toc184308076"/>
      <w:bookmarkEnd w:id="205"/>
      <w:bookmarkStart w:id="206" w:name="_Toc184308105"/>
      <w:bookmarkEnd w:id="206"/>
      <w:bookmarkStart w:id="207" w:name="_Toc184312139"/>
      <w:bookmarkEnd w:id="207"/>
      <w:bookmarkStart w:id="208" w:name="_Toc184314475"/>
      <w:bookmarkEnd w:id="208"/>
      <w:bookmarkStart w:id="209" w:name="_Toc184313281"/>
      <w:bookmarkEnd w:id="209"/>
      <w:bookmarkStart w:id="210" w:name="_Toc184310314"/>
      <w:bookmarkEnd w:id="210"/>
      <w:bookmarkStart w:id="211" w:name="_Toc184313292"/>
      <w:bookmarkEnd w:id="211"/>
      <w:bookmarkStart w:id="212" w:name="_Toc184312135"/>
      <w:bookmarkEnd w:id="212"/>
      <w:bookmarkStart w:id="213" w:name="_Toc184313298"/>
      <w:bookmarkEnd w:id="213"/>
      <w:bookmarkStart w:id="214" w:name="_Toc184308070"/>
      <w:bookmarkEnd w:id="214"/>
      <w:bookmarkStart w:id="215" w:name="_Toc184313306"/>
      <w:bookmarkEnd w:id="215"/>
      <w:bookmarkStart w:id="216" w:name="_Toc184312109"/>
      <w:bookmarkEnd w:id="216"/>
      <w:bookmarkStart w:id="217" w:name="_Toc184313285"/>
      <w:bookmarkEnd w:id="217"/>
      <w:bookmarkStart w:id="218" w:name="_Toc184308063"/>
      <w:bookmarkEnd w:id="218"/>
      <w:bookmarkStart w:id="219" w:name="_Toc184310342"/>
      <w:bookmarkEnd w:id="219"/>
      <w:bookmarkStart w:id="220" w:name="_Toc184313242"/>
      <w:bookmarkEnd w:id="220"/>
      <w:bookmarkStart w:id="221" w:name="_Toc184308037"/>
      <w:bookmarkEnd w:id="221"/>
      <w:bookmarkStart w:id="222" w:name="_Toc184308091"/>
      <w:bookmarkEnd w:id="222"/>
      <w:bookmarkStart w:id="223" w:name="_Toc184313274"/>
      <w:bookmarkEnd w:id="223"/>
      <w:bookmarkStart w:id="224" w:name="_Toc184312116"/>
      <w:bookmarkEnd w:id="224"/>
      <w:bookmarkStart w:id="225" w:name="_Toc184310277"/>
      <w:bookmarkEnd w:id="225"/>
      <w:bookmarkStart w:id="226" w:name="_Toc184308071"/>
      <w:bookmarkEnd w:id="226"/>
      <w:bookmarkStart w:id="227" w:name="_Toc184308096"/>
      <w:bookmarkEnd w:id="227"/>
      <w:bookmarkStart w:id="228" w:name="_Toc184314414"/>
      <w:bookmarkEnd w:id="228"/>
      <w:bookmarkStart w:id="229" w:name="_Toc184310326"/>
      <w:bookmarkEnd w:id="229"/>
      <w:bookmarkStart w:id="230" w:name="_Toc184314449"/>
      <w:bookmarkEnd w:id="230"/>
      <w:bookmarkStart w:id="231" w:name="_Toc184314467"/>
      <w:bookmarkEnd w:id="231"/>
      <w:bookmarkStart w:id="232" w:name="_Toc184314439"/>
      <w:bookmarkEnd w:id="232"/>
      <w:bookmarkStart w:id="233" w:name="_Toc184312120"/>
      <w:bookmarkEnd w:id="233"/>
      <w:bookmarkStart w:id="234" w:name="_Toc184310272"/>
      <w:bookmarkEnd w:id="234"/>
      <w:bookmarkStart w:id="235" w:name="_Toc184314431"/>
      <w:bookmarkEnd w:id="235"/>
      <w:bookmarkStart w:id="236" w:name="_Toc184314427"/>
      <w:bookmarkEnd w:id="236"/>
      <w:bookmarkStart w:id="237" w:name="_Toc184313256"/>
      <w:bookmarkEnd w:id="237"/>
      <w:bookmarkStart w:id="238" w:name="_Toc184312127"/>
      <w:bookmarkEnd w:id="238"/>
      <w:bookmarkStart w:id="239" w:name="_Toc184308075"/>
      <w:bookmarkEnd w:id="239"/>
      <w:bookmarkStart w:id="240" w:name="_Toc184313246"/>
      <w:bookmarkEnd w:id="240"/>
      <w:bookmarkStart w:id="241" w:name="_Toc184312091"/>
      <w:bookmarkEnd w:id="241"/>
      <w:bookmarkStart w:id="242" w:name="_Toc184310325"/>
      <w:bookmarkEnd w:id="242"/>
      <w:bookmarkStart w:id="243" w:name="_Toc184313308"/>
      <w:bookmarkEnd w:id="243"/>
      <w:bookmarkStart w:id="244" w:name="_Toc184313265"/>
      <w:bookmarkEnd w:id="244"/>
      <w:bookmarkStart w:id="245" w:name="_Toc184312085"/>
      <w:bookmarkEnd w:id="245"/>
      <w:bookmarkStart w:id="246" w:name="_Toc184310274"/>
      <w:bookmarkEnd w:id="246"/>
      <w:bookmarkStart w:id="247" w:name="_Toc184310328"/>
      <w:bookmarkEnd w:id="247"/>
      <w:bookmarkStart w:id="248" w:name="_Toc184310280"/>
      <w:bookmarkEnd w:id="248"/>
      <w:bookmarkStart w:id="249" w:name="_Toc184313253"/>
      <w:bookmarkEnd w:id="249"/>
      <w:bookmarkStart w:id="250" w:name="_Toc184314480"/>
      <w:bookmarkEnd w:id="250"/>
      <w:bookmarkStart w:id="251" w:name="_Toc184308098"/>
      <w:bookmarkEnd w:id="251"/>
      <w:bookmarkStart w:id="252" w:name="_Toc184313249"/>
      <w:bookmarkEnd w:id="252"/>
      <w:bookmarkStart w:id="253" w:name="_Toc184310317"/>
      <w:bookmarkEnd w:id="253"/>
      <w:bookmarkStart w:id="254" w:name="_Toc184314438"/>
      <w:bookmarkEnd w:id="254"/>
      <w:bookmarkStart w:id="255" w:name="_Toc184310315"/>
      <w:bookmarkEnd w:id="255"/>
      <w:bookmarkStart w:id="256" w:name="_Toc184312099"/>
      <w:bookmarkEnd w:id="256"/>
      <w:bookmarkStart w:id="257" w:name="_Toc184312106"/>
      <w:bookmarkEnd w:id="257"/>
      <w:bookmarkStart w:id="258" w:name="_Toc184310297"/>
      <w:bookmarkEnd w:id="258"/>
      <w:bookmarkStart w:id="259" w:name="_Toc184312067"/>
      <w:bookmarkEnd w:id="259"/>
      <w:bookmarkStart w:id="260" w:name="_Toc184313299"/>
      <w:bookmarkEnd w:id="260"/>
      <w:bookmarkStart w:id="261" w:name="_Toc184312069"/>
      <w:bookmarkEnd w:id="261"/>
      <w:bookmarkStart w:id="262" w:name="_Toc184313302"/>
      <w:bookmarkEnd w:id="262"/>
      <w:bookmarkStart w:id="263" w:name="_Toc184312136"/>
      <w:bookmarkEnd w:id="263"/>
      <w:bookmarkStart w:id="264" w:name="_Toc184314457"/>
      <w:bookmarkEnd w:id="264"/>
      <w:bookmarkStart w:id="265" w:name="_Toc184313263"/>
      <w:bookmarkEnd w:id="265"/>
      <w:bookmarkStart w:id="266" w:name="_Toc184308044"/>
      <w:bookmarkEnd w:id="266"/>
      <w:bookmarkStart w:id="267" w:name="_Toc184308061"/>
      <w:bookmarkEnd w:id="267"/>
      <w:bookmarkStart w:id="268" w:name="_Toc184314440"/>
      <w:bookmarkEnd w:id="268"/>
      <w:bookmarkStart w:id="269" w:name="_Toc184313247"/>
      <w:bookmarkEnd w:id="269"/>
      <w:bookmarkStart w:id="270" w:name="_Toc184314466"/>
      <w:bookmarkEnd w:id="270"/>
      <w:bookmarkStart w:id="271" w:name="_Toc184308095"/>
      <w:bookmarkEnd w:id="271"/>
      <w:bookmarkStart w:id="272" w:name="_Toc184314479"/>
      <w:bookmarkEnd w:id="272"/>
      <w:bookmarkStart w:id="273" w:name="_Toc184310308"/>
      <w:bookmarkEnd w:id="273"/>
      <w:bookmarkStart w:id="274" w:name="_Toc184308047"/>
      <w:bookmarkEnd w:id="274"/>
      <w:bookmarkStart w:id="275" w:name="_Toc184310312"/>
      <w:bookmarkEnd w:id="275"/>
      <w:bookmarkStart w:id="276" w:name="_Toc184313257"/>
      <w:bookmarkEnd w:id="276"/>
      <w:bookmarkStart w:id="277" w:name="_Toc184314456"/>
      <w:bookmarkEnd w:id="277"/>
      <w:bookmarkStart w:id="278" w:name="_Toc184313307"/>
      <w:bookmarkEnd w:id="278"/>
      <w:bookmarkStart w:id="279" w:name="_Toc184313277"/>
      <w:bookmarkEnd w:id="279"/>
      <w:bookmarkStart w:id="280" w:name="_Toc184313278"/>
      <w:bookmarkEnd w:id="280"/>
      <w:bookmarkStart w:id="281" w:name="_Toc184308049"/>
      <w:bookmarkEnd w:id="281"/>
      <w:bookmarkStart w:id="282" w:name="_Toc184314464"/>
      <w:bookmarkEnd w:id="282"/>
      <w:bookmarkStart w:id="283" w:name="_Toc184308100"/>
      <w:bookmarkEnd w:id="283"/>
      <w:bookmarkStart w:id="284" w:name="_Toc184313301"/>
      <w:bookmarkEnd w:id="284"/>
      <w:bookmarkStart w:id="285" w:name="_Toc184313261"/>
      <w:bookmarkEnd w:id="285"/>
      <w:bookmarkStart w:id="286" w:name="_Toc184314446"/>
      <w:bookmarkEnd w:id="286"/>
      <w:bookmarkStart w:id="287" w:name="_Toc184313287"/>
      <w:bookmarkEnd w:id="287"/>
      <w:bookmarkStart w:id="288" w:name="_Toc184310343"/>
      <w:bookmarkEnd w:id="288"/>
      <w:bookmarkStart w:id="289" w:name="_Toc184310324"/>
      <w:bookmarkEnd w:id="289"/>
      <w:bookmarkStart w:id="290" w:name="_Toc184308082"/>
      <w:bookmarkEnd w:id="290"/>
      <w:bookmarkStart w:id="291" w:name="_Toc184312075"/>
      <w:bookmarkEnd w:id="291"/>
      <w:bookmarkStart w:id="292" w:name="_Toc184308099"/>
      <w:bookmarkEnd w:id="292"/>
      <w:bookmarkStart w:id="293" w:name="_Toc184312125"/>
      <w:bookmarkEnd w:id="293"/>
      <w:bookmarkStart w:id="294" w:name="_Toc184313288"/>
      <w:bookmarkEnd w:id="294"/>
      <w:bookmarkStart w:id="295" w:name="_Toc184314473"/>
      <w:bookmarkEnd w:id="295"/>
      <w:bookmarkStart w:id="296" w:name="_Toc184308104"/>
      <w:bookmarkEnd w:id="296"/>
      <w:bookmarkStart w:id="297" w:name="_Toc184314416"/>
      <w:bookmarkEnd w:id="297"/>
      <w:bookmarkStart w:id="298" w:name="_Toc184312121"/>
      <w:bookmarkEnd w:id="298"/>
      <w:bookmarkStart w:id="299" w:name="_Toc184314448"/>
      <w:bookmarkEnd w:id="299"/>
      <w:bookmarkStart w:id="300" w:name="_Toc184314481"/>
      <w:bookmarkEnd w:id="300"/>
      <w:bookmarkStart w:id="301" w:name="_Toc184310338"/>
      <w:bookmarkEnd w:id="301"/>
      <w:bookmarkStart w:id="302" w:name="_Toc184312077"/>
      <w:bookmarkEnd w:id="302"/>
      <w:bookmarkStart w:id="303" w:name="_Toc184310331"/>
      <w:bookmarkEnd w:id="303"/>
      <w:bookmarkStart w:id="304" w:name="_Toc184314429"/>
      <w:bookmarkEnd w:id="304"/>
      <w:bookmarkStart w:id="305" w:name="_Toc184310290"/>
      <w:bookmarkEnd w:id="305"/>
      <w:bookmarkStart w:id="306" w:name="_Toc184313289"/>
      <w:bookmarkEnd w:id="306"/>
      <w:bookmarkStart w:id="307" w:name="_Toc184313264"/>
      <w:bookmarkEnd w:id="307"/>
      <w:bookmarkStart w:id="308" w:name="_Toc184312070"/>
      <w:bookmarkEnd w:id="308"/>
      <w:bookmarkStart w:id="309" w:name="_Toc184312076"/>
      <w:bookmarkEnd w:id="309"/>
      <w:bookmarkStart w:id="310" w:name="_Toc184314472"/>
      <w:bookmarkEnd w:id="310"/>
      <w:bookmarkStart w:id="311" w:name="_Toc184310340"/>
      <w:bookmarkEnd w:id="311"/>
      <w:bookmarkStart w:id="312" w:name="_Toc184312115"/>
      <w:bookmarkEnd w:id="312"/>
      <w:bookmarkStart w:id="313" w:name="_Toc184308072"/>
      <w:bookmarkEnd w:id="313"/>
      <w:bookmarkStart w:id="314" w:name="_Toc184314445"/>
      <w:bookmarkEnd w:id="314"/>
      <w:bookmarkStart w:id="315" w:name="_Toc184312119"/>
      <w:bookmarkEnd w:id="315"/>
      <w:bookmarkStart w:id="316" w:name="_Toc184310275"/>
      <w:bookmarkEnd w:id="316"/>
      <w:bookmarkStart w:id="317" w:name="_Toc184314442"/>
      <w:bookmarkEnd w:id="317"/>
      <w:bookmarkStart w:id="318" w:name="_Toc184310293"/>
      <w:bookmarkEnd w:id="318"/>
      <w:bookmarkStart w:id="319" w:name="_Toc184310303"/>
      <w:bookmarkEnd w:id="319"/>
      <w:bookmarkStart w:id="320" w:name="_Toc184308090"/>
      <w:bookmarkEnd w:id="320"/>
      <w:bookmarkStart w:id="321" w:name="_Toc184313252"/>
      <w:bookmarkEnd w:id="321"/>
      <w:bookmarkStart w:id="322" w:name="_Toc184308062"/>
      <w:bookmarkEnd w:id="322"/>
      <w:bookmarkStart w:id="323" w:name="_Toc184312072"/>
      <w:bookmarkEnd w:id="323"/>
      <w:bookmarkStart w:id="324" w:name="_Toc184312071"/>
      <w:bookmarkEnd w:id="324"/>
      <w:bookmarkStart w:id="325" w:name="_Toc184314469"/>
      <w:bookmarkEnd w:id="325"/>
      <w:bookmarkStart w:id="326" w:name="_Toc184308065"/>
      <w:bookmarkEnd w:id="326"/>
      <w:bookmarkStart w:id="327" w:name="_Toc184314432"/>
      <w:bookmarkEnd w:id="327"/>
      <w:bookmarkStart w:id="328" w:name="_Toc184314443"/>
      <w:bookmarkEnd w:id="328"/>
      <w:bookmarkStart w:id="329" w:name="_Toc184308079"/>
      <w:bookmarkEnd w:id="329"/>
      <w:bookmarkStart w:id="330" w:name="_Toc184310311"/>
      <w:bookmarkEnd w:id="330"/>
      <w:bookmarkStart w:id="331" w:name="_Toc184314411"/>
      <w:bookmarkEnd w:id="331"/>
      <w:bookmarkStart w:id="332" w:name="_Toc184308041"/>
      <w:bookmarkEnd w:id="332"/>
      <w:bookmarkStart w:id="333" w:name="_Toc184310321"/>
      <w:bookmarkEnd w:id="333"/>
      <w:bookmarkStart w:id="334" w:name="_Toc184314412"/>
      <w:bookmarkEnd w:id="334"/>
      <w:bookmarkStart w:id="335" w:name="_Toc184313304"/>
      <w:bookmarkEnd w:id="335"/>
      <w:bookmarkStart w:id="336" w:name="_Toc184308107"/>
      <w:bookmarkEnd w:id="336"/>
      <w:bookmarkStart w:id="337" w:name="_Toc184308051"/>
      <w:bookmarkEnd w:id="337"/>
      <w:bookmarkStart w:id="338" w:name="_Toc184314459"/>
      <w:bookmarkEnd w:id="338"/>
      <w:bookmarkStart w:id="339" w:name="_Toc184310279"/>
      <w:bookmarkEnd w:id="339"/>
      <w:bookmarkStart w:id="340" w:name="_Toc184312122"/>
      <w:bookmarkEnd w:id="340"/>
      <w:bookmarkStart w:id="341" w:name="_Toc184313310"/>
      <w:bookmarkEnd w:id="341"/>
      <w:bookmarkStart w:id="342" w:name="_Toc184308054"/>
      <w:bookmarkEnd w:id="342"/>
      <w:bookmarkStart w:id="343" w:name="_Toc184310309"/>
      <w:bookmarkEnd w:id="343"/>
      <w:bookmarkStart w:id="344" w:name="_Toc184313303"/>
      <w:bookmarkEnd w:id="344"/>
      <w:bookmarkStart w:id="345" w:name="_Toc184313284"/>
      <w:bookmarkEnd w:id="345"/>
      <w:bookmarkStart w:id="346" w:name="_Toc184310278"/>
      <w:bookmarkEnd w:id="346"/>
      <w:bookmarkStart w:id="347" w:name="_Toc184308089"/>
      <w:bookmarkEnd w:id="347"/>
      <w:bookmarkStart w:id="348" w:name="_Toc184308066"/>
      <w:bookmarkEnd w:id="348"/>
      <w:bookmarkStart w:id="349" w:name="_Toc184312130"/>
      <w:bookmarkEnd w:id="349"/>
      <w:bookmarkStart w:id="350" w:name="_Toc184314450"/>
      <w:bookmarkEnd w:id="350"/>
      <w:bookmarkStart w:id="351" w:name="_Toc184312129"/>
      <w:bookmarkEnd w:id="351"/>
      <w:bookmarkStart w:id="352" w:name="_Toc184310337"/>
      <w:bookmarkEnd w:id="352"/>
      <w:bookmarkStart w:id="353" w:name="_Toc184312124"/>
      <w:bookmarkEnd w:id="353"/>
      <w:bookmarkStart w:id="354" w:name="_Toc184314477"/>
      <w:bookmarkEnd w:id="354"/>
      <w:bookmarkStart w:id="355" w:name="_Toc184312108"/>
      <w:bookmarkEnd w:id="355"/>
      <w:bookmarkStart w:id="356" w:name="_Toc184314437"/>
      <w:bookmarkEnd w:id="356"/>
      <w:bookmarkStart w:id="357" w:name="_Toc184312128"/>
      <w:bookmarkEnd w:id="357"/>
      <w:bookmarkStart w:id="358" w:name="_Toc184313269"/>
      <w:bookmarkEnd w:id="358"/>
      <w:bookmarkStart w:id="359" w:name="_Toc184310327"/>
      <w:bookmarkEnd w:id="359"/>
      <w:bookmarkStart w:id="360" w:name="_Toc184308059"/>
      <w:bookmarkEnd w:id="360"/>
      <w:bookmarkStart w:id="361" w:name="_Toc184310330"/>
      <w:bookmarkEnd w:id="361"/>
      <w:bookmarkStart w:id="362" w:name="_Toc184310333"/>
      <w:bookmarkEnd w:id="362"/>
      <w:bookmarkStart w:id="363" w:name="_Toc184312087"/>
      <w:bookmarkEnd w:id="363"/>
      <w:bookmarkStart w:id="364" w:name="_Toc184310336"/>
      <w:bookmarkEnd w:id="364"/>
      <w:bookmarkStart w:id="365" w:name="_Toc184310335"/>
      <w:bookmarkEnd w:id="365"/>
      <w:bookmarkStart w:id="366" w:name="_Toc184308052"/>
      <w:bookmarkEnd w:id="366"/>
      <w:bookmarkStart w:id="367" w:name="_Toc184313275"/>
      <w:bookmarkEnd w:id="367"/>
      <w:bookmarkStart w:id="368" w:name="_Toc184313243"/>
      <w:bookmarkEnd w:id="368"/>
      <w:bookmarkStart w:id="369" w:name="_Toc184313250"/>
      <w:bookmarkEnd w:id="369"/>
      <w:bookmarkStart w:id="370" w:name="_Toc184312107"/>
      <w:bookmarkEnd w:id="370"/>
      <w:bookmarkStart w:id="371" w:name="_Toc184308094"/>
      <w:bookmarkEnd w:id="371"/>
      <w:bookmarkStart w:id="372" w:name="_Toc184308064"/>
      <w:bookmarkEnd w:id="372"/>
      <w:bookmarkStart w:id="373" w:name="_Toc184314418"/>
      <w:bookmarkEnd w:id="373"/>
      <w:bookmarkStart w:id="374" w:name="_Toc184310281"/>
      <w:bookmarkEnd w:id="374"/>
      <w:bookmarkStart w:id="375" w:name="_Toc184310329"/>
      <w:bookmarkEnd w:id="375"/>
      <w:bookmarkStart w:id="376" w:name="_Toc184308081"/>
      <w:bookmarkEnd w:id="376"/>
      <w:bookmarkStart w:id="377" w:name="_Toc184310276"/>
      <w:bookmarkEnd w:id="377"/>
      <w:bookmarkStart w:id="378" w:name="_Toc184314430"/>
      <w:bookmarkEnd w:id="378"/>
      <w:bookmarkStart w:id="379" w:name="_Toc184312095"/>
      <w:bookmarkEnd w:id="379"/>
      <w:bookmarkStart w:id="380" w:name="_Toc184312073"/>
      <w:bookmarkEnd w:id="380"/>
      <w:bookmarkStart w:id="381" w:name="_Toc184313297"/>
      <w:bookmarkEnd w:id="381"/>
      <w:bookmarkStart w:id="382" w:name="_Toc184312074"/>
      <w:bookmarkEnd w:id="382"/>
      <w:bookmarkStart w:id="383" w:name="_Toc184310282"/>
      <w:bookmarkEnd w:id="383"/>
      <w:bookmarkStart w:id="384" w:name="_Toc184310284"/>
      <w:bookmarkEnd w:id="384"/>
      <w:bookmarkStart w:id="385" w:name="_Toc184313255"/>
      <w:bookmarkEnd w:id="385"/>
      <w:bookmarkStart w:id="386" w:name="_Toc184312103"/>
      <w:bookmarkEnd w:id="386"/>
      <w:bookmarkStart w:id="387" w:name="_Toc184314468"/>
      <w:bookmarkEnd w:id="387"/>
      <w:bookmarkStart w:id="388" w:name="_Toc184308048"/>
      <w:bookmarkEnd w:id="388"/>
      <w:bookmarkStart w:id="389" w:name="_Toc184312102"/>
      <w:bookmarkEnd w:id="389"/>
      <w:bookmarkStart w:id="390" w:name="_Toc184308080"/>
      <w:bookmarkEnd w:id="390"/>
      <w:bookmarkStart w:id="391" w:name="_Toc184310332"/>
      <w:bookmarkEnd w:id="391"/>
      <w:bookmarkStart w:id="392" w:name="_Toc184313245"/>
      <w:bookmarkEnd w:id="392"/>
      <w:r>
        <w:rPr>
          <w:rFonts w:hint="eastAsia" w:ascii="宋体" w:hAnsi="宋体" w:cs="宋体"/>
          <w:b/>
          <w:color w:val="auto"/>
          <w:sz w:val="36"/>
          <w:szCs w:val="36"/>
        </w:rPr>
        <w:t>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3545"/>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序号</w:t>
            </w:r>
          </w:p>
        </w:tc>
        <w:tc>
          <w:tcPr>
            <w:tcW w:w="3545"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评标标准</w:t>
            </w:r>
          </w:p>
        </w:tc>
        <w:tc>
          <w:tcPr>
            <w:tcW w:w="764"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最高分值</w:t>
            </w:r>
          </w:p>
        </w:tc>
        <w:tc>
          <w:tcPr>
            <w:tcW w:w="1147" w:type="dxa"/>
            <w:vAlign w:val="center"/>
          </w:tcPr>
          <w:p>
            <w:pPr>
              <w:snapToGrid w:val="0"/>
              <w:spacing w:line="360" w:lineRule="auto"/>
              <w:jc w:val="center"/>
              <w:rPr>
                <w:rFonts w:hint="eastAsia" w:ascii="宋体" w:hAnsi="宋体" w:eastAsia="宋体" w:cs="宋体"/>
                <w:bCs/>
                <w:color w:val="auto"/>
                <w:sz w:val="24"/>
                <w:highlight w:val="none"/>
                <w:shd w:val="clear" w:color="auto" w:fill="auto"/>
              </w:rPr>
            </w:pPr>
            <w:r>
              <w:rPr>
                <w:rFonts w:hint="eastAsia" w:ascii="宋体" w:hAnsi="宋体" w:eastAsia="宋体" w:cs="宋体"/>
                <w:bCs/>
                <w:color w:val="auto"/>
                <w:sz w:val="24"/>
                <w:highlight w:val="none"/>
                <w:shd w:val="clear" w:color="auto" w:fill="auto"/>
              </w:rPr>
              <w:t>主观分/客观分属性</w:t>
            </w:r>
          </w:p>
        </w:tc>
        <w:tc>
          <w:tcPr>
            <w:tcW w:w="2150" w:type="dxa"/>
            <w:vAlign w:val="top"/>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bCs/>
                <w:color w:val="auto"/>
                <w:sz w:val="24"/>
                <w:highlight w:val="none"/>
                <w:shd w:val="clear" w:color="auto" w:fill="auto"/>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w:t>
            </w:r>
          </w:p>
        </w:tc>
        <w:tc>
          <w:tcPr>
            <w:tcW w:w="3545" w:type="dxa"/>
            <w:vAlign w:val="top"/>
          </w:tcPr>
          <w:p>
            <w:pPr>
              <w:pStyle w:val="61"/>
              <w:spacing w:before="0" w:beforeAutospacing="0" w:after="0" w:afterAutospacing="0" w:line="240" w:lineRule="auto"/>
              <w:ind w:left="0" w:leftChars="0" w:right="0" w:firstLine="0"/>
              <w:jc w:val="both"/>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根据本项目物业使用特点提出合理的物业管理服务理念，拟提出整体设想及策划:</w:t>
            </w:r>
          </w:p>
          <w:p>
            <w:pPr>
              <w:pStyle w:val="61"/>
              <w:spacing w:before="0" w:beforeAutospacing="0" w:after="0" w:afterAutospacing="0" w:line="240" w:lineRule="auto"/>
              <w:ind w:left="0" w:leftChars="0" w:right="0" w:firstLine="0" w:firstLineChars="0"/>
              <w:jc w:val="both"/>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1)物业管理总体设想; (0-1分)</w:t>
            </w:r>
          </w:p>
          <w:p>
            <w:pPr>
              <w:pStyle w:val="61"/>
              <w:spacing w:before="0" w:beforeAutospacing="0" w:after="0" w:afterAutospacing="0" w:line="240" w:lineRule="auto"/>
              <w:ind w:left="0" w:leftChars="0" w:right="0" w:firstLine="0" w:firstLineChars="0"/>
              <w:jc w:val="both"/>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2)管理深度和广度的做法; (0-1分)</w:t>
            </w:r>
          </w:p>
          <w:p>
            <w:pPr>
              <w:pStyle w:val="61"/>
              <w:spacing w:before="0" w:beforeAutospacing="0" w:after="0" w:afterAutospacing="0" w:line="240" w:lineRule="auto"/>
              <w:ind w:left="0" w:leftChars="0" w:right="0" w:firstLine="0" w:firstLineChars="0"/>
              <w:jc w:val="both"/>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3)超前性、创造性、全方位贴心服务的意识; (0-1分)</w:t>
            </w:r>
          </w:p>
          <w:p>
            <w:pPr>
              <w:pStyle w:val="19"/>
              <w:spacing w:line="240" w:lineRule="auto"/>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4)创造优美舒适、安全文明、洁净环境的设想。(0-1分) </w:t>
            </w:r>
          </w:p>
          <w:p>
            <w:pPr>
              <w:pStyle w:val="19"/>
              <w:spacing w:line="240" w:lineRule="auto"/>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kern w:val="2"/>
                <w:sz w:val="24"/>
                <w:szCs w:val="24"/>
                <w:highlight w:val="none"/>
                <w:shd w:val="clear" w:color="auto" w:fill="auto"/>
                <w:lang w:val="en-US" w:eastAsia="zh-CN" w:bidi="ar-SA"/>
              </w:rPr>
              <w:t>注：每一项</w:t>
            </w:r>
            <w:r>
              <w:rPr>
                <w:rFonts w:hint="eastAsia" w:ascii="宋体" w:hAnsi="宋体" w:eastAsia="宋体" w:cs="宋体"/>
                <w:bCs/>
                <w:color w:val="auto"/>
                <w:kern w:val="2"/>
                <w:sz w:val="24"/>
                <w:szCs w:val="24"/>
                <w:highlight w:val="none"/>
                <w:shd w:val="clear" w:color="auto" w:fill="auto"/>
                <w:lang w:val="en-US" w:eastAsia="zh-CN" w:bidi="ar-SA"/>
              </w:rPr>
              <w:t>全面且合理可行的得1分，部分合理存在不足的得0.5分，极少部分合理的得0.25分，无相关内容或不合理的不得分。</w:t>
            </w:r>
          </w:p>
        </w:tc>
        <w:tc>
          <w:tcPr>
            <w:tcW w:w="764" w:type="dxa"/>
            <w:vAlign w:val="center"/>
          </w:tcPr>
          <w:p>
            <w:pPr>
              <w:snapToGrid w:val="0"/>
              <w:spacing w:line="360" w:lineRule="auto"/>
              <w:ind w:right="29" w:rightChars="14"/>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4</w:t>
            </w:r>
          </w:p>
        </w:tc>
        <w:tc>
          <w:tcPr>
            <w:tcW w:w="1147" w:type="dxa"/>
            <w:vAlign w:val="center"/>
          </w:tcPr>
          <w:p>
            <w:pPr>
              <w:snapToGrid w:val="0"/>
              <w:spacing w:line="360" w:lineRule="auto"/>
              <w:ind w:right="29" w:rightChars="14"/>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主观分</w:t>
            </w:r>
          </w:p>
        </w:tc>
        <w:tc>
          <w:tcPr>
            <w:tcW w:w="2150" w:type="dxa"/>
            <w:vAlign w:val="center"/>
          </w:tcPr>
          <w:p>
            <w:pPr>
              <w:snapToGrid w:val="0"/>
              <w:spacing w:line="360" w:lineRule="auto"/>
              <w:ind w:right="29" w:rightChars="14"/>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szCs w:val="24"/>
                <w:highlight w:val="none"/>
                <w:shd w:val="clear" w:color="auto" w:fill="auto"/>
              </w:rPr>
              <w:t>物业管理服务理念、组织架构及管理制度情况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w:t>
            </w:r>
          </w:p>
        </w:tc>
        <w:tc>
          <w:tcPr>
            <w:tcW w:w="3545" w:type="dxa"/>
            <w:vAlign w:val="center"/>
          </w:tcPr>
          <w:p>
            <w:pPr>
              <w:pStyle w:val="61"/>
              <w:pageBreakBefore w:val="0"/>
              <w:widowControl w:val="0"/>
              <w:kinsoku/>
              <w:wordWrap/>
              <w:overflowPunct/>
              <w:topLinePunct w:val="0"/>
              <w:autoSpaceDE/>
              <w:autoSpaceDN/>
              <w:bidi w:val="0"/>
              <w:snapToGrid/>
              <w:spacing w:before="0" w:beforeAutospacing="0" w:after="0" w:afterAutospacing="0" w:line="240" w:lineRule="auto"/>
              <w:ind w:left="0" w:leftChars="0" w:right="0" w:firstLine="0"/>
              <w:textAlignment w:val="auto"/>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管理方式、工作计划和物资装备情况:</w:t>
            </w:r>
          </w:p>
          <w:p>
            <w:pPr>
              <w:pStyle w:val="61"/>
              <w:pageBreakBefore w:val="0"/>
              <w:widowControl w:val="0"/>
              <w:kinsoku/>
              <w:wordWrap/>
              <w:overflowPunct/>
              <w:topLinePunct w:val="0"/>
              <w:autoSpaceDE/>
              <w:autoSpaceDN/>
              <w:bidi w:val="0"/>
              <w:snapToGrid/>
              <w:spacing w:before="0" w:beforeAutospacing="0" w:after="0" w:afterAutospacing="0" w:line="240" w:lineRule="auto"/>
              <w:ind w:left="0" w:leftChars="0" w:right="0" w:firstLine="0" w:firstLineChars="0"/>
              <w:textAlignment w:val="auto"/>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1)管理方式:内部管理架构、激励机制、监督机制、自我约束机制、信息反馈及处理机制等; (0-1分)</w:t>
            </w:r>
          </w:p>
          <w:p>
            <w:pPr>
              <w:pStyle w:val="61"/>
              <w:pageBreakBefore w:val="0"/>
              <w:widowControl w:val="0"/>
              <w:kinsoku/>
              <w:wordWrap/>
              <w:overflowPunct/>
              <w:topLinePunct w:val="0"/>
              <w:autoSpaceDE/>
              <w:autoSpaceDN/>
              <w:bidi w:val="0"/>
              <w:snapToGrid/>
              <w:spacing w:before="0" w:beforeAutospacing="0" w:after="0" w:afterAutospacing="0" w:line="240" w:lineRule="auto"/>
              <w:ind w:left="0" w:leftChars="0" w:right="0" w:firstLine="0" w:firstLineChars="0"/>
              <w:textAlignment w:val="auto"/>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2)工作计划:工作流程、各项管理、服务项目的长远计划和短期安排等; (0-1分)</w:t>
            </w:r>
          </w:p>
          <w:p>
            <w:pPr>
              <w:pageBreakBefore w:val="0"/>
              <w:widowControl w:val="0"/>
              <w:kinsoku/>
              <w:wordWrap/>
              <w:overflowPunct/>
              <w:topLinePunct w:val="0"/>
              <w:autoSpaceDE/>
              <w:autoSpaceDN/>
              <w:bidi w:val="0"/>
              <w:snapToGrid/>
              <w:spacing w:before="0" w:beforeAutospacing="0" w:after="0" w:afterAutospacing="0" w:line="240" w:lineRule="auto"/>
              <w:ind w:left="0" w:leftChars="0" w:right="0"/>
              <w:textAlignment w:val="auto"/>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3)物资装备:管理服务人员器械、交通工具以及通讯、安全防范装备及办公用品等。(0-1分)</w:t>
            </w:r>
          </w:p>
          <w:p>
            <w:pPr>
              <w:pStyle w:val="4"/>
              <w:pageBreakBefore w:val="0"/>
              <w:widowControl w:val="0"/>
              <w:tabs>
                <w:tab w:val="left" w:pos="0"/>
                <w:tab w:val="clear" w:pos="432"/>
              </w:tabs>
              <w:kinsoku/>
              <w:wordWrap/>
              <w:overflowPunct/>
              <w:topLinePunct w:val="0"/>
              <w:autoSpaceDE/>
              <w:autoSpaceDN/>
              <w:bidi w:val="0"/>
              <w:snapToGrid/>
              <w:spacing w:line="240" w:lineRule="auto"/>
              <w:ind w:left="0" w:leftChars="0" w:firstLine="0" w:firstLineChars="0"/>
              <w:textAlignment w:val="auto"/>
              <w:rPr>
                <w:rFonts w:hint="eastAsia"/>
                <w:color w:val="auto"/>
                <w:highlight w:val="none"/>
                <w:shd w:val="clear" w:color="auto" w:fill="auto"/>
                <w:lang w:val="en-US" w:eastAsia="zh-CN"/>
              </w:rPr>
            </w:pPr>
            <w:r>
              <w:rPr>
                <w:rFonts w:hint="eastAsia" w:ascii="宋体" w:hAnsi="宋体" w:eastAsia="宋体" w:cs="宋体"/>
                <w:b w:val="0"/>
                <w:bCs/>
                <w:color w:val="auto"/>
                <w:kern w:val="2"/>
                <w:sz w:val="24"/>
                <w:szCs w:val="24"/>
                <w:highlight w:val="none"/>
                <w:shd w:val="clear" w:color="auto" w:fill="auto"/>
                <w:lang w:val="en-US" w:eastAsia="zh-CN" w:bidi="ar-SA"/>
              </w:rPr>
              <w:t>注：每一项全面且合理可行的得1分，部分合理存在不足的得0.5分，极少部分合理的得0.25分，无相关内容或不合理的不得分。</w:t>
            </w:r>
          </w:p>
        </w:tc>
        <w:tc>
          <w:tcPr>
            <w:tcW w:w="764" w:type="dxa"/>
            <w:vAlign w:val="center"/>
          </w:tcPr>
          <w:p>
            <w:pPr>
              <w:spacing w:before="0" w:beforeAutospacing="0" w:after="0" w:afterAutospacing="0"/>
              <w:ind w:left="0" w:leftChars="0" w:right="0"/>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3</w:t>
            </w:r>
          </w:p>
        </w:tc>
        <w:tc>
          <w:tcPr>
            <w:tcW w:w="1147" w:type="dxa"/>
            <w:vAlign w:val="center"/>
          </w:tcPr>
          <w:p>
            <w:pPr>
              <w:snapToGrid w:val="0"/>
              <w:spacing w:line="360" w:lineRule="auto"/>
              <w:ind w:right="29" w:rightChars="14"/>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主观分</w:t>
            </w:r>
          </w:p>
        </w:tc>
        <w:tc>
          <w:tcPr>
            <w:tcW w:w="2150" w:type="dxa"/>
            <w:vAlign w:val="center"/>
          </w:tcPr>
          <w:p>
            <w:pPr>
              <w:snapToGrid w:val="0"/>
              <w:spacing w:line="360" w:lineRule="auto"/>
              <w:ind w:right="29" w:rightChars="14"/>
              <w:jc w:val="center"/>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lang w:eastAsia="zh-CN"/>
              </w:rPr>
              <w:t>管理方式及工作计划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3</w:t>
            </w:r>
          </w:p>
        </w:tc>
        <w:tc>
          <w:tcPr>
            <w:tcW w:w="3545" w:type="dxa"/>
            <w:vAlign w:val="center"/>
          </w:tcPr>
          <w:p>
            <w:pPr>
              <w:pStyle w:val="61"/>
              <w:spacing w:before="0" w:beforeAutospacing="0" w:after="0" w:afterAutospacing="0"/>
              <w:ind w:left="0" w:leftChars="0" w:right="0" w:firstLine="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人员的配备、培训、管理:</w:t>
            </w:r>
          </w:p>
          <w:p>
            <w:pPr>
              <w:pStyle w:val="61"/>
              <w:spacing w:before="0" w:beforeAutospacing="0" w:after="0" w:afterAutospacing="0"/>
              <w:ind w:left="0" w:leftChars="0" w:right="0" w:firstLine="0" w:firstLineChars="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1)人员配备:项目负责人简历、各类人员数量、文化素质、专业素质、各岗位人员的配置、拟派的管理人员持证上岗的比例等；(0-2分)</w:t>
            </w:r>
          </w:p>
          <w:p>
            <w:pPr>
              <w:pStyle w:val="61"/>
              <w:spacing w:before="0" w:beforeAutospacing="0" w:after="0" w:afterAutospacing="0"/>
              <w:ind w:left="0" w:leftChars="0" w:right="0" w:firstLine="0" w:firstLineChars="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2)人员培训:对各类人员的培训计划、方式、目标及行为规范的培训等; (0-2分)</w:t>
            </w:r>
          </w:p>
          <w:p>
            <w:pPr>
              <w:spacing w:before="0" w:beforeAutospacing="0" w:after="0" w:afterAutospacing="0"/>
              <w:ind w:left="0" w:leftChars="0" w:right="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3)人员的管理:录用与考核、淘汰机制、奖罚、协调关系、服务意识、量化管理及标准运作等。(0-2分)</w:t>
            </w:r>
          </w:p>
          <w:p>
            <w:pPr>
              <w:spacing w:before="0" w:beforeAutospacing="0" w:after="0" w:afterAutospacing="0" w:line="240" w:lineRule="auto"/>
              <w:ind w:left="0" w:leftChars="0" w:right="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bCs/>
                <w:i w:val="0"/>
                <w:iCs w:val="0"/>
                <w:color w:val="auto"/>
                <w:kern w:val="2"/>
                <w:sz w:val="24"/>
                <w:szCs w:val="24"/>
                <w:highlight w:val="none"/>
                <w:shd w:val="clear" w:color="auto" w:fill="auto"/>
                <w:lang w:val="en-US" w:eastAsia="zh-CN" w:bidi="ar-SA"/>
              </w:rPr>
              <w:t>注：每一项</w:t>
            </w:r>
            <w:r>
              <w:rPr>
                <w:rFonts w:hint="eastAsia" w:ascii="宋体" w:hAnsi="宋体" w:eastAsia="宋体" w:cs="宋体"/>
                <w:bCs/>
                <w:i w:val="0"/>
                <w:iCs w:val="0"/>
                <w:color w:val="auto"/>
                <w:kern w:val="2"/>
                <w:sz w:val="24"/>
                <w:szCs w:val="24"/>
                <w:highlight w:val="none"/>
                <w:shd w:val="clear" w:color="auto" w:fill="auto"/>
                <w:lang w:val="en-US" w:eastAsia="zh-CN" w:bidi="ar-SA"/>
              </w:rPr>
              <w:t>全面且合理可行的得</w:t>
            </w:r>
            <w:r>
              <w:rPr>
                <w:rFonts w:hint="eastAsia" w:ascii="宋体" w:hAnsi="宋体" w:cs="宋体"/>
                <w:bCs/>
                <w:i w:val="0"/>
                <w:iCs w:val="0"/>
                <w:color w:val="auto"/>
                <w:kern w:val="2"/>
                <w:sz w:val="24"/>
                <w:szCs w:val="24"/>
                <w:highlight w:val="none"/>
                <w:shd w:val="clear" w:color="auto" w:fill="auto"/>
                <w:lang w:val="en-US" w:eastAsia="zh-CN" w:bidi="ar-SA"/>
              </w:rPr>
              <w:t>2</w:t>
            </w:r>
            <w:r>
              <w:rPr>
                <w:rFonts w:hint="eastAsia" w:ascii="宋体" w:hAnsi="宋体" w:eastAsia="宋体" w:cs="宋体"/>
                <w:bCs/>
                <w:i w:val="0"/>
                <w:iCs w:val="0"/>
                <w:color w:val="auto"/>
                <w:kern w:val="2"/>
                <w:sz w:val="24"/>
                <w:szCs w:val="24"/>
                <w:highlight w:val="none"/>
                <w:shd w:val="clear" w:color="auto" w:fill="auto"/>
                <w:lang w:val="en-US" w:eastAsia="zh-CN" w:bidi="ar-SA"/>
              </w:rPr>
              <w:t>分，部分合理存在不足的得</w:t>
            </w:r>
            <w:r>
              <w:rPr>
                <w:rFonts w:hint="eastAsia" w:ascii="宋体" w:hAnsi="宋体" w:cs="宋体"/>
                <w:bCs/>
                <w:i w:val="0"/>
                <w:iCs w:val="0"/>
                <w:color w:val="auto"/>
                <w:kern w:val="2"/>
                <w:sz w:val="24"/>
                <w:szCs w:val="24"/>
                <w:highlight w:val="none"/>
                <w:shd w:val="clear" w:color="auto" w:fill="auto"/>
                <w:lang w:val="en-US" w:eastAsia="zh-CN" w:bidi="ar-SA"/>
              </w:rPr>
              <w:t>1</w:t>
            </w:r>
            <w:r>
              <w:rPr>
                <w:rFonts w:hint="eastAsia" w:ascii="宋体" w:hAnsi="宋体" w:eastAsia="宋体" w:cs="宋体"/>
                <w:bCs/>
                <w:i w:val="0"/>
                <w:iCs w:val="0"/>
                <w:color w:val="auto"/>
                <w:kern w:val="2"/>
                <w:sz w:val="24"/>
                <w:szCs w:val="24"/>
                <w:highlight w:val="none"/>
                <w:shd w:val="clear" w:color="auto" w:fill="auto"/>
                <w:lang w:val="en-US" w:eastAsia="zh-CN" w:bidi="ar-SA"/>
              </w:rPr>
              <w:t>分，极少部分合理的得</w:t>
            </w:r>
            <w:r>
              <w:rPr>
                <w:rFonts w:hint="eastAsia" w:ascii="宋体" w:hAnsi="宋体" w:cs="宋体"/>
                <w:bCs/>
                <w:i w:val="0"/>
                <w:iCs w:val="0"/>
                <w:color w:val="auto"/>
                <w:kern w:val="2"/>
                <w:sz w:val="24"/>
                <w:szCs w:val="24"/>
                <w:highlight w:val="none"/>
                <w:shd w:val="clear" w:color="auto" w:fill="auto"/>
                <w:lang w:val="en-US" w:eastAsia="zh-CN" w:bidi="ar-SA"/>
              </w:rPr>
              <w:t>0.5</w:t>
            </w:r>
            <w:r>
              <w:rPr>
                <w:rFonts w:hint="eastAsia" w:ascii="宋体" w:hAnsi="宋体" w:eastAsia="宋体" w:cs="宋体"/>
                <w:bCs/>
                <w:i w:val="0"/>
                <w:iCs w:val="0"/>
                <w:color w:val="auto"/>
                <w:kern w:val="2"/>
                <w:sz w:val="24"/>
                <w:szCs w:val="24"/>
                <w:highlight w:val="none"/>
                <w:shd w:val="clear" w:color="auto" w:fill="auto"/>
                <w:lang w:val="en-US" w:eastAsia="zh-CN" w:bidi="ar-SA"/>
              </w:rPr>
              <w:t>分，无相关内容或不合理的不得分。</w:t>
            </w:r>
          </w:p>
        </w:tc>
        <w:tc>
          <w:tcPr>
            <w:tcW w:w="764" w:type="dxa"/>
            <w:vAlign w:val="center"/>
          </w:tcPr>
          <w:p>
            <w:pPr>
              <w:spacing w:before="0" w:beforeAutospacing="0" w:after="0" w:afterAutospacing="0"/>
              <w:ind w:left="0" w:leftChars="0" w:right="0"/>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6</w:t>
            </w:r>
          </w:p>
        </w:tc>
        <w:tc>
          <w:tcPr>
            <w:tcW w:w="1147"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主观分</w:t>
            </w:r>
          </w:p>
        </w:tc>
        <w:tc>
          <w:tcPr>
            <w:tcW w:w="2150" w:type="dxa"/>
            <w:vAlign w:val="top"/>
          </w:tcPr>
          <w:p>
            <w:pPr>
              <w:snapToGrid w:val="0"/>
              <w:spacing w:line="360" w:lineRule="auto"/>
              <w:jc w:val="center"/>
              <w:rPr>
                <w:rFonts w:hint="eastAsia" w:ascii="宋体" w:hAnsi="宋体" w:eastAsia="宋体" w:cs="宋体"/>
                <w:color w:val="auto"/>
                <w:sz w:val="24"/>
                <w:highlight w:val="none"/>
                <w:shd w:val="clear" w:color="auto" w:fill="auto"/>
                <w:lang w:eastAsia="zh-CN"/>
              </w:rPr>
            </w:pPr>
          </w:p>
          <w:p>
            <w:pPr>
              <w:snapToGrid w:val="0"/>
              <w:spacing w:line="360" w:lineRule="auto"/>
              <w:jc w:val="center"/>
              <w:rPr>
                <w:rFonts w:hint="eastAsia" w:ascii="宋体" w:hAnsi="宋体" w:eastAsia="宋体" w:cs="宋体"/>
                <w:color w:val="auto"/>
                <w:sz w:val="24"/>
                <w:highlight w:val="none"/>
                <w:shd w:val="clear" w:color="auto" w:fill="auto"/>
                <w:lang w:eastAsia="zh-CN"/>
              </w:rPr>
            </w:pPr>
          </w:p>
          <w:p>
            <w:pPr>
              <w:snapToGrid w:val="0"/>
              <w:spacing w:line="360" w:lineRule="auto"/>
              <w:jc w:val="center"/>
              <w:rPr>
                <w:rFonts w:hint="eastAsia" w:ascii="宋体" w:hAnsi="宋体" w:eastAsia="宋体" w:cs="宋体"/>
                <w:color w:val="auto"/>
                <w:sz w:val="24"/>
                <w:highlight w:val="none"/>
                <w:shd w:val="clear" w:color="auto" w:fill="auto"/>
                <w:lang w:eastAsia="zh-CN"/>
              </w:rPr>
            </w:pPr>
          </w:p>
          <w:p>
            <w:pPr>
              <w:snapToGrid w:val="0"/>
              <w:spacing w:line="360" w:lineRule="auto"/>
              <w:jc w:val="center"/>
              <w:rPr>
                <w:rFonts w:hint="eastAsia" w:ascii="宋体" w:hAnsi="宋体" w:eastAsia="宋体" w:cs="宋体"/>
                <w:color w:val="auto"/>
                <w:sz w:val="24"/>
                <w:highlight w:val="none"/>
                <w:shd w:val="clear" w:color="auto" w:fill="auto"/>
                <w:lang w:eastAsia="zh-CN"/>
              </w:rPr>
            </w:pPr>
          </w:p>
          <w:p>
            <w:pPr>
              <w:snapToGrid w:val="0"/>
              <w:spacing w:line="360" w:lineRule="auto"/>
              <w:jc w:val="center"/>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lang w:eastAsia="zh-CN"/>
              </w:rPr>
              <w:t>人员配备方案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4</w:t>
            </w:r>
          </w:p>
        </w:tc>
        <w:tc>
          <w:tcPr>
            <w:tcW w:w="3545" w:type="dxa"/>
            <w:vAlign w:val="center"/>
          </w:tcPr>
          <w:p>
            <w:pPr>
              <w:pStyle w:val="61"/>
              <w:spacing w:before="0" w:beforeAutospacing="0" w:after="0" w:afterAutospacing="0"/>
              <w:ind w:left="0" w:leftChars="0" w:right="0" w:firstLine="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管理规章制度:</w:t>
            </w:r>
          </w:p>
          <w:p>
            <w:pPr>
              <w:pStyle w:val="61"/>
              <w:spacing w:before="0" w:beforeAutospacing="0" w:after="0" w:afterAutospacing="0"/>
              <w:ind w:left="0" w:leftChars="0" w:right="0" w:firstLine="0" w:firstLineChars="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1)公众制度、企业内部岗位责任制、管理维护运作制度及标准、人员考核制度及标准等，要求符合规范，体现高标准、科学合理、详细完整; (0-2分)</w:t>
            </w:r>
          </w:p>
          <w:p>
            <w:pPr>
              <w:spacing w:before="0" w:beforeAutospacing="0" w:after="0" w:afterAutospacing="0"/>
              <w:ind w:left="0" w:leftChars="0" w:right="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2)档案的建立与管理:维修档案、巡视记录、运行档案、 投诉与回访记录、其他管理服务流动记录及档案。(0-2分)</w:t>
            </w:r>
          </w:p>
          <w:p>
            <w:pPr>
              <w:spacing w:before="0" w:beforeAutospacing="0" w:after="0" w:afterAutospacing="0"/>
              <w:ind w:left="0" w:leftChars="0" w:right="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i w:val="0"/>
                <w:iCs w:val="0"/>
                <w:color w:val="auto"/>
                <w:kern w:val="2"/>
                <w:sz w:val="24"/>
                <w:szCs w:val="24"/>
                <w:highlight w:val="none"/>
                <w:u w:val="none"/>
                <w:shd w:val="clear" w:color="auto" w:fill="auto"/>
                <w:lang w:val="en-US" w:eastAsia="zh-CN" w:bidi="ar-SA"/>
              </w:rPr>
              <w:t>注：每一项</w:t>
            </w:r>
            <w:r>
              <w:rPr>
                <w:rFonts w:hint="eastAsia" w:ascii="宋体" w:hAnsi="宋体" w:eastAsia="宋体" w:cs="宋体"/>
                <w:bCs/>
                <w:i w:val="0"/>
                <w:iCs w:val="0"/>
                <w:color w:val="auto"/>
                <w:kern w:val="2"/>
                <w:sz w:val="24"/>
                <w:szCs w:val="24"/>
                <w:highlight w:val="none"/>
                <w:u w:val="none"/>
                <w:shd w:val="clear" w:color="auto" w:fill="auto"/>
                <w:lang w:val="en-US" w:eastAsia="zh-CN" w:bidi="ar-SA"/>
              </w:rPr>
              <w:t>全面且合理可行的得</w:t>
            </w:r>
            <w:r>
              <w:rPr>
                <w:rFonts w:hint="eastAsia" w:ascii="宋体" w:hAnsi="宋体" w:cs="宋体"/>
                <w:bCs/>
                <w:i w:val="0"/>
                <w:iCs w:val="0"/>
                <w:color w:val="auto"/>
                <w:kern w:val="2"/>
                <w:sz w:val="24"/>
                <w:szCs w:val="24"/>
                <w:highlight w:val="none"/>
                <w:u w:val="none"/>
                <w:shd w:val="clear" w:color="auto" w:fill="auto"/>
                <w:lang w:val="en-US" w:eastAsia="zh-CN" w:bidi="ar-SA"/>
              </w:rPr>
              <w:t>2</w:t>
            </w:r>
            <w:r>
              <w:rPr>
                <w:rFonts w:hint="eastAsia" w:ascii="宋体" w:hAnsi="宋体" w:eastAsia="宋体" w:cs="宋体"/>
                <w:bCs/>
                <w:i w:val="0"/>
                <w:iCs w:val="0"/>
                <w:color w:val="auto"/>
                <w:kern w:val="2"/>
                <w:sz w:val="24"/>
                <w:szCs w:val="24"/>
                <w:highlight w:val="none"/>
                <w:u w:val="none"/>
                <w:shd w:val="clear" w:color="auto" w:fill="auto"/>
                <w:lang w:val="en-US" w:eastAsia="zh-CN" w:bidi="ar-SA"/>
              </w:rPr>
              <w:t>分，部分合理存在不足的得</w:t>
            </w:r>
            <w:r>
              <w:rPr>
                <w:rFonts w:hint="eastAsia" w:ascii="宋体" w:hAnsi="宋体" w:cs="宋体"/>
                <w:bCs/>
                <w:i w:val="0"/>
                <w:iCs w:val="0"/>
                <w:color w:val="auto"/>
                <w:kern w:val="2"/>
                <w:sz w:val="24"/>
                <w:szCs w:val="24"/>
                <w:highlight w:val="none"/>
                <w:u w:val="none"/>
                <w:shd w:val="clear" w:color="auto" w:fill="auto"/>
                <w:lang w:val="en-US" w:eastAsia="zh-CN" w:bidi="ar-SA"/>
              </w:rPr>
              <w:t>1</w:t>
            </w:r>
            <w:r>
              <w:rPr>
                <w:rFonts w:hint="eastAsia" w:ascii="宋体" w:hAnsi="宋体" w:eastAsia="宋体" w:cs="宋体"/>
                <w:bCs/>
                <w:i w:val="0"/>
                <w:iCs w:val="0"/>
                <w:color w:val="auto"/>
                <w:kern w:val="2"/>
                <w:sz w:val="24"/>
                <w:szCs w:val="24"/>
                <w:highlight w:val="none"/>
                <w:u w:val="none"/>
                <w:shd w:val="clear" w:color="auto" w:fill="auto"/>
                <w:lang w:val="en-US" w:eastAsia="zh-CN" w:bidi="ar-SA"/>
              </w:rPr>
              <w:t>分，极少部分合理的得</w:t>
            </w:r>
            <w:r>
              <w:rPr>
                <w:rFonts w:hint="eastAsia" w:ascii="宋体" w:hAnsi="宋体" w:cs="宋体"/>
                <w:bCs/>
                <w:i w:val="0"/>
                <w:iCs w:val="0"/>
                <w:color w:val="auto"/>
                <w:kern w:val="2"/>
                <w:sz w:val="24"/>
                <w:szCs w:val="24"/>
                <w:highlight w:val="none"/>
                <w:u w:val="none"/>
                <w:shd w:val="clear" w:color="auto" w:fill="auto"/>
                <w:lang w:val="en-US" w:eastAsia="zh-CN" w:bidi="ar-SA"/>
              </w:rPr>
              <w:t>0.5</w:t>
            </w:r>
            <w:r>
              <w:rPr>
                <w:rFonts w:hint="eastAsia" w:ascii="宋体" w:hAnsi="宋体" w:eastAsia="宋体" w:cs="宋体"/>
                <w:bCs/>
                <w:i w:val="0"/>
                <w:iCs w:val="0"/>
                <w:color w:val="auto"/>
                <w:kern w:val="2"/>
                <w:sz w:val="24"/>
                <w:szCs w:val="24"/>
                <w:highlight w:val="none"/>
                <w:u w:val="none"/>
                <w:shd w:val="clear" w:color="auto" w:fill="auto"/>
                <w:lang w:val="en-US" w:eastAsia="zh-CN" w:bidi="ar-SA"/>
              </w:rPr>
              <w:t>分，无相关内容或不合理的不得分。</w:t>
            </w:r>
          </w:p>
        </w:tc>
        <w:tc>
          <w:tcPr>
            <w:tcW w:w="764" w:type="dxa"/>
            <w:vAlign w:val="center"/>
          </w:tcPr>
          <w:p>
            <w:pPr>
              <w:spacing w:before="0" w:beforeAutospacing="0" w:after="0" w:afterAutospacing="0"/>
              <w:ind w:left="0" w:leftChars="0" w:right="0"/>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4</w:t>
            </w:r>
          </w:p>
        </w:tc>
        <w:tc>
          <w:tcPr>
            <w:tcW w:w="1147"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主观分</w:t>
            </w:r>
          </w:p>
        </w:tc>
        <w:tc>
          <w:tcPr>
            <w:tcW w:w="2150" w:type="dxa"/>
            <w:vAlign w:val="top"/>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物业管理服务方案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lang w:val="en-US" w:eastAsia="zh-CN"/>
              </w:rPr>
              <w:t>5</w:t>
            </w:r>
          </w:p>
        </w:tc>
        <w:tc>
          <w:tcPr>
            <w:tcW w:w="3545" w:type="dxa"/>
            <w:vAlign w:val="center"/>
          </w:tcPr>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物业物品要求:详细说明投入的管理设备、工具的环保性和优越性，提供相关设备、工具、材料的品牌、型号、产地、数量等清单，品种数量配置是否合理；（0-</w:t>
            </w:r>
            <w:r>
              <w:rPr>
                <w:rFonts w:hint="eastAsia" w:ascii="宋体" w:hAnsi="宋体" w:eastAsia="宋体" w:cs="宋体"/>
                <w:bCs/>
                <w:color w:val="auto"/>
                <w:kern w:val="2"/>
                <w:sz w:val="24"/>
                <w:szCs w:val="24"/>
                <w:highlight w:val="none"/>
                <w:shd w:val="clear" w:color="auto" w:fill="auto"/>
                <w:lang w:eastAsia="zh-CN" w:bidi="ar-SA"/>
              </w:rPr>
              <w:t>4分</w:t>
            </w:r>
            <w:r>
              <w:rPr>
                <w:rFonts w:hint="eastAsia" w:ascii="宋体" w:hAnsi="宋体" w:eastAsia="宋体" w:cs="宋体"/>
                <w:bCs/>
                <w:color w:val="auto"/>
                <w:kern w:val="2"/>
                <w:sz w:val="24"/>
                <w:szCs w:val="24"/>
                <w:highlight w:val="none"/>
                <w:shd w:val="clear" w:color="auto" w:fill="auto"/>
                <w:lang w:val="en-US" w:eastAsia="zh-CN" w:bidi="ar-SA"/>
              </w:rPr>
              <w:t>）</w:t>
            </w:r>
          </w:p>
          <w:p>
            <w:pPr>
              <w:adjustRightInd w:val="0"/>
              <w:snapToGrid w:val="0"/>
              <w:spacing w:line="400" w:lineRule="atLeast"/>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kern w:val="2"/>
                <w:sz w:val="24"/>
                <w:szCs w:val="24"/>
                <w:highlight w:val="none"/>
                <w:shd w:val="clear" w:color="auto" w:fill="auto"/>
                <w:lang w:val="en-US" w:eastAsia="zh-CN" w:bidi="ar-SA"/>
              </w:rPr>
              <w:t>注：</w:t>
            </w:r>
            <w:r>
              <w:rPr>
                <w:rFonts w:hint="eastAsia" w:ascii="宋体" w:hAnsi="宋体" w:eastAsia="宋体" w:cs="宋体"/>
                <w:bCs/>
                <w:color w:val="auto"/>
                <w:kern w:val="2"/>
                <w:sz w:val="24"/>
                <w:szCs w:val="24"/>
                <w:highlight w:val="none"/>
                <w:shd w:val="clear" w:color="auto" w:fill="auto"/>
                <w:lang w:val="en-US" w:eastAsia="zh-CN" w:bidi="ar-SA"/>
              </w:rPr>
              <w:t>全面且合理可行的得</w:t>
            </w:r>
            <w:r>
              <w:rPr>
                <w:rFonts w:hint="eastAsia" w:ascii="宋体" w:hAnsi="宋体" w:cs="宋体"/>
                <w:bCs/>
                <w:color w:val="auto"/>
                <w:kern w:val="2"/>
                <w:sz w:val="24"/>
                <w:szCs w:val="24"/>
                <w:highlight w:val="none"/>
                <w:shd w:val="clear" w:color="auto" w:fill="auto"/>
                <w:lang w:val="en-US" w:eastAsia="zh-CN" w:bidi="ar-SA"/>
              </w:rPr>
              <w:t>4</w:t>
            </w:r>
            <w:r>
              <w:rPr>
                <w:rFonts w:hint="eastAsia" w:ascii="宋体" w:hAnsi="宋体" w:eastAsia="宋体" w:cs="宋体"/>
                <w:bCs/>
                <w:color w:val="auto"/>
                <w:kern w:val="2"/>
                <w:sz w:val="24"/>
                <w:szCs w:val="24"/>
                <w:highlight w:val="none"/>
                <w:shd w:val="clear" w:color="auto" w:fill="auto"/>
                <w:lang w:val="en-US" w:eastAsia="zh-CN" w:bidi="ar-SA"/>
              </w:rPr>
              <w:t>分，部分合理存在不足的得</w:t>
            </w:r>
            <w:r>
              <w:rPr>
                <w:rFonts w:hint="eastAsia" w:ascii="宋体" w:hAnsi="宋体" w:cs="宋体"/>
                <w:bCs/>
                <w:color w:val="auto"/>
                <w:kern w:val="2"/>
                <w:sz w:val="24"/>
                <w:szCs w:val="24"/>
                <w:highlight w:val="none"/>
                <w:shd w:val="clear" w:color="auto" w:fill="auto"/>
                <w:lang w:val="en-US" w:eastAsia="zh-CN" w:bidi="ar-SA"/>
              </w:rPr>
              <w:t>2</w:t>
            </w:r>
            <w:r>
              <w:rPr>
                <w:rFonts w:hint="eastAsia" w:ascii="宋体" w:hAnsi="宋体" w:eastAsia="宋体" w:cs="宋体"/>
                <w:bCs/>
                <w:color w:val="auto"/>
                <w:kern w:val="2"/>
                <w:sz w:val="24"/>
                <w:szCs w:val="24"/>
                <w:highlight w:val="none"/>
                <w:shd w:val="clear" w:color="auto" w:fill="auto"/>
                <w:lang w:val="en-US" w:eastAsia="zh-CN" w:bidi="ar-SA"/>
              </w:rPr>
              <w:t>分，极少部分合理的得</w:t>
            </w:r>
            <w:r>
              <w:rPr>
                <w:rFonts w:hint="eastAsia" w:ascii="宋体" w:hAnsi="宋体" w:cs="宋体"/>
                <w:bCs/>
                <w:color w:val="auto"/>
                <w:kern w:val="2"/>
                <w:sz w:val="24"/>
                <w:szCs w:val="24"/>
                <w:highlight w:val="none"/>
                <w:shd w:val="clear" w:color="auto" w:fill="auto"/>
                <w:lang w:val="en-US" w:eastAsia="zh-CN" w:bidi="ar-SA"/>
              </w:rPr>
              <w:t>1</w:t>
            </w:r>
            <w:r>
              <w:rPr>
                <w:rFonts w:hint="eastAsia" w:ascii="宋体" w:hAnsi="宋体" w:eastAsia="宋体" w:cs="宋体"/>
                <w:bCs/>
                <w:color w:val="auto"/>
                <w:kern w:val="2"/>
                <w:sz w:val="24"/>
                <w:szCs w:val="24"/>
                <w:highlight w:val="none"/>
                <w:shd w:val="clear" w:color="auto" w:fill="auto"/>
                <w:lang w:val="en-US" w:eastAsia="zh-CN" w:bidi="ar-SA"/>
              </w:rPr>
              <w:t>分，无相关内容或不合理的不得分。</w:t>
            </w:r>
          </w:p>
        </w:tc>
        <w:tc>
          <w:tcPr>
            <w:tcW w:w="764" w:type="dxa"/>
            <w:vAlign w:val="center"/>
          </w:tcPr>
          <w:p>
            <w:pPr>
              <w:adjustRightInd w:val="0"/>
              <w:snapToGrid w:val="0"/>
              <w:spacing w:line="400" w:lineRule="atLeast"/>
              <w:ind w:firstLine="240" w:firstLineChars="100"/>
              <w:jc w:val="center"/>
              <w:rPr>
                <w:rFonts w:hint="eastAsia" w:ascii="宋体" w:hAnsi="宋体" w:eastAsia="宋体" w:cs="宋体"/>
                <w:bCs/>
                <w:color w:val="auto"/>
                <w:kern w:val="2"/>
                <w:sz w:val="24"/>
                <w:szCs w:val="24"/>
                <w:highlight w:val="none"/>
                <w:shd w:val="clear" w:color="auto" w:fill="auto"/>
                <w:lang w:eastAsia="zh-CN" w:bidi="ar-SA"/>
              </w:rPr>
            </w:pPr>
            <w:r>
              <w:rPr>
                <w:rFonts w:hint="eastAsia" w:ascii="宋体" w:hAnsi="宋体" w:eastAsia="宋体" w:cs="宋体"/>
                <w:bCs/>
                <w:color w:val="auto"/>
                <w:kern w:val="2"/>
                <w:sz w:val="24"/>
                <w:szCs w:val="24"/>
                <w:highlight w:val="none"/>
                <w:shd w:val="clear" w:color="auto" w:fill="auto"/>
                <w:lang w:eastAsia="zh-CN" w:bidi="ar-SA"/>
              </w:rPr>
              <w:t>4</w:t>
            </w:r>
          </w:p>
        </w:tc>
        <w:tc>
          <w:tcPr>
            <w:tcW w:w="1147"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主观分</w:t>
            </w:r>
          </w:p>
        </w:tc>
        <w:tc>
          <w:tcPr>
            <w:tcW w:w="2150" w:type="dxa"/>
            <w:vAlign w:val="top"/>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项目实施的物资配置计划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6</w:t>
            </w:r>
          </w:p>
        </w:tc>
        <w:tc>
          <w:tcPr>
            <w:tcW w:w="3545" w:type="dxa"/>
            <w:vAlign w:val="center"/>
          </w:tcPr>
          <w:p>
            <w:pPr>
              <w:pStyle w:val="61"/>
              <w:spacing w:before="0" w:beforeAutospacing="0" w:after="0" w:afterAutospacing="0"/>
              <w:ind w:left="0" w:leftChars="0" w:right="0" w:firstLine="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合理化建议:</w:t>
            </w:r>
          </w:p>
          <w:p>
            <w:pPr>
              <w:pStyle w:val="61"/>
              <w:spacing w:before="0" w:beforeAutospacing="0" w:after="0" w:afterAutospacing="0"/>
              <w:ind w:left="0" w:leftChars="0" w:right="0" w:firstLine="0" w:firstLineChars="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1)对本项目提出的建议具有合理性; (0-2分)</w:t>
            </w:r>
          </w:p>
          <w:p>
            <w:pPr>
              <w:spacing w:before="0" w:beforeAutospacing="0" w:after="0" w:afterAutospacing="0"/>
              <w:ind w:left="0" w:leftChars="0" w:right="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2)针对建议提出的管理方案具有可操作性。(0-2分)</w:t>
            </w:r>
          </w:p>
          <w:p>
            <w:pPr>
              <w:spacing w:before="0" w:beforeAutospacing="0" w:after="0" w:afterAutospacing="0"/>
              <w:ind w:left="0" w:leftChars="0" w:right="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kern w:val="2"/>
                <w:sz w:val="24"/>
                <w:szCs w:val="24"/>
                <w:highlight w:val="none"/>
                <w:shd w:val="clear" w:color="auto" w:fill="auto"/>
                <w:lang w:val="en-US" w:eastAsia="zh-CN" w:bidi="ar-SA"/>
              </w:rPr>
              <w:t>注：每一项</w:t>
            </w:r>
            <w:r>
              <w:rPr>
                <w:rFonts w:hint="eastAsia" w:ascii="宋体" w:hAnsi="宋体" w:eastAsia="宋体" w:cs="宋体"/>
                <w:bCs/>
                <w:color w:val="auto"/>
                <w:kern w:val="2"/>
                <w:sz w:val="24"/>
                <w:szCs w:val="24"/>
                <w:highlight w:val="none"/>
                <w:shd w:val="clear" w:color="auto" w:fill="auto"/>
                <w:lang w:val="en-US" w:eastAsia="zh-CN" w:bidi="ar-SA"/>
              </w:rPr>
              <w:t>全面且合理可行的得</w:t>
            </w:r>
            <w:r>
              <w:rPr>
                <w:rFonts w:hint="eastAsia" w:ascii="宋体" w:hAnsi="宋体" w:cs="宋体"/>
                <w:bCs/>
                <w:color w:val="auto"/>
                <w:kern w:val="2"/>
                <w:sz w:val="24"/>
                <w:szCs w:val="24"/>
                <w:highlight w:val="none"/>
                <w:shd w:val="clear" w:color="auto" w:fill="auto"/>
                <w:lang w:val="en-US" w:eastAsia="zh-CN" w:bidi="ar-SA"/>
              </w:rPr>
              <w:t>2</w:t>
            </w:r>
            <w:r>
              <w:rPr>
                <w:rFonts w:hint="eastAsia" w:ascii="宋体" w:hAnsi="宋体" w:eastAsia="宋体" w:cs="宋体"/>
                <w:bCs/>
                <w:color w:val="auto"/>
                <w:kern w:val="2"/>
                <w:sz w:val="24"/>
                <w:szCs w:val="24"/>
                <w:highlight w:val="none"/>
                <w:shd w:val="clear" w:color="auto" w:fill="auto"/>
                <w:lang w:val="en-US" w:eastAsia="zh-CN" w:bidi="ar-SA"/>
              </w:rPr>
              <w:t>分，部分合理存在不足的得</w:t>
            </w:r>
            <w:r>
              <w:rPr>
                <w:rFonts w:hint="eastAsia" w:ascii="宋体" w:hAnsi="宋体" w:cs="宋体"/>
                <w:bCs/>
                <w:color w:val="auto"/>
                <w:kern w:val="2"/>
                <w:sz w:val="24"/>
                <w:szCs w:val="24"/>
                <w:highlight w:val="none"/>
                <w:shd w:val="clear" w:color="auto" w:fill="auto"/>
                <w:lang w:val="en-US" w:eastAsia="zh-CN" w:bidi="ar-SA"/>
              </w:rPr>
              <w:t>1</w:t>
            </w:r>
            <w:r>
              <w:rPr>
                <w:rFonts w:hint="eastAsia" w:ascii="宋体" w:hAnsi="宋体" w:eastAsia="宋体" w:cs="宋体"/>
                <w:bCs/>
                <w:color w:val="auto"/>
                <w:kern w:val="2"/>
                <w:sz w:val="24"/>
                <w:szCs w:val="24"/>
                <w:highlight w:val="none"/>
                <w:shd w:val="clear" w:color="auto" w:fill="auto"/>
                <w:lang w:val="en-US" w:eastAsia="zh-CN" w:bidi="ar-SA"/>
              </w:rPr>
              <w:t>分，极少部分合理的得</w:t>
            </w:r>
            <w:r>
              <w:rPr>
                <w:rFonts w:hint="eastAsia" w:ascii="宋体" w:hAnsi="宋体" w:cs="宋体"/>
                <w:bCs/>
                <w:color w:val="auto"/>
                <w:kern w:val="2"/>
                <w:sz w:val="24"/>
                <w:szCs w:val="24"/>
                <w:highlight w:val="none"/>
                <w:shd w:val="clear" w:color="auto" w:fill="auto"/>
                <w:lang w:val="en-US" w:eastAsia="zh-CN" w:bidi="ar-SA"/>
              </w:rPr>
              <w:t>0.5</w:t>
            </w:r>
            <w:r>
              <w:rPr>
                <w:rFonts w:hint="eastAsia" w:ascii="宋体" w:hAnsi="宋体" w:eastAsia="宋体" w:cs="宋体"/>
                <w:bCs/>
                <w:color w:val="auto"/>
                <w:kern w:val="2"/>
                <w:sz w:val="24"/>
                <w:szCs w:val="24"/>
                <w:highlight w:val="none"/>
                <w:shd w:val="clear" w:color="auto" w:fill="auto"/>
                <w:lang w:val="en-US" w:eastAsia="zh-CN" w:bidi="ar-SA"/>
              </w:rPr>
              <w:t>分，无相关内容或不合理的不得分。</w:t>
            </w:r>
          </w:p>
        </w:tc>
        <w:tc>
          <w:tcPr>
            <w:tcW w:w="764" w:type="dxa"/>
            <w:vAlign w:val="center"/>
          </w:tcPr>
          <w:p>
            <w:pPr>
              <w:spacing w:before="0" w:beforeAutospacing="0" w:after="0" w:afterAutospacing="0"/>
              <w:ind w:left="0" w:leftChars="0" w:right="0"/>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4</w:t>
            </w:r>
          </w:p>
        </w:tc>
        <w:tc>
          <w:tcPr>
            <w:tcW w:w="1147"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主观分</w:t>
            </w:r>
          </w:p>
        </w:tc>
        <w:tc>
          <w:tcPr>
            <w:tcW w:w="2150" w:type="dxa"/>
            <w:vAlign w:val="top"/>
          </w:tcPr>
          <w:p>
            <w:pPr>
              <w:snapToGrid w:val="0"/>
              <w:spacing w:line="360" w:lineRule="auto"/>
              <w:jc w:val="center"/>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lang w:eastAsia="zh-CN"/>
              </w:rPr>
              <w:t>合理化建议方案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7</w:t>
            </w:r>
          </w:p>
        </w:tc>
        <w:tc>
          <w:tcPr>
            <w:tcW w:w="3545" w:type="dxa"/>
            <w:vAlign w:val="top"/>
          </w:tcPr>
          <w:p>
            <w:pPr>
              <w:pStyle w:val="61"/>
              <w:numPr>
                <w:ilvl w:val="0"/>
                <w:numId w:val="0"/>
              </w:numPr>
              <w:spacing w:before="0" w:beforeAutospacing="0" w:after="0" w:afterAutospacing="0"/>
              <w:ind w:left="0" w:leftChars="0" w:right="0" w:firstLine="0" w:firstLineChars="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1.自有高压</w:t>
            </w:r>
            <w:r>
              <w:rPr>
                <w:rFonts w:hint="eastAsia" w:cs="宋体"/>
                <w:bCs/>
                <w:color w:val="auto"/>
                <w:kern w:val="2"/>
                <w:sz w:val="24"/>
                <w:szCs w:val="24"/>
                <w:highlight w:val="none"/>
                <w:shd w:val="clear" w:color="auto" w:fill="auto"/>
                <w:lang w:val="en-US" w:eastAsia="zh-CN" w:bidi="ar-SA"/>
              </w:rPr>
              <w:t>清洗车</w:t>
            </w:r>
            <w:r>
              <w:rPr>
                <w:rFonts w:hint="eastAsia" w:ascii="宋体" w:hAnsi="宋体" w:eastAsia="宋体" w:cs="宋体"/>
                <w:bCs/>
                <w:color w:val="auto"/>
                <w:kern w:val="2"/>
                <w:sz w:val="24"/>
                <w:szCs w:val="24"/>
                <w:highlight w:val="none"/>
                <w:shd w:val="clear" w:color="auto" w:fill="auto"/>
                <w:lang w:val="en-US" w:eastAsia="zh-CN" w:bidi="ar-SA"/>
              </w:rPr>
              <w:t>得2分，租赁的得1分，承诺的得0.5分，本项最高得2分；</w:t>
            </w:r>
          </w:p>
          <w:p>
            <w:pPr>
              <w:pStyle w:val="61"/>
              <w:numPr>
                <w:ilvl w:val="0"/>
                <w:numId w:val="0"/>
              </w:numPr>
              <w:spacing w:before="0" w:beforeAutospacing="0" w:after="0" w:afterAutospacing="0"/>
              <w:ind w:left="0" w:leftChars="0" w:right="0" w:firstLine="0" w:firstLineChars="0"/>
              <w:rPr>
                <w:rFonts w:hint="eastAsia" w:ascii="宋体" w:hAnsi="宋体" w:eastAsia="宋体" w:cs="宋体"/>
                <w:bCs/>
                <w:color w:val="auto"/>
                <w:kern w:val="2"/>
                <w:sz w:val="24"/>
                <w:szCs w:val="24"/>
                <w:highlight w:val="none"/>
                <w:shd w:val="clear" w:color="auto" w:fill="auto"/>
                <w:lang w:val="en-US" w:eastAsia="zh-CN" w:bidi="ar-SA"/>
              </w:rPr>
            </w:pPr>
            <w:r>
              <w:rPr>
                <w:rFonts w:hint="eastAsia" w:cs="宋体"/>
                <w:bCs/>
                <w:color w:val="auto"/>
                <w:kern w:val="2"/>
                <w:sz w:val="24"/>
                <w:szCs w:val="24"/>
                <w:highlight w:val="none"/>
                <w:shd w:val="clear" w:color="auto" w:fill="auto"/>
                <w:lang w:val="en-US" w:eastAsia="zh-CN" w:bidi="ar-SA"/>
              </w:rPr>
              <w:t>2</w:t>
            </w:r>
            <w:r>
              <w:rPr>
                <w:rFonts w:hint="eastAsia" w:ascii="宋体" w:hAnsi="宋体" w:eastAsia="宋体" w:cs="宋体"/>
                <w:bCs/>
                <w:color w:val="auto"/>
                <w:kern w:val="2"/>
                <w:sz w:val="24"/>
                <w:szCs w:val="24"/>
                <w:highlight w:val="none"/>
                <w:shd w:val="clear" w:color="auto" w:fill="auto"/>
                <w:lang w:val="en-US" w:eastAsia="zh-CN" w:bidi="ar-SA"/>
              </w:rPr>
              <w:t>.自有洗地机1台的得2，租赁的得1分，承诺的得0.5分，本项最高得2分；</w:t>
            </w:r>
          </w:p>
          <w:p>
            <w:pPr>
              <w:pStyle w:val="61"/>
              <w:numPr>
                <w:ilvl w:val="0"/>
                <w:numId w:val="0"/>
              </w:numPr>
              <w:spacing w:before="0" w:beforeAutospacing="0" w:after="0" w:afterAutospacing="0"/>
              <w:ind w:left="0" w:leftChars="0" w:right="0" w:firstLine="0" w:firstLineChars="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（需提供投标单位自有设备发票扫描件和实物照片；租赁的提供租赁合同发票和实物照片；承诺的提供承诺书和实物照片；不提供的，该项不得分。）</w:t>
            </w:r>
          </w:p>
        </w:tc>
        <w:tc>
          <w:tcPr>
            <w:tcW w:w="764" w:type="dxa"/>
            <w:vAlign w:val="center"/>
          </w:tcPr>
          <w:p>
            <w:pPr>
              <w:snapToGrid w:val="0"/>
              <w:spacing w:line="360" w:lineRule="auto"/>
              <w:jc w:val="center"/>
              <w:rPr>
                <w:rFonts w:hint="eastAsia" w:ascii="宋体" w:hAnsi="宋体" w:eastAsia="宋体" w:cs="宋体"/>
                <w:bCs/>
                <w:color w:val="auto"/>
                <w:kern w:val="2"/>
                <w:sz w:val="24"/>
                <w:szCs w:val="24"/>
                <w:highlight w:val="none"/>
                <w:shd w:val="clear" w:color="auto" w:fill="auto"/>
                <w:lang w:val="en-US" w:eastAsia="zh-CN" w:bidi="ar-SA"/>
              </w:rPr>
            </w:pPr>
          </w:p>
          <w:p>
            <w:pPr>
              <w:snapToGrid w:val="0"/>
              <w:spacing w:line="360" w:lineRule="auto"/>
              <w:jc w:val="center"/>
              <w:rPr>
                <w:rFonts w:hint="eastAsia" w:ascii="宋体" w:hAnsi="宋体" w:eastAsia="宋体" w:cs="宋体"/>
                <w:bCs/>
                <w:color w:val="auto"/>
                <w:kern w:val="2"/>
                <w:sz w:val="24"/>
                <w:szCs w:val="24"/>
                <w:highlight w:val="none"/>
                <w:shd w:val="clear" w:color="auto" w:fill="auto"/>
                <w:lang w:val="en-US" w:eastAsia="zh-CN" w:bidi="ar-SA"/>
              </w:rPr>
            </w:pPr>
          </w:p>
          <w:p>
            <w:pPr>
              <w:snapToGrid w:val="0"/>
              <w:spacing w:line="360" w:lineRule="auto"/>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kern w:val="2"/>
                <w:sz w:val="24"/>
                <w:szCs w:val="24"/>
                <w:highlight w:val="none"/>
                <w:shd w:val="clear" w:color="auto" w:fill="auto"/>
                <w:lang w:val="en-US" w:eastAsia="zh-CN" w:bidi="ar-SA"/>
              </w:rPr>
              <w:t>4</w:t>
            </w:r>
          </w:p>
        </w:tc>
        <w:tc>
          <w:tcPr>
            <w:tcW w:w="1147"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客观</w:t>
            </w:r>
            <w:r>
              <w:rPr>
                <w:rFonts w:hint="eastAsia" w:ascii="宋体" w:hAnsi="宋体" w:eastAsia="宋体" w:cs="宋体"/>
                <w:color w:val="auto"/>
                <w:sz w:val="24"/>
                <w:highlight w:val="none"/>
                <w:shd w:val="clear" w:color="auto" w:fill="auto"/>
              </w:rPr>
              <w:t>分</w:t>
            </w:r>
          </w:p>
        </w:tc>
        <w:tc>
          <w:tcPr>
            <w:tcW w:w="2150" w:type="dxa"/>
            <w:vAlign w:val="top"/>
          </w:tcPr>
          <w:p>
            <w:pPr>
              <w:snapToGrid w:val="0"/>
              <w:spacing w:line="360" w:lineRule="auto"/>
              <w:jc w:val="both"/>
              <w:rPr>
                <w:rFonts w:hint="eastAsia" w:ascii="宋体" w:hAnsi="宋体" w:eastAsia="宋体" w:cs="宋体"/>
                <w:color w:val="auto"/>
                <w:sz w:val="24"/>
                <w:highlight w:val="none"/>
                <w:shd w:val="clear" w:color="auto" w:fill="auto"/>
                <w:lang w:val="en-US"/>
              </w:rPr>
            </w:pPr>
            <w:r>
              <w:rPr>
                <w:rFonts w:hint="eastAsia" w:ascii="宋体" w:hAnsi="宋体" w:eastAsia="宋体" w:cs="宋体"/>
                <w:bCs/>
                <w:color w:val="auto"/>
                <w:kern w:val="2"/>
                <w:sz w:val="24"/>
                <w:szCs w:val="24"/>
                <w:highlight w:val="none"/>
                <w:shd w:val="clear" w:color="auto" w:fill="auto"/>
                <w:lang w:val="en-US" w:eastAsia="zh-CN" w:bidi="ar-SA"/>
              </w:rPr>
              <w:t>日常运行设备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8</w:t>
            </w:r>
          </w:p>
        </w:tc>
        <w:tc>
          <w:tcPr>
            <w:tcW w:w="3545" w:type="dxa"/>
            <w:vAlign w:val="center"/>
          </w:tcPr>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物业管理与服务方案:</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1)公共区域清洁卫生服务:</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①有科学、可执行性的管理目标，制度健全规范; (0-1分)</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②有规范的管理作业质量标准、制订可执行性的内部考核方法；(0-1分)</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③有垃圾分类实施方案及考核细则；(0-1分)</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2)公共区域秩序维护服务:</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①有科学、可执行性的管理目标，制度健全规范; (0-1 分)</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②有规范的管理作业质量标准、制订可执行性的内部考核方法；(0-1分)</w:t>
            </w:r>
          </w:p>
          <w:p>
            <w:pPr>
              <w:pStyle w:val="4"/>
              <w:numPr>
                <w:ilvl w:val="0"/>
                <w:numId w:val="0"/>
              </w:numPr>
              <w:ind w:leftChars="0" w:firstLine="480" w:firstLineChars="200"/>
              <w:jc w:val="both"/>
              <w:rPr>
                <w:rFonts w:hint="eastAsia" w:ascii="宋体" w:hAnsi="宋体" w:eastAsia="宋体" w:cs="宋体"/>
                <w:b w:val="0"/>
                <w:bCs w:val="0"/>
                <w:color w:val="auto"/>
                <w:sz w:val="24"/>
                <w:highlight w:val="none"/>
                <w:shd w:val="clear" w:color="auto" w:fill="auto"/>
              </w:rPr>
            </w:pPr>
            <w:r>
              <w:rPr>
                <w:rFonts w:hint="eastAsia" w:ascii="宋体" w:hAnsi="宋体" w:eastAsia="宋体" w:cs="宋体"/>
                <w:b w:val="0"/>
                <w:bCs w:val="0"/>
                <w:color w:val="auto"/>
                <w:sz w:val="24"/>
                <w:highlight w:val="none"/>
                <w:shd w:val="clear" w:color="auto" w:fill="auto"/>
                <w:lang w:val="en-US" w:eastAsia="zh-CN"/>
              </w:rPr>
              <w:t>3)</w:t>
            </w:r>
            <w:r>
              <w:rPr>
                <w:rFonts w:hint="eastAsia" w:ascii="宋体" w:hAnsi="宋体" w:eastAsia="宋体" w:cs="宋体"/>
                <w:b w:val="0"/>
                <w:bCs w:val="0"/>
                <w:color w:val="auto"/>
                <w:sz w:val="24"/>
                <w:highlight w:val="none"/>
                <w:shd w:val="clear" w:color="auto" w:fill="auto"/>
              </w:rPr>
              <w:t>会务服务方案有：</w:t>
            </w:r>
          </w:p>
          <w:p>
            <w:pPr>
              <w:pStyle w:val="4"/>
              <w:numPr>
                <w:ilvl w:val="0"/>
                <w:numId w:val="0"/>
              </w:numPr>
              <w:ind w:leftChars="0" w:firstLine="480" w:firstLineChars="200"/>
              <w:jc w:val="both"/>
              <w:rPr>
                <w:rFonts w:hint="eastAsia" w:ascii="宋体" w:hAnsi="宋体" w:eastAsia="宋体" w:cs="宋体"/>
                <w:b w:val="0"/>
                <w:bCs w:val="0"/>
                <w:color w:val="auto"/>
                <w:sz w:val="24"/>
                <w:highlight w:val="none"/>
                <w:shd w:val="clear" w:color="auto" w:fill="auto"/>
                <w:lang w:val="en-US" w:eastAsia="zh-CN"/>
              </w:rPr>
            </w:pPr>
            <w:r>
              <w:rPr>
                <w:rFonts w:hint="eastAsia" w:ascii="宋体" w:hAnsi="宋体" w:eastAsia="宋体" w:cs="宋体"/>
                <w:b w:val="0"/>
                <w:bCs w:val="0"/>
                <w:color w:val="auto"/>
                <w:sz w:val="24"/>
                <w:highlight w:val="none"/>
                <w:shd w:val="clear" w:color="auto" w:fill="auto"/>
              </w:rPr>
              <w:t>①会前准备方案；</w:t>
            </w:r>
            <w:r>
              <w:rPr>
                <w:rFonts w:hint="eastAsia" w:ascii="宋体" w:hAnsi="宋体" w:eastAsia="宋体" w:cs="宋体"/>
                <w:b w:val="0"/>
                <w:bCs w:val="0"/>
                <w:color w:val="auto"/>
                <w:sz w:val="24"/>
                <w:highlight w:val="none"/>
                <w:shd w:val="clear" w:color="auto" w:fill="auto"/>
                <w:lang w:val="en-US" w:eastAsia="zh-CN"/>
              </w:rPr>
              <w:t>(0-1分)</w:t>
            </w:r>
          </w:p>
          <w:p>
            <w:pPr>
              <w:pStyle w:val="4"/>
              <w:numPr>
                <w:ilvl w:val="0"/>
                <w:numId w:val="0"/>
              </w:numPr>
              <w:ind w:leftChars="0" w:firstLine="480" w:firstLineChars="200"/>
              <w:jc w:val="both"/>
              <w:rPr>
                <w:rFonts w:hint="eastAsia" w:ascii="宋体" w:hAnsi="宋体" w:eastAsia="宋体" w:cs="宋体"/>
                <w:b w:val="0"/>
                <w:bCs w:val="0"/>
                <w:color w:val="auto"/>
                <w:sz w:val="24"/>
                <w:highlight w:val="none"/>
                <w:shd w:val="clear" w:color="auto" w:fill="auto"/>
              </w:rPr>
            </w:pPr>
            <w:r>
              <w:rPr>
                <w:rFonts w:hint="eastAsia" w:ascii="宋体" w:hAnsi="宋体" w:eastAsia="宋体" w:cs="宋体"/>
                <w:b w:val="0"/>
                <w:bCs w:val="0"/>
                <w:color w:val="auto"/>
                <w:sz w:val="24"/>
                <w:highlight w:val="none"/>
                <w:shd w:val="clear" w:color="auto" w:fill="auto"/>
              </w:rPr>
              <w:t>②会中服务方案；</w:t>
            </w:r>
            <w:r>
              <w:rPr>
                <w:rFonts w:hint="eastAsia" w:ascii="宋体" w:hAnsi="宋体" w:eastAsia="宋体" w:cs="宋体"/>
                <w:b w:val="0"/>
                <w:bCs w:val="0"/>
                <w:color w:val="auto"/>
                <w:sz w:val="24"/>
                <w:highlight w:val="none"/>
                <w:shd w:val="clear" w:color="auto" w:fill="auto"/>
                <w:lang w:val="en-US" w:eastAsia="zh-CN"/>
              </w:rPr>
              <w:t>(0-1分)</w:t>
            </w:r>
          </w:p>
          <w:p>
            <w:pPr>
              <w:pStyle w:val="4"/>
              <w:numPr>
                <w:ilvl w:val="0"/>
                <w:numId w:val="0"/>
              </w:numPr>
              <w:ind w:leftChars="0" w:firstLine="480" w:firstLineChars="200"/>
              <w:jc w:val="both"/>
              <w:rPr>
                <w:rFonts w:hint="eastAsia" w:ascii="宋体" w:hAnsi="宋体" w:eastAsia="宋体" w:cs="宋体"/>
                <w:b w:val="0"/>
                <w:bCs w:val="0"/>
                <w:color w:val="auto"/>
                <w:sz w:val="24"/>
                <w:highlight w:val="none"/>
                <w:shd w:val="clear" w:color="auto" w:fill="auto"/>
              </w:rPr>
            </w:pPr>
            <w:r>
              <w:rPr>
                <w:rFonts w:hint="eastAsia" w:ascii="宋体" w:hAnsi="宋体" w:eastAsia="宋体" w:cs="宋体"/>
                <w:b w:val="0"/>
                <w:bCs w:val="0"/>
                <w:color w:val="auto"/>
                <w:sz w:val="24"/>
                <w:highlight w:val="none"/>
                <w:shd w:val="clear" w:color="auto" w:fill="auto"/>
              </w:rPr>
              <w:t>③会后整理方案；</w:t>
            </w:r>
            <w:r>
              <w:rPr>
                <w:rFonts w:hint="eastAsia" w:ascii="宋体" w:hAnsi="宋体" w:eastAsia="宋体" w:cs="宋体"/>
                <w:b w:val="0"/>
                <w:bCs w:val="0"/>
                <w:color w:val="auto"/>
                <w:sz w:val="24"/>
                <w:highlight w:val="none"/>
                <w:shd w:val="clear" w:color="auto" w:fill="auto"/>
                <w:lang w:val="en-US" w:eastAsia="zh-CN"/>
              </w:rPr>
              <w:t>(0-1分)</w:t>
            </w:r>
          </w:p>
          <w:p>
            <w:pPr>
              <w:pStyle w:val="4"/>
              <w:numPr>
                <w:ilvl w:val="0"/>
                <w:numId w:val="0"/>
              </w:numPr>
              <w:ind w:leftChars="0" w:firstLine="480" w:firstLineChars="200"/>
              <w:jc w:val="both"/>
              <w:rPr>
                <w:rFonts w:hint="eastAsia" w:ascii="宋体" w:hAnsi="宋体" w:eastAsia="宋体" w:cs="宋体"/>
                <w:b w:val="0"/>
                <w:bCs w:val="0"/>
                <w:color w:val="auto"/>
                <w:sz w:val="24"/>
                <w:highlight w:val="none"/>
                <w:shd w:val="clear" w:color="auto" w:fill="auto"/>
                <w:lang w:val="en-US" w:eastAsia="zh-CN"/>
              </w:rPr>
            </w:pPr>
            <w:r>
              <w:rPr>
                <w:rFonts w:hint="eastAsia" w:ascii="宋体" w:hAnsi="宋体" w:eastAsia="宋体" w:cs="宋体"/>
                <w:b w:val="0"/>
                <w:bCs w:val="0"/>
                <w:color w:val="auto"/>
                <w:sz w:val="24"/>
                <w:highlight w:val="none"/>
                <w:shd w:val="clear" w:color="auto" w:fill="auto"/>
              </w:rPr>
              <w:t>④参观接待和重大活动保障方案。</w:t>
            </w:r>
            <w:r>
              <w:rPr>
                <w:rFonts w:hint="eastAsia" w:ascii="宋体" w:hAnsi="宋体" w:eastAsia="宋体" w:cs="宋体"/>
                <w:b w:val="0"/>
                <w:bCs w:val="0"/>
                <w:color w:val="auto"/>
                <w:sz w:val="24"/>
                <w:highlight w:val="none"/>
                <w:shd w:val="clear" w:color="auto" w:fill="auto"/>
                <w:lang w:val="en-US" w:eastAsia="zh-CN"/>
              </w:rPr>
              <w:t>(0-1分)</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4)共用部位、共用设施设备日常运行、维护服务方案有：</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①公共设施维修方案；(0-1分)</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②共用设备管理与维修养护方案（含供电、给排水、弱电、消防监控系统等）；(0-1分)</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③工程维护物料及器材消耗台账管理方案等；(0-1分)</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④智能化管理方案，含智慧报修、设备管理等(0-1分)</w:t>
            </w:r>
          </w:p>
          <w:p>
            <w:pPr>
              <w:adjustRightInd w:val="0"/>
              <w:snapToGrid w:val="0"/>
              <w:spacing w:line="400" w:lineRule="atLeast"/>
              <w:ind w:left="0" w:leftChars="0" w:firstLine="420" w:firstLineChars="175"/>
              <w:rPr>
                <w:rFonts w:hint="eastAsia" w:ascii="宋体" w:hAnsi="宋体" w:eastAsia="宋体" w:cs="宋体"/>
                <w:color w:val="auto"/>
                <w:highlight w:val="none"/>
                <w:shd w:val="clear" w:color="auto" w:fill="auto"/>
                <w:lang w:val="en-US" w:eastAsia="zh-CN"/>
              </w:rPr>
            </w:pPr>
            <w:r>
              <w:rPr>
                <w:rFonts w:hint="eastAsia" w:ascii="宋体" w:hAnsi="宋体" w:cs="宋体"/>
                <w:b w:val="0"/>
                <w:bCs/>
                <w:color w:val="auto"/>
                <w:kern w:val="2"/>
                <w:sz w:val="24"/>
                <w:szCs w:val="24"/>
                <w:highlight w:val="none"/>
                <w:shd w:val="clear" w:color="auto" w:fill="auto"/>
                <w:lang w:val="en-US" w:eastAsia="zh-CN" w:bidi="ar-SA"/>
              </w:rPr>
              <w:t>注：每一项</w:t>
            </w:r>
            <w:r>
              <w:rPr>
                <w:rFonts w:hint="eastAsia" w:ascii="宋体" w:hAnsi="宋体" w:eastAsia="宋体" w:cs="宋体"/>
                <w:b w:val="0"/>
                <w:bCs/>
                <w:color w:val="auto"/>
                <w:kern w:val="2"/>
                <w:sz w:val="24"/>
                <w:szCs w:val="24"/>
                <w:highlight w:val="none"/>
                <w:shd w:val="clear" w:color="auto" w:fill="auto"/>
                <w:lang w:val="en-US" w:eastAsia="zh-CN" w:bidi="ar-SA"/>
              </w:rPr>
              <w:t>全面且合理可行的得1分，部分合理存在不足的得0.5分，极少部分合理的得0.25分，无相关内容或不合理的不得分。</w:t>
            </w:r>
          </w:p>
        </w:tc>
        <w:tc>
          <w:tcPr>
            <w:tcW w:w="764" w:type="dxa"/>
            <w:vAlign w:val="center"/>
          </w:tcPr>
          <w:p>
            <w:pPr>
              <w:adjustRightInd w:val="0"/>
              <w:snapToGrid w:val="0"/>
              <w:spacing w:line="400" w:lineRule="atLeast"/>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13</w:t>
            </w:r>
          </w:p>
        </w:tc>
        <w:tc>
          <w:tcPr>
            <w:tcW w:w="1147"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主观分</w:t>
            </w:r>
          </w:p>
        </w:tc>
        <w:tc>
          <w:tcPr>
            <w:tcW w:w="2150" w:type="dxa"/>
            <w:vAlign w:val="top"/>
          </w:tcPr>
          <w:p>
            <w:pPr>
              <w:snapToGrid w:val="0"/>
              <w:spacing w:line="360" w:lineRule="auto"/>
              <w:jc w:val="left"/>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color w:val="auto"/>
                <w:sz w:val="24"/>
                <w:highlight w:val="none"/>
                <w:shd w:val="clear" w:color="auto" w:fill="auto"/>
              </w:rPr>
              <w:t>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9</w:t>
            </w:r>
          </w:p>
        </w:tc>
        <w:tc>
          <w:tcPr>
            <w:tcW w:w="3545" w:type="dxa"/>
            <w:vAlign w:val="top"/>
          </w:tcPr>
          <w:p>
            <w:pPr>
              <w:pStyle w:val="61"/>
              <w:spacing w:before="0" w:beforeAutospacing="0" w:after="0" w:afterAutospacing="0"/>
              <w:ind w:left="0" w:leftChars="0" w:right="0" w:firstLine="0" w:firstLineChars="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物业突发事件的应急措施:</w:t>
            </w:r>
          </w:p>
          <w:p>
            <w:pPr>
              <w:pStyle w:val="61"/>
              <w:spacing w:before="0" w:beforeAutospacing="0" w:after="0" w:afterAutospacing="0"/>
              <w:ind w:left="0" w:leftChars="0" w:right="0" w:firstLine="0" w:firstLineChars="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1)物业管理区域内安全防范措施、消防、抗台、抗震等紧急预案；(0-</w:t>
            </w:r>
            <w:r>
              <w:rPr>
                <w:rFonts w:hint="eastAsia" w:ascii="宋体" w:hAnsi="宋体" w:eastAsia="宋体" w:cs="宋体"/>
                <w:bCs/>
                <w:color w:val="auto"/>
                <w:kern w:val="2"/>
                <w:sz w:val="24"/>
                <w:szCs w:val="24"/>
                <w:highlight w:val="none"/>
                <w:shd w:val="clear" w:color="auto" w:fill="auto"/>
                <w:lang w:eastAsia="zh-CN" w:bidi="ar-SA"/>
              </w:rPr>
              <w:t>3</w:t>
            </w:r>
            <w:r>
              <w:rPr>
                <w:rFonts w:hint="eastAsia" w:ascii="宋体" w:hAnsi="宋体" w:eastAsia="宋体" w:cs="宋体"/>
                <w:bCs/>
                <w:color w:val="auto"/>
                <w:kern w:val="2"/>
                <w:sz w:val="24"/>
                <w:szCs w:val="24"/>
                <w:highlight w:val="none"/>
                <w:shd w:val="clear" w:color="auto" w:fill="auto"/>
                <w:lang w:val="en-US" w:eastAsia="zh-CN" w:bidi="ar-SA"/>
              </w:rPr>
              <w:t>分)</w:t>
            </w:r>
          </w:p>
          <w:p>
            <w:pPr>
              <w:snapToGrid w:val="0"/>
              <w:spacing w:line="360" w:lineRule="auto"/>
              <w:jc w:val="left"/>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2)物业管理区域内的防盗、防火的安全防范巡查、应急供电系统、给排水设备、空调系统、电气照明装置等设备应急检修措施等；(0-3分)</w:t>
            </w:r>
          </w:p>
          <w:p>
            <w:pPr>
              <w:snapToGrid w:val="0"/>
              <w:spacing w:line="360" w:lineRule="auto"/>
              <w:jc w:val="left"/>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 w:val="0"/>
                <w:bCs/>
                <w:color w:val="auto"/>
                <w:kern w:val="2"/>
                <w:sz w:val="24"/>
                <w:szCs w:val="24"/>
                <w:highlight w:val="none"/>
                <w:shd w:val="clear" w:color="auto" w:fill="auto"/>
                <w:lang w:val="en-US" w:eastAsia="zh-CN" w:bidi="ar-SA"/>
              </w:rPr>
              <w:t>注：每一项</w:t>
            </w:r>
            <w:r>
              <w:rPr>
                <w:rFonts w:hint="eastAsia" w:ascii="宋体" w:hAnsi="宋体" w:eastAsia="宋体" w:cs="宋体"/>
                <w:b w:val="0"/>
                <w:bCs/>
                <w:color w:val="auto"/>
                <w:kern w:val="2"/>
                <w:sz w:val="24"/>
                <w:szCs w:val="24"/>
                <w:highlight w:val="none"/>
                <w:shd w:val="clear" w:color="auto" w:fill="auto"/>
                <w:lang w:val="en-US" w:eastAsia="zh-CN" w:bidi="ar-SA"/>
              </w:rPr>
              <w:t>全面且合理可行的得</w:t>
            </w:r>
            <w:r>
              <w:rPr>
                <w:rFonts w:hint="eastAsia" w:ascii="宋体" w:hAnsi="宋体" w:cs="宋体"/>
                <w:b w:val="0"/>
                <w:bCs/>
                <w:color w:val="auto"/>
                <w:kern w:val="2"/>
                <w:sz w:val="24"/>
                <w:szCs w:val="24"/>
                <w:highlight w:val="none"/>
                <w:shd w:val="clear" w:color="auto" w:fill="auto"/>
                <w:lang w:val="en-US" w:eastAsia="zh-CN" w:bidi="ar-SA"/>
              </w:rPr>
              <w:t>3</w:t>
            </w:r>
            <w:r>
              <w:rPr>
                <w:rFonts w:hint="eastAsia" w:ascii="宋体" w:hAnsi="宋体" w:eastAsia="宋体" w:cs="宋体"/>
                <w:b w:val="0"/>
                <w:bCs/>
                <w:color w:val="auto"/>
                <w:kern w:val="2"/>
                <w:sz w:val="24"/>
                <w:szCs w:val="24"/>
                <w:highlight w:val="none"/>
                <w:shd w:val="clear" w:color="auto" w:fill="auto"/>
                <w:lang w:val="en-US" w:eastAsia="zh-CN" w:bidi="ar-SA"/>
              </w:rPr>
              <w:t>分，部分合理存在不足的得</w:t>
            </w:r>
            <w:r>
              <w:rPr>
                <w:rFonts w:hint="eastAsia" w:ascii="宋体" w:hAnsi="宋体" w:cs="宋体"/>
                <w:b w:val="0"/>
                <w:bCs/>
                <w:color w:val="auto"/>
                <w:kern w:val="2"/>
                <w:sz w:val="24"/>
                <w:szCs w:val="24"/>
                <w:highlight w:val="none"/>
                <w:shd w:val="clear" w:color="auto" w:fill="auto"/>
                <w:lang w:val="en-US" w:eastAsia="zh-CN" w:bidi="ar-SA"/>
              </w:rPr>
              <w:t>1.5</w:t>
            </w:r>
            <w:r>
              <w:rPr>
                <w:rFonts w:hint="eastAsia" w:ascii="宋体" w:hAnsi="宋体" w:eastAsia="宋体" w:cs="宋体"/>
                <w:b w:val="0"/>
                <w:bCs/>
                <w:color w:val="auto"/>
                <w:kern w:val="2"/>
                <w:sz w:val="24"/>
                <w:szCs w:val="24"/>
                <w:highlight w:val="none"/>
                <w:shd w:val="clear" w:color="auto" w:fill="auto"/>
                <w:lang w:val="en-US" w:eastAsia="zh-CN" w:bidi="ar-SA"/>
              </w:rPr>
              <w:t>分，极少部分合理的得</w:t>
            </w:r>
            <w:r>
              <w:rPr>
                <w:rFonts w:hint="eastAsia" w:ascii="宋体" w:hAnsi="宋体" w:cs="宋体"/>
                <w:b w:val="0"/>
                <w:bCs/>
                <w:color w:val="auto"/>
                <w:kern w:val="2"/>
                <w:sz w:val="24"/>
                <w:szCs w:val="24"/>
                <w:highlight w:val="none"/>
                <w:shd w:val="clear" w:color="auto" w:fill="auto"/>
                <w:lang w:val="en-US" w:eastAsia="zh-CN" w:bidi="ar-SA"/>
              </w:rPr>
              <w:t>0.75</w:t>
            </w:r>
            <w:r>
              <w:rPr>
                <w:rFonts w:hint="eastAsia" w:ascii="宋体" w:hAnsi="宋体" w:eastAsia="宋体" w:cs="宋体"/>
                <w:b w:val="0"/>
                <w:bCs/>
                <w:color w:val="auto"/>
                <w:kern w:val="2"/>
                <w:sz w:val="24"/>
                <w:szCs w:val="24"/>
                <w:highlight w:val="none"/>
                <w:shd w:val="clear" w:color="auto" w:fill="auto"/>
                <w:lang w:val="en-US" w:eastAsia="zh-CN" w:bidi="ar-SA"/>
              </w:rPr>
              <w:t>分，无相关内容或不合理的不得分。</w:t>
            </w:r>
          </w:p>
        </w:tc>
        <w:tc>
          <w:tcPr>
            <w:tcW w:w="764" w:type="dxa"/>
            <w:vAlign w:val="center"/>
          </w:tcPr>
          <w:p>
            <w:pPr>
              <w:snapToGrid w:val="0"/>
              <w:spacing w:line="360" w:lineRule="auto"/>
              <w:jc w:val="center"/>
              <w:rPr>
                <w:rFonts w:hint="eastAsia" w:ascii="宋体" w:hAnsi="宋体" w:eastAsia="宋体" w:cs="宋体"/>
                <w:bCs/>
                <w:color w:val="auto"/>
                <w:kern w:val="2"/>
                <w:sz w:val="24"/>
                <w:szCs w:val="24"/>
                <w:highlight w:val="none"/>
                <w:shd w:val="clear" w:color="auto" w:fill="auto"/>
                <w:lang w:eastAsia="zh-CN" w:bidi="ar-SA"/>
              </w:rPr>
            </w:pPr>
            <w:r>
              <w:rPr>
                <w:rFonts w:hint="eastAsia" w:ascii="宋体" w:hAnsi="宋体" w:eastAsia="宋体" w:cs="宋体"/>
                <w:bCs/>
                <w:color w:val="auto"/>
                <w:kern w:val="2"/>
                <w:sz w:val="24"/>
                <w:szCs w:val="24"/>
                <w:highlight w:val="none"/>
                <w:shd w:val="clear" w:color="auto" w:fill="auto"/>
                <w:lang w:eastAsia="zh-CN" w:bidi="ar-SA"/>
              </w:rPr>
              <w:t>6</w:t>
            </w:r>
          </w:p>
        </w:tc>
        <w:tc>
          <w:tcPr>
            <w:tcW w:w="1147"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主观分</w:t>
            </w:r>
          </w:p>
        </w:tc>
        <w:tc>
          <w:tcPr>
            <w:tcW w:w="2150" w:type="dxa"/>
            <w:vAlign w:val="top"/>
          </w:tcPr>
          <w:p>
            <w:pPr>
              <w:snapToGrid w:val="0"/>
              <w:spacing w:line="360" w:lineRule="auto"/>
              <w:jc w:val="center"/>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应急方案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lang w:val="en-US" w:eastAsia="zh-CN"/>
              </w:rPr>
              <w:t>1</w:t>
            </w:r>
            <w:r>
              <w:rPr>
                <w:rFonts w:hint="eastAsia" w:ascii="宋体" w:hAnsi="宋体" w:eastAsia="宋体" w:cs="宋体"/>
                <w:color w:val="auto"/>
                <w:sz w:val="24"/>
                <w:highlight w:val="none"/>
                <w:shd w:val="clear" w:color="auto" w:fill="auto"/>
                <w:lang w:eastAsia="zh-CN"/>
              </w:rPr>
              <w:t>0</w:t>
            </w:r>
          </w:p>
        </w:tc>
        <w:tc>
          <w:tcPr>
            <w:tcW w:w="3545" w:type="dxa"/>
            <w:vAlign w:val="center"/>
          </w:tcPr>
          <w:p>
            <w:pPr>
              <w:spacing w:line="40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各岗位人员素质情况</w:t>
            </w:r>
            <w:r>
              <w:rPr>
                <w:rFonts w:hint="eastAsia" w:ascii="宋体" w:hAnsi="宋体" w:eastAsia="宋体" w:cs="宋体"/>
                <w:color w:val="auto"/>
                <w:sz w:val="24"/>
                <w:szCs w:val="24"/>
                <w:highlight w:val="none"/>
                <w:shd w:val="clear" w:color="auto" w:fill="auto"/>
                <w:lang w:eastAsia="zh-CN"/>
              </w:rPr>
              <w:t>应</w:t>
            </w:r>
            <w:r>
              <w:rPr>
                <w:rFonts w:hint="eastAsia" w:ascii="宋体" w:hAnsi="宋体" w:eastAsia="宋体" w:cs="宋体"/>
                <w:color w:val="auto"/>
                <w:sz w:val="24"/>
                <w:szCs w:val="24"/>
                <w:highlight w:val="none"/>
                <w:shd w:val="clear" w:color="auto" w:fill="auto"/>
              </w:rPr>
              <w:t>合理，年龄</w:t>
            </w:r>
            <w:r>
              <w:rPr>
                <w:rFonts w:hint="eastAsia" w:ascii="宋体" w:hAnsi="宋体" w:eastAsia="宋体" w:cs="宋体"/>
                <w:color w:val="auto"/>
                <w:sz w:val="24"/>
                <w:szCs w:val="24"/>
                <w:highlight w:val="none"/>
                <w:shd w:val="clear" w:color="auto" w:fill="auto"/>
                <w:lang w:eastAsia="zh-CN"/>
              </w:rPr>
              <w:t>应</w:t>
            </w:r>
            <w:r>
              <w:rPr>
                <w:rFonts w:hint="eastAsia" w:ascii="宋体" w:hAnsi="宋体" w:eastAsia="宋体" w:cs="宋体"/>
                <w:color w:val="auto"/>
                <w:sz w:val="24"/>
                <w:szCs w:val="24"/>
                <w:highlight w:val="none"/>
                <w:shd w:val="clear" w:color="auto" w:fill="auto"/>
              </w:rPr>
              <w:t>符合采购需求，要求提供相关岗位资质</w:t>
            </w:r>
            <w:r>
              <w:rPr>
                <w:rFonts w:hint="eastAsia" w:ascii="宋体" w:hAnsi="宋体" w:eastAsia="宋体" w:cs="宋体"/>
                <w:color w:val="auto"/>
                <w:sz w:val="24"/>
                <w:szCs w:val="24"/>
                <w:highlight w:val="none"/>
                <w:shd w:val="clear" w:color="auto" w:fill="auto"/>
                <w:lang w:eastAsia="zh-CN"/>
              </w:rPr>
              <w:t>扫描件</w:t>
            </w:r>
            <w:r>
              <w:rPr>
                <w:rFonts w:hint="eastAsia" w:ascii="宋体" w:hAnsi="宋体" w:eastAsia="宋体" w:cs="宋体"/>
                <w:color w:val="auto"/>
                <w:sz w:val="24"/>
                <w:szCs w:val="24"/>
                <w:highlight w:val="none"/>
                <w:shd w:val="clear" w:color="auto" w:fill="auto"/>
              </w:rPr>
              <w:t>：</w:t>
            </w:r>
          </w:p>
          <w:p>
            <w:pPr>
              <w:spacing w:line="400" w:lineRule="atLeast"/>
              <w:ind w:firstLine="361"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lang w:val="en-US" w:eastAsia="zh-CN"/>
              </w:rPr>
              <w:t>1、</w:t>
            </w:r>
            <w:r>
              <w:rPr>
                <w:rFonts w:hint="eastAsia" w:ascii="宋体" w:hAnsi="宋体" w:eastAsia="宋体" w:cs="宋体"/>
                <w:b/>
                <w:bCs/>
                <w:color w:val="auto"/>
                <w:sz w:val="24"/>
                <w:szCs w:val="24"/>
                <w:highlight w:val="none"/>
                <w:shd w:val="clear" w:color="auto" w:fill="auto"/>
              </w:rPr>
              <w:t>项目负责人</w:t>
            </w:r>
            <w:r>
              <w:rPr>
                <w:rFonts w:hint="eastAsia" w:ascii="宋体" w:hAnsi="宋体" w:eastAsia="宋体" w:cs="宋体"/>
                <w:color w:val="auto"/>
                <w:sz w:val="24"/>
                <w:szCs w:val="24"/>
                <w:highlight w:val="none"/>
                <w:shd w:val="clear" w:color="auto" w:fill="auto"/>
              </w:rPr>
              <w:t>：</w:t>
            </w:r>
          </w:p>
          <w:p>
            <w:pPr>
              <w:spacing w:line="400" w:lineRule="atLeast"/>
              <w:ind w:firstLine="360" w:firstLineChars="150"/>
              <w:rPr>
                <w:rFonts w:hint="eastAsia" w:ascii="宋体" w:hAnsi="宋体" w:cs="宋体"/>
                <w:color w:val="auto"/>
                <w:sz w:val="24"/>
                <w:highlight w:val="none"/>
                <w:shd w:val="clear" w:color="auto" w:fill="auto"/>
                <w:lang w:eastAsia="zh-CN"/>
              </w:rPr>
            </w:pPr>
            <w:r>
              <w:rPr>
                <w:rFonts w:hint="eastAsia" w:ascii="宋体" w:hAnsi="宋体" w:cs="宋体"/>
                <w:color w:val="auto"/>
                <w:sz w:val="24"/>
                <w:highlight w:val="none"/>
                <w:shd w:val="clear" w:color="auto" w:fill="auto"/>
                <w:lang w:val="en-US" w:eastAsia="zh-CN"/>
              </w:rPr>
              <w:t>①</w:t>
            </w:r>
            <w:r>
              <w:rPr>
                <w:rFonts w:hint="eastAsia" w:ascii="宋体" w:hAnsi="宋体" w:eastAsia="宋体" w:cs="宋体"/>
                <w:color w:val="auto"/>
                <w:sz w:val="24"/>
                <w:highlight w:val="none"/>
                <w:shd w:val="clear" w:color="auto" w:fill="auto"/>
                <w:lang w:val="en-US" w:eastAsia="zh-CN"/>
              </w:rPr>
              <w:t>4</w:t>
            </w:r>
            <w:r>
              <w:rPr>
                <w:rFonts w:hint="eastAsia" w:ascii="宋体" w:hAnsi="宋体" w:cs="宋体"/>
                <w:color w:val="auto"/>
                <w:sz w:val="24"/>
                <w:highlight w:val="none"/>
                <w:shd w:val="clear" w:color="auto" w:fill="auto"/>
                <w:lang w:val="en-US" w:eastAsia="zh-CN"/>
              </w:rPr>
              <w:t>5</w:t>
            </w:r>
            <w:r>
              <w:rPr>
                <w:rFonts w:hint="eastAsia" w:ascii="宋体" w:hAnsi="宋体" w:eastAsia="宋体" w:cs="宋体"/>
                <w:color w:val="auto"/>
                <w:sz w:val="24"/>
                <w:highlight w:val="none"/>
                <w:shd w:val="clear" w:color="auto" w:fill="auto"/>
              </w:rPr>
              <w:t>周岁（含</w:t>
            </w:r>
            <w:r>
              <w:rPr>
                <w:rFonts w:hint="eastAsia" w:ascii="宋体" w:hAnsi="宋体" w:eastAsia="宋体" w:cs="宋体"/>
                <w:color w:val="auto"/>
                <w:sz w:val="24"/>
                <w:highlight w:val="none"/>
                <w:shd w:val="clear" w:color="auto" w:fill="auto"/>
                <w:lang w:val="en-US" w:eastAsia="zh-CN"/>
              </w:rPr>
              <w:t>4</w:t>
            </w:r>
            <w:r>
              <w:rPr>
                <w:rFonts w:hint="eastAsia" w:ascii="宋体" w:hAnsi="宋体" w:cs="宋体"/>
                <w:color w:val="auto"/>
                <w:sz w:val="24"/>
                <w:highlight w:val="none"/>
                <w:shd w:val="clear" w:color="auto" w:fill="auto"/>
                <w:lang w:val="en-US" w:eastAsia="zh-CN"/>
              </w:rPr>
              <w:t>5</w:t>
            </w:r>
            <w:r>
              <w:rPr>
                <w:rFonts w:hint="eastAsia" w:ascii="宋体" w:hAnsi="宋体" w:eastAsia="宋体" w:cs="宋体"/>
                <w:color w:val="auto"/>
                <w:sz w:val="24"/>
                <w:highlight w:val="none"/>
                <w:shd w:val="clear" w:color="auto" w:fill="auto"/>
              </w:rPr>
              <w:t>周岁）及以下的得</w:t>
            </w:r>
            <w:r>
              <w:rPr>
                <w:rFonts w:hint="eastAsia" w:ascii="宋体" w:hAnsi="宋体" w:eastAsia="宋体" w:cs="宋体"/>
                <w:color w:val="auto"/>
                <w:sz w:val="24"/>
                <w:highlight w:val="none"/>
                <w:shd w:val="clear" w:color="auto" w:fill="auto"/>
                <w:lang w:val="en-US" w:eastAsia="zh-CN"/>
              </w:rPr>
              <w:t>2</w:t>
            </w:r>
            <w:r>
              <w:rPr>
                <w:rFonts w:hint="eastAsia" w:ascii="宋体" w:hAnsi="宋体" w:eastAsia="宋体" w:cs="宋体"/>
                <w:color w:val="auto"/>
                <w:sz w:val="24"/>
                <w:highlight w:val="none"/>
                <w:shd w:val="clear" w:color="auto" w:fill="auto"/>
              </w:rPr>
              <w:t>分</w:t>
            </w:r>
            <w:r>
              <w:rPr>
                <w:rFonts w:hint="eastAsia" w:ascii="宋体" w:hAnsi="宋体" w:cs="宋体"/>
                <w:color w:val="auto"/>
                <w:sz w:val="24"/>
                <w:highlight w:val="none"/>
                <w:shd w:val="clear" w:color="auto" w:fill="auto"/>
                <w:lang w:eastAsia="zh-CN"/>
              </w:rPr>
              <w:t>；</w:t>
            </w:r>
          </w:p>
          <w:p>
            <w:pPr>
              <w:spacing w:line="400" w:lineRule="atLeast"/>
              <w:ind w:firstLine="360" w:firstLineChars="15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kern w:val="2"/>
                <w:sz w:val="24"/>
                <w:szCs w:val="24"/>
                <w:highlight w:val="none"/>
                <w:shd w:val="clear" w:color="auto" w:fill="auto"/>
                <w:lang w:val="en-US" w:eastAsia="zh-CN" w:bidi="ar-SA"/>
              </w:rPr>
              <w:t>②</w:t>
            </w:r>
            <w:r>
              <w:rPr>
                <w:rFonts w:hint="eastAsia" w:ascii="宋体" w:hAnsi="宋体" w:eastAsia="宋体" w:cs="宋体"/>
                <w:bCs/>
                <w:color w:val="auto"/>
                <w:kern w:val="2"/>
                <w:sz w:val="24"/>
                <w:szCs w:val="24"/>
                <w:highlight w:val="none"/>
                <w:shd w:val="clear" w:color="auto" w:fill="auto"/>
                <w:lang w:val="en-US" w:eastAsia="zh-CN" w:bidi="ar-SA"/>
              </w:rPr>
              <w:t>具有</w:t>
            </w:r>
            <w:r>
              <w:rPr>
                <w:rFonts w:hint="eastAsia" w:ascii="宋体" w:hAnsi="宋体" w:cs="宋体"/>
                <w:bCs/>
                <w:color w:val="auto"/>
                <w:kern w:val="2"/>
                <w:sz w:val="24"/>
                <w:szCs w:val="24"/>
                <w:highlight w:val="none"/>
                <w:shd w:val="clear" w:color="auto" w:fill="auto"/>
                <w:lang w:val="en-US" w:eastAsia="zh-CN" w:bidi="ar-SA"/>
              </w:rPr>
              <w:t>专</w:t>
            </w:r>
            <w:r>
              <w:rPr>
                <w:rFonts w:hint="eastAsia" w:ascii="宋体" w:hAnsi="宋体" w:eastAsia="宋体" w:cs="宋体"/>
                <w:bCs/>
                <w:color w:val="auto"/>
                <w:kern w:val="2"/>
                <w:sz w:val="24"/>
                <w:szCs w:val="24"/>
                <w:highlight w:val="none"/>
                <w:shd w:val="clear" w:color="auto" w:fill="auto"/>
                <w:lang w:val="en-US" w:eastAsia="zh-CN" w:bidi="ar-SA"/>
              </w:rPr>
              <w:t>科及以上学历得</w:t>
            </w:r>
            <w:r>
              <w:rPr>
                <w:rFonts w:hint="eastAsia" w:ascii="宋体" w:hAnsi="宋体" w:eastAsia="宋体" w:cs="宋体"/>
                <w:bCs/>
                <w:color w:val="auto"/>
                <w:kern w:val="2"/>
                <w:sz w:val="24"/>
                <w:szCs w:val="24"/>
                <w:highlight w:val="none"/>
                <w:shd w:val="clear" w:color="auto" w:fill="auto"/>
                <w:lang w:eastAsia="zh-CN" w:bidi="ar-SA"/>
              </w:rPr>
              <w:t>2</w:t>
            </w:r>
            <w:r>
              <w:rPr>
                <w:rFonts w:hint="eastAsia" w:ascii="宋体" w:hAnsi="宋体" w:eastAsia="宋体" w:cs="宋体"/>
                <w:bCs/>
                <w:color w:val="auto"/>
                <w:kern w:val="2"/>
                <w:sz w:val="24"/>
                <w:szCs w:val="24"/>
                <w:highlight w:val="none"/>
                <w:shd w:val="clear" w:color="auto" w:fill="auto"/>
                <w:lang w:val="en-US" w:eastAsia="zh-CN" w:bidi="ar-SA"/>
              </w:rPr>
              <w:t>分</w:t>
            </w:r>
            <w:r>
              <w:rPr>
                <w:rFonts w:hint="eastAsia" w:ascii="宋体" w:hAnsi="宋体" w:cs="宋体"/>
                <w:bCs/>
                <w:color w:val="auto"/>
                <w:kern w:val="2"/>
                <w:sz w:val="24"/>
                <w:szCs w:val="24"/>
                <w:highlight w:val="none"/>
                <w:shd w:val="clear" w:color="auto" w:fill="auto"/>
                <w:lang w:val="en-US" w:eastAsia="zh-CN" w:bidi="ar-SA"/>
              </w:rPr>
              <w:t>；</w:t>
            </w:r>
          </w:p>
          <w:p>
            <w:pPr>
              <w:spacing w:line="400" w:lineRule="atLeast"/>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cs="宋体"/>
                <w:bCs/>
                <w:color w:val="auto"/>
                <w:kern w:val="2"/>
                <w:sz w:val="24"/>
                <w:szCs w:val="24"/>
                <w:highlight w:val="none"/>
                <w:shd w:val="clear" w:color="auto" w:fill="auto"/>
                <w:lang w:val="en-US" w:eastAsia="zh-CN" w:bidi="ar-SA"/>
              </w:rPr>
              <w:t>③</w:t>
            </w:r>
            <w:r>
              <w:rPr>
                <w:rFonts w:hint="eastAsia" w:ascii="宋体" w:hAnsi="宋体" w:eastAsia="宋体" w:cs="宋体"/>
                <w:color w:val="auto"/>
                <w:sz w:val="24"/>
                <w:szCs w:val="24"/>
                <w:highlight w:val="none"/>
                <w:shd w:val="clear" w:color="auto" w:fill="auto"/>
                <w:lang w:eastAsia="zh-CN"/>
              </w:rPr>
              <w:t>具有全国</w:t>
            </w:r>
            <w:r>
              <w:rPr>
                <w:rFonts w:hint="eastAsia" w:ascii="宋体" w:hAnsi="宋体" w:eastAsia="宋体" w:cs="宋体"/>
                <w:color w:val="auto"/>
                <w:sz w:val="24"/>
                <w:szCs w:val="24"/>
                <w:highlight w:val="none"/>
                <w:shd w:val="clear" w:color="auto" w:fill="auto"/>
              </w:rPr>
              <w:t>物业</w:t>
            </w:r>
            <w:r>
              <w:rPr>
                <w:rFonts w:hint="eastAsia" w:ascii="宋体" w:hAnsi="宋体" w:eastAsia="宋体" w:cs="宋体"/>
                <w:color w:val="auto"/>
                <w:sz w:val="24"/>
                <w:szCs w:val="24"/>
                <w:highlight w:val="none"/>
                <w:shd w:val="clear" w:color="auto" w:fill="auto"/>
                <w:lang w:eastAsia="zh-CN"/>
              </w:rPr>
              <w:t>项目</w:t>
            </w:r>
            <w:r>
              <w:rPr>
                <w:rFonts w:hint="eastAsia" w:ascii="宋体" w:hAnsi="宋体" w:eastAsia="宋体" w:cs="宋体"/>
                <w:color w:val="auto"/>
                <w:sz w:val="24"/>
                <w:szCs w:val="24"/>
                <w:highlight w:val="none"/>
                <w:shd w:val="clear" w:color="auto" w:fill="auto"/>
              </w:rPr>
              <w:t>经理</w:t>
            </w:r>
            <w:r>
              <w:rPr>
                <w:rFonts w:hint="eastAsia" w:ascii="宋体" w:hAnsi="宋体" w:eastAsia="宋体" w:cs="宋体"/>
                <w:color w:val="auto"/>
                <w:sz w:val="24"/>
                <w:szCs w:val="24"/>
                <w:highlight w:val="none"/>
                <w:shd w:val="clear" w:color="auto" w:fill="auto"/>
                <w:lang w:eastAsia="zh-CN"/>
              </w:rPr>
              <w:t>证书</w:t>
            </w:r>
            <w:r>
              <w:rPr>
                <w:rFonts w:hint="eastAsia" w:ascii="宋体" w:hAnsi="宋体" w:eastAsia="宋体" w:cs="宋体"/>
                <w:color w:val="auto"/>
                <w:sz w:val="24"/>
                <w:szCs w:val="24"/>
                <w:highlight w:val="none"/>
                <w:shd w:val="clear" w:color="auto" w:fill="auto"/>
              </w:rPr>
              <w:t>得2分</w:t>
            </w:r>
            <w:r>
              <w:rPr>
                <w:rFonts w:hint="eastAsia" w:ascii="宋体" w:hAnsi="宋体" w:eastAsia="宋体" w:cs="宋体"/>
                <w:color w:val="auto"/>
                <w:sz w:val="24"/>
                <w:szCs w:val="24"/>
                <w:highlight w:val="none"/>
                <w:shd w:val="clear" w:color="auto" w:fill="auto"/>
                <w:lang w:eastAsia="zh-CN"/>
              </w:rPr>
              <w:t>；</w:t>
            </w:r>
          </w:p>
          <w:p>
            <w:pPr>
              <w:spacing w:line="400" w:lineRule="atLeast"/>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本项最高得</w:t>
            </w: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rPr>
              <w:t>分。</w:t>
            </w:r>
          </w:p>
          <w:p>
            <w:pPr>
              <w:spacing w:line="400" w:lineRule="atLeast"/>
              <w:ind w:firstLine="361" w:firstLineChars="150"/>
              <w:rPr>
                <w:rFonts w:hint="eastAsia" w:ascii="宋体" w:hAnsi="宋体" w:eastAsia="宋体" w:cs="宋体"/>
                <w:b/>
                <w:bCs/>
                <w:color w:val="auto"/>
                <w:sz w:val="24"/>
                <w:szCs w:val="24"/>
                <w:highlight w:val="none"/>
                <w:shd w:val="clear" w:color="auto" w:fill="auto"/>
                <w:lang w:eastAsia="zh-CN"/>
              </w:rPr>
            </w:pPr>
            <w:r>
              <w:rPr>
                <w:rFonts w:hint="eastAsia" w:ascii="宋体" w:hAnsi="宋体" w:eastAsia="宋体" w:cs="宋体"/>
                <w:b/>
                <w:bCs/>
                <w:color w:val="auto"/>
                <w:sz w:val="24"/>
                <w:szCs w:val="24"/>
                <w:highlight w:val="none"/>
                <w:shd w:val="clear" w:color="auto" w:fill="auto"/>
                <w:lang w:val="en-US" w:eastAsia="zh-CN"/>
              </w:rPr>
              <w:t>2、</w:t>
            </w:r>
            <w:r>
              <w:rPr>
                <w:rFonts w:hint="eastAsia" w:ascii="宋体" w:hAnsi="宋体" w:eastAsia="宋体" w:cs="宋体"/>
                <w:b/>
                <w:bCs/>
                <w:color w:val="auto"/>
                <w:sz w:val="24"/>
                <w:szCs w:val="24"/>
                <w:highlight w:val="none"/>
                <w:shd w:val="clear" w:color="auto" w:fill="auto"/>
                <w:lang w:eastAsia="zh-CN"/>
              </w:rPr>
              <w:t>保安队长：</w:t>
            </w:r>
          </w:p>
          <w:p>
            <w:pPr>
              <w:spacing w:line="400" w:lineRule="atLeast"/>
              <w:ind w:firstLine="360" w:firstLineChars="150"/>
              <w:rPr>
                <w:rFonts w:hint="eastAsia" w:ascii="宋体" w:hAnsi="宋体" w:eastAsia="宋体" w:cs="宋体"/>
                <w:color w:val="auto"/>
                <w:sz w:val="24"/>
                <w:highlight w:val="none"/>
                <w:shd w:val="clear" w:color="auto" w:fill="auto"/>
                <w:lang w:eastAsia="zh-CN"/>
              </w:rPr>
            </w:pPr>
            <w:r>
              <w:rPr>
                <w:rFonts w:hint="eastAsia" w:ascii="宋体" w:hAnsi="宋体" w:eastAsia="宋体" w:cs="宋体"/>
                <w:bCs/>
                <w:color w:val="auto"/>
                <w:kern w:val="2"/>
                <w:sz w:val="24"/>
                <w:szCs w:val="24"/>
                <w:highlight w:val="none"/>
                <w:shd w:val="clear" w:color="auto" w:fill="auto"/>
                <w:lang w:val="en-US" w:eastAsia="zh-CN" w:bidi="ar-SA"/>
              </w:rPr>
              <w:t>①</w:t>
            </w:r>
            <w:r>
              <w:rPr>
                <w:rFonts w:hint="eastAsia" w:ascii="宋体" w:hAnsi="宋体" w:eastAsia="宋体" w:cs="宋体"/>
                <w:color w:val="auto"/>
                <w:sz w:val="24"/>
                <w:highlight w:val="none"/>
                <w:shd w:val="clear" w:color="auto" w:fill="auto"/>
                <w:lang w:val="en-US" w:eastAsia="zh-CN"/>
              </w:rPr>
              <w:t>40</w:t>
            </w:r>
            <w:r>
              <w:rPr>
                <w:rFonts w:hint="eastAsia" w:ascii="宋体" w:hAnsi="宋体" w:eastAsia="宋体" w:cs="宋体"/>
                <w:color w:val="auto"/>
                <w:sz w:val="24"/>
                <w:highlight w:val="none"/>
                <w:shd w:val="clear" w:color="auto" w:fill="auto"/>
              </w:rPr>
              <w:t>周岁（含</w:t>
            </w:r>
            <w:r>
              <w:rPr>
                <w:rFonts w:hint="eastAsia" w:ascii="宋体" w:hAnsi="宋体" w:eastAsia="宋体" w:cs="宋体"/>
                <w:color w:val="auto"/>
                <w:sz w:val="24"/>
                <w:highlight w:val="none"/>
                <w:shd w:val="clear" w:color="auto" w:fill="auto"/>
                <w:lang w:val="en-US" w:eastAsia="zh-CN"/>
              </w:rPr>
              <w:t>40</w:t>
            </w:r>
            <w:r>
              <w:rPr>
                <w:rFonts w:hint="eastAsia" w:ascii="宋体" w:hAnsi="宋体" w:eastAsia="宋体" w:cs="宋体"/>
                <w:color w:val="auto"/>
                <w:sz w:val="24"/>
                <w:highlight w:val="none"/>
                <w:shd w:val="clear" w:color="auto" w:fill="auto"/>
              </w:rPr>
              <w:t>周岁）及以下的得</w:t>
            </w:r>
            <w:r>
              <w:rPr>
                <w:rFonts w:hint="eastAsia" w:ascii="宋体" w:hAnsi="宋体" w:eastAsia="宋体" w:cs="宋体"/>
                <w:color w:val="auto"/>
                <w:sz w:val="24"/>
                <w:highlight w:val="none"/>
                <w:shd w:val="clear" w:color="auto" w:fill="auto"/>
                <w:lang w:val="en-US" w:eastAsia="zh-CN"/>
              </w:rPr>
              <w:t>2</w:t>
            </w:r>
            <w:r>
              <w:rPr>
                <w:rFonts w:hint="eastAsia" w:ascii="宋体" w:hAnsi="宋体" w:eastAsia="宋体" w:cs="宋体"/>
                <w:color w:val="auto"/>
                <w:sz w:val="24"/>
                <w:highlight w:val="none"/>
                <w:shd w:val="clear" w:color="auto" w:fill="auto"/>
              </w:rPr>
              <w:t>分</w:t>
            </w:r>
            <w:r>
              <w:rPr>
                <w:rFonts w:hint="eastAsia" w:ascii="宋体" w:hAnsi="宋体" w:eastAsia="宋体" w:cs="宋体"/>
                <w:color w:val="auto"/>
                <w:sz w:val="24"/>
                <w:highlight w:val="none"/>
                <w:shd w:val="clear" w:color="auto" w:fill="auto"/>
                <w:lang w:eastAsia="zh-CN"/>
              </w:rPr>
              <w:t>；</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kern w:val="2"/>
                <w:sz w:val="24"/>
                <w:szCs w:val="24"/>
                <w:highlight w:val="none"/>
                <w:shd w:val="clear" w:color="auto" w:fill="auto"/>
                <w:lang w:val="en-US" w:eastAsia="zh-CN" w:bidi="ar-SA"/>
              </w:rPr>
              <w:t>②</w:t>
            </w:r>
            <w:r>
              <w:rPr>
                <w:rFonts w:hint="eastAsia" w:ascii="宋体" w:hAnsi="宋体" w:eastAsia="宋体" w:cs="宋体"/>
                <w:bCs/>
                <w:color w:val="auto"/>
                <w:kern w:val="2"/>
                <w:sz w:val="24"/>
                <w:szCs w:val="24"/>
                <w:highlight w:val="none"/>
                <w:shd w:val="clear" w:color="auto" w:fill="auto"/>
                <w:lang w:val="en-US" w:eastAsia="zh-CN" w:bidi="ar-SA"/>
              </w:rPr>
              <w:t>具有</w:t>
            </w:r>
            <w:r>
              <w:rPr>
                <w:rFonts w:hint="eastAsia" w:ascii="宋体" w:hAnsi="宋体" w:cs="宋体"/>
                <w:bCs/>
                <w:color w:val="auto"/>
                <w:kern w:val="2"/>
                <w:sz w:val="24"/>
                <w:szCs w:val="24"/>
                <w:highlight w:val="none"/>
                <w:shd w:val="clear" w:color="auto" w:fill="auto"/>
                <w:lang w:val="en-US" w:eastAsia="zh-CN" w:bidi="ar-SA"/>
              </w:rPr>
              <w:t>专</w:t>
            </w:r>
            <w:r>
              <w:rPr>
                <w:rFonts w:hint="eastAsia" w:ascii="宋体" w:hAnsi="宋体" w:eastAsia="宋体" w:cs="宋体"/>
                <w:bCs/>
                <w:color w:val="auto"/>
                <w:kern w:val="2"/>
                <w:sz w:val="24"/>
                <w:szCs w:val="24"/>
                <w:highlight w:val="none"/>
                <w:shd w:val="clear" w:color="auto" w:fill="auto"/>
                <w:lang w:val="en-US" w:eastAsia="zh-CN" w:bidi="ar-SA"/>
              </w:rPr>
              <w:t>科及以上学历得</w:t>
            </w:r>
            <w:r>
              <w:rPr>
                <w:rFonts w:hint="eastAsia" w:ascii="宋体" w:hAnsi="宋体" w:eastAsia="宋体" w:cs="宋体"/>
                <w:bCs/>
                <w:color w:val="auto"/>
                <w:kern w:val="2"/>
                <w:sz w:val="24"/>
                <w:szCs w:val="24"/>
                <w:highlight w:val="none"/>
                <w:shd w:val="clear" w:color="auto" w:fill="auto"/>
                <w:lang w:eastAsia="zh-CN" w:bidi="ar-SA"/>
              </w:rPr>
              <w:t>2</w:t>
            </w:r>
            <w:r>
              <w:rPr>
                <w:rFonts w:hint="eastAsia" w:ascii="宋体" w:hAnsi="宋体" w:eastAsia="宋体" w:cs="宋体"/>
                <w:bCs/>
                <w:color w:val="auto"/>
                <w:kern w:val="2"/>
                <w:sz w:val="24"/>
                <w:szCs w:val="24"/>
                <w:highlight w:val="none"/>
                <w:shd w:val="clear" w:color="auto" w:fill="auto"/>
                <w:lang w:val="en-US" w:eastAsia="zh-CN" w:bidi="ar-SA"/>
              </w:rPr>
              <w:t>分；</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kern w:val="2"/>
                <w:sz w:val="24"/>
                <w:szCs w:val="24"/>
                <w:highlight w:val="none"/>
                <w:shd w:val="clear" w:color="auto" w:fill="auto"/>
                <w:lang w:val="en-US" w:eastAsia="zh-CN" w:bidi="ar-SA"/>
              </w:rPr>
              <w:t>③</w:t>
            </w:r>
            <w:r>
              <w:rPr>
                <w:rFonts w:hint="eastAsia" w:ascii="宋体" w:hAnsi="宋体" w:eastAsia="宋体" w:cs="宋体"/>
                <w:bCs/>
                <w:color w:val="auto"/>
                <w:kern w:val="2"/>
                <w:sz w:val="24"/>
                <w:szCs w:val="24"/>
                <w:highlight w:val="none"/>
                <w:shd w:val="clear" w:color="auto" w:fill="auto"/>
                <w:lang w:val="en-US" w:eastAsia="zh-CN" w:bidi="ar-SA"/>
              </w:rPr>
              <w:t>具有</w:t>
            </w:r>
            <w:r>
              <w:rPr>
                <w:rFonts w:hint="eastAsia" w:ascii="宋体" w:hAnsi="宋体" w:eastAsia="宋体" w:cs="宋体"/>
                <w:b w:val="0"/>
                <w:bCs w:val="0"/>
                <w:color w:val="auto"/>
                <w:kern w:val="2"/>
                <w:sz w:val="24"/>
                <w:szCs w:val="24"/>
                <w:highlight w:val="none"/>
                <w:lang w:val="en-US" w:eastAsia="zh-CN" w:bidi="ar-SA"/>
              </w:rPr>
              <w:t>人力资源和社会保障部门颁发的</w:t>
            </w:r>
            <w:r>
              <w:rPr>
                <w:rFonts w:hint="eastAsia" w:ascii="宋体" w:hAnsi="宋体" w:cs="宋体"/>
                <w:bCs/>
                <w:color w:val="auto"/>
                <w:kern w:val="2"/>
                <w:sz w:val="24"/>
                <w:szCs w:val="24"/>
                <w:highlight w:val="none"/>
                <w:shd w:val="clear" w:color="auto" w:fill="auto"/>
                <w:lang w:val="en-US" w:eastAsia="zh-CN" w:bidi="ar-SA"/>
              </w:rPr>
              <w:t>三</w:t>
            </w:r>
            <w:r>
              <w:rPr>
                <w:rFonts w:hint="eastAsia" w:ascii="宋体" w:hAnsi="宋体" w:eastAsia="宋体" w:cs="宋体"/>
                <w:bCs/>
                <w:color w:val="auto"/>
                <w:kern w:val="2"/>
                <w:sz w:val="24"/>
                <w:szCs w:val="24"/>
                <w:highlight w:val="none"/>
                <w:shd w:val="clear" w:color="auto" w:fill="auto"/>
                <w:lang w:val="en-US" w:eastAsia="zh-CN" w:bidi="ar-SA"/>
              </w:rPr>
              <w:t>级及以上保安员证得</w:t>
            </w:r>
            <w:r>
              <w:rPr>
                <w:rFonts w:hint="eastAsia" w:ascii="宋体" w:hAnsi="宋体" w:eastAsia="宋体" w:cs="宋体"/>
                <w:bCs/>
                <w:color w:val="auto"/>
                <w:kern w:val="2"/>
                <w:sz w:val="24"/>
                <w:szCs w:val="24"/>
                <w:highlight w:val="none"/>
                <w:shd w:val="clear" w:color="auto" w:fill="auto"/>
                <w:lang w:eastAsia="zh-CN" w:bidi="ar-SA"/>
              </w:rPr>
              <w:t>2</w:t>
            </w:r>
            <w:r>
              <w:rPr>
                <w:rFonts w:hint="eastAsia" w:ascii="宋体" w:hAnsi="宋体" w:eastAsia="宋体" w:cs="宋体"/>
                <w:bCs/>
                <w:color w:val="auto"/>
                <w:kern w:val="2"/>
                <w:sz w:val="24"/>
                <w:szCs w:val="24"/>
                <w:highlight w:val="none"/>
                <w:shd w:val="clear" w:color="auto" w:fill="auto"/>
                <w:lang w:val="en-US" w:eastAsia="zh-CN" w:bidi="ar-SA"/>
              </w:rPr>
              <w:t>分；</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kern w:val="2"/>
                <w:sz w:val="24"/>
                <w:szCs w:val="24"/>
                <w:highlight w:val="none"/>
                <w:shd w:val="clear" w:color="auto" w:fill="auto"/>
                <w:lang w:val="en-US" w:eastAsia="zh-CN" w:bidi="ar-SA"/>
              </w:rPr>
              <w:t>④</w:t>
            </w:r>
            <w:r>
              <w:rPr>
                <w:rFonts w:hint="eastAsia" w:ascii="宋体" w:hAnsi="宋体" w:eastAsia="宋体" w:cs="宋体"/>
                <w:bCs/>
                <w:color w:val="auto"/>
                <w:kern w:val="2"/>
                <w:sz w:val="24"/>
                <w:szCs w:val="24"/>
                <w:highlight w:val="none"/>
                <w:shd w:val="clear" w:color="auto" w:fill="auto"/>
                <w:lang w:val="en-US" w:eastAsia="zh-CN" w:bidi="ar-SA"/>
              </w:rPr>
              <w:t>具有</w:t>
            </w:r>
            <w:r>
              <w:rPr>
                <w:rFonts w:hint="eastAsia" w:ascii="宋体" w:hAnsi="宋体" w:eastAsia="宋体" w:cs="宋体"/>
                <w:b w:val="0"/>
                <w:bCs w:val="0"/>
                <w:color w:val="auto"/>
                <w:kern w:val="2"/>
                <w:sz w:val="24"/>
                <w:szCs w:val="24"/>
                <w:highlight w:val="none"/>
                <w:lang w:val="en-US" w:eastAsia="zh-CN" w:bidi="ar-SA"/>
              </w:rPr>
              <w:t>人力资源和社会保障部门颁发的消防设施操作员证</w:t>
            </w:r>
            <w:r>
              <w:rPr>
                <w:rFonts w:hint="eastAsia" w:ascii="宋体" w:hAnsi="宋体" w:cs="宋体"/>
                <w:color w:val="auto"/>
                <w:sz w:val="24"/>
                <w:highlight w:val="none"/>
                <w:lang w:eastAsia="zh-CN"/>
              </w:rPr>
              <w:t>（建(构)筑物消防员</w:t>
            </w:r>
            <w:r>
              <w:rPr>
                <w:rFonts w:hint="eastAsia" w:ascii="宋体" w:hAnsi="宋体" w:eastAsia="宋体" w:cs="宋体"/>
                <w:color w:val="auto"/>
                <w:sz w:val="24"/>
                <w:highlight w:val="none"/>
                <w:lang w:val="en-US" w:eastAsia="zh-CN"/>
              </w:rPr>
              <w:t>证</w:t>
            </w:r>
            <w:r>
              <w:rPr>
                <w:rFonts w:hint="eastAsia" w:ascii="宋体" w:hAnsi="宋体" w:cs="宋体"/>
                <w:color w:val="auto"/>
                <w:sz w:val="24"/>
                <w:highlight w:val="none"/>
                <w:lang w:eastAsia="zh-CN"/>
              </w:rPr>
              <w:t>）</w:t>
            </w:r>
            <w:r>
              <w:rPr>
                <w:rFonts w:hint="eastAsia" w:ascii="宋体" w:hAnsi="宋体" w:eastAsia="宋体" w:cs="宋体"/>
                <w:bCs/>
                <w:color w:val="auto"/>
                <w:kern w:val="2"/>
                <w:sz w:val="24"/>
                <w:szCs w:val="24"/>
                <w:highlight w:val="none"/>
                <w:shd w:val="clear" w:color="auto" w:fill="auto"/>
                <w:lang w:val="en-US" w:eastAsia="zh-CN" w:bidi="ar-SA"/>
              </w:rPr>
              <w:t>得2分；</w:t>
            </w:r>
          </w:p>
          <w:p>
            <w:pPr>
              <w:spacing w:line="400" w:lineRule="atLeast"/>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本项最高得</w:t>
            </w:r>
            <w:r>
              <w:rPr>
                <w:rFonts w:hint="eastAsia" w:ascii="宋体" w:hAnsi="宋体" w:cs="宋体"/>
                <w:color w:val="auto"/>
                <w:sz w:val="24"/>
                <w:szCs w:val="24"/>
                <w:highlight w:val="none"/>
                <w:shd w:val="clear" w:color="auto" w:fill="auto"/>
                <w:lang w:val="en-US" w:eastAsia="zh-CN"/>
              </w:rPr>
              <w:t>8</w:t>
            </w:r>
            <w:r>
              <w:rPr>
                <w:rFonts w:hint="eastAsia" w:ascii="宋体" w:hAnsi="宋体" w:eastAsia="宋体" w:cs="宋体"/>
                <w:color w:val="auto"/>
                <w:sz w:val="24"/>
                <w:szCs w:val="24"/>
                <w:highlight w:val="none"/>
                <w:shd w:val="clear" w:color="auto" w:fill="auto"/>
              </w:rPr>
              <w:t>分。</w:t>
            </w:r>
          </w:p>
          <w:p>
            <w:pPr>
              <w:spacing w:line="400" w:lineRule="atLeast"/>
              <w:ind w:firstLine="361" w:firstLineChars="150"/>
              <w:rPr>
                <w:rFonts w:hint="eastAsia" w:ascii="宋体" w:hAnsi="宋体" w:eastAsia="宋体" w:cs="宋体"/>
                <w:b/>
                <w:bCs/>
                <w:color w:val="auto"/>
                <w:sz w:val="24"/>
                <w:szCs w:val="24"/>
                <w:highlight w:val="none"/>
                <w:shd w:val="clear" w:color="auto" w:fill="auto"/>
                <w:lang w:eastAsia="zh-CN"/>
              </w:rPr>
            </w:pPr>
            <w:r>
              <w:rPr>
                <w:rFonts w:hint="eastAsia" w:ascii="宋体" w:hAnsi="宋体" w:eastAsia="宋体" w:cs="宋体"/>
                <w:b/>
                <w:bCs/>
                <w:color w:val="auto"/>
                <w:sz w:val="24"/>
                <w:szCs w:val="24"/>
                <w:highlight w:val="none"/>
                <w:shd w:val="clear" w:color="auto" w:fill="auto"/>
                <w:lang w:val="en-US" w:eastAsia="zh-CN"/>
              </w:rPr>
              <w:t>3、</w:t>
            </w:r>
            <w:r>
              <w:rPr>
                <w:rFonts w:hint="eastAsia" w:ascii="宋体" w:hAnsi="宋体" w:eastAsia="宋体" w:cs="宋体"/>
                <w:b/>
                <w:bCs/>
                <w:color w:val="auto"/>
                <w:sz w:val="24"/>
                <w:szCs w:val="24"/>
                <w:highlight w:val="none"/>
                <w:shd w:val="clear" w:color="auto" w:fill="auto"/>
                <w:lang w:eastAsia="zh-CN"/>
              </w:rPr>
              <w:t>会务</w:t>
            </w:r>
            <w:r>
              <w:rPr>
                <w:rFonts w:hint="eastAsia" w:ascii="宋体" w:hAnsi="宋体" w:cs="宋体"/>
                <w:b/>
                <w:bCs/>
                <w:color w:val="auto"/>
                <w:sz w:val="24"/>
                <w:szCs w:val="24"/>
                <w:highlight w:val="none"/>
                <w:shd w:val="clear" w:color="auto" w:fill="auto"/>
                <w:lang w:eastAsia="zh-CN"/>
              </w:rPr>
              <w:t>（</w:t>
            </w:r>
            <w:r>
              <w:rPr>
                <w:rFonts w:hint="eastAsia" w:ascii="宋体" w:hAnsi="宋体" w:cs="宋体"/>
                <w:b/>
                <w:bCs/>
                <w:color w:val="auto"/>
                <w:sz w:val="24"/>
                <w:szCs w:val="24"/>
                <w:highlight w:val="none"/>
                <w:shd w:val="clear" w:color="auto" w:fill="auto"/>
                <w:lang w:val="en-US" w:eastAsia="zh-CN"/>
              </w:rPr>
              <w:t>保洁）</w:t>
            </w:r>
            <w:r>
              <w:rPr>
                <w:rFonts w:hint="eastAsia" w:ascii="宋体" w:hAnsi="宋体" w:eastAsia="宋体" w:cs="宋体"/>
                <w:b/>
                <w:bCs/>
                <w:color w:val="auto"/>
                <w:sz w:val="24"/>
                <w:szCs w:val="24"/>
                <w:highlight w:val="none"/>
                <w:shd w:val="clear" w:color="auto" w:fill="auto"/>
                <w:lang w:eastAsia="zh-CN"/>
              </w:rPr>
              <w:t>领班：</w:t>
            </w:r>
          </w:p>
          <w:p>
            <w:pPr>
              <w:spacing w:line="400" w:lineRule="atLeast"/>
              <w:ind w:firstLine="360" w:firstLineChars="150"/>
              <w:rPr>
                <w:rFonts w:hint="eastAsia" w:ascii="宋体" w:hAnsi="宋体" w:eastAsia="宋体" w:cs="宋体"/>
                <w:color w:val="auto"/>
                <w:sz w:val="24"/>
                <w:highlight w:val="none"/>
                <w:shd w:val="clear" w:color="auto" w:fill="auto"/>
                <w:lang w:eastAsia="zh-CN"/>
              </w:rPr>
            </w:pPr>
            <w:r>
              <w:rPr>
                <w:rFonts w:hint="eastAsia" w:ascii="宋体" w:hAnsi="宋体" w:eastAsia="宋体" w:cs="宋体"/>
                <w:bCs/>
                <w:color w:val="auto"/>
                <w:kern w:val="2"/>
                <w:sz w:val="24"/>
                <w:szCs w:val="24"/>
                <w:highlight w:val="none"/>
                <w:shd w:val="clear" w:color="auto" w:fill="auto"/>
                <w:lang w:val="en-US" w:eastAsia="zh-CN" w:bidi="ar-SA"/>
              </w:rPr>
              <w:t>①</w:t>
            </w:r>
            <w:r>
              <w:rPr>
                <w:rFonts w:hint="eastAsia" w:ascii="宋体" w:hAnsi="宋体" w:eastAsia="宋体" w:cs="宋体"/>
                <w:color w:val="auto"/>
                <w:sz w:val="24"/>
                <w:highlight w:val="none"/>
                <w:shd w:val="clear" w:color="auto" w:fill="auto"/>
                <w:lang w:val="en-US" w:eastAsia="zh-CN"/>
              </w:rPr>
              <w:t>40</w:t>
            </w:r>
            <w:r>
              <w:rPr>
                <w:rFonts w:hint="eastAsia" w:ascii="宋体" w:hAnsi="宋体" w:eastAsia="宋体" w:cs="宋体"/>
                <w:color w:val="auto"/>
                <w:sz w:val="24"/>
                <w:highlight w:val="none"/>
                <w:shd w:val="clear" w:color="auto" w:fill="auto"/>
              </w:rPr>
              <w:t>周岁（含</w:t>
            </w:r>
            <w:r>
              <w:rPr>
                <w:rFonts w:hint="eastAsia" w:ascii="宋体" w:hAnsi="宋体" w:eastAsia="宋体" w:cs="宋体"/>
                <w:color w:val="auto"/>
                <w:sz w:val="24"/>
                <w:highlight w:val="none"/>
                <w:shd w:val="clear" w:color="auto" w:fill="auto"/>
                <w:lang w:val="en-US" w:eastAsia="zh-CN"/>
              </w:rPr>
              <w:t>40</w:t>
            </w:r>
            <w:r>
              <w:rPr>
                <w:rFonts w:hint="eastAsia" w:ascii="宋体" w:hAnsi="宋体" w:eastAsia="宋体" w:cs="宋体"/>
                <w:color w:val="auto"/>
                <w:sz w:val="24"/>
                <w:highlight w:val="none"/>
                <w:shd w:val="clear" w:color="auto" w:fill="auto"/>
              </w:rPr>
              <w:t>周岁）及</w:t>
            </w:r>
            <w:bookmarkStart w:id="519" w:name="_GoBack"/>
            <w:bookmarkEnd w:id="519"/>
            <w:r>
              <w:rPr>
                <w:rFonts w:hint="eastAsia" w:ascii="宋体" w:hAnsi="宋体" w:eastAsia="宋体" w:cs="宋体"/>
                <w:color w:val="auto"/>
                <w:sz w:val="24"/>
                <w:highlight w:val="none"/>
                <w:shd w:val="clear" w:color="auto" w:fill="auto"/>
              </w:rPr>
              <w:t>以下的得</w:t>
            </w:r>
            <w:r>
              <w:rPr>
                <w:rFonts w:hint="eastAsia" w:ascii="宋体" w:hAnsi="宋体" w:cs="宋体"/>
                <w:color w:val="auto"/>
                <w:sz w:val="24"/>
                <w:highlight w:val="none"/>
                <w:shd w:val="clear" w:color="auto" w:fill="auto"/>
                <w:lang w:val="en-US" w:eastAsia="zh-CN"/>
              </w:rPr>
              <w:t>1</w:t>
            </w:r>
            <w:r>
              <w:rPr>
                <w:rFonts w:hint="eastAsia" w:ascii="宋体" w:hAnsi="宋体" w:eastAsia="宋体" w:cs="宋体"/>
                <w:color w:val="auto"/>
                <w:sz w:val="24"/>
                <w:highlight w:val="none"/>
                <w:shd w:val="clear" w:color="auto" w:fill="auto"/>
              </w:rPr>
              <w:t>分</w:t>
            </w:r>
            <w:r>
              <w:rPr>
                <w:rFonts w:hint="eastAsia" w:ascii="宋体" w:hAnsi="宋体" w:eastAsia="宋体" w:cs="宋体"/>
                <w:color w:val="auto"/>
                <w:sz w:val="24"/>
                <w:highlight w:val="none"/>
                <w:shd w:val="clear" w:color="auto" w:fill="auto"/>
                <w:lang w:eastAsia="zh-CN"/>
              </w:rPr>
              <w:t>；</w:t>
            </w:r>
          </w:p>
          <w:p>
            <w:pPr>
              <w:spacing w:line="400" w:lineRule="atLeast"/>
              <w:ind w:firstLine="360" w:firstLineChars="15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②具有专科及以上学历得</w:t>
            </w:r>
            <w:r>
              <w:rPr>
                <w:rFonts w:hint="eastAsia" w:ascii="宋体" w:hAnsi="宋体" w:eastAsia="宋体" w:cs="宋体"/>
                <w:bCs/>
                <w:color w:val="auto"/>
                <w:kern w:val="2"/>
                <w:sz w:val="24"/>
                <w:szCs w:val="24"/>
                <w:highlight w:val="none"/>
                <w:shd w:val="clear" w:color="auto" w:fill="auto"/>
                <w:lang w:eastAsia="zh-CN" w:bidi="ar-SA"/>
              </w:rPr>
              <w:t>2</w:t>
            </w:r>
            <w:r>
              <w:rPr>
                <w:rFonts w:hint="eastAsia" w:ascii="宋体" w:hAnsi="宋体" w:eastAsia="宋体" w:cs="宋体"/>
                <w:bCs/>
                <w:color w:val="auto"/>
                <w:kern w:val="2"/>
                <w:sz w:val="24"/>
                <w:szCs w:val="24"/>
                <w:highlight w:val="none"/>
                <w:shd w:val="clear" w:color="auto" w:fill="auto"/>
                <w:lang w:val="en-US" w:eastAsia="zh-CN" w:bidi="ar-SA"/>
              </w:rPr>
              <w:t>分；</w:t>
            </w:r>
          </w:p>
          <w:p>
            <w:pPr>
              <w:spacing w:line="400" w:lineRule="atLeast"/>
              <w:ind w:firstLine="360" w:firstLineChars="150"/>
              <w:rPr>
                <w:rFonts w:hint="eastAsia" w:ascii="宋体" w:hAnsi="宋体" w:eastAsia="宋体" w:cs="宋体"/>
                <w:b w:val="0"/>
                <w:bCs w:val="0"/>
                <w:color w:val="auto"/>
                <w:kern w:val="2"/>
                <w:sz w:val="24"/>
                <w:szCs w:val="24"/>
                <w:highlight w:val="none"/>
                <w:shd w:val="clear" w:color="auto" w:fill="auto"/>
                <w:lang w:val="en-US" w:eastAsia="zh-CN" w:bidi="ar-SA"/>
              </w:rPr>
            </w:pPr>
            <w:r>
              <w:rPr>
                <w:rFonts w:hint="eastAsia" w:ascii="宋体" w:hAnsi="宋体" w:eastAsia="宋体" w:cs="宋体"/>
                <w:color w:val="auto"/>
                <w:sz w:val="24"/>
                <w:szCs w:val="24"/>
                <w:highlight w:val="none"/>
                <w:shd w:val="clear" w:color="auto" w:fill="auto"/>
              </w:rPr>
              <w:t>本项最高得</w:t>
            </w:r>
            <w:r>
              <w:rPr>
                <w:rFonts w:hint="eastAsia" w:ascii="宋体" w:hAnsi="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分。</w:t>
            </w:r>
          </w:p>
          <w:p>
            <w:pPr>
              <w:spacing w:line="400" w:lineRule="atLeast"/>
              <w:ind w:firstLine="361"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lang w:val="en-US" w:eastAsia="zh-CN"/>
              </w:rPr>
              <w:t>4、</w:t>
            </w:r>
            <w:r>
              <w:rPr>
                <w:rFonts w:hint="eastAsia" w:ascii="宋体" w:hAnsi="宋体" w:eastAsia="宋体" w:cs="宋体"/>
                <w:b/>
                <w:bCs/>
                <w:color w:val="auto"/>
                <w:sz w:val="24"/>
                <w:szCs w:val="24"/>
                <w:highlight w:val="none"/>
                <w:shd w:val="clear" w:color="auto" w:fill="auto"/>
              </w:rPr>
              <w:t>消监控员</w:t>
            </w:r>
            <w:r>
              <w:rPr>
                <w:rFonts w:hint="eastAsia" w:ascii="宋体" w:hAnsi="宋体" w:eastAsia="宋体" w:cs="宋体"/>
                <w:color w:val="auto"/>
                <w:sz w:val="24"/>
                <w:szCs w:val="24"/>
                <w:highlight w:val="none"/>
                <w:shd w:val="clear" w:color="auto" w:fill="auto"/>
              </w:rPr>
              <w:t>：</w:t>
            </w:r>
            <w:r>
              <w:rPr>
                <w:rFonts w:hint="eastAsia" w:ascii="宋体" w:hAnsi="宋体" w:cs="宋体"/>
                <w:color w:val="auto"/>
                <w:sz w:val="24"/>
                <w:szCs w:val="24"/>
                <w:highlight w:val="none"/>
                <w:shd w:val="clear" w:color="auto" w:fill="auto"/>
                <w:lang w:val="en-US" w:eastAsia="zh-CN"/>
              </w:rPr>
              <w:t>具有</w:t>
            </w:r>
            <w:r>
              <w:rPr>
                <w:rFonts w:hint="eastAsia" w:ascii="宋体" w:hAnsi="宋体" w:eastAsia="宋体" w:cs="宋体"/>
                <w:b w:val="0"/>
                <w:bCs w:val="0"/>
                <w:color w:val="auto"/>
                <w:kern w:val="2"/>
                <w:sz w:val="24"/>
                <w:szCs w:val="24"/>
                <w:highlight w:val="none"/>
                <w:lang w:val="en-US" w:eastAsia="zh-CN" w:bidi="ar-SA"/>
              </w:rPr>
              <w:t>人力资源和社会保障部门颁发的消防设施操作员证</w:t>
            </w:r>
            <w:r>
              <w:rPr>
                <w:rFonts w:hint="eastAsia" w:ascii="宋体" w:hAnsi="宋体" w:cs="宋体"/>
                <w:color w:val="auto"/>
                <w:sz w:val="24"/>
                <w:highlight w:val="none"/>
                <w:lang w:eastAsia="zh-CN"/>
              </w:rPr>
              <w:t>（建(构)筑物消防员</w:t>
            </w:r>
            <w:r>
              <w:rPr>
                <w:rFonts w:hint="eastAsia" w:ascii="宋体" w:hAnsi="宋体" w:eastAsia="宋体" w:cs="宋体"/>
                <w:color w:val="auto"/>
                <w:sz w:val="24"/>
                <w:highlight w:val="none"/>
                <w:lang w:val="en-US" w:eastAsia="zh-CN"/>
              </w:rPr>
              <w:t>证</w:t>
            </w:r>
            <w:r>
              <w:rPr>
                <w:rFonts w:hint="eastAsia" w:ascii="宋体" w:hAnsi="宋体" w:cs="宋体"/>
                <w:color w:val="auto"/>
                <w:sz w:val="24"/>
                <w:highlight w:val="none"/>
                <w:lang w:eastAsia="zh-CN"/>
              </w:rPr>
              <w:t>）</w:t>
            </w:r>
            <w:r>
              <w:rPr>
                <w:rFonts w:hint="eastAsia" w:ascii="宋体" w:hAnsi="宋体" w:eastAsia="宋体" w:cs="宋体"/>
                <w:color w:val="auto"/>
                <w:sz w:val="24"/>
                <w:szCs w:val="24"/>
                <w:highlight w:val="none"/>
                <w:shd w:val="clear" w:color="auto" w:fill="auto"/>
              </w:rPr>
              <w:t>(每提供1人得</w:t>
            </w:r>
            <w:r>
              <w:rPr>
                <w:rFonts w:hint="eastAsia" w:ascii="宋体" w:hAnsi="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分，最高得</w:t>
            </w:r>
            <w:r>
              <w:rPr>
                <w:rFonts w:hint="eastAsia" w:ascii="宋体" w:hAnsi="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rPr>
              <w:t>分)。</w:t>
            </w:r>
          </w:p>
          <w:p>
            <w:pPr>
              <w:pStyle w:val="61"/>
              <w:spacing w:before="0" w:beforeAutospacing="0" w:after="0" w:afterAutospacing="0"/>
              <w:ind w:left="0" w:leftChars="0" w:right="0" w:firstLine="482" w:firstLineChars="200"/>
              <w:rPr>
                <w:rFonts w:hint="eastAsia" w:ascii="宋体" w:hAnsi="宋体" w:eastAsia="宋体" w:cs="宋体"/>
                <w:b/>
                <w:bCs/>
                <w:color w:val="auto"/>
                <w:kern w:val="2"/>
                <w:sz w:val="24"/>
                <w:szCs w:val="24"/>
                <w:highlight w:val="none"/>
                <w:shd w:val="clear" w:color="auto" w:fill="auto"/>
                <w:lang w:val="en-US" w:eastAsia="zh-CN" w:bidi="ar-SA"/>
              </w:rPr>
            </w:pPr>
            <w:r>
              <w:rPr>
                <w:rFonts w:hint="eastAsia" w:ascii="宋体" w:hAnsi="宋体" w:eastAsia="宋体" w:cs="宋体"/>
                <w:b/>
                <w:bCs/>
                <w:color w:val="auto"/>
                <w:kern w:val="2"/>
                <w:sz w:val="24"/>
                <w:szCs w:val="24"/>
                <w:highlight w:val="none"/>
                <w:shd w:val="clear" w:color="auto" w:fill="auto"/>
                <w:lang w:val="en-US" w:eastAsia="zh-CN" w:bidi="ar-SA"/>
              </w:rPr>
              <w:t>5、保安员：</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kern w:val="2"/>
                <w:sz w:val="24"/>
                <w:szCs w:val="24"/>
                <w:highlight w:val="none"/>
                <w:shd w:val="clear" w:color="auto" w:fill="auto"/>
                <w:lang w:val="en-US" w:eastAsia="zh-CN" w:bidi="ar-SA"/>
              </w:rPr>
              <w:t>①有</w:t>
            </w:r>
            <w:r>
              <w:rPr>
                <w:rFonts w:hint="eastAsia" w:ascii="宋体" w:hAnsi="宋体" w:eastAsia="宋体" w:cs="宋体"/>
                <w:bCs/>
                <w:color w:val="auto"/>
                <w:kern w:val="2"/>
                <w:sz w:val="24"/>
                <w:szCs w:val="24"/>
                <w:highlight w:val="none"/>
                <w:shd w:val="clear" w:color="auto" w:fill="auto"/>
                <w:lang w:val="en-US" w:eastAsia="zh-CN" w:bidi="ar-SA"/>
              </w:rPr>
              <w:t>退伍军人证（或相关证明材料）的每人得1分，最高得2分；</w:t>
            </w:r>
          </w:p>
          <w:p>
            <w:pPr>
              <w:pStyle w:val="4"/>
              <w:ind w:left="0" w:leftChars="0" w:firstLine="480" w:firstLineChars="200"/>
              <w:rPr>
                <w:rFonts w:hint="eastAsia"/>
                <w:color w:val="auto"/>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②有公安部颁发的保安证（或相关证明材料）的每人得1分，最高得3分</w:t>
            </w:r>
          </w:p>
          <w:p>
            <w:pPr>
              <w:pStyle w:val="4"/>
              <w:ind w:left="433" w:leftChars="202" w:hanging="9" w:hangingChars="4"/>
              <w:rPr>
                <w:rFonts w:hint="eastAsia" w:ascii="宋体" w:hAnsi="宋体" w:cs="宋体"/>
                <w:b/>
                <w:color w:val="auto"/>
                <w:sz w:val="24"/>
                <w:szCs w:val="24"/>
                <w:highlight w:val="none"/>
                <w:shd w:val="clear" w:color="auto" w:fill="auto"/>
                <w:lang w:val="en-US" w:eastAsia="zh-CN"/>
              </w:rPr>
            </w:pPr>
            <w:r>
              <w:rPr>
                <w:rFonts w:hint="eastAsia" w:ascii="宋体" w:hAnsi="宋体" w:eastAsia="宋体" w:cs="宋体"/>
                <w:b w:val="0"/>
                <w:bCs w:val="0"/>
                <w:color w:val="auto"/>
                <w:sz w:val="24"/>
                <w:szCs w:val="24"/>
                <w:highlight w:val="none"/>
                <w:shd w:val="clear" w:color="auto" w:fill="auto"/>
              </w:rPr>
              <w:t>本项最高得</w:t>
            </w:r>
            <w:r>
              <w:rPr>
                <w:rFonts w:hint="eastAsia" w:ascii="宋体" w:hAnsi="宋体" w:cs="宋体"/>
                <w:b w:val="0"/>
                <w:bCs w:val="0"/>
                <w:color w:val="auto"/>
                <w:sz w:val="24"/>
                <w:szCs w:val="24"/>
                <w:highlight w:val="none"/>
                <w:shd w:val="clear" w:color="auto" w:fill="auto"/>
                <w:lang w:val="en-US" w:eastAsia="zh-CN"/>
              </w:rPr>
              <w:t>5</w:t>
            </w:r>
            <w:r>
              <w:rPr>
                <w:rFonts w:hint="eastAsia" w:ascii="宋体" w:hAnsi="宋体" w:eastAsia="宋体" w:cs="宋体"/>
                <w:b w:val="0"/>
                <w:bCs w:val="0"/>
                <w:color w:val="auto"/>
                <w:sz w:val="24"/>
                <w:szCs w:val="24"/>
                <w:highlight w:val="none"/>
                <w:shd w:val="clear" w:color="auto" w:fill="auto"/>
              </w:rPr>
              <w:t>分</w:t>
            </w:r>
            <w:r>
              <w:rPr>
                <w:rFonts w:hint="eastAsia" w:ascii="宋体" w:hAnsi="宋体" w:eastAsia="宋体" w:cs="宋体"/>
                <w:b w:val="0"/>
                <w:bCs w:val="0"/>
                <w:color w:val="auto"/>
                <w:sz w:val="24"/>
                <w:szCs w:val="24"/>
                <w:highlight w:val="none"/>
                <w:shd w:val="clear" w:color="auto" w:fill="auto"/>
                <w:lang w:eastAsia="zh-CN"/>
              </w:rPr>
              <w:t>。</w:t>
            </w:r>
          </w:p>
          <w:p>
            <w:pPr>
              <w:numPr>
                <w:ilvl w:val="0"/>
                <w:numId w:val="0"/>
              </w:numPr>
              <w:adjustRightInd w:val="0"/>
              <w:snapToGrid w:val="0"/>
              <w:spacing w:line="400" w:lineRule="atLeast"/>
              <w:ind w:firstLine="482" w:firstLineChars="200"/>
              <w:rPr>
                <w:rFonts w:hint="eastAsia" w:ascii="宋体" w:hAnsi="宋体" w:eastAsia="宋体" w:cs="宋体"/>
                <w:color w:val="auto"/>
                <w:sz w:val="24"/>
                <w:szCs w:val="24"/>
                <w:highlight w:val="none"/>
                <w:shd w:val="clear" w:color="auto" w:fill="auto"/>
              </w:rPr>
            </w:pPr>
            <w:r>
              <w:rPr>
                <w:rFonts w:hint="eastAsia" w:ascii="宋体" w:hAnsi="宋体" w:cs="宋体"/>
                <w:b/>
                <w:color w:val="auto"/>
                <w:sz w:val="24"/>
                <w:szCs w:val="24"/>
                <w:highlight w:val="none"/>
                <w:shd w:val="clear" w:color="auto" w:fill="auto"/>
                <w:lang w:val="en-US" w:eastAsia="zh-CN"/>
              </w:rPr>
              <w:t>6、</w:t>
            </w:r>
            <w:r>
              <w:rPr>
                <w:rFonts w:hint="eastAsia" w:ascii="宋体" w:hAnsi="宋体" w:eastAsia="宋体" w:cs="宋体"/>
                <w:b/>
                <w:color w:val="auto"/>
                <w:sz w:val="24"/>
                <w:szCs w:val="24"/>
                <w:highlight w:val="none"/>
                <w:shd w:val="clear" w:color="auto" w:fill="auto"/>
              </w:rPr>
              <w:t>维修人员</w:t>
            </w:r>
            <w:r>
              <w:rPr>
                <w:rFonts w:hint="eastAsia" w:ascii="宋体" w:hAnsi="宋体" w:eastAsia="宋体" w:cs="宋体"/>
                <w:color w:val="auto"/>
                <w:sz w:val="24"/>
                <w:szCs w:val="24"/>
                <w:highlight w:val="none"/>
                <w:shd w:val="clear" w:color="auto" w:fill="auto"/>
              </w:rPr>
              <w:t>：</w:t>
            </w:r>
          </w:p>
          <w:p>
            <w:pPr>
              <w:numPr>
                <w:ilvl w:val="0"/>
                <w:numId w:val="0"/>
              </w:numPr>
              <w:adjustRightInd w:val="0"/>
              <w:snapToGrid w:val="0"/>
              <w:spacing w:line="400" w:lineRule="atLeast"/>
              <w:ind w:left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kern w:val="2"/>
                <w:sz w:val="24"/>
                <w:szCs w:val="24"/>
                <w:highlight w:val="none"/>
                <w:shd w:val="clear" w:color="auto" w:fill="auto"/>
                <w:lang w:val="en-US" w:eastAsia="zh-CN" w:bidi="ar-SA"/>
              </w:rPr>
              <w:t>①</w:t>
            </w:r>
            <w:r>
              <w:rPr>
                <w:rFonts w:hint="eastAsia" w:ascii="宋体" w:hAnsi="宋体" w:eastAsia="宋体" w:cs="宋体"/>
                <w:bCs/>
                <w:color w:val="auto"/>
                <w:kern w:val="2"/>
                <w:sz w:val="24"/>
                <w:szCs w:val="24"/>
                <w:highlight w:val="none"/>
                <w:shd w:val="clear" w:color="auto" w:fill="auto"/>
                <w:lang w:val="en-US" w:eastAsia="zh-CN" w:bidi="ar-SA"/>
              </w:rPr>
              <w:t>具有</w:t>
            </w:r>
            <w:r>
              <w:rPr>
                <w:rFonts w:hint="eastAsia" w:ascii="宋体" w:hAnsi="宋体" w:cs="宋体"/>
                <w:bCs/>
                <w:color w:val="auto"/>
                <w:kern w:val="2"/>
                <w:sz w:val="24"/>
                <w:szCs w:val="24"/>
                <w:highlight w:val="none"/>
                <w:shd w:val="clear" w:color="auto" w:fill="auto"/>
                <w:lang w:val="en-US" w:eastAsia="zh-CN" w:bidi="ar-SA"/>
              </w:rPr>
              <w:t>专</w:t>
            </w:r>
            <w:r>
              <w:rPr>
                <w:rFonts w:hint="eastAsia" w:ascii="宋体" w:hAnsi="宋体" w:eastAsia="宋体" w:cs="宋体"/>
                <w:bCs/>
                <w:color w:val="auto"/>
                <w:kern w:val="2"/>
                <w:sz w:val="24"/>
                <w:szCs w:val="24"/>
                <w:highlight w:val="none"/>
                <w:shd w:val="clear" w:color="auto" w:fill="auto"/>
                <w:lang w:val="en-US" w:eastAsia="zh-CN" w:bidi="ar-SA"/>
              </w:rPr>
              <w:t>科及以上学历得2分；</w:t>
            </w:r>
          </w:p>
          <w:p>
            <w:pPr>
              <w:spacing w:line="400" w:lineRule="atLeast"/>
              <w:ind w:firstLine="360" w:firstLineChars="150"/>
              <w:rPr>
                <w:rFonts w:hint="eastAsia" w:ascii="宋体" w:hAnsi="宋体" w:cs="宋体"/>
                <w:color w:val="auto"/>
                <w:sz w:val="24"/>
                <w:szCs w:val="24"/>
                <w:highlight w:val="none"/>
                <w:shd w:val="clear" w:color="auto" w:fill="auto"/>
                <w:lang w:eastAsia="zh-CN"/>
              </w:rPr>
            </w:pPr>
            <w:r>
              <w:rPr>
                <w:rFonts w:hint="eastAsia" w:ascii="宋体" w:hAnsi="宋体" w:cs="宋体"/>
                <w:color w:val="auto"/>
                <w:sz w:val="24"/>
                <w:szCs w:val="24"/>
                <w:highlight w:val="none"/>
                <w:shd w:val="clear" w:color="auto" w:fill="auto"/>
                <w:lang w:val="en-US" w:eastAsia="zh-CN"/>
              </w:rPr>
              <w:t>②同时</w:t>
            </w:r>
            <w:r>
              <w:rPr>
                <w:rFonts w:hint="eastAsia" w:ascii="宋体" w:hAnsi="宋体" w:eastAsia="宋体" w:cs="宋体"/>
                <w:color w:val="auto"/>
                <w:sz w:val="24"/>
                <w:szCs w:val="24"/>
                <w:highlight w:val="none"/>
                <w:shd w:val="clear" w:color="auto" w:fill="auto"/>
                <w:lang w:eastAsia="zh-CN"/>
              </w:rPr>
              <w:t>持有应急管理部门颁发的电工作业证</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eastAsia="zh-CN"/>
              </w:rPr>
              <w:t>包括低压电工</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eastAsia="zh-CN"/>
              </w:rPr>
              <w:t>高压电工</w:t>
            </w:r>
            <w:r>
              <w:rPr>
                <w:rFonts w:hint="eastAsia" w:ascii="宋体" w:hAnsi="宋体" w:cs="宋体"/>
                <w:color w:val="auto"/>
                <w:sz w:val="24"/>
                <w:szCs w:val="24"/>
                <w:highlight w:val="none"/>
                <w:shd w:val="clear" w:color="auto" w:fill="auto"/>
                <w:lang w:eastAsia="zh-CN"/>
              </w:rPr>
              <w:t>、</w:t>
            </w:r>
            <w:r>
              <w:rPr>
                <w:rFonts w:hint="eastAsia" w:ascii="宋体" w:hAnsi="宋体" w:cs="宋体"/>
                <w:color w:val="auto"/>
                <w:sz w:val="24"/>
                <w:szCs w:val="24"/>
                <w:highlight w:val="none"/>
                <w:shd w:val="clear" w:color="auto" w:fill="auto"/>
                <w:lang w:val="en-US" w:eastAsia="zh-CN"/>
              </w:rPr>
              <w:t>高空作业证。</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eastAsia="zh-CN"/>
              </w:rPr>
              <w:t>此项均满足得</w:t>
            </w:r>
            <w:r>
              <w:rPr>
                <w:rFonts w:hint="eastAsia" w:ascii="宋体" w:hAnsi="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lang w:eastAsia="zh-CN"/>
              </w:rPr>
              <w:t>分，其中一项及以上不满足不得分</w:t>
            </w:r>
            <w:r>
              <w:rPr>
                <w:rFonts w:hint="eastAsia" w:ascii="宋体" w:hAnsi="宋体" w:eastAsia="宋体" w:cs="宋体"/>
                <w:color w:val="auto"/>
                <w:sz w:val="24"/>
                <w:szCs w:val="24"/>
                <w:highlight w:val="none"/>
                <w:shd w:val="clear" w:color="auto" w:fill="auto"/>
              </w:rPr>
              <w:t>，最高得</w:t>
            </w:r>
            <w:r>
              <w:rPr>
                <w:rFonts w:hint="eastAsia" w:ascii="宋体" w:hAnsi="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分</w:t>
            </w:r>
            <w:r>
              <w:rPr>
                <w:rFonts w:hint="eastAsia" w:ascii="宋体" w:hAnsi="宋体" w:cs="宋体"/>
                <w:color w:val="auto"/>
                <w:sz w:val="24"/>
                <w:szCs w:val="24"/>
                <w:highlight w:val="none"/>
                <w:shd w:val="clear" w:color="auto" w:fill="auto"/>
                <w:lang w:eastAsia="zh-CN"/>
              </w:rPr>
              <w:t>）</w:t>
            </w:r>
          </w:p>
          <w:p>
            <w:pPr>
              <w:spacing w:line="400" w:lineRule="atLeast"/>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cs="宋体"/>
                <w:bCs/>
                <w:color w:val="auto"/>
                <w:kern w:val="2"/>
                <w:sz w:val="24"/>
                <w:szCs w:val="24"/>
                <w:highlight w:val="none"/>
                <w:shd w:val="clear" w:color="auto" w:fill="auto"/>
                <w:lang w:val="en-US" w:eastAsia="zh-CN" w:bidi="ar-SA"/>
              </w:rPr>
              <w:t>③</w:t>
            </w:r>
            <w:r>
              <w:rPr>
                <w:rFonts w:hint="eastAsia" w:ascii="宋体" w:hAnsi="宋体" w:cs="宋体"/>
                <w:color w:val="auto"/>
                <w:sz w:val="24"/>
                <w:szCs w:val="24"/>
                <w:highlight w:val="none"/>
                <w:shd w:val="clear" w:color="auto" w:fill="auto"/>
                <w:lang w:val="en-US" w:eastAsia="zh-CN"/>
              </w:rPr>
              <w:t>持有</w:t>
            </w:r>
            <w:r>
              <w:rPr>
                <w:rFonts w:hint="eastAsia" w:ascii="宋体" w:hAnsi="宋体" w:eastAsia="宋体" w:cs="宋体"/>
                <w:color w:val="auto"/>
                <w:sz w:val="24"/>
                <w:szCs w:val="24"/>
                <w:highlight w:val="none"/>
                <w:shd w:val="clear" w:color="auto" w:fill="auto"/>
                <w:lang w:eastAsia="zh-CN"/>
              </w:rPr>
              <w:t>市场监督管理部门</w:t>
            </w:r>
            <w:r>
              <w:rPr>
                <w:rFonts w:hint="eastAsia" w:ascii="宋体" w:hAnsi="宋体" w:eastAsia="宋体" w:cs="宋体"/>
                <w:color w:val="auto"/>
                <w:sz w:val="24"/>
                <w:szCs w:val="24"/>
                <w:highlight w:val="none"/>
                <w:shd w:val="clear" w:color="auto" w:fill="auto"/>
                <w:lang w:val="en-US" w:eastAsia="zh-CN"/>
              </w:rPr>
              <w:t>颁发的</w:t>
            </w:r>
            <w:r>
              <w:rPr>
                <w:rFonts w:hint="eastAsia" w:ascii="宋体" w:hAnsi="宋体" w:eastAsia="宋体" w:cs="宋体"/>
                <w:color w:val="auto"/>
                <w:sz w:val="24"/>
                <w:szCs w:val="24"/>
                <w:highlight w:val="none"/>
                <w:shd w:val="clear" w:color="auto" w:fill="auto"/>
                <w:lang w:eastAsia="zh-CN"/>
              </w:rPr>
              <w:t>特种设备安全管理和作业人员证</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eastAsia="zh-CN"/>
              </w:rPr>
              <w:t>此项满足得</w:t>
            </w:r>
            <w:r>
              <w:rPr>
                <w:rFonts w:hint="eastAsia" w:ascii="宋体" w:hAnsi="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lang w:eastAsia="zh-CN"/>
              </w:rPr>
              <w:t>分，</w:t>
            </w:r>
            <w:r>
              <w:rPr>
                <w:rFonts w:hint="eastAsia" w:ascii="宋体" w:hAnsi="宋体" w:eastAsia="宋体" w:cs="宋体"/>
                <w:color w:val="auto"/>
                <w:sz w:val="24"/>
                <w:szCs w:val="24"/>
                <w:highlight w:val="none"/>
                <w:shd w:val="clear" w:color="auto" w:fill="auto"/>
              </w:rPr>
              <w:t>最高得</w:t>
            </w:r>
            <w:r>
              <w:rPr>
                <w:rFonts w:hint="eastAsia" w:ascii="宋体" w:hAnsi="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分)。</w:t>
            </w:r>
          </w:p>
          <w:p>
            <w:pPr>
              <w:pStyle w:val="4"/>
              <w:ind w:left="433" w:leftChars="202" w:hanging="9" w:hangingChars="4"/>
              <w:rPr>
                <w:rFonts w:hint="eastAsia" w:eastAsia="宋体"/>
                <w:b w:val="0"/>
                <w:bCs w:val="0"/>
                <w:color w:val="auto"/>
                <w:highlight w:val="none"/>
                <w:lang w:eastAsia="zh-CN"/>
              </w:rPr>
            </w:pPr>
            <w:r>
              <w:rPr>
                <w:rFonts w:hint="eastAsia" w:ascii="宋体" w:hAnsi="宋体" w:eastAsia="宋体" w:cs="宋体"/>
                <w:b w:val="0"/>
                <w:bCs w:val="0"/>
                <w:color w:val="auto"/>
                <w:sz w:val="24"/>
                <w:szCs w:val="24"/>
                <w:highlight w:val="none"/>
                <w:shd w:val="clear" w:color="auto" w:fill="auto"/>
              </w:rPr>
              <w:t>本项最高得</w:t>
            </w:r>
            <w:r>
              <w:rPr>
                <w:rFonts w:hint="eastAsia" w:ascii="宋体" w:hAnsi="宋体" w:cs="宋体"/>
                <w:b w:val="0"/>
                <w:bCs w:val="0"/>
                <w:color w:val="auto"/>
                <w:sz w:val="24"/>
                <w:szCs w:val="24"/>
                <w:highlight w:val="none"/>
                <w:shd w:val="clear" w:color="auto" w:fill="auto"/>
                <w:lang w:val="en-US" w:eastAsia="zh-CN"/>
              </w:rPr>
              <w:t>5</w:t>
            </w:r>
            <w:r>
              <w:rPr>
                <w:rFonts w:hint="eastAsia" w:ascii="宋体" w:hAnsi="宋体" w:eastAsia="宋体" w:cs="宋体"/>
                <w:b w:val="0"/>
                <w:bCs w:val="0"/>
                <w:color w:val="auto"/>
                <w:sz w:val="24"/>
                <w:szCs w:val="24"/>
                <w:highlight w:val="none"/>
                <w:shd w:val="clear" w:color="auto" w:fill="auto"/>
              </w:rPr>
              <w:t>分</w:t>
            </w:r>
            <w:r>
              <w:rPr>
                <w:rFonts w:hint="eastAsia" w:ascii="宋体" w:hAnsi="宋体" w:eastAsia="宋体" w:cs="宋体"/>
                <w:b w:val="0"/>
                <w:bCs w:val="0"/>
                <w:color w:val="auto"/>
                <w:sz w:val="24"/>
                <w:szCs w:val="24"/>
                <w:highlight w:val="none"/>
                <w:shd w:val="clear" w:color="auto" w:fill="auto"/>
                <w:lang w:eastAsia="zh-CN"/>
              </w:rPr>
              <w:t>。</w:t>
            </w:r>
          </w:p>
          <w:p>
            <w:pPr>
              <w:pStyle w:val="61"/>
              <w:numPr>
                <w:ilvl w:val="0"/>
                <w:numId w:val="0"/>
              </w:numPr>
              <w:spacing w:before="0" w:beforeAutospacing="0" w:afterAutospacing="0"/>
              <w:ind w:left="0" w:leftChars="0" w:right="0" w:firstLine="0" w:firstLineChars="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
                <w:bCs/>
                <w:color w:val="auto"/>
                <w:sz w:val="24"/>
                <w:szCs w:val="24"/>
                <w:highlight w:val="none"/>
                <w:shd w:val="clear" w:color="auto" w:fill="auto"/>
              </w:rPr>
              <w:t>以上所有拟派人员须同时提供相应证书和</w:t>
            </w:r>
            <w:r>
              <w:rPr>
                <w:rFonts w:hint="eastAsia" w:ascii="宋体" w:hAnsi="宋体" w:eastAsia="宋体" w:cs="宋体"/>
                <w:b/>
                <w:bCs/>
                <w:color w:val="auto"/>
                <w:sz w:val="24"/>
                <w:szCs w:val="24"/>
                <w:highlight w:val="none"/>
                <w:shd w:val="clear" w:color="auto" w:fill="auto"/>
                <w:lang w:eastAsia="zh-CN"/>
              </w:rPr>
              <w:t>近期</w:t>
            </w:r>
            <w:r>
              <w:rPr>
                <w:rFonts w:hint="eastAsia" w:ascii="宋体" w:hAnsi="宋体" w:eastAsia="宋体" w:cs="宋体"/>
                <w:b/>
                <w:bCs/>
                <w:color w:val="auto"/>
                <w:sz w:val="24"/>
                <w:szCs w:val="24"/>
                <w:highlight w:val="none"/>
                <w:shd w:val="clear" w:color="auto" w:fill="auto"/>
              </w:rPr>
              <w:t>社保缴纳的证明材料，且以上人员不重复得分。</w:t>
            </w:r>
          </w:p>
        </w:tc>
        <w:tc>
          <w:tcPr>
            <w:tcW w:w="764" w:type="dxa"/>
            <w:vAlign w:val="center"/>
          </w:tcPr>
          <w:p>
            <w:pPr>
              <w:spacing w:before="0" w:beforeAutospacing="0" w:after="0" w:afterAutospacing="0"/>
              <w:ind w:left="0" w:leftChars="0" w:right="0"/>
              <w:jc w:val="center"/>
              <w:rPr>
                <w:rFonts w:hint="default"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kern w:val="2"/>
                <w:sz w:val="24"/>
                <w:szCs w:val="24"/>
                <w:highlight w:val="none"/>
                <w:shd w:val="clear" w:color="auto" w:fill="auto"/>
                <w:lang w:val="en-US" w:eastAsia="zh-CN" w:bidi="ar-SA"/>
              </w:rPr>
              <w:t>33</w:t>
            </w:r>
          </w:p>
        </w:tc>
        <w:tc>
          <w:tcPr>
            <w:tcW w:w="1147" w:type="dxa"/>
            <w:vAlign w:val="center"/>
          </w:tcPr>
          <w:p>
            <w:pPr>
              <w:snapToGrid w:val="0"/>
              <w:spacing w:line="360" w:lineRule="auto"/>
              <w:jc w:val="center"/>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lang w:eastAsia="zh-CN"/>
              </w:rPr>
              <w:t>客观分</w:t>
            </w:r>
          </w:p>
        </w:tc>
        <w:tc>
          <w:tcPr>
            <w:tcW w:w="2150" w:type="dxa"/>
            <w:vAlign w:val="top"/>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项目实施的人员安排情况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lang w:val="en-US" w:eastAsia="zh-CN"/>
              </w:rPr>
              <w:t>1</w:t>
            </w:r>
            <w:r>
              <w:rPr>
                <w:rFonts w:hint="eastAsia" w:ascii="宋体" w:hAnsi="宋体" w:eastAsia="宋体" w:cs="宋体"/>
                <w:color w:val="auto"/>
                <w:sz w:val="24"/>
                <w:highlight w:val="none"/>
                <w:shd w:val="clear" w:color="auto" w:fill="auto"/>
                <w:lang w:eastAsia="zh-CN"/>
              </w:rPr>
              <w:t>1</w:t>
            </w:r>
          </w:p>
        </w:tc>
        <w:tc>
          <w:tcPr>
            <w:tcW w:w="3545" w:type="dxa"/>
            <w:vAlign w:val="center"/>
          </w:tcPr>
          <w:p>
            <w:pPr>
              <w:pStyle w:val="956"/>
              <w:wordWrap/>
              <w:autoSpaceDE w:val="0"/>
              <w:autoSpaceDN w:val="0"/>
              <w:snapToGrid w:val="0"/>
              <w:spacing w:before="0" w:beforeAutospacing="0" w:after="0" w:afterAutospacing="0" w:line="360" w:lineRule="auto"/>
              <w:ind w:left="107" w:right="96"/>
              <w:outlineLvl w:val="9"/>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有经中国国家认证认可监督管理委员会认证机构颁发的有效的： </w:t>
            </w:r>
          </w:p>
          <w:p>
            <w:pPr>
              <w:pStyle w:val="956"/>
              <w:numPr>
                <w:ilvl w:val="0"/>
                <w:numId w:val="0"/>
              </w:numPr>
              <w:tabs>
                <w:tab w:val="left" w:pos="709"/>
              </w:tabs>
              <w:wordWrap/>
              <w:autoSpaceDE w:val="0"/>
              <w:autoSpaceDN w:val="0"/>
              <w:snapToGrid w:val="0"/>
              <w:spacing w:before="0" w:beforeAutospacing="0" w:after="0" w:afterAutospacing="0" w:line="360" w:lineRule="auto"/>
              <w:ind w:left="-602" w:leftChars="0" w:right="0"/>
              <w:outlineLvl w:val="9"/>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（1）质量管理体系认证证书； </w:t>
            </w:r>
          </w:p>
          <w:p>
            <w:pPr>
              <w:pStyle w:val="956"/>
              <w:numPr>
                <w:ilvl w:val="0"/>
                <w:numId w:val="0"/>
              </w:numPr>
              <w:tabs>
                <w:tab w:val="left" w:pos="709"/>
              </w:tabs>
              <w:wordWrap/>
              <w:autoSpaceDE w:val="0"/>
              <w:autoSpaceDN w:val="0"/>
              <w:snapToGrid w:val="0"/>
              <w:spacing w:before="0" w:beforeAutospacing="0" w:after="0" w:afterAutospacing="0" w:line="360" w:lineRule="auto"/>
              <w:ind w:left="-602" w:leftChars="0" w:right="0"/>
              <w:outlineLvl w:val="9"/>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 xml:space="preserve">      （2）环境管理体系认证证书； </w:t>
            </w:r>
          </w:p>
          <w:p>
            <w:pPr>
              <w:pStyle w:val="956"/>
              <w:numPr>
                <w:ilvl w:val="0"/>
                <w:numId w:val="0"/>
              </w:numPr>
              <w:tabs>
                <w:tab w:val="left" w:pos="709"/>
              </w:tabs>
              <w:wordWrap/>
              <w:autoSpaceDE w:val="0"/>
              <w:autoSpaceDN w:val="0"/>
              <w:snapToGrid w:val="0"/>
              <w:spacing w:before="0" w:beforeAutospacing="0" w:after="0" w:afterAutospacing="0" w:line="360" w:lineRule="auto"/>
              <w:ind w:left="107" w:leftChars="0" w:right="-29"/>
              <w:outlineLvl w:val="9"/>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（3）职业健康安全管理体系认证证书</w:t>
            </w:r>
            <w:r>
              <w:rPr>
                <w:rFonts w:hint="eastAsia" w:ascii="宋体" w:hAnsi="宋体" w:eastAsia="宋体" w:cs="宋体"/>
                <w:color w:val="auto"/>
                <w:sz w:val="24"/>
                <w:szCs w:val="24"/>
                <w:highlight w:val="none"/>
                <w:lang w:val="en-US" w:eastAsia="zh-CN"/>
              </w:rPr>
              <w:t>。</w:t>
            </w:r>
          </w:p>
          <w:p>
            <w:pPr>
              <w:pStyle w:val="956"/>
              <w:numPr>
                <w:ilvl w:val="0"/>
                <w:numId w:val="0"/>
              </w:numPr>
              <w:tabs>
                <w:tab w:val="left" w:pos="709"/>
              </w:tabs>
              <w:wordWrap/>
              <w:autoSpaceDE w:val="0"/>
              <w:autoSpaceDN w:val="0"/>
              <w:snapToGrid w:val="0"/>
              <w:spacing w:before="0" w:beforeAutospacing="0" w:after="0" w:afterAutospacing="0" w:line="360" w:lineRule="auto"/>
              <w:ind w:left="107" w:leftChars="0" w:right="-29"/>
              <w:outlineLvl w:val="9"/>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每具有1项证书得</w:t>
            </w:r>
            <w:r>
              <w:rPr>
                <w:rFonts w:hint="eastAsia" w:ascii="宋体" w:hAnsi="宋体" w:cs="宋体"/>
                <w:bCs/>
                <w:color w:val="auto"/>
                <w:kern w:val="2"/>
                <w:sz w:val="24"/>
                <w:szCs w:val="24"/>
                <w:highlight w:val="none"/>
                <w:shd w:val="clear" w:color="auto" w:fill="auto"/>
                <w:lang w:val="en-US" w:eastAsia="zh-CN" w:bidi="ar-SA"/>
              </w:rPr>
              <w:t>2</w:t>
            </w:r>
            <w:r>
              <w:rPr>
                <w:rFonts w:hint="eastAsia" w:ascii="宋体" w:hAnsi="宋体" w:eastAsia="宋体" w:cs="宋体"/>
                <w:bCs/>
                <w:color w:val="auto"/>
                <w:kern w:val="2"/>
                <w:sz w:val="24"/>
                <w:szCs w:val="24"/>
                <w:highlight w:val="none"/>
                <w:shd w:val="clear" w:color="auto" w:fill="auto"/>
                <w:lang w:val="en-US" w:eastAsia="zh-CN" w:bidi="ar-SA"/>
              </w:rPr>
              <w:t>分，满分</w:t>
            </w:r>
            <w:r>
              <w:rPr>
                <w:rFonts w:hint="eastAsia" w:ascii="宋体" w:hAnsi="宋体" w:cs="宋体"/>
                <w:bCs/>
                <w:color w:val="auto"/>
                <w:kern w:val="2"/>
                <w:sz w:val="24"/>
                <w:szCs w:val="24"/>
                <w:highlight w:val="none"/>
                <w:shd w:val="clear" w:color="auto" w:fill="auto"/>
                <w:lang w:val="en-US" w:eastAsia="zh-CN" w:bidi="ar-SA"/>
              </w:rPr>
              <w:t>6</w:t>
            </w:r>
            <w:r>
              <w:rPr>
                <w:rFonts w:hint="eastAsia" w:ascii="宋体" w:hAnsi="宋体" w:eastAsia="宋体" w:cs="宋体"/>
                <w:bCs/>
                <w:color w:val="auto"/>
                <w:kern w:val="2"/>
                <w:sz w:val="24"/>
                <w:szCs w:val="24"/>
                <w:highlight w:val="none"/>
                <w:shd w:val="clear" w:color="auto" w:fill="auto"/>
                <w:lang w:val="en-US" w:eastAsia="zh-CN" w:bidi="ar-SA"/>
              </w:rPr>
              <w:t xml:space="preserve">分。 </w:t>
            </w:r>
          </w:p>
          <w:p>
            <w:pPr>
              <w:spacing w:before="0" w:beforeAutospacing="0" w:after="0" w:afterAutospacing="0"/>
              <w:ind w:left="0" w:leftChars="0" w:right="0"/>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注：投标文件中提供有效期内的证书扫描件及全国认证认可信息公共服务平台网站（http://www.cnca.gov.cn/）查询页面截图，否则不得分。</w:t>
            </w:r>
          </w:p>
        </w:tc>
        <w:tc>
          <w:tcPr>
            <w:tcW w:w="764" w:type="dxa"/>
            <w:vAlign w:val="center"/>
          </w:tcPr>
          <w:p>
            <w:pPr>
              <w:spacing w:before="0" w:beforeAutospacing="0" w:after="0" w:afterAutospacing="0"/>
              <w:ind w:left="0" w:leftChars="0" w:right="0"/>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cs="宋体"/>
                <w:bCs/>
                <w:color w:val="auto"/>
                <w:kern w:val="2"/>
                <w:sz w:val="24"/>
                <w:szCs w:val="24"/>
                <w:highlight w:val="none"/>
                <w:shd w:val="clear" w:color="auto" w:fill="auto"/>
                <w:lang w:val="en-US" w:eastAsia="zh-CN" w:bidi="ar-SA"/>
              </w:rPr>
              <w:t>6</w:t>
            </w:r>
          </w:p>
        </w:tc>
        <w:tc>
          <w:tcPr>
            <w:tcW w:w="1147" w:type="dxa"/>
            <w:vAlign w:val="center"/>
          </w:tcPr>
          <w:p>
            <w:pPr>
              <w:snapToGrid w:val="0"/>
              <w:spacing w:line="360" w:lineRule="auto"/>
              <w:jc w:val="center"/>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color w:val="auto"/>
                <w:sz w:val="24"/>
                <w:highlight w:val="none"/>
                <w:shd w:val="clear" w:color="auto" w:fill="auto"/>
                <w:lang w:eastAsia="zh-CN"/>
              </w:rPr>
              <w:t>客观分</w:t>
            </w:r>
          </w:p>
        </w:tc>
        <w:tc>
          <w:tcPr>
            <w:tcW w:w="2150" w:type="dxa"/>
            <w:vAlign w:val="top"/>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投标人认证情况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lang w:val="en-US" w:eastAsia="zh-CN"/>
              </w:rPr>
              <w:t>1</w:t>
            </w:r>
            <w:r>
              <w:rPr>
                <w:rFonts w:hint="eastAsia" w:ascii="宋体" w:hAnsi="宋体" w:eastAsia="宋体" w:cs="宋体"/>
                <w:color w:val="auto"/>
                <w:sz w:val="24"/>
                <w:highlight w:val="none"/>
                <w:shd w:val="clear" w:color="auto" w:fill="auto"/>
                <w:lang w:eastAsia="zh-CN"/>
              </w:rPr>
              <w:t>2</w:t>
            </w:r>
          </w:p>
        </w:tc>
        <w:tc>
          <w:tcPr>
            <w:tcW w:w="3545" w:type="dxa"/>
            <w:vAlign w:val="center"/>
          </w:tcPr>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 w:val="0"/>
                <w:bCs w:val="0"/>
                <w:color w:val="auto"/>
                <w:sz w:val="24"/>
                <w:szCs w:val="24"/>
                <w:highlight w:val="none"/>
                <w:shd w:val="clear" w:color="auto" w:fill="auto"/>
                <w:lang w:eastAsia="zh-CN"/>
              </w:rPr>
              <w:t>服务响应：</w:t>
            </w:r>
            <w:r>
              <w:rPr>
                <w:rFonts w:hint="eastAsia" w:ascii="宋体" w:hAnsi="宋体" w:eastAsia="宋体" w:cs="宋体"/>
                <w:b w:val="0"/>
                <w:bCs w:val="0"/>
                <w:color w:val="auto"/>
                <w:kern w:val="2"/>
                <w:sz w:val="24"/>
                <w:szCs w:val="24"/>
                <w:highlight w:val="none"/>
                <w:shd w:val="clear" w:color="auto" w:fill="auto"/>
                <w:lang w:val="en-US" w:eastAsia="zh-CN" w:bidi="ar-SA"/>
              </w:rPr>
              <w:t>①</w:t>
            </w:r>
            <w:r>
              <w:rPr>
                <w:rFonts w:hint="eastAsia" w:ascii="宋体" w:hAnsi="宋体" w:eastAsia="宋体" w:cs="宋体"/>
                <w:b w:val="0"/>
                <w:bCs w:val="0"/>
                <w:color w:val="auto"/>
                <w:sz w:val="24"/>
                <w:szCs w:val="24"/>
                <w:highlight w:val="none"/>
                <w:shd w:val="clear" w:color="auto" w:fill="auto"/>
                <w:lang w:eastAsia="zh-CN"/>
              </w:rPr>
              <w:t>承诺各类设施设备出现故障时，维修人员应在接到报修后30分钟内到达现场，设备零修合格率达到100%，一般性维修不过夜；</w:t>
            </w:r>
            <w:r>
              <w:rPr>
                <w:rFonts w:hint="eastAsia" w:ascii="宋体" w:hAnsi="宋体" w:eastAsia="宋体" w:cs="宋体"/>
                <w:b w:val="0"/>
                <w:bCs w:val="0"/>
                <w:color w:val="auto"/>
                <w:kern w:val="2"/>
                <w:sz w:val="24"/>
                <w:szCs w:val="24"/>
                <w:highlight w:val="none"/>
                <w:shd w:val="clear" w:color="auto" w:fill="auto"/>
                <w:lang w:val="en-US" w:eastAsia="zh-CN" w:bidi="ar-SA"/>
              </w:rPr>
              <w:t>②</w:t>
            </w:r>
            <w:r>
              <w:rPr>
                <w:rFonts w:hint="eastAsia" w:ascii="宋体" w:hAnsi="宋体" w:eastAsia="宋体" w:cs="宋体"/>
                <w:b w:val="0"/>
                <w:bCs w:val="0"/>
                <w:color w:val="auto"/>
                <w:sz w:val="24"/>
                <w:szCs w:val="24"/>
                <w:highlight w:val="none"/>
                <w:shd w:val="clear" w:color="auto" w:fill="auto"/>
                <w:lang w:eastAsia="zh-CN"/>
              </w:rPr>
              <w:t>承诺电梯、消防故障紧急修理，接通知后30分钟内到现场检修；</w:t>
            </w:r>
            <w:r>
              <w:rPr>
                <w:rFonts w:hint="eastAsia" w:ascii="宋体" w:hAnsi="宋体" w:eastAsia="宋体" w:cs="宋体"/>
                <w:color w:val="auto"/>
                <w:sz w:val="24"/>
                <w:highlight w:val="none"/>
                <w:shd w:val="clear" w:color="auto" w:fill="auto"/>
                <w:lang w:val="en-US" w:eastAsia="zh-CN"/>
              </w:rPr>
              <w:t>每承诺1</w:t>
            </w:r>
            <w:r>
              <w:rPr>
                <w:rFonts w:hint="eastAsia" w:ascii="宋体" w:hAnsi="宋体" w:eastAsia="宋体" w:cs="宋体"/>
                <w:b w:val="0"/>
                <w:bCs w:val="0"/>
                <w:color w:val="auto"/>
                <w:sz w:val="24"/>
                <w:szCs w:val="24"/>
                <w:highlight w:val="none"/>
                <w:shd w:val="clear" w:color="auto" w:fill="auto"/>
                <w:lang w:eastAsia="zh-CN"/>
              </w:rPr>
              <w:t>项</w:t>
            </w:r>
            <w:r>
              <w:rPr>
                <w:rFonts w:hint="eastAsia" w:ascii="宋体" w:hAnsi="宋体" w:eastAsia="宋体" w:cs="宋体"/>
                <w:b w:val="0"/>
                <w:bCs w:val="0"/>
                <w:color w:val="auto"/>
                <w:sz w:val="24"/>
                <w:szCs w:val="24"/>
                <w:highlight w:val="none"/>
                <w:shd w:val="clear" w:color="auto" w:fill="auto"/>
                <w:lang w:val="en-US" w:eastAsia="zh-CN"/>
              </w:rPr>
              <w:t>得1分，最高得2分。</w:t>
            </w:r>
          </w:p>
        </w:tc>
        <w:tc>
          <w:tcPr>
            <w:tcW w:w="764" w:type="dxa"/>
            <w:vAlign w:val="center"/>
          </w:tcPr>
          <w:p>
            <w:pPr>
              <w:adjustRightInd w:val="0"/>
              <w:snapToGrid w:val="0"/>
              <w:spacing w:line="400" w:lineRule="atLeast"/>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2</w:t>
            </w:r>
          </w:p>
        </w:tc>
        <w:tc>
          <w:tcPr>
            <w:tcW w:w="1147" w:type="dxa"/>
            <w:vAlign w:val="center"/>
          </w:tcPr>
          <w:p>
            <w:pPr>
              <w:snapToGrid w:val="0"/>
              <w:spacing w:line="360" w:lineRule="auto"/>
              <w:jc w:val="center"/>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color w:val="auto"/>
                <w:sz w:val="24"/>
                <w:highlight w:val="none"/>
                <w:shd w:val="clear" w:color="auto" w:fill="auto"/>
                <w:lang w:eastAsia="zh-CN"/>
              </w:rPr>
              <w:t>客观分</w:t>
            </w:r>
          </w:p>
        </w:tc>
        <w:tc>
          <w:tcPr>
            <w:tcW w:w="2150" w:type="dxa"/>
            <w:vAlign w:val="top"/>
          </w:tcPr>
          <w:p>
            <w:pPr>
              <w:snapToGrid w:val="0"/>
              <w:spacing w:line="360" w:lineRule="auto"/>
              <w:jc w:val="center"/>
              <w:rPr>
                <w:rFonts w:hint="eastAsia" w:ascii="宋体" w:hAnsi="宋体" w:eastAsia="宋体" w:cs="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lang w:val="en-US" w:eastAsia="zh-CN"/>
              </w:rPr>
              <w:t>1</w:t>
            </w:r>
            <w:r>
              <w:rPr>
                <w:rFonts w:hint="eastAsia" w:ascii="宋体" w:hAnsi="宋体" w:eastAsia="宋体" w:cs="宋体"/>
                <w:color w:val="auto"/>
                <w:sz w:val="24"/>
                <w:highlight w:val="none"/>
                <w:shd w:val="clear" w:color="auto" w:fill="auto"/>
                <w:lang w:eastAsia="zh-CN"/>
              </w:rPr>
              <w:t>3</w:t>
            </w:r>
          </w:p>
        </w:tc>
        <w:tc>
          <w:tcPr>
            <w:tcW w:w="3545" w:type="dxa"/>
            <w:vAlign w:val="center"/>
          </w:tcPr>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投标人自2020年1月1日以来实施的机关行政大楼或综合办公楼等类似的物业管理服务的成功案例，以签订时间为准，须提供合同复印件。每提供一项得0.5分，最多得1分。</w:t>
            </w:r>
          </w:p>
        </w:tc>
        <w:tc>
          <w:tcPr>
            <w:tcW w:w="764" w:type="dxa"/>
            <w:vAlign w:val="center"/>
          </w:tcPr>
          <w:p>
            <w:pPr>
              <w:adjustRightInd w:val="0"/>
              <w:snapToGrid w:val="0"/>
              <w:spacing w:line="400" w:lineRule="atLeast"/>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1</w:t>
            </w:r>
          </w:p>
        </w:tc>
        <w:tc>
          <w:tcPr>
            <w:tcW w:w="1147" w:type="dxa"/>
            <w:vAlign w:val="center"/>
          </w:tcPr>
          <w:p>
            <w:pPr>
              <w:snapToGrid w:val="0"/>
              <w:spacing w:line="360" w:lineRule="auto"/>
              <w:jc w:val="center"/>
              <w:rPr>
                <w:rFonts w:hint="eastAsia" w:ascii="宋体" w:hAnsi="宋体" w:eastAsia="宋体" w:cs="宋体"/>
                <w:color w:val="auto"/>
                <w:kern w:val="2"/>
                <w:sz w:val="24"/>
                <w:szCs w:val="24"/>
                <w:highlight w:val="none"/>
                <w:shd w:val="clear" w:color="auto" w:fill="auto"/>
                <w:lang w:val="en-US" w:eastAsia="zh-CN" w:bidi="ar-SA"/>
              </w:rPr>
            </w:pPr>
            <w:r>
              <w:rPr>
                <w:rFonts w:hint="eastAsia" w:ascii="宋体" w:hAnsi="宋体" w:eastAsia="宋体" w:cs="宋体"/>
                <w:color w:val="auto"/>
                <w:sz w:val="24"/>
                <w:highlight w:val="none"/>
                <w:shd w:val="clear" w:color="auto" w:fill="auto"/>
                <w:lang w:eastAsia="zh-CN"/>
              </w:rPr>
              <w:t>客观分</w:t>
            </w:r>
          </w:p>
        </w:tc>
        <w:tc>
          <w:tcPr>
            <w:tcW w:w="2150" w:type="dxa"/>
            <w:vAlign w:val="top"/>
          </w:tcPr>
          <w:p>
            <w:pPr>
              <w:snapToGrid w:val="0"/>
              <w:spacing w:line="360" w:lineRule="auto"/>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投标人类似项目业绩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shd w:val="clear" w:color="auto" w:fill="auto"/>
              </w:rPr>
            </w:pPr>
          </w:p>
        </w:tc>
        <w:tc>
          <w:tcPr>
            <w:tcW w:w="3545" w:type="dxa"/>
            <w:vAlign w:val="top"/>
          </w:tcPr>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有效投标报价的最低价作为评标基准价，其最低报价为满分；按［投标报价得分=（评标基准价/投标报价）*10］的计算公式计算。</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评标过程中，不得去掉报价中的最高报价和最低报价。</w:t>
            </w:r>
          </w:p>
          <w:p>
            <w:pPr>
              <w:adjustRightInd w:val="0"/>
              <w:snapToGrid w:val="0"/>
              <w:spacing w:line="400" w:lineRule="atLeast"/>
              <w:ind w:left="0" w:leftChars="0" w:firstLine="420" w:firstLineChars="175"/>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764" w:type="dxa"/>
            <w:vAlign w:val="center"/>
          </w:tcPr>
          <w:p>
            <w:pPr>
              <w:adjustRightInd w:val="0"/>
              <w:snapToGrid w:val="0"/>
              <w:spacing w:line="400" w:lineRule="atLeast"/>
              <w:jc w:val="center"/>
              <w:rPr>
                <w:rFonts w:hint="eastAsia" w:ascii="宋体" w:hAnsi="宋体" w:eastAsia="宋体" w:cs="宋体"/>
                <w:bCs/>
                <w:color w:val="auto"/>
                <w:kern w:val="2"/>
                <w:sz w:val="24"/>
                <w:szCs w:val="24"/>
                <w:highlight w:val="none"/>
                <w:shd w:val="clear" w:color="auto" w:fill="auto"/>
                <w:lang w:val="en-US" w:eastAsia="zh-CN" w:bidi="ar-SA"/>
              </w:rPr>
            </w:pPr>
            <w:r>
              <w:rPr>
                <w:rFonts w:hint="eastAsia" w:ascii="宋体" w:hAnsi="宋体" w:eastAsia="宋体" w:cs="宋体"/>
                <w:bCs/>
                <w:color w:val="auto"/>
                <w:kern w:val="2"/>
                <w:sz w:val="24"/>
                <w:szCs w:val="24"/>
                <w:highlight w:val="none"/>
                <w:shd w:val="clear" w:color="auto" w:fill="auto"/>
                <w:lang w:val="en-US" w:eastAsia="zh-CN" w:bidi="ar-SA"/>
              </w:rPr>
              <w:t>10</w:t>
            </w:r>
          </w:p>
        </w:tc>
        <w:tc>
          <w:tcPr>
            <w:tcW w:w="1147" w:type="dxa"/>
            <w:vAlign w:val="center"/>
          </w:tcPr>
          <w:p>
            <w:pPr>
              <w:spacing w:line="360" w:lineRule="auto"/>
              <w:jc w:val="center"/>
              <w:outlineLvl w:val="0"/>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报价分</w:t>
            </w:r>
          </w:p>
        </w:tc>
        <w:tc>
          <w:tcPr>
            <w:tcW w:w="2150" w:type="dxa"/>
            <w:vAlign w:val="center"/>
          </w:tcPr>
          <w:p>
            <w:pPr>
              <w:spacing w:line="360" w:lineRule="auto"/>
              <w:jc w:val="center"/>
              <w:outlineLvl w:val="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w:t>
            </w:r>
          </w:p>
        </w:tc>
      </w:tr>
    </w:tbl>
    <w:p>
      <w:pPr>
        <w:rPr>
          <w:color w:val="auto"/>
        </w:rPr>
      </w:pPr>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30"/>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30"/>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pStyle w:val="4"/>
        <w:ind w:left="862" w:leftChars="205"/>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4.2.13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4"/>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4"/>
        <w:snapToGrid w:val="0"/>
        <w:spacing w:line="360" w:lineRule="auto"/>
        <w:rPr>
          <w:rFonts w:cs="宋体"/>
          <w:color w:val="auto"/>
        </w:rPr>
      </w:pPr>
      <w:r>
        <w:rPr>
          <w:rFonts w:hint="eastAsia" w:cs="宋体"/>
          <w:color w:val="auto"/>
        </w:rPr>
        <w:t>5.2出现影响采购公正的违法、违规行为的；</w:t>
      </w:r>
    </w:p>
    <w:p>
      <w:pPr>
        <w:pStyle w:val="24"/>
        <w:snapToGrid w:val="0"/>
        <w:spacing w:line="360" w:lineRule="auto"/>
        <w:rPr>
          <w:rFonts w:cs="宋体"/>
          <w:color w:val="auto"/>
        </w:rPr>
      </w:pPr>
      <w:r>
        <w:rPr>
          <w:rFonts w:hint="eastAsia" w:cs="宋体"/>
          <w:color w:val="auto"/>
        </w:rPr>
        <w:t>5.3投标人的报价均超过了采购预算，采购人不能支付的；</w:t>
      </w:r>
    </w:p>
    <w:p>
      <w:pPr>
        <w:pStyle w:val="24"/>
        <w:snapToGrid w:val="0"/>
        <w:spacing w:line="360" w:lineRule="auto"/>
        <w:rPr>
          <w:rFonts w:cs="宋体"/>
          <w:color w:val="auto"/>
        </w:rPr>
      </w:pPr>
      <w:r>
        <w:rPr>
          <w:rFonts w:hint="eastAsia" w:cs="宋体"/>
          <w:color w:val="auto"/>
        </w:rPr>
        <w:t>5.4因重大变故，采购任务取消的。</w:t>
      </w:r>
    </w:p>
    <w:p>
      <w:pPr>
        <w:pStyle w:val="24"/>
        <w:snapToGrid w:val="0"/>
        <w:spacing w:line="360" w:lineRule="auto"/>
        <w:rPr>
          <w:rFonts w:cs="宋体"/>
          <w:color w:val="auto"/>
        </w:rPr>
      </w:pPr>
      <w:r>
        <w:rPr>
          <w:rFonts w:hint="eastAsia" w:cs="宋体"/>
          <w:color w:val="auto"/>
        </w:rPr>
        <w:t>废标后，</w:t>
      </w:r>
      <w:r>
        <w:rPr>
          <w:rFonts w:hint="eastAsia" w:cs="宋体"/>
          <w:color w:val="auto"/>
          <w:lang w:eastAsia="zh-CN"/>
        </w:rPr>
        <w:t>采购代理机构</w:t>
      </w:r>
      <w:r>
        <w:rPr>
          <w:rFonts w:hint="eastAsia" w:cs="宋体"/>
          <w:color w:val="auto"/>
        </w:rPr>
        <w:t>应当将废标理由通知所有投标人。</w:t>
      </w:r>
    </w:p>
    <w:p>
      <w:pPr>
        <w:pStyle w:val="24"/>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w:t>
      </w:r>
      <w:r>
        <w:rPr>
          <w:rFonts w:hint="eastAsia" w:cs="宋体"/>
          <w:color w:val="auto"/>
          <w:lang w:eastAsia="zh-CN"/>
        </w:rPr>
        <w:t>采购代理机构</w:t>
      </w:r>
      <w:r>
        <w:rPr>
          <w:rFonts w:hint="eastAsia" w:cs="宋体"/>
          <w:color w:val="auto"/>
        </w:rPr>
        <w:t>沟通并作书面记录。采购人、</w:t>
      </w:r>
      <w:r>
        <w:rPr>
          <w:rFonts w:hint="eastAsia" w:cs="宋体"/>
          <w:color w:val="auto"/>
          <w:lang w:eastAsia="zh-CN"/>
        </w:rPr>
        <w:t>采购代理机构</w:t>
      </w:r>
      <w:r>
        <w:rPr>
          <w:rFonts w:hint="eastAsia" w:cs="宋体"/>
          <w:color w:val="auto"/>
        </w:rPr>
        <w:t>确认后，将修改招标文件，重新组织采购活动。</w:t>
      </w:r>
    </w:p>
    <w:p>
      <w:pPr>
        <w:pStyle w:val="24"/>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4"/>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4"/>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4"/>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color w:val="auto"/>
        </w:rPr>
      </w:pPr>
    </w:p>
    <w:bookmarkEnd w:id="27"/>
    <w:p>
      <w:pPr>
        <w:spacing w:line="360" w:lineRule="auto"/>
        <w:ind w:left="720" w:leftChars="343" w:firstLine="1084" w:firstLineChars="300"/>
        <w:outlineLvl w:val="0"/>
        <w:rPr>
          <w:rFonts w:ascii="宋体" w:hAnsi="宋体" w:cs="宋体"/>
          <w:b/>
          <w:color w:val="auto"/>
          <w:sz w:val="36"/>
          <w:szCs w:val="36"/>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 xml:space="preserve">    </w:t>
      </w: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widowControl/>
        <w:adjustRightInd/>
        <w:jc w:val="left"/>
        <w:rPr>
          <w:rFonts w:ascii="宋体" w:hAnsi="宋体" w:cs="宋体"/>
          <w:b/>
          <w:color w:val="auto"/>
          <w:sz w:val="36"/>
          <w:szCs w:val="36"/>
        </w:rPr>
      </w:pPr>
      <w:r>
        <w:rPr>
          <w:rFonts w:ascii="宋体" w:hAnsi="宋体" w:cs="宋体"/>
          <w:b/>
          <w:color w:val="auto"/>
          <w:sz w:val="36"/>
          <w:szCs w:val="36"/>
        </w:rPr>
        <w:br w:type="page"/>
      </w:r>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第五部分 拟签订的合同文本</w:t>
      </w: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政府采购合同参考范本</w:t>
      </w: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w:t>
      </w:r>
    </w:p>
    <w:p>
      <w:pPr>
        <w:pStyle w:val="701"/>
        <w:ind w:firstLine="2843" w:firstLineChars="1180"/>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pStyle w:val="4"/>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pStyle w:val="598"/>
        <w:spacing w:before="120" w:line="22" w:lineRule="atLeast"/>
        <w:rPr>
          <w:rFonts w:ascii="宋体" w:hAnsi="宋体" w:eastAsia="宋体" w:cs="宋体"/>
          <w:color w:val="auto"/>
          <w:szCs w:val="24"/>
        </w:rPr>
      </w:pPr>
    </w:p>
    <w:p>
      <w:pPr>
        <w:pStyle w:val="598"/>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rPr>
        <w:t>（采购人）</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rPr>
        <w:t xml:space="preserve">（项目名称）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（采购人）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bookmarkStart w:id="395" w:name="_Toc22967"/>
      <w:bookmarkStart w:id="396" w:name="_Toc28855"/>
      <w:bookmarkStart w:id="397" w:name="_Toc19273"/>
      <w:bookmarkStart w:id="398" w:name="_Toc20421"/>
      <w:bookmarkStart w:id="399" w:name="_Toc15367"/>
      <w:r>
        <w:rPr>
          <w:rFonts w:ascii="宋体" w:hAnsi="宋体"/>
          <w:b/>
          <w:color w:val="auto"/>
          <w:sz w:val="24"/>
        </w:rPr>
        <w:t xml:space="preserve">1.1 </w:t>
      </w:r>
      <w:r>
        <w:rPr>
          <w:rFonts w:hint="eastAsia" w:ascii="宋体" w:hAnsi="宋体"/>
          <w:b/>
          <w:color w:val="auto"/>
          <w:sz w:val="24"/>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rPr>
      </w:pPr>
      <w:r>
        <w:rPr>
          <w:rFonts w:ascii="宋体" w:hAnsi="宋体"/>
          <w:color w:val="auto"/>
          <w:sz w:val="24"/>
        </w:rPr>
        <w:t xml:space="preserve">1.1.1 </w:t>
      </w:r>
      <w:r>
        <w:rPr>
          <w:rFonts w:hint="eastAsia" w:ascii="宋体" w:hAnsi="宋体"/>
          <w:color w:val="auto"/>
          <w:sz w:val="24"/>
        </w:rPr>
        <w:t>本合同及其补充合同、变更协议；</w:t>
      </w:r>
    </w:p>
    <w:p>
      <w:pPr>
        <w:spacing w:line="560" w:lineRule="exact"/>
        <w:ind w:firstLine="480" w:firstLineChars="200"/>
        <w:rPr>
          <w:rFonts w:ascii="宋体" w:hAnsi="宋体"/>
          <w:color w:val="auto"/>
          <w:sz w:val="24"/>
        </w:rPr>
      </w:pPr>
      <w:r>
        <w:rPr>
          <w:rFonts w:ascii="宋体" w:hAnsi="宋体"/>
          <w:color w:val="auto"/>
          <w:sz w:val="24"/>
        </w:rPr>
        <w:t xml:space="preserve">1.1.2 </w:t>
      </w:r>
      <w:r>
        <w:rPr>
          <w:rFonts w:hint="eastAsia" w:ascii="宋体" w:hAnsi="宋体"/>
          <w:color w:val="auto"/>
          <w:sz w:val="24"/>
        </w:rPr>
        <w:t>中标或者成交通知书；</w:t>
      </w:r>
    </w:p>
    <w:p>
      <w:pPr>
        <w:spacing w:line="560" w:lineRule="exact"/>
        <w:ind w:firstLine="480" w:firstLineChars="200"/>
        <w:rPr>
          <w:rFonts w:ascii="宋体" w:hAnsi="宋体"/>
          <w:color w:val="auto"/>
          <w:sz w:val="24"/>
        </w:rPr>
      </w:pPr>
      <w:r>
        <w:rPr>
          <w:rFonts w:ascii="宋体" w:hAnsi="宋体"/>
          <w:color w:val="auto"/>
          <w:sz w:val="24"/>
        </w:rPr>
        <w:t xml:space="preserve">1.1.3 </w:t>
      </w:r>
      <w:r>
        <w:rPr>
          <w:rFonts w:hint="eastAsia" w:ascii="宋体" w:hAnsi="宋体"/>
          <w:color w:val="auto"/>
          <w:sz w:val="24"/>
        </w:rPr>
        <w:t>投标或者响应文件（含澄清或者说明文件）；</w:t>
      </w:r>
    </w:p>
    <w:p>
      <w:pPr>
        <w:spacing w:line="560" w:lineRule="exact"/>
        <w:ind w:firstLine="480" w:firstLineChars="200"/>
        <w:rPr>
          <w:rFonts w:ascii="宋体" w:hAnsi="宋体"/>
          <w:color w:val="auto"/>
          <w:sz w:val="24"/>
        </w:rPr>
      </w:pPr>
      <w:r>
        <w:rPr>
          <w:rFonts w:ascii="宋体" w:hAnsi="宋体"/>
          <w:color w:val="auto"/>
          <w:sz w:val="24"/>
        </w:rPr>
        <w:t xml:space="preserve">1.1.4 </w:t>
      </w:r>
      <w:r>
        <w:rPr>
          <w:rFonts w:hint="eastAsia" w:ascii="宋体" w:hAnsi="宋体"/>
          <w:color w:val="auto"/>
          <w:sz w:val="24"/>
        </w:rPr>
        <w:t>采购文件（含澄清或者修改文件）；</w:t>
      </w:r>
    </w:p>
    <w:p>
      <w:pPr>
        <w:spacing w:line="560" w:lineRule="exact"/>
        <w:ind w:firstLine="480" w:firstLineChars="200"/>
        <w:rPr>
          <w:rFonts w:ascii="宋体" w:hAnsi="宋体"/>
          <w:color w:val="auto"/>
          <w:sz w:val="24"/>
        </w:rPr>
      </w:pPr>
      <w:r>
        <w:rPr>
          <w:rFonts w:ascii="宋体" w:hAnsi="宋体"/>
          <w:color w:val="auto"/>
          <w:sz w:val="24"/>
        </w:rPr>
        <w:t xml:space="preserve">1.1.5 </w:t>
      </w:r>
      <w:r>
        <w:rPr>
          <w:rFonts w:hint="eastAsia" w:ascii="宋体" w:hAnsi="宋体"/>
          <w:color w:val="auto"/>
          <w:sz w:val="24"/>
        </w:rPr>
        <w:t>其他相关采购文件。</w:t>
      </w:r>
    </w:p>
    <w:p>
      <w:pPr>
        <w:spacing w:line="560" w:lineRule="exact"/>
        <w:ind w:firstLine="482" w:firstLineChars="200"/>
        <w:outlineLvl w:val="0"/>
        <w:rPr>
          <w:rFonts w:ascii="宋体" w:hAnsi="宋体"/>
          <w:b/>
          <w:color w:val="auto"/>
          <w:sz w:val="24"/>
        </w:rPr>
      </w:pPr>
      <w:bookmarkStart w:id="400" w:name="_Toc18585"/>
      <w:bookmarkStart w:id="401" w:name="_Toc6773"/>
      <w:bookmarkStart w:id="402" w:name="_Toc6311"/>
      <w:bookmarkStart w:id="403" w:name="_Toc2918"/>
      <w:bookmarkStart w:id="404" w:name="_Toc22185"/>
      <w:r>
        <w:rPr>
          <w:rFonts w:ascii="宋体" w:hAnsi="宋体"/>
          <w:b/>
          <w:color w:val="auto"/>
          <w:sz w:val="24"/>
        </w:rPr>
        <w:t xml:space="preserve">1.2 </w:t>
      </w:r>
      <w:r>
        <w:rPr>
          <w:rFonts w:hint="eastAsia" w:ascii="宋体" w:hAnsi="宋体"/>
          <w:b/>
          <w:color w:val="auto"/>
          <w:sz w:val="24"/>
        </w:rPr>
        <w:t>标的</w:t>
      </w:r>
      <w:bookmarkEnd w:id="400"/>
      <w:bookmarkEnd w:id="401"/>
      <w:bookmarkEnd w:id="402"/>
      <w:bookmarkEnd w:id="403"/>
      <w:bookmarkEnd w:id="404"/>
    </w:p>
    <w:p>
      <w:pPr>
        <w:spacing w:line="560" w:lineRule="exact"/>
        <w:ind w:firstLine="480" w:firstLineChars="200"/>
        <w:rPr>
          <w:rFonts w:ascii="宋体" w:hAnsi="宋体"/>
          <w:color w:val="auto"/>
          <w:sz w:val="24"/>
          <w:u w:val="single"/>
        </w:rPr>
      </w:pPr>
      <w:r>
        <w:rPr>
          <w:rFonts w:ascii="宋体" w:hAnsi="宋体"/>
          <w:color w:val="auto"/>
          <w:sz w:val="24"/>
        </w:rPr>
        <w:t xml:space="preserve">1.2.1 </w:t>
      </w:r>
      <w:r>
        <w:rPr>
          <w:rFonts w:hint="eastAsia" w:ascii="宋体" w:hAnsi="宋体"/>
          <w:color w:val="auto"/>
          <w:sz w:val="24"/>
        </w:rPr>
        <w:t>服务内容</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1.2.2 </w:t>
      </w:r>
      <w:r>
        <w:rPr>
          <w:rFonts w:hint="eastAsia" w:ascii="宋体" w:hAnsi="宋体"/>
          <w:color w:val="auto"/>
          <w:sz w:val="24"/>
        </w:rPr>
        <w:t>服务标准</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1.2.3 </w:t>
      </w:r>
      <w:r>
        <w:rPr>
          <w:rFonts w:hint="eastAsia" w:ascii="宋体" w:hAnsi="宋体"/>
          <w:color w:val="auto"/>
          <w:sz w:val="24"/>
        </w:rPr>
        <w:t>技术保障：</w:t>
      </w:r>
      <w:r>
        <w:rPr>
          <w:rFonts w:ascii="宋体" w:hAnsi="宋体"/>
          <w:color w:val="auto"/>
          <w:sz w:val="24"/>
          <w:u w:val="single"/>
        </w:rPr>
        <w:t xml:space="preserve">　　　　　　　　　                      　      </w:t>
      </w:r>
      <w:r>
        <w:rPr>
          <w:rFonts w:hint="eastAsia" w:ascii="宋体" w:hAnsi="宋体"/>
          <w:color w:val="auto"/>
          <w:sz w:val="24"/>
          <w:u w:val="single"/>
        </w:rPr>
        <w:t>；</w:t>
      </w:r>
    </w:p>
    <w:p>
      <w:pPr>
        <w:spacing w:line="560" w:lineRule="exact"/>
        <w:ind w:firstLine="480" w:firstLineChars="200"/>
        <w:jc w:val="left"/>
        <w:rPr>
          <w:rFonts w:ascii="宋体" w:hAnsi="宋体"/>
          <w:color w:val="auto"/>
          <w:sz w:val="24"/>
        </w:rPr>
      </w:pPr>
      <w:r>
        <w:rPr>
          <w:rFonts w:hint="eastAsia" w:ascii="宋体" w:hAnsi="宋体"/>
          <w:color w:val="auto"/>
          <w:sz w:val="24"/>
        </w:rPr>
        <w:t>1.2.4 服务人员组成：</w:t>
      </w:r>
      <w:r>
        <w:rPr>
          <w:rFonts w:ascii="宋体" w:hAnsi="宋体"/>
          <w:color w:val="auto"/>
          <w:sz w:val="24"/>
          <w:u w:val="single"/>
        </w:rPr>
        <w:t xml:space="preserve">　　             　      </w:t>
      </w:r>
      <w:r>
        <w:rPr>
          <w:rFonts w:hint="eastAsia" w:ascii="宋体" w:hAnsi="宋体"/>
          <w:color w:val="auto"/>
          <w:sz w:val="24"/>
        </w:rPr>
        <w:t>；</w:t>
      </w:r>
    </w:p>
    <w:p>
      <w:pPr>
        <w:pStyle w:val="959"/>
        <w:spacing w:before="0" w:beforeAutospacing="0" w:after="0" w:afterAutospacing="0" w:line="360" w:lineRule="auto"/>
        <w:ind w:firstLine="480"/>
        <w:rPr>
          <w:color w:val="auto"/>
        </w:rPr>
      </w:pPr>
      <w:r>
        <w:rPr>
          <w:rFonts w:hint="eastAsia"/>
          <w:color w:val="auto"/>
        </w:rPr>
        <w:t>1.2.5合同</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否）涉及货物。若涉及货物的，则：</w:t>
      </w:r>
    </w:p>
    <w:p>
      <w:pPr>
        <w:spacing w:line="560" w:lineRule="exact"/>
        <w:ind w:firstLine="480" w:firstLineChars="200"/>
        <w:rPr>
          <w:rFonts w:ascii="宋体" w:hAnsi="宋体" w:cs="宋体"/>
          <w:color w:val="auto"/>
          <w:sz w:val="24"/>
          <w:u w:val="single"/>
        </w:rPr>
      </w:pPr>
      <w:bookmarkStart w:id="405" w:name="_Toc5635"/>
      <w:bookmarkStart w:id="406" w:name="_Toc13918"/>
      <w:bookmarkStart w:id="407" w:name="_Toc21124"/>
      <w:bookmarkStart w:id="408" w:name="_Toc4929"/>
      <w:bookmarkStart w:id="409" w:name="_Toc1386"/>
      <w:r>
        <w:rPr>
          <w:rFonts w:hint="eastAsia" w:ascii="宋体" w:hAnsi="宋体" w:cs="宋体"/>
          <w:color w:val="auto"/>
          <w:sz w:val="24"/>
        </w:rPr>
        <w:t>1.2.5.1 货物名称、品牌、规格型号、花色：</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1.2.5.2 货物数量：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1.2.5.3 货物质量：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1.3 价款</w:t>
      </w:r>
      <w:bookmarkEnd w:id="405"/>
      <w:bookmarkEnd w:id="406"/>
      <w:bookmarkEnd w:id="407"/>
      <w:bookmarkEnd w:id="408"/>
      <w:bookmarkEnd w:id="409"/>
    </w:p>
    <w:p>
      <w:pPr>
        <w:spacing w:line="560" w:lineRule="exact"/>
        <w:ind w:firstLine="480" w:firstLineChars="200"/>
        <w:rPr>
          <w:rFonts w:ascii="宋体" w:hAnsi="宋体"/>
          <w:color w:val="auto"/>
          <w:sz w:val="24"/>
        </w:rPr>
      </w:pPr>
      <w:r>
        <w:rPr>
          <w:rFonts w:hint="eastAsia" w:ascii="宋体" w:hAnsi="宋体" w:cs="宋体"/>
          <w:color w:val="auto"/>
          <w:sz w:val="24"/>
        </w:rPr>
        <w:t>本项目采用以下第</w:t>
      </w:r>
      <w:r>
        <w:rPr>
          <w:rFonts w:hint="eastAsia" w:ascii="宋体" w:hAnsi="宋体" w:cs="宋体"/>
          <w:color w:val="auto"/>
          <w:sz w:val="24"/>
          <w:u w:val="single"/>
        </w:rPr>
        <w:t xml:space="preserve">     </w:t>
      </w:r>
      <w:r>
        <w:rPr>
          <w:rFonts w:hint="eastAsia" w:ascii="宋体" w:hAnsi="宋体" w:cs="宋体"/>
          <w:color w:val="auto"/>
          <w:sz w:val="24"/>
        </w:rPr>
        <w:t>条款规定的计价方式计价。</w:t>
      </w:r>
    </w:p>
    <w:p>
      <w:pPr>
        <w:spacing w:line="560" w:lineRule="exact"/>
        <w:ind w:firstLine="480" w:firstLineChars="200"/>
        <w:rPr>
          <w:rFonts w:ascii="宋体" w:hAnsi="宋体"/>
          <w:color w:val="auto"/>
          <w:sz w:val="24"/>
        </w:rPr>
      </w:pPr>
      <w:r>
        <w:rPr>
          <w:rFonts w:hint="eastAsia" w:ascii="宋体" w:hAnsi="宋体"/>
          <w:color w:val="auto"/>
          <w:sz w:val="24"/>
        </w:rPr>
        <w:t>1.3.1总价合同，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r>
        <w:rPr>
          <w:rFonts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color w:val="auto"/>
                <w:sz w:val="24"/>
                <w:szCs w:val="24"/>
              </w:rPr>
            </w:pPr>
            <w:r>
              <w:rPr>
                <w:rFonts w:hAnsi="宋体"/>
                <w:color w:val="auto"/>
                <w:sz w:val="24"/>
                <w:szCs w:val="24"/>
              </w:rPr>
              <w:t>序号</w:t>
            </w:r>
          </w:p>
        </w:tc>
        <w:tc>
          <w:tcPr>
            <w:tcW w:w="3402" w:type="dxa"/>
            <w:vAlign w:val="center"/>
          </w:tcPr>
          <w:p>
            <w:pPr>
              <w:pStyle w:val="319"/>
              <w:spacing w:line="560" w:lineRule="exact"/>
              <w:ind w:firstLine="200"/>
              <w:jc w:val="center"/>
              <w:rPr>
                <w:rFonts w:hAnsi="宋体"/>
                <w:color w:val="auto"/>
                <w:sz w:val="24"/>
                <w:szCs w:val="24"/>
              </w:rPr>
            </w:pPr>
            <w:r>
              <w:rPr>
                <w:rFonts w:hint="eastAsia" w:hAnsi="宋体"/>
                <w:color w:val="auto"/>
                <w:sz w:val="24"/>
                <w:szCs w:val="24"/>
              </w:rPr>
              <w:t>分项名称</w:t>
            </w:r>
          </w:p>
        </w:tc>
        <w:tc>
          <w:tcPr>
            <w:tcW w:w="2552" w:type="dxa"/>
            <w:vAlign w:val="center"/>
          </w:tcPr>
          <w:p>
            <w:pPr>
              <w:pStyle w:val="319"/>
              <w:spacing w:line="560" w:lineRule="exact"/>
              <w:jc w:val="center"/>
              <w:rPr>
                <w:rFonts w:hAnsi="宋体"/>
                <w:color w:val="auto"/>
                <w:sz w:val="24"/>
                <w:szCs w:val="24"/>
              </w:rPr>
            </w:pPr>
            <w:r>
              <w:rPr>
                <w:rFonts w:hAnsi="宋体"/>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color w:val="auto"/>
                <w:sz w:val="24"/>
                <w:szCs w:val="24"/>
              </w:rPr>
            </w:pPr>
            <w:r>
              <w:rPr>
                <w:rFonts w:hint="eastAsia" w:hAnsi="宋体"/>
                <w:color w:val="auto"/>
                <w:sz w:val="24"/>
                <w:szCs w:val="24"/>
              </w:rPr>
              <w:t>总价</w:t>
            </w:r>
          </w:p>
        </w:tc>
        <w:tc>
          <w:tcPr>
            <w:tcW w:w="2552" w:type="dxa"/>
            <w:vAlign w:val="center"/>
          </w:tcPr>
          <w:p>
            <w:pPr>
              <w:pStyle w:val="319"/>
              <w:spacing w:line="560" w:lineRule="exact"/>
              <w:ind w:firstLine="200"/>
              <w:jc w:val="center"/>
              <w:rPr>
                <w:rFonts w:hAnsi="宋体"/>
                <w:color w:val="auto"/>
                <w:sz w:val="24"/>
                <w:szCs w:val="24"/>
              </w:rPr>
            </w:pPr>
          </w:p>
        </w:tc>
      </w:tr>
    </w:tbl>
    <w:p>
      <w:pPr>
        <w:spacing w:line="560" w:lineRule="exact"/>
        <w:ind w:firstLine="480" w:firstLineChars="200"/>
        <w:rPr>
          <w:rFonts w:ascii="宋体" w:hAnsi="宋体"/>
          <w:color w:val="auto"/>
          <w:sz w:val="24"/>
        </w:rPr>
      </w:pPr>
      <w:bookmarkStart w:id="410" w:name="_Toc26916"/>
      <w:bookmarkStart w:id="411" w:name="_Toc30506"/>
      <w:bookmarkStart w:id="412" w:name="_Toc14993"/>
      <w:bookmarkStart w:id="413" w:name="_Toc3654"/>
      <w:bookmarkStart w:id="414" w:name="_Toc30158"/>
      <w:r>
        <w:rPr>
          <w:rFonts w:hint="eastAsia" w:ascii="宋体" w:hAnsi="宋体"/>
          <w:bCs/>
          <w:color w:val="auto"/>
          <w:sz w:val="24"/>
        </w:rPr>
        <w:t>1.3.2单价合同，本合同单价（含税）标准为：</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服务工作量的计量方式为：</w:t>
      </w:r>
      <w:r>
        <w:rPr>
          <w:rFonts w:hint="eastAsia" w:ascii="宋体" w:hAnsi="宋体"/>
          <w:bCs/>
          <w:color w:val="auto"/>
          <w:sz w:val="24"/>
          <w:u w:val="single"/>
        </w:rPr>
        <w:t xml:space="preserve">       </w:t>
      </w:r>
      <w:r>
        <w:rPr>
          <w:rFonts w:hint="eastAsia" w:ascii="宋体" w:hAnsi="宋体" w:cs="宋体"/>
          <w:b/>
          <w:i/>
          <w:color w:val="auto"/>
          <w:sz w:val="24"/>
          <w:u w:val="single"/>
        </w:rPr>
        <w:t>合同专用条款</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单价合同，在合同履行期间内，根据实际完成的工作量据实结算，但结算总价上限不得超过预算金额或者双方确定的金额￥</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p>
    <w:p>
      <w:pPr>
        <w:pStyle w:val="4"/>
        <w:rPr>
          <w:color w:val="auto"/>
          <w:lang w:val="en-US"/>
        </w:rPr>
      </w:pPr>
      <w:r>
        <w:rPr>
          <w:rFonts w:hint="eastAsia" w:ascii="宋体" w:hAnsi="宋体"/>
          <w:color w:val="auto"/>
          <w:sz w:val="24"/>
          <w:lang w:val="en-US"/>
        </w:rPr>
        <w:t xml:space="preserve">    </w:t>
      </w:r>
      <w:r>
        <w:rPr>
          <w:rFonts w:hint="eastAsia" w:ascii="宋体" w:hAnsi="宋体" w:eastAsia="宋体" w:cs="宋体"/>
          <w:b w:val="0"/>
          <w:bCs w:val="0"/>
          <w:color w:val="auto"/>
          <w:sz w:val="24"/>
          <w:lang w:val="en-US"/>
        </w:rPr>
        <w:t>1.3.3其他计价方式：</w:t>
      </w:r>
      <w:r>
        <w:rPr>
          <w:rFonts w:hint="eastAsia" w:ascii="宋体" w:hAnsi="宋体" w:eastAsia="宋体" w:cs="宋体"/>
          <w:b w:val="0"/>
          <w:bCs w:val="0"/>
          <w:color w:val="auto"/>
          <w:sz w:val="24"/>
          <w:u w:val="single"/>
          <w:lang w:val="en-US"/>
        </w:rPr>
        <w:t xml:space="preserve">                   </w:t>
      </w:r>
      <w:r>
        <w:rPr>
          <w:rFonts w:hint="eastAsia" w:ascii="宋体" w:hAnsi="宋体" w:eastAsia="宋体" w:cs="宋体"/>
          <w:b w:val="0"/>
          <w:bCs w:val="0"/>
          <w:color w:val="auto"/>
          <w:sz w:val="24"/>
        </w:rPr>
        <w:t>。</w:t>
      </w:r>
    </w:p>
    <w:bookmarkEnd w:id="410"/>
    <w:bookmarkEnd w:id="411"/>
    <w:bookmarkEnd w:id="412"/>
    <w:bookmarkEnd w:id="413"/>
    <w:bookmarkEnd w:id="414"/>
    <w:p>
      <w:pPr>
        <w:pStyle w:val="959"/>
        <w:spacing w:before="0" w:beforeAutospacing="0" w:after="0" w:afterAutospacing="0" w:line="360" w:lineRule="auto"/>
        <w:ind w:firstLine="480"/>
        <w:rPr>
          <w:b/>
          <w:color w:val="auto"/>
        </w:rPr>
      </w:pPr>
      <w:bookmarkStart w:id="415" w:name="_Toc1814"/>
      <w:bookmarkStart w:id="416" w:name="_Toc22618"/>
      <w:bookmarkStart w:id="417" w:name="_Toc10340"/>
      <w:bookmarkStart w:id="418" w:name="_Toc3625"/>
      <w:bookmarkStart w:id="419" w:name="_Toc4760"/>
      <w:bookmarkStart w:id="420" w:name="_Toc31421"/>
      <w:bookmarkStart w:id="421" w:name="_Toc8772"/>
      <w:bookmarkStart w:id="422" w:name="_Toc11108"/>
      <w:r>
        <w:rPr>
          <w:rFonts w:hint="eastAsia"/>
          <w:b/>
          <w:color w:val="auto"/>
        </w:rPr>
        <w:t>1.4履约保证金</w:t>
      </w:r>
    </w:p>
    <w:p>
      <w:pPr>
        <w:pStyle w:val="959"/>
        <w:spacing w:before="0" w:beforeAutospacing="0" w:after="0" w:afterAutospacing="0" w:line="360" w:lineRule="auto"/>
        <w:ind w:firstLine="480"/>
        <w:rPr>
          <w:color w:val="auto"/>
        </w:rPr>
      </w:pPr>
      <w:r>
        <w:rPr>
          <w:rFonts w:hint="eastAsia"/>
          <w:color w:val="auto"/>
        </w:rPr>
        <w:t>乙方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否）需要支付履约保证金。若需要支付履约保证金的，则：</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1.4.1履约保证金的比例为合同金额的</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1.4.2履约保证金支付方式详见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4"/>
        <w:tabs>
          <w:tab w:val="left" w:pos="0"/>
        </w:tabs>
        <w:spacing w:line="560" w:lineRule="exact"/>
        <w:ind w:left="0" w:firstLine="480" w:firstLineChars="200"/>
        <w:rPr>
          <w:color w:val="auto"/>
          <w:lang w:val="en-US"/>
        </w:rPr>
      </w:pPr>
      <w:r>
        <w:rPr>
          <w:rFonts w:hint="eastAsia" w:ascii="宋体" w:hAnsi="宋体" w:eastAsia="宋体" w:cs="宋体"/>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1.4.4甲方在项目验收结束后及时退还履约保证金。甲方在项目通过验收之日起</w:t>
      </w:r>
      <w:r>
        <w:rPr>
          <w:rFonts w:hint="eastAsia" w:ascii="宋体" w:hAnsi="宋体" w:cs="宋体"/>
          <w:color w:val="auto"/>
          <w:kern w:val="0"/>
          <w:sz w:val="24"/>
          <w:u w:val="single"/>
        </w:rPr>
        <w:t xml:space="preserve">       </w:t>
      </w:r>
      <w:r>
        <w:rPr>
          <w:rFonts w:hint="eastAsia" w:ascii="宋体" w:hAnsi="宋体" w:cs="宋体"/>
          <w:color w:val="auto"/>
          <w:kern w:val="0"/>
          <w:sz w:val="24"/>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u w:val="single"/>
        </w:rPr>
        <w:t xml:space="preserve">  0.05（可根据情况修改）  </w:t>
      </w:r>
      <w:r>
        <w:rPr>
          <w:rFonts w:hint="eastAsia" w:ascii="宋体" w:hAnsi="宋体" w:cs="宋体"/>
          <w:color w:val="auto"/>
          <w:kern w:val="0"/>
          <w:sz w:val="24"/>
        </w:rPr>
        <w:t>%计算，最高限额为本合同履约保证金的</w:t>
      </w:r>
      <w:r>
        <w:rPr>
          <w:rFonts w:hint="eastAsia" w:ascii="宋体" w:hAnsi="宋体" w:cs="宋体"/>
          <w:color w:val="auto"/>
          <w:kern w:val="0"/>
          <w:sz w:val="24"/>
          <w:u w:val="single"/>
        </w:rPr>
        <w:t xml:space="preserve">  20  </w:t>
      </w:r>
      <w:r>
        <w:rPr>
          <w:rFonts w:hint="eastAsia" w:ascii="宋体" w:hAnsi="宋体" w:cs="宋体"/>
          <w:color w:val="auto"/>
          <w:kern w:val="0"/>
          <w:sz w:val="24"/>
        </w:rPr>
        <w:t xml:space="preserve"> %。</w:t>
      </w:r>
    </w:p>
    <w:p>
      <w:pPr>
        <w:spacing w:line="560" w:lineRule="exact"/>
        <w:ind w:firstLine="482" w:firstLineChars="200"/>
        <w:outlineLvl w:val="0"/>
        <w:rPr>
          <w:rFonts w:ascii="宋体" w:hAnsi="宋体" w:cs="宋体"/>
          <w:b/>
          <w:color w:val="auto"/>
          <w:sz w:val="24"/>
        </w:rPr>
      </w:pPr>
      <w:r>
        <w:rPr>
          <w:rFonts w:hint="eastAsia" w:ascii="宋体" w:hAnsi="宋体" w:cs="宋体"/>
          <w:b/>
          <w:color w:val="auto"/>
          <w:sz w:val="24"/>
        </w:rPr>
        <w:t>1.5</w:t>
      </w:r>
      <w:bookmarkEnd w:id="415"/>
      <w:bookmarkEnd w:id="416"/>
      <w:bookmarkEnd w:id="417"/>
      <w:r>
        <w:rPr>
          <w:rFonts w:hint="eastAsia" w:ascii="宋体" w:hAnsi="宋体" w:cs="宋体"/>
          <w:b/>
          <w:color w:val="auto"/>
          <w:sz w:val="24"/>
        </w:rPr>
        <w:t>预付款</w:t>
      </w:r>
    </w:p>
    <w:p>
      <w:pPr>
        <w:pStyle w:val="959"/>
        <w:spacing w:before="0" w:beforeAutospacing="0" w:after="0" w:afterAutospacing="0" w:line="360" w:lineRule="auto"/>
        <w:ind w:firstLine="480"/>
        <w:rPr>
          <w:color w:val="auto"/>
        </w:rPr>
      </w:pPr>
      <w:r>
        <w:rPr>
          <w:rFonts w:hint="eastAsia"/>
          <w:color w:val="auto"/>
        </w:rPr>
        <w:t>甲方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否）需要支付预付款。若需要支付预付款的，则：</w:t>
      </w:r>
    </w:p>
    <w:p>
      <w:pPr>
        <w:spacing w:line="560" w:lineRule="exact"/>
        <w:ind w:firstLine="480" w:firstLineChars="200"/>
        <w:rPr>
          <w:rFonts w:ascii="宋体" w:hAnsi="宋体" w:cs="宋体"/>
          <w:color w:val="auto"/>
          <w:kern w:val="0"/>
          <w:sz w:val="24"/>
        </w:rPr>
      </w:pPr>
      <w:r>
        <w:rPr>
          <w:rFonts w:hint="eastAsia" w:ascii="宋体" w:hAnsi="宋体" w:cs="宋体"/>
          <w:color w:val="auto"/>
          <w:kern w:val="0"/>
          <w:sz w:val="24"/>
        </w:rPr>
        <w:t>1.5.1预付款比例、支付方式、时间详见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959"/>
        <w:spacing w:before="0" w:beforeAutospacing="0" w:after="0" w:afterAutospacing="0" w:line="360" w:lineRule="auto"/>
        <w:ind w:firstLine="480"/>
        <w:rPr>
          <w:color w:val="auto"/>
        </w:rPr>
      </w:pPr>
      <w:r>
        <w:rPr>
          <w:rFonts w:hint="eastAsia"/>
          <w:color w:val="auto"/>
        </w:rPr>
        <w:t>1.5.2预付款的扣回方式详见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59"/>
        <w:spacing w:before="0" w:beforeAutospacing="0" w:after="0" w:afterAutospacing="0" w:line="360" w:lineRule="auto"/>
        <w:ind w:firstLine="480"/>
        <w:rPr>
          <w:color w:val="auto"/>
          <w:u w:val="single"/>
        </w:rPr>
      </w:pPr>
      <w:r>
        <w:rPr>
          <w:rFonts w:hint="eastAsia"/>
          <w:color w:val="auto"/>
        </w:rPr>
        <w:t>1.5.3预付款的担保措施详见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59"/>
        <w:spacing w:before="0" w:beforeAutospacing="0" w:after="0" w:afterAutospacing="0" w:line="360" w:lineRule="auto"/>
        <w:ind w:firstLine="480"/>
        <w:rPr>
          <w:b/>
          <w:bCs/>
          <w:color w:val="auto"/>
        </w:rPr>
      </w:pPr>
      <w:r>
        <w:rPr>
          <w:rFonts w:hint="eastAsia"/>
          <w:b/>
          <w:bCs/>
          <w:color w:val="auto"/>
        </w:rPr>
        <w:t>1.6资金支付</w:t>
      </w:r>
    </w:p>
    <w:p>
      <w:pPr>
        <w:pStyle w:val="959"/>
        <w:spacing w:before="0" w:beforeAutospacing="0" w:after="0" w:afterAutospacing="0" w:line="360" w:lineRule="auto"/>
        <w:ind w:firstLine="480"/>
        <w:rPr>
          <w:color w:val="auto"/>
        </w:rPr>
      </w:pPr>
      <w:r>
        <w:rPr>
          <w:rFonts w:hint="eastAsia"/>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rPr>
      </w:pPr>
      <w:r>
        <w:rPr>
          <w:rFonts w:hint="eastAsia" w:ascii="宋体" w:hAnsi="宋体" w:cs="宋体"/>
          <w:color w:val="auto"/>
          <w:sz w:val="24"/>
        </w:rPr>
        <w:t>1.6.2资金支付的方式、时间和条件详见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w:t>
      </w:r>
      <w:r>
        <w:rPr>
          <w:rFonts w:hint="eastAsia" w:ascii="宋体" w:hAnsi="宋体"/>
          <w:b/>
          <w:color w:val="auto"/>
          <w:sz w:val="24"/>
        </w:rPr>
        <w:t>7</w:t>
      </w:r>
      <w:r>
        <w:rPr>
          <w:rFonts w:ascii="宋体" w:hAnsi="宋体"/>
          <w:b/>
          <w:color w:val="auto"/>
          <w:sz w:val="24"/>
        </w:rPr>
        <w:t xml:space="preserve"> 履行期限</w:t>
      </w:r>
      <w:r>
        <w:rPr>
          <w:rFonts w:hint="eastAsia" w:ascii="宋体" w:hAnsi="宋体"/>
          <w:b/>
          <w:color w:val="auto"/>
          <w:sz w:val="24"/>
        </w:rPr>
        <w:t>、地点和方式</w:t>
      </w:r>
      <w:bookmarkEnd w:id="418"/>
      <w:bookmarkEnd w:id="419"/>
      <w:bookmarkEnd w:id="420"/>
      <w:bookmarkEnd w:id="421"/>
      <w:bookmarkEnd w:id="422"/>
    </w:p>
    <w:p>
      <w:pPr>
        <w:spacing w:line="560" w:lineRule="exact"/>
        <w:ind w:firstLine="480" w:firstLineChars="200"/>
        <w:rPr>
          <w:rFonts w:ascii="宋体" w:hAnsi="宋体"/>
          <w:color w:val="auto"/>
          <w:sz w:val="24"/>
          <w:u w:val="single"/>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.1 </w:t>
      </w:r>
      <w:r>
        <w:rPr>
          <w:rFonts w:hint="eastAsia" w:ascii="宋体" w:hAnsi="宋体"/>
          <w:color w:val="auto"/>
          <w:sz w:val="24"/>
        </w:rPr>
        <w:t>服务交付（实施）的时间（期限）</w:t>
      </w:r>
      <w:r>
        <w:rPr>
          <w:rFonts w:ascii="宋体" w:hAnsi="宋体"/>
          <w:color w:val="auto"/>
          <w:sz w:val="24"/>
        </w:rPr>
        <w:t>：</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.2 </w:t>
      </w:r>
      <w:r>
        <w:rPr>
          <w:rFonts w:hint="eastAsia" w:ascii="宋体" w:hAnsi="宋体"/>
          <w:color w:val="auto"/>
          <w:sz w:val="24"/>
        </w:rPr>
        <w:t>服</w:t>
      </w:r>
      <w:r>
        <w:rPr>
          <w:rFonts w:hint="eastAsia" w:ascii="宋体" w:hAnsi="宋体" w:cs="宋体"/>
          <w:color w:val="auto"/>
          <w:sz w:val="24"/>
        </w:rPr>
        <w:t>务交付（实施）的地点（地域范围）：</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.3 </w:t>
      </w:r>
      <w:r>
        <w:rPr>
          <w:rFonts w:hint="eastAsia" w:ascii="宋体" w:hAnsi="宋体"/>
          <w:color w:val="auto"/>
          <w:sz w:val="24"/>
        </w:rPr>
        <w:t>服务交付（实施）的方式：</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outlineLvl w:val="0"/>
        <w:rPr>
          <w:rFonts w:ascii="宋体" w:hAnsi="宋体"/>
          <w:bCs/>
          <w:color w:val="auto"/>
          <w:sz w:val="24"/>
        </w:rPr>
      </w:pPr>
      <w:bookmarkStart w:id="423" w:name="_Toc5698"/>
      <w:bookmarkStart w:id="424" w:name="_Toc24662"/>
      <w:bookmarkStart w:id="425" w:name="_Toc8586"/>
      <w:bookmarkStart w:id="426" w:name="_Toc2375"/>
      <w:bookmarkStart w:id="427" w:name="_Toc3079"/>
      <w:r>
        <w:rPr>
          <w:rFonts w:hint="eastAsia" w:ascii="宋体" w:hAnsi="宋体"/>
          <w:bCs/>
          <w:color w:val="auto"/>
          <w:sz w:val="24"/>
        </w:rPr>
        <w:t>1.7.4若服务</w:t>
      </w:r>
      <w:r>
        <w:rPr>
          <w:rFonts w:hint="eastAsia"/>
          <w:bCs/>
          <w:color w:val="auto"/>
          <w:sz w:val="24"/>
        </w:rPr>
        <w:t>涉及货物的，则货物的：</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1.7.4.1 交付期限：详见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1.7.4.2 交付地点：</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1.7.4.3 交付方式：</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color w:val="auto"/>
          <w:sz w:val="24"/>
          <w:u w:val="single"/>
        </w:rPr>
      </w:pPr>
      <w:r>
        <w:rPr>
          <w:rFonts w:ascii="宋体" w:hAnsi="宋体"/>
          <w:b/>
          <w:color w:val="auto"/>
          <w:sz w:val="24"/>
        </w:rPr>
        <w:t>1.</w:t>
      </w:r>
      <w:r>
        <w:rPr>
          <w:rFonts w:hint="eastAsia" w:ascii="宋体" w:hAnsi="宋体"/>
          <w:b/>
          <w:color w:val="auto"/>
          <w:sz w:val="24"/>
        </w:rPr>
        <w:t>8违约责任</w:t>
      </w:r>
      <w:bookmarkEnd w:id="423"/>
      <w:bookmarkEnd w:id="424"/>
      <w:bookmarkEnd w:id="425"/>
      <w:bookmarkEnd w:id="426"/>
      <w:bookmarkEnd w:id="427"/>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.1 除不可抗力外，如果乙方没有按照本合同约定的期限</w:t>
      </w:r>
      <w:r>
        <w:rPr>
          <w:rFonts w:hint="eastAsia" w:ascii="宋体" w:hAnsi="宋体"/>
          <w:color w:val="auto"/>
          <w:sz w:val="24"/>
        </w:rPr>
        <w:t>、</w:t>
      </w:r>
      <w:r>
        <w:rPr>
          <w:rFonts w:ascii="宋体" w:hAnsi="宋体"/>
          <w:color w:val="auto"/>
          <w:sz w:val="24"/>
        </w:rPr>
        <w:t>地点和方式</w:t>
      </w:r>
      <w:r>
        <w:rPr>
          <w:rFonts w:hint="eastAsia" w:ascii="宋体" w:hAnsi="宋体"/>
          <w:color w:val="auto"/>
          <w:sz w:val="24"/>
        </w:rPr>
        <w:t>交付服务成果或者实施服务</w:t>
      </w:r>
      <w:r>
        <w:rPr>
          <w:rFonts w:ascii="宋体" w:hAnsi="宋体"/>
          <w:color w:val="auto"/>
          <w:sz w:val="24"/>
        </w:rPr>
        <w:t>，那么甲方可要求乙方支付违约金</w:t>
      </w:r>
      <w:r>
        <w:rPr>
          <w:rFonts w:hint="eastAsia" w:ascii="宋体" w:hAnsi="宋体"/>
          <w:color w:val="auto"/>
          <w:sz w:val="24"/>
        </w:rPr>
        <w:t>，迟延履行</w:t>
      </w:r>
      <w:r>
        <w:rPr>
          <w:rFonts w:ascii="宋体" w:hAnsi="宋体"/>
          <w:color w:val="auto"/>
          <w:sz w:val="24"/>
        </w:rPr>
        <w:t>违约金按每迟延</w:t>
      </w:r>
      <w:r>
        <w:rPr>
          <w:rFonts w:hint="eastAsia" w:ascii="宋体" w:hAnsi="宋体"/>
          <w:color w:val="auto"/>
          <w:sz w:val="24"/>
        </w:rPr>
        <w:t>履行</w:t>
      </w:r>
      <w:r>
        <w:rPr>
          <w:rFonts w:ascii="宋体" w:hAnsi="宋体"/>
          <w:color w:val="auto"/>
          <w:sz w:val="24"/>
        </w:rPr>
        <w:t>一日的应提供而未</w:t>
      </w:r>
      <w:r>
        <w:rPr>
          <w:rFonts w:hint="eastAsia" w:ascii="宋体" w:hAnsi="宋体"/>
          <w:color w:val="auto"/>
          <w:sz w:val="24"/>
        </w:rPr>
        <w:t>提供</w:t>
      </w:r>
      <w:r>
        <w:rPr>
          <w:rFonts w:ascii="宋体" w:hAnsi="宋体"/>
          <w:color w:val="auto"/>
          <w:sz w:val="24"/>
        </w:rPr>
        <w:t>服务价格的</w:t>
      </w:r>
      <w:r>
        <w:rPr>
          <w:rFonts w:hint="eastAsia" w:ascii="宋体" w:hAnsi="宋体"/>
          <w:color w:val="auto"/>
          <w:sz w:val="24"/>
          <w:u w:val="single"/>
        </w:rPr>
        <w:t>0.05</w:t>
      </w:r>
      <w:r>
        <w:rPr>
          <w:rFonts w:ascii="宋体" w:hAnsi="宋体"/>
          <w:color w:val="auto"/>
          <w:sz w:val="24"/>
          <w:u w:val="single"/>
        </w:rPr>
        <w:t xml:space="preserve"> </w:t>
      </w:r>
      <w:r>
        <w:rPr>
          <w:rFonts w:ascii="宋体" w:hAnsi="宋体"/>
          <w:color w:val="auto"/>
          <w:sz w:val="24"/>
        </w:rPr>
        <w:t>%计算</w:t>
      </w:r>
      <w:r>
        <w:rPr>
          <w:rFonts w:hint="eastAsia" w:ascii="宋体" w:hAnsi="宋体"/>
          <w:color w:val="auto"/>
          <w:sz w:val="24"/>
        </w:rPr>
        <w:t>，</w:t>
      </w:r>
      <w:r>
        <w:rPr>
          <w:rFonts w:ascii="宋体" w:hAnsi="宋体"/>
          <w:color w:val="auto"/>
          <w:sz w:val="24"/>
        </w:rPr>
        <w:t>最高限额为</w:t>
      </w:r>
      <w:r>
        <w:rPr>
          <w:rFonts w:hint="eastAsia" w:ascii="宋体" w:hAnsi="宋体"/>
          <w:color w:val="auto"/>
          <w:sz w:val="24"/>
        </w:rPr>
        <w:t>本</w:t>
      </w:r>
      <w:r>
        <w:rPr>
          <w:rFonts w:ascii="宋体" w:hAnsi="宋体"/>
          <w:color w:val="auto"/>
          <w:sz w:val="24"/>
        </w:rPr>
        <w:t>合同总价的</w:t>
      </w:r>
      <w:r>
        <w:rPr>
          <w:rFonts w:ascii="宋体" w:hAnsi="宋体"/>
          <w:color w:val="auto"/>
          <w:sz w:val="24"/>
          <w:u w:val="single"/>
        </w:rPr>
        <w:t xml:space="preserve">  20   </w:t>
      </w:r>
      <w:r>
        <w:rPr>
          <w:rFonts w:ascii="宋体" w:hAnsi="宋体"/>
          <w:color w:val="auto"/>
          <w:sz w:val="24"/>
        </w:rPr>
        <w:t>%</w:t>
      </w:r>
      <w:r>
        <w:rPr>
          <w:rFonts w:hint="eastAsia" w:ascii="宋体" w:hAnsi="宋体"/>
          <w:color w:val="auto"/>
          <w:sz w:val="24"/>
        </w:rPr>
        <w:t>；</w:t>
      </w:r>
      <w:r>
        <w:rPr>
          <w:rFonts w:ascii="宋体" w:hAnsi="宋体"/>
          <w:color w:val="auto"/>
          <w:sz w:val="24"/>
        </w:rPr>
        <w:t>迟延</w:t>
      </w:r>
      <w:r>
        <w:rPr>
          <w:rFonts w:hint="eastAsia" w:ascii="宋体" w:hAnsi="宋体"/>
          <w:color w:val="auto"/>
          <w:sz w:val="24"/>
        </w:rPr>
        <w:t>履行</w:t>
      </w:r>
      <w:r>
        <w:rPr>
          <w:rFonts w:ascii="宋体" w:hAnsi="宋体"/>
          <w:color w:val="auto"/>
          <w:sz w:val="24"/>
        </w:rPr>
        <w:t>的违约金计算数额达到前述最高限额之日起</w:t>
      </w:r>
      <w:r>
        <w:rPr>
          <w:rFonts w:hint="eastAsia" w:ascii="宋体" w:hAnsi="宋体"/>
          <w:color w:val="auto"/>
          <w:sz w:val="24"/>
        </w:rPr>
        <w:t>，</w:t>
      </w:r>
      <w:r>
        <w:rPr>
          <w:rFonts w:ascii="宋体" w:hAnsi="宋体"/>
          <w:color w:val="auto"/>
          <w:sz w:val="24"/>
        </w:rPr>
        <w:t>甲方有权在要求乙方支付违约金的同时</w:t>
      </w:r>
      <w:r>
        <w:rPr>
          <w:rFonts w:hint="eastAsia" w:ascii="宋体" w:hAnsi="宋体"/>
          <w:color w:val="auto"/>
          <w:sz w:val="24"/>
        </w:rPr>
        <w:t>，书面通知乙方</w:t>
      </w:r>
      <w:r>
        <w:rPr>
          <w:rFonts w:ascii="宋体" w:hAnsi="宋体"/>
          <w:color w:val="auto"/>
          <w:sz w:val="24"/>
        </w:rPr>
        <w:t>解除本合同</w:t>
      </w:r>
      <w:r>
        <w:rPr>
          <w:rFonts w:hint="eastAsia" w:ascii="宋体" w:hAnsi="宋体"/>
          <w:color w:val="auto"/>
          <w:sz w:val="24"/>
        </w:rPr>
        <w:t>；</w:t>
      </w:r>
    </w:p>
    <w:p>
      <w:pPr>
        <w:pStyle w:val="4"/>
        <w:ind w:left="0" w:firstLine="480" w:firstLineChars="200"/>
        <w:rPr>
          <w:rFonts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0.0</w:t>
      </w:r>
      <w:r>
        <w:rPr>
          <w:rFonts w:hint="eastAsia" w:ascii="宋体" w:hAnsi="宋体" w:eastAsia="宋体" w:cs="宋体"/>
          <w:b w:val="0"/>
          <w:bCs w:val="0"/>
          <w:color w:val="auto"/>
          <w:sz w:val="24"/>
          <w:szCs w:val="24"/>
          <w:lang w:val="en-US"/>
        </w:rPr>
        <w:t xml:space="preserve">5（可根据情况修改） </w:t>
      </w:r>
      <w:r>
        <w:rPr>
          <w:rFonts w:hint="eastAsia" w:ascii="宋体" w:hAnsi="宋体" w:eastAsia="宋体" w:cs="宋体"/>
          <w:b w:val="0"/>
          <w:bCs w:val="0"/>
          <w:color w:val="auto"/>
          <w:sz w:val="24"/>
          <w:szCs w:val="24"/>
          <w:u w:val="single"/>
          <w:lang w:val="en-US"/>
        </w:rPr>
        <w:t xml:space="preserve">  </w:t>
      </w:r>
      <w:r>
        <w:rPr>
          <w:rFonts w:hint="eastAsia" w:ascii="宋体" w:hAnsi="宋体" w:eastAsia="宋体" w:cs="宋体"/>
          <w:b w:val="0"/>
          <w:bCs w:val="0"/>
          <w:color w:val="auto"/>
          <w:sz w:val="24"/>
          <w:szCs w:val="24"/>
          <w:lang w:val="en-US"/>
        </w:rPr>
        <w:t>%计算，最高限额为本合同总价的</w:t>
      </w:r>
      <w:r>
        <w:rPr>
          <w:rFonts w:hint="eastAsia" w:ascii="宋体" w:hAnsi="宋体" w:eastAsia="宋体" w:cs="宋体"/>
          <w:b w:val="0"/>
          <w:bCs w:val="0"/>
          <w:color w:val="auto"/>
          <w:sz w:val="24"/>
          <w:szCs w:val="24"/>
          <w:u w:val="single"/>
          <w:lang w:val="en-US"/>
        </w:rPr>
        <w:t xml:space="preserve">  20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w:t>
      </w:r>
      <w:r>
        <w:rPr>
          <w:rFonts w:hint="eastAsia" w:ascii="宋体" w:hAnsi="宋体"/>
          <w:color w:val="auto"/>
          <w:sz w:val="24"/>
        </w:rPr>
        <w:t>3</w:t>
      </w:r>
      <w:r>
        <w:rPr>
          <w:rFonts w:hint="eastAsia" w:ascii="宋体" w:hAnsi="宋体" w:cs="宋体"/>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u w:val="single"/>
        </w:rPr>
        <w:t xml:space="preserve">   0.05   </w:t>
      </w:r>
      <w:r>
        <w:rPr>
          <w:rFonts w:hint="eastAsia" w:ascii="宋体" w:hAnsi="宋体" w:cs="宋体"/>
          <w:color w:val="auto"/>
          <w:sz w:val="24"/>
        </w:rPr>
        <w:t>%计算，最高限额为本合同总价的</w:t>
      </w:r>
      <w:r>
        <w:rPr>
          <w:rFonts w:hint="eastAsia" w:ascii="宋体" w:hAnsi="宋体" w:cs="宋体"/>
          <w:color w:val="auto"/>
          <w:sz w:val="24"/>
          <w:u w:val="single"/>
        </w:rPr>
        <w:t xml:space="preserve">   20</w:t>
      </w:r>
      <w:r>
        <w:rPr>
          <w:rFonts w:hint="eastAsia" w:ascii="宋体" w:hAnsi="宋体" w:cs="宋体"/>
          <w:color w:val="auto"/>
          <w:kern w:val="0"/>
          <w:sz w:val="24"/>
          <w:u w:val="single"/>
        </w:rPr>
        <w:t>（可根据情况修改）</w:t>
      </w:r>
      <w:r>
        <w:rPr>
          <w:rFonts w:hint="eastAsia" w:ascii="宋体" w:hAnsi="宋体" w:cs="宋体"/>
          <w:color w:val="auto"/>
          <w:sz w:val="24"/>
          <w:u w:val="single"/>
        </w:rPr>
        <w:t xml:space="preserve">   </w:t>
      </w:r>
      <w:r>
        <w:rPr>
          <w:rFonts w:hint="eastAsia" w:ascii="宋体" w:hAnsi="宋体" w:cs="宋体"/>
          <w:color w:val="auto"/>
          <w:sz w:val="24"/>
        </w:rPr>
        <w:t>%；迟延付款的违约金计算数额达到前述最高限额之日起，乙方有权在要求甲方支付违约金的同时，书面通知甲方解除本合同</w:t>
      </w:r>
      <w:r>
        <w:rPr>
          <w:rFonts w:hint="eastAsia" w:ascii="宋体" w:hAnsi="宋体"/>
          <w:color w:val="auto"/>
          <w:sz w:val="24"/>
        </w:rPr>
        <w:t>；</w:t>
      </w:r>
    </w:p>
    <w:p>
      <w:pPr>
        <w:spacing w:line="560" w:lineRule="exact"/>
        <w:ind w:firstLine="480" w:firstLineChars="200"/>
        <w:rPr>
          <w:rFonts w:ascii="宋体" w:hAnsi="宋体" w:cs="宋体"/>
          <w:color w:val="auto"/>
          <w:sz w:val="24"/>
        </w:rPr>
      </w:pPr>
      <w:bookmarkStart w:id="428" w:name="_Toc18683"/>
      <w:bookmarkStart w:id="429" w:name="_Toc26807"/>
      <w:bookmarkStart w:id="430" w:name="_Toc9497"/>
      <w:bookmarkStart w:id="431" w:name="_Toc30329"/>
      <w:bookmarkStart w:id="432" w:name="_Toc32454"/>
      <w:r>
        <w:rPr>
          <w:rFonts w:hint="eastAsia" w:ascii="宋体" w:hAnsi="宋体" w:cs="宋体"/>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rPr>
      </w:pPr>
      <w:r>
        <w:rPr>
          <w:rFonts w:hint="eastAsia" w:ascii="宋体" w:hAnsi="宋体" w:cs="宋体"/>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rPr>
      </w:pPr>
      <w:r>
        <w:rPr>
          <w:rFonts w:hint="eastAsia" w:ascii="宋体" w:hAnsi="宋体" w:cs="宋体"/>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rPr>
      </w:pPr>
      <w:r>
        <w:rPr>
          <w:rFonts w:hint="eastAsia" w:ascii="宋体" w:hAnsi="宋体" w:cs="宋体"/>
          <w:color w:val="auto"/>
          <w:sz w:val="24"/>
        </w:rPr>
        <w:t>1.8.7违约责任</w:t>
      </w:r>
      <w:r>
        <w:rPr>
          <w:rFonts w:hint="eastAsia" w:ascii="宋体" w:hAnsi="宋体" w:cs="宋体"/>
          <w:b/>
          <w:i/>
          <w:color w:val="auto"/>
          <w:sz w:val="24"/>
          <w:u w:val="single"/>
        </w:rPr>
        <w:t>合同专用条款</w:t>
      </w:r>
      <w:r>
        <w:rPr>
          <w:rFonts w:hint="eastAsia" w:ascii="宋体" w:hAnsi="宋体" w:cs="宋体"/>
          <w:color w:val="auto"/>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rPr>
      </w:pPr>
      <w:bookmarkStart w:id="433" w:name="_Toc28375"/>
      <w:bookmarkStart w:id="434" w:name="_Toc16021"/>
      <w:bookmarkStart w:id="435" w:name="_Toc15583"/>
      <w:r>
        <w:rPr>
          <w:rFonts w:hint="eastAsia" w:ascii="宋体" w:hAnsi="宋体" w:cs="宋体"/>
          <w:b/>
          <w:color w:val="auto"/>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color w:val="auto"/>
          <w:sz w:val="24"/>
        </w:rPr>
        <w:t>条款规定的方式解决：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1.9.1 将争议提交</w:t>
      </w:r>
      <w:r>
        <w:rPr>
          <w:rFonts w:hint="eastAsia" w:ascii="宋体" w:hAnsi="宋体" w:cs="宋体"/>
          <w:b/>
          <w:i/>
          <w:color w:val="auto"/>
          <w:sz w:val="24"/>
          <w:u w:val="single"/>
        </w:rPr>
        <w:t>合同专用条款</w:t>
      </w:r>
      <w:r>
        <w:rPr>
          <w:rFonts w:hint="eastAsia" w:ascii="宋体" w:hAnsi="宋体" w:cs="宋体"/>
          <w:color w:val="auto"/>
          <w:sz w:val="24"/>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1.9.2 向</w:t>
      </w:r>
      <w:r>
        <w:rPr>
          <w:rFonts w:hint="eastAsia" w:ascii="宋体" w:hAnsi="宋体" w:cs="宋体"/>
          <w:b/>
          <w:i/>
          <w:color w:val="auto"/>
          <w:sz w:val="24"/>
          <w:u w:val="single"/>
        </w:rPr>
        <w:t>合同专用条款</w:t>
      </w:r>
      <w:r>
        <w:rPr>
          <w:rFonts w:hint="eastAsia" w:ascii="宋体" w:hAnsi="宋体" w:cs="宋体"/>
          <w:color w:val="auto"/>
          <w:sz w:val="24"/>
        </w:rPr>
        <w:t>人民法院起诉。</w:t>
      </w:r>
    </w:p>
    <w:p>
      <w:pPr>
        <w:spacing w:line="560" w:lineRule="exact"/>
        <w:ind w:firstLine="482" w:firstLineChars="200"/>
        <w:outlineLvl w:val="0"/>
        <w:rPr>
          <w:rFonts w:ascii="宋体" w:hAnsi="宋体" w:cs="宋体"/>
          <w:b/>
          <w:color w:val="auto"/>
          <w:sz w:val="24"/>
        </w:rPr>
      </w:pPr>
      <w:bookmarkStart w:id="436" w:name="_Toc15322"/>
      <w:bookmarkStart w:id="437" w:name="_Toc7245"/>
      <w:bookmarkStart w:id="438" w:name="_Toc11173"/>
      <w:r>
        <w:rPr>
          <w:rFonts w:hint="eastAsia" w:ascii="宋体" w:hAnsi="宋体" w:cs="宋体"/>
          <w:b/>
          <w:color w:val="auto"/>
          <w:sz w:val="24"/>
        </w:rPr>
        <w:t>2.0 合同生效</w:t>
      </w:r>
      <w:bookmarkEnd w:id="436"/>
      <w:bookmarkEnd w:id="437"/>
      <w:bookmarkEnd w:id="438"/>
    </w:p>
    <w:p>
      <w:pPr>
        <w:spacing w:line="560" w:lineRule="exact"/>
        <w:ind w:firstLine="480" w:firstLineChars="200"/>
        <w:rPr>
          <w:rFonts w:ascii="宋体" w:hAnsi="宋体" w:cs="宋体"/>
          <w:b/>
          <w:color w:val="auto"/>
          <w:sz w:val="24"/>
        </w:rPr>
      </w:pPr>
      <w:r>
        <w:rPr>
          <w:rFonts w:hint="eastAsia" w:ascii="宋体" w:hAnsi="宋体" w:cs="宋体"/>
          <w:color w:val="auto"/>
          <w:sz w:val="24"/>
        </w:rPr>
        <w:t>本合同自双方当事人盖章签字时生效。</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住所：</w:t>
      </w:r>
      <w:r>
        <w:rPr>
          <w:rFonts w:ascii="宋体" w:hAnsi="宋体"/>
          <w:color w:val="auto"/>
          <w:sz w:val="24"/>
          <w:lang w:val="zh-CN"/>
        </w:rPr>
        <w:t xml:space="preserve">                                   </w:t>
      </w:r>
      <w:r>
        <w:rPr>
          <w:rFonts w:hint="eastAsia" w:ascii="宋体" w:hAnsi="宋体"/>
          <w:color w:val="auto"/>
          <w:sz w:val="24"/>
          <w:lang w:val="zh-CN"/>
        </w:rPr>
        <w:t>住所：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法定代表人或</w:t>
      </w:r>
      <w:r>
        <w:rPr>
          <w:rFonts w:ascii="宋体" w:hAnsi="宋体"/>
          <w:color w:val="auto"/>
          <w:sz w:val="24"/>
          <w:lang w:val="zh-CN"/>
        </w:rPr>
        <w:t xml:space="preserve">                             </w:t>
      </w:r>
      <w:r>
        <w:rPr>
          <w:rFonts w:hint="eastAsia" w:ascii="宋体" w:hAnsi="宋体"/>
          <w:color w:val="auto"/>
          <w:sz w:val="24"/>
          <w:lang w:val="zh-CN"/>
        </w:rPr>
        <w:t>法定代表人或</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授权代表（签字）：</w:t>
      </w:r>
      <w:r>
        <w:rPr>
          <w:rFonts w:ascii="宋体" w:hAnsi="宋体"/>
          <w:color w:val="auto"/>
          <w:sz w:val="24"/>
          <w:lang w:val="zh-CN"/>
        </w:rPr>
        <w:t xml:space="preserve">                       授权代表（签字）: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联系人：</w:t>
      </w:r>
      <w:r>
        <w:rPr>
          <w:rFonts w:ascii="宋体" w:hAnsi="宋体"/>
          <w:color w:val="auto"/>
          <w:sz w:val="24"/>
          <w:lang w:val="zh-CN"/>
        </w:rPr>
        <w:t xml:space="preserve">                                 </w:t>
      </w:r>
      <w:r>
        <w:rPr>
          <w:rFonts w:hint="eastAsia" w:ascii="宋体" w:hAnsi="宋体"/>
          <w:color w:val="auto"/>
          <w:sz w:val="24"/>
          <w:lang w:val="zh-CN"/>
        </w:rPr>
        <w:t>联系人：</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约定送达地址：</w:t>
      </w:r>
      <w:r>
        <w:rPr>
          <w:rFonts w:ascii="宋体" w:hAnsi="宋体"/>
          <w:color w:val="auto"/>
          <w:sz w:val="24"/>
          <w:lang w:val="zh-CN"/>
        </w:rPr>
        <w:t xml:space="preserve">                           </w:t>
      </w:r>
      <w:r>
        <w:rPr>
          <w:rFonts w:hint="eastAsia" w:ascii="宋体" w:hAnsi="宋体"/>
          <w:color w:val="auto"/>
          <w:sz w:val="24"/>
          <w:lang w:val="zh-CN"/>
        </w:rPr>
        <w:t>约定送达地址：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邮政编码：</w:t>
      </w:r>
      <w:r>
        <w:rPr>
          <w:rFonts w:ascii="宋体" w:hAnsi="宋体"/>
          <w:color w:val="auto"/>
          <w:sz w:val="24"/>
          <w:lang w:val="zh-CN"/>
        </w:rPr>
        <w:t xml:space="preserve">                               </w:t>
      </w:r>
      <w:r>
        <w:rPr>
          <w:rFonts w:hint="eastAsia" w:ascii="宋体" w:hAnsi="宋体"/>
          <w:color w:val="auto"/>
          <w:sz w:val="24"/>
          <w:lang w:val="zh-CN"/>
        </w:rPr>
        <w:t>邮政编码：</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电话</w:t>
      </w:r>
      <w:r>
        <w:rPr>
          <w:rFonts w:ascii="宋体" w:hAnsi="宋体"/>
          <w:color w:val="auto"/>
          <w:sz w:val="24"/>
          <w:lang w:val="zh-CN"/>
        </w:rPr>
        <w:t xml:space="preserve">:                                    电话: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传真</w:t>
      </w:r>
      <w:r>
        <w:rPr>
          <w:rFonts w:ascii="宋体" w:hAnsi="宋体"/>
          <w:color w:val="auto"/>
          <w:sz w:val="24"/>
          <w:lang w:val="zh-CN"/>
        </w:rPr>
        <w:t xml:space="preserve">:                                    </w:t>
      </w:r>
      <w:r>
        <w:rPr>
          <w:rFonts w:hint="eastAsia" w:ascii="宋体" w:hAnsi="宋体"/>
          <w:color w:val="auto"/>
          <w:sz w:val="24"/>
          <w:lang w:val="zh-CN"/>
        </w:rPr>
        <w:t>传真</w:t>
      </w:r>
      <w:r>
        <w:rPr>
          <w:rFonts w:ascii="宋体" w:hAnsi="宋体"/>
          <w:color w:val="auto"/>
          <w:sz w:val="24"/>
          <w:lang w:val="zh-CN"/>
        </w:rPr>
        <w:t>:</w:t>
      </w:r>
    </w:p>
    <w:p>
      <w:pPr>
        <w:autoSpaceDE w:val="0"/>
        <w:autoSpaceDN w:val="0"/>
        <w:spacing w:line="560" w:lineRule="exact"/>
        <w:rPr>
          <w:rFonts w:ascii="宋体" w:hAnsi="宋体"/>
          <w:color w:val="auto"/>
          <w:sz w:val="24"/>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autoSpaceDE w:val="0"/>
        <w:autoSpaceDN w:val="0"/>
        <w:spacing w:line="560" w:lineRule="exact"/>
        <w:rPr>
          <w:rFonts w:ascii="宋体" w:hAnsi="宋体"/>
          <w:color w:val="auto"/>
          <w:sz w:val="24"/>
        </w:rPr>
      </w:pPr>
      <w:r>
        <w:rPr>
          <w:rFonts w:hint="eastAsia" w:ascii="宋体" w:hAnsi="宋体"/>
          <w:color w:val="auto"/>
          <w:sz w:val="24"/>
        </w:rPr>
        <w:t>开户银行：</w:t>
      </w:r>
      <w:r>
        <w:rPr>
          <w:rFonts w:ascii="宋体" w:hAnsi="宋体"/>
          <w:color w:val="auto"/>
          <w:sz w:val="24"/>
        </w:rPr>
        <w:t xml:space="preserve">                               开户银行： </w:t>
      </w:r>
    </w:p>
    <w:p>
      <w:pPr>
        <w:autoSpaceDE w:val="0"/>
        <w:autoSpaceDN w:val="0"/>
        <w:spacing w:line="560" w:lineRule="exact"/>
        <w:rPr>
          <w:rFonts w:ascii="宋体" w:hAnsi="宋体"/>
          <w:color w:val="auto"/>
          <w:sz w:val="24"/>
        </w:rPr>
      </w:pPr>
      <w:r>
        <w:rPr>
          <w:rFonts w:hint="eastAsia" w:ascii="宋体" w:hAnsi="宋体"/>
          <w:color w:val="auto"/>
          <w:sz w:val="24"/>
        </w:rPr>
        <w:t>开户名称：</w:t>
      </w:r>
      <w:r>
        <w:rPr>
          <w:rFonts w:ascii="宋体" w:hAnsi="宋体"/>
          <w:color w:val="auto"/>
          <w:sz w:val="24"/>
        </w:rPr>
        <w:t xml:space="preserve">                               开户名称： </w:t>
      </w:r>
    </w:p>
    <w:p>
      <w:pPr>
        <w:autoSpaceDE w:val="0"/>
        <w:autoSpaceDN w:val="0"/>
        <w:spacing w:line="560" w:lineRule="exact"/>
        <w:rPr>
          <w:rFonts w:ascii="宋体" w:hAnsi="宋体"/>
          <w:color w:val="auto"/>
          <w:sz w:val="24"/>
        </w:rPr>
      </w:pPr>
      <w:r>
        <w:rPr>
          <w:rFonts w:hint="eastAsia" w:ascii="宋体" w:hAnsi="宋体"/>
          <w:color w:val="auto"/>
          <w:sz w:val="24"/>
        </w:rPr>
        <w:t>开户账号：</w:t>
      </w:r>
      <w:r>
        <w:rPr>
          <w:rFonts w:ascii="宋体" w:hAnsi="宋体"/>
          <w:color w:val="auto"/>
          <w:sz w:val="24"/>
          <w:lang w:val="zh-CN"/>
        </w:rPr>
        <w:t xml:space="preserve">                               </w:t>
      </w:r>
      <w:r>
        <w:rPr>
          <w:rFonts w:hint="eastAsia" w:ascii="宋体" w:hAnsi="宋体"/>
          <w:color w:val="auto"/>
          <w:sz w:val="24"/>
        </w:rPr>
        <w:t>开户账号：</w:t>
      </w:r>
    </w:p>
    <w:p>
      <w:pPr>
        <w:widowControl/>
        <w:spacing w:line="560" w:lineRule="exact"/>
        <w:jc w:val="left"/>
        <w:rPr>
          <w:rFonts w:ascii="宋体" w:hAnsi="宋体"/>
          <w:b/>
          <w:color w:val="auto"/>
          <w:sz w:val="24"/>
        </w:rPr>
      </w:pPr>
    </w:p>
    <w:p>
      <w:pPr>
        <w:widowControl/>
        <w:adjustRightInd/>
        <w:jc w:val="left"/>
        <w:rPr>
          <w:rFonts w:ascii="宋体" w:hAnsi="宋体"/>
          <w:b/>
          <w:color w:val="auto"/>
          <w:sz w:val="24"/>
        </w:rPr>
      </w:pPr>
      <w:r>
        <w:rPr>
          <w:rFonts w:ascii="宋体" w:hAnsi="宋体"/>
          <w:b/>
          <w:color w:val="auto"/>
        </w:rPr>
        <w:br w:type="page"/>
      </w:r>
    </w:p>
    <w:p>
      <w:pPr>
        <w:pStyle w:val="701"/>
        <w:spacing w:line="560" w:lineRule="exact"/>
        <w:ind w:firstLine="482"/>
        <w:jc w:val="center"/>
        <w:rPr>
          <w:rFonts w:ascii="宋体" w:hAnsi="宋体"/>
          <w:b/>
          <w:color w:val="auto"/>
          <w:szCs w:val="24"/>
        </w:rPr>
      </w:pPr>
      <w:r>
        <w:rPr>
          <w:rFonts w:hint="eastAsia" w:ascii="宋体" w:hAnsi="宋体"/>
          <w:b/>
          <w:color w:val="auto"/>
          <w:szCs w:val="24"/>
        </w:rPr>
        <w:t>第二部分</w:t>
      </w:r>
      <w:r>
        <w:rPr>
          <w:rFonts w:ascii="宋体" w:hAnsi="宋体"/>
          <w:b/>
          <w:color w:val="auto"/>
          <w:szCs w:val="24"/>
        </w:rPr>
        <w:t xml:space="preserve"> </w:t>
      </w:r>
      <w:r>
        <w:rPr>
          <w:rFonts w:hint="eastAsia" w:ascii="宋体" w:hAnsi="宋体"/>
          <w:b/>
          <w:color w:val="auto"/>
          <w:szCs w:val="24"/>
        </w:rPr>
        <w:t>合同一般条款</w:t>
      </w:r>
    </w:p>
    <w:p>
      <w:pPr>
        <w:spacing w:line="560" w:lineRule="exact"/>
        <w:ind w:firstLine="482" w:firstLineChars="200"/>
        <w:outlineLvl w:val="0"/>
        <w:rPr>
          <w:rFonts w:ascii="宋体" w:hAnsi="宋体"/>
          <w:b/>
          <w:color w:val="auto"/>
          <w:sz w:val="24"/>
        </w:rPr>
      </w:pPr>
      <w:bookmarkStart w:id="439" w:name="_Toc19680"/>
      <w:bookmarkStart w:id="440" w:name="_Toc14021"/>
      <w:bookmarkStart w:id="441" w:name="_Toc5228"/>
      <w:bookmarkStart w:id="442" w:name="_Toc25079"/>
      <w:bookmarkStart w:id="443" w:name="_Toc31297"/>
      <w:r>
        <w:rPr>
          <w:rFonts w:ascii="宋体" w:hAnsi="宋体"/>
          <w:b/>
          <w:color w:val="auto"/>
          <w:sz w:val="24"/>
        </w:rPr>
        <w:t>2.1 定义</w:t>
      </w:r>
      <w:bookmarkEnd w:id="439"/>
      <w:bookmarkEnd w:id="440"/>
      <w:bookmarkEnd w:id="441"/>
      <w:bookmarkEnd w:id="442"/>
      <w:bookmarkEnd w:id="443"/>
    </w:p>
    <w:p>
      <w:pPr>
        <w:spacing w:line="560" w:lineRule="exact"/>
        <w:ind w:firstLine="480" w:firstLineChars="200"/>
        <w:rPr>
          <w:rFonts w:ascii="宋体" w:hAnsi="宋体"/>
          <w:color w:val="auto"/>
          <w:sz w:val="24"/>
        </w:rPr>
      </w:pPr>
      <w:r>
        <w:rPr>
          <w:rFonts w:ascii="宋体" w:hAnsi="宋体"/>
          <w:color w:val="auto"/>
          <w:sz w:val="24"/>
        </w:rPr>
        <w:t>本合同中的下列</w:t>
      </w:r>
      <w:r>
        <w:rPr>
          <w:rFonts w:hint="eastAsia" w:ascii="宋体" w:hAnsi="宋体"/>
          <w:color w:val="auto"/>
          <w:sz w:val="24"/>
        </w:rPr>
        <w:t>词</w:t>
      </w:r>
      <w:r>
        <w:rPr>
          <w:rFonts w:ascii="宋体" w:hAnsi="宋体"/>
          <w:color w:val="auto"/>
          <w:sz w:val="24"/>
        </w:rPr>
        <w:t>语应</w:t>
      </w:r>
      <w:r>
        <w:rPr>
          <w:rFonts w:hint="eastAsia" w:ascii="宋体" w:hAnsi="宋体"/>
          <w:color w:val="auto"/>
          <w:sz w:val="24"/>
        </w:rPr>
        <w:t>按以下内容进行</w:t>
      </w:r>
      <w:r>
        <w:rPr>
          <w:rFonts w:ascii="宋体" w:hAnsi="宋体"/>
          <w:color w:val="auto"/>
          <w:sz w:val="24"/>
        </w:rPr>
        <w:t>解释：</w:t>
      </w:r>
    </w:p>
    <w:p>
      <w:pPr>
        <w:spacing w:line="560" w:lineRule="exact"/>
        <w:ind w:firstLine="480" w:firstLineChars="200"/>
        <w:rPr>
          <w:rFonts w:ascii="宋体" w:hAnsi="宋体"/>
          <w:color w:val="auto"/>
          <w:sz w:val="24"/>
        </w:rPr>
      </w:pPr>
      <w:r>
        <w:rPr>
          <w:rFonts w:ascii="宋体" w:hAnsi="宋体"/>
          <w:color w:val="auto"/>
          <w:sz w:val="24"/>
        </w:rPr>
        <w:t>2.1.1 “合同”系指采购人和</w:t>
      </w:r>
      <w:r>
        <w:rPr>
          <w:rFonts w:hint="eastAsia" w:ascii="宋体" w:hAnsi="宋体" w:cs="宋体"/>
          <w:color w:val="auto"/>
          <w:sz w:val="24"/>
        </w:rPr>
        <w:t>中标或成交</w:t>
      </w:r>
      <w:r>
        <w:rPr>
          <w:rFonts w:ascii="宋体" w:hAnsi="宋体"/>
          <w:color w:val="auto"/>
          <w:sz w:val="24"/>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rPr>
      </w:pPr>
      <w:r>
        <w:rPr>
          <w:rFonts w:ascii="宋体" w:hAnsi="宋体"/>
          <w:color w:val="auto"/>
          <w:sz w:val="24"/>
        </w:rPr>
        <w:t>2.1.2 “合同价”系指根据合同约定，</w:t>
      </w:r>
      <w:r>
        <w:rPr>
          <w:rFonts w:hint="eastAsia" w:ascii="宋体" w:hAnsi="宋体" w:cs="宋体"/>
          <w:color w:val="auto"/>
          <w:sz w:val="24"/>
        </w:rPr>
        <w:t>中标或成交</w:t>
      </w:r>
      <w:r>
        <w:rPr>
          <w:rFonts w:ascii="宋体" w:hAnsi="宋体"/>
          <w:color w:val="auto"/>
          <w:sz w:val="24"/>
        </w:rPr>
        <w:t>供应商在完全履行合同义务后</w:t>
      </w:r>
      <w:r>
        <w:rPr>
          <w:rFonts w:hint="eastAsia" w:ascii="宋体" w:hAnsi="宋体"/>
          <w:color w:val="auto"/>
          <w:sz w:val="24"/>
        </w:rPr>
        <w:t>，</w:t>
      </w:r>
      <w:r>
        <w:rPr>
          <w:rFonts w:ascii="宋体" w:hAnsi="宋体"/>
          <w:color w:val="auto"/>
          <w:sz w:val="24"/>
        </w:rPr>
        <w:t>采购人应支付给</w:t>
      </w:r>
      <w:r>
        <w:rPr>
          <w:rFonts w:hint="eastAsia" w:ascii="宋体" w:hAnsi="宋体" w:cs="宋体"/>
          <w:color w:val="auto"/>
          <w:sz w:val="24"/>
        </w:rPr>
        <w:t>中标或成交</w:t>
      </w:r>
      <w:r>
        <w:rPr>
          <w:rFonts w:ascii="宋体" w:hAnsi="宋体"/>
          <w:color w:val="auto"/>
          <w:sz w:val="24"/>
        </w:rPr>
        <w:t>供应商的价格。</w:t>
      </w:r>
    </w:p>
    <w:p>
      <w:pPr>
        <w:spacing w:line="560" w:lineRule="exact"/>
        <w:ind w:firstLine="480" w:firstLineChars="200"/>
        <w:rPr>
          <w:rFonts w:ascii="宋体" w:hAnsi="宋体"/>
          <w:color w:val="auto"/>
          <w:sz w:val="24"/>
        </w:rPr>
      </w:pPr>
      <w:r>
        <w:rPr>
          <w:rFonts w:ascii="宋体" w:hAnsi="宋体"/>
          <w:color w:val="auto"/>
          <w:sz w:val="24"/>
        </w:rPr>
        <w:t>2.1.3 “</w:t>
      </w:r>
      <w:r>
        <w:rPr>
          <w:rFonts w:hint="eastAsia" w:ascii="宋体" w:hAnsi="宋体"/>
          <w:color w:val="auto"/>
          <w:sz w:val="24"/>
        </w:rPr>
        <w:t>服务</w:t>
      </w:r>
      <w:r>
        <w:rPr>
          <w:rFonts w:ascii="宋体" w:hAnsi="宋体"/>
          <w:color w:val="auto"/>
          <w:sz w:val="24"/>
        </w:rPr>
        <w:t>”系指</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rPr>
      </w:pPr>
      <w:r>
        <w:rPr>
          <w:rFonts w:ascii="宋体" w:hAnsi="宋体"/>
          <w:color w:val="auto"/>
          <w:sz w:val="24"/>
        </w:rPr>
        <w:t>2.1.4 “</w:t>
      </w:r>
      <w:r>
        <w:rPr>
          <w:rFonts w:hint="eastAsia" w:ascii="宋体" w:hAnsi="宋体"/>
          <w:color w:val="auto"/>
          <w:sz w:val="24"/>
        </w:rPr>
        <w:t>甲方</w:t>
      </w:r>
      <w:r>
        <w:rPr>
          <w:rFonts w:ascii="宋体" w:hAnsi="宋体"/>
          <w:color w:val="auto"/>
          <w:sz w:val="24"/>
        </w:rPr>
        <w:t>”系指与</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spacing w:line="560" w:lineRule="exact"/>
        <w:ind w:firstLine="480" w:firstLineChars="200"/>
        <w:rPr>
          <w:rFonts w:ascii="宋体" w:hAnsi="宋体"/>
          <w:color w:val="auto"/>
          <w:sz w:val="24"/>
        </w:rPr>
      </w:pPr>
      <w:r>
        <w:rPr>
          <w:rFonts w:ascii="宋体" w:hAnsi="宋体"/>
          <w:color w:val="auto"/>
          <w:sz w:val="24"/>
        </w:rPr>
        <w:t>2.1.5 “乙方”系指根据合同约定提供服务的</w:t>
      </w:r>
      <w:r>
        <w:rPr>
          <w:rFonts w:hint="eastAsia" w:ascii="宋体" w:hAnsi="宋体" w:cs="宋体"/>
          <w:color w:val="auto"/>
          <w:sz w:val="24"/>
        </w:rPr>
        <w:t>中标或成交</w:t>
      </w:r>
      <w:r>
        <w:rPr>
          <w:rFonts w:ascii="宋体" w:hAnsi="宋体"/>
          <w:color w:val="auto"/>
          <w:sz w:val="24"/>
        </w:rPr>
        <w:t>供应商</w:t>
      </w:r>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rPr>
      </w:pPr>
      <w:r>
        <w:rPr>
          <w:rFonts w:ascii="宋体" w:hAnsi="宋体"/>
          <w:color w:val="auto"/>
          <w:sz w:val="24"/>
        </w:rPr>
        <w:t>2.1.6 “现场”系指合同约定提供服务的地点。</w:t>
      </w:r>
    </w:p>
    <w:p>
      <w:pPr>
        <w:spacing w:line="560" w:lineRule="exact"/>
        <w:ind w:firstLine="482" w:firstLineChars="200"/>
        <w:outlineLvl w:val="0"/>
        <w:rPr>
          <w:rFonts w:ascii="宋体" w:hAnsi="宋体"/>
          <w:b/>
          <w:color w:val="auto"/>
          <w:sz w:val="24"/>
        </w:rPr>
      </w:pPr>
      <w:bookmarkStart w:id="444" w:name="_Toc19539"/>
      <w:bookmarkStart w:id="445" w:name="_Toc3769"/>
      <w:bookmarkStart w:id="446" w:name="_Toc31402"/>
      <w:bookmarkStart w:id="447" w:name="_Toc16752"/>
      <w:bookmarkStart w:id="448" w:name="_Toc23289"/>
      <w:r>
        <w:rPr>
          <w:rFonts w:ascii="宋体" w:hAnsi="宋体"/>
          <w:b/>
          <w:color w:val="auto"/>
          <w:sz w:val="24"/>
        </w:rPr>
        <w:t>2.2 技术规范</w:t>
      </w:r>
      <w:bookmarkEnd w:id="444"/>
      <w:bookmarkEnd w:id="445"/>
      <w:bookmarkEnd w:id="446"/>
      <w:bookmarkEnd w:id="447"/>
      <w:bookmarkEnd w:id="448"/>
    </w:p>
    <w:p>
      <w:pPr>
        <w:spacing w:line="560" w:lineRule="exact"/>
        <w:ind w:firstLine="480" w:firstLineChars="200"/>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所应遵守的技术规范应与采购文件规定的技术规范和技术规范附件(如果有的话)及其技术规范偏差表(如果被甲方接受的话)相一致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spacing w:line="560" w:lineRule="exact"/>
        <w:ind w:firstLine="482" w:firstLineChars="200"/>
        <w:outlineLvl w:val="0"/>
        <w:rPr>
          <w:rFonts w:ascii="宋体" w:hAnsi="宋体"/>
          <w:b/>
          <w:color w:val="auto"/>
          <w:sz w:val="24"/>
        </w:rPr>
      </w:pPr>
      <w:bookmarkStart w:id="449" w:name="_Toc12412"/>
      <w:bookmarkStart w:id="450" w:name="_Toc27945"/>
      <w:bookmarkStart w:id="451" w:name="_Toc9161"/>
      <w:bookmarkStart w:id="452" w:name="_Toc4133"/>
      <w:bookmarkStart w:id="453" w:name="_Toc13673"/>
      <w:r>
        <w:rPr>
          <w:rFonts w:ascii="宋体" w:hAnsi="宋体"/>
          <w:b/>
          <w:color w:val="auto"/>
          <w:sz w:val="24"/>
        </w:rPr>
        <w:t>2.3 知识产权</w:t>
      </w:r>
      <w:bookmarkEnd w:id="449"/>
      <w:bookmarkEnd w:id="450"/>
      <w:bookmarkEnd w:id="451"/>
      <w:bookmarkEnd w:id="452"/>
      <w:bookmarkEnd w:id="453"/>
    </w:p>
    <w:p>
      <w:pPr>
        <w:spacing w:line="560" w:lineRule="exact"/>
        <w:ind w:firstLine="480" w:firstLineChars="200"/>
        <w:rPr>
          <w:rFonts w:ascii="宋体" w:hAnsi="宋体"/>
          <w:color w:val="auto"/>
          <w:sz w:val="24"/>
        </w:rPr>
      </w:pPr>
      <w:r>
        <w:rPr>
          <w:rFonts w:ascii="宋体" w:hAnsi="宋体"/>
          <w:color w:val="auto"/>
          <w:sz w:val="24"/>
        </w:rPr>
        <w:t xml:space="preserve">2.3.1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560" w:lineRule="exact"/>
        <w:ind w:firstLine="480" w:firstLineChars="200"/>
        <w:rPr>
          <w:rFonts w:ascii="宋体" w:hAnsi="宋体"/>
          <w:color w:val="auto"/>
          <w:sz w:val="24"/>
        </w:rPr>
      </w:pPr>
      <w:r>
        <w:rPr>
          <w:rFonts w:ascii="宋体" w:hAnsi="宋体"/>
          <w:color w:val="auto"/>
          <w:sz w:val="24"/>
        </w:rPr>
        <w:t xml:space="preserve">2.3.2 </w:t>
      </w:r>
      <w:r>
        <w:rPr>
          <w:rFonts w:hint="eastAsia" w:ascii="宋体" w:hAnsi="宋体"/>
          <w:color w:val="auto"/>
          <w:sz w:val="24"/>
        </w:rPr>
        <w:t>合同涉及技术成果的归属和收益的分成办法的，</w:t>
      </w: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rPr>
          <w:rFonts w:ascii="宋体" w:hAnsi="宋体"/>
          <w:b/>
          <w:color w:val="auto"/>
          <w:sz w:val="24"/>
        </w:rPr>
      </w:pPr>
      <w:r>
        <w:rPr>
          <w:rFonts w:ascii="宋体" w:hAnsi="宋体"/>
          <w:b/>
          <w:color w:val="auto"/>
          <w:sz w:val="24"/>
        </w:rPr>
        <w:t xml:space="preserve">2.4 </w:t>
      </w:r>
      <w:r>
        <w:rPr>
          <w:rFonts w:hint="eastAsia" w:ascii="宋体" w:hAnsi="宋体"/>
          <w:b/>
          <w:color w:val="auto"/>
          <w:sz w:val="24"/>
        </w:rPr>
        <w:t>履约检查和问题反馈</w:t>
      </w:r>
    </w:p>
    <w:p>
      <w:pPr>
        <w:spacing w:line="560" w:lineRule="exact"/>
        <w:ind w:firstLine="480" w:firstLineChars="200"/>
        <w:rPr>
          <w:rFonts w:ascii="宋体" w:hAnsi="宋体"/>
          <w:color w:val="auto"/>
          <w:sz w:val="24"/>
        </w:rPr>
      </w:pPr>
      <w:r>
        <w:rPr>
          <w:rFonts w:ascii="宋体" w:hAnsi="宋体"/>
          <w:color w:val="auto"/>
          <w:sz w:val="24"/>
        </w:rPr>
        <w:t>2.4.1甲方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rPr>
      </w:pPr>
      <w:r>
        <w:rPr>
          <w:rFonts w:ascii="宋体" w:hAnsi="宋体"/>
          <w:color w:val="auto"/>
          <w:sz w:val="24"/>
        </w:rPr>
        <w:t xml:space="preserve">2.4.2 </w:t>
      </w:r>
      <w:r>
        <w:rPr>
          <w:rFonts w:hint="eastAsia" w:ascii="宋体" w:hAnsi="宋体"/>
          <w:color w:val="auto"/>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rPr>
      </w:pPr>
      <w:bookmarkStart w:id="454" w:name="_Toc31233"/>
      <w:bookmarkStart w:id="455" w:name="_Toc26555"/>
      <w:bookmarkStart w:id="456" w:name="_Toc15447"/>
      <w:bookmarkStart w:id="457" w:name="_Toc22011"/>
      <w:bookmarkStart w:id="458" w:name="_Toc32670"/>
      <w:r>
        <w:rPr>
          <w:rFonts w:ascii="宋体" w:hAnsi="宋体"/>
          <w:b/>
          <w:color w:val="auto"/>
          <w:sz w:val="24"/>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rPr>
      </w:pP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59" w:name="_Toc13467"/>
      <w:bookmarkStart w:id="460" w:name="_Toc13154"/>
      <w:bookmarkStart w:id="461" w:name="_Toc18990"/>
      <w:bookmarkStart w:id="462" w:name="_Toc16163"/>
      <w:bookmarkStart w:id="463" w:name="_Toc30507"/>
      <w:r>
        <w:rPr>
          <w:rFonts w:ascii="宋体" w:hAnsi="宋体"/>
          <w:b/>
          <w:color w:val="auto"/>
          <w:sz w:val="24"/>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rPr>
      </w:pPr>
      <w:r>
        <w:rPr>
          <w:rFonts w:ascii="宋体" w:hAnsi="宋体"/>
          <w:color w:val="auto"/>
          <w:sz w:val="24"/>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rPr>
      </w:pPr>
      <w:r>
        <w:rPr>
          <w:rFonts w:ascii="宋体" w:hAnsi="宋体"/>
          <w:color w:val="auto"/>
          <w:sz w:val="24"/>
        </w:rPr>
        <w:t xml:space="preserve">2.6.2 </w:t>
      </w:r>
      <w:r>
        <w:rPr>
          <w:rFonts w:hint="eastAsia" w:ascii="宋体" w:hAnsi="宋体"/>
          <w:color w:val="auto"/>
          <w:sz w:val="24"/>
        </w:rPr>
        <w:t>乙方有义务妥善保管和保护由甲方提供的前款信息和资料等；</w:t>
      </w:r>
    </w:p>
    <w:p>
      <w:pPr>
        <w:spacing w:line="560" w:lineRule="exact"/>
        <w:ind w:firstLine="480" w:firstLineChars="200"/>
        <w:rPr>
          <w:rFonts w:ascii="宋体" w:hAnsi="宋体"/>
          <w:color w:val="auto"/>
          <w:sz w:val="24"/>
        </w:rPr>
      </w:pPr>
      <w:r>
        <w:rPr>
          <w:rFonts w:ascii="宋体" w:hAnsi="宋体"/>
          <w:color w:val="auto"/>
          <w:sz w:val="24"/>
        </w:rPr>
        <w:t xml:space="preserve">2.6.3 </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rPr>
        <w:t>技术情报</w:t>
      </w:r>
      <w:r>
        <w:rPr>
          <w:rFonts w:hint="eastAsia" w:ascii="宋体" w:hAnsi="宋体"/>
          <w:color w:val="auto"/>
          <w:sz w:val="24"/>
        </w:rPr>
        <w:t>、</w:t>
      </w:r>
      <w:r>
        <w:rPr>
          <w:rFonts w:ascii="宋体" w:hAnsi="宋体"/>
          <w:color w:val="auto"/>
          <w:sz w:val="24"/>
        </w:rPr>
        <w:t>技术资料</w:t>
      </w:r>
      <w:r>
        <w:rPr>
          <w:rFonts w:hint="eastAsia" w:ascii="宋体" w:hAnsi="宋体"/>
          <w:color w:val="auto"/>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rPr>
      </w:pPr>
      <w:bookmarkStart w:id="464" w:name="_Toc19069"/>
      <w:r>
        <w:rPr>
          <w:rFonts w:ascii="宋体" w:hAnsi="宋体"/>
          <w:b/>
          <w:color w:val="auto"/>
          <w:sz w:val="24"/>
        </w:rPr>
        <w:t xml:space="preserve">2.7 </w:t>
      </w:r>
      <w:r>
        <w:rPr>
          <w:rFonts w:hint="eastAsia" w:ascii="宋体" w:hAnsi="宋体"/>
          <w:b/>
          <w:color w:val="auto"/>
          <w:sz w:val="24"/>
        </w:rPr>
        <w:t>质量保证</w:t>
      </w:r>
      <w:bookmarkEnd w:id="464"/>
    </w:p>
    <w:p>
      <w:pPr>
        <w:spacing w:line="560" w:lineRule="exact"/>
        <w:ind w:firstLine="480" w:firstLineChars="200"/>
        <w:rPr>
          <w:rFonts w:ascii="宋体" w:hAnsi="宋体"/>
          <w:color w:val="auto"/>
          <w:sz w:val="24"/>
        </w:rPr>
      </w:pPr>
      <w:r>
        <w:rPr>
          <w:rFonts w:ascii="宋体" w:hAnsi="宋体"/>
          <w:color w:val="auto"/>
          <w:sz w:val="24"/>
        </w:rPr>
        <w:t xml:space="preserve">2.7.1 </w:t>
      </w:r>
      <w:r>
        <w:rPr>
          <w:rFonts w:hint="eastAsia" w:ascii="宋体" w:hAnsi="宋体"/>
          <w:color w:val="auto"/>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rPr>
      </w:pPr>
      <w:r>
        <w:rPr>
          <w:rFonts w:ascii="宋体" w:hAnsi="宋体"/>
          <w:color w:val="auto"/>
          <w:sz w:val="24"/>
        </w:rPr>
        <w:t xml:space="preserve">2.7.2 </w:t>
      </w:r>
      <w:r>
        <w:rPr>
          <w:rFonts w:hint="eastAsia" w:ascii="宋体" w:hAnsi="宋体"/>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rPr>
      </w:pPr>
      <w:bookmarkStart w:id="465" w:name="_Toc22267"/>
      <w:r>
        <w:rPr>
          <w:rFonts w:ascii="宋体" w:hAnsi="宋体"/>
          <w:b/>
          <w:color w:val="auto"/>
          <w:sz w:val="24"/>
        </w:rPr>
        <w:t xml:space="preserve">2.8 </w:t>
      </w:r>
      <w:r>
        <w:rPr>
          <w:rFonts w:hint="eastAsia" w:ascii="宋体" w:hAnsi="宋体"/>
          <w:b/>
          <w:color w:val="auto"/>
          <w:sz w:val="24"/>
        </w:rPr>
        <w:t>延迟履行</w:t>
      </w:r>
      <w:bookmarkEnd w:id="465"/>
    </w:p>
    <w:p>
      <w:pPr>
        <w:spacing w:line="560" w:lineRule="exact"/>
        <w:ind w:firstLine="480" w:firstLineChars="200"/>
        <w:rPr>
          <w:rFonts w:ascii="宋体" w:hAnsi="宋体"/>
          <w:color w:val="auto"/>
          <w:sz w:val="24"/>
        </w:rPr>
      </w:pPr>
      <w:r>
        <w:rPr>
          <w:rFonts w:hint="eastAsia" w:ascii="宋体" w:hAnsi="宋体"/>
          <w:color w:val="auto"/>
          <w:sz w:val="24"/>
        </w:rPr>
        <w:t>甲乙双方签订合同后，乙方应按照合同约定履行合同义务，除不可抗力外，乙方不得延迟履行。</w:t>
      </w:r>
      <w:r>
        <w:rPr>
          <w:rFonts w:ascii="宋体" w:hAnsi="宋体"/>
          <w:color w:val="auto"/>
          <w:sz w:val="24"/>
        </w:rPr>
        <w:t>在合同履行过程中，如果</w:t>
      </w:r>
      <w:r>
        <w:rPr>
          <w:rFonts w:hint="eastAsia" w:ascii="宋体" w:hAnsi="宋体"/>
          <w:color w:val="auto"/>
          <w:sz w:val="24"/>
        </w:rPr>
        <w:t>因不可抗力，</w:t>
      </w:r>
      <w:r>
        <w:rPr>
          <w:rFonts w:ascii="宋体" w:hAnsi="宋体"/>
          <w:color w:val="auto"/>
          <w:sz w:val="24"/>
        </w:rPr>
        <w:t>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spacing w:line="560" w:lineRule="exact"/>
        <w:ind w:firstLine="482" w:firstLineChars="200"/>
        <w:outlineLvl w:val="0"/>
        <w:rPr>
          <w:rFonts w:ascii="宋体" w:hAnsi="宋体"/>
          <w:b/>
          <w:color w:val="auto"/>
          <w:sz w:val="24"/>
        </w:rPr>
      </w:pPr>
      <w:bookmarkStart w:id="466" w:name="_Toc10611"/>
      <w:r>
        <w:rPr>
          <w:rFonts w:ascii="宋体" w:hAnsi="宋体"/>
          <w:b/>
          <w:color w:val="auto"/>
          <w:sz w:val="24"/>
        </w:rPr>
        <w:t xml:space="preserve">2.9 </w:t>
      </w:r>
      <w:r>
        <w:rPr>
          <w:rFonts w:hint="eastAsia" w:ascii="宋体" w:hAnsi="宋体"/>
          <w:b/>
          <w:color w:val="auto"/>
          <w:sz w:val="24"/>
        </w:rPr>
        <w:t>合同变更</w:t>
      </w:r>
      <w:bookmarkEnd w:id="466"/>
    </w:p>
    <w:p>
      <w:pPr>
        <w:spacing w:line="560" w:lineRule="exact"/>
        <w:ind w:firstLine="480" w:firstLineChars="200"/>
        <w:rPr>
          <w:rFonts w:ascii="宋体" w:hAnsi="宋体"/>
          <w:color w:val="auto"/>
          <w:sz w:val="24"/>
        </w:rPr>
      </w:pP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67" w:name="_Toc26689"/>
      <w:bookmarkStart w:id="468" w:name="_Toc23368"/>
      <w:bookmarkStart w:id="469" w:name="_Toc10663"/>
      <w:bookmarkStart w:id="470" w:name="_Toc42"/>
      <w:bookmarkStart w:id="471" w:name="_Toc21830"/>
      <w:r>
        <w:rPr>
          <w:rFonts w:ascii="宋体" w:hAnsi="宋体"/>
          <w:b/>
          <w:color w:val="auto"/>
          <w:sz w:val="24"/>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spacing w:line="560" w:lineRule="exact"/>
        <w:ind w:firstLine="482" w:firstLineChars="200"/>
        <w:outlineLvl w:val="0"/>
        <w:rPr>
          <w:rFonts w:ascii="宋体" w:hAnsi="宋体"/>
          <w:b/>
          <w:color w:val="auto"/>
          <w:sz w:val="24"/>
        </w:rPr>
      </w:pPr>
      <w:bookmarkStart w:id="472" w:name="_Toc4720"/>
      <w:bookmarkStart w:id="473" w:name="_Toc14371"/>
      <w:bookmarkStart w:id="474" w:name="_Toc32494"/>
      <w:bookmarkStart w:id="475" w:name="_Toc26633"/>
      <w:bookmarkStart w:id="476" w:name="_Toc25571"/>
      <w:r>
        <w:rPr>
          <w:rFonts w:ascii="宋体" w:hAnsi="宋体"/>
          <w:b/>
          <w:color w:val="auto"/>
          <w:sz w:val="24"/>
        </w:rPr>
        <w:t>2.11 不可抗力</w:t>
      </w:r>
      <w:bookmarkEnd w:id="472"/>
      <w:bookmarkEnd w:id="473"/>
      <w:bookmarkEnd w:id="474"/>
      <w:bookmarkEnd w:id="475"/>
      <w:bookmarkEnd w:id="476"/>
    </w:p>
    <w:p>
      <w:pPr>
        <w:spacing w:line="560" w:lineRule="exact"/>
        <w:ind w:firstLine="480" w:firstLineChars="200"/>
        <w:rPr>
          <w:rFonts w:ascii="宋体" w:hAnsi="宋体"/>
          <w:color w:val="auto"/>
          <w:sz w:val="24"/>
        </w:rPr>
      </w:pPr>
      <w:r>
        <w:rPr>
          <w:rFonts w:ascii="宋体" w:hAnsi="宋体"/>
          <w:color w:val="auto"/>
          <w:sz w:val="24"/>
        </w:rPr>
        <w:t>2.11.1如果任何一方遭遇法律规定的不可抗力，致使合同履行受阻时，履行合同的期限应予延长，延长的期限应相当于不可抗力所影响的时间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2.11.2 </w:t>
      </w:r>
      <w:r>
        <w:rPr>
          <w:rFonts w:hint="eastAsia" w:ascii="宋体" w:hAnsi="宋体"/>
          <w:color w:val="auto"/>
          <w:sz w:val="24"/>
        </w:rPr>
        <w:t>因不可抗力致使不能实现合同目的的，当事人可以解除合同；</w:t>
      </w:r>
    </w:p>
    <w:p>
      <w:pPr>
        <w:spacing w:line="560" w:lineRule="exact"/>
        <w:ind w:firstLine="480" w:firstLineChars="200"/>
        <w:rPr>
          <w:rFonts w:ascii="宋体" w:hAnsi="宋体"/>
          <w:color w:val="auto"/>
          <w:sz w:val="24"/>
        </w:rPr>
      </w:pPr>
      <w:r>
        <w:rPr>
          <w:rFonts w:ascii="宋体" w:hAnsi="宋体"/>
          <w:color w:val="auto"/>
          <w:sz w:val="24"/>
        </w:rPr>
        <w:t xml:space="preserve">2.11.3 </w:t>
      </w:r>
      <w:r>
        <w:rPr>
          <w:rFonts w:hint="eastAsia" w:ascii="宋体" w:hAnsi="宋体"/>
          <w:color w:val="auto"/>
          <w:sz w:val="24"/>
        </w:rPr>
        <w:t>因</w:t>
      </w:r>
      <w:r>
        <w:rPr>
          <w:rFonts w:ascii="宋体" w:hAnsi="宋体"/>
          <w:color w:val="auto"/>
          <w:sz w:val="24"/>
        </w:rPr>
        <w:t>不可抗力致使合同有变更必要的，双方当事人应在</w:t>
      </w:r>
      <w:r>
        <w:rPr>
          <w:rFonts w:ascii="宋体" w:hAnsi="宋体"/>
          <w:b/>
          <w:i/>
          <w:color w:val="auto"/>
          <w:sz w:val="24"/>
          <w:u w:val="single"/>
        </w:rPr>
        <w:t>合同专用条款</w:t>
      </w:r>
      <w:r>
        <w:rPr>
          <w:rFonts w:ascii="宋体" w:hAnsi="宋体"/>
          <w:color w:val="auto"/>
          <w:sz w:val="24"/>
        </w:rPr>
        <w:t>约定时间内以书面形式变更合同</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2.11.4受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ascii="宋体" w:hAnsi="宋体"/>
          <w:b/>
          <w:i/>
          <w:color w:val="auto"/>
          <w:sz w:val="24"/>
          <w:u w:val="single"/>
        </w:rPr>
        <w:t>合同专用条款</w:t>
      </w:r>
      <w:r>
        <w:rPr>
          <w:rFonts w:ascii="宋体" w:hAnsi="宋体"/>
          <w:color w:val="auto"/>
          <w:sz w:val="24"/>
        </w:rPr>
        <w:t>约定时间内以书面形式通知</w:t>
      </w:r>
      <w:r>
        <w:rPr>
          <w:rFonts w:hint="eastAsia" w:ascii="宋体" w:hAnsi="宋体"/>
          <w:color w:val="auto"/>
          <w:sz w:val="24"/>
        </w:rPr>
        <w:t>对</w:t>
      </w:r>
      <w:r>
        <w:rPr>
          <w:rFonts w:ascii="宋体" w:hAnsi="宋体"/>
          <w:color w:val="auto"/>
          <w:sz w:val="24"/>
        </w:rPr>
        <w:t>方当事人，并在</w:t>
      </w:r>
      <w:r>
        <w:rPr>
          <w:rFonts w:ascii="宋体" w:hAnsi="宋体"/>
          <w:b/>
          <w:i/>
          <w:color w:val="auto"/>
          <w:sz w:val="24"/>
          <w:u w:val="single"/>
        </w:rPr>
        <w:t>合同专用条款</w:t>
      </w:r>
      <w:r>
        <w:rPr>
          <w:rFonts w:ascii="宋体" w:hAnsi="宋体"/>
          <w:color w:val="auto"/>
          <w:sz w:val="24"/>
        </w:rPr>
        <w:t>约定时间内，将有关部门出具的证明文件送达</w:t>
      </w:r>
      <w:r>
        <w:rPr>
          <w:rFonts w:hint="eastAsia" w:ascii="宋体" w:hAnsi="宋体"/>
          <w:color w:val="auto"/>
          <w:sz w:val="24"/>
        </w:rPr>
        <w:t>对方当事人</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77" w:name="_Toc3638"/>
      <w:bookmarkStart w:id="478" w:name="_Toc25783"/>
      <w:bookmarkStart w:id="479" w:name="_Toc24465"/>
      <w:bookmarkStart w:id="480" w:name="_Toc14115"/>
      <w:bookmarkStart w:id="481" w:name="_Toc23854"/>
      <w:r>
        <w:rPr>
          <w:rFonts w:ascii="宋体" w:hAnsi="宋体"/>
          <w:b/>
          <w:color w:val="auto"/>
          <w:sz w:val="24"/>
        </w:rPr>
        <w:t>2.12 税费</w:t>
      </w:r>
      <w:bookmarkEnd w:id="477"/>
      <w:bookmarkEnd w:id="478"/>
      <w:bookmarkEnd w:id="479"/>
      <w:bookmarkEnd w:id="480"/>
      <w:bookmarkEnd w:id="481"/>
    </w:p>
    <w:p>
      <w:pPr>
        <w:spacing w:line="560" w:lineRule="exact"/>
        <w:ind w:firstLine="480" w:firstLineChars="200"/>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spacing w:line="560" w:lineRule="exact"/>
        <w:ind w:firstLine="482" w:firstLineChars="200"/>
        <w:outlineLvl w:val="0"/>
        <w:rPr>
          <w:rFonts w:ascii="宋体" w:hAnsi="宋体"/>
          <w:b/>
          <w:color w:val="auto"/>
          <w:sz w:val="24"/>
        </w:rPr>
      </w:pPr>
      <w:bookmarkStart w:id="482" w:name="_Toc25525"/>
      <w:bookmarkStart w:id="483" w:name="_Toc7315"/>
      <w:bookmarkStart w:id="484" w:name="_Toc30105"/>
      <w:bookmarkStart w:id="485" w:name="_Toc14814"/>
      <w:bookmarkStart w:id="486" w:name="_Toc26883"/>
      <w:r>
        <w:rPr>
          <w:rFonts w:ascii="宋体" w:hAnsi="宋体"/>
          <w:b/>
          <w:color w:val="auto"/>
          <w:sz w:val="24"/>
        </w:rPr>
        <w:t>2.13 乙方破产</w:t>
      </w:r>
      <w:bookmarkEnd w:id="482"/>
      <w:bookmarkEnd w:id="483"/>
      <w:bookmarkEnd w:id="484"/>
      <w:bookmarkEnd w:id="485"/>
      <w:bookmarkEnd w:id="486"/>
    </w:p>
    <w:p>
      <w:pPr>
        <w:spacing w:line="560" w:lineRule="exact"/>
        <w:ind w:firstLine="480" w:firstLineChars="200"/>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spacing w:line="560" w:lineRule="exact"/>
        <w:ind w:firstLine="482" w:firstLineChars="200"/>
        <w:outlineLvl w:val="0"/>
        <w:rPr>
          <w:rFonts w:ascii="宋体" w:hAnsi="宋体"/>
          <w:b/>
          <w:color w:val="auto"/>
          <w:sz w:val="24"/>
        </w:rPr>
      </w:pPr>
      <w:bookmarkStart w:id="487" w:name="_Toc1123"/>
      <w:bookmarkStart w:id="488" w:name="_Toc2016"/>
      <w:bookmarkStart w:id="489" w:name="_Toc23323"/>
      <w:r>
        <w:rPr>
          <w:rFonts w:ascii="宋体" w:hAnsi="宋体"/>
          <w:b/>
          <w:color w:val="auto"/>
          <w:sz w:val="24"/>
        </w:rPr>
        <w:t>2.14 合同中止、终止</w:t>
      </w:r>
      <w:bookmarkEnd w:id="487"/>
      <w:bookmarkEnd w:id="488"/>
      <w:bookmarkEnd w:id="489"/>
    </w:p>
    <w:p>
      <w:pPr>
        <w:spacing w:line="560" w:lineRule="exact"/>
        <w:ind w:firstLine="480" w:firstLineChars="200"/>
        <w:rPr>
          <w:rFonts w:ascii="宋体" w:hAnsi="宋体"/>
          <w:color w:val="auto"/>
          <w:sz w:val="24"/>
        </w:rPr>
      </w:pPr>
      <w:r>
        <w:rPr>
          <w:rFonts w:ascii="宋体" w:hAnsi="宋体"/>
          <w:color w:val="auto"/>
          <w:sz w:val="24"/>
        </w:rPr>
        <w:t xml:space="preserve">2.14.1 </w:t>
      </w:r>
      <w:r>
        <w:rPr>
          <w:rFonts w:hint="eastAsia" w:ascii="宋体" w:hAnsi="宋体"/>
          <w:color w:val="auto"/>
          <w:sz w:val="24"/>
        </w:rPr>
        <w:t>双方当事人不得擅自中止或者终止合同；</w:t>
      </w:r>
    </w:p>
    <w:p>
      <w:pPr>
        <w:spacing w:line="560" w:lineRule="exact"/>
        <w:ind w:firstLine="480" w:firstLineChars="200"/>
        <w:rPr>
          <w:rFonts w:ascii="宋体" w:hAnsi="宋体"/>
          <w:color w:val="auto"/>
          <w:sz w:val="24"/>
        </w:rPr>
      </w:pPr>
      <w:r>
        <w:rPr>
          <w:rFonts w:ascii="宋体" w:hAnsi="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90" w:name="_Toc14525"/>
      <w:bookmarkStart w:id="491" w:name="_Toc17363"/>
      <w:bookmarkStart w:id="492" w:name="_Toc1969"/>
      <w:r>
        <w:rPr>
          <w:rFonts w:ascii="宋体" w:hAnsi="宋体"/>
          <w:b/>
          <w:color w:val="auto"/>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2.15.1 </w:t>
      </w:r>
      <w:r>
        <w:rPr>
          <w:rFonts w:hint="eastAsia" w:ascii="宋体" w:hAnsi="宋体"/>
          <w:color w:val="auto"/>
          <w:sz w:val="24"/>
        </w:rPr>
        <w:t>乙方按照</w:t>
      </w:r>
      <w:r>
        <w:rPr>
          <w:rFonts w:ascii="宋体" w:hAnsi="宋体"/>
          <w:b/>
          <w:i/>
          <w:color w:val="auto"/>
          <w:sz w:val="24"/>
          <w:u w:val="single"/>
        </w:rPr>
        <w:t>合同专用条款</w:t>
      </w:r>
      <w:r>
        <w:rPr>
          <w:rFonts w:ascii="宋体" w:hAnsi="宋体"/>
          <w:color w:val="auto"/>
          <w:sz w:val="24"/>
        </w:rPr>
        <w:t>的约定</w:t>
      </w:r>
      <w:r>
        <w:rPr>
          <w:rFonts w:hint="eastAsia" w:ascii="宋体" w:hAnsi="宋体"/>
          <w:color w:val="auto"/>
          <w:sz w:val="24"/>
        </w:rPr>
        <w:t>，</w:t>
      </w:r>
      <w:r>
        <w:rPr>
          <w:rFonts w:ascii="宋体" w:hAnsi="宋体"/>
          <w:color w:val="auto"/>
          <w:sz w:val="24"/>
        </w:rPr>
        <w:t>定期提交服务报告</w:t>
      </w:r>
      <w:r>
        <w:rPr>
          <w:rFonts w:hint="eastAsia" w:ascii="宋体" w:hAnsi="宋体"/>
          <w:color w:val="auto"/>
          <w:sz w:val="24"/>
        </w:rPr>
        <w:t>，甲方按照</w:t>
      </w:r>
      <w:r>
        <w:rPr>
          <w:rFonts w:ascii="宋体" w:hAnsi="宋体"/>
          <w:b/>
          <w:i/>
          <w:color w:val="auto"/>
          <w:sz w:val="24"/>
          <w:u w:val="single"/>
        </w:rPr>
        <w:t>合同专用条款</w:t>
      </w:r>
      <w:r>
        <w:rPr>
          <w:rFonts w:ascii="宋体" w:hAnsi="宋体"/>
          <w:color w:val="auto"/>
          <w:sz w:val="24"/>
        </w:rPr>
        <w:t>的约定进行定期验收</w:t>
      </w:r>
      <w:r>
        <w:rPr>
          <w:rFonts w:hint="eastAsia" w:ascii="宋体" w:hAnsi="宋体"/>
          <w:color w:val="auto"/>
          <w:sz w:val="24"/>
        </w:rPr>
        <w:t>；</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2.15.2 </w:t>
      </w:r>
      <w:r>
        <w:rPr>
          <w:rFonts w:hint="eastAsia" w:ascii="宋体" w:hAnsi="宋体"/>
          <w:color w:val="auto"/>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2.15.3 </w:t>
      </w:r>
      <w:r>
        <w:rPr>
          <w:rFonts w:hint="eastAsia" w:ascii="宋体" w:hAnsi="宋体"/>
          <w:color w:val="auto"/>
          <w:sz w:val="24"/>
        </w:rPr>
        <w:t>检验和验收标准、程序等具体内容以及前述验收书的效力详见</w:t>
      </w:r>
      <w:r>
        <w:rPr>
          <w:rFonts w:ascii="宋体" w:hAnsi="宋体"/>
          <w:b/>
          <w:i/>
          <w:color w:val="auto"/>
          <w:sz w:val="24"/>
          <w:u w:val="single"/>
        </w:rPr>
        <w:t>合同专用条款</w:t>
      </w:r>
      <w:r>
        <w:rPr>
          <w:rFonts w:hint="eastAsia" w:ascii="宋体" w:hAnsi="宋体"/>
          <w:i/>
          <w:color w:val="auto"/>
          <w:sz w:val="24"/>
        </w:rPr>
        <w:t>。</w:t>
      </w:r>
    </w:p>
    <w:p>
      <w:pPr>
        <w:spacing w:line="560" w:lineRule="exact"/>
        <w:ind w:firstLine="482" w:firstLineChars="200"/>
        <w:outlineLvl w:val="0"/>
        <w:rPr>
          <w:rFonts w:ascii="宋体" w:hAnsi="宋体"/>
          <w:b/>
          <w:color w:val="auto"/>
          <w:sz w:val="24"/>
        </w:rPr>
      </w:pPr>
      <w:bookmarkStart w:id="493" w:name="_Toc12666"/>
      <w:bookmarkStart w:id="494" w:name="_Toc31892"/>
      <w:bookmarkStart w:id="495" w:name="_Toc2308"/>
      <w:bookmarkStart w:id="496" w:name="_Toc9808"/>
      <w:bookmarkStart w:id="497" w:name="_Toc25198"/>
      <w:r>
        <w:rPr>
          <w:rFonts w:ascii="宋体" w:hAnsi="宋体"/>
          <w:b/>
          <w:color w:val="auto"/>
          <w:sz w:val="24"/>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rPr>
      </w:pPr>
      <w:bookmarkStart w:id="498" w:name="_Toc18401"/>
      <w:bookmarkStart w:id="499" w:name="_Toc27674"/>
      <w:r>
        <w:rPr>
          <w:rFonts w:ascii="宋体" w:hAnsi="宋体"/>
          <w:color w:val="auto"/>
          <w:sz w:val="24"/>
        </w:rPr>
        <w:t>2.17.1</w:t>
      </w:r>
      <w:r>
        <w:rPr>
          <w:rFonts w:hint="eastAsia" w:ascii="宋体" w:hAnsi="宋体"/>
          <w:color w:val="auto"/>
          <w:sz w:val="24"/>
        </w:rPr>
        <w:t>任何一方因履行合同而以合同第一部分尾部所列明的传真或电子邮件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rPr>
      </w:pPr>
      <w:r>
        <w:rPr>
          <w:rFonts w:ascii="宋体" w:hAnsi="宋体"/>
          <w:color w:val="auto"/>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rPr>
      </w:pPr>
      <w:bookmarkStart w:id="500" w:name="_Toc12254"/>
      <w:bookmarkStart w:id="501" w:name="_Toc27644"/>
      <w:bookmarkStart w:id="502" w:name="_Toc5063"/>
      <w:bookmarkStart w:id="503" w:name="_Toc28906"/>
      <w:bookmarkStart w:id="504" w:name="_Toc20808"/>
      <w:r>
        <w:rPr>
          <w:rFonts w:ascii="宋体" w:hAnsi="宋体"/>
          <w:b/>
          <w:color w:val="auto"/>
          <w:sz w:val="24"/>
        </w:rPr>
        <w:t xml:space="preserve">2.17 </w:t>
      </w:r>
      <w:r>
        <w:rPr>
          <w:rFonts w:hint="eastAsia" w:ascii="宋体" w:hAnsi="宋体"/>
          <w:b/>
          <w:color w:val="auto"/>
          <w:sz w:val="24"/>
        </w:rPr>
        <w:t>合同使用的文字和</w:t>
      </w:r>
      <w:r>
        <w:rPr>
          <w:rFonts w:ascii="宋体" w:hAnsi="宋体"/>
          <w:b/>
          <w:color w:val="auto"/>
          <w:sz w:val="24"/>
        </w:rPr>
        <w:t>适用的法律</w:t>
      </w:r>
      <w:bookmarkEnd w:id="500"/>
      <w:bookmarkEnd w:id="501"/>
      <w:bookmarkEnd w:id="502"/>
      <w:bookmarkEnd w:id="503"/>
      <w:bookmarkEnd w:id="504"/>
    </w:p>
    <w:p>
      <w:pPr>
        <w:spacing w:line="560" w:lineRule="exact"/>
        <w:ind w:firstLine="480" w:firstLineChars="200"/>
        <w:rPr>
          <w:rFonts w:ascii="宋体" w:hAnsi="宋体"/>
          <w:color w:val="auto"/>
          <w:sz w:val="24"/>
        </w:rPr>
      </w:pPr>
      <w:r>
        <w:rPr>
          <w:rFonts w:ascii="宋体" w:hAnsi="宋体"/>
          <w:color w:val="auto"/>
          <w:sz w:val="24"/>
        </w:rPr>
        <w:t>2.17.1 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2.17.2 </w:t>
      </w:r>
      <w:r>
        <w:rPr>
          <w:rFonts w:hint="eastAsia" w:ascii="宋体" w:hAnsi="宋体"/>
          <w:color w:val="auto"/>
          <w:sz w:val="24"/>
        </w:rPr>
        <w:t>合同适用</w:t>
      </w:r>
      <w:r>
        <w:rPr>
          <w:rFonts w:ascii="宋体" w:hAnsi="宋体"/>
          <w:color w:val="auto"/>
          <w:sz w:val="24"/>
        </w:rPr>
        <w:t>中华人民共和国法律。</w:t>
      </w:r>
    </w:p>
    <w:p>
      <w:pPr>
        <w:spacing w:line="560" w:lineRule="exact"/>
        <w:ind w:firstLine="482" w:firstLineChars="200"/>
        <w:outlineLvl w:val="0"/>
        <w:rPr>
          <w:rFonts w:ascii="宋体" w:hAnsi="宋体" w:cs="宋体"/>
          <w:b/>
          <w:color w:val="auto"/>
          <w:sz w:val="24"/>
        </w:rPr>
      </w:pPr>
      <w:bookmarkStart w:id="505" w:name="_Toc30599"/>
      <w:bookmarkStart w:id="506" w:name="_Toc4355"/>
      <w:bookmarkStart w:id="507" w:name="_Toc18540"/>
      <w:r>
        <w:rPr>
          <w:rFonts w:hint="eastAsia" w:ascii="宋体" w:hAnsi="宋体" w:cs="宋体"/>
          <w:b/>
          <w:color w:val="auto"/>
          <w:sz w:val="24"/>
        </w:rPr>
        <w:t>2.18 计量单位</w:t>
      </w:r>
      <w:bookmarkEnd w:id="505"/>
      <w:bookmarkEnd w:id="506"/>
      <w:bookmarkEnd w:id="507"/>
    </w:p>
    <w:p>
      <w:pPr>
        <w:spacing w:line="560" w:lineRule="exact"/>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560" w:lineRule="exact"/>
        <w:ind w:firstLine="482" w:firstLineChars="200"/>
        <w:rPr>
          <w:rFonts w:ascii="宋体" w:hAnsi="宋体"/>
          <w:b/>
          <w:color w:val="auto"/>
          <w:sz w:val="24"/>
        </w:rPr>
      </w:pPr>
      <w:r>
        <w:rPr>
          <w:rFonts w:ascii="宋体" w:hAnsi="宋体"/>
          <w:b/>
          <w:color w:val="auto"/>
          <w:sz w:val="24"/>
        </w:rPr>
        <w:t>2.</w:t>
      </w:r>
      <w:r>
        <w:rPr>
          <w:rFonts w:hint="eastAsia" w:ascii="宋体" w:hAnsi="宋体"/>
          <w:b/>
          <w:color w:val="auto"/>
          <w:sz w:val="24"/>
        </w:rPr>
        <w:t>19</w:t>
      </w:r>
      <w:r>
        <w:rPr>
          <w:rFonts w:ascii="宋体" w:hAnsi="宋体"/>
          <w:b/>
          <w:color w:val="auto"/>
          <w:sz w:val="24"/>
        </w:rPr>
        <w:t>合同份数</w:t>
      </w:r>
    </w:p>
    <w:p>
      <w:pPr>
        <w:spacing w:line="560" w:lineRule="exact"/>
        <w:ind w:firstLine="480" w:firstLineChars="200"/>
        <w:rPr>
          <w:rFonts w:ascii="宋体" w:hAnsi="宋体"/>
          <w:color w:val="auto"/>
          <w:sz w:val="24"/>
        </w:rPr>
      </w:pPr>
      <w:r>
        <w:rPr>
          <w:rFonts w:ascii="宋体" w:hAnsi="宋体"/>
          <w:color w:val="auto"/>
          <w:sz w:val="24"/>
        </w:rPr>
        <w:t>合同份数按</w:t>
      </w:r>
      <w:r>
        <w:rPr>
          <w:rFonts w:ascii="宋体" w:hAnsi="宋体"/>
          <w:b/>
          <w:i/>
          <w:color w:val="auto"/>
          <w:sz w:val="24"/>
          <w:u w:val="single"/>
        </w:rPr>
        <w:t>合同专用条款</w:t>
      </w:r>
      <w:r>
        <w:rPr>
          <w:rFonts w:ascii="宋体" w:hAnsi="宋体"/>
          <w:color w:val="auto"/>
          <w:sz w:val="24"/>
        </w:rPr>
        <w:t>规定</w:t>
      </w:r>
      <w:r>
        <w:rPr>
          <w:rFonts w:hint="eastAsia" w:ascii="宋体" w:hAnsi="宋体"/>
          <w:color w:val="auto"/>
          <w:sz w:val="24"/>
        </w:rPr>
        <w:t>，</w:t>
      </w:r>
      <w:r>
        <w:rPr>
          <w:rFonts w:ascii="宋体" w:hAnsi="宋体"/>
          <w:color w:val="auto"/>
          <w:sz w:val="24"/>
        </w:rPr>
        <w:t>每份均具有同等法律效力</w:t>
      </w:r>
      <w:r>
        <w:rPr>
          <w:rFonts w:hint="eastAsia" w:ascii="宋体" w:hAnsi="宋体"/>
          <w:color w:val="auto"/>
          <w:sz w:val="24"/>
        </w:rPr>
        <w:t>。</w:t>
      </w:r>
    </w:p>
    <w:p>
      <w:pPr>
        <w:spacing w:line="360" w:lineRule="auto"/>
        <w:jc w:val="center"/>
        <w:outlineLvl w:val="0"/>
        <w:rPr>
          <w:rFonts w:ascii="宋体" w:hAnsi="宋体" w:cs="宋体"/>
          <w:b/>
          <w:color w:val="auto"/>
          <w:sz w:val="24"/>
        </w:rPr>
      </w:pPr>
      <w:r>
        <w:rPr>
          <w:rFonts w:hint="eastAsia" w:ascii="宋体" w:hAnsi="宋体" w:cs="宋体"/>
          <w:color w:val="auto"/>
          <w:kern w:val="0"/>
        </w:rPr>
        <w:br w:type="page"/>
      </w:r>
      <w:bookmarkStart w:id="508" w:name="_Toc331685784"/>
      <w:r>
        <w:rPr>
          <w:rFonts w:hint="eastAsia" w:ascii="宋体" w:hAnsi="宋体" w:cs="宋体"/>
          <w:b/>
          <w:color w:val="auto"/>
          <w:sz w:val="24"/>
        </w:rPr>
        <w:t xml:space="preserve"> </w:t>
      </w:r>
      <w:bookmarkEnd w:id="508"/>
      <w:r>
        <w:rPr>
          <w:rFonts w:hint="eastAsia" w:ascii="宋体" w:hAnsi="宋体" w:cs="宋体"/>
          <w:b/>
          <w:color w:val="auto"/>
          <w:sz w:val="24"/>
        </w:rPr>
        <w:t>第三部分  合同专用条款</w:t>
      </w:r>
    </w:p>
    <w:p>
      <w:pPr>
        <w:spacing w:line="560" w:lineRule="exact"/>
        <w:ind w:left="-420" w:leftChars="-200" w:right="-420" w:rightChars="-200" w:firstLine="480" w:firstLineChars="200"/>
        <w:rPr>
          <w:rFonts w:ascii="宋体" w:hAnsi="宋体" w:cs="宋体"/>
          <w:color w:val="auto"/>
        </w:rPr>
      </w:pPr>
      <w:r>
        <w:rPr>
          <w:rFonts w:hint="eastAsia" w:ascii="宋体" w:hAnsi="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条款号</w:t>
            </w:r>
          </w:p>
        </w:tc>
        <w:tc>
          <w:tcPr>
            <w:tcW w:w="4464" w:type="pct"/>
            <w:vAlign w:val="center"/>
          </w:tcPr>
          <w:p>
            <w:pPr>
              <w:spacing w:line="360" w:lineRule="auto"/>
              <w:jc w:val="center"/>
              <w:rPr>
                <w:rFonts w:ascii="宋体" w:hAnsi="宋体" w:cs="宋体"/>
                <w:b/>
                <w:color w:val="auto"/>
                <w:sz w:val="24"/>
              </w:rPr>
            </w:pPr>
            <w:r>
              <w:rPr>
                <w:rFonts w:hint="eastAsia" w:ascii="宋体" w:hAnsi="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1.3.2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1.4.2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1.5.1 </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1.5.2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1.5.3 </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1.6.2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1.8.7</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2.3.2</w:t>
            </w:r>
          </w:p>
        </w:tc>
        <w:tc>
          <w:tcPr>
            <w:tcW w:w="4464" w:type="pct"/>
            <w:vAlign w:val="center"/>
          </w:tcPr>
          <w:p>
            <w:pPr>
              <w:spacing w:line="360" w:lineRule="auto"/>
              <w:ind w:left="-420" w:leftChars="-200" w:right="-420" w:rightChars="-200" w:firstLine="480" w:firstLineChars="20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5</w:t>
            </w:r>
          </w:p>
        </w:tc>
        <w:tc>
          <w:tcPr>
            <w:tcW w:w="4464" w:type="pct"/>
            <w:vAlign w:val="center"/>
          </w:tcPr>
          <w:p>
            <w:pPr>
              <w:spacing w:line="360" w:lineRule="auto"/>
              <w:ind w:left="-420" w:leftChars="-200" w:right="-420" w:rightChars="-200" w:firstLine="480" w:firstLineChars="20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w:t>
            </w:r>
            <w:r>
              <w:rPr>
                <w:rFonts w:hint="eastAsia" w:ascii="宋体" w:hAnsi="宋体" w:cs="宋体"/>
                <w:color w:val="auto"/>
                <w:sz w:val="24"/>
              </w:rPr>
              <w:t>.</w:t>
            </w:r>
            <w:r>
              <w:rPr>
                <w:rFonts w:ascii="宋体" w:hAnsi="宋体" w:cs="宋体"/>
                <w:color w:val="auto"/>
                <w:sz w:val="24"/>
              </w:rPr>
              <w:t>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11.4</w:t>
            </w:r>
            <w:r>
              <w:rPr>
                <w:rFonts w:hint="eastAsia" w:ascii="宋体" w:hAnsi="宋体" w:cs="宋体"/>
                <w:color w:val="auto"/>
                <w:sz w:val="24"/>
              </w:rPr>
              <w:t xml:space="preserve"> </w:t>
            </w:r>
          </w:p>
        </w:tc>
        <w:tc>
          <w:tcPr>
            <w:tcW w:w="4464" w:type="pct"/>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2.19</w:t>
            </w:r>
          </w:p>
        </w:tc>
        <w:tc>
          <w:tcPr>
            <w:tcW w:w="4464" w:type="pct"/>
          </w:tcPr>
          <w:p>
            <w:pPr>
              <w:spacing w:line="360" w:lineRule="auto"/>
              <w:rPr>
                <w:rFonts w:ascii="宋体" w:hAnsi="宋体" w:cs="宋体"/>
                <w:color w:val="auto"/>
                <w:sz w:val="24"/>
              </w:rPr>
            </w:pPr>
          </w:p>
        </w:tc>
      </w:tr>
    </w:tbl>
    <w:p>
      <w:pPr>
        <w:spacing w:line="360" w:lineRule="auto"/>
        <w:ind w:left="-420" w:leftChars="-200" w:right="-420" w:rightChars="-200" w:firstLine="480" w:firstLineChars="200"/>
        <w:rPr>
          <w:rFonts w:ascii="宋体" w:hAnsi="宋体" w:cs="宋体"/>
          <w:color w:val="auto"/>
          <w:sz w:val="24"/>
        </w:rPr>
      </w:pPr>
    </w:p>
    <w:p>
      <w:pPr>
        <w:spacing w:line="360" w:lineRule="auto"/>
        <w:ind w:left="-420" w:leftChars="-200" w:right="-420" w:rightChars="-200" w:firstLine="480" w:firstLineChars="200"/>
        <w:jc w:val="center"/>
        <w:outlineLvl w:val="0"/>
        <w:rPr>
          <w:rFonts w:ascii="宋体" w:hAnsi="宋体" w:cs="宋体"/>
          <w:color w:val="auto"/>
          <w:sz w:val="24"/>
        </w:rPr>
      </w:pPr>
    </w:p>
    <w:p>
      <w:pPr>
        <w:widowControl/>
        <w:adjustRightInd/>
        <w:jc w:val="center"/>
        <w:rPr>
          <w:rFonts w:ascii="宋体" w:hAnsi="宋体" w:cs="宋体"/>
          <w:b/>
          <w:color w:val="auto"/>
          <w:sz w:val="36"/>
          <w:szCs w:val="20"/>
        </w:rPr>
      </w:pPr>
      <w:r>
        <w:rPr>
          <w:rFonts w:hint="eastAsia" w:ascii="宋体" w:hAnsi="宋体" w:cs="宋体"/>
          <w:b/>
          <w:color w:val="auto"/>
          <w:sz w:val="36"/>
          <w:szCs w:val="20"/>
        </w:rPr>
        <w:t>第六部分</w:t>
      </w:r>
      <w:bookmarkEnd w:id="393"/>
      <w:r>
        <w:rPr>
          <w:rFonts w:hint="eastAsia" w:ascii="宋体" w:hAnsi="宋体" w:cs="宋体"/>
          <w:b/>
          <w:color w:val="auto"/>
          <w:sz w:val="36"/>
          <w:szCs w:val="20"/>
        </w:rPr>
        <w:t xml:space="preserve"> </w:t>
      </w:r>
      <w:bookmarkEnd w:id="394"/>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09" w:name="_Hlk101257010"/>
      <w:r>
        <w:rPr>
          <w:rFonts w:hint="eastAsia" w:ascii="宋体" w:hAnsi="宋体" w:cs="宋体"/>
          <w:color w:val="auto"/>
          <w:sz w:val="24"/>
        </w:rPr>
        <w:t>（如果有)</w:t>
      </w:r>
      <w:bookmarkEnd w:id="509"/>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pacing w:line="360" w:lineRule="auto"/>
        <w:ind w:left="420" w:leftChars="200" w:firstLine="480" w:firstLineChars="200"/>
        <w:rPr>
          <w:rFonts w:hint="eastAsia" w:ascii="宋体" w:hAnsi="宋体" w:cs="宋体"/>
          <w:color w:val="auto"/>
          <w:sz w:val="24"/>
        </w:rPr>
      </w:pPr>
      <w:r>
        <w:rPr>
          <w:rFonts w:hint="eastAsia" w:ascii="宋体" w:hAnsi="宋体" w:cs="宋体"/>
          <w:color w:val="auto"/>
          <w:sz w:val="24"/>
        </w:rPr>
        <w:t>2.3.1开标一览表（报价表）；</w:t>
      </w:r>
    </w:p>
    <w:p>
      <w:pPr>
        <w:spacing w:line="360" w:lineRule="auto"/>
        <w:ind w:left="420" w:leftChars="200" w:firstLine="480" w:firstLineChars="200"/>
        <w:rPr>
          <w:rFonts w:hint="default" w:eastAsia="仿宋_GB2312"/>
          <w:color w:val="auto"/>
          <w:lang w:val="en-US" w:eastAsia="zh-CN"/>
        </w:rPr>
      </w:pPr>
      <w:r>
        <w:rPr>
          <w:rFonts w:hint="eastAsia" w:ascii="宋体" w:hAnsi="宋体" w:cs="宋体"/>
          <w:color w:val="auto"/>
          <w:sz w:val="24"/>
          <w:lang w:val="en-US" w:eastAsia="zh-CN"/>
        </w:rPr>
        <w:t>2.3.2 报价情况说明（如果有）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pStyle w:val="79"/>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4"/>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8"/>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rPr>
            </w:pPr>
            <w:r>
              <w:rPr>
                <w:rFonts w:hint="eastAsia" w:hAnsi="宋体" w:cs="宋体"/>
                <w:bCs/>
                <w:color w:val="auto"/>
                <w:sz w:val="24"/>
              </w:rPr>
              <w:t>正面：                                 反面：</w:t>
            </w:r>
          </w:p>
          <w:p>
            <w:pPr>
              <w:pStyle w:val="148"/>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numPr>
          <w:ilvl w:val="0"/>
          <w:numId w:val="3"/>
        </w:numPr>
        <w:snapToGrid w:val="0"/>
        <w:spacing w:line="360" w:lineRule="auto"/>
        <w:rPr>
          <w:rFonts w:hint="eastAsia" w:ascii="宋体" w:hAnsi="宋体" w:cs="宋体"/>
          <w:color w:val="auto"/>
          <w:sz w:val="24"/>
        </w:rPr>
      </w:pPr>
      <w:r>
        <w:rPr>
          <w:rFonts w:hint="eastAsia" w:ascii="宋体" w:hAnsi="宋体" w:cs="宋体"/>
          <w:color w:val="auto"/>
          <w:sz w:val="24"/>
        </w:rPr>
        <w:t>开标一览表（报价表）………………………………………………………（页码）</w:t>
      </w:r>
    </w:p>
    <w:p>
      <w:pPr>
        <w:spacing w:line="360" w:lineRule="auto"/>
        <w:rPr>
          <w:color w:val="auto"/>
          <w:sz w:val="24"/>
        </w:rPr>
      </w:pPr>
      <w:r>
        <w:rPr>
          <w:rFonts w:hint="eastAsia" w:ascii="宋体" w:hAnsi="宋体" w:cs="宋体"/>
          <w:color w:val="auto"/>
          <w:sz w:val="24"/>
        </w:rPr>
        <w:t>（</w:t>
      </w:r>
      <w:r>
        <w:rPr>
          <w:rFonts w:hint="eastAsia" w:ascii="宋体" w:hAnsi="宋体" w:cs="宋体"/>
          <w:color w:val="auto"/>
          <w:sz w:val="24"/>
          <w:lang w:val="en-US" w:eastAsia="zh-CN"/>
        </w:rPr>
        <w:t>2</w:t>
      </w:r>
      <w:r>
        <w:rPr>
          <w:rFonts w:hint="eastAsia" w:ascii="宋体" w:hAnsi="宋体" w:cs="宋体"/>
          <w:color w:val="auto"/>
          <w:sz w:val="24"/>
        </w:rPr>
        <w:t>）</w:t>
      </w:r>
      <w:r>
        <w:rPr>
          <w:rFonts w:hint="eastAsia" w:hAnsi="仿宋_GB2312" w:cs="仿宋_GB2312"/>
          <w:b w:val="0"/>
          <w:bCs/>
          <w:snapToGrid w:val="0"/>
          <w:color w:val="auto"/>
          <w:kern w:val="2"/>
          <w:sz w:val="24"/>
          <w:szCs w:val="24"/>
          <w:lang w:val="en-US" w:eastAsia="zh-CN" w:bidi="ar-SA"/>
        </w:rPr>
        <w:t>报价情况说明</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rPr>
        <w:t>（页码）</w:t>
      </w:r>
    </w:p>
    <w:p>
      <w:pPr>
        <w:snapToGrid w:val="0"/>
        <w:spacing w:line="360" w:lineRule="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）中小企业声明函………………………………………………………………（页码）</w:t>
      </w:r>
    </w:p>
    <w:p>
      <w:pPr>
        <w:pStyle w:val="79"/>
        <w:rPr>
          <w:rFonts w:hint="eastAsia"/>
          <w:color w:val="auto"/>
        </w:rPr>
      </w:pPr>
    </w:p>
    <w:p>
      <w:pPr>
        <w:pStyle w:val="79"/>
        <w:rPr>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9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2268"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241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26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212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2127"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8647" w:type="dxa"/>
            <w:gridSpan w:val="4"/>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8647" w:type="dxa"/>
            <w:gridSpan w:val="4"/>
          </w:tcPr>
          <w:p>
            <w:pPr>
              <w:spacing w:line="360" w:lineRule="auto"/>
              <w:jc w:val="center"/>
              <w:rPr>
                <w:rFonts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color w:val="auto"/>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2"/>
        <w:keepNext w:val="0"/>
        <w:pageBreakBefore/>
        <w:numPr>
          <w:ilvl w:val="0"/>
          <w:numId w:val="4"/>
        </w:numPr>
        <w:tabs>
          <w:tab w:val="clear" w:pos="720"/>
        </w:tabs>
        <w:snapToGrid w:val="0"/>
        <w:spacing w:before="120" w:after="120"/>
        <w:ind w:firstLine="643"/>
        <w:outlineLvl w:val="9"/>
        <w:rPr>
          <w:rFonts w:hint="eastAsia" w:ascii="宋体" w:hAnsi="宋体" w:eastAsia="宋体" w:cs="宋体"/>
          <w:color w:val="auto"/>
          <w:kern w:val="2"/>
          <w:sz w:val="32"/>
          <w:szCs w:val="32"/>
          <w:lang w:val="en-US" w:eastAsia="zh-CN"/>
        </w:rPr>
      </w:pPr>
      <w:r>
        <w:rPr>
          <w:rFonts w:hint="eastAsia" w:ascii="宋体" w:hAnsi="宋体" w:eastAsia="宋体" w:cs="宋体"/>
          <w:color w:val="auto"/>
          <w:kern w:val="2"/>
          <w:sz w:val="32"/>
          <w:szCs w:val="32"/>
          <w:lang w:val="en-US" w:eastAsia="zh-CN"/>
        </w:rPr>
        <w:t>报价情况说明（如果有）</w:t>
      </w:r>
    </w:p>
    <w:p>
      <w:pPr>
        <w:pStyle w:val="4"/>
        <w:keepNext w:val="0"/>
        <w:pageBreakBefore w:val="0"/>
        <w:numPr>
          <w:ilvl w:val="-1"/>
          <w:numId w:val="0"/>
        </w:numPr>
        <w:snapToGrid w:val="0"/>
        <w:spacing w:before="120" w:after="120"/>
        <w:ind w:firstLine="0"/>
        <w:outlineLvl w:val="9"/>
        <w:rPr>
          <w:rFonts w:hint="default" w:ascii="宋体" w:hAnsi="宋体" w:eastAsia="宋体" w:cs="宋体"/>
          <w:color w:val="auto"/>
          <w:kern w:val="2"/>
          <w:sz w:val="32"/>
          <w:szCs w:val="32"/>
          <w:lang w:val="en-US" w:eastAsia="zh-CN"/>
        </w:rPr>
      </w:pPr>
      <w:r>
        <w:rPr>
          <w:rFonts w:hint="eastAsia" w:ascii="宋体" w:hAnsi="宋体" w:eastAsia="宋体" w:cs="宋体"/>
          <w:b w:val="0"/>
          <w:bCs w:val="0"/>
          <w:color w:val="auto"/>
          <w:sz w:val="24"/>
          <w:szCs w:val="24"/>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w:t>
      </w:r>
    </w:p>
    <w:p>
      <w:pPr>
        <w:pStyle w:val="692"/>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lang w:val="en-US" w:eastAsia="zh-CN"/>
        </w:r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lang w:val="en-US" w:eastAsia="zh-CN"/>
        </w:rPr>
        <w:t>三</w:t>
      </w:r>
      <w:r>
        <w:rPr>
          <w:rFonts w:hint="eastAsia" w:ascii="宋体" w:hAnsi="宋体" w:eastAsia="宋体" w:cs="宋体"/>
          <w:color w:val="auto"/>
          <w:kern w:val="2"/>
          <w:sz w:val="32"/>
          <w:szCs w:val="32"/>
        </w:rPr>
        <w:t>、</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hint="eastAsia"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79"/>
        <w:rPr>
          <w:rFonts w:hint="eastAsia" w:ascii="宋体" w:hAnsi="宋体" w:cs="宋体"/>
          <w:b/>
          <w:color w:val="auto"/>
          <w:sz w:val="24"/>
        </w:rPr>
      </w:pPr>
    </w:p>
    <w:p>
      <w:pPr>
        <w:pStyle w:val="79"/>
        <w:rPr>
          <w:rFonts w:hint="eastAsia" w:ascii="宋体" w:hAnsi="宋体" w:cs="宋体"/>
          <w:b/>
          <w:color w:val="auto"/>
          <w:sz w:val="24"/>
        </w:rPr>
      </w:pPr>
    </w:p>
    <w:p>
      <w:pPr>
        <w:pStyle w:val="692"/>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10" w:name="OLE_LINK13"/>
      <w:bookmarkStart w:id="511" w:name="OLE_LINK14"/>
      <w:r>
        <w:rPr>
          <w:rFonts w:hint="eastAsia" w:ascii="宋体" w:hAnsi="宋体" w:cs="宋体"/>
          <w:b/>
          <w:color w:val="auto"/>
          <w:spacing w:val="6"/>
          <w:sz w:val="32"/>
          <w:szCs w:val="32"/>
        </w:rPr>
        <w:t>残疾人福利性单位声明函</w:t>
      </w:r>
    </w:p>
    <w:bookmarkEnd w:id="510"/>
    <w:bookmarkEnd w:id="511"/>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512"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512"/>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513" w:name="_Hlk101133598"/>
      <w:r>
        <w:rPr>
          <w:rFonts w:hint="eastAsia" w:ascii="宋体" w:hAnsi="宋体" w:cs="宋体"/>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513"/>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14"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514"/>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ind w:firstLine="3666" w:firstLineChars="1100"/>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4"/>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91899912"/>
    <w:bookmarkStart w:id="516" w:name="_Toc164085800"/>
    <w:bookmarkStart w:id="517" w:name="_Toc131845147"/>
    <w:bookmarkStart w:id="518" w:name="_Toc3611018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rPr>
        <w:rFonts w:ascii="仿宋_GB2312" w:eastAsia="仿宋_GB2312"/>
        <w:b w:val="0"/>
        <w:i/>
        <w:sz w:val="18"/>
        <w:u w:val="single"/>
        <w:lang w:val="en-US"/>
      </w:rPr>
    </w:pPr>
    <w:r>
      <w:t></w:t>
    </w:r>
    <w:r>
      <w:rPr>
        <w:rFonts w:hint="eastAsia"/>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eastAsia="宋体"/>
        <w:lang w:eastAsia="zh-CN"/>
      </w:rPr>
    </w:pPr>
    <w:r>
      <w:t></w:t>
    </w:r>
    <w:r>
      <w:rPr>
        <w:rFonts w:hint="eastAsia"/>
      </w:rPr>
      <w:t xml:space="preserve">                                         </w:t>
    </w:r>
    <w:r>
      <w:rPr>
        <w:rFonts w:hint="eastAsia"/>
        <w:lang w:eastAsia="zh-CN"/>
      </w:rPr>
      <w:t>杭州市临平区政府采购公开招标文件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color w:val="auto"/>
      </w:rPr>
    </w:pPr>
    <w:r>
      <w:rPr>
        <w:lang w:val="zh-CN"/>
      </w:rPr>
      <w:t></w:t>
    </w:r>
    <w:r>
      <w:tab/>
    </w:r>
    <w:r>
      <w:rPr>
        <w:lang w:val="zh-CN"/>
      </w:rPr>
      <w:t></w:t>
    </w:r>
    <w:r>
      <w:rPr>
        <w:lang w:val="zh-CN"/>
      </w:rPr>
      <w:tab/>
    </w:r>
    <w:r>
      <w:rPr>
        <w:color w:val="auto"/>
        <w:lang w:val="zh-CN"/>
      </w:rPr>
      <w:t>杭州市</w:t>
    </w:r>
    <w:r>
      <w:rPr>
        <w:rFonts w:hint="default"/>
        <w:color w:val="auto"/>
        <w:lang w:val="zh-CN" w:eastAsia="zh-CN"/>
      </w:rPr>
      <w:t>临平区</w:t>
    </w:r>
    <w:r>
      <w:rPr>
        <w:color w:val="auto"/>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ascii="仿宋_GB2312" w:eastAsia="宋体"/>
        <w:b/>
        <w:i/>
        <w:u w:val="single"/>
        <w:lang w:eastAsia="zh-CN"/>
      </w:rPr>
    </w:pPr>
    <w:r>
      <w:t></w:t>
    </w:r>
    <w:r>
      <w:rPr>
        <w:rFonts w:hint="eastAsia"/>
      </w:rPr>
      <w:t xml:space="preserve">                                                  </w:t>
    </w:r>
    <w:r>
      <w:t xml:space="preserve">             </w:t>
    </w:r>
    <w:r>
      <w:rPr>
        <w:rFonts w:hint="eastAsia"/>
        <w:lang w:eastAsia="zh-CN"/>
      </w:rPr>
      <w:t>杭州市临平区政府采购公开招标文件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rPr>
        <w:rFonts w:hint="eastAsia" w:eastAsia="宋体"/>
        <w:lang w:eastAsia="zh-CN"/>
      </w:rPr>
    </w:pPr>
    <w:r>
      <w:rPr>
        <w:rFonts w:hint="eastAsia"/>
      </w:rPr>
      <w:t xml:space="preserve">                                                                  </w:t>
    </w:r>
    <w:r>
      <w:rPr>
        <w:rFonts w:hint="eastAsia"/>
        <w:lang w:eastAsia="zh-CN"/>
      </w:rPr>
      <w:t>杭州市临平区政府采购公开招标文件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ascii="仿宋_GB2312" w:eastAsia="宋体"/>
        <w:b/>
        <w:i/>
        <w:u w:val="single"/>
        <w:lang w:eastAsia="zh-CN"/>
      </w:rPr>
    </w:pPr>
    <w:r>
      <w:t></w:t>
    </w:r>
    <w:r>
      <w:rPr>
        <w:rFonts w:hint="eastAsia"/>
      </w:rPr>
      <w:t xml:space="preserve">                                                  </w:t>
    </w:r>
    <w:r>
      <w:rPr>
        <w:rFonts w:hint="eastAsia"/>
        <w:lang w:eastAsia="zh-CN"/>
      </w:rPr>
      <w:t>杭州市临平区政府采购公开招标文件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eastAsia="宋体"/>
        <w:lang w:eastAsia="zh-CN"/>
      </w:rPr>
    </w:pPr>
    <w:r>
      <w:t></w:t>
    </w:r>
    <w:r>
      <w:rPr>
        <w:rFonts w:hint="eastAsia"/>
      </w:rPr>
      <w:t xml:space="preserve">                 </w:t>
    </w:r>
    <w:r>
      <w:t xml:space="preserve">                                </w:t>
    </w:r>
    <w:r>
      <w:rPr>
        <w:rFonts w:hint="eastAsia"/>
      </w:rPr>
      <w:t xml:space="preserve">         </w:t>
    </w:r>
    <w:r>
      <w:rPr>
        <w:rFonts w:hint="eastAsia"/>
        <w:lang w:eastAsia="zh-CN"/>
      </w:rPr>
      <w:t>杭州市临平区政府采购公开招标文件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u w:val="single"/>
        <w:lang w:eastAsia="zh-CN"/>
      </w:rPr>
    </w:pPr>
    <w:r>
      <w:rPr>
        <w:rFonts w:hint="eastAsia"/>
      </w:rPr>
      <w:t xml:space="preserve">                                  </w:t>
    </w:r>
    <w:r>
      <w:rPr>
        <w:rFonts w:hint="eastAsia"/>
        <w:lang w:eastAsia="zh-CN"/>
      </w:rPr>
      <w:t>杭州市临平区政府采购公开招标文件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eastAsia="宋体"/>
        <w:lang w:eastAsia="zh-CN"/>
      </w:rPr>
    </w:pPr>
    <w:r>
      <w:rPr>
        <w:rFonts w:hint="eastAsia"/>
      </w:rPr>
      <w:t xml:space="preserve">                                                                                                        </w:t>
    </w:r>
    <w:r>
      <w:rPr>
        <w:rFonts w:hint="eastAsia"/>
        <w:lang w:eastAsia="zh-CN"/>
      </w:rPr>
      <w:t>杭州市临平区政府采购公开招标文件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iCs/>
        <w:u w:val="single"/>
        <w:lang w:eastAsia="zh-CN"/>
      </w:rPr>
    </w:pPr>
    <w:r>
      <w:t></w:t>
    </w:r>
    <w:r>
      <w:rPr>
        <w:rFonts w:hint="eastAsia"/>
        <w:lang w:eastAsia="zh-CN"/>
      </w:rPr>
      <w:t>杭州市临平区政府采购公开招标文件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1CB79"/>
    <w:multiLevelType w:val="singleLevel"/>
    <w:tmpl w:val="C7D1CB79"/>
    <w:lvl w:ilvl="0" w:tentative="0">
      <w:start w:val="3"/>
      <w:numFmt w:val="chineseCounting"/>
      <w:suff w:val="space"/>
      <w:lvlText w:val="第%1部分"/>
      <w:lvlJc w:val="left"/>
      <w:rPr>
        <w:rFonts w:hint="eastAsia"/>
      </w:rPr>
    </w:lvl>
  </w:abstractNum>
  <w:abstractNum w:abstractNumId="1">
    <w:nsid w:val="35D71722"/>
    <w:multiLevelType w:val="singleLevel"/>
    <w:tmpl w:val="35D71722"/>
    <w:lvl w:ilvl="0" w:tentative="0">
      <w:start w:val="2"/>
      <w:numFmt w:val="chineseCounting"/>
      <w:suff w:val="nothing"/>
      <w:lvlText w:val="%1、"/>
      <w:lvlJc w:val="left"/>
      <w:rPr>
        <w:rFonts w:hint="eastAsia"/>
      </w:rPr>
    </w:lvl>
  </w:abstractNum>
  <w:abstractNum w:abstractNumId="2">
    <w:nsid w:val="41892D21"/>
    <w:multiLevelType w:val="singleLevel"/>
    <w:tmpl w:val="41892D21"/>
    <w:lvl w:ilvl="0" w:tentative="0">
      <w:start w:val="1"/>
      <w:numFmt w:val="decimal"/>
      <w:suff w:val="nothing"/>
      <w:lvlText w:val="（%1）"/>
      <w:lvlJc w:val="left"/>
    </w:lvl>
  </w:abstractNum>
  <w:abstractNum w:abstractNumId="3">
    <w:nsid w:val="42A11916"/>
    <w:multiLevelType w:val="singleLevel"/>
    <w:tmpl w:val="42A11916"/>
    <w:lvl w:ilvl="0" w:tentative="0">
      <w:start w:val="4"/>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wMWRlZDA0NTA5Nzg3N2M3MTM4MDdhZjJhZjI2OG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1C8"/>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34B32"/>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C3C9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B14E76"/>
    <w:rsid w:val="09C13146"/>
    <w:rsid w:val="09E04166"/>
    <w:rsid w:val="0A1C0718"/>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8A2A83"/>
    <w:rsid w:val="1D9247AE"/>
    <w:rsid w:val="1DB567EC"/>
    <w:rsid w:val="1DF51A98"/>
    <w:rsid w:val="1DF52C25"/>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6D06CE"/>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0402C4"/>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372D29"/>
    <w:rsid w:val="3A744481"/>
    <w:rsid w:val="3A8C7BEF"/>
    <w:rsid w:val="3A906246"/>
    <w:rsid w:val="3B2349B7"/>
    <w:rsid w:val="3B616CFF"/>
    <w:rsid w:val="3B6259F6"/>
    <w:rsid w:val="3B976654"/>
    <w:rsid w:val="3BC01EFC"/>
    <w:rsid w:val="3BCA786A"/>
    <w:rsid w:val="3BD31E2F"/>
    <w:rsid w:val="3BF15831"/>
    <w:rsid w:val="3BF5322C"/>
    <w:rsid w:val="3C105946"/>
    <w:rsid w:val="3C171AD8"/>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90707B"/>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DF5514"/>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355157"/>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BD4C0F"/>
    <w:rsid w:val="6ED446C5"/>
    <w:rsid w:val="6F2A7D94"/>
    <w:rsid w:val="6F8331F1"/>
    <w:rsid w:val="6FAE1A09"/>
    <w:rsid w:val="6FD75BF8"/>
    <w:rsid w:val="704B4683"/>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9702E"/>
    <w:rsid w:val="7BEE0103"/>
    <w:rsid w:val="7C0A0FE4"/>
    <w:rsid w:val="7C254906"/>
    <w:rsid w:val="7C590818"/>
    <w:rsid w:val="7C631AC1"/>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2">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3"/>
    <w:autoRedefine/>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rFonts w:ascii="Times New Roman" w:hAnsi="Times New Roman" w:eastAsia="宋体"/>
      <w:color w:val="000000" w:themeColor="text1"/>
      <w:sz w:val="18"/>
      <w:szCs w:val="18"/>
      <w14:textFill>
        <w14:solidFill>
          <w14:schemeClr w14:val="tx1"/>
        </w14:solidFill>
      </w14:textFill>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autoRedefine/>
    <w:qFormat/>
    <w:uiPriority w:val="0"/>
    <w:rPr>
      <w:b/>
      <w:bCs/>
    </w:rPr>
  </w:style>
  <w:style w:type="paragraph" w:styleId="60">
    <w:name w:val="Body Text First Indent"/>
    <w:basedOn w:val="23"/>
    <w:link w:val="320"/>
    <w:autoRedefine/>
    <w:qFormat/>
    <w:uiPriority w:val="0"/>
    <w:pPr>
      <w:ind w:firstLine="420"/>
    </w:pPr>
    <w:rPr>
      <w:rFonts w:hAnsi="Calibri" w:cs="Times New Roman"/>
      <w:snapToGrid/>
      <w:szCs w:val="20"/>
    </w:rPr>
  </w:style>
  <w:style w:type="paragraph" w:styleId="61">
    <w:name w:val="Body Text First Indent 2"/>
    <w:basedOn w:val="24"/>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7"/>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4"/>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5"/>
    <w:autoRedefine/>
    <w:qFormat/>
    <w:uiPriority w:val="0"/>
    <w:rPr>
      <w:rFonts w:ascii="宋体"/>
      <w:kern w:val="2"/>
      <w:sz w:val="24"/>
      <w:szCs w:val="21"/>
      <w:lang w:val="zh-CN"/>
    </w:rPr>
  </w:style>
  <w:style w:type="character" w:customStyle="1" w:styleId="181">
    <w:name w:val="标题 9 Char"/>
    <w:link w:val="10"/>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2"/>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5"/>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4"/>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6"/>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6"/>
    <w:autoRedefine/>
    <w:qFormat/>
    <w:uiPriority w:val="0"/>
    <w:rPr>
      <w:rFonts w:ascii="黑体" w:hAnsi="Courier New" w:eastAsia="黑体"/>
    </w:rPr>
  </w:style>
  <w:style w:type="character" w:customStyle="1" w:styleId="301">
    <w:name w:val="正文文本 2 Char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5"/>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8"/>
    <w:autoRedefine/>
    <w:qFormat/>
    <w:uiPriority w:val="0"/>
    <w:rPr>
      <w:b/>
      <w:bCs/>
      <w:kern w:val="2"/>
      <w:sz w:val="24"/>
      <w:szCs w:val="24"/>
    </w:rPr>
  </w:style>
  <w:style w:type="character" w:customStyle="1" w:styleId="307">
    <w:name w:val="正文文本缩进 2 Char"/>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5"/>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autoRedefine/>
    <w:qFormat/>
    <w:uiPriority w:val="99"/>
    <w:rPr>
      <w:kern w:val="2"/>
      <w:sz w:val="21"/>
      <w:szCs w:val="24"/>
    </w:rPr>
  </w:style>
  <w:style w:type="character" w:customStyle="1" w:styleId="344">
    <w:name w:val="签名 Char"/>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9"/>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39"/>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0"/>
    <w:autoRedefine/>
    <w:qFormat/>
    <w:uiPriority w:val="99"/>
    <w:rPr>
      <w:rFonts w:ascii="Times New Roman" w:hAnsi="Times New Roman" w:eastAsia="宋体"/>
      <w:color w:val="000000" w:themeColor="text1"/>
      <w:kern w:val="2"/>
      <w:sz w:val="18"/>
      <w:szCs w:val="18"/>
      <w14:textFill>
        <w14:solidFill>
          <w14:schemeClr w14:val="tx1"/>
        </w14:solidFill>
      </w14:textFill>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1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2"/>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6"/>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2"/>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2"/>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2"/>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3"/>
    <w:autoRedefine/>
    <w:qFormat/>
    <w:uiPriority w:val="0"/>
    <w:pPr>
      <w:tabs>
        <w:tab w:val="left" w:pos="840"/>
      </w:tabs>
      <w:adjustRightInd/>
      <w:ind w:left="840" w:hanging="420"/>
    </w:pPr>
  </w:style>
  <w:style w:type="paragraph" w:customStyle="1" w:styleId="625">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2"/>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2"/>
    <w:next w:val="52"/>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2"/>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8"/>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2"/>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7"/>
    <w:autoRedefine/>
    <w:qFormat/>
    <w:uiPriority w:val="0"/>
    <w:rPr>
      <w:kern w:val="2"/>
      <w:sz w:val="21"/>
      <w:szCs w:val="24"/>
      <w:lang w:val="zh-CN"/>
    </w:rPr>
  </w:style>
  <w:style w:type="character" w:customStyle="1" w:styleId="932">
    <w:name w:val="无间隔 Char"/>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Normal Indent1"/>
    <w:basedOn w:val="1"/>
    <w:autoRedefine/>
    <w:qFormat/>
    <w:uiPriority w:val="0"/>
    <w:pPr>
      <w:ind w:firstLine="420" w:firstLineChars="200"/>
    </w:pPr>
  </w:style>
  <w:style w:type="paragraph" w:customStyle="1" w:styleId="965">
    <w:name w:val="[Normal]"/>
    <w:autoRedefine/>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30821</Words>
  <Characters>32591</Characters>
  <Lines>281</Lines>
  <Paragraphs>79</Paragraphs>
  <TotalTime>24</TotalTime>
  <ScaleCrop>false</ScaleCrop>
  <LinksUpToDate>false</LinksUpToDate>
  <CharactersWithSpaces>38052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包肥肥</cp:lastModifiedBy>
  <cp:lastPrinted>2021-12-27T11:06:00Z</cp:lastPrinted>
  <dcterms:modified xsi:type="dcterms:W3CDTF">2024-06-11T06:17:20Z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