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highlight w:val="none"/>
        </w:rPr>
      </w:pPr>
    </w:p>
    <w:p>
      <w:pPr>
        <w:adjustRightInd/>
        <w:spacing w:line="360" w:lineRule="auto"/>
        <w:jc w:val="center"/>
        <w:rPr>
          <w:rFonts w:hint="eastAsia" w:ascii="宋体" w:hAnsi="宋体" w:eastAsia="宋体" w:cs="宋体"/>
          <w:b/>
          <w:bCs/>
          <w:spacing w:val="6"/>
          <w:sz w:val="44"/>
          <w:szCs w:val="44"/>
          <w:highlight w:val="none"/>
          <w:lang w:eastAsia="zh-CN"/>
        </w:rPr>
      </w:pPr>
      <w:r>
        <w:rPr>
          <w:rFonts w:hint="eastAsia" w:ascii="宋体" w:hAnsi="宋体" w:cs="宋体"/>
          <w:b/>
          <w:bCs/>
          <w:spacing w:val="6"/>
          <w:sz w:val="44"/>
          <w:szCs w:val="44"/>
          <w:highlight w:val="none"/>
          <w:lang w:eastAsia="zh-CN"/>
        </w:rPr>
        <w:t>仓前街道自建房安全长效管理机制服务项目（二次）</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HSZFCG2024-014-1</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采购人：杭州市余杭区人民政府仓前街道办事处</w:t>
      </w: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采购代理机构：浙江宏顺建设管理有限公司</w:t>
      </w:r>
    </w:p>
    <w:p>
      <w:pPr>
        <w:snapToGrid w:val="0"/>
        <w:spacing w:line="360" w:lineRule="auto"/>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宋体" w:hAnsi="宋体" w:cs="宋体"/>
          <w:sz w:val="32"/>
          <w:szCs w:val="32"/>
          <w:highlight w:val="none"/>
        </w:rPr>
        <w:t>〇</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pStyle w:val="638"/>
        <w:keepNext w:val="0"/>
        <w:keepLines w:val="0"/>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仓前街道自建房安全长效管理机制服务项目（二次）</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napToGrid w:val="0"/>
          <w:kern w:val="28"/>
          <w:sz w:val="24"/>
          <w:szCs w:val="20"/>
          <w:highlight w:val="none"/>
          <w:lang w:eastAsia="zh-CN"/>
        </w:rPr>
        <w:t>HSZFCG2024-014-1</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仓前街道自建房安全长效管理机制服务项目（二次）</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eastAsia="zh-CN"/>
        </w:rPr>
        <w:t>960000</w:t>
      </w:r>
    </w:p>
    <w:p>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hint="eastAsia" w:ascii="宋体" w:hAnsi="宋体" w:cs="宋体"/>
          <w:b/>
          <w:sz w:val="24"/>
          <w:highlight w:val="none"/>
          <w:lang w:eastAsia="zh-CN"/>
        </w:rPr>
        <w:t>960000</w:t>
      </w:r>
    </w:p>
    <w:p>
      <w:pPr>
        <w:pStyle w:val="7"/>
        <w:widowControl w:val="0"/>
        <w:spacing w:line="360" w:lineRule="auto"/>
        <w:ind w:firstLine="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仓前街道自建房安全长效管理机制服务项目（二次）</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仓前街道自建房安全长效管理机制服务项目（二次）</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pPr>
        <w:spacing w:line="360" w:lineRule="auto"/>
        <w:rPr>
          <w:rFonts w:hint="default" w:ascii="宋体" w:hAnsi="宋体" w:cs="宋体"/>
          <w:b/>
          <w:sz w:val="24"/>
          <w:highlight w:val="none"/>
          <w:lang w:val="en-US" w:eastAsia="zh-CN"/>
        </w:rPr>
      </w:pPr>
      <w:r>
        <w:rPr>
          <w:rFonts w:hint="eastAsia" w:ascii="宋体" w:hAnsi="宋体" w:cs="宋体"/>
          <w:b/>
          <w:sz w:val="24"/>
          <w:highlight w:val="none"/>
        </w:rPr>
        <w:t>合同履约期限：</w:t>
      </w:r>
      <w:r>
        <w:rPr>
          <w:rFonts w:hint="eastAsia" w:ascii="宋体" w:hAnsi="宋体" w:cs="宋体"/>
          <w:b/>
          <w:sz w:val="24"/>
          <w:highlight w:val="none"/>
          <w:lang w:val="en-US" w:eastAsia="zh-CN"/>
        </w:rPr>
        <w:t>60日历天</w:t>
      </w:r>
    </w:p>
    <w:p>
      <w:pPr>
        <w:pStyle w:val="7"/>
        <w:widowControl w:val="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3817623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hint="eastAsia"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67780441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5108456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7298482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81062980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称：杭州市余杭区人民政府仓前街道办事处</w:t>
      </w:r>
    </w:p>
    <w:p>
      <w:pPr>
        <w:spacing w:line="360" w:lineRule="auto"/>
        <w:rPr>
          <w:rFonts w:ascii="宋体" w:hAnsi="宋体" w:cs="宋体"/>
          <w:sz w:val="24"/>
          <w:highlight w:val="none"/>
        </w:rPr>
      </w:pPr>
      <w:r>
        <w:rPr>
          <w:rFonts w:hint="eastAsia" w:ascii="宋体" w:hAnsi="宋体" w:cs="宋体"/>
          <w:sz w:val="24"/>
          <w:highlight w:val="none"/>
        </w:rPr>
        <w:t xml:space="preserve">    地    址：杭州市余杭区仓前街道向往街1008号乐富海邦园</w:t>
      </w:r>
      <w:r>
        <w:rPr>
          <w:rFonts w:hint="eastAsia" w:ascii="宋体" w:hAnsi="宋体" w:cs="宋体"/>
          <w:sz w:val="24"/>
          <w:highlight w:val="none"/>
          <w:lang w:val="en-US" w:eastAsia="zh-CN"/>
        </w:rPr>
        <w:t>18幢</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王工</w:t>
      </w:r>
    </w:p>
    <w:p>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18857138187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i w:val="0"/>
          <w:iCs w:val="0"/>
          <w:color w:val="auto"/>
          <w:sz w:val="24"/>
          <w:highlight w:val="none"/>
          <w:lang w:val="en-US" w:eastAsia="zh-CN"/>
        </w:rPr>
        <w:t>周工</w:t>
      </w:r>
    </w:p>
    <w:p>
      <w:pPr>
        <w:keepNext w:val="0"/>
        <w:keepLines w:val="0"/>
        <w:pageBreakBefore w:val="0"/>
        <w:widowControl w:val="0"/>
        <w:kinsoku/>
        <w:wordWrap/>
        <w:overflowPunct/>
        <w:topLinePunct w:val="0"/>
        <w:autoSpaceDE/>
        <w:autoSpaceDN/>
        <w:bidi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质疑联系方式：</w:t>
      </w:r>
      <w:r>
        <w:rPr>
          <w:rFonts w:hint="eastAsia" w:ascii="宋体" w:hAnsi="宋体" w:cs="宋体"/>
          <w:i w:val="0"/>
          <w:iCs w:val="0"/>
          <w:color w:val="auto"/>
          <w:sz w:val="24"/>
          <w:highlight w:val="none"/>
        </w:rPr>
        <w:t>0571-</w:t>
      </w:r>
      <w:r>
        <w:rPr>
          <w:rFonts w:hint="eastAsia" w:ascii="宋体" w:hAnsi="宋体" w:cs="宋体"/>
          <w:i w:val="0"/>
          <w:iCs w:val="0"/>
          <w:color w:val="auto"/>
          <w:sz w:val="24"/>
          <w:highlight w:val="none"/>
          <w:lang w:val="en-US" w:eastAsia="zh-CN"/>
        </w:rPr>
        <w:t>88613825</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称：浙江宏顺建设管理有限公司 </w:t>
      </w:r>
    </w:p>
    <w:p>
      <w:pPr>
        <w:spacing w:line="360" w:lineRule="auto"/>
        <w:ind w:firstLine="480"/>
        <w:rPr>
          <w:rFonts w:ascii="宋体" w:hAnsi="宋体" w:cs="宋体"/>
          <w:sz w:val="24"/>
          <w:highlight w:val="none"/>
        </w:rPr>
      </w:pPr>
      <w:r>
        <w:rPr>
          <w:rFonts w:hint="eastAsia" w:ascii="宋体" w:hAnsi="宋体" w:cs="宋体"/>
          <w:sz w:val="24"/>
          <w:highlight w:val="none"/>
        </w:rPr>
        <w:t xml:space="preserve">地    址：杭州市临平区北沙西路18号经纬中耀大厦A座1501-2室 </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ascii="宋体" w:hAnsi="宋体" w:cs="宋体"/>
          <w:sz w:val="24"/>
          <w:highlight w:val="none"/>
        </w:rPr>
      </w:pPr>
      <w:r>
        <w:rPr>
          <w:rFonts w:hint="eastAsia" w:ascii="宋体" w:hAnsi="宋体" w:cs="宋体"/>
          <w:sz w:val="24"/>
          <w:highlight w:val="none"/>
        </w:rPr>
        <w:t xml:space="preserve">    项目联系人（询问）：刘工</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项目联系方式（询问）：13758165292</w:t>
      </w:r>
    </w:p>
    <w:p>
      <w:pPr>
        <w:spacing w:line="360" w:lineRule="auto"/>
        <w:rPr>
          <w:rFonts w:ascii="宋体" w:hAnsi="宋体" w:cs="宋体"/>
          <w:sz w:val="24"/>
          <w:highlight w:val="none"/>
        </w:rPr>
      </w:pPr>
      <w:r>
        <w:rPr>
          <w:rFonts w:hint="eastAsia" w:ascii="宋体" w:hAnsi="宋体" w:cs="宋体"/>
          <w:sz w:val="24"/>
          <w:highlight w:val="none"/>
        </w:rPr>
        <w:t xml:space="preserve">    质疑联系人：张工</w:t>
      </w:r>
    </w:p>
    <w:p>
      <w:pPr>
        <w:spacing w:line="360" w:lineRule="auto"/>
        <w:rPr>
          <w:rFonts w:ascii="宋体" w:hAnsi="宋体" w:cs="宋体"/>
          <w:sz w:val="24"/>
          <w:highlight w:val="none"/>
        </w:rPr>
      </w:pPr>
      <w:r>
        <w:rPr>
          <w:rFonts w:hint="eastAsia" w:ascii="宋体" w:hAnsi="宋体" w:cs="宋体"/>
          <w:sz w:val="24"/>
          <w:highlight w:val="none"/>
        </w:rPr>
        <w:t xml:space="preserve">    质疑联系方式：0571-86228610</w:t>
      </w:r>
      <w:bookmarkStart w:id="150" w:name="_GoBack"/>
      <w:bookmarkEnd w:id="150"/>
    </w:p>
    <w:p>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pPr>
        <w:spacing w:line="360" w:lineRule="auto"/>
        <w:ind w:firstLine="480"/>
        <w:rPr>
          <w:rFonts w:hint="eastAsia" w:ascii="宋体" w:hAnsi="宋体" w:cs="宋体"/>
          <w:sz w:val="24"/>
          <w:highlight w:val="none"/>
        </w:rPr>
      </w:pPr>
      <w:r>
        <w:rPr>
          <w:rFonts w:hint="eastAsia" w:ascii="宋体" w:hAnsi="宋体" w:cs="宋体"/>
          <w:sz w:val="24"/>
          <w:highlight w:val="none"/>
        </w:rPr>
        <w:t>联 系 人：朱女士、王女士</w:t>
      </w:r>
    </w:p>
    <w:p>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监督投诉电话：0571-87800218,0571-87227671</w:t>
      </w:r>
    </w:p>
    <w:p>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2"/>
        <w:rPr>
          <w:rFonts w:cs="宋体"/>
          <w:highlight w:val="none"/>
        </w:rPr>
      </w:pPr>
    </w:p>
    <w:p>
      <w:pPr>
        <w:rPr>
          <w:highlight w:val="none"/>
        </w:rPr>
      </w:pPr>
      <w:r>
        <w:rPr>
          <w:highlight w:val="none"/>
        </w:rPr>
        <w:br w:type="page"/>
      </w:r>
    </w:p>
    <w:p>
      <w:pPr>
        <w:rPr>
          <w:highlight w:val="none"/>
        </w:rPr>
      </w:pP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仓前街道自建房安全长效管理机制服务项目（二次）</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p>
            <w:pPr>
              <w:pStyle w:val="5"/>
              <w:keepNext w:val="0"/>
              <w:keepLines w:val="0"/>
              <w:rPr>
                <w:rFonts w:ascii="宋体" w:hAnsi="宋体" w:eastAsia="宋体" w:cs="宋体"/>
                <w:highlight w:val="none"/>
                <w:lang w:val="en-US"/>
              </w:rPr>
            </w:pPr>
            <w:r>
              <w:rPr>
                <w:rFonts w:hint="eastAsia" w:ascii="宋体" w:hAnsi="宋体" w:eastAsia="宋体" w:cs="宋体"/>
                <w:sz w:val="24"/>
                <w:szCs w:val="24"/>
                <w:highlight w:val="none"/>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41185464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49420281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39289326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99239078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39939901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81288184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60716847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9857020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sz w:val="24"/>
                <w:highlight w:val="none"/>
              </w:rPr>
              <w:t>开标一览表（报价表）是报价的唯一载体</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w:t>
            </w:r>
            <w:r>
              <w:rPr>
                <w:rFonts w:hint="eastAsia" w:ascii="宋体" w:hAnsi="宋体" w:eastAsia="宋体" w:cs="宋体"/>
                <w:b/>
                <w:kern w:val="0"/>
                <w:sz w:val="24"/>
                <w:highlight w:val="none"/>
                <w:lang w:val="zh-CN" w:eastAsia="zh-CN"/>
              </w:rPr>
              <w:t>中标</w:t>
            </w:r>
            <w:r>
              <w:rPr>
                <w:rFonts w:hint="eastAsia" w:ascii="宋体" w:hAnsi="宋体" w:eastAsia="宋体" w:cs="宋体"/>
                <w:b/>
                <w:kern w:val="0"/>
                <w:sz w:val="24"/>
                <w:highlight w:val="none"/>
                <w:lang w:val="zh-CN"/>
              </w:rPr>
              <w:t>人承担，不包含在投标总价中。</w:t>
            </w:r>
          </w:p>
          <w:p>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color w:val="auto"/>
                <w:kern w:val="0"/>
                <w:sz w:val="24"/>
                <w:highlight w:val="none"/>
                <w:lang w:val="en-US" w:eastAsia="zh-CN"/>
              </w:rPr>
              <w:t>最高限价：总价</w:t>
            </w:r>
            <w:r>
              <w:rPr>
                <w:rFonts w:hint="eastAsia" w:ascii="宋体" w:hAnsi="宋体" w:cs="宋体"/>
                <w:b/>
                <w:color w:val="auto"/>
                <w:kern w:val="0"/>
                <w:sz w:val="24"/>
                <w:highlight w:val="none"/>
                <w:lang w:val="en-US" w:eastAsia="zh-CN"/>
              </w:rPr>
              <w:t>96</w:t>
            </w:r>
            <w:r>
              <w:rPr>
                <w:rFonts w:hint="eastAsia" w:ascii="宋体" w:hAnsi="宋体" w:eastAsia="宋体" w:cs="宋体"/>
                <w:b/>
                <w:color w:val="auto"/>
                <w:kern w:val="0"/>
                <w:sz w:val="24"/>
                <w:highlight w:val="none"/>
                <w:lang w:val="en-US" w:eastAsia="zh-CN"/>
              </w:rPr>
              <w:t>万元，</w:t>
            </w:r>
            <w:r>
              <w:rPr>
                <w:rFonts w:hint="eastAsia" w:ascii="宋体" w:hAnsi="宋体" w:eastAsia="宋体" w:cs="宋体"/>
                <w:b/>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杭州市临平区北沙西路18号经纬中耀大厦A座1501-2室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ascii="仿宋_GB2312" w:hAnsi="仿宋" w:eastAsia="仿宋_GB2312"/>
                <w:sz w:val="24"/>
                <w:highlight w:val="none"/>
                <w:u w:val="single"/>
              </w:rPr>
              <w:t xml:space="preserve"> </w:t>
            </w:r>
            <w:r>
              <w:rPr>
                <w:rFonts w:hint="eastAsia" w:hAnsi="宋体" w:cs="宋体"/>
                <w:sz w:val="24"/>
                <w:highlight w:val="none"/>
                <w:u w:val="single"/>
              </w:rPr>
              <w:t xml:space="preserve">刘工13758165292   </w:t>
            </w:r>
            <w:r>
              <w:rPr>
                <w:rFonts w:hint="eastAsia" w:hAnsi="宋体" w:cs="宋体"/>
                <w:b/>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▲供应商以联合体形式投标的：在按招标文件要求提供联合协议，联合体投标的联合体各方承担连带责任。</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Arial" w:asciiTheme="minorEastAsia" w:hAnsiTheme="minorEastAsia" w:eastAsiaTheme="minorEastAsia"/>
                <w:kern w:val="0"/>
                <w:sz w:val="24"/>
                <w:highlight w:val="none"/>
              </w:rPr>
            </w:pPr>
            <w:r>
              <w:rPr>
                <w:rFonts w:hint="eastAsia" w:ascii="宋体" w:hAnsi="宋体" w:cs="宋体"/>
                <w:snapToGrid w:val="0"/>
                <w:kern w:val="28"/>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79775726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5899044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采购代理服务费：本项目的采购代理费由中标人支付。</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计费标准：以中标（成交）金额为计费基准，按差额定率累进制计算,具体标准为按国家计价格[2002]1980号文件规定标准执行。费用包含在总报价中，不单独列项报价，投标人应在投标报价中予以考虑。</w:t>
            </w:r>
          </w:p>
          <w:p>
            <w:pPr>
              <w:pStyle w:val="134"/>
              <w:snapToGrid w:val="0"/>
              <w:spacing w:line="360" w:lineRule="exact"/>
              <w:ind w:firstLine="0" w:firstLineChars="0"/>
              <w:rPr>
                <w:rFonts w:ascii="宋体" w:hAnsi="宋体" w:cs="宋体"/>
                <w:snapToGrid w:val="0"/>
                <w:kern w:val="28"/>
                <w:szCs w:val="24"/>
                <w:highlight w:val="none"/>
              </w:rPr>
            </w:pPr>
            <w:r>
              <w:rPr>
                <w:rFonts w:hint="eastAsia" w:ascii="宋体" w:hAnsi="宋体" w:cs="宋体"/>
                <w:snapToGrid w:val="0"/>
                <w:kern w:val="28"/>
                <w:szCs w:val="24"/>
                <w:highlight w:val="none"/>
              </w:rPr>
              <w:t>中标服务费的交纳方式：以转帐或支票的形式支付</w:t>
            </w:r>
          </w:p>
          <w:p>
            <w:pPr>
              <w:pStyle w:val="134"/>
              <w:snapToGrid w:val="0"/>
              <w:spacing w:line="360" w:lineRule="exact"/>
              <w:ind w:firstLine="0" w:firstLineChars="0"/>
              <w:rPr>
                <w:rFonts w:ascii="宋体" w:hAnsi="宋体" w:cs="宋体"/>
                <w:snapToGrid w:val="0"/>
                <w:kern w:val="28"/>
                <w:szCs w:val="24"/>
                <w:highlight w:val="none"/>
              </w:rPr>
            </w:pPr>
            <w:r>
              <w:rPr>
                <w:rFonts w:hint="eastAsia" w:ascii="宋体" w:hAnsi="宋体" w:cs="宋体"/>
                <w:snapToGrid w:val="0"/>
                <w:kern w:val="28"/>
                <w:szCs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其他</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 三份（正本一份，副本二份）并提供电子投标文件与纸质投标文件内容一致承诺书三份。</w:t>
            </w:r>
          </w:p>
        </w:tc>
      </w:tr>
      <w:bookmarkEnd w:id="10"/>
    </w:tbl>
    <w:p>
      <w:pPr>
        <w:rPr>
          <w:rFonts w:hint="eastAsia"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keepNext w:val="0"/>
        <w:keepLines w:val="0"/>
        <w:adjustRightInd w:val="0"/>
        <w:ind w:left="0" w:firstLine="480" w:firstLineChars="200"/>
        <w:rPr>
          <w:highlight w:val="none"/>
        </w:rPr>
      </w:pPr>
      <w:r>
        <w:rPr>
          <w:rFonts w:hint="eastAsia" w:ascii="宋体" w:hAnsi="宋体" w:eastAsia="宋体" w:cs="仿宋"/>
          <w:b w:val="0"/>
          <w:bCs w:val="0"/>
          <w:sz w:val="24"/>
          <w:szCs w:val="24"/>
          <w:highlight w:val="none"/>
          <w:lang w:val="en-US"/>
        </w:rPr>
        <w:t>3.4.3 采购人应当贯彻落实知识产权保护相关法律法规，应当采购使用正版软件。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仿宋"/>
          <w:sz w:val="24"/>
          <w:highlight w:val="none"/>
        </w:rPr>
        <w:t>、补偿救济</w:t>
      </w:r>
    </w:p>
    <w:p>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widowControl w:val="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90"/>
        <w:widowControl w:val="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890"/>
        <w:widowControl w:val="0"/>
        <w:shd w:val="clear" w:color="auto" w:fill="FFFFFF"/>
        <w:snapToGrid w:val="0"/>
        <w:spacing w:after="240" w:afterAutospacing="0" w:line="360" w:lineRule="auto"/>
        <w:ind w:firstLine="4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4.5 补偿救济</w:t>
      </w:r>
    </w:p>
    <w:p>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投诉书范本及制作说明详见附件3。</w:t>
      </w:r>
    </w:p>
    <w:p>
      <w:pPr>
        <w:pStyle w:val="134"/>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autoSpaceDE/>
        <w:autoSpaceDN/>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7"/>
        <w:widowControl w:val="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pStyle w:val="5"/>
        <w:keepNext w:val="0"/>
        <w:keepLines w:val="0"/>
        <w:adjustRightInd w:val="0"/>
        <w:ind w:left="0" w:firstLine="960" w:firstLineChars="400"/>
        <w:rPr>
          <w:rFonts w:ascii="宋体" w:hAnsi="宋体" w:cs="宋体"/>
          <w:sz w:val="24"/>
          <w:highlight w:val="none"/>
        </w:rPr>
      </w:pPr>
      <w:r>
        <w:rPr>
          <w:rFonts w:hint="eastAsia" w:ascii="宋体" w:hAnsi="宋体" w:eastAsia="宋体" w:cs="宋体"/>
          <w:b w:val="0"/>
          <w:bCs w:val="0"/>
          <w:sz w:val="24"/>
          <w:szCs w:val="24"/>
          <w:highlight w:val="none"/>
          <w:lang w:val="en-US"/>
        </w:rPr>
        <w:t>11.3.2 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w:t>
      </w:r>
    </w:p>
    <w:p>
      <w:pPr>
        <w:pStyle w:val="134"/>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highlight w:val="none"/>
        </w:rPr>
      </w:pPr>
    </w:p>
    <w:p>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8"/>
        <w:autoSpaceDE/>
        <w:autoSpaceDN/>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8"/>
        <w:autoSpaceDE/>
        <w:autoSpaceDN/>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pPr>
        <w:pStyle w:val="558"/>
        <w:autoSpaceDE/>
        <w:autoSpaceDN/>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autoSpaceDE/>
        <w:autoSpaceDN/>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4"/>
        <w:snapToGrid w:val="0"/>
        <w:spacing w:before="0"/>
        <w:ind w:firstLine="480"/>
        <w:rPr>
          <w:rFonts w:ascii="宋体" w:hAnsi="宋体" w:cs="宋体"/>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r>
        <w:rPr>
          <w:rFonts w:hint="eastAsia" w:ascii="宋体" w:hAnsi="宋体" w:cs="宋体"/>
          <w:highlight w:val="none"/>
        </w:rPr>
        <w:br w:type="textWrapping"/>
      </w: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r>
        <w:rPr>
          <w:rFonts w:hint="eastAsia" w:ascii="宋体" w:hAnsi="宋体" w:cs="宋体"/>
          <w:b/>
          <w:sz w:val="24"/>
          <w:highlight w:val="none"/>
        </w:rPr>
        <w:br w:type="textWrapping"/>
      </w: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
        <w:spacing w:line="360" w:lineRule="auto"/>
        <w:ind w:left="479" w:hanging="479" w:hangingChars="199"/>
        <w:rPr>
          <w:rFonts w:cs="宋体"/>
          <w:b/>
          <w:highlight w:val="none"/>
        </w:rPr>
      </w:pPr>
      <w:r>
        <w:rPr>
          <w:rFonts w:hint="eastAsia" w:cs="宋体"/>
          <w:b/>
          <w:highlight w:val="none"/>
        </w:rPr>
        <w:t>22. 确定中标供应商</w:t>
      </w:r>
    </w:p>
    <w:p>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pPr>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pStyle w:val="134"/>
        <w:snapToGrid w:val="0"/>
        <w:spacing w:before="0"/>
        <w:ind w:firstLine="482"/>
        <w:rPr>
          <w:rStyle w:val="78"/>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r>
        <w:rPr>
          <w:rFonts w:hint="eastAsia" w:ascii="宋体" w:hAnsi="宋体" w:cs="宋体"/>
          <w:bCs/>
          <w:szCs w:val="24"/>
          <w:highlight w:val="none"/>
        </w:rPr>
        <w:br w:type="textWrapping"/>
      </w: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
        <w:spacing w:line="360" w:lineRule="auto"/>
        <w:ind w:left="479" w:hanging="479" w:hangingChars="199"/>
        <w:rPr>
          <w:rFonts w:cs="宋体"/>
          <w:b/>
          <w:highlight w:val="none"/>
        </w:rPr>
      </w:pPr>
      <w:r>
        <w:rPr>
          <w:rFonts w:hint="eastAsia" w:cs="宋体"/>
          <w:b/>
          <w:highlight w:val="none"/>
        </w:rPr>
        <w:t>25. 合同的签订</w:t>
      </w:r>
    </w:p>
    <w:p>
      <w:pPr>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5"/>
        <w:keepNext w:val="0"/>
        <w:keepLines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keepNext w:val="0"/>
        <w:keepLines w:val="0"/>
        <w:rPr>
          <w:highlight w:val="none"/>
        </w:rPr>
      </w:pPr>
      <w:r>
        <w:rPr>
          <w:rFonts w:ascii="宋体" w:hAnsi="宋体" w:eastAsia="宋体"/>
          <w:sz w:val="24"/>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4"/>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rPr>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keepNext w:val="0"/>
        <w:keepLines w:val="0"/>
        <w:adjustRightInd w:val="0"/>
        <w:snapToGrid w:val="0"/>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4"/>
        <w:rPr>
          <w:highlight w:val="none"/>
        </w:rPr>
      </w:pPr>
    </w:p>
    <w:p>
      <w:pPr>
        <w:rPr>
          <w:rFonts w:hint="eastAsia" w:ascii="宋体" w:hAnsi="宋体" w:cs="宋体"/>
          <w:b/>
          <w:sz w:val="36"/>
          <w:szCs w:val="36"/>
          <w:highlight w:val="none"/>
        </w:rPr>
      </w:pPr>
      <w:bookmarkStart w:id="15" w:name="_Hlt74730295"/>
      <w:bookmarkEnd w:id="15"/>
      <w:bookmarkStart w:id="16" w:name="_Hlt75236290"/>
      <w:bookmarkEnd w:id="16"/>
      <w:bookmarkStart w:id="17" w:name="_Hlt68057669"/>
      <w:bookmarkEnd w:id="17"/>
      <w:bookmarkStart w:id="18" w:name="_Hlt75236011"/>
      <w:bookmarkEnd w:id="18"/>
      <w:bookmarkStart w:id="19" w:name="_Hlt74707468"/>
      <w:bookmarkEnd w:id="19"/>
      <w:bookmarkStart w:id="20" w:name="_Hlt68403820"/>
      <w:bookmarkEnd w:id="20"/>
      <w:bookmarkStart w:id="21" w:name="_Hlt74729768"/>
      <w:bookmarkEnd w:id="21"/>
      <w:bookmarkStart w:id="22" w:name="_Hlt74714665"/>
      <w:bookmarkEnd w:id="22"/>
      <w:bookmarkStart w:id="23" w:name="_Hlt68073093"/>
      <w:bookmarkEnd w:id="23"/>
      <w:bookmarkStart w:id="24" w:name="_Hlt68072990"/>
      <w:bookmarkEnd w:id="24"/>
      <w:bookmarkStart w:id="25" w:name="_Hlt68072998"/>
      <w:bookmarkEnd w:id="25"/>
      <w:bookmarkStart w:id="26" w:name="_Hlt75236101"/>
      <w:bookmarkEnd w:id="26"/>
      <w:r>
        <w:rPr>
          <w:rFonts w:hint="eastAsia" w:ascii="宋体" w:hAnsi="宋体" w:cs="宋体"/>
          <w:b/>
          <w:sz w:val="36"/>
          <w:szCs w:val="36"/>
          <w:highlight w:val="none"/>
        </w:rPr>
        <w:br w:type="page"/>
      </w:r>
    </w:p>
    <w:p>
      <w:pPr>
        <w:spacing w:line="360" w:lineRule="auto"/>
        <w:jc w:val="center"/>
        <w:outlineLvl w:val="0"/>
        <w:rPr>
          <w:rFonts w:ascii="宋体" w:hAnsi="宋体" w:cs="宋体"/>
          <w:b/>
          <w:bCs/>
          <w:sz w:val="24"/>
          <w:highlight w:val="none"/>
        </w:rPr>
      </w:pPr>
      <w:r>
        <w:rPr>
          <w:rFonts w:hint="eastAsia" w:ascii="宋体" w:hAnsi="宋体" w:cs="宋体"/>
          <w:b/>
          <w:sz w:val="36"/>
          <w:szCs w:val="36"/>
          <w:highlight w:val="none"/>
        </w:rPr>
        <w:t>第三部分   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根据余危改办〔2024〕2号文件要求需对辖区内重点房屋进行巡查体检；对老旧房屋、经营性房屋进行评估鉴定；对经营性房屋进行挂牌公示。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预计鉴定服务数量：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序号</w:t>
            </w: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类别</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任务需求</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数量（户）</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最高限价（元）</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1</w:t>
            </w: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经营性自建房</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简易鉴定报告</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4029</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150</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2</w:t>
            </w: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经营性自建房公示牌</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公示牌制作及挂牌上墙</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4029</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60</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3</w:t>
            </w: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老旧房屋</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安全评估报告</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509</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150</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4</w:t>
            </w:r>
          </w:p>
        </w:tc>
        <w:tc>
          <w:tcPr>
            <w:tcW w:w="15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重点房屋</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房屋日常巡查</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407</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80</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u w:val="none"/>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最终费用以中标单价结合实际数量进行结算，如最终总费用超过招标投资额，则按招标投资额费用结算。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1、本项目拟派驻人员必须具备</w:t>
      </w:r>
      <w:r>
        <w:rPr>
          <w:rFonts w:hint="eastAsia"/>
          <w:highlight w:val="none"/>
          <w:lang w:val="en-US" w:eastAsia="zh-CN"/>
        </w:rPr>
        <w:t>具备相应的鉴定资格且不得少于</w:t>
      </w:r>
      <w:r>
        <w:rPr>
          <w:rFonts w:hint="eastAsia" w:ascii="宋体" w:hAnsi="宋体" w:eastAsia="宋体" w:cs="宋体"/>
          <w:color w:val="auto"/>
          <w:sz w:val="24"/>
          <w:szCs w:val="24"/>
          <w:highlight w:val="none"/>
          <w:u w:val="none"/>
          <w:lang w:val="en-US" w:eastAsia="zh-CN"/>
        </w:rPr>
        <w:t>11人，其中要求配备项目负责人1人，派驻人员由投标人合理安排。中标后，项目派驻人员不能随意替换，如有特殊原因确需替换的，应征得采购人同意，且替换人员应有同等专业资质和职称。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2、鉴定、检测内容：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（1）综合评定原则。以整幢房屋的现有状态为基础，结合施工对房屋的影响，对房屋状态的变化、安全状况及其发展趋势进行全面分析与综合评定。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（2）时点和时效原则。鉴定结论应是现场调查时点房屋实际状况的反映，鉴定报告应具有一定的时效性。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3、现场鉴定方法及过程：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（1）、实用鉴定法：是指依赖专业组通过全面调查，结合观测和房屋检测结果，综合分析评估，根据现行相关标准，对房屋的完损状况、安全状况、影响程度进行鉴定的方法。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（2）、后续服务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必要时根据</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要求，须参加</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lang w:val="en-US" w:eastAsia="zh-CN"/>
        </w:rPr>
        <w:t>组织的专家会或协调会，并负责对鉴定情况向有关部门或当地居民作必要的解释与说明。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（3）服务期：本次招标的工期见投标须知前附表6项所述。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4、鉴定、检测依据：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4.1、行标《危险房屋鉴定标准》JGJ125-2016；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4.2、部颁《房屋完损等级评定标准》；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4.3、《建筑变形测量规范》JGJ 8-2016；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5、投标人资格要求见前附表8项所述。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6、投标费用投标人应承担其编制投标文件与递交投标文件所涉及的一切费用。不论投标结果如何，招标人在任何情况下无义务也无责任承担这些费用。</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三、汇交成果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1、对鉴定后提供的鉴定报告，要求一式三份。</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四、时间节点要求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服务期60</w:t>
      </w:r>
      <w:r>
        <w:rPr>
          <w:rFonts w:hint="eastAsia" w:ascii="宋体" w:hAnsi="宋体" w:cs="宋体"/>
          <w:color w:val="auto"/>
          <w:kern w:val="0"/>
          <w:sz w:val="24"/>
          <w:szCs w:val="24"/>
          <w:highlight w:val="none"/>
          <w:lang w:val="en-US" w:eastAsia="zh-CN" w:bidi="ar-SA"/>
        </w:rPr>
        <w:t>日历</w:t>
      </w:r>
      <w:r>
        <w:rPr>
          <w:rFonts w:hint="eastAsia" w:ascii="宋体" w:hAnsi="宋体" w:eastAsia="宋体" w:cs="宋体"/>
          <w:color w:val="auto"/>
          <w:kern w:val="0"/>
          <w:sz w:val="24"/>
          <w:szCs w:val="24"/>
          <w:highlight w:val="none"/>
          <w:lang w:val="en-US" w:eastAsia="zh-CN" w:bidi="ar-SA"/>
        </w:rPr>
        <w:t>天，具体根据</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要求时间前提交方案，形成成果汇交。具体完成时间以及后续修改均以</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要求为准。如需延迟，乙方需说明原因，征得</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同意。</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合同签订后采购人向中标供应商支付预算总价的50%预付款，在规定时间内提交全部项目成果，采购人验收通过后，由采购人支付剩余款项。</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六、售后服务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1.售后服务期：自中标方提交项目城镇房屋调查登记工作成果后到202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年年底前为售后服务期，服务期内的服务均为免费上门服务。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2.在项目上报中发现城镇房屋调查登记工作成果有遗漏需要补充的（包括上报市、省、国家），中标方应提供的免费服务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3.提供相关咨询服务。</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七、违约责任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1.中标方提供的服务质量必须达到采购要求，服务未达到的相关要求，中标方必须无偿返工直至符合质量要求，并承担返工所发生的一切费用和采购方的直接经济损失；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无正当理由拒收接受服务的，</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向</w:t>
      </w:r>
      <w:r>
        <w:rPr>
          <w:rFonts w:hint="eastAsia" w:ascii="宋体" w:hAnsi="宋体" w:cs="宋体"/>
          <w:color w:val="auto"/>
          <w:kern w:val="0"/>
          <w:sz w:val="24"/>
          <w:szCs w:val="24"/>
          <w:highlight w:val="none"/>
          <w:lang w:val="en-US" w:eastAsia="zh-CN" w:bidi="ar-SA"/>
        </w:rPr>
        <w:t>中标方</w:t>
      </w:r>
      <w:r>
        <w:rPr>
          <w:rFonts w:hint="eastAsia" w:ascii="宋体" w:hAnsi="宋体" w:eastAsia="宋体" w:cs="宋体"/>
          <w:color w:val="auto"/>
          <w:kern w:val="0"/>
          <w:sz w:val="24"/>
          <w:szCs w:val="24"/>
          <w:highlight w:val="none"/>
          <w:lang w:val="en-US" w:eastAsia="zh-CN" w:bidi="ar-SA"/>
        </w:rPr>
        <w:t>偿付合同款项百分之五作为违约金。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szCs w:val="24"/>
          <w:highlight w:val="none"/>
          <w:lang w:val="en-US" w:eastAsia="zh-CN" w:bidi="ar-SA"/>
        </w:rPr>
        <w:t>中标方</w:t>
      </w:r>
      <w:r>
        <w:rPr>
          <w:rFonts w:hint="eastAsia" w:ascii="宋体" w:hAnsi="宋体" w:eastAsia="宋体" w:cs="宋体"/>
          <w:color w:val="auto"/>
          <w:kern w:val="0"/>
          <w:sz w:val="24"/>
          <w:szCs w:val="24"/>
          <w:highlight w:val="none"/>
          <w:lang w:val="en-US" w:eastAsia="zh-CN" w:bidi="ar-SA"/>
        </w:rPr>
        <w:t>未能如期提供服务的，每日向</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支付合同款项的千分之六作为违约金。</w:t>
      </w:r>
      <w:r>
        <w:rPr>
          <w:rFonts w:hint="eastAsia" w:ascii="宋体" w:hAnsi="宋体" w:cs="宋体"/>
          <w:color w:val="auto"/>
          <w:kern w:val="0"/>
          <w:sz w:val="24"/>
          <w:szCs w:val="24"/>
          <w:highlight w:val="none"/>
          <w:lang w:val="en-US" w:eastAsia="zh-CN" w:bidi="ar-SA"/>
        </w:rPr>
        <w:t>中标方</w:t>
      </w:r>
      <w:r>
        <w:rPr>
          <w:rFonts w:hint="eastAsia" w:ascii="宋体" w:hAnsi="宋体" w:eastAsia="宋体" w:cs="宋体"/>
          <w:color w:val="auto"/>
          <w:kern w:val="0"/>
          <w:sz w:val="24"/>
          <w:szCs w:val="24"/>
          <w:highlight w:val="none"/>
          <w:lang w:val="en-US" w:eastAsia="zh-CN" w:bidi="ar-SA"/>
        </w:rPr>
        <w:t>超过约定日期10个工作日仍不能提供服务的，</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可解除本合同。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4.除不可抗力外，如中标方发生不能按期完成服务或供货任务，或采购方发生中途变更等情况，应及时以书面形式通知对方。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八、保密要求</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标人须承担与此有关的技术情报和数据资料的保密责任。中标方需遵守保密义务，监测结果仅告知委托方，由委托方进行数据的上报和公开。本项目有关的资料及数据成果中涉及国家秘密的内容，均要求按照《国家保密法》及相关法律法规执行。</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九、采购人认为必须说明的其他内容</w:t>
      </w:r>
    </w:p>
    <w:p>
      <w:pPr>
        <w:keepNext w:val="0"/>
        <w:keepLines w:val="0"/>
        <w:pageBreakBefore w:val="0"/>
        <w:widowControl/>
        <w:kinsoku/>
        <w:wordWrap/>
        <w:overflowPunct/>
        <w:topLinePunct w:val="0"/>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keepNext w:val="0"/>
        <w:keepLines w:val="0"/>
        <w:pageBreakBefore w:val="0"/>
        <w:widowControl/>
        <w:kinsoku/>
        <w:wordWrap/>
        <w:overflowPunct/>
        <w:topLinePunct w:val="0"/>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2、投标价格应包括所有应支付的对专利权、版权、设计或其他因知识产权而需要向其他方支付的税费。</w:t>
      </w:r>
    </w:p>
    <w:p>
      <w:pPr>
        <w:pStyle w:val="968"/>
        <w:keepNext w:val="0"/>
        <w:keepLines w:val="0"/>
        <w:pageBreakBefore w:val="0"/>
        <w:numPr>
          <w:ilvl w:val="255"/>
          <w:numId w:val="0"/>
        </w:numPr>
        <w:tabs>
          <w:tab w:val="left" w:pos="312"/>
        </w:tabs>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47" w:left="1418" w:header="851" w:footer="992" w:gutter="0"/>
          <w:cols w:space="720" w:num="1"/>
          <w:titlePg/>
          <w:docGrid w:linePitch="312" w:charSpace="0"/>
        </w:sectPr>
      </w:pPr>
      <w:r>
        <w:rPr>
          <w:rFonts w:hint="eastAsia" w:ascii="宋体" w:hAnsi="宋体" w:eastAsia="宋体" w:cs="宋体"/>
          <w:bCs/>
          <w:color w:val="auto"/>
          <w:kern w:val="2"/>
          <w:sz w:val="24"/>
          <w:szCs w:val="24"/>
          <w:highlight w:val="none"/>
          <w:lang w:val="en-US" w:eastAsia="zh-CN"/>
        </w:rPr>
        <w:t>3、中标单位不得以任何形式将本项目转包给其他单位，否则招标单位有权终止合同，所发生的一切损失均由中标单位承担</w:t>
      </w:r>
      <w:r>
        <w:rPr>
          <w:rFonts w:hint="eastAsia" w:ascii="宋体" w:hAnsi="宋体" w:eastAsia="宋体" w:cs="宋体"/>
          <w:sz w:val="21"/>
          <w:szCs w:val="21"/>
          <w:highlight w:val="none"/>
        </w:rPr>
        <w:t>。</w:t>
      </w: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   评标办法</w:t>
      </w:r>
    </w:p>
    <w:p>
      <w:pPr>
        <w:snapToGrid w:val="0"/>
        <w:spacing w:line="360" w:lineRule="auto"/>
        <w:jc w:val="center"/>
        <w:rPr>
          <w:rFonts w:ascii="宋体" w:hAnsi="宋体" w:cs="宋体"/>
          <w:bCs/>
          <w:highlight w:val="none"/>
        </w:rPr>
      </w:pPr>
      <w:r>
        <w:rPr>
          <w:rFonts w:hint="eastAsia" w:ascii="宋体" w:hAnsi="宋体" w:cs="宋体"/>
          <w:b/>
          <w:sz w:val="32"/>
          <w:szCs w:val="20"/>
          <w:highlight w:val="none"/>
        </w:rPr>
        <w:t>评标办法前附表</w:t>
      </w:r>
      <w:r>
        <w:rPr>
          <w:rFonts w:hint="eastAsia" w:asciiTheme="majorEastAsia" w:hAnsiTheme="majorEastAsia" w:eastAsiaTheme="majorEastAsia" w:cstheme="majorEastAsia"/>
          <w:bCs/>
          <w:sz w:val="24"/>
          <w:highlight w:val="none"/>
        </w:rPr>
        <w:t xml:space="preserve">   </w:t>
      </w:r>
    </w:p>
    <w:bookmarkEnd w:id="11"/>
    <w:bookmarkEnd w:id="12"/>
    <w:bookmarkEnd w:id="13"/>
    <w:p>
      <w:pPr>
        <w:rPr>
          <w:highlight w:val="none"/>
        </w:rPr>
      </w:pPr>
      <w:bookmarkStart w:id="27" w:name="第四部分"/>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70"/>
        <w:gridCol w:w="6807"/>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类目</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评分因素</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资信商务部分</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企业实力</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具有有效的质量管理体系、环境认证体系、职业健康体系</w:t>
            </w:r>
            <w:r>
              <w:rPr>
                <w:rFonts w:hint="eastAsia" w:ascii="宋体" w:hAnsi="宋体" w:eastAsia="宋体" w:cs="宋体"/>
                <w:color w:val="auto"/>
                <w:sz w:val="22"/>
                <w:szCs w:val="22"/>
                <w:highlight w:val="none"/>
                <w:lang w:eastAsia="zh-CN"/>
              </w:rPr>
              <w:t>、信息安全管理体系认证</w:t>
            </w:r>
            <w:r>
              <w:rPr>
                <w:rFonts w:hint="eastAsia" w:ascii="宋体" w:hAnsi="宋体" w:eastAsia="宋体" w:cs="宋体"/>
                <w:color w:val="auto"/>
                <w:sz w:val="22"/>
                <w:szCs w:val="22"/>
                <w:highlight w:val="none"/>
              </w:rPr>
              <w:t>证书的每项得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有效证明材料：须提供证书</w:t>
            </w:r>
            <w:r>
              <w:rPr>
                <w:rFonts w:hint="eastAsia" w:ascii="宋体" w:hAnsi="宋体" w:eastAsia="宋体" w:cs="宋体"/>
                <w:color w:val="auto"/>
                <w:sz w:val="22"/>
                <w:szCs w:val="22"/>
                <w:highlight w:val="none"/>
                <w:lang w:val="en-US" w:eastAsia="zh-CN"/>
              </w:rPr>
              <w:t>复印件</w:t>
            </w:r>
            <w:r>
              <w:rPr>
                <w:rFonts w:hint="eastAsia" w:ascii="宋体" w:hAnsi="宋体" w:eastAsia="宋体" w:cs="宋体"/>
                <w:color w:val="auto"/>
                <w:sz w:val="22"/>
                <w:szCs w:val="22"/>
                <w:highlight w:val="none"/>
              </w:rPr>
              <w:t>及查询截图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国家市场监督管理总局全国认证认可信息公共服务平台（http://cx.cnca.cn/CertECloud/result/skipResultList）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加盖</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sz w:val="24"/>
                <w:szCs w:val="24"/>
                <w:highlight w:val="none"/>
                <w:lang w:val="en-US" w:eastAsia="zh-CN"/>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企业业绩</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投标人自2021年1月1日（含）（以合同签订时间为准）以来，承担过类似业绩的每个得0.5分，最高得1分。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kern w:val="2"/>
                <w:sz w:val="22"/>
                <w:szCs w:val="22"/>
                <w:highlight w:val="none"/>
                <w:lang w:val="en-US" w:eastAsia="zh-CN" w:bidi="ar-SA"/>
              </w:rPr>
            </w:pPr>
            <w:r>
              <w:rPr>
                <w:rFonts w:hint="eastAsia" w:ascii="宋体" w:hAnsi="宋体" w:eastAsia="宋体" w:cs="宋体"/>
                <w:color w:val="auto"/>
                <w:sz w:val="22"/>
                <w:szCs w:val="22"/>
                <w:highlight w:val="none"/>
              </w:rPr>
              <w:t>有效证明材料：</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复印件或扫描件加盖</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公章</w:t>
            </w:r>
            <w:r>
              <w:rPr>
                <w:rFonts w:hint="eastAsia" w:ascii="宋体" w:hAnsi="宋体" w:eastAsia="宋体" w:cs="宋体"/>
                <w:color w:val="auto"/>
                <w:sz w:val="22"/>
                <w:szCs w:val="22"/>
                <w:highlight w:val="none"/>
                <w:lang w:eastAsia="zh-CN"/>
              </w:rPr>
              <w:t>。</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sz w:val="24"/>
                <w:szCs w:val="24"/>
                <w:highlight w:val="none"/>
                <w:lang w:val="en-US" w:eastAsia="zh-CN"/>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项目负责人</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项目负责人</w:t>
            </w:r>
            <w:r>
              <w:rPr>
                <w:rFonts w:hint="eastAsia" w:ascii="宋体" w:hAnsi="宋体" w:eastAsia="宋体" w:cs="宋体"/>
                <w:color w:val="auto"/>
                <w:sz w:val="22"/>
                <w:szCs w:val="22"/>
                <w:highlight w:val="none"/>
                <w:lang w:val="en-US" w:eastAsia="zh-CN"/>
              </w:rPr>
              <w:t>同时具有</w:t>
            </w:r>
            <w:r>
              <w:rPr>
                <w:rFonts w:hint="eastAsia" w:ascii="宋体" w:hAnsi="宋体" w:eastAsia="宋体" w:cs="宋体"/>
                <w:color w:val="auto"/>
                <w:sz w:val="22"/>
                <w:szCs w:val="22"/>
                <w:highlight w:val="none"/>
              </w:rPr>
              <w:t>高级工程师</w:t>
            </w:r>
            <w:r>
              <w:rPr>
                <w:rFonts w:hint="eastAsia" w:ascii="宋体" w:hAnsi="宋体" w:eastAsia="宋体" w:cs="宋体"/>
                <w:color w:val="auto"/>
                <w:sz w:val="22"/>
                <w:szCs w:val="22"/>
                <w:highlight w:val="none"/>
                <w:lang w:val="en-US" w:eastAsia="zh-CN"/>
              </w:rPr>
              <w:t>及以上</w:t>
            </w:r>
            <w:r>
              <w:rPr>
                <w:rFonts w:hint="eastAsia" w:ascii="宋体" w:hAnsi="宋体" w:eastAsia="宋体" w:cs="宋体"/>
                <w:color w:val="auto"/>
                <w:sz w:val="22"/>
                <w:szCs w:val="22"/>
                <w:highlight w:val="none"/>
              </w:rPr>
              <w:t>职称</w:t>
            </w:r>
            <w:r>
              <w:rPr>
                <w:rFonts w:hint="eastAsia" w:ascii="宋体" w:hAnsi="宋体" w:eastAsia="宋体" w:cs="宋体"/>
                <w:color w:val="auto"/>
                <w:sz w:val="22"/>
                <w:szCs w:val="22"/>
                <w:highlight w:val="none"/>
                <w:lang w:val="en-US" w:eastAsia="zh-CN"/>
              </w:rPr>
              <w:t>证书、</w:t>
            </w:r>
            <w:r>
              <w:rPr>
                <w:rFonts w:hint="eastAsia" w:ascii="宋体" w:hAnsi="宋体" w:eastAsia="宋体" w:cs="宋体"/>
                <w:color w:val="auto"/>
                <w:sz w:val="22"/>
                <w:szCs w:val="22"/>
                <w:highlight w:val="none"/>
              </w:rPr>
              <w:t>注册岩土执业资格证书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一级注册结构执业资格证书</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省级及以上工程建设质量管理协会颁发的主体结构工程现场检测</w:t>
            </w:r>
            <w:r>
              <w:rPr>
                <w:rFonts w:hint="eastAsia" w:ascii="宋体" w:hAnsi="宋体" w:eastAsia="宋体" w:cs="宋体"/>
                <w:color w:val="auto"/>
                <w:sz w:val="22"/>
                <w:szCs w:val="22"/>
                <w:highlight w:val="none"/>
                <w:lang w:eastAsia="zh-CN"/>
              </w:rPr>
              <w:t>培训合格证书</w:t>
            </w:r>
            <w:r>
              <w:rPr>
                <w:rFonts w:hint="eastAsia" w:ascii="宋体" w:hAnsi="宋体" w:eastAsia="宋体" w:cs="宋体"/>
                <w:color w:val="auto"/>
                <w:sz w:val="22"/>
                <w:szCs w:val="22"/>
                <w:highlight w:val="none"/>
                <w:lang w:val="en-US" w:eastAsia="zh-CN"/>
              </w:rPr>
              <w:t>的得6分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缺一不得分。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有效证明材料：以上人员均须提供相关证书复印件并加盖供应商公章及</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截止时间起前3个月中任一个月的社保证明，否则不得分。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技术负责人</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技术负责人同时具有建筑</w:t>
            </w:r>
            <w:r>
              <w:rPr>
                <w:rFonts w:hint="eastAsia" w:ascii="宋体" w:hAnsi="宋体" w:cs="宋体"/>
                <w:color w:val="auto"/>
                <w:sz w:val="22"/>
                <w:szCs w:val="22"/>
                <w:highlight w:val="none"/>
                <w:lang w:val="en-US" w:eastAsia="zh-CN"/>
              </w:rPr>
              <w:t>相关</w:t>
            </w:r>
            <w:r>
              <w:rPr>
                <w:rFonts w:hint="eastAsia" w:ascii="宋体" w:hAnsi="宋体" w:eastAsia="宋体" w:cs="宋体"/>
                <w:color w:val="auto"/>
                <w:sz w:val="22"/>
                <w:szCs w:val="22"/>
                <w:highlight w:val="none"/>
                <w:lang w:val="en-US" w:eastAsia="zh-CN"/>
              </w:rPr>
              <w:t>专业</w:t>
            </w:r>
            <w:r>
              <w:rPr>
                <w:rFonts w:hint="eastAsia" w:ascii="宋体" w:hAnsi="宋体" w:eastAsia="宋体" w:cs="宋体"/>
                <w:color w:val="auto"/>
                <w:sz w:val="22"/>
                <w:szCs w:val="22"/>
                <w:highlight w:val="none"/>
              </w:rPr>
              <w:t>高级工程师及以上</w:t>
            </w:r>
            <w:r>
              <w:rPr>
                <w:rFonts w:hint="eastAsia" w:ascii="宋体" w:hAnsi="宋体" w:eastAsia="宋体" w:cs="宋体"/>
                <w:color w:val="auto"/>
                <w:sz w:val="22"/>
                <w:szCs w:val="22"/>
                <w:highlight w:val="none"/>
                <w:lang w:val="en-US" w:eastAsia="zh-CN"/>
              </w:rPr>
              <w:t>职称证书、</w:t>
            </w:r>
            <w:r>
              <w:rPr>
                <w:rFonts w:hint="eastAsia" w:ascii="宋体" w:hAnsi="宋体" w:eastAsia="宋体" w:cs="宋体"/>
                <w:color w:val="auto"/>
                <w:sz w:val="22"/>
                <w:szCs w:val="22"/>
                <w:highlight w:val="none"/>
              </w:rPr>
              <w:t>省级及以上工程建设质量管理协会颁发的主体结构工程现场检测</w:t>
            </w:r>
            <w:r>
              <w:rPr>
                <w:rFonts w:hint="eastAsia" w:ascii="宋体" w:hAnsi="宋体" w:eastAsia="宋体" w:cs="宋体"/>
                <w:color w:val="auto"/>
                <w:sz w:val="22"/>
                <w:szCs w:val="22"/>
                <w:highlight w:val="none"/>
                <w:lang w:eastAsia="zh-CN"/>
              </w:rPr>
              <w:t>培训合格证书</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有效证明材料：以上人员均须提供相关证书复印件并加盖供应商公章及</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截止时间起前3个月中任一个月的社保证明，否则不得分。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检测人员</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①检测人员同时具有</w:t>
            </w:r>
            <w:r>
              <w:rPr>
                <w:rFonts w:hint="eastAsia" w:ascii="宋体" w:hAnsi="宋体" w:eastAsia="宋体" w:cs="宋体"/>
                <w:color w:val="auto"/>
                <w:sz w:val="22"/>
                <w:szCs w:val="22"/>
                <w:highlight w:val="none"/>
              </w:rPr>
              <w:t>高级工程师及以上</w:t>
            </w:r>
            <w:r>
              <w:rPr>
                <w:rFonts w:hint="eastAsia" w:ascii="宋体" w:hAnsi="宋体" w:eastAsia="宋体" w:cs="宋体"/>
                <w:color w:val="auto"/>
                <w:sz w:val="22"/>
                <w:szCs w:val="22"/>
                <w:highlight w:val="none"/>
                <w:lang w:val="en-US" w:eastAsia="zh-CN"/>
              </w:rPr>
              <w:t>职称证书、</w:t>
            </w:r>
            <w:r>
              <w:rPr>
                <w:rFonts w:hint="eastAsia" w:ascii="宋体" w:hAnsi="宋体" w:eastAsia="宋体" w:cs="宋体"/>
                <w:color w:val="auto"/>
                <w:sz w:val="22"/>
                <w:szCs w:val="22"/>
                <w:highlight w:val="none"/>
              </w:rPr>
              <w:t>省级及以上工程建设质量管理协会颁发的主体结构工程现场检测</w:t>
            </w:r>
            <w:r>
              <w:rPr>
                <w:rFonts w:hint="eastAsia" w:ascii="宋体" w:hAnsi="宋体" w:eastAsia="宋体" w:cs="宋体"/>
                <w:color w:val="auto"/>
                <w:sz w:val="22"/>
                <w:szCs w:val="22"/>
                <w:highlight w:val="none"/>
                <w:lang w:eastAsia="zh-CN"/>
              </w:rPr>
              <w:t>培训合格证书</w:t>
            </w:r>
            <w:r>
              <w:rPr>
                <w:rFonts w:hint="eastAsia" w:ascii="宋体" w:hAnsi="宋体" w:eastAsia="宋体" w:cs="宋体"/>
                <w:color w:val="auto"/>
                <w:sz w:val="22"/>
                <w:szCs w:val="22"/>
                <w:highlight w:val="none"/>
                <w:lang w:val="en-US" w:eastAsia="zh-CN"/>
              </w:rPr>
              <w:t>的每个</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最高得6分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②检测人员同时</w:t>
            </w:r>
            <w:r>
              <w:rPr>
                <w:rFonts w:hint="eastAsia" w:ascii="宋体" w:hAnsi="宋体" w:eastAsia="宋体" w:cs="宋体"/>
                <w:color w:val="auto"/>
                <w:sz w:val="22"/>
                <w:szCs w:val="22"/>
                <w:highlight w:val="none"/>
              </w:rPr>
              <w:t>具有工程师</w:t>
            </w:r>
            <w:r>
              <w:rPr>
                <w:rFonts w:hint="eastAsia" w:ascii="宋体" w:hAnsi="宋体" w:eastAsia="宋体" w:cs="宋体"/>
                <w:color w:val="auto"/>
                <w:sz w:val="22"/>
                <w:szCs w:val="22"/>
                <w:highlight w:val="none"/>
                <w:lang w:val="en-US" w:eastAsia="zh-CN"/>
              </w:rPr>
              <w:t>及以上</w:t>
            </w:r>
            <w:r>
              <w:rPr>
                <w:rFonts w:hint="eastAsia" w:ascii="宋体" w:hAnsi="宋体" w:eastAsia="宋体" w:cs="宋体"/>
                <w:color w:val="auto"/>
                <w:sz w:val="22"/>
                <w:szCs w:val="22"/>
                <w:highlight w:val="none"/>
              </w:rPr>
              <w:t>职称</w:t>
            </w:r>
            <w:r>
              <w:rPr>
                <w:rFonts w:hint="eastAsia" w:ascii="宋体" w:hAnsi="宋体" w:eastAsia="宋体" w:cs="宋体"/>
                <w:color w:val="auto"/>
                <w:sz w:val="22"/>
                <w:szCs w:val="22"/>
                <w:highlight w:val="none"/>
                <w:lang w:val="en-US" w:eastAsia="zh-CN"/>
              </w:rPr>
              <w:t>证书、</w:t>
            </w:r>
            <w:r>
              <w:rPr>
                <w:rFonts w:hint="eastAsia" w:ascii="宋体" w:hAnsi="宋体" w:eastAsia="宋体" w:cs="宋体"/>
                <w:color w:val="auto"/>
                <w:sz w:val="22"/>
                <w:szCs w:val="22"/>
                <w:highlight w:val="none"/>
              </w:rPr>
              <w:t>注册岩土执业资格证书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一级注册结构执业</w:t>
            </w:r>
            <w:r>
              <w:rPr>
                <w:rFonts w:hint="eastAsia" w:ascii="宋体" w:hAnsi="宋体" w:eastAsia="宋体" w:cs="宋体"/>
                <w:color w:val="auto"/>
                <w:sz w:val="22"/>
                <w:szCs w:val="22"/>
                <w:highlight w:val="none"/>
                <w:lang w:val="en-US" w:eastAsia="zh-CN"/>
              </w:rPr>
              <w:t>资格</w:t>
            </w:r>
            <w:r>
              <w:rPr>
                <w:rFonts w:hint="eastAsia" w:ascii="宋体" w:hAnsi="宋体" w:eastAsia="宋体" w:cs="宋体"/>
                <w:color w:val="auto"/>
                <w:sz w:val="22"/>
                <w:szCs w:val="22"/>
                <w:highlight w:val="none"/>
              </w:rPr>
              <w:t>证书</w:t>
            </w:r>
            <w:r>
              <w:rPr>
                <w:rFonts w:hint="eastAsia" w:ascii="宋体" w:hAnsi="宋体" w:eastAsia="宋体" w:cs="宋体"/>
                <w:color w:val="auto"/>
                <w:sz w:val="22"/>
                <w:szCs w:val="22"/>
                <w:highlight w:val="none"/>
                <w:lang w:val="en-US" w:eastAsia="zh-CN"/>
              </w:rPr>
              <w:t>的得4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缺一不得分。</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有效证明材料：以上人员均须提供相关证书复印件并加盖供应商公章及</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截止时间起前3个月中任一个月的社保证明，否则不得分。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技术评分标准</w:t>
            </w:r>
          </w:p>
        </w:tc>
        <w:tc>
          <w:tcPr>
            <w:tcW w:w="469" w:type="pct"/>
            <w:shd w:val="clear" w:color="auto" w:fill="auto"/>
            <w:vAlign w:val="center"/>
          </w:tcPr>
          <w:p>
            <w:pPr>
              <w:pStyle w:val="34"/>
              <w:widowControl w:val="0"/>
              <w:wordWrap/>
              <w:adjustRightInd w:val="0"/>
              <w:snapToGrid w:val="0"/>
              <w:spacing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项目检测的难点</w:t>
            </w:r>
          </w:p>
        </w:tc>
        <w:tc>
          <w:tcPr>
            <w:tcW w:w="3669" w:type="pct"/>
            <w:shd w:val="clear" w:color="auto" w:fill="auto"/>
            <w:vAlign w:val="center"/>
          </w:tcPr>
          <w:p>
            <w:pPr>
              <w:widowControl w:val="0"/>
              <w:wordWrap/>
              <w:spacing w:line="360" w:lineRule="auto"/>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供应商根据项目要求，针对本项目检测的难点、结合项目实际情况，详细阐述本项目工作重点、实施过程中的难点以及确保这些部分工作质量的方法、措施等，</w:t>
            </w:r>
            <w:r>
              <w:rPr>
                <w:rFonts w:hint="eastAsia" w:asciiTheme="minorEastAsia" w:hAnsiTheme="minorEastAsia" w:eastAsiaTheme="minorEastAsia" w:cstheme="minorEastAsia"/>
                <w:color w:val="auto"/>
                <w:kern w:val="2"/>
                <w:sz w:val="22"/>
                <w:szCs w:val="22"/>
                <w:highlight w:val="none"/>
                <w:lang w:val="zh-CN"/>
              </w:rPr>
              <w:t>优得</w:t>
            </w:r>
            <w:r>
              <w:rPr>
                <w:rFonts w:hint="eastAsia" w:asciiTheme="minorEastAsia" w:hAnsiTheme="minorEastAsia" w:eastAsiaTheme="minorEastAsia" w:cstheme="minorEastAsia"/>
                <w:color w:val="auto"/>
                <w:kern w:val="2"/>
                <w:sz w:val="22"/>
                <w:szCs w:val="22"/>
                <w:highlight w:val="none"/>
                <w:lang w:val="en-US" w:eastAsia="zh-CN"/>
              </w:rPr>
              <w:t>5分</w:t>
            </w:r>
            <w:r>
              <w:rPr>
                <w:rFonts w:hint="eastAsia" w:asciiTheme="minorEastAsia" w:hAnsiTheme="minorEastAsia" w:eastAsiaTheme="minorEastAsia" w:cstheme="minorEastAsia"/>
                <w:color w:val="auto"/>
                <w:kern w:val="2"/>
                <w:sz w:val="22"/>
                <w:szCs w:val="22"/>
                <w:highlight w:val="none"/>
                <w:lang w:val="zh-CN"/>
              </w:rPr>
              <w:t>，良得</w:t>
            </w:r>
            <w:r>
              <w:rPr>
                <w:rFonts w:hint="eastAsia" w:asciiTheme="minorEastAsia" w:hAnsiTheme="minorEastAsia" w:eastAsiaTheme="minorEastAsia" w:cstheme="minorEastAsia"/>
                <w:color w:val="auto"/>
                <w:kern w:val="2"/>
                <w:sz w:val="22"/>
                <w:szCs w:val="22"/>
                <w:highlight w:val="none"/>
                <w:lang w:val="en-US" w:eastAsia="zh-CN"/>
              </w:rPr>
              <w:t>3</w:t>
            </w:r>
            <w:r>
              <w:rPr>
                <w:rFonts w:hint="eastAsia" w:asciiTheme="minorEastAsia" w:hAnsiTheme="minorEastAsia" w:eastAsiaTheme="minorEastAsia" w:cstheme="minorEastAsia"/>
                <w:color w:val="auto"/>
                <w:kern w:val="2"/>
                <w:sz w:val="22"/>
                <w:szCs w:val="22"/>
                <w:highlight w:val="none"/>
                <w:lang w:val="zh-CN"/>
              </w:rPr>
              <w:t>分，一般得</w:t>
            </w:r>
            <w:r>
              <w:rPr>
                <w:rFonts w:hint="eastAsia" w:asciiTheme="minorEastAsia" w:hAnsiTheme="minorEastAsia" w:eastAsiaTheme="minorEastAsia" w:cstheme="minorEastAsia"/>
                <w:color w:val="auto"/>
                <w:kern w:val="2"/>
                <w:sz w:val="22"/>
                <w:szCs w:val="22"/>
                <w:highlight w:val="none"/>
                <w:lang w:val="en-US" w:eastAsia="zh-CN"/>
              </w:rPr>
              <w:t>1</w:t>
            </w:r>
            <w:r>
              <w:rPr>
                <w:rFonts w:hint="eastAsia" w:asciiTheme="minorEastAsia" w:hAnsiTheme="minorEastAsia" w:eastAsiaTheme="minorEastAsia" w:cstheme="minorEastAsia"/>
                <w:color w:val="auto"/>
                <w:kern w:val="2"/>
                <w:sz w:val="22"/>
                <w:szCs w:val="22"/>
                <w:highlight w:val="none"/>
                <w:lang w:val="zh-CN"/>
              </w:rPr>
              <w:t>分。</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pStyle w:val="34"/>
              <w:widowControl w:val="0"/>
              <w:wordWrap/>
              <w:adjustRightInd w:val="0"/>
              <w:snapToGrid w:val="0"/>
              <w:spacing w:line="360" w:lineRule="auto"/>
              <w:jc w:val="center"/>
              <w:textAlignment w:val="auto"/>
              <w:rPr>
                <w:rFonts w:hint="eastAsia" w:ascii="宋体" w:hAnsi="宋体" w:eastAsia="宋体" w:cs="宋体"/>
                <w:snapToGrid w:val="0"/>
                <w:kern w:val="2"/>
                <w:sz w:val="20"/>
                <w:szCs w:val="20"/>
                <w:highlight w:val="none"/>
                <w:lang w:val="en-US" w:eastAsia="zh-CN" w:bidi="ar-SA"/>
              </w:rPr>
            </w:pPr>
            <w:r>
              <w:rPr>
                <w:rFonts w:hint="eastAsia" w:ascii="宋体" w:hAnsi="宋体" w:eastAsia="宋体" w:cs="宋体"/>
                <w:bCs/>
                <w:color w:val="auto"/>
                <w:spacing w:val="-4"/>
                <w:sz w:val="22"/>
                <w:szCs w:val="22"/>
                <w:highlight w:val="none"/>
                <w:lang w:val="en-US" w:eastAsia="zh-CN"/>
              </w:rPr>
              <w:t>设备仪器</w:t>
            </w:r>
          </w:p>
        </w:tc>
        <w:tc>
          <w:tcPr>
            <w:tcW w:w="3669" w:type="pct"/>
            <w:shd w:val="clear" w:color="auto" w:fill="auto"/>
            <w:vAlign w:val="center"/>
          </w:tcPr>
          <w:p>
            <w:pPr>
              <w:pStyle w:val="34"/>
              <w:widowControl w:val="0"/>
              <w:wordWrap/>
              <w:adjustRightInd w:val="0"/>
              <w:snapToGrid w:val="0"/>
              <w:spacing w:line="360" w:lineRule="auto"/>
              <w:textAlignment w:val="auto"/>
              <w:rPr>
                <w:rFonts w:hint="eastAsia" w:ascii="宋体" w:hAnsi="宋体" w:eastAsia="宋体" w:cs="宋体"/>
                <w:snapToGrid w:val="0"/>
                <w:kern w:val="2"/>
                <w:sz w:val="20"/>
                <w:szCs w:val="20"/>
                <w:highlight w:val="none"/>
                <w:lang w:val="en-US" w:eastAsia="zh-CN" w:bidi="ar-SA"/>
              </w:rPr>
            </w:pPr>
            <w:r>
              <w:rPr>
                <w:rFonts w:hint="default" w:ascii="Times New Roman" w:hAnsi="Times New Roman" w:eastAsia="宋体" w:cs="Times New Roman"/>
                <w:sz w:val="20"/>
                <w:szCs w:val="20"/>
                <w:highlight w:val="none"/>
              </w:rPr>
              <w:t>根据投标人拟投入本项目的相关设备种类是否齐全、数量是否充足</w:t>
            </w:r>
            <w:r>
              <w:rPr>
                <w:rFonts w:hint="eastAsia" w:ascii="Times New Roman" w:hAnsi="Times New Roman" w:eastAsia="宋体" w:cs="Times New Roman"/>
                <w:sz w:val="20"/>
                <w:szCs w:val="20"/>
                <w:highlight w:val="none"/>
                <w:lang w:val="en-US" w:eastAsia="zh-CN"/>
              </w:rPr>
              <w:t>打分，</w:t>
            </w:r>
            <w:r>
              <w:rPr>
                <w:rFonts w:hint="eastAsia" w:ascii="宋体" w:hAnsi="宋体" w:eastAsia="宋体" w:cs="宋体"/>
                <w:bCs/>
                <w:color w:val="auto"/>
                <w:spacing w:val="-4"/>
                <w:sz w:val="22"/>
                <w:szCs w:val="22"/>
                <w:highlight w:val="none"/>
                <w:lang w:val="en-US" w:eastAsia="zh-CN"/>
              </w:rPr>
              <w:t>优得</w:t>
            </w:r>
            <w:r>
              <w:rPr>
                <w:rFonts w:hint="eastAsia" w:hAnsi="宋体" w:cs="宋体"/>
                <w:bCs/>
                <w:color w:val="auto"/>
                <w:spacing w:val="-4"/>
                <w:sz w:val="22"/>
                <w:szCs w:val="22"/>
                <w:highlight w:val="none"/>
                <w:lang w:val="en-US" w:eastAsia="zh-CN"/>
              </w:rPr>
              <w:t>5</w:t>
            </w:r>
            <w:r>
              <w:rPr>
                <w:rFonts w:hint="eastAsia" w:ascii="宋体" w:hAnsi="宋体" w:eastAsia="宋体" w:cs="宋体"/>
                <w:bCs/>
                <w:color w:val="auto"/>
                <w:spacing w:val="-4"/>
                <w:sz w:val="22"/>
                <w:szCs w:val="22"/>
                <w:highlight w:val="none"/>
                <w:lang w:val="en-US" w:eastAsia="zh-CN"/>
              </w:rPr>
              <w:t>分，良得</w:t>
            </w:r>
            <w:r>
              <w:rPr>
                <w:rFonts w:hint="eastAsia" w:hAnsi="宋体" w:cs="宋体"/>
                <w:bCs/>
                <w:color w:val="auto"/>
                <w:spacing w:val="-4"/>
                <w:sz w:val="22"/>
                <w:szCs w:val="22"/>
                <w:highlight w:val="none"/>
                <w:lang w:val="en-US" w:eastAsia="zh-CN"/>
              </w:rPr>
              <w:t>3</w:t>
            </w:r>
            <w:r>
              <w:rPr>
                <w:rFonts w:hint="eastAsia" w:ascii="宋体" w:hAnsi="宋体" w:eastAsia="宋体" w:cs="宋体"/>
                <w:bCs/>
                <w:color w:val="auto"/>
                <w:spacing w:val="-4"/>
                <w:sz w:val="22"/>
                <w:szCs w:val="22"/>
                <w:highlight w:val="none"/>
                <w:lang w:val="en-US" w:eastAsia="zh-CN"/>
              </w:rPr>
              <w:t>分，一般得</w:t>
            </w:r>
            <w:r>
              <w:rPr>
                <w:rFonts w:hint="eastAsia" w:hAnsi="宋体" w:cs="宋体"/>
                <w:bCs/>
                <w:color w:val="auto"/>
                <w:spacing w:val="-4"/>
                <w:sz w:val="22"/>
                <w:szCs w:val="22"/>
                <w:highlight w:val="none"/>
                <w:lang w:val="en-US" w:eastAsia="zh-CN"/>
              </w:rPr>
              <w:t>1</w:t>
            </w:r>
            <w:r>
              <w:rPr>
                <w:rFonts w:hint="eastAsia" w:ascii="宋体" w:hAnsi="宋体" w:eastAsia="宋体" w:cs="宋体"/>
                <w:bCs/>
                <w:color w:val="auto"/>
                <w:spacing w:val="-4"/>
                <w:sz w:val="22"/>
                <w:szCs w:val="22"/>
                <w:highlight w:val="none"/>
                <w:lang w:val="en-US" w:eastAsia="zh-CN"/>
              </w:rPr>
              <w:t>分，。</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rPr>
              <w:t>项目实施方案</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rPr>
              <w:t>根据投标人</w:t>
            </w:r>
            <w:r>
              <w:rPr>
                <w:rFonts w:hint="eastAsia" w:asciiTheme="minorEastAsia" w:hAnsiTheme="minorEastAsia" w:eastAsiaTheme="minorEastAsia" w:cstheme="minorEastAsia"/>
                <w:color w:val="auto"/>
                <w:kern w:val="2"/>
                <w:sz w:val="22"/>
                <w:szCs w:val="22"/>
                <w:highlight w:val="none"/>
                <w:lang w:val="zh-CN"/>
              </w:rPr>
              <w:t>提供对项目情况、</w:t>
            </w:r>
            <w:r>
              <w:rPr>
                <w:rFonts w:hint="eastAsia" w:asciiTheme="minorEastAsia" w:hAnsiTheme="minorEastAsia" w:eastAsiaTheme="minorEastAsia" w:cstheme="minorEastAsia"/>
                <w:color w:val="auto"/>
                <w:kern w:val="2"/>
                <w:sz w:val="22"/>
                <w:szCs w:val="22"/>
                <w:highlight w:val="none"/>
                <w:lang w:val="en-US" w:eastAsia="zh-CN"/>
              </w:rPr>
              <w:t>工作内容、</w:t>
            </w:r>
            <w:r>
              <w:rPr>
                <w:rFonts w:hint="eastAsia" w:asciiTheme="minorEastAsia" w:hAnsiTheme="minorEastAsia" w:eastAsiaTheme="minorEastAsia" w:cstheme="minorEastAsia"/>
                <w:color w:val="auto"/>
                <w:kern w:val="2"/>
                <w:sz w:val="22"/>
                <w:szCs w:val="22"/>
                <w:highlight w:val="none"/>
                <w:lang w:val="zh-CN"/>
              </w:rPr>
              <w:t>项目实施目标、项目建设内容的理解，</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pStyle w:val="34"/>
              <w:widowControl w:val="0"/>
              <w:wordWrap/>
              <w:adjustRightInd w:val="0"/>
              <w:snapToGrid w:val="0"/>
              <w:spacing w:line="360" w:lineRule="auto"/>
              <w:jc w:val="center"/>
              <w:textAlignment w:val="auto"/>
              <w:rPr>
                <w:rFonts w:hint="eastAsia" w:ascii="宋体" w:hAnsi="宋体" w:eastAsia="宋体" w:cs="宋体"/>
                <w:snapToGrid w:val="0"/>
                <w:kern w:val="2"/>
                <w:sz w:val="20"/>
                <w:szCs w:val="20"/>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工作思路</w:t>
            </w:r>
          </w:p>
        </w:tc>
        <w:tc>
          <w:tcPr>
            <w:tcW w:w="3669" w:type="pct"/>
            <w:shd w:val="clear" w:color="auto" w:fill="auto"/>
            <w:vAlign w:val="center"/>
          </w:tcPr>
          <w:p>
            <w:pPr>
              <w:widowControl w:val="0"/>
              <w:wordWrap/>
              <w:spacing w:line="360" w:lineRule="auto"/>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组织机构有针对性，对本项目实施提出的工作思路明确、针对性强、方法科学合理、可操作性强的，</w:t>
            </w:r>
            <w:r>
              <w:rPr>
                <w:rFonts w:hint="eastAsia" w:ascii="宋体" w:hAnsi="宋体" w:eastAsia="宋体" w:cs="宋体"/>
                <w:bCs/>
                <w:color w:val="auto"/>
                <w:spacing w:val="-4"/>
                <w:sz w:val="22"/>
                <w:szCs w:val="22"/>
                <w:highlight w:val="none"/>
              </w:rPr>
              <w:t>优得</w:t>
            </w:r>
            <w:r>
              <w:rPr>
                <w:rFonts w:hint="eastAsia" w:hAnsi="宋体" w:cs="宋体"/>
                <w:bCs/>
                <w:color w:val="auto"/>
                <w:spacing w:val="-4"/>
                <w:sz w:val="22"/>
                <w:szCs w:val="22"/>
                <w:highlight w:val="none"/>
                <w:lang w:val="en-US" w:eastAsia="zh-CN"/>
              </w:rPr>
              <w:t>4分</w:t>
            </w:r>
            <w:r>
              <w:rPr>
                <w:rFonts w:hint="eastAsia" w:ascii="宋体" w:hAnsi="宋体" w:eastAsia="宋体" w:cs="宋体"/>
                <w:bCs/>
                <w:color w:val="auto"/>
                <w:spacing w:val="-4"/>
                <w:sz w:val="22"/>
                <w:szCs w:val="22"/>
                <w:highlight w:val="none"/>
              </w:rPr>
              <w:t>，良得</w:t>
            </w:r>
            <w:r>
              <w:rPr>
                <w:rFonts w:hint="eastAsia" w:hAnsi="宋体" w:cs="宋体"/>
                <w:bCs/>
                <w:color w:val="auto"/>
                <w:spacing w:val="-4"/>
                <w:sz w:val="22"/>
                <w:szCs w:val="22"/>
                <w:highlight w:val="none"/>
                <w:lang w:val="en-US" w:eastAsia="zh-CN"/>
              </w:rPr>
              <w:t>2</w:t>
            </w:r>
            <w:r>
              <w:rPr>
                <w:rFonts w:hint="eastAsia" w:ascii="宋体" w:hAnsi="宋体" w:eastAsia="宋体" w:cs="宋体"/>
                <w:bCs/>
                <w:color w:val="auto"/>
                <w:spacing w:val="-4"/>
                <w:sz w:val="22"/>
                <w:szCs w:val="22"/>
                <w:highlight w:val="none"/>
              </w:rPr>
              <w:t>分，一般得</w:t>
            </w:r>
            <w:r>
              <w:rPr>
                <w:rFonts w:hint="eastAsia" w:hAnsi="宋体" w:cs="宋体"/>
                <w:bCs/>
                <w:color w:val="auto"/>
                <w:spacing w:val="-4"/>
                <w:sz w:val="22"/>
                <w:szCs w:val="22"/>
                <w:highlight w:val="none"/>
                <w:lang w:val="en-US" w:eastAsia="zh-CN"/>
              </w:rPr>
              <w:t>1</w:t>
            </w:r>
            <w:r>
              <w:rPr>
                <w:rFonts w:hint="eastAsia" w:ascii="宋体" w:hAnsi="宋体" w:eastAsia="宋体" w:cs="宋体"/>
                <w:bCs/>
                <w:color w:val="auto"/>
                <w:spacing w:val="-4"/>
                <w:sz w:val="22"/>
                <w:szCs w:val="22"/>
                <w:highlight w:val="none"/>
              </w:rPr>
              <w:t>分。</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rPr>
              <w:t>质量保障措施</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根据投标人针对</w:t>
            </w:r>
            <w:r>
              <w:rPr>
                <w:rFonts w:hint="eastAsia" w:asciiTheme="minorEastAsia" w:hAnsiTheme="minorEastAsia" w:eastAsiaTheme="minorEastAsia" w:cstheme="minorEastAsia"/>
                <w:color w:val="auto"/>
                <w:kern w:val="2"/>
                <w:sz w:val="22"/>
                <w:szCs w:val="22"/>
                <w:highlight w:val="none"/>
                <w:lang w:eastAsia="zh-CN"/>
              </w:rPr>
              <w:t>本项目制定的质量管理目标、质量保证措施体系、</w:t>
            </w:r>
            <w:r>
              <w:rPr>
                <w:rFonts w:hint="eastAsia" w:asciiTheme="minorEastAsia" w:hAnsiTheme="minorEastAsia" w:eastAsiaTheme="minorEastAsia" w:cstheme="minorEastAsia"/>
                <w:color w:val="auto"/>
                <w:kern w:val="2"/>
                <w:sz w:val="22"/>
                <w:szCs w:val="22"/>
                <w:highlight w:val="none"/>
              </w:rPr>
              <w:t>服务承诺以及服务承诺落实的保障措施</w:t>
            </w:r>
            <w:r>
              <w:rPr>
                <w:rFonts w:hint="eastAsia" w:asciiTheme="minorEastAsia" w:hAnsiTheme="minorEastAsia" w:eastAsiaTheme="minorEastAsia" w:cstheme="minorEastAsia"/>
                <w:color w:val="auto"/>
                <w:kern w:val="2"/>
                <w:sz w:val="22"/>
                <w:szCs w:val="22"/>
                <w:highlight w:val="none"/>
                <w:lang w:eastAsia="zh-CN"/>
              </w:rPr>
              <w:t>合理性和先进性，</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lang w:val="en-US" w:eastAsia="zh-CN"/>
              </w:rPr>
              <w:t>进度</w:t>
            </w:r>
            <w:r>
              <w:rPr>
                <w:rFonts w:hint="eastAsia" w:ascii="宋体" w:hAnsi="宋体" w:eastAsia="宋体" w:cs="宋体"/>
                <w:b w:val="0"/>
                <w:bCs w:val="0"/>
                <w:sz w:val="22"/>
                <w:szCs w:val="22"/>
                <w:highlight w:val="none"/>
              </w:rPr>
              <w:t>保障措施</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根据投标人针对本项目实施的进度计划安排、组织机构安排，包括详细的各时间节点完成的工作任务、与该任务所匹配的人力资源配合、进度保障进行评分，</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eastAsia="zh-CN"/>
              </w:rPr>
              <w:t>安全生产、文明作业、环保措施</w:t>
            </w:r>
          </w:p>
        </w:tc>
        <w:tc>
          <w:tcPr>
            <w:tcW w:w="3669" w:type="pct"/>
            <w:shd w:val="clear" w:color="auto" w:fill="auto"/>
            <w:vAlign w:val="center"/>
          </w:tcPr>
          <w:p>
            <w:pPr>
              <w:pStyle w:val="25"/>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napToGrid w:val="0"/>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rPr>
              <w:t>根据投标人</w:t>
            </w:r>
            <w:r>
              <w:rPr>
                <w:rFonts w:hint="eastAsia" w:asciiTheme="minorEastAsia" w:hAnsiTheme="minorEastAsia" w:eastAsiaTheme="minorEastAsia" w:cstheme="minorEastAsia"/>
                <w:color w:val="auto"/>
                <w:kern w:val="2"/>
                <w:sz w:val="22"/>
                <w:szCs w:val="22"/>
                <w:highlight w:val="none"/>
                <w:lang w:val="en-US" w:eastAsia="zh-CN"/>
              </w:rPr>
              <w:t>提供</w:t>
            </w:r>
            <w:r>
              <w:rPr>
                <w:rFonts w:hint="eastAsia" w:asciiTheme="minorEastAsia" w:hAnsiTheme="minorEastAsia" w:eastAsiaTheme="minorEastAsia" w:cstheme="minorEastAsia"/>
                <w:color w:val="auto"/>
                <w:kern w:val="2"/>
                <w:sz w:val="22"/>
                <w:szCs w:val="22"/>
                <w:highlight w:val="none"/>
              </w:rPr>
              <w:t>的安全生产、文明生产、环保措施方案</w:t>
            </w:r>
            <w:r>
              <w:rPr>
                <w:rFonts w:hint="eastAsia" w:asciiTheme="minorEastAsia" w:hAnsiTheme="minorEastAsia" w:eastAsiaTheme="minorEastAsia" w:cstheme="minorEastAsia"/>
                <w:color w:val="auto"/>
                <w:kern w:val="2"/>
                <w:sz w:val="22"/>
                <w:szCs w:val="22"/>
                <w:highlight w:val="none"/>
                <w:lang w:val="en-US" w:eastAsia="zh-CN"/>
              </w:rPr>
              <w:t>合理性、完整性</w:t>
            </w:r>
            <w:r>
              <w:rPr>
                <w:rFonts w:hint="eastAsia" w:asciiTheme="minorEastAsia" w:hAnsiTheme="minorEastAsia" w:eastAsiaTheme="minorEastAsia" w:cstheme="minorEastAsia"/>
                <w:color w:val="auto"/>
                <w:kern w:val="2"/>
                <w:sz w:val="22"/>
                <w:szCs w:val="22"/>
                <w:highlight w:val="none"/>
              </w:rPr>
              <w:t>进行</w:t>
            </w:r>
            <w:r>
              <w:rPr>
                <w:rFonts w:hint="eastAsia" w:asciiTheme="minorEastAsia" w:hAnsiTheme="minorEastAsia" w:eastAsiaTheme="minorEastAsia" w:cstheme="minorEastAsia"/>
                <w:color w:val="auto"/>
                <w:kern w:val="2"/>
                <w:sz w:val="22"/>
                <w:szCs w:val="22"/>
                <w:highlight w:val="none"/>
                <w:lang w:val="en-US" w:eastAsia="zh-CN"/>
              </w:rPr>
              <w:t>打分</w:t>
            </w:r>
            <w:r>
              <w:rPr>
                <w:rFonts w:hint="eastAsia" w:asciiTheme="minorEastAsia" w:hAnsiTheme="minorEastAsia" w:eastAsiaTheme="minorEastAsia" w:cstheme="minorEastAsia"/>
                <w:color w:val="auto"/>
                <w:kern w:val="2"/>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pStyle w:val="25"/>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snapToGrid w:val="0"/>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eastAsia="zh-CN"/>
              </w:rPr>
              <w:t>关键技术方案</w:t>
            </w:r>
          </w:p>
        </w:tc>
        <w:tc>
          <w:tcPr>
            <w:tcW w:w="36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eastAsia="zh-CN"/>
              </w:rPr>
              <w:t>根据投标人针对提升</w:t>
            </w:r>
            <w:r>
              <w:rPr>
                <w:rFonts w:hint="eastAsia" w:asciiTheme="minorEastAsia" w:hAnsiTheme="minorEastAsia" w:eastAsiaTheme="minorEastAsia" w:cstheme="minorEastAsia"/>
                <w:color w:val="auto"/>
                <w:kern w:val="2"/>
                <w:sz w:val="22"/>
                <w:szCs w:val="22"/>
                <w:highlight w:val="none"/>
                <w:lang w:val="en-US" w:eastAsia="zh-CN"/>
              </w:rPr>
              <w:t>排查</w:t>
            </w:r>
            <w:r>
              <w:rPr>
                <w:rFonts w:hint="eastAsia" w:asciiTheme="minorEastAsia" w:hAnsiTheme="minorEastAsia" w:eastAsiaTheme="minorEastAsia" w:cstheme="minorEastAsia"/>
                <w:color w:val="auto"/>
                <w:kern w:val="2"/>
                <w:sz w:val="22"/>
                <w:szCs w:val="22"/>
                <w:highlight w:val="none"/>
                <w:lang w:eastAsia="zh-CN"/>
              </w:rPr>
              <w:t>鉴定效率、提供的关键技术解决方案进行评分，</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eastAsia="zh-CN"/>
              </w:rPr>
              <w:t>内部管理制度</w:t>
            </w:r>
          </w:p>
        </w:tc>
        <w:tc>
          <w:tcPr>
            <w:tcW w:w="36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rPr>
              <w:t>根据投标人提供的各项公众制度、内部岗位责任制度、管理运作制度、管理人员考核制度及标准，要求符合规范，体现高标准、高档次、科学合理、详细完备进行评分，</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rPr>
              <w:t>培训计划</w:t>
            </w:r>
          </w:p>
        </w:tc>
        <w:tc>
          <w:tcPr>
            <w:tcW w:w="3669" w:type="pct"/>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根据投标人针对本项目安全排查鉴定实施人员的培训计划，需详细列明培训时间、培训地点、培训时长、培训次数进行评分，</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color w:val="auto"/>
                <w:kern w:val="2"/>
                <w:sz w:val="22"/>
                <w:szCs w:val="22"/>
                <w:highlight w:val="none"/>
                <w:lang w:val="en-US" w:eastAsia="zh-CN"/>
              </w:rPr>
            </w:pPr>
            <w:r>
              <w:rPr>
                <w:rFonts w:hint="eastAsia" w:asciiTheme="minorEastAsia" w:hAnsiTheme="minorEastAsia" w:eastAsiaTheme="minorEastAsia" w:cstheme="minorEastAsia"/>
                <w:color w:val="auto"/>
                <w:kern w:val="2"/>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rPr>
              <w:t>风险规避措施、</w:t>
            </w:r>
            <w:r>
              <w:rPr>
                <w:rFonts w:hint="eastAsia" w:ascii="宋体" w:hAnsi="宋体" w:eastAsia="宋体" w:cs="宋体"/>
                <w:b w:val="0"/>
                <w:bCs w:val="0"/>
                <w:sz w:val="22"/>
                <w:szCs w:val="22"/>
                <w:highlight w:val="none"/>
              </w:rPr>
              <w:t>应急方案</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根据投标人对本项目的风险分析、规避风险措施的合理性和可操作性，风险管理措施、风险管理办法的全面性、</w:t>
            </w:r>
            <w:r>
              <w:rPr>
                <w:rFonts w:hint="eastAsia" w:ascii="宋体" w:hAnsi="宋体" w:eastAsia="宋体" w:cs="宋体"/>
                <w:bCs/>
                <w:color w:val="auto"/>
                <w:sz w:val="22"/>
                <w:szCs w:val="22"/>
                <w:highlight w:val="none"/>
              </w:rPr>
              <w:t>应急事件的响应时间、调配人数与处理方案的</w:t>
            </w:r>
            <w:r>
              <w:rPr>
                <w:rFonts w:hint="eastAsia" w:ascii="宋体" w:hAnsi="宋体" w:eastAsia="宋体" w:cs="宋体"/>
                <w:color w:val="auto"/>
                <w:sz w:val="22"/>
                <w:szCs w:val="22"/>
                <w:highlight w:val="none"/>
              </w:rPr>
              <w:t>合理性</w:t>
            </w:r>
            <w:r>
              <w:rPr>
                <w:rFonts w:hint="eastAsia" w:asciiTheme="minorEastAsia" w:hAnsiTheme="minorEastAsia" w:eastAsiaTheme="minorEastAsia" w:cstheme="minorEastAsia"/>
                <w:color w:val="auto"/>
                <w:kern w:val="2"/>
                <w:sz w:val="22"/>
                <w:szCs w:val="22"/>
                <w:highlight w:val="none"/>
                <w:lang w:val="en-US" w:eastAsia="zh-CN"/>
              </w:rPr>
              <w:t>等进行评分 ，</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Merge w:val="continue"/>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sz w:val="22"/>
                <w:szCs w:val="22"/>
                <w:highlight w:val="none"/>
              </w:rPr>
              <w:t>售后服务方案</w:t>
            </w:r>
          </w:p>
        </w:tc>
        <w:tc>
          <w:tcPr>
            <w:tcW w:w="36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rPr>
              <w:t>根据供应商提供的对项目的售后技术服务的承诺：后期服务内容</w:t>
            </w:r>
            <w:r>
              <w:rPr>
                <w:rFonts w:hint="eastAsia" w:asciiTheme="minorEastAsia" w:hAnsiTheme="minorEastAsia" w:eastAsiaTheme="minorEastAsia" w:cstheme="minorEastAsia"/>
                <w:color w:val="auto"/>
                <w:kern w:val="2"/>
                <w:sz w:val="22"/>
                <w:szCs w:val="22"/>
                <w:highlight w:val="none"/>
                <w:lang w:eastAsia="zh-CN"/>
              </w:rPr>
              <w:t>、</w:t>
            </w:r>
            <w:r>
              <w:rPr>
                <w:rFonts w:hint="eastAsia" w:asciiTheme="minorEastAsia" w:hAnsiTheme="minorEastAsia" w:eastAsiaTheme="minorEastAsia" w:cstheme="minorEastAsia"/>
                <w:color w:val="auto"/>
                <w:kern w:val="2"/>
                <w:sz w:val="22"/>
                <w:szCs w:val="22"/>
                <w:highlight w:val="none"/>
              </w:rPr>
              <w:t>措施适当</w:t>
            </w:r>
            <w:r>
              <w:rPr>
                <w:rFonts w:hint="eastAsia" w:asciiTheme="minorEastAsia" w:hAnsiTheme="minorEastAsia" w:eastAsiaTheme="minorEastAsia" w:cstheme="minorEastAsia"/>
                <w:color w:val="auto"/>
                <w:kern w:val="2"/>
                <w:sz w:val="22"/>
                <w:szCs w:val="22"/>
                <w:highlight w:val="none"/>
                <w:lang w:eastAsia="zh-CN"/>
              </w:rPr>
              <w:t>（如与招标人完成项目后的资料响应性与配合度）</w:t>
            </w:r>
            <w:r>
              <w:rPr>
                <w:rFonts w:hint="eastAsia" w:asciiTheme="minorEastAsia" w:hAnsiTheme="minorEastAsia" w:eastAsiaTheme="minorEastAsia" w:cstheme="minorEastAsia"/>
                <w:color w:val="auto"/>
                <w:kern w:val="2"/>
                <w:sz w:val="22"/>
                <w:szCs w:val="22"/>
                <w:highlight w:val="none"/>
              </w:rPr>
              <w:t>、承诺明确并且</w:t>
            </w:r>
            <w:r>
              <w:rPr>
                <w:rFonts w:hint="eastAsia" w:asciiTheme="minorEastAsia" w:hAnsiTheme="minorEastAsia" w:eastAsiaTheme="minorEastAsia" w:cstheme="minorEastAsia"/>
                <w:color w:val="auto"/>
                <w:kern w:val="2"/>
                <w:sz w:val="22"/>
                <w:szCs w:val="22"/>
                <w:highlight w:val="none"/>
                <w:lang w:eastAsia="zh-CN"/>
              </w:rPr>
              <w:t>合理性</w:t>
            </w:r>
            <w:r>
              <w:rPr>
                <w:rFonts w:hint="eastAsia" w:asciiTheme="minorEastAsia" w:hAnsiTheme="minorEastAsia" w:eastAsiaTheme="minorEastAsia" w:cstheme="minorEastAsia"/>
                <w:color w:val="auto"/>
                <w:kern w:val="2"/>
                <w:sz w:val="22"/>
                <w:szCs w:val="22"/>
                <w:highlight w:val="none"/>
                <w:lang w:val="en-US"/>
              </w:rPr>
              <w:t>评</w:t>
            </w:r>
            <w:r>
              <w:rPr>
                <w:rFonts w:hint="eastAsia" w:asciiTheme="minorEastAsia" w:hAnsiTheme="minorEastAsia" w:eastAsiaTheme="minorEastAsia" w:cstheme="minorEastAsia"/>
                <w:color w:val="auto"/>
                <w:kern w:val="2"/>
                <w:sz w:val="22"/>
                <w:szCs w:val="22"/>
                <w:highlight w:val="none"/>
                <w:lang w:eastAsia="zh-CN"/>
              </w:rPr>
              <w:t>分，</w:t>
            </w:r>
            <w:r>
              <w:rPr>
                <w:rFonts w:hint="eastAsia" w:asciiTheme="minorEastAsia" w:hAnsiTheme="minorEastAsia" w:eastAsiaTheme="minorEastAsia" w:cstheme="minorEastAsia"/>
                <w:color w:val="auto"/>
                <w:sz w:val="22"/>
                <w:szCs w:val="22"/>
                <w:highlight w:val="none"/>
                <w:lang w:val="en-US" w:eastAsia="zh-CN"/>
              </w:rPr>
              <w:t>合理且全面的得5分；基本合理或者基本全面的得3分；不合理或者不全面或者缺项的得1分</w:t>
            </w:r>
            <w:r>
              <w:rPr>
                <w:rFonts w:hint="eastAsia" w:asciiTheme="minorEastAsia" w:hAnsiTheme="minorEastAsia" w:eastAsiaTheme="minorEastAsia" w:cstheme="minorEastAsia"/>
                <w:color w:val="auto"/>
                <w:sz w:val="22"/>
                <w:szCs w:val="22"/>
                <w:highlight w:val="none"/>
                <w:lang w:eastAsia="zh-CN"/>
              </w:rPr>
              <w:t>。</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3" w:type="pct"/>
            <w:gridSpan w:val="2"/>
            <w:vAlign w:val="center"/>
          </w:tcPr>
          <w:p>
            <w:pPr>
              <w:widowControl w:val="0"/>
              <w:wordWrap/>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bCs/>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rPr>
              <w:t>报价分</w:t>
            </w:r>
          </w:p>
        </w:tc>
        <w:tc>
          <w:tcPr>
            <w:tcW w:w="3669" w:type="pct"/>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0"/>
              <w:jc w:val="left"/>
              <w:textAlignment w:val="auto"/>
              <w:outlineLvl w:val="9"/>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有效投标报价的最低价作为评标基准价，其最低报价为满分；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0"/>
              <w:jc w:val="left"/>
              <w:textAlignment w:val="auto"/>
              <w:outlineLvl w:val="9"/>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按［投标报价得分=（评标基准价/投标报价）*</w:t>
            </w:r>
            <w:r>
              <w:rPr>
                <w:rFonts w:hint="eastAsia" w:asciiTheme="minorEastAsia" w:hAnsiTheme="minorEastAsia" w:eastAsiaTheme="minorEastAsia" w:cstheme="minorEastAsia"/>
                <w:b w:val="0"/>
                <w:bCs w:val="0"/>
                <w:color w:val="auto"/>
                <w:sz w:val="22"/>
                <w:szCs w:val="22"/>
                <w:highlight w:val="none"/>
                <w:lang w:val="en-US" w:eastAsia="zh-CN"/>
              </w:rPr>
              <w:t>10%*100</w:t>
            </w:r>
            <w:r>
              <w:rPr>
                <w:rFonts w:hint="eastAsia" w:asciiTheme="minorEastAsia" w:hAnsiTheme="minorEastAsia" w:eastAsiaTheme="minorEastAsia" w:cstheme="minorEastAsia"/>
                <w:b w:val="0"/>
                <w:bCs w:val="0"/>
                <w:color w:val="auto"/>
                <w:sz w:val="22"/>
                <w:szCs w:val="22"/>
                <w:highlight w:val="none"/>
              </w:rPr>
              <w:t>］的计算公式计算。</w:t>
            </w:r>
          </w:p>
          <w:p>
            <w:pPr>
              <w:widowControl w:val="0"/>
              <w:wordWrap/>
              <w:adjustRightInd/>
              <w:snapToGrid/>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sz w:val="22"/>
                <w:szCs w:val="22"/>
                <w:highlight w:val="none"/>
              </w:rPr>
              <w:t>评标过程中，不得去掉报价中的最高报价和最低报价。</w:t>
            </w:r>
          </w:p>
        </w:tc>
        <w:tc>
          <w:tcPr>
            <w:tcW w:w="0" w:type="auto"/>
            <w:shd w:val="clear" w:color="auto" w:fill="auto"/>
            <w:vAlign w:val="center"/>
          </w:tcPr>
          <w:p>
            <w:pPr>
              <w:widowControl w:val="0"/>
              <w:wordWrap/>
              <w:adjustRightInd/>
              <w:snapToGrid/>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rPr>
              <w:t>10分</w:t>
            </w:r>
          </w:p>
        </w:tc>
      </w:tr>
    </w:tbl>
    <w:p>
      <w:pPr>
        <w:snapToGrid w:val="0"/>
        <w:spacing w:line="360" w:lineRule="auto"/>
        <w:rPr>
          <w:rFonts w:hint="eastAsia" w:ascii="宋体" w:hAnsi="宋体" w:cs="宋体"/>
          <w:sz w:val="20"/>
          <w:szCs w:val="20"/>
          <w:highlight w:val="none"/>
          <w:shd w:val="clear" w:color="auto" w:fill="FFFFFF"/>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4"/>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5"/>
        <w:keepNext w:val="0"/>
        <w:keepLines w:val="0"/>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w:t>
      </w:r>
      <w:r>
        <w:rPr>
          <w:rFonts w:hint="eastAsia" w:ascii="宋体" w:hAnsi="宋体" w:cs="宋体"/>
          <w:b/>
          <w:bCs/>
          <w:color w:val="auto"/>
          <w:kern w:val="0"/>
          <w:sz w:val="24"/>
          <w:highlight w:val="none"/>
        </w:rPr>
        <w:t>串通投标认定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有下列情形之一的，视为投标人串通投标，其投标无效: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w:t>
      </w:r>
      <w:r>
        <w:rPr>
          <w:rFonts w:hint="eastAsia" w:ascii="宋体" w:hAnsi="宋体" w:cs="宋体"/>
          <w:color w:val="auto"/>
          <w:kern w:val="0"/>
          <w:sz w:val="24"/>
          <w:highlight w:val="none"/>
        </w:rPr>
        <w:t>1不同投标人的投标文件由同一单位或者个人编制或IP地址或者MAC地址上传一致的情况;</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4.3.2</w:t>
      </w:r>
      <w:r>
        <w:rPr>
          <w:rFonts w:hint="eastAsia" w:ascii="宋体" w:hAnsi="宋体" w:cs="宋体"/>
          <w:color w:val="auto"/>
          <w:kern w:val="0"/>
          <w:sz w:val="24"/>
          <w:highlight w:val="none"/>
        </w:rPr>
        <w:t>不同投标人委托同一单位或者个人办理投标事宜;</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4.3.3</w:t>
      </w:r>
      <w:r>
        <w:rPr>
          <w:rFonts w:hint="eastAsia" w:ascii="宋体" w:hAnsi="宋体" w:cs="宋体"/>
          <w:color w:val="auto"/>
          <w:kern w:val="0"/>
          <w:sz w:val="24"/>
          <w:highlight w:val="none"/>
        </w:rPr>
        <w:t>不同投标人的投标文件载明的项目管理成员或者联系人员为同一人;</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4.3.4</w:t>
      </w:r>
      <w:r>
        <w:rPr>
          <w:rFonts w:hint="eastAsia" w:ascii="宋体" w:hAnsi="宋体" w:cs="宋体"/>
          <w:color w:val="auto"/>
          <w:kern w:val="0"/>
          <w:sz w:val="24"/>
          <w:highlight w:val="none"/>
        </w:rPr>
        <w:t>不同投标人的投标文件异常一致或者投标报价呈规律性差异;</w:t>
      </w:r>
    </w:p>
    <w:p>
      <w:pPr>
        <w:spacing w:line="360" w:lineRule="auto"/>
        <w:ind w:firstLine="480" w:firstLineChars="200"/>
        <w:rPr>
          <w:highlight w:val="none"/>
        </w:rPr>
      </w:pPr>
      <w:r>
        <w:rPr>
          <w:rFonts w:hint="eastAsia" w:ascii="宋体" w:hAnsi="宋体" w:cs="宋体"/>
          <w:color w:val="auto"/>
          <w:kern w:val="0"/>
          <w:sz w:val="24"/>
          <w:highlight w:val="none"/>
          <w:lang w:val="en-US" w:eastAsia="zh-CN"/>
        </w:rPr>
        <w:t>4.3.5</w:t>
      </w:r>
      <w:r>
        <w:rPr>
          <w:rFonts w:hint="eastAsia" w:ascii="宋体" w:hAnsi="宋体" w:cs="宋体"/>
          <w:color w:val="auto"/>
          <w:kern w:val="0"/>
          <w:sz w:val="24"/>
          <w:highlight w:val="none"/>
        </w:rPr>
        <w:t>不同投标人的投标文件相互混装;</w:t>
      </w:r>
    </w:p>
    <w:p>
      <w:pPr>
        <w:pStyle w:val="2"/>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
        <w:snapToGrid w:val="0"/>
        <w:spacing w:line="360" w:lineRule="auto"/>
        <w:rPr>
          <w:rFonts w:cs="宋体"/>
          <w:highlight w:val="none"/>
        </w:rPr>
      </w:pPr>
      <w:r>
        <w:rPr>
          <w:rFonts w:hint="eastAsia" w:cs="宋体"/>
          <w:highlight w:val="none"/>
        </w:rPr>
        <w:t>5.2出现影响采购公正的违法、违规行为的；</w:t>
      </w:r>
    </w:p>
    <w:p>
      <w:pPr>
        <w:pStyle w:val="2"/>
        <w:snapToGrid w:val="0"/>
        <w:spacing w:line="360" w:lineRule="auto"/>
        <w:rPr>
          <w:rFonts w:cs="宋体"/>
          <w:highlight w:val="none"/>
        </w:rPr>
      </w:pPr>
      <w:r>
        <w:rPr>
          <w:rFonts w:hint="eastAsia" w:cs="宋体"/>
          <w:highlight w:val="none"/>
        </w:rPr>
        <w:t>5.3投标人的报价均超过了采购预算，采购人不能支付的；</w:t>
      </w:r>
    </w:p>
    <w:p>
      <w:pPr>
        <w:pStyle w:val="2"/>
        <w:snapToGrid w:val="0"/>
        <w:spacing w:line="360" w:lineRule="auto"/>
        <w:rPr>
          <w:rFonts w:cs="宋体"/>
          <w:highlight w:val="none"/>
        </w:rPr>
      </w:pPr>
      <w:r>
        <w:rPr>
          <w:rFonts w:hint="eastAsia" w:cs="宋体"/>
          <w:highlight w:val="none"/>
        </w:rPr>
        <w:t>5.4因重大变故，采购任务取消的。</w:t>
      </w:r>
    </w:p>
    <w:p>
      <w:pPr>
        <w:pStyle w:val="2"/>
        <w:snapToGrid w:val="0"/>
        <w:spacing w:line="360" w:lineRule="auto"/>
        <w:rPr>
          <w:rFonts w:cs="宋体"/>
          <w:highlight w:val="none"/>
        </w:rPr>
      </w:pPr>
      <w:r>
        <w:rPr>
          <w:rFonts w:hint="eastAsia" w:cs="宋体"/>
          <w:highlight w:val="none"/>
        </w:rPr>
        <w:t>废标后，采购代理机构应当将废标理由通知所有投标人。</w:t>
      </w:r>
    </w:p>
    <w:p>
      <w:pPr>
        <w:pStyle w:val="2"/>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highlight w:val="none"/>
        </w:rPr>
      </w:pPr>
    </w:p>
    <w:bookmarkEnd w:id="27"/>
    <w:p>
      <w:pPr>
        <w:spacing w:line="360" w:lineRule="auto"/>
        <w:ind w:left="720" w:leftChars="343" w:firstLine="1084" w:firstLineChars="300"/>
        <w:outlineLvl w:val="0"/>
        <w:rPr>
          <w:rFonts w:ascii="宋体" w:hAnsi="宋体" w:cs="宋体"/>
          <w:b/>
          <w:sz w:val="36"/>
          <w:szCs w:val="36"/>
          <w:highlight w:val="none"/>
        </w:rPr>
      </w:pPr>
      <w:bookmarkStart w:id="28" w:name="第五部分"/>
      <w:bookmarkStart w:id="29" w:name="_Toc86217003"/>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pPr>
        <w:pStyle w:val="2"/>
        <w:rPr>
          <w:highlight w:val="none"/>
        </w:rPr>
      </w:pPr>
    </w:p>
    <w:p>
      <w:pPr>
        <w:pStyle w:val="3"/>
        <w:ind w:firstLine="420"/>
        <w:rPr>
          <w:highlight w:val="none"/>
        </w:rPr>
      </w:pPr>
    </w:p>
    <w:p>
      <w:pPr>
        <w:rPr>
          <w:highlight w:val="none"/>
        </w:rPr>
      </w:pPr>
      <w:r>
        <w:rPr>
          <w:highlight w:val="none"/>
        </w:rPr>
        <w:br w:type="page"/>
      </w:r>
    </w:p>
    <w:p>
      <w:pPr>
        <w:rPr>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703"/>
        <w:autoSpaceDE/>
        <w:autoSpaceDN/>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5"/>
        <w:keepNext w:val="0"/>
        <w:keepLines w:val="0"/>
        <w:rPr>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600"/>
        <w:spacing w:before="120" w:line="22" w:lineRule="atLeast"/>
        <w:rPr>
          <w:rFonts w:ascii="宋体" w:hAnsi="宋体" w:eastAsia="宋体" w:cs="宋体"/>
          <w:szCs w:val="24"/>
          <w:highlight w:val="none"/>
        </w:rPr>
      </w:pPr>
    </w:p>
    <w:p>
      <w:pPr>
        <w:pStyle w:val="600"/>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lang w:eastAsia="zh-CN"/>
        </w:rPr>
        <w:t>采购人</w:t>
      </w:r>
      <w:r>
        <w:rPr>
          <w:rFonts w:hint="eastAsia" w:ascii="宋体" w:hAnsi="宋体" w:cs="宋体"/>
          <w:sz w:val="24"/>
          <w:highlight w:val="none"/>
        </w:rPr>
        <w:t>：</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sz w:val="24"/>
          <w:highlight w:val="none"/>
        </w:rPr>
      </w:pPr>
    </w:p>
    <w:p>
      <w:pPr>
        <w:spacing w:line="560" w:lineRule="exact"/>
        <w:ind w:firstLine="480" w:firstLineChars="200"/>
        <w:rPr>
          <w:rFonts w:ascii="宋体" w:hAnsi="宋体"/>
          <w:sz w:val="24"/>
          <w:highlight w:val="none"/>
          <w:u w:val="single"/>
          <w:lang w:val="zh-CN"/>
        </w:rPr>
      </w:pPr>
    </w:p>
    <w:p>
      <w:pPr>
        <w:spacing w:line="560" w:lineRule="exact"/>
        <w:ind w:firstLine="480" w:firstLineChars="200"/>
        <w:rPr>
          <w:rFonts w:ascii="宋体" w:hAnsi="宋体"/>
          <w:sz w:val="24"/>
          <w:highlight w:val="none"/>
          <w:u w:val="single"/>
          <w:lang w:val="zh-CN"/>
        </w:rPr>
      </w:pPr>
    </w:p>
    <w:p>
      <w:pPr>
        <w:spacing w:line="560" w:lineRule="exact"/>
        <w:ind w:firstLine="480" w:firstLineChars="200"/>
        <w:rPr>
          <w:rFonts w:ascii="宋体" w:hAnsi="宋体"/>
          <w:sz w:val="24"/>
          <w:highlight w:val="none"/>
          <w:u w:val="single"/>
          <w:lang w:val="zh-CN"/>
        </w:rPr>
      </w:pPr>
    </w:p>
    <w:p>
      <w:pPr>
        <w:spacing w:line="560" w:lineRule="exact"/>
        <w:ind w:firstLine="480" w:firstLineChars="200"/>
        <w:rPr>
          <w:rFonts w:ascii="宋体" w:hAnsi="宋体"/>
          <w:sz w:val="24"/>
          <w:highlight w:val="none"/>
          <w:u w:val="single"/>
          <w:lang w:val="zh-CN"/>
        </w:rPr>
      </w:pPr>
    </w:p>
    <w:p>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（采购人）   </w:t>
      </w:r>
      <w:r>
        <w:rPr>
          <w:rFonts w:ascii="宋体" w:hAnsi="宋体"/>
          <w:sz w:val="24"/>
          <w:highlight w:val="none"/>
          <w:lang w:val="zh-CN"/>
        </w:rPr>
        <w:t>(以下简称：</w:t>
      </w:r>
      <w:r>
        <w:rPr>
          <w:rFonts w:hint="eastAsia" w:ascii="宋体" w:hAnsi="宋体"/>
          <w:sz w:val="24"/>
          <w:highlight w:val="none"/>
          <w:lang w:val="zh-CN"/>
        </w:rPr>
        <w:t>采购人</w:t>
      </w:r>
      <w:r>
        <w:rPr>
          <w:rFonts w:ascii="宋体" w:hAnsi="宋体"/>
          <w:sz w:val="24"/>
          <w:highlight w:val="none"/>
          <w:lang w:val="zh-CN"/>
        </w:rPr>
        <w:t>)和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pPr>
        <w:spacing w:line="560" w:lineRule="exact"/>
        <w:ind w:firstLine="482" w:firstLineChars="200"/>
        <w:outlineLvl w:val="0"/>
        <w:rPr>
          <w:rFonts w:ascii="宋体" w:hAnsi="宋体"/>
          <w:sz w:val="24"/>
          <w:highlight w:val="none"/>
        </w:rPr>
      </w:pPr>
      <w:bookmarkStart w:id="30" w:name="_Toc15367"/>
      <w:bookmarkStart w:id="31" w:name="_Toc19273"/>
      <w:bookmarkStart w:id="32" w:name="_Toc22967"/>
      <w:bookmarkStart w:id="33" w:name="_Toc28855"/>
      <w:bookmarkStart w:id="34" w:name="_Toc20421"/>
      <w:r>
        <w:rPr>
          <w:rFonts w:ascii="宋体" w:hAnsi="宋体"/>
          <w:b/>
          <w:sz w:val="24"/>
          <w:highlight w:val="none"/>
        </w:rPr>
        <w:t xml:space="preserve">1.1 </w:t>
      </w:r>
      <w:r>
        <w:rPr>
          <w:rFonts w:hint="eastAsia" w:ascii="宋体" w:hAnsi="宋体"/>
          <w:b/>
          <w:sz w:val="24"/>
          <w:highlight w:val="none"/>
        </w:rPr>
        <w:t>合同组成部分</w:t>
      </w:r>
      <w:bookmarkEnd w:id="30"/>
      <w:bookmarkEnd w:id="31"/>
      <w:bookmarkEnd w:id="32"/>
      <w:bookmarkEnd w:id="33"/>
      <w:bookmarkEnd w:id="34"/>
    </w:p>
    <w:p>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35" w:name="_Toc18585"/>
      <w:bookmarkStart w:id="36" w:name="_Toc22185"/>
      <w:bookmarkStart w:id="37" w:name="_Toc6311"/>
      <w:bookmarkStart w:id="38" w:name="_Toc2918"/>
      <w:bookmarkStart w:id="39" w:name="_Toc6773"/>
      <w:r>
        <w:rPr>
          <w:rFonts w:ascii="宋体" w:hAnsi="宋体"/>
          <w:b/>
          <w:sz w:val="24"/>
          <w:highlight w:val="none"/>
        </w:rPr>
        <w:t xml:space="preserve">1.2 </w:t>
      </w:r>
      <w:r>
        <w:rPr>
          <w:rFonts w:hint="eastAsia" w:ascii="宋体" w:hAnsi="宋体"/>
          <w:b/>
          <w:sz w:val="24"/>
          <w:highlight w:val="none"/>
        </w:rPr>
        <w:t>标的</w:t>
      </w:r>
      <w:bookmarkEnd w:id="35"/>
      <w:bookmarkEnd w:id="36"/>
      <w:bookmarkEnd w:id="37"/>
      <w:bookmarkEnd w:id="38"/>
      <w:bookmarkEnd w:id="39"/>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961"/>
        <w:widowControl w:val="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pPr>
        <w:spacing w:line="560" w:lineRule="exact"/>
        <w:ind w:firstLine="480" w:firstLineChars="200"/>
        <w:rPr>
          <w:rFonts w:ascii="宋体" w:hAnsi="宋体" w:cs="宋体"/>
          <w:sz w:val="24"/>
          <w:highlight w:val="none"/>
          <w:u w:val="single"/>
        </w:rPr>
      </w:pPr>
      <w:bookmarkStart w:id="40" w:name="_Toc4929"/>
      <w:bookmarkStart w:id="41" w:name="_Toc1386"/>
      <w:bookmarkStart w:id="42" w:name="_Toc13918"/>
      <w:bookmarkStart w:id="43" w:name="_Toc5635"/>
      <w:bookmarkStart w:id="44"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
      <w:bookmarkEnd w:id="41"/>
      <w:bookmarkEnd w:id="42"/>
      <w:bookmarkEnd w:id="43"/>
      <w:bookmarkEnd w:id="44"/>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322"/>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322"/>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highlight w:val="none"/>
              </w:rPr>
            </w:pPr>
          </w:p>
        </w:tc>
        <w:tc>
          <w:tcPr>
            <w:tcW w:w="3402" w:type="dxa"/>
            <w:vAlign w:val="center"/>
          </w:tcPr>
          <w:p>
            <w:pPr>
              <w:pStyle w:val="322"/>
              <w:spacing w:line="560" w:lineRule="exact"/>
              <w:ind w:firstLine="200"/>
              <w:jc w:val="center"/>
              <w:rPr>
                <w:rFonts w:hAnsi="宋体"/>
                <w:sz w:val="24"/>
                <w:szCs w:val="24"/>
                <w:highlight w:val="none"/>
              </w:rPr>
            </w:pPr>
          </w:p>
        </w:tc>
        <w:tc>
          <w:tcPr>
            <w:tcW w:w="2552" w:type="dxa"/>
            <w:vAlign w:val="center"/>
          </w:tcPr>
          <w:p>
            <w:pPr>
              <w:pStyle w:val="322"/>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322"/>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sz w:val="24"/>
          <w:highlight w:val="none"/>
        </w:rPr>
      </w:pPr>
      <w:bookmarkStart w:id="45" w:name="_Toc3654"/>
      <w:bookmarkStart w:id="46" w:name="_Toc30506"/>
      <w:bookmarkStart w:id="47" w:name="_Toc14993"/>
      <w:bookmarkStart w:id="48" w:name="_Toc30158"/>
      <w:bookmarkStart w:id="49" w:name="_Toc2691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pPr>
        <w:pStyle w:val="5"/>
        <w:keepNext w:val="0"/>
        <w:keepLines w:val="0"/>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5"/>
    <w:bookmarkEnd w:id="46"/>
    <w:bookmarkEnd w:id="47"/>
    <w:bookmarkEnd w:id="48"/>
    <w:bookmarkEnd w:id="49"/>
    <w:p>
      <w:pPr>
        <w:pStyle w:val="961"/>
        <w:widowControl w:val="0"/>
        <w:spacing w:before="0" w:beforeAutospacing="0" w:after="0" w:afterAutospacing="0" w:line="360" w:lineRule="auto"/>
        <w:ind w:firstLine="480"/>
        <w:rPr>
          <w:b/>
          <w:highlight w:val="none"/>
        </w:rPr>
      </w:pPr>
      <w:bookmarkStart w:id="50" w:name="_Toc22618"/>
      <w:bookmarkStart w:id="51" w:name="_Toc1814"/>
      <w:bookmarkStart w:id="52" w:name="_Toc10340"/>
      <w:bookmarkStart w:id="53" w:name="_Toc3625"/>
      <w:bookmarkStart w:id="54" w:name="_Toc8772"/>
      <w:bookmarkStart w:id="55" w:name="_Toc31421"/>
      <w:bookmarkStart w:id="56" w:name="_Toc11108"/>
      <w:bookmarkStart w:id="57" w:name="_Toc4760"/>
      <w:r>
        <w:rPr>
          <w:rFonts w:hint="eastAsia"/>
          <w:b/>
          <w:highlight w:val="none"/>
        </w:rPr>
        <w:t>1.4履约保证金</w:t>
      </w:r>
    </w:p>
    <w:p>
      <w:pPr>
        <w:pStyle w:val="961"/>
        <w:widowControl w:val="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5"/>
        <w:keepNext w:val="0"/>
        <w:keepLines w:val="0"/>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w:t>
      </w:r>
      <w:r>
        <w:rPr>
          <w:rFonts w:hint="eastAsia" w:ascii="宋体" w:hAnsi="宋体" w:eastAsia="宋体" w:cs="宋体"/>
          <w:b w:val="0"/>
          <w:bCs w:val="0"/>
          <w:kern w:val="0"/>
          <w:sz w:val="24"/>
          <w:szCs w:val="24"/>
          <w:highlight w:val="none"/>
          <w:lang w:val="en-US" w:eastAsia="zh-CN"/>
        </w:rPr>
        <w:t>采购人</w:t>
      </w:r>
      <w:r>
        <w:rPr>
          <w:rFonts w:hint="eastAsia" w:ascii="宋体" w:hAnsi="宋体" w:eastAsia="宋体" w:cs="宋体"/>
          <w:b w:val="0"/>
          <w:bCs w:val="0"/>
          <w:kern w:val="0"/>
          <w:sz w:val="24"/>
          <w:szCs w:val="24"/>
          <w:highlight w:val="none"/>
          <w:lang w:val="en-US"/>
        </w:rPr>
        <w:t>有权从履约保证金中取得补偿或赔偿，同时不影响</w:t>
      </w:r>
      <w:r>
        <w:rPr>
          <w:rFonts w:hint="eastAsia" w:ascii="宋体" w:hAnsi="宋体" w:eastAsia="宋体" w:cs="宋体"/>
          <w:b w:val="0"/>
          <w:bCs w:val="0"/>
          <w:kern w:val="0"/>
          <w:sz w:val="24"/>
          <w:szCs w:val="24"/>
          <w:highlight w:val="none"/>
          <w:lang w:val="en-US" w:eastAsia="zh-CN"/>
        </w:rPr>
        <w:t>采购人</w:t>
      </w:r>
      <w:r>
        <w:rPr>
          <w:rFonts w:hint="eastAsia" w:ascii="宋体" w:hAnsi="宋体" w:eastAsia="宋体" w:cs="宋体"/>
          <w:b w:val="0"/>
          <w:bCs w:val="0"/>
          <w:kern w:val="0"/>
          <w:sz w:val="24"/>
          <w:szCs w:val="24"/>
          <w:highlight w:val="none"/>
          <w:lang w:val="en-US"/>
        </w:rPr>
        <w:t>要求乙方承担合同约定的超过履约保证金的违约责任的权利；</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w:t>
      </w:r>
      <w:r>
        <w:rPr>
          <w:rFonts w:hint="eastAsia" w:ascii="宋体" w:hAnsi="宋体" w:cs="宋体"/>
          <w:kern w:val="0"/>
          <w:sz w:val="24"/>
          <w:highlight w:val="none"/>
          <w:lang w:eastAsia="zh-CN"/>
        </w:rPr>
        <w:t>采购人</w:t>
      </w:r>
      <w:r>
        <w:rPr>
          <w:rFonts w:hint="eastAsia" w:ascii="宋体" w:hAnsi="宋体" w:cs="宋体"/>
          <w:kern w:val="0"/>
          <w:sz w:val="24"/>
          <w:highlight w:val="none"/>
        </w:rPr>
        <w:t>在项目验收结束后及时退还履约保证金。</w:t>
      </w:r>
      <w:r>
        <w:rPr>
          <w:rFonts w:hint="eastAsia" w:ascii="宋体" w:hAnsi="宋体" w:cs="宋体"/>
          <w:kern w:val="0"/>
          <w:sz w:val="24"/>
          <w:highlight w:val="none"/>
          <w:lang w:eastAsia="zh-CN"/>
        </w:rPr>
        <w:t>采购人</w:t>
      </w:r>
      <w:r>
        <w:rPr>
          <w:rFonts w:hint="eastAsia" w:ascii="宋体" w:hAnsi="宋体" w:cs="宋体"/>
          <w:kern w:val="0"/>
          <w:sz w:val="24"/>
          <w:highlight w:val="none"/>
        </w:rPr>
        <w:t>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w:t>
      </w:r>
      <w:r>
        <w:rPr>
          <w:rFonts w:hint="eastAsia" w:ascii="宋体" w:hAnsi="宋体" w:cs="宋体"/>
          <w:kern w:val="0"/>
          <w:sz w:val="24"/>
          <w:highlight w:val="none"/>
          <w:lang w:eastAsia="zh-CN"/>
        </w:rPr>
        <w:t>采购人</w:t>
      </w:r>
      <w:r>
        <w:rPr>
          <w:rFonts w:hint="eastAsia" w:ascii="宋体" w:hAnsi="宋体" w:cs="宋体"/>
          <w:kern w:val="0"/>
          <w:sz w:val="24"/>
          <w:highlight w:val="none"/>
        </w:rPr>
        <w:t>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50"/>
      <w:bookmarkEnd w:id="51"/>
      <w:bookmarkEnd w:id="52"/>
      <w:r>
        <w:rPr>
          <w:rFonts w:hint="eastAsia" w:ascii="宋体" w:hAnsi="宋体" w:cs="宋体"/>
          <w:b/>
          <w:sz w:val="24"/>
          <w:highlight w:val="none"/>
        </w:rPr>
        <w:t>预付款</w:t>
      </w:r>
    </w:p>
    <w:p>
      <w:pPr>
        <w:pStyle w:val="961"/>
        <w:widowControl w:val="0"/>
        <w:spacing w:before="0" w:beforeAutospacing="0" w:after="0" w:afterAutospacing="0" w:line="360" w:lineRule="auto"/>
        <w:ind w:firstLine="480"/>
        <w:rPr>
          <w:highlight w:val="none"/>
        </w:rPr>
      </w:pPr>
      <w:r>
        <w:rPr>
          <w:rFonts w:hint="eastAsia"/>
          <w:highlight w:val="none"/>
          <w:lang w:eastAsia="zh-CN"/>
        </w:rPr>
        <w:t>采购人</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961"/>
        <w:widowControl w:val="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highlight w:val="none"/>
          <w:u w:val="single"/>
        </w:rPr>
        <w:t>合同专用条款</w:t>
      </w:r>
      <w:r>
        <w:rPr>
          <w:rFonts w:hint="eastAsia"/>
          <w:highlight w:val="none"/>
          <w:u w:val="single"/>
        </w:rPr>
        <w:t xml:space="preserve">           </w:t>
      </w:r>
      <w:r>
        <w:rPr>
          <w:rFonts w:hint="eastAsia"/>
          <w:highlight w:val="none"/>
        </w:rPr>
        <w:t>；</w:t>
      </w:r>
    </w:p>
    <w:p>
      <w:pPr>
        <w:pStyle w:val="961"/>
        <w:widowControl w:val="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highlight w:val="none"/>
          <w:u w:val="single"/>
        </w:rPr>
        <w:t>合同专用条款</w:t>
      </w:r>
      <w:r>
        <w:rPr>
          <w:rFonts w:hint="eastAsia"/>
          <w:highlight w:val="none"/>
          <w:u w:val="single"/>
        </w:rPr>
        <w:t xml:space="preserve">          </w:t>
      </w:r>
      <w:r>
        <w:rPr>
          <w:rFonts w:hint="eastAsia"/>
          <w:highlight w:val="none"/>
        </w:rPr>
        <w:t>。</w:t>
      </w:r>
    </w:p>
    <w:p>
      <w:pPr>
        <w:pStyle w:val="961"/>
        <w:widowControl w:val="0"/>
        <w:spacing w:before="0" w:beforeAutospacing="0" w:after="0" w:afterAutospacing="0" w:line="360" w:lineRule="auto"/>
        <w:ind w:firstLine="480"/>
        <w:rPr>
          <w:b/>
          <w:bCs/>
          <w:highlight w:val="none"/>
        </w:rPr>
      </w:pPr>
      <w:r>
        <w:rPr>
          <w:rFonts w:hint="eastAsia"/>
          <w:b/>
          <w:bCs/>
          <w:highlight w:val="none"/>
        </w:rPr>
        <w:t>1.6资金支付</w:t>
      </w:r>
    </w:p>
    <w:p>
      <w:pPr>
        <w:pStyle w:val="961"/>
        <w:widowControl w:val="0"/>
        <w:spacing w:before="0" w:beforeAutospacing="0" w:after="0" w:afterAutospacing="0" w:line="360" w:lineRule="auto"/>
        <w:ind w:firstLine="480"/>
        <w:rPr>
          <w:highlight w:val="none"/>
        </w:rPr>
      </w:pPr>
      <w:r>
        <w:rPr>
          <w:rFonts w:hint="eastAsia"/>
          <w:highlight w:val="none"/>
        </w:rPr>
        <w:t>1.6.1</w:t>
      </w:r>
      <w:r>
        <w:rPr>
          <w:rFonts w:hint="eastAsia"/>
          <w:highlight w:val="none"/>
          <w:lang w:eastAsia="zh-CN"/>
        </w:rPr>
        <w:t>采购人</w:t>
      </w:r>
      <w:r>
        <w:rPr>
          <w:rFonts w:hint="eastAsia"/>
          <w:highlight w:val="none"/>
        </w:rPr>
        <w:t>应严格履行合同，及时组织验收，验收合格后及时将合同款支付完毕。对于满足合同约定支付条件的，</w:t>
      </w:r>
      <w:r>
        <w:rPr>
          <w:rFonts w:hint="eastAsia"/>
          <w:highlight w:val="none"/>
          <w:lang w:eastAsia="zh-CN"/>
        </w:rPr>
        <w:t>采购人</w:t>
      </w:r>
      <w:r>
        <w:rPr>
          <w:rFonts w:hint="eastAsia"/>
          <w:highlight w:val="none"/>
        </w:rPr>
        <w:t>自收到发票后5个工作日内将资金支付到合同约定的乙方账户，有条件的</w:t>
      </w:r>
      <w:r>
        <w:rPr>
          <w:rFonts w:hint="eastAsia"/>
          <w:highlight w:val="none"/>
          <w:lang w:eastAsia="zh-CN"/>
        </w:rPr>
        <w:t>采购人</w:t>
      </w:r>
      <w:r>
        <w:rPr>
          <w:rFonts w:hint="eastAsia"/>
          <w:highlight w:val="none"/>
        </w:rPr>
        <w:t>可以即时支付。</w:t>
      </w:r>
      <w:r>
        <w:rPr>
          <w:rFonts w:hint="eastAsia"/>
          <w:highlight w:val="none"/>
          <w:lang w:eastAsia="zh-CN"/>
        </w:rPr>
        <w:t>采购人</w:t>
      </w:r>
      <w:r>
        <w:rPr>
          <w:rFonts w:hint="eastAsia"/>
          <w:highlight w:val="none"/>
        </w:rPr>
        <w:t>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53"/>
      <w:bookmarkEnd w:id="54"/>
      <w:bookmarkEnd w:id="55"/>
      <w:bookmarkEnd w:id="56"/>
      <w:bookmarkEnd w:id="57"/>
    </w:p>
    <w:p>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sz w:val="24"/>
          <w:highlight w:val="none"/>
          <w:u w:val="single"/>
        </w:rPr>
        <w:t>合同专用条款</w:t>
      </w:r>
      <w:r>
        <w:rPr>
          <w:rFonts w:hint="eastAsia" w:ascii="宋体" w:hAnsi="宋体"/>
          <w:sz w:val="24"/>
          <w:highlight w:val="none"/>
        </w:rPr>
        <w:t>。</w:t>
      </w:r>
    </w:p>
    <w:p>
      <w:pPr>
        <w:spacing w:line="560" w:lineRule="exact"/>
        <w:ind w:firstLine="480" w:firstLineChars="200"/>
        <w:outlineLvl w:val="0"/>
        <w:rPr>
          <w:rFonts w:ascii="宋体" w:hAnsi="宋体"/>
          <w:bCs/>
          <w:sz w:val="24"/>
          <w:highlight w:val="none"/>
        </w:rPr>
      </w:pPr>
      <w:bookmarkStart w:id="58" w:name="_Toc2375"/>
      <w:bookmarkStart w:id="59" w:name="_Toc5698"/>
      <w:bookmarkStart w:id="60" w:name="_Toc8586"/>
      <w:bookmarkStart w:id="61" w:name="_Toc3079"/>
      <w:bookmarkStart w:id="62" w:name="_Toc24662"/>
      <w:r>
        <w:rPr>
          <w:rFonts w:hint="eastAsia" w:ascii="宋体" w:hAnsi="宋体"/>
          <w:bCs/>
          <w:sz w:val="24"/>
          <w:highlight w:val="none"/>
        </w:rPr>
        <w:t>1.7.4若服务</w:t>
      </w:r>
      <w:r>
        <w:rPr>
          <w:rFonts w:hint="eastAsia"/>
          <w:bCs/>
          <w:sz w:val="24"/>
          <w:highlight w:val="none"/>
        </w:rPr>
        <w:t>涉及货物的，则货物的：</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58"/>
      <w:bookmarkEnd w:id="59"/>
      <w:bookmarkEnd w:id="60"/>
      <w:bookmarkEnd w:id="61"/>
      <w:bookmarkEnd w:id="62"/>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w:t>
      </w:r>
      <w:r>
        <w:rPr>
          <w:rFonts w:hint="eastAsia" w:ascii="宋体" w:hAnsi="宋体"/>
          <w:sz w:val="24"/>
          <w:highlight w:val="none"/>
          <w:lang w:eastAsia="zh-CN"/>
        </w:rPr>
        <w:t>采购人</w:t>
      </w:r>
      <w:r>
        <w:rPr>
          <w:rFonts w:ascii="宋体" w:hAnsi="宋体"/>
          <w:sz w:val="24"/>
          <w:highlight w:val="none"/>
        </w:rPr>
        <w:t>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hint="eastAsia" w:ascii="宋体" w:hAnsi="宋体"/>
          <w:sz w:val="24"/>
          <w:highlight w:val="none"/>
          <w:lang w:eastAsia="zh-CN"/>
        </w:rPr>
        <w:t>采购人</w:t>
      </w:r>
      <w:r>
        <w:rPr>
          <w:rFonts w:ascii="宋体" w:hAnsi="宋体"/>
          <w:sz w:val="24"/>
          <w:highlight w:val="none"/>
        </w:rPr>
        <w:t>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pPr>
        <w:pStyle w:val="5"/>
        <w:keepNext w:val="0"/>
        <w:keepLines w:val="0"/>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rPr>
        <w:t>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rPr>
        <w:t>有权在要求乙方支付违约金的同时，书面通知乙方解除本合同；</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w:t>
      </w:r>
      <w:r>
        <w:rPr>
          <w:rFonts w:hint="eastAsia" w:ascii="宋体" w:hAnsi="宋体" w:cs="宋体"/>
          <w:sz w:val="24"/>
          <w:highlight w:val="none"/>
          <w:lang w:eastAsia="zh-CN"/>
        </w:rPr>
        <w:t>采购人</w:t>
      </w:r>
      <w:r>
        <w:rPr>
          <w:rFonts w:hint="eastAsia" w:ascii="宋体" w:hAnsi="宋体" w:cs="宋体"/>
          <w:sz w:val="24"/>
          <w:highlight w:val="none"/>
        </w:rPr>
        <w:t>没有按照本合同约定的付款方式付款，那么乙方可要求</w:t>
      </w:r>
      <w:r>
        <w:rPr>
          <w:rFonts w:hint="eastAsia" w:ascii="宋体" w:hAnsi="宋体" w:cs="宋体"/>
          <w:sz w:val="24"/>
          <w:highlight w:val="none"/>
          <w:lang w:eastAsia="zh-CN"/>
        </w:rPr>
        <w:t>采购人</w:t>
      </w:r>
      <w:r>
        <w:rPr>
          <w:rFonts w:hint="eastAsia" w:ascii="宋体" w:hAnsi="宋体" w:cs="宋体"/>
          <w:sz w:val="24"/>
          <w:highlight w:val="none"/>
        </w:rPr>
        <w:t>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w:t>
      </w:r>
      <w:r>
        <w:rPr>
          <w:rFonts w:hint="eastAsia" w:ascii="宋体" w:hAnsi="宋体" w:cs="宋体"/>
          <w:sz w:val="24"/>
          <w:highlight w:val="none"/>
          <w:lang w:eastAsia="zh-CN"/>
        </w:rPr>
        <w:t>采购人</w:t>
      </w:r>
      <w:r>
        <w:rPr>
          <w:rFonts w:hint="eastAsia" w:ascii="宋体" w:hAnsi="宋体" w:cs="宋体"/>
          <w:sz w:val="24"/>
          <w:highlight w:val="none"/>
        </w:rPr>
        <w:t>支付违约金的同时，书面通知</w:t>
      </w:r>
      <w:r>
        <w:rPr>
          <w:rFonts w:hint="eastAsia" w:ascii="宋体" w:hAnsi="宋体" w:cs="宋体"/>
          <w:sz w:val="24"/>
          <w:highlight w:val="none"/>
          <w:lang w:eastAsia="zh-CN"/>
        </w:rPr>
        <w:t>采购人</w:t>
      </w:r>
      <w:r>
        <w:rPr>
          <w:rFonts w:hint="eastAsia" w:ascii="宋体" w:hAnsi="宋体" w:cs="宋体"/>
          <w:sz w:val="24"/>
          <w:highlight w:val="none"/>
        </w:rPr>
        <w:t>解除本合同</w:t>
      </w:r>
      <w:r>
        <w:rPr>
          <w:rFonts w:hint="eastAsia" w:ascii="宋体" w:hAnsi="宋体"/>
          <w:sz w:val="24"/>
          <w:highlight w:val="none"/>
        </w:rPr>
        <w:t>；</w:t>
      </w:r>
    </w:p>
    <w:p>
      <w:pPr>
        <w:spacing w:line="560" w:lineRule="exact"/>
        <w:ind w:firstLine="480" w:firstLineChars="200"/>
        <w:rPr>
          <w:rFonts w:ascii="宋体" w:hAnsi="宋体" w:cs="宋体"/>
          <w:sz w:val="24"/>
          <w:highlight w:val="none"/>
        </w:rPr>
      </w:pPr>
      <w:bookmarkStart w:id="63" w:name="_Toc30329"/>
      <w:bookmarkStart w:id="64" w:name="_Toc26807"/>
      <w:bookmarkStart w:id="65" w:name="_Toc32454"/>
      <w:bookmarkStart w:id="66" w:name="_Toc18683"/>
      <w:bookmarkStart w:id="67" w:name="_Toc949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w:t>
      </w:r>
      <w:r>
        <w:rPr>
          <w:rFonts w:hint="eastAsia" w:ascii="宋体" w:hAnsi="宋体" w:cs="宋体"/>
          <w:sz w:val="24"/>
          <w:highlight w:val="none"/>
          <w:lang w:eastAsia="zh-CN"/>
        </w:rPr>
        <w:t>采购人</w:t>
      </w:r>
      <w:r>
        <w:rPr>
          <w:rFonts w:hint="eastAsia" w:ascii="宋体" w:hAnsi="宋体" w:cs="宋体"/>
          <w:sz w:val="24"/>
          <w:highlight w:val="none"/>
        </w:rPr>
        <w:t>暂停采购活动的情形，或者询问或质疑事项可能影响中标或者成交结果的，导致</w:t>
      </w:r>
      <w:r>
        <w:rPr>
          <w:rFonts w:hint="eastAsia" w:ascii="宋体" w:hAnsi="宋体" w:cs="宋体"/>
          <w:sz w:val="24"/>
          <w:highlight w:val="none"/>
          <w:lang w:eastAsia="zh-CN"/>
        </w:rPr>
        <w:t>采购人</w:t>
      </w:r>
      <w:r>
        <w:rPr>
          <w:rFonts w:hint="eastAsia" w:ascii="宋体" w:hAnsi="宋体" w:cs="宋体"/>
          <w:sz w:val="24"/>
          <w:highlight w:val="none"/>
        </w:rPr>
        <w:t>中止履行合同的情形，均不视为</w:t>
      </w:r>
      <w:r>
        <w:rPr>
          <w:rFonts w:hint="eastAsia" w:ascii="宋体" w:hAnsi="宋体" w:cs="宋体"/>
          <w:sz w:val="24"/>
          <w:highlight w:val="none"/>
          <w:lang w:eastAsia="zh-CN"/>
        </w:rPr>
        <w:t>采购人</w:t>
      </w:r>
      <w:r>
        <w:rPr>
          <w:rFonts w:hint="eastAsia" w:ascii="宋体" w:hAnsi="宋体" w:cs="宋体"/>
          <w:sz w:val="24"/>
          <w:highlight w:val="none"/>
        </w:rPr>
        <w:t>违约。</w:t>
      </w:r>
    </w:p>
    <w:p>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sz w:val="24"/>
          <w:highlight w:val="none"/>
          <w:u w:val="single"/>
        </w:rPr>
        <w:t>合同专用条款</w:t>
      </w:r>
      <w:r>
        <w:rPr>
          <w:rFonts w:hint="eastAsia" w:ascii="宋体" w:hAnsi="宋体" w:cs="宋体"/>
          <w:sz w:val="24"/>
          <w:highlight w:val="none"/>
        </w:rPr>
        <w:t>另有约定的，从其约定。</w:t>
      </w:r>
    </w:p>
    <w:bookmarkEnd w:id="63"/>
    <w:bookmarkEnd w:id="64"/>
    <w:bookmarkEnd w:id="65"/>
    <w:bookmarkEnd w:id="66"/>
    <w:bookmarkEnd w:id="67"/>
    <w:p>
      <w:pPr>
        <w:spacing w:line="560" w:lineRule="exact"/>
        <w:ind w:firstLine="482" w:firstLineChars="200"/>
        <w:outlineLvl w:val="0"/>
        <w:rPr>
          <w:rFonts w:ascii="宋体" w:hAnsi="宋体" w:cs="宋体"/>
          <w:b/>
          <w:sz w:val="24"/>
          <w:highlight w:val="none"/>
        </w:rPr>
      </w:pPr>
      <w:bookmarkStart w:id="68" w:name="_Toc15583"/>
      <w:bookmarkStart w:id="69" w:name="_Toc28375"/>
      <w:bookmarkStart w:id="70" w:name="_Toc16021"/>
      <w:r>
        <w:rPr>
          <w:rFonts w:hint="eastAsia" w:ascii="宋体" w:hAnsi="宋体" w:cs="宋体"/>
          <w:b/>
          <w:sz w:val="24"/>
          <w:highlight w:val="none"/>
        </w:rPr>
        <w:t>1.9合同争议的解决</w:t>
      </w:r>
      <w:bookmarkEnd w:id="68"/>
      <w:bookmarkEnd w:id="69"/>
      <w:bookmarkEnd w:id="70"/>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bookmarkStart w:id="71" w:name="_Toc11173"/>
      <w:bookmarkStart w:id="72" w:name="_Toc7245"/>
      <w:bookmarkStart w:id="73" w:name="_Toc15322"/>
      <w:r>
        <w:rPr>
          <w:rFonts w:hint="eastAsia" w:ascii="宋体" w:hAnsi="宋体" w:cs="宋体"/>
          <w:b/>
          <w:sz w:val="24"/>
          <w:highlight w:val="none"/>
        </w:rPr>
        <w:t>2.0 合同生效</w:t>
      </w:r>
      <w:bookmarkEnd w:id="71"/>
      <w:bookmarkEnd w:id="72"/>
      <w:bookmarkEnd w:id="73"/>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spacing w:line="560" w:lineRule="exact"/>
        <w:rPr>
          <w:rFonts w:ascii="宋体" w:hAnsi="宋体"/>
          <w:sz w:val="24"/>
          <w:highlight w:val="none"/>
          <w:lang w:val="zh-CN"/>
        </w:rPr>
      </w:pPr>
    </w:p>
    <w:p>
      <w:pPr>
        <w:spacing w:line="560" w:lineRule="exact"/>
        <w:rPr>
          <w:rFonts w:ascii="宋体" w:hAnsi="宋体"/>
          <w:sz w:val="24"/>
          <w:highlight w:val="none"/>
          <w:lang w:val="zh-CN"/>
        </w:rPr>
      </w:pPr>
      <w:r>
        <w:rPr>
          <w:rFonts w:hint="eastAsia" w:ascii="宋体" w:hAnsi="宋体"/>
          <w:b/>
          <w:sz w:val="24"/>
          <w:highlight w:val="none"/>
          <w:lang w:val="zh-CN"/>
        </w:rPr>
        <w:t>采购人</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pPr>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pPr>
        <w:spacing w:line="560" w:lineRule="exact"/>
        <w:rPr>
          <w:rFonts w:ascii="宋体" w:hAnsi="宋体"/>
          <w:sz w:val="24"/>
          <w:highlight w:val="none"/>
          <w:lang w:val="zh-CN"/>
        </w:rPr>
      </w:pPr>
    </w:p>
    <w:p>
      <w:pPr>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pPr>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pPr>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pPr>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pPr>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pPr>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pPr>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pPr>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pPr>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pPr>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pPr>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pPr>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pPr>
        <w:spacing w:line="560" w:lineRule="exact"/>
        <w:jc w:val="left"/>
        <w:rPr>
          <w:rFonts w:ascii="宋体" w:hAnsi="宋体"/>
          <w:b/>
          <w:sz w:val="24"/>
          <w:highlight w:val="none"/>
        </w:rPr>
      </w:pPr>
    </w:p>
    <w:p>
      <w:pPr>
        <w:adjustRightInd/>
        <w:jc w:val="left"/>
        <w:rPr>
          <w:rFonts w:ascii="宋体" w:hAnsi="宋体"/>
          <w:b/>
          <w:sz w:val="24"/>
          <w:highlight w:val="none"/>
        </w:rPr>
      </w:pPr>
      <w:r>
        <w:rPr>
          <w:rFonts w:ascii="宋体" w:hAnsi="宋体"/>
          <w:b/>
          <w:highlight w:val="none"/>
        </w:rPr>
        <w:br w:type="page"/>
      </w:r>
    </w:p>
    <w:p>
      <w:pPr>
        <w:pStyle w:val="703"/>
        <w:autoSpaceDE/>
        <w:autoSpaceDN/>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74" w:name="_Toc25079"/>
      <w:bookmarkStart w:id="75" w:name="_Toc31297"/>
      <w:bookmarkStart w:id="76" w:name="_Toc5228"/>
      <w:bookmarkStart w:id="77" w:name="_Toc14021"/>
      <w:bookmarkStart w:id="78" w:name="_Toc19680"/>
      <w:r>
        <w:rPr>
          <w:rFonts w:ascii="宋体" w:hAnsi="宋体"/>
          <w:b/>
          <w:sz w:val="24"/>
          <w:highlight w:val="none"/>
        </w:rPr>
        <w:t>2.1 定义</w:t>
      </w:r>
      <w:bookmarkEnd w:id="74"/>
      <w:bookmarkEnd w:id="75"/>
      <w:bookmarkEnd w:id="76"/>
      <w:bookmarkEnd w:id="77"/>
      <w:bookmarkEnd w:id="78"/>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lang w:eastAsia="zh-CN"/>
        </w:rPr>
        <w:t>采购人</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w:t>
      </w:r>
      <w:r>
        <w:rPr>
          <w:rFonts w:hint="eastAsia" w:ascii="宋体" w:hAnsi="宋体"/>
          <w:sz w:val="24"/>
          <w:highlight w:val="none"/>
          <w:lang w:eastAsia="zh-CN"/>
        </w:rPr>
        <w:t>采购人</w:t>
      </w:r>
      <w:r>
        <w:rPr>
          <w:rFonts w:hint="eastAsia" w:ascii="宋体" w:hAnsi="宋体"/>
          <w:sz w:val="24"/>
          <w:highlight w:val="none"/>
        </w:rPr>
        <w:t>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79" w:name="_Toc23289"/>
      <w:bookmarkStart w:id="80" w:name="_Toc19539"/>
      <w:bookmarkStart w:id="81" w:name="_Toc3769"/>
      <w:bookmarkStart w:id="82" w:name="_Toc31402"/>
      <w:bookmarkStart w:id="83" w:name="_Toc16752"/>
      <w:r>
        <w:rPr>
          <w:rFonts w:ascii="宋体" w:hAnsi="宋体"/>
          <w:b/>
          <w:sz w:val="24"/>
          <w:highlight w:val="none"/>
        </w:rPr>
        <w:t>2.2 技术规范</w:t>
      </w:r>
      <w:bookmarkEnd w:id="79"/>
      <w:bookmarkEnd w:id="80"/>
      <w:bookmarkEnd w:id="81"/>
      <w:bookmarkEnd w:id="82"/>
      <w:bookmarkEnd w:id="83"/>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w:t>
      </w:r>
      <w:r>
        <w:rPr>
          <w:rFonts w:hint="eastAsia" w:ascii="宋体" w:hAnsi="宋体"/>
          <w:sz w:val="24"/>
          <w:highlight w:val="none"/>
          <w:lang w:eastAsia="zh-CN"/>
        </w:rPr>
        <w:t>采购人</w:t>
      </w:r>
      <w:r>
        <w:rPr>
          <w:rFonts w:ascii="宋体" w:hAnsi="宋体"/>
          <w:sz w:val="24"/>
          <w:highlight w:val="none"/>
        </w:rPr>
        <w:t>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84" w:name="_Toc27945"/>
      <w:bookmarkStart w:id="85" w:name="_Toc9161"/>
      <w:bookmarkStart w:id="86" w:name="_Toc4133"/>
      <w:bookmarkStart w:id="87" w:name="_Toc13673"/>
      <w:bookmarkStart w:id="88" w:name="_Toc12412"/>
      <w:r>
        <w:rPr>
          <w:rFonts w:ascii="宋体" w:hAnsi="宋体"/>
          <w:b/>
          <w:sz w:val="24"/>
          <w:highlight w:val="none"/>
        </w:rPr>
        <w:t>2.3 知识产权</w:t>
      </w:r>
      <w:bookmarkEnd w:id="84"/>
      <w:bookmarkEnd w:id="85"/>
      <w:bookmarkEnd w:id="86"/>
      <w:bookmarkEnd w:id="87"/>
      <w:bookmarkEnd w:id="88"/>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w:t>
      </w:r>
      <w:r>
        <w:rPr>
          <w:rFonts w:hint="eastAsia" w:ascii="宋体" w:hAnsi="宋体"/>
          <w:sz w:val="24"/>
          <w:highlight w:val="none"/>
          <w:lang w:eastAsia="zh-CN"/>
        </w:rPr>
        <w:t>采购人</w:t>
      </w:r>
      <w:r>
        <w:rPr>
          <w:rFonts w:hint="eastAsia" w:ascii="宋体" w:hAnsi="宋体"/>
          <w:sz w:val="24"/>
          <w:highlight w:val="none"/>
        </w:rPr>
        <w:t>声誉免受损害，</w:t>
      </w:r>
      <w:r>
        <w:rPr>
          <w:rFonts w:hint="eastAsia" w:ascii="宋体" w:hAnsi="宋体"/>
          <w:sz w:val="24"/>
          <w:highlight w:val="none"/>
          <w:lang w:eastAsia="zh-CN"/>
        </w:rPr>
        <w:t>采购人</w:t>
      </w:r>
      <w:r>
        <w:rPr>
          <w:rFonts w:hint="eastAsia" w:ascii="宋体" w:hAnsi="宋体"/>
          <w:sz w:val="24"/>
          <w:highlight w:val="none"/>
        </w:rPr>
        <w:t>保留追责的权利。</w:t>
      </w:r>
    </w:p>
    <w:p>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sz w:val="24"/>
          <w:highlight w:val="none"/>
          <w:u w:val="single"/>
        </w:rPr>
        <w:t>合同专用条款</w:t>
      </w:r>
      <w:r>
        <w:rPr>
          <w:rFonts w:ascii="宋体" w:hAnsi="宋体"/>
          <w:sz w:val="24"/>
          <w:highlight w:val="none"/>
        </w:rPr>
        <w:t>。</w:t>
      </w:r>
    </w:p>
    <w:p>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spacing w:line="560" w:lineRule="exact"/>
        <w:ind w:firstLine="480" w:firstLineChars="200"/>
        <w:rPr>
          <w:rFonts w:ascii="宋体" w:hAnsi="宋体"/>
          <w:sz w:val="24"/>
          <w:highlight w:val="none"/>
        </w:rPr>
      </w:pPr>
      <w:r>
        <w:rPr>
          <w:rFonts w:ascii="宋体" w:hAnsi="宋体"/>
          <w:sz w:val="24"/>
          <w:highlight w:val="none"/>
        </w:rPr>
        <w:t>2.4.1</w:t>
      </w:r>
      <w:r>
        <w:rPr>
          <w:rFonts w:hint="eastAsia" w:ascii="宋体" w:hAnsi="宋体"/>
          <w:sz w:val="24"/>
          <w:highlight w:val="none"/>
          <w:lang w:eastAsia="zh-CN"/>
        </w:rPr>
        <w:t>采购人</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w:t>
      </w:r>
      <w:r>
        <w:rPr>
          <w:rFonts w:hint="eastAsia" w:ascii="宋体" w:hAnsi="宋体"/>
          <w:sz w:val="24"/>
          <w:highlight w:val="none"/>
          <w:lang w:eastAsia="zh-CN"/>
        </w:rPr>
        <w:t>采购人</w:t>
      </w:r>
      <w:r>
        <w:rPr>
          <w:rFonts w:hint="eastAsia" w:ascii="宋体" w:hAnsi="宋体"/>
          <w:sz w:val="24"/>
          <w:highlight w:val="none"/>
        </w:rPr>
        <w:t>之项目需求，但不得因履约检查妨碍乙方的正常工作，乙方应予积极配合；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w:t>
      </w:r>
      <w:r>
        <w:rPr>
          <w:rFonts w:hint="eastAsia" w:ascii="宋体" w:hAnsi="宋体"/>
          <w:sz w:val="24"/>
          <w:highlight w:val="none"/>
          <w:lang w:eastAsia="zh-CN"/>
        </w:rPr>
        <w:t>采购人</w:t>
      </w:r>
      <w:r>
        <w:rPr>
          <w:rFonts w:hint="eastAsia" w:ascii="宋体" w:hAnsi="宋体"/>
          <w:sz w:val="24"/>
          <w:highlight w:val="none"/>
        </w:rPr>
        <w:t>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highlight w:val="none"/>
        </w:rPr>
      </w:pPr>
      <w:bookmarkStart w:id="89" w:name="_Toc31233"/>
      <w:bookmarkStart w:id="90" w:name="_Toc22011"/>
      <w:bookmarkStart w:id="91" w:name="_Toc26555"/>
      <w:bookmarkStart w:id="92" w:name="_Toc32670"/>
      <w:bookmarkStart w:id="93" w:name="_Toc15447"/>
      <w:r>
        <w:rPr>
          <w:rFonts w:ascii="宋体" w:hAnsi="宋体"/>
          <w:b/>
          <w:sz w:val="24"/>
          <w:highlight w:val="none"/>
        </w:rPr>
        <w:t>2.5 结算方式和付款条件</w:t>
      </w:r>
      <w:bookmarkEnd w:id="89"/>
      <w:bookmarkEnd w:id="90"/>
      <w:bookmarkEnd w:id="91"/>
      <w:bookmarkEnd w:id="92"/>
      <w:bookmarkEnd w:id="93"/>
    </w:p>
    <w:p>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sz w:val="24"/>
          <w:highlight w:val="none"/>
          <w:u w:val="single"/>
        </w:rPr>
        <w:t>合同专用条款</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94" w:name="_Toc30507"/>
      <w:bookmarkStart w:id="95" w:name="_Toc13467"/>
      <w:bookmarkStart w:id="96" w:name="_Toc13154"/>
      <w:bookmarkStart w:id="97" w:name="_Toc16163"/>
      <w:bookmarkStart w:id="98" w:name="_Toc18990"/>
      <w:r>
        <w:rPr>
          <w:rFonts w:ascii="宋体" w:hAnsi="宋体"/>
          <w:b/>
          <w:sz w:val="24"/>
          <w:highlight w:val="none"/>
        </w:rPr>
        <w:t>2.6 技术资料和保密义务</w:t>
      </w:r>
      <w:bookmarkEnd w:id="94"/>
      <w:bookmarkEnd w:id="95"/>
      <w:bookmarkEnd w:id="96"/>
      <w:bookmarkEnd w:id="97"/>
      <w:bookmarkEnd w:id="98"/>
    </w:p>
    <w:p>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w:t>
      </w:r>
      <w:r>
        <w:rPr>
          <w:rFonts w:hint="eastAsia" w:ascii="宋体" w:hAnsi="宋体"/>
          <w:sz w:val="24"/>
          <w:highlight w:val="none"/>
          <w:lang w:eastAsia="zh-CN"/>
        </w:rPr>
        <w:t>采购人</w:t>
      </w:r>
      <w:r>
        <w:rPr>
          <w:rFonts w:ascii="宋体" w:hAnsi="宋体"/>
          <w:sz w:val="24"/>
          <w:highlight w:val="none"/>
        </w:rPr>
        <w:t>了解有关情况，调阅有关资料等，</w:t>
      </w:r>
      <w:r>
        <w:rPr>
          <w:rFonts w:hint="eastAsia" w:ascii="宋体" w:hAnsi="宋体"/>
          <w:sz w:val="24"/>
          <w:highlight w:val="none"/>
          <w:lang w:eastAsia="zh-CN"/>
        </w:rPr>
        <w:t>采购人</w:t>
      </w:r>
      <w:r>
        <w:rPr>
          <w:rFonts w:ascii="宋体" w:hAnsi="宋体"/>
          <w:sz w:val="24"/>
          <w:highlight w:val="none"/>
        </w:rPr>
        <w:t>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w:t>
      </w:r>
      <w:r>
        <w:rPr>
          <w:rFonts w:hint="eastAsia" w:ascii="宋体" w:hAnsi="宋体"/>
          <w:sz w:val="24"/>
          <w:highlight w:val="none"/>
          <w:lang w:eastAsia="zh-CN"/>
        </w:rPr>
        <w:t>采购人</w:t>
      </w:r>
      <w:r>
        <w:rPr>
          <w:rFonts w:hint="eastAsia" w:ascii="宋体" w:hAnsi="宋体"/>
          <w:sz w:val="24"/>
          <w:highlight w:val="none"/>
        </w:rPr>
        <w:t>提供的前款信息和资料等；</w:t>
      </w:r>
    </w:p>
    <w:p>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highlight w:val="none"/>
        </w:rPr>
      </w:pPr>
      <w:bookmarkStart w:id="99" w:name="_Toc19069"/>
      <w:r>
        <w:rPr>
          <w:rFonts w:ascii="宋体" w:hAnsi="宋体"/>
          <w:b/>
          <w:sz w:val="24"/>
          <w:highlight w:val="none"/>
        </w:rPr>
        <w:t xml:space="preserve">2.7 </w:t>
      </w:r>
      <w:r>
        <w:rPr>
          <w:rFonts w:hint="eastAsia" w:ascii="宋体" w:hAnsi="宋体"/>
          <w:b/>
          <w:sz w:val="24"/>
          <w:highlight w:val="none"/>
        </w:rPr>
        <w:t>质量保证</w:t>
      </w:r>
      <w:bookmarkEnd w:id="99"/>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w:t>
      </w:r>
      <w:r>
        <w:rPr>
          <w:rFonts w:hint="eastAsia" w:ascii="宋体" w:hAnsi="宋体"/>
          <w:sz w:val="24"/>
          <w:highlight w:val="none"/>
          <w:lang w:eastAsia="zh-CN"/>
        </w:rPr>
        <w:t>采购人</w:t>
      </w:r>
      <w:r>
        <w:rPr>
          <w:rFonts w:hint="eastAsia" w:ascii="宋体" w:hAnsi="宋体"/>
          <w:sz w:val="24"/>
          <w:highlight w:val="none"/>
        </w:rPr>
        <w:t>，以便</w:t>
      </w:r>
      <w:r>
        <w:rPr>
          <w:rFonts w:hint="eastAsia" w:ascii="宋体" w:hAnsi="宋体"/>
          <w:sz w:val="24"/>
          <w:highlight w:val="none"/>
          <w:lang w:eastAsia="zh-CN"/>
        </w:rPr>
        <w:t>采购人</w:t>
      </w:r>
      <w:r>
        <w:rPr>
          <w:rFonts w:hint="eastAsia" w:ascii="宋体" w:hAnsi="宋体"/>
          <w:sz w:val="24"/>
          <w:highlight w:val="none"/>
        </w:rPr>
        <w:t>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w:t>
      </w:r>
      <w:r>
        <w:rPr>
          <w:rFonts w:hint="eastAsia" w:ascii="宋体" w:hAnsi="宋体"/>
          <w:sz w:val="24"/>
          <w:highlight w:val="none"/>
          <w:lang w:eastAsia="zh-CN"/>
        </w:rPr>
        <w:t>采购人</w:t>
      </w:r>
      <w:r>
        <w:rPr>
          <w:rFonts w:hint="eastAsia" w:ascii="宋体" w:hAnsi="宋体"/>
          <w:sz w:val="24"/>
          <w:highlight w:val="none"/>
        </w:rPr>
        <w:t>的监督检查。</w:t>
      </w:r>
    </w:p>
    <w:p>
      <w:pPr>
        <w:spacing w:line="560" w:lineRule="exact"/>
        <w:ind w:firstLine="482" w:firstLineChars="200"/>
        <w:outlineLvl w:val="0"/>
        <w:rPr>
          <w:rFonts w:ascii="宋体" w:hAnsi="宋体"/>
          <w:b/>
          <w:sz w:val="24"/>
          <w:highlight w:val="none"/>
        </w:rPr>
      </w:pPr>
      <w:bookmarkStart w:id="100" w:name="_Toc22267"/>
      <w:r>
        <w:rPr>
          <w:rFonts w:ascii="宋体" w:hAnsi="宋体"/>
          <w:b/>
          <w:sz w:val="24"/>
          <w:highlight w:val="none"/>
        </w:rPr>
        <w:t xml:space="preserve">2.8 </w:t>
      </w:r>
      <w:r>
        <w:rPr>
          <w:rFonts w:hint="eastAsia" w:ascii="宋体" w:hAnsi="宋体"/>
          <w:b/>
          <w:sz w:val="24"/>
          <w:highlight w:val="none"/>
        </w:rPr>
        <w:t>延迟履行</w:t>
      </w:r>
      <w:bookmarkEnd w:id="100"/>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w:t>
      </w:r>
      <w:r>
        <w:rPr>
          <w:rFonts w:hint="eastAsia" w:ascii="宋体" w:hAnsi="宋体"/>
          <w:sz w:val="24"/>
          <w:highlight w:val="none"/>
          <w:lang w:eastAsia="zh-CN"/>
        </w:rPr>
        <w:t>采购人</w:t>
      </w:r>
      <w:r>
        <w:rPr>
          <w:rFonts w:hint="eastAsia" w:ascii="宋体" w:hAnsi="宋体"/>
          <w:sz w:val="24"/>
          <w:highlight w:val="none"/>
        </w:rPr>
        <w:t>；</w:t>
      </w:r>
      <w:r>
        <w:rPr>
          <w:rFonts w:hint="eastAsia" w:ascii="宋体" w:hAnsi="宋体"/>
          <w:sz w:val="24"/>
          <w:highlight w:val="none"/>
          <w:lang w:eastAsia="zh-CN"/>
        </w:rPr>
        <w:t>采购人</w:t>
      </w:r>
      <w:r>
        <w:rPr>
          <w:rFonts w:ascii="宋体" w:hAnsi="宋体"/>
          <w:sz w:val="24"/>
          <w:highlight w:val="none"/>
        </w:rPr>
        <w:t>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101" w:name="_Toc10611"/>
      <w:r>
        <w:rPr>
          <w:rFonts w:ascii="宋体" w:hAnsi="宋体"/>
          <w:b/>
          <w:sz w:val="24"/>
          <w:highlight w:val="none"/>
        </w:rPr>
        <w:t xml:space="preserve">2.9 </w:t>
      </w:r>
      <w:r>
        <w:rPr>
          <w:rFonts w:hint="eastAsia" w:ascii="宋体" w:hAnsi="宋体"/>
          <w:b/>
          <w:sz w:val="24"/>
          <w:highlight w:val="none"/>
        </w:rPr>
        <w:t>合同变更</w:t>
      </w:r>
      <w:bookmarkEnd w:id="101"/>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02" w:name="_Toc21830"/>
      <w:bookmarkStart w:id="103" w:name="_Toc10663"/>
      <w:bookmarkStart w:id="104" w:name="_Toc23368"/>
      <w:bookmarkStart w:id="105" w:name="_Toc26689"/>
      <w:bookmarkStart w:id="106" w:name="_Toc42"/>
      <w:r>
        <w:rPr>
          <w:rFonts w:ascii="宋体" w:hAnsi="宋体"/>
          <w:b/>
          <w:sz w:val="24"/>
          <w:highlight w:val="none"/>
        </w:rPr>
        <w:t>2.10 合同转让和分包</w:t>
      </w:r>
      <w:bookmarkEnd w:id="102"/>
      <w:bookmarkEnd w:id="103"/>
      <w:bookmarkEnd w:id="104"/>
      <w:bookmarkEnd w:id="105"/>
      <w:bookmarkEnd w:id="106"/>
    </w:p>
    <w:p>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w:t>
      </w:r>
      <w:r>
        <w:rPr>
          <w:rFonts w:hint="eastAsia" w:ascii="宋体" w:hAnsi="宋体"/>
          <w:sz w:val="24"/>
          <w:highlight w:val="none"/>
          <w:lang w:eastAsia="zh-CN"/>
        </w:rPr>
        <w:t>采购人</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w:t>
      </w:r>
      <w:r>
        <w:rPr>
          <w:rFonts w:hint="eastAsia" w:ascii="宋体" w:hAnsi="宋体"/>
          <w:sz w:val="24"/>
          <w:highlight w:val="none"/>
          <w:lang w:eastAsia="zh-CN"/>
        </w:rPr>
        <w:t>采购人</w:t>
      </w:r>
      <w:r>
        <w:rPr>
          <w:rFonts w:ascii="宋体" w:hAnsi="宋体"/>
          <w:sz w:val="24"/>
          <w:highlight w:val="none"/>
        </w:rPr>
        <w:t>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w:t>
      </w:r>
      <w:r>
        <w:rPr>
          <w:rFonts w:hint="eastAsia" w:ascii="宋体" w:hAnsi="宋体"/>
          <w:sz w:val="24"/>
          <w:highlight w:val="none"/>
          <w:lang w:eastAsia="zh-CN"/>
        </w:rPr>
        <w:t>采购人</w:t>
      </w:r>
      <w:r>
        <w:rPr>
          <w:rFonts w:hint="eastAsia" w:ascii="宋体" w:hAnsi="宋体"/>
          <w:sz w:val="24"/>
          <w:highlight w:val="none"/>
        </w:rPr>
        <w:t>承担连带责任。</w:t>
      </w:r>
    </w:p>
    <w:p>
      <w:pPr>
        <w:spacing w:line="560" w:lineRule="exact"/>
        <w:ind w:firstLine="482" w:firstLineChars="200"/>
        <w:outlineLvl w:val="0"/>
        <w:rPr>
          <w:rFonts w:ascii="宋体" w:hAnsi="宋体"/>
          <w:b/>
          <w:sz w:val="24"/>
          <w:highlight w:val="none"/>
        </w:rPr>
      </w:pPr>
      <w:bookmarkStart w:id="107" w:name="_Toc14371"/>
      <w:bookmarkStart w:id="108" w:name="_Toc26633"/>
      <w:bookmarkStart w:id="109" w:name="_Toc25571"/>
      <w:bookmarkStart w:id="110" w:name="_Toc32494"/>
      <w:bookmarkStart w:id="111" w:name="_Toc4720"/>
      <w:r>
        <w:rPr>
          <w:rFonts w:ascii="宋体" w:hAnsi="宋体"/>
          <w:b/>
          <w:sz w:val="24"/>
          <w:highlight w:val="none"/>
        </w:rPr>
        <w:t>2.11 不可抗力</w:t>
      </w:r>
      <w:bookmarkEnd w:id="107"/>
      <w:bookmarkEnd w:id="108"/>
      <w:bookmarkEnd w:id="109"/>
      <w:bookmarkEnd w:id="110"/>
      <w:bookmarkEnd w:id="111"/>
    </w:p>
    <w:p>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12" w:name="_Toc14115"/>
      <w:bookmarkStart w:id="113" w:name="_Toc25783"/>
      <w:bookmarkStart w:id="114" w:name="_Toc23854"/>
      <w:bookmarkStart w:id="115" w:name="_Toc3638"/>
      <w:bookmarkStart w:id="116" w:name="_Toc24465"/>
      <w:r>
        <w:rPr>
          <w:rFonts w:ascii="宋体" w:hAnsi="宋体"/>
          <w:b/>
          <w:sz w:val="24"/>
          <w:highlight w:val="none"/>
        </w:rPr>
        <w:t>2.12 税费</w:t>
      </w:r>
      <w:bookmarkEnd w:id="112"/>
      <w:bookmarkEnd w:id="113"/>
      <w:bookmarkEnd w:id="114"/>
      <w:bookmarkEnd w:id="115"/>
      <w:bookmarkEnd w:id="116"/>
    </w:p>
    <w:p>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spacing w:line="560" w:lineRule="exact"/>
        <w:ind w:firstLine="482" w:firstLineChars="200"/>
        <w:outlineLvl w:val="0"/>
        <w:rPr>
          <w:rFonts w:ascii="宋体" w:hAnsi="宋体"/>
          <w:b/>
          <w:sz w:val="24"/>
          <w:highlight w:val="none"/>
        </w:rPr>
      </w:pPr>
      <w:bookmarkStart w:id="117" w:name="_Toc30105"/>
      <w:bookmarkStart w:id="118" w:name="_Toc26883"/>
      <w:bookmarkStart w:id="119" w:name="_Toc25525"/>
      <w:bookmarkStart w:id="120" w:name="_Toc7315"/>
      <w:bookmarkStart w:id="121" w:name="_Toc14814"/>
      <w:r>
        <w:rPr>
          <w:rFonts w:ascii="宋体" w:hAnsi="宋体"/>
          <w:b/>
          <w:sz w:val="24"/>
          <w:highlight w:val="none"/>
        </w:rPr>
        <w:t>2.13 乙方破产</w:t>
      </w:r>
      <w:bookmarkEnd w:id="117"/>
      <w:bookmarkEnd w:id="118"/>
      <w:bookmarkEnd w:id="119"/>
      <w:bookmarkEnd w:id="120"/>
      <w:bookmarkEnd w:id="121"/>
    </w:p>
    <w:p>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w:t>
      </w:r>
      <w:r>
        <w:rPr>
          <w:rFonts w:hint="eastAsia" w:ascii="宋体" w:hAnsi="宋体"/>
          <w:sz w:val="24"/>
          <w:highlight w:val="none"/>
          <w:lang w:eastAsia="zh-CN"/>
        </w:rPr>
        <w:t>采购人</w:t>
      </w:r>
      <w:r>
        <w:rPr>
          <w:rFonts w:ascii="宋体" w:hAnsi="宋体"/>
          <w:sz w:val="24"/>
          <w:highlight w:val="none"/>
        </w:rPr>
        <w:t>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w:t>
      </w:r>
      <w:r>
        <w:rPr>
          <w:rFonts w:hint="eastAsia" w:ascii="宋体" w:hAnsi="宋体"/>
          <w:sz w:val="24"/>
          <w:highlight w:val="none"/>
          <w:lang w:eastAsia="zh-CN"/>
        </w:rPr>
        <w:t>采购人</w:t>
      </w:r>
      <w:r>
        <w:rPr>
          <w:rFonts w:ascii="宋体" w:hAnsi="宋体"/>
          <w:sz w:val="24"/>
          <w:highlight w:val="none"/>
        </w:rPr>
        <w:t>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122" w:name="_Toc1123"/>
      <w:bookmarkStart w:id="123" w:name="_Toc23323"/>
      <w:bookmarkStart w:id="124" w:name="_Toc2016"/>
      <w:r>
        <w:rPr>
          <w:rFonts w:ascii="宋体" w:hAnsi="宋体"/>
          <w:b/>
          <w:sz w:val="24"/>
          <w:highlight w:val="none"/>
        </w:rPr>
        <w:t>2.14 合同中止、终止</w:t>
      </w:r>
      <w:bookmarkEnd w:id="122"/>
      <w:bookmarkEnd w:id="123"/>
      <w:bookmarkEnd w:id="124"/>
    </w:p>
    <w:p>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25" w:name="_Toc14525"/>
      <w:bookmarkStart w:id="126" w:name="_Toc17363"/>
      <w:bookmarkStart w:id="127" w:name="_Toc1969"/>
      <w:r>
        <w:rPr>
          <w:rFonts w:ascii="宋体" w:hAnsi="宋体"/>
          <w:b/>
          <w:sz w:val="24"/>
          <w:highlight w:val="none"/>
        </w:rPr>
        <w:t>2.15 检验和验收</w:t>
      </w:r>
      <w:bookmarkEnd w:id="125"/>
      <w:bookmarkEnd w:id="126"/>
      <w:bookmarkEnd w:id="127"/>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w:t>
      </w:r>
      <w:r>
        <w:rPr>
          <w:rFonts w:hint="eastAsia" w:ascii="宋体" w:hAnsi="宋体"/>
          <w:sz w:val="24"/>
          <w:highlight w:val="none"/>
          <w:lang w:eastAsia="zh-CN"/>
        </w:rPr>
        <w:t>采购人</w:t>
      </w:r>
      <w:r>
        <w:rPr>
          <w:rFonts w:hint="eastAsia" w:ascii="宋体" w:hAnsi="宋体"/>
          <w:sz w:val="24"/>
          <w:highlight w:val="none"/>
        </w:rPr>
        <w:t>按照</w:t>
      </w:r>
      <w:r>
        <w:rPr>
          <w:rFonts w:ascii="宋体" w:hAnsi="宋体"/>
          <w:b/>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w:t>
      </w:r>
      <w:r>
        <w:rPr>
          <w:rFonts w:hint="eastAsia" w:ascii="宋体" w:hAnsi="宋体"/>
          <w:sz w:val="24"/>
          <w:highlight w:val="none"/>
          <w:lang w:eastAsia="zh-CN"/>
        </w:rPr>
        <w:t>采购人</w:t>
      </w:r>
      <w:r>
        <w:rPr>
          <w:rFonts w:hint="eastAsia" w:ascii="宋体" w:hAnsi="宋体"/>
          <w:sz w:val="24"/>
          <w:highlight w:val="none"/>
        </w:rPr>
        <w:t>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sz w:val="24"/>
          <w:highlight w:val="none"/>
          <w:u w:val="single"/>
        </w:rPr>
        <w:t>合同专用条款</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128" w:name="_Toc9808"/>
      <w:bookmarkStart w:id="129" w:name="_Toc12666"/>
      <w:bookmarkStart w:id="130" w:name="_Toc2308"/>
      <w:bookmarkStart w:id="131" w:name="_Toc31892"/>
      <w:bookmarkStart w:id="132" w:name="_Toc25198"/>
      <w:r>
        <w:rPr>
          <w:rFonts w:ascii="宋体" w:hAnsi="宋体"/>
          <w:b/>
          <w:sz w:val="24"/>
          <w:highlight w:val="none"/>
        </w:rPr>
        <w:t>2.16 通知和送达</w:t>
      </w:r>
      <w:bookmarkEnd w:id="128"/>
      <w:bookmarkEnd w:id="129"/>
      <w:bookmarkEnd w:id="130"/>
      <w:bookmarkEnd w:id="131"/>
      <w:bookmarkEnd w:id="132"/>
    </w:p>
    <w:p>
      <w:pPr>
        <w:spacing w:line="560" w:lineRule="exact"/>
        <w:ind w:firstLine="480" w:firstLineChars="200"/>
        <w:rPr>
          <w:rFonts w:ascii="宋体" w:hAnsi="宋体"/>
          <w:sz w:val="24"/>
          <w:highlight w:val="none"/>
        </w:rPr>
      </w:pPr>
      <w:bookmarkStart w:id="133" w:name="_Toc18401"/>
      <w:bookmarkStart w:id="134"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133"/>
      <w:bookmarkEnd w:id="134"/>
    </w:p>
    <w:p>
      <w:pPr>
        <w:spacing w:line="560" w:lineRule="exact"/>
        <w:ind w:firstLine="482" w:firstLineChars="200"/>
        <w:outlineLvl w:val="0"/>
        <w:rPr>
          <w:rFonts w:ascii="宋体" w:hAnsi="宋体"/>
          <w:b/>
          <w:sz w:val="24"/>
          <w:highlight w:val="none"/>
        </w:rPr>
      </w:pPr>
      <w:bookmarkStart w:id="135" w:name="_Toc27644"/>
      <w:bookmarkStart w:id="136" w:name="_Toc5063"/>
      <w:bookmarkStart w:id="137" w:name="_Toc28906"/>
      <w:bookmarkStart w:id="138" w:name="_Toc12254"/>
      <w:bookmarkStart w:id="139" w:name="_Toc20808"/>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135"/>
      <w:bookmarkEnd w:id="136"/>
      <w:bookmarkEnd w:id="137"/>
      <w:bookmarkEnd w:id="138"/>
      <w:bookmarkEnd w:id="139"/>
    </w:p>
    <w:p>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spacing w:line="560" w:lineRule="exact"/>
        <w:ind w:firstLine="482" w:firstLineChars="200"/>
        <w:outlineLvl w:val="0"/>
        <w:rPr>
          <w:rFonts w:ascii="宋体" w:hAnsi="宋体" w:cs="宋体"/>
          <w:b/>
          <w:sz w:val="24"/>
          <w:highlight w:val="none"/>
        </w:rPr>
      </w:pPr>
      <w:bookmarkStart w:id="140" w:name="_Toc4355"/>
      <w:bookmarkStart w:id="141" w:name="_Toc18540"/>
      <w:bookmarkStart w:id="142" w:name="_Toc30599"/>
      <w:r>
        <w:rPr>
          <w:rFonts w:hint="eastAsia" w:ascii="宋体" w:hAnsi="宋体" w:cs="宋体"/>
          <w:b/>
          <w:sz w:val="24"/>
          <w:highlight w:val="none"/>
        </w:rPr>
        <w:t>2.18 计量单位</w:t>
      </w:r>
      <w:bookmarkEnd w:id="140"/>
      <w:bookmarkEnd w:id="141"/>
      <w:bookmarkEnd w:id="142"/>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143" w:name="_Toc331685784"/>
      <w:r>
        <w:rPr>
          <w:rFonts w:hint="eastAsia" w:ascii="宋体" w:hAnsi="宋体" w:cs="宋体"/>
          <w:b/>
          <w:sz w:val="24"/>
          <w:highlight w:val="none"/>
        </w:rPr>
        <w:t xml:space="preserve"> </w:t>
      </w:r>
      <w:bookmarkEnd w:id="143"/>
      <w:r>
        <w:rPr>
          <w:rFonts w:hint="eastAsia" w:ascii="宋体" w:hAnsi="宋体" w:cs="宋体"/>
          <w:b/>
          <w:sz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1.3.2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1.7.4.3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1.8.7</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1.9.2</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4" w:type="pct"/>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2.19</w:t>
            </w:r>
          </w:p>
        </w:tc>
        <w:tc>
          <w:tcPr>
            <w:tcW w:w="4464" w:type="pct"/>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28"/>
      <w:r>
        <w:rPr>
          <w:rFonts w:hint="eastAsia" w:ascii="宋体" w:hAnsi="宋体" w:cs="宋体"/>
          <w:b/>
          <w:sz w:val="36"/>
          <w:szCs w:val="20"/>
          <w:highlight w:val="none"/>
        </w:rPr>
        <w:t xml:space="preserve"> </w:t>
      </w:r>
      <w:bookmarkEnd w:id="29"/>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spacing w:line="360" w:lineRule="auto"/>
        <w:ind w:firstLine="480"/>
        <w:jc w:val="left"/>
        <w:rPr>
          <w:rFonts w:ascii="宋体" w:hAnsi="宋体" w:cs="宋体"/>
          <w:sz w:val="24"/>
          <w:highlight w:val="none"/>
        </w:rPr>
      </w:pPr>
    </w:p>
    <w:p>
      <w:pPr>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spacing w:line="360" w:lineRule="auto"/>
        <w:ind w:left="150"/>
        <w:jc w:val="center"/>
        <w:rPr>
          <w:rFonts w:ascii="宋体" w:hAnsi="宋体" w:cs="宋体"/>
          <w:b/>
          <w:kern w:val="0"/>
          <w:sz w:val="32"/>
          <w:szCs w:val="32"/>
          <w:highlight w:val="none"/>
        </w:rPr>
      </w:pPr>
    </w:p>
    <w:p>
      <w:pPr>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ascii="宋体" w:hAnsi="宋体" w:cs="宋体"/>
          <w:b/>
          <w:kern w:val="0"/>
          <w:sz w:val="32"/>
          <w:szCs w:val="32"/>
          <w:highlight w:val="none"/>
          <w:lang w:val="zh-CN"/>
        </w:rPr>
      </w:pPr>
    </w:p>
    <w:p>
      <w:pPr>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144" w:name="_Hlk101257010"/>
      <w:r>
        <w:rPr>
          <w:rFonts w:hint="eastAsia" w:ascii="宋体" w:hAnsi="宋体" w:cs="宋体"/>
          <w:sz w:val="24"/>
          <w:highlight w:val="none"/>
        </w:rPr>
        <w:t>（如果有)</w:t>
      </w:r>
      <w:bookmarkEnd w:id="144"/>
      <w:r>
        <w:rPr>
          <w:rFonts w:hint="eastAsia" w:ascii="宋体" w:hAnsi="宋体" w:cs="宋体"/>
          <w:snapToGrid w:val="0"/>
          <w:kern w:val="28"/>
          <w:sz w:val="24"/>
          <w:szCs w:val="20"/>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pacing w:line="360" w:lineRule="auto"/>
        <w:ind w:left="420" w:leftChars="200" w:firstLine="480" w:firstLineChars="200"/>
        <w:rPr>
          <w:rFonts w:eastAsia="仿宋_GB2312"/>
          <w:highlight w:val="none"/>
        </w:rPr>
      </w:pPr>
      <w:r>
        <w:rPr>
          <w:rFonts w:hint="eastAsia" w:ascii="宋体" w:hAnsi="宋体" w:cs="宋体"/>
          <w:sz w:val="24"/>
          <w:highlight w:val="none"/>
        </w:rPr>
        <w:t>2.3.2 报价情况说明（如果有）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pStyle w:val="84"/>
        <w:spacing w:line="360" w:lineRule="auto"/>
        <w:ind w:firstLine="960" w:firstLineChars="400"/>
        <w:rPr>
          <w:rFonts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5"/>
        <w:keepNext w:val="0"/>
        <w:keepLines w:val="0"/>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jc w:val="center"/>
        <w:rPr>
          <w:rFonts w:ascii="宋体" w:hAnsi="宋体" w:cs="宋体"/>
          <w:b/>
          <w:kern w:val="0"/>
          <w:sz w:val="32"/>
          <w:szCs w:val="32"/>
          <w:highlight w:val="none"/>
          <w:lang w:val="zh-CN"/>
        </w:rPr>
      </w:pPr>
    </w:p>
    <w:p>
      <w:pPr>
        <w:spacing w:line="360" w:lineRule="auto"/>
        <w:jc w:val="center"/>
        <w:rPr>
          <w:rFonts w:ascii="宋体" w:hAnsi="宋体" w:cs="宋体"/>
          <w:b/>
          <w:kern w:val="0"/>
          <w:sz w:val="32"/>
          <w:szCs w:val="32"/>
          <w:highlight w:val="none"/>
          <w:lang w:val="zh-CN"/>
        </w:rPr>
      </w:pPr>
    </w:p>
    <w:p>
      <w:pPr>
        <w:spacing w:line="360" w:lineRule="auto"/>
        <w:jc w:val="center"/>
        <w:rPr>
          <w:rFonts w:ascii="宋体" w:hAnsi="宋体" w:cs="宋体"/>
          <w:b/>
          <w:kern w:val="0"/>
          <w:sz w:val="32"/>
          <w:szCs w:val="32"/>
          <w:highlight w:val="none"/>
          <w:lang w:val="zh-CN"/>
        </w:rPr>
      </w:pPr>
    </w:p>
    <w:p>
      <w:pPr>
        <w:pStyle w:val="2"/>
        <w:rPr>
          <w:highlight w:val="none"/>
          <w:lang w:val="zh-CN"/>
        </w:rPr>
      </w:pPr>
    </w:p>
    <w:p>
      <w:pPr>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pPr>
              <w:pStyle w:val="152"/>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pPr>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pStyle w:val="2"/>
        <w:rPr>
          <w:rFonts w:cs="宋体"/>
          <w:kern w:val="0"/>
          <w:highlight w:val="none"/>
        </w:rPr>
      </w:pPr>
    </w:p>
    <w:p>
      <w:pPr>
        <w:pStyle w:val="3"/>
        <w:ind w:firstLine="480"/>
        <w:rPr>
          <w:rFonts w:cs="宋体"/>
          <w:kern w:val="0"/>
          <w:sz w:val="24"/>
          <w:highlight w:val="none"/>
        </w:rPr>
      </w:pPr>
    </w:p>
    <w:p>
      <w:pPr>
        <w:rPr>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2"/>
        <w:ind w:firstLine="643"/>
        <w:rPr>
          <w:rFonts w:cs="宋体"/>
          <w:b/>
          <w:kern w:val="0"/>
          <w:sz w:val="32"/>
          <w:szCs w:val="32"/>
          <w:highlight w:val="none"/>
        </w:rPr>
      </w:pPr>
    </w:p>
    <w:p>
      <w:pPr>
        <w:pStyle w:val="3"/>
        <w:ind w:firstLine="643"/>
        <w:rPr>
          <w:rFonts w:cs="宋体"/>
          <w:b/>
          <w:kern w:val="0"/>
          <w:sz w:val="32"/>
          <w:szCs w:val="32"/>
          <w:highlight w:val="none"/>
        </w:rPr>
      </w:pPr>
    </w:p>
    <w:p>
      <w:pPr>
        <w:rPr>
          <w:rFonts w:ascii="宋体" w:hAnsi="宋体" w:cs="宋体"/>
          <w:b/>
          <w:kern w:val="0"/>
          <w:sz w:val="32"/>
          <w:szCs w:val="32"/>
          <w:highlight w:val="none"/>
        </w:rPr>
      </w:pPr>
    </w:p>
    <w:p>
      <w:pPr>
        <w:pStyle w:val="2"/>
        <w:rPr>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spacing w:line="360" w:lineRule="auto"/>
        <w:ind w:left="2"/>
        <w:jc w:val="left"/>
        <w:rPr>
          <w:rFonts w:ascii="宋体" w:hAnsi="宋体" w:cs="宋体"/>
          <w:kern w:val="0"/>
          <w:sz w:val="24"/>
          <w:highlight w:val="none"/>
          <w:lang w:val="zh-CN"/>
        </w:rPr>
      </w:pPr>
    </w:p>
    <w:p>
      <w:pPr>
        <w:spacing w:line="360" w:lineRule="auto"/>
        <w:ind w:left="2"/>
        <w:jc w:val="left"/>
        <w:rPr>
          <w:rFonts w:ascii="宋体" w:hAnsi="宋体" w:cs="宋体"/>
          <w:kern w:val="0"/>
          <w:sz w:val="24"/>
          <w:highlight w:val="none"/>
          <w:lang w:val="zh-CN"/>
        </w:rPr>
      </w:pPr>
    </w:p>
    <w:p>
      <w:pPr>
        <w:spacing w:line="360" w:lineRule="auto"/>
        <w:ind w:left="2"/>
        <w:jc w:val="left"/>
        <w:rPr>
          <w:rFonts w:ascii="宋体" w:hAnsi="宋体" w:cs="宋体"/>
          <w:kern w:val="0"/>
          <w:sz w:val="24"/>
          <w:highlight w:val="none"/>
          <w:lang w:val="zh-CN"/>
        </w:rPr>
      </w:pPr>
    </w:p>
    <w:p>
      <w:pPr>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pStyle w:val="2"/>
        <w:rPr>
          <w:rFonts w:cs="宋体"/>
          <w:highlight w:val="none"/>
        </w:rPr>
      </w:pPr>
    </w:p>
    <w:p>
      <w:pPr>
        <w:pStyle w:val="3"/>
        <w:ind w:firstLine="480"/>
        <w:rPr>
          <w:rFonts w:cs="宋体"/>
          <w:sz w:val="24"/>
          <w:highlight w:val="none"/>
        </w:rPr>
      </w:pPr>
    </w:p>
    <w:p>
      <w:pPr>
        <w:rPr>
          <w:rFonts w:ascii="宋体" w:hAnsi="宋体" w:cs="宋体"/>
          <w:sz w:val="24"/>
          <w:highlight w:val="none"/>
        </w:rPr>
      </w:pPr>
    </w:p>
    <w:p>
      <w:pPr>
        <w:pStyle w:val="2"/>
        <w:rPr>
          <w:rFonts w:cs="宋体"/>
          <w:highlight w:val="none"/>
        </w:rPr>
      </w:pPr>
    </w:p>
    <w:p>
      <w:pPr>
        <w:pStyle w:val="3"/>
        <w:ind w:firstLine="480"/>
        <w:rPr>
          <w:rFonts w:cs="宋体"/>
          <w:sz w:val="24"/>
          <w:highlight w:val="none"/>
        </w:rPr>
      </w:pPr>
    </w:p>
    <w:p>
      <w:pPr>
        <w:rPr>
          <w:rFonts w:ascii="宋体" w:hAnsi="宋体" w:cs="宋体"/>
          <w:sz w:val="24"/>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3"/>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pPr>
        <w:spacing w:line="360" w:lineRule="auto"/>
        <w:rPr>
          <w:rFonts w:ascii="宋体" w:hAnsi="宋体" w:cs="宋体"/>
          <w:sz w:val="24"/>
          <w:highlight w:val="none"/>
        </w:rPr>
      </w:pPr>
      <w:r>
        <w:rPr>
          <w:rFonts w:hint="eastAsia" w:ascii="宋体" w:hAnsi="宋体" w:cs="宋体"/>
          <w:sz w:val="24"/>
          <w:highlight w:val="none"/>
        </w:rPr>
        <w:t>（2）中小企业声明函………………………………………………………………（页码）</w:t>
      </w:r>
    </w:p>
    <w:p>
      <w:pPr>
        <w:pStyle w:val="84"/>
        <w:rPr>
          <w:highlight w:val="none"/>
        </w:rPr>
      </w:pPr>
    </w:p>
    <w:p>
      <w:pPr>
        <w:pStyle w:val="84"/>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247"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2294"/>
        <w:gridCol w:w="1710"/>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序号</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类别</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任务需求</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数量（户）</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单价（元）</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总价(元）</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1</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经营性自建房</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简易鉴定报告</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4029</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2</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经营性自建房公示牌</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公示牌制作及挂牌上墙</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4029</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3</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老旧房屋</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安全评估报告</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509</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ascii="宋体" w:hAnsi="宋体" w:cs="宋体"/>
                <w:b/>
                <w:bCs/>
                <w:color w:val="auto"/>
                <w:sz w:val="24"/>
                <w:szCs w:val="24"/>
                <w:highlight w:val="none"/>
                <w:u w:val="none"/>
                <w:vertAlign w:val="baseline"/>
                <w:lang w:val="en-US" w:eastAsia="zh-CN"/>
              </w:rPr>
              <w:t>4</w:t>
            </w:r>
          </w:p>
        </w:tc>
        <w:tc>
          <w:tcPr>
            <w:tcW w:w="2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重点房屋</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房屋日常巡查</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r>
              <w:rPr>
                <w:rFonts w:hint="eastAsia"/>
                <w:highlight w:val="none"/>
              </w:rPr>
              <w:t>407</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01" w:type="dxa"/>
            <w:shd w:val="clear" w:color="auto" w:fill="auto"/>
            <w:vAlign w:val="center"/>
          </w:tcPr>
          <w:p>
            <w:pPr>
              <w:pStyle w:val="2"/>
              <w:ind w:firstLine="420" w:firstLineChars="200"/>
              <w:jc w:val="center"/>
              <w:rPr>
                <w:rFonts w:hint="eastAsia" w:ascii="宋体" w:hAnsi="宋体" w:eastAsia="宋体" w:cs="Times New Roman"/>
                <w:kern w:val="2"/>
                <w:sz w:val="21"/>
                <w:szCs w:val="21"/>
                <w:highlight w:val="none"/>
                <w:lang w:val="en-US" w:eastAsia="zh-CN" w:bidi="ar-SA"/>
              </w:rPr>
            </w:pPr>
            <w:r>
              <w:rPr>
                <w:rFonts w:hint="eastAsia" w:ascii="宋体" w:eastAsia="宋体"/>
                <w:sz w:val="21"/>
                <w:szCs w:val="21"/>
                <w:highlight w:val="none"/>
                <w:lang w:val="en-US" w:eastAsia="zh-CN"/>
              </w:rPr>
              <w:t>合计</w:t>
            </w:r>
            <w:r>
              <w:rPr>
                <w:rFonts w:hint="eastAsia" w:ascii="宋体" w:eastAsia="宋体"/>
                <w:sz w:val="21"/>
                <w:szCs w:val="21"/>
                <w:highlight w:val="none"/>
              </w:rPr>
              <w:t>总价</w:t>
            </w:r>
          </w:p>
        </w:tc>
        <w:tc>
          <w:tcPr>
            <w:tcW w:w="12016" w:type="dxa"/>
            <w:gridSpan w:val="6"/>
            <w:shd w:val="clear" w:color="auto" w:fill="auto"/>
            <w:vAlign w:val="center"/>
          </w:tcPr>
          <w:p>
            <w:pPr>
              <w:pStyle w:val="2"/>
              <w:ind w:firstLine="0"/>
              <w:jc w:val="left"/>
              <w:rPr>
                <w:rFonts w:hint="eastAsia" w:ascii="宋体" w:eastAsia="宋体"/>
                <w:sz w:val="21"/>
                <w:szCs w:val="21"/>
                <w:highlight w:val="none"/>
              </w:rPr>
            </w:pPr>
            <w:r>
              <w:rPr>
                <w:rFonts w:hint="eastAsia" w:ascii="宋体" w:eastAsia="宋体"/>
                <w:sz w:val="21"/>
                <w:szCs w:val="21"/>
                <w:highlight w:val="none"/>
              </w:rPr>
              <w:t>小写：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b/>
                <w:bCs/>
                <w:color w:val="auto"/>
                <w:sz w:val="24"/>
                <w:szCs w:val="24"/>
                <w:highlight w:val="none"/>
                <w:u w:val="none"/>
                <w:vertAlign w:val="baseline"/>
                <w:lang w:val="en-US" w:eastAsia="zh-CN"/>
              </w:rPr>
            </w:pPr>
            <w:r>
              <w:rPr>
                <w:rFonts w:hint="eastAsia" w:ascii="宋体" w:eastAsia="宋体"/>
                <w:sz w:val="21"/>
                <w:szCs w:val="21"/>
                <w:highlight w:val="none"/>
              </w:rPr>
              <w:t>大写：</w:t>
            </w: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7" w:right="1276" w:bottom="1417" w:left="1247" w:header="851" w:footer="992" w:gutter="0"/>
          <w:cols w:space="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84"/>
        <w:ind w:firstLine="480"/>
        <w:rPr>
          <w:rFonts w:ascii="宋体" w:hAnsi="宋体" w:cs="宋体"/>
          <w:b/>
          <w:sz w:val="24"/>
          <w:highlight w:val="none"/>
        </w:rPr>
      </w:pPr>
    </w:p>
    <w:p>
      <w:pPr>
        <w:pStyle w:val="84"/>
        <w:ind w:firstLine="480"/>
        <w:rPr>
          <w:rFonts w:ascii="宋体" w:hAnsi="宋体" w:cs="宋体"/>
          <w:b/>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4"/>
        <w:keepNext w:val="0"/>
        <w:keepLines w:val="0"/>
        <w:spacing w:before="100" w:beforeAutospacing="1" w:after="100" w:afterAutospacing="1" w:line="360" w:lineRule="auto"/>
        <w:ind w:left="1290" w:firstLine="3092" w:firstLineChars="700"/>
        <w:rPr>
          <w:rFonts w:ascii="宋体" w:hAnsi="宋体" w:cs="宋体"/>
          <w:highlight w:val="none"/>
        </w:rPr>
      </w:pPr>
    </w:p>
    <w:p>
      <w:pPr>
        <w:pStyle w:val="4"/>
        <w:keepNext w:val="0"/>
        <w:keepLines w:val="0"/>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145" w:name="OLE_LINK14"/>
      <w:bookmarkStart w:id="146" w:name="OLE_LINK13"/>
      <w:r>
        <w:rPr>
          <w:rFonts w:hint="eastAsia" w:ascii="宋体" w:hAnsi="宋体" w:cs="宋体"/>
          <w:b/>
          <w:spacing w:val="6"/>
          <w:sz w:val="32"/>
          <w:szCs w:val="32"/>
          <w:highlight w:val="none"/>
        </w:rPr>
        <w:t>残疾人福利性单位声明函</w:t>
      </w:r>
    </w:p>
    <w:bookmarkEnd w:id="145"/>
    <w:bookmarkEnd w:id="146"/>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147"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14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148"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148"/>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4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149"/>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spacing w:val="6"/>
          <w:sz w:val="32"/>
          <w:szCs w:val="32"/>
          <w:highlight w:val="none"/>
        </w:rPr>
      </w:pPr>
    </w:p>
    <w:p>
      <w:pPr>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5"/>
        <w:keepNext w:val="0"/>
        <w:keepLines w:val="0"/>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keepNext w:val="0"/>
        <w:keepLines w:val="0"/>
        <w:rPr>
          <w:rFonts w:ascii="宋体" w:hAnsi="宋体" w:eastAsia="宋体" w:cs="宋体"/>
          <w:highlight w:val="none"/>
          <w:lang w:val="en-US"/>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sectPr>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60840FF"/>
    <w:multiLevelType w:val="singleLevel"/>
    <w:tmpl w:val="560840FF"/>
    <w:lvl w:ilvl="0" w:tentative="0">
      <w:start w:val="1"/>
      <w:numFmt w:val="chineseCounting"/>
      <w:suff w:val="nothing"/>
      <w:lvlText w:val="（%1）"/>
      <w:lvlJc w:val="left"/>
      <w:rPr>
        <w:rFonts w:hint="eastAsia"/>
      </w:rPr>
    </w:lvl>
  </w:abstractNum>
  <w:abstractNum w:abstractNumId="2">
    <w:nsid w:val="6DBF04F4"/>
    <w:multiLevelType w:val="multilevel"/>
    <w:tmpl w:val="6DBF04F4"/>
    <w:lvl w:ilvl="0" w:tentative="0">
      <w:start w:val="1"/>
      <w:numFmt w:val="none"/>
      <w:pStyle w:val="96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OTRlMGRhNjYwYWQ5YTFmODM5NDdlM2VkYjlmYzkifQ=="/>
    <w:docVar w:name="KSO_WPS_MARK_KEY" w:val="c998e5a6-248f-4c5a-9dfd-9f353ce95205"/>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041"/>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3E6"/>
    <w:rsid w:val="00271510"/>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35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C91"/>
    <w:rsid w:val="00363894"/>
    <w:rsid w:val="00363B2A"/>
    <w:rsid w:val="00363BF1"/>
    <w:rsid w:val="00363BF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C"/>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06E"/>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84"/>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72F"/>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EDB"/>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BE8"/>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36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09"/>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88"/>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E2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B5"/>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8EC"/>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34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BEE"/>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880"/>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6E3"/>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20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0F50AC"/>
    <w:rsid w:val="041A5A3B"/>
    <w:rsid w:val="042311BA"/>
    <w:rsid w:val="042B157A"/>
    <w:rsid w:val="04730898"/>
    <w:rsid w:val="048F763B"/>
    <w:rsid w:val="049F330E"/>
    <w:rsid w:val="04AA775C"/>
    <w:rsid w:val="04AF1889"/>
    <w:rsid w:val="04F66F48"/>
    <w:rsid w:val="05251E14"/>
    <w:rsid w:val="0567674F"/>
    <w:rsid w:val="05926759"/>
    <w:rsid w:val="05A16594"/>
    <w:rsid w:val="05A7762D"/>
    <w:rsid w:val="06077851"/>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95588F"/>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2885"/>
    <w:rsid w:val="0C8445DA"/>
    <w:rsid w:val="0C87121B"/>
    <w:rsid w:val="0CC007F7"/>
    <w:rsid w:val="0CC31706"/>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24C7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4543C"/>
    <w:rsid w:val="10F33360"/>
    <w:rsid w:val="10FC16EA"/>
    <w:rsid w:val="110F1D40"/>
    <w:rsid w:val="11266F33"/>
    <w:rsid w:val="118963A1"/>
    <w:rsid w:val="11C6522A"/>
    <w:rsid w:val="11E104CC"/>
    <w:rsid w:val="11E20309"/>
    <w:rsid w:val="11E72B14"/>
    <w:rsid w:val="12255233"/>
    <w:rsid w:val="12391438"/>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5319D"/>
    <w:rsid w:val="166E405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559A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97F91"/>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46237"/>
    <w:rsid w:val="1FD52DD5"/>
    <w:rsid w:val="1FE868A9"/>
    <w:rsid w:val="20034907"/>
    <w:rsid w:val="20173E4B"/>
    <w:rsid w:val="204E48BC"/>
    <w:rsid w:val="208921B3"/>
    <w:rsid w:val="20973DEB"/>
    <w:rsid w:val="20B26522"/>
    <w:rsid w:val="20B44310"/>
    <w:rsid w:val="211116EB"/>
    <w:rsid w:val="216133FC"/>
    <w:rsid w:val="216602FC"/>
    <w:rsid w:val="216F2380"/>
    <w:rsid w:val="21D56769"/>
    <w:rsid w:val="21E52EF3"/>
    <w:rsid w:val="21FB5D7B"/>
    <w:rsid w:val="22015E94"/>
    <w:rsid w:val="220B1C3D"/>
    <w:rsid w:val="22123250"/>
    <w:rsid w:val="221D1D20"/>
    <w:rsid w:val="22334A87"/>
    <w:rsid w:val="225C2514"/>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A1B1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70227"/>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66E0D"/>
    <w:rsid w:val="2DD15014"/>
    <w:rsid w:val="2DF72DE4"/>
    <w:rsid w:val="2E0220AF"/>
    <w:rsid w:val="2E1A3CEF"/>
    <w:rsid w:val="2E4B082A"/>
    <w:rsid w:val="2E5D4E86"/>
    <w:rsid w:val="2E5D790B"/>
    <w:rsid w:val="2E9A3C18"/>
    <w:rsid w:val="2EBB0FEE"/>
    <w:rsid w:val="2EC63002"/>
    <w:rsid w:val="2F0A6B38"/>
    <w:rsid w:val="2F515D49"/>
    <w:rsid w:val="2F946CCB"/>
    <w:rsid w:val="2FD25781"/>
    <w:rsid w:val="2FDC745C"/>
    <w:rsid w:val="2FFD7934"/>
    <w:rsid w:val="30733ACD"/>
    <w:rsid w:val="308C3862"/>
    <w:rsid w:val="309379D8"/>
    <w:rsid w:val="30A270F7"/>
    <w:rsid w:val="30A301AF"/>
    <w:rsid w:val="30DF1478"/>
    <w:rsid w:val="30EC586F"/>
    <w:rsid w:val="310402C4"/>
    <w:rsid w:val="314550B7"/>
    <w:rsid w:val="319C6071"/>
    <w:rsid w:val="31AC537E"/>
    <w:rsid w:val="31E3679B"/>
    <w:rsid w:val="31E732FD"/>
    <w:rsid w:val="32517576"/>
    <w:rsid w:val="32BE5C2C"/>
    <w:rsid w:val="32FB6478"/>
    <w:rsid w:val="33263B3F"/>
    <w:rsid w:val="336963EB"/>
    <w:rsid w:val="337771AE"/>
    <w:rsid w:val="33816EEB"/>
    <w:rsid w:val="33EB55CD"/>
    <w:rsid w:val="33EC4C02"/>
    <w:rsid w:val="33F151B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557F8"/>
    <w:rsid w:val="37EE7094"/>
    <w:rsid w:val="38296C89"/>
    <w:rsid w:val="383002EB"/>
    <w:rsid w:val="38586797"/>
    <w:rsid w:val="38BC0149"/>
    <w:rsid w:val="38D87D1C"/>
    <w:rsid w:val="39636459"/>
    <w:rsid w:val="396B7F6C"/>
    <w:rsid w:val="39763A64"/>
    <w:rsid w:val="39B417A9"/>
    <w:rsid w:val="39FC5695"/>
    <w:rsid w:val="3A006D8E"/>
    <w:rsid w:val="3A3651E5"/>
    <w:rsid w:val="3A744481"/>
    <w:rsid w:val="3A8C7BEF"/>
    <w:rsid w:val="3A906246"/>
    <w:rsid w:val="3B2349B7"/>
    <w:rsid w:val="3B3B101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B4C4B"/>
    <w:rsid w:val="40592157"/>
    <w:rsid w:val="406E1CAE"/>
    <w:rsid w:val="40A0133A"/>
    <w:rsid w:val="40C31A53"/>
    <w:rsid w:val="40FF545D"/>
    <w:rsid w:val="410067C8"/>
    <w:rsid w:val="418F0D2A"/>
    <w:rsid w:val="41D01505"/>
    <w:rsid w:val="42474939"/>
    <w:rsid w:val="424C3C57"/>
    <w:rsid w:val="42613FF3"/>
    <w:rsid w:val="42630E09"/>
    <w:rsid w:val="42660D96"/>
    <w:rsid w:val="428667D2"/>
    <w:rsid w:val="4289052F"/>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32B9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51245"/>
    <w:rsid w:val="495F5B3E"/>
    <w:rsid w:val="496F77D7"/>
    <w:rsid w:val="497654FD"/>
    <w:rsid w:val="49B64211"/>
    <w:rsid w:val="49E56AF9"/>
    <w:rsid w:val="49F6167F"/>
    <w:rsid w:val="4A064FA0"/>
    <w:rsid w:val="4A16615C"/>
    <w:rsid w:val="4A4424D7"/>
    <w:rsid w:val="4AB82D0F"/>
    <w:rsid w:val="4AEB7664"/>
    <w:rsid w:val="4AFD7C19"/>
    <w:rsid w:val="4B0567D1"/>
    <w:rsid w:val="4B0C4228"/>
    <w:rsid w:val="4B236AAE"/>
    <w:rsid w:val="4B65492A"/>
    <w:rsid w:val="4B707271"/>
    <w:rsid w:val="4B9739F7"/>
    <w:rsid w:val="4BEE2503"/>
    <w:rsid w:val="4C245A30"/>
    <w:rsid w:val="4C513F5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27271"/>
    <w:rsid w:val="516E7209"/>
    <w:rsid w:val="518832C8"/>
    <w:rsid w:val="518F5DD9"/>
    <w:rsid w:val="519D3C50"/>
    <w:rsid w:val="51A0432A"/>
    <w:rsid w:val="51A86090"/>
    <w:rsid w:val="51B65F29"/>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1431B"/>
    <w:rsid w:val="57CD20C2"/>
    <w:rsid w:val="57D675AB"/>
    <w:rsid w:val="57D95FDD"/>
    <w:rsid w:val="58917D2F"/>
    <w:rsid w:val="5894085C"/>
    <w:rsid w:val="58AE4F0C"/>
    <w:rsid w:val="58B85899"/>
    <w:rsid w:val="58E363A9"/>
    <w:rsid w:val="593A7270"/>
    <w:rsid w:val="595E1678"/>
    <w:rsid w:val="596D5BD4"/>
    <w:rsid w:val="597E3DD8"/>
    <w:rsid w:val="59F80043"/>
    <w:rsid w:val="5A09252F"/>
    <w:rsid w:val="5A0B2778"/>
    <w:rsid w:val="5A19292D"/>
    <w:rsid w:val="5A2A7C7B"/>
    <w:rsid w:val="5A3E2560"/>
    <w:rsid w:val="5A5D3B6E"/>
    <w:rsid w:val="5A637A76"/>
    <w:rsid w:val="5A6D33BA"/>
    <w:rsid w:val="5A792B1F"/>
    <w:rsid w:val="5A874767"/>
    <w:rsid w:val="5AA85BE2"/>
    <w:rsid w:val="5AAD6F28"/>
    <w:rsid w:val="5AD63A24"/>
    <w:rsid w:val="5B2E1A1D"/>
    <w:rsid w:val="5B6514E1"/>
    <w:rsid w:val="5B843A1C"/>
    <w:rsid w:val="5B873E3F"/>
    <w:rsid w:val="5C02690E"/>
    <w:rsid w:val="5C196DA7"/>
    <w:rsid w:val="5C2A048C"/>
    <w:rsid w:val="5C31636E"/>
    <w:rsid w:val="5C80234E"/>
    <w:rsid w:val="5C8A680C"/>
    <w:rsid w:val="5CD66781"/>
    <w:rsid w:val="5D0C4701"/>
    <w:rsid w:val="5D0F0395"/>
    <w:rsid w:val="5D221076"/>
    <w:rsid w:val="5D397964"/>
    <w:rsid w:val="5D5A391C"/>
    <w:rsid w:val="5D5F10C0"/>
    <w:rsid w:val="5D891B7B"/>
    <w:rsid w:val="5D952D82"/>
    <w:rsid w:val="5DAD38EE"/>
    <w:rsid w:val="5DCA5FA9"/>
    <w:rsid w:val="5DEA5426"/>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41FC3"/>
    <w:rsid w:val="68B96DBB"/>
    <w:rsid w:val="68CA2805"/>
    <w:rsid w:val="68E937A3"/>
    <w:rsid w:val="691664E5"/>
    <w:rsid w:val="693E15D3"/>
    <w:rsid w:val="69430CDD"/>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E315C"/>
    <w:rsid w:val="6C850C95"/>
    <w:rsid w:val="6C8C67B7"/>
    <w:rsid w:val="6C9D744C"/>
    <w:rsid w:val="6D167928"/>
    <w:rsid w:val="6D26299B"/>
    <w:rsid w:val="6D4772EC"/>
    <w:rsid w:val="6D9078AF"/>
    <w:rsid w:val="6DAA3FEF"/>
    <w:rsid w:val="6DB15EDB"/>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EA135B"/>
    <w:rsid w:val="71F1796A"/>
    <w:rsid w:val="720A067E"/>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62603"/>
    <w:rsid w:val="757F20E7"/>
    <w:rsid w:val="757F686D"/>
    <w:rsid w:val="7583797F"/>
    <w:rsid w:val="75A153E9"/>
    <w:rsid w:val="75D20F1D"/>
    <w:rsid w:val="75DA2C18"/>
    <w:rsid w:val="75E94E98"/>
    <w:rsid w:val="75F54412"/>
    <w:rsid w:val="76101FFD"/>
    <w:rsid w:val="761D08E0"/>
    <w:rsid w:val="761F37B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4B5AE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C22B4E"/>
    <w:rsid w:val="7BEE0103"/>
    <w:rsid w:val="7C0A0FE4"/>
    <w:rsid w:val="7C254906"/>
    <w:rsid w:val="7C512DF6"/>
    <w:rsid w:val="7C590818"/>
    <w:rsid w:val="7C592CF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97FF50B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8"/>
    <w:qFormat/>
    <w:uiPriority w:val="0"/>
    <w:pPr>
      <w:spacing w:line="480" w:lineRule="exact"/>
      <w:ind w:firstLine="480" w:firstLineChars="200"/>
    </w:pPr>
    <w:rPr>
      <w:rFonts w:ascii="宋体" w:hAnsi="宋体"/>
      <w:sz w:val="24"/>
    </w:rPr>
  </w:style>
  <w:style w:type="paragraph" w:styleId="3">
    <w:name w:val="Body Text First Indent 2"/>
    <w:basedOn w:val="2"/>
    <w:next w:val="1"/>
    <w:link w:val="124"/>
    <w:qFormat/>
    <w:uiPriority w:val="0"/>
    <w:pPr>
      <w:adjustRightInd/>
      <w:spacing w:after="120" w:line="240" w:lineRule="auto"/>
      <w:ind w:left="420" w:leftChars="200" w:firstLine="210"/>
    </w:pPr>
    <w:rPr>
      <w:sz w:val="21"/>
    </w:rPr>
  </w:style>
  <w:style w:type="paragraph" w:styleId="7">
    <w:name w:val="Normal Indent"/>
    <w:basedOn w:val="1"/>
    <w:next w:val="2"/>
    <w:link w:val="196"/>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3"/>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1 字符1"/>
    <w:link w:val="4"/>
    <w:qFormat/>
    <w:uiPriority w:val="9"/>
    <w:rPr>
      <w:b/>
      <w:bCs/>
      <w:kern w:val="44"/>
      <w:sz w:val="44"/>
      <w:szCs w:val="44"/>
    </w:rPr>
  </w:style>
  <w:style w:type="character" w:customStyle="1" w:styleId="81">
    <w:name w:val="标题 3 字符"/>
    <w:qFormat/>
    <w:uiPriority w:val="9"/>
    <w:rPr>
      <w:b/>
      <w:bCs/>
      <w:kern w:val="2"/>
      <w:sz w:val="32"/>
      <w:szCs w:val="32"/>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正文文本首行缩进 21"/>
    <w:basedOn w:val="2"/>
    <w:qFormat/>
    <w:uiPriority w:val="99"/>
    <w:pPr>
      <w:spacing w:line="200" w:lineRule="atLeast"/>
      <w:ind w:firstLine="420"/>
    </w:pPr>
    <w:rPr>
      <w:rFonts w:hAnsi="Courier New"/>
      <w:spacing w:val="-4"/>
      <w:sz w:val="18"/>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5"/>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8"/>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8">
    <w:name w:val="注："/>
    <w:next w:val="641"/>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969">
    <w:name w:val="NormalIndent"/>
    <w:basedOn w:val="1"/>
    <w:qFormat/>
    <w:uiPriority w:val="0"/>
    <w:pPr>
      <w:ind w:firstLine="420"/>
      <w:textAlignment w:val="baseline"/>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Vanke</Company>
  <Pages>73</Pages>
  <Words>35654</Words>
  <Characters>37730</Characters>
  <Lines>375</Lines>
  <Paragraphs>105</Paragraphs>
  <TotalTime>35</TotalTime>
  <ScaleCrop>false</ScaleCrop>
  <LinksUpToDate>false</LinksUpToDate>
  <CharactersWithSpaces>43125</CharactersWithSpaces>
  <Application>WPS Office_11.1.0.12165_F1E327BC-269C-435d-A152-05C5408002CA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2024-09-30T05:51:00Z</dcterms:created>
  <dc:creator>Administrator</dc:creator>
  <cp:lastModifiedBy>Liu</cp:lastModifiedBy>
  <cp:lastPrinted>2021-12-28T03:06:00Z</cp:lastPrinted>
  <dcterms:modified xsi:type="dcterms:W3CDTF">2025-01-02T08:06:35Z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D6881F6DB1E14D449B50553BA1451E30_13</vt:lpwstr>
  </property>
</Properties>
</file>