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4D54848C">
      <w:pPr>
        <w:spacing w:line="360" w:lineRule="auto"/>
        <w:jc w:val="center"/>
        <w:rPr>
          <w:rFonts w:ascii="宋体" w:hAnsi="宋体" w:cs="宋体"/>
          <w:b/>
          <w:color w:val="auto"/>
          <w:sz w:val="44"/>
          <w:szCs w:val="44"/>
          <w:highlight w:val="none"/>
        </w:rPr>
      </w:pPr>
    </w:p>
    <w:p w14:paraId="7E3993E5">
      <w:pPr>
        <w:adjustRightInd/>
        <w:spacing w:line="360" w:lineRule="auto"/>
        <w:jc w:val="center"/>
        <w:rPr>
          <w:rFonts w:ascii="宋体" w:hAnsi="宋体" w:cs="宋体"/>
          <w:b/>
          <w:color w:val="auto"/>
          <w:sz w:val="48"/>
          <w:szCs w:val="48"/>
          <w:highlight w:val="none"/>
        </w:rPr>
      </w:pPr>
    </w:p>
    <w:p w14:paraId="0F01F23D">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青山湖街道横畈集镇道路保洁、14个行政村及横畈集镇垃圾清运服务项目</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编号:（[2025]66号）</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00E902D1">
      <w:pPr>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杭州市临安区人民政府青山湖街道办事处</w:t>
      </w:r>
    </w:p>
    <w:p w14:paraId="289DCB7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杭州鼎诚工程造价咨询有限公司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 月 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9822"/>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青山湖街道横畈集镇道路保洁、14个行政村及横畈集镇垃圾清运服务项目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 年 月 日 点 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rPr>
        <w:t>青山湖街道横畈集镇道路保洁、14个行政村及横畈集镇垃圾清运服务项目</w:t>
      </w:r>
    </w:p>
    <w:p w14:paraId="0312DF7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rPr>
        <w:t>[2025]66号</w:t>
      </w:r>
    </w:p>
    <w:p w14:paraId="1C6D4C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预算金额（元）：1795400</w:t>
      </w:r>
      <w:r>
        <w:rPr>
          <w:rFonts w:ascii="宋体" w:hAnsi="宋体" w:cs="宋体"/>
          <w:color w:val="auto"/>
          <w:sz w:val="24"/>
          <w:highlight w:val="none"/>
        </w:rPr>
        <w:t xml:space="preserve"> </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最高限价（元）：1689476</w:t>
      </w:r>
      <w:r>
        <w:rPr>
          <w:rFonts w:ascii="宋体" w:hAnsi="宋体" w:cs="宋体"/>
          <w:color w:val="auto"/>
          <w:sz w:val="24"/>
          <w:highlight w:val="none"/>
        </w:rPr>
        <w:t xml:space="preserve"> </w:t>
      </w:r>
    </w:p>
    <w:p w14:paraId="6EC5DB8E">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（青山湖街道横畈集镇道路保洁、14个行政村及横畈集镇垃圾清运服务项目）主要内容： 青山湖街道横畈集镇道路保洁、14个行政村及横畈集镇垃圾清运</w:t>
      </w:r>
      <w:r>
        <w:rPr>
          <w:rFonts w:hint="eastAsia" w:hAnsi="宋体" w:cs="宋体"/>
          <w:bCs/>
          <w:snapToGrid/>
          <w:color w:val="auto"/>
          <w:kern w:val="2"/>
          <w:sz w:val="24"/>
          <w:szCs w:val="24"/>
          <w:highlight w:val="none"/>
          <w:lang w:eastAsia="zh-CN"/>
        </w:rPr>
        <w:t>、</w:t>
      </w:r>
      <w:r>
        <w:rPr>
          <w:rFonts w:hint="eastAsia" w:ascii="宋体" w:hAnsi="宋体" w:cs="宋体"/>
          <w:color w:val="auto"/>
          <w:sz w:val="24"/>
          <w:lang w:val="en-US" w:eastAsia="zh-CN"/>
        </w:rPr>
        <w:t>集镇沿街商铺生活垃圾摇铃收集、小区上门收集</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1"/>
        <w:ind w:firstLine="482"/>
        <w:outlineLvl w:val="2"/>
        <w:rPr>
          <w:rFonts w:hint="eastAsia" w:ascii="宋体" w:hAnsi="宋体" w:eastAsia="宋体" w:cs="宋体"/>
          <w:color w:val="auto"/>
          <w:highlight w:val="none"/>
          <w:lang w:val="en-US" w:eastAsia="zh-CN"/>
        </w:rPr>
      </w:pPr>
      <w:r>
        <w:rPr>
          <w:rFonts w:hint="eastAsia" w:ascii="宋体" w:hAnsi="宋体" w:cs="宋体"/>
          <w:b/>
          <w:color w:val="auto"/>
          <w:highlight w:val="none"/>
        </w:rPr>
        <w:t>合同履约期限：</w:t>
      </w:r>
      <w:r>
        <w:rPr>
          <w:rFonts w:ascii="宋体" w:hAnsi="宋体" w:cs="宋体"/>
          <w:color w:val="auto"/>
          <w:highlight w:val="none"/>
        </w:rPr>
        <w:t xml:space="preserve"> </w:t>
      </w:r>
      <w:r>
        <w:rPr>
          <w:rFonts w:hint="eastAsia" w:ascii="宋体" w:hAnsi="宋体" w:cs="宋体"/>
          <w:color w:val="auto"/>
          <w:highlight w:val="none"/>
          <w:lang w:val="en-US" w:eastAsia="zh-CN"/>
        </w:rPr>
        <w:t>本项目承包服务期为一年，自2024年8月01日至2025年7月31日。投标单位按照一年费用报价，因本服务为延续性服务，服务不能中断，所以2024年8月01日开始采购单位委托原服务供应商先提供延续服务，服务费按实结算，经采购单位确认后，由中标供应商支付给采购单位原服务供应商（计算方式为原合同日平均费用*原服务供应商本合同服务期内实际服务天数）</w:t>
      </w:r>
    </w:p>
    <w:p w14:paraId="07281B02">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2025年04月02日14点00分00秒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62208892">
      <w:pPr>
        <w:spacing w:line="360" w:lineRule="auto"/>
        <w:rPr>
          <w:rFonts w:ascii="宋体" w:hAnsi="宋体" w:cs="宋体"/>
          <w:sz w:val="24"/>
        </w:rPr>
      </w:pPr>
      <w:r>
        <w:rPr>
          <w:rFonts w:hint="eastAsia" w:ascii="宋体" w:hAnsi="宋体" w:cs="宋体"/>
          <w:color w:val="auto"/>
          <w:sz w:val="24"/>
          <w:highlight w:val="none"/>
        </w:rPr>
        <w:t xml:space="preserve">   </w:t>
      </w:r>
      <w:r>
        <w:rPr>
          <w:rFonts w:hint="eastAsia" w:ascii="宋体" w:hAnsi="宋体" w:cs="宋体"/>
          <w:sz w:val="24"/>
        </w:rPr>
        <w:t xml:space="preserve">  1.采购人信息</w:t>
      </w:r>
    </w:p>
    <w:p w14:paraId="701837F9">
      <w:pPr>
        <w:spacing w:line="360" w:lineRule="auto"/>
        <w:rPr>
          <w:rFonts w:ascii="宋体" w:hAnsi="宋体" w:cs="宋体"/>
          <w:color w:val="auto"/>
          <w:sz w:val="24"/>
        </w:rPr>
      </w:pPr>
      <w:r>
        <w:rPr>
          <w:rFonts w:hint="eastAsia" w:ascii="宋体" w:hAnsi="宋体" w:cs="宋体"/>
          <w:sz w:val="24"/>
        </w:rPr>
        <w:t xml:space="preserve">   </w:t>
      </w:r>
      <w:r>
        <w:rPr>
          <w:rFonts w:hint="eastAsia" w:ascii="宋体" w:hAnsi="宋体" w:cs="宋体"/>
          <w:color w:val="auto"/>
          <w:sz w:val="24"/>
        </w:rPr>
        <w:t xml:space="preserve"> 名    称：</w:t>
      </w:r>
      <w:r>
        <w:rPr>
          <w:rFonts w:hint="eastAsia" w:ascii="宋体" w:hAnsi="宋体" w:cs="宋体"/>
          <w:color w:val="auto"/>
          <w:sz w:val="24"/>
          <w:lang w:eastAsia="zh-CN"/>
        </w:rPr>
        <w:t>杭州市临安区人民政府青山湖街道办事处</w:t>
      </w:r>
    </w:p>
    <w:p w14:paraId="64691F67">
      <w:pPr>
        <w:spacing w:line="360" w:lineRule="auto"/>
        <w:rPr>
          <w:rFonts w:ascii="宋体" w:hAnsi="宋体" w:cs="宋体"/>
          <w:color w:val="auto"/>
          <w:sz w:val="24"/>
        </w:rPr>
      </w:pPr>
      <w:r>
        <w:rPr>
          <w:rFonts w:hint="eastAsia" w:ascii="宋体" w:hAnsi="宋体" w:cs="宋体"/>
          <w:color w:val="auto"/>
          <w:sz w:val="24"/>
        </w:rPr>
        <w:t xml:space="preserve">    地    址：杭州市临安区青山湖街道天柱街552号      </w:t>
      </w:r>
    </w:p>
    <w:p w14:paraId="6DE4D819">
      <w:pPr>
        <w:spacing w:line="360" w:lineRule="auto"/>
        <w:ind w:firstLine="480"/>
        <w:rPr>
          <w:rFonts w:ascii="宋体" w:hAnsi="宋体" w:cs="宋体"/>
          <w:color w:val="auto"/>
          <w:sz w:val="24"/>
          <w:highlight w:val="none"/>
        </w:rPr>
      </w:pPr>
      <w:r>
        <w:rPr>
          <w:rFonts w:hint="eastAsia" w:ascii="宋体" w:hAnsi="宋体" w:cs="宋体"/>
          <w:color w:val="auto"/>
          <w:sz w:val="24"/>
        </w:rPr>
        <w:t>传    真</w:t>
      </w:r>
      <w:r>
        <w:rPr>
          <w:rFonts w:hint="eastAsia" w:ascii="宋体" w:hAnsi="宋体" w:cs="宋体"/>
          <w:color w:val="auto"/>
          <w:sz w:val="24"/>
          <w:highlight w:val="none"/>
        </w:rPr>
        <w:t>： /</w:t>
      </w:r>
    </w:p>
    <w:p w14:paraId="2D08829B">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 xml:space="preserve">胡飞翔  </w:t>
      </w:r>
    </w:p>
    <w:p w14:paraId="3B30DEAB">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0571-63779801</w:t>
      </w:r>
    </w:p>
    <w:p w14:paraId="6BECF369">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 xml:space="preserve">叶珍玮 </w:t>
      </w:r>
    </w:p>
    <w:p w14:paraId="22E7A533">
      <w:pPr>
        <w:spacing w:line="360" w:lineRule="auto"/>
        <w:rPr>
          <w:rFonts w:hint="eastAsia" w:ascii="宋体" w:hAnsi="宋体" w:eastAsia="宋体" w:cs="宋体"/>
          <w:color w:val="auto"/>
          <w:sz w:val="24"/>
          <w:highlight w:val="yellow"/>
          <w:lang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 xml:space="preserve">0571-63788359 </w:t>
      </w:r>
    </w:p>
    <w:p w14:paraId="3F684A54">
      <w:pPr>
        <w:spacing w:line="360" w:lineRule="auto"/>
        <w:rPr>
          <w:rFonts w:ascii="宋体" w:hAnsi="宋体" w:cs="宋体"/>
          <w:sz w:val="24"/>
        </w:rPr>
      </w:pPr>
      <w:r>
        <w:rPr>
          <w:rFonts w:hint="eastAsia" w:ascii="宋体" w:hAnsi="宋体" w:cs="宋体"/>
          <w:sz w:val="24"/>
        </w:rPr>
        <w:t xml:space="preserve">    2.采购代理机构信息            </w:t>
      </w:r>
    </w:p>
    <w:p w14:paraId="584F3D4F">
      <w:pPr>
        <w:spacing w:line="360" w:lineRule="auto"/>
        <w:ind w:firstLine="480" w:firstLineChars="200"/>
        <w:rPr>
          <w:rFonts w:hint="eastAsia" w:ascii="宋体" w:hAnsi="宋体" w:cs="宋体"/>
          <w:sz w:val="24"/>
        </w:rPr>
      </w:pPr>
      <w:r>
        <w:rPr>
          <w:rFonts w:hint="eastAsia" w:ascii="宋体" w:hAnsi="宋体" w:cs="宋体"/>
          <w:sz w:val="24"/>
        </w:rPr>
        <w:t>名    称：杭州鼎诚工程造价咨询有限公司</w:t>
      </w:r>
    </w:p>
    <w:p w14:paraId="51B48228">
      <w:pPr>
        <w:spacing w:line="360" w:lineRule="auto"/>
        <w:ind w:firstLine="480" w:firstLineChars="200"/>
        <w:rPr>
          <w:rFonts w:hint="eastAsia" w:ascii="宋体" w:hAnsi="宋体" w:cs="宋体"/>
          <w:sz w:val="24"/>
        </w:rPr>
      </w:pPr>
      <w:r>
        <w:rPr>
          <w:rFonts w:hint="eastAsia" w:ascii="宋体" w:hAnsi="宋体" w:cs="宋体"/>
          <w:sz w:val="24"/>
        </w:rPr>
        <w:t>地    址：</w:t>
      </w:r>
      <w:r>
        <w:rPr>
          <w:rFonts w:hint="eastAsia" w:ascii="宋体" w:hAnsi="宋体" w:cs="宋体"/>
          <w:sz w:val="24"/>
          <w:lang w:eastAsia="zh-CN"/>
        </w:rPr>
        <w:t>浙江省杭州市临安区锦城街道钱王街535号5楼</w:t>
      </w:r>
    </w:p>
    <w:p w14:paraId="30407CE3">
      <w:pPr>
        <w:spacing w:line="360" w:lineRule="auto"/>
        <w:rPr>
          <w:rFonts w:hint="eastAsia" w:ascii="宋体" w:hAnsi="宋体" w:cs="宋体"/>
          <w:sz w:val="24"/>
        </w:rPr>
      </w:pPr>
      <w:r>
        <w:rPr>
          <w:rFonts w:hint="eastAsia" w:ascii="宋体" w:hAnsi="宋体" w:cs="宋体"/>
          <w:sz w:val="24"/>
        </w:rPr>
        <w:t xml:space="preserve">    传    真：</w:t>
      </w:r>
      <w:r>
        <w:rPr>
          <w:rFonts w:hint="eastAsia" w:ascii="宋体" w:hAnsi="宋体" w:cs="宋体"/>
          <w:sz w:val="24"/>
          <w:lang w:val="en-US" w:eastAsia="zh-CN"/>
        </w:rPr>
        <w:t>0571-63922972</w:t>
      </w:r>
      <w:r>
        <w:rPr>
          <w:rFonts w:hint="eastAsia" w:ascii="宋体" w:hAnsi="宋体" w:cs="宋体"/>
          <w:sz w:val="24"/>
        </w:rPr>
        <w:t xml:space="preserve">             </w:t>
      </w:r>
    </w:p>
    <w:p w14:paraId="36679FBA">
      <w:pPr>
        <w:spacing w:line="360" w:lineRule="auto"/>
        <w:rPr>
          <w:rFonts w:hint="eastAsia" w:ascii="宋体" w:hAnsi="宋体" w:cs="宋体"/>
          <w:sz w:val="24"/>
        </w:rPr>
      </w:pPr>
      <w:r>
        <w:rPr>
          <w:rFonts w:hint="eastAsia" w:ascii="宋体" w:hAnsi="宋体" w:cs="宋体"/>
          <w:sz w:val="24"/>
        </w:rPr>
        <w:t xml:space="preserve">    项目联系人（询问）：</w:t>
      </w:r>
      <w:r>
        <w:rPr>
          <w:rFonts w:hint="eastAsia" w:ascii="宋体" w:hAnsi="宋体" w:cs="宋体"/>
          <w:sz w:val="24"/>
          <w:lang w:eastAsia="zh-CN"/>
        </w:rPr>
        <w:t>毛程</w:t>
      </w:r>
      <w:r>
        <w:rPr>
          <w:rFonts w:hint="eastAsia" w:ascii="宋体" w:hAnsi="宋体" w:cs="宋体"/>
          <w:sz w:val="24"/>
        </w:rPr>
        <w:t xml:space="preserve">         </w:t>
      </w:r>
    </w:p>
    <w:p w14:paraId="649446F8">
      <w:pPr>
        <w:spacing w:line="360" w:lineRule="auto"/>
        <w:ind w:firstLine="480"/>
        <w:rPr>
          <w:rFonts w:hint="eastAsia" w:ascii="宋体" w:hAnsi="宋体" w:cs="宋体"/>
          <w:sz w:val="24"/>
          <w:lang w:val="en-US" w:eastAsia="zh-CN"/>
        </w:rPr>
      </w:pPr>
      <w:r>
        <w:rPr>
          <w:rFonts w:hint="eastAsia" w:ascii="宋体" w:hAnsi="宋体" w:cs="宋体"/>
          <w:sz w:val="24"/>
        </w:rPr>
        <w:t>项目联系方式（询问）：</w:t>
      </w:r>
      <w:r>
        <w:rPr>
          <w:rFonts w:hint="eastAsia" w:ascii="宋体" w:hAnsi="宋体" w:cs="宋体"/>
          <w:sz w:val="24"/>
          <w:lang w:val="en-US" w:eastAsia="zh-CN"/>
        </w:rPr>
        <w:t>0571-63922972</w:t>
      </w:r>
    </w:p>
    <w:p w14:paraId="7F7EFAA8">
      <w:pPr>
        <w:spacing w:line="360" w:lineRule="auto"/>
        <w:ind w:firstLine="480"/>
        <w:rPr>
          <w:rFonts w:hint="eastAsia" w:ascii="宋体" w:hAnsi="宋体" w:cs="宋体"/>
          <w:sz w:val="24"/>
        </w:rPr>
      </w:pPr>
      <w:r>
        <w:rPr>
          <w:rFonts w:hint="eastAsia" w:ascii="宋体" w:hAnsi="宋体" w:cs="宋体"/>
          <w:sz w:val="24"/>
        </w:rPr>
        <w:t>质疑联系人：</w:t>
      </w:r>
      <w:r>
        <w:rPr>
          <w:rFonts w:hint="eastAsia" w:ascii="宋体" w:hAnsi="宋体" w:cs="宋体"/>
          <w:sz w:val="24"/>
          <w:lang w:eastAsia="zh-CN"/>
        </w:rPr>
        <w:t>秦园园</w:t>
      </w:r>
      <w:r>
        <w:rPr>
          <w:rFonts w:hint="eastAsia" w:ascii="宋体" w:hAnsi="宋体" w:cs="宋体"/>
          <w:sz w:val="24"/>
        </w:rPr>
        <w:t xml:space="preserve">              </w:t>
      </w:r>
    </w:p>
    <w:p w14:paraId="4F376BF5">
      <w:pPr>
        <w:spacing w:line="360" w:lineRule="auto"/>
        <w:rPr>
          <w:rFonts w:ascii="宋体" w:hAnsi="宋体" w:cs="宋体"/>
          <w:color w:val="auto"/>
          <w:sz w:val="24"/>
          <w:highlight w:val="none"/>
        </w:rPr>
      </w:pPr>
      <w:r>
        <w:rPr>
          <w:rFonts w:hint="eastAsia" w:ascii="宋体" w:hAnsi="宋体" w:cs="宋体"/>
          <w:sz w:val="24"/>
        </w:rPr>
        <w:t xml:space="preserve">    质疑联系方式：0571-63922988</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1D696F53">
      <w:pPr>
        <w:spacing w:line="360" w:lineRule="auto"/>
        <w:rPr>
          <w:rFonts w:hint="eastAsia" w:ascii="宋体" w:hAnsi="宋体" w:eastAsia="宋体" w:cs="宋体"/>
          <w:sz w:val="24"/>
        </w:rPr>
      </w:pPr>
      <w:r>
        <w:rPr>
          <w:rFonts w:hint="eastAsia" w:ascii="宋体" w:hAnsi="宋体" w:cs="宋体"/>
          <w:color w:val="auto"/>
          <w:sz w:val="24"/>
          <w:highlight w:val="none"/>
        </w:rPr>
        <w:t xml:space="preserve">   </w:t>
      </w:r>
      <w:r>
        <w:rPr>
          <w:rFonts w:hint="eastAsia" w:ascii="宋体" w:hAnsi="宋体" w:eastAsia="宋体" w:cs="宋体"/>
          <w:sz w:val="24"/>
        </w:rPr>
        <w:t>名    称：杭州市临安区财政局政府采购监管科 /浙江省政府采购行政裁决服务中心（杭州）</w:t>
      </w:r>
    </w:p>
    <w:p w14:paraId="08972383">
      <w:pPr>
        <w:spacing w:line="360" w:lineRule="auto"/>
        <w:ind w:firstLine="480" w:firstLineChars="200"/>
        <w:rPr>
          <w:rFonts w:hint="eastAsia" w:ascii="宋体" w:hAnsi="宋体" w:eastAsia="宋体" w:cs="宋体"/>
          <w:sz w:val="24"/>
        </w:rPr>
      </w:pPr>
      <w:r>
        <w:rPr>
          <w:rFonts w:hint="eastAsia" w:ascii="宋体" w:hAnsi="宋体" w:eastAsia="宋体" w:cs="宋体"/>
          <w:sz w:val="24"/>
        </w:rPr>
        <w:t>地</w:t>
      </w:r>
      <w:r>
        <w:rPr>
          <w:rFonts w:hint="eastAsia" w:ascii="宋体" w:hAnsi="宋体" w:eastAsia="宋体" w:cs="宋体"/>
          <w:sz w:val="24"/>
          <w:lang w:val="en-US" w:eastAsia="zh-CN"/>
        </w:rPr>
        <w:t xml:space="preserve">    </w:t>
      </w:r>
      <w:r>
        <w:rPr>
          <w:rFonts w:hint="eastAsia" w:ascii="宋体" w:hAnsi="宋体" w:eastAsia="宋体" w:cs="宋体"/>
          <w:sz w:val="24"/>
        </w:rPr>
        <w:t xml:space="preserve">址：杭州市临安区锦城街道临天路1950号财政大楼411室 </w:t>
      </w:r>
    </w:p>
    <w:p w14:paraId="12E787C5">
      <w:pPr>
        <w:spacing w:line="360" w:lineRule="auto"/>
        <w:ind w:firstLine="480"/>
        <w:rPr>
          <w:rFonts w:hint="eastAsia" w:ascii="宋体" w:hAnsi="宋体" w:cs="宋体"/>
          <w:sz w:val="24"/>
        </w:rPr>
      </w:pPr>
      <w:r>
        <w:rPr>
          <w:rFonts w:hint="eastAsia" w:ascii="宋体" w:hAnsi="宋体" w:cs="宋体"/>
          <w:sz w:val="24"/>
        </w:rPr>
        <w:t>传</w:t>
      </w:r>
      <w:r>
        <w:rPr>
          <w:rFonts w:hint="eastAsia" w:ascii="宋体" w:hAnsi="宋体" w:cs="宋体"/>
          <w:sz w:val="24"/>
          <w:lang w:val="en-US" w:eastAsia="zh-CN"/>
        </w:rPr>
        <w:t xml:space="preserve">    </w:t>
      </w:r>
      <w:r>
        <w:rPr>
          <w:rFonts w:hint="eastAsia" w:ascii="宋体" w:hAnsi="宋体" w:cs="宋体"/>
          <w:sz w:val="24"/>
        </w:rPr>
        <w:t>真：0571-89541600</w:t>
      </w:r>
    </w:p>
    <w:p w14:paraId="4B7661F1">
      <w:pPr>
        <w:spacing w:line="360" w:lineRule="auto"/>
        <w:ind w:firstLine="480"/>
        <w:rPr>
          <w:rFonts w:hint="eastAsia" w:ascii="宋体" w:hAnsi="宋体" w:cs="宋体"/>
          <w:sz w:val="24"/>
        </w:rPr>
      </w:pPr>
      <w:r>
        <w:rPr>
          <w:rFonts w:hint="eastAsia" w:ascii="宋体" w:hAnsi="宋体" w:cs="宋体"/>
          <w:sz w:val="24"/>
        </w:rPr>
        <w:t>联</w:t>
      </w:r>
      <w:r>
        <w:rPr>
          <w:rFonts w:hint="eastAsia" w:ascii="宋体" w:hAnsi="宋体" w:cs="宋体"/>
          <w:sz w:val="24"/>
          <w:lang w:val="en-US" w:eastAsia="zh-CN"/>
        </w:rPr>
        <w:t xml:space="preserve"> </w:t>
      </w:r>
      <w:r>
        <w:rPr>
          <w:rFonts w:hint="eastAsia" w:ascii="宋体" w:hAnsi="宋体" w:cs="宋体"/>
          <w:sz w:val="24"/>
        </w:rPr>
        <w:t>系</w:t>
      </w:r>
      <w:r>
        <w:rPr>
          <w:rFonts w:hint="eastAsia" w:ascii="宋体" w:hAnsi="宋体" w:cs="宋体"/>
          <w:sz w:val="24"/>
          <w:lang w:val="en-US" w:eastAsia="zh-CN"/>
        </w:rPr>
        <w:t xml:space="preserve"> </w:t>
      </w:r>
      <w:r>
        <w:rPr>
          <w:rFonts w:hint="eastAsia" w:ascii="宋体" w:hAnsi="宋体" w:cs="宋体"/>
          <w:sz w:val="24"/>
        </w:rPr>
        <w:t>人 ：赵女士</w:t>
      </w:r>
    </w:p>
    <w:p w14:paraId="5A387A32">
      <w:pPr>
        <w:spacing w:line="360" w:lineRule="auto"/>
        <w:ind w:firstLine="480"/>
        <w:rPr>
          <w:rFonts w:hint="eastAsia" w:ascii="宋体" w:hAnsi="宋体" w:cs="宋体"/>
          <w:sz w:val="24"/>
          <w:lang w:val="en-US" w:eastAsia="zh-CN"/>
        </w:rPr>
      </w:pPr>
      <w:r>
        <w:rPr>
          <w:rFonts w:hint="eastAsia" w:ascii="宋体" w:hAnsi="宋体" w:cs="宋体"/>
          <w:sz w:val="24"/>
        </w:rPr>
        <w:t xml:space="preserve">监督投诉电话：0571-89541692、89541691、89541697  </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val="en-US" w:eastAsia="zh-CN"/>
              </w:rPr>
              <w:t>保洁清运服务</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其他未列明   </w:t>
            </w:r>
            <w:r>
              <w:rPr>
                <w:rFonts w:hint="eastAsia" w:ascii="宋体" w:hAnsi="宋体" w:cs="宋体"/>
                <w:color w:val="auto"/>
                <w:kern w:val="0"/>
                <w:sz w:val="24"/>
                <w:highlight w:val="none"/>
              </w:rPr>
              <w:t>行业；</w:t>
            </w:r>
          </w:p>
          <w:p w14:paraId="27019300">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根据《关于印发中小企业划型标准规定的通知》（工信部联企业〔2011〕300号）第四条规定：其他未列明行业。从业人员</w:t>
            </w:r>
            <w:r>
              <w:rPr>
                <w:rFonts w:hint="eastAsia" w:ascii="宋体" w:hAnsi="宋体" w:cs="宋体"/>
                <w:b w:val="0"/>
                <w:bCs w:val="0"/>
                <w:color w:val="auto"/>
                <w:kern w:val="0"/>
                <w:sz w:val="24"/>
                <w:szCs w:val="24"/>
                <w:highlight w:val="none"/>
                <w:lang w:val="en-US" w:eastAsia="zh-CN" w:bidi="ar-SA"/>
              </w:rPr>
              <w:t>300</w:t>
            </w:r>
            <w:r>
              <w:rPr>
                <w:rFonts w:hint="eastAsia" w:ascii="宋体" w:hAnsi="宋体" w:eastAsia="宋体" w:cs="宋体"/>
                <w:b w:val="0"/>
                <w:bCs w:val="0"/>
                <w:color w:val="auto"/>
                <w:kern w:val="0"/>
                <w:sz w:val="24"/>
                <w:szCs w:val="24"/>
                <w:highlight w:val="none"/>
                <w:lang w:val="en-US" w:eastAsia="zh-CN" w:bidi="ar-SA"/>
              </w:rPr>
              <w:t>人以下的为中小微型企业。其中，从业人员</w:t>
            </w:r>
            <w:r>
              <w:rPr>
                <w:rFonts w:hint="eastAsia" w:ascii="宋体" w:hAnsi="宋体" w:cs="宋体"/>
                <w:b w:val="0"/>
                <w:bCs w:val="0"/>
                <w:color w:val="auto"/>
                <w:kern w:val="0"/>
                <w:sz w:val="24"/>
                <w:szCs w:val="24"/>
                <w:highlight w:val="none"/>
                <w:lang w:val="en-US" w:eastAsia="zh-CN" w:bidi="ar-SA"/>
              </w:rPr>
              <w:t>100</w:t>
            </w:r>
            <w:r>
              <w:rPr>
                <w:rFonts w:hint="eastAsia" w:ascii="宋体" w:hAnsi="宋体" w:eastAsia="宋体" w:cs="宋体"/>
                <w:b w:val="0"/>
                <w:bCs w:val="0"/>
                <w:color w:val="auto"/>
                <w:kern w:val="0"/>
                <w:sz w:val="24"/>
                <w:szCs w:val="24"/>
                <w:highlight w:val="none"/>
                <w:lang w:val="en-US" w:eastAsia="zh-CN" w:bidi="ar-SA"/>
              </w:rPr>
              <w:t>人及以上的为中型企业；从业人员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人及以上的为小型企业；从业人员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2"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7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0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18E5266">
            <w:pPr>
              <w:pStyle w:val="79"/>
              <w:ind w:firstLine="0" w:firstLineChars="0"/>
              <w:rPr>
                <w:color w:val="auto"/>
                <w:highlight w:val="none"/>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8AD61E6">
            <w:pPr>
              <w:spacing w:line="360" w:lineRule="auto"/>
              <w:rPr>
                <w:rFonts w:hint="eastAsia" w:ascii="宋体" w:hAnsi="宋体" w:eastAsia="宋体" w:cs="宋体"/>
                <w:b/>
                <w:color w:val="auto"/>
                <w:sz w:val="24"/>
                <w:highlight w:val="none"/>
                <w:lang w:eastAsia="zh-CN"/>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r>
              <w:rPr>
                <w:rFonts w:hint="eastAsia" w:ascii="宋体" w:hAnsi="宋体" w:cs="宋体"/>
                <w:color w:val="auto"/>
                <w:kern w:val="0"/>
                <w:sz w:val="24"/>
                <w:highlight w:val="none"/>
                <w:lang w:eastAsia="zh-CN"/>
              </w:rPr>
              <w:t>。</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4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52D1C2A">
            <w:pPr>
              <w:spacing w:line="360" w:lineRule="auto"/>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0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杭州市临安区锦城街道钱王街535号5楼</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0571-63922972</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61512A92">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代理服务费参照发改价格〔2011〕534号文件、国家发改委计价格〔2002〕1980号文件规定</w:t>
            </w:r>
            <w:r>
              <w:rPr>
                <w:rFonts w:hint="eastAsia" w:ascii="宋体" w:hAnsi="宋体" w:eastAsia="宋体" w:cs="宋体"/>
                <w:color w:val="auto"/>
                <w:kern w:val="0"/>
                <w:sz w:val="24"/>
                <w:lang w:val="en-US" w:eastAsia="zh-CN"/>
              </w:rPr>
              <w:t>80%</w:t>
            </w:r>
            <w:r>
              <w:rPr>
                <w:rFonts w:hint="eastAsia" w:ascii="宋体" w:hAnsi="宋体" w:eastAsia="宋体" w:cs="宋体"/>
                <w:color w:val="auto"/>
                <w:kern w:val="0"/>
                <w:sz w:val="24"/>
              </w:rPr>
              <w:t>收费,单个采购项目代理服务费不足</w:t>
            </w:r>
            <w:r>
              <w:rPr>
                <w:rFonts w:hint="eastAsia" w:ascii="宋体" w:hAnsi="宋体" w:eastAsia="宋体" w:cs="宋体"/>
                <w:color w:val="auto"/>
                <w:kern w:val="0"/>
                <w:sz w:val="24"/>
                <w:lang w:val="en-US" w:eastAsia="zh-CN"/>
              </w:rPr>
              <w:t>肆仟</w:t>
            </w:r>
            <w:r>
              <w:rPr>
                <w:rFonts w:hint="eastAsia" w:ascii="宋体" w:hAnsi="宋体" w:eastAsia="宋体" w:cs="宋体"/>
                <w:color w:val="auto"/>
                <w:kern w:val="0"/>
                <w:sz w:val="24"/>
              </w:rPr>
              <w:t>元可按</w:t>
            </w:r>
            <w:r>
              <w:rPr>
                <w:rFonts w:hint="eastAsia" w:ascii="宋体" w:hAnsi="宋体" w:eastAsia="宋体" w:cs="宋体"/>
                <w:color w:val="auto"/>
                <w:kern w:val="0"/>
                <w:sz w:val="24"/>
                <w:lang w:val="en-US" w:eastAsia="zh-CN"/>
              </w:rPr>
              <w:t>肆仟</w:t>
            </w:r>
            <w:r>
              <w:rPr>
                <w:rFonts w:hint="eastAsia" w:ascii="宋体" w:hAnsi="宋体" w:eastAsia="宋体" w:cs="宋体"/>
                <w:color w:val="auto"/>
                <w:kern w:val="0"/>
                <w:sz w:val="24"/>
              </w:rPr>
              <w:t>元收取，代理服务收费按差额定率累进法计算。</w:t>
            </w:r>
          </w:p>
          <w:p w14:paraId="443971B2">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drawing>
                <wp:inline distT="0" distB="0" distL="114300" distR="114300">
                  <wp:extent cx="3407410" cy="1607820"/>
                  <wp:effectExtent l="0" t="0" r="2540" b="11430"/>
                  <wp:docPr id="2" name="图片 2" descr="收费标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收费标准"/>
                          <pic:cNvPicPr>
                            <a:picLocks noChangeAspect="1"/>
                          </pic:cNvPicPr>
                        </pic:nvPicPr>
                        <pic:blipFill>
                          <a:blip r:embed="rId26"/>
                          <a:stretch>
                            <a:fillRect/>
                          </a:stretch>
                        </pic:blipFill>
                        <pic:spPr>
                          <a:xfrm>
                            <a:off x="0" y="0"/>
                            <a:ext cx="3407410" cy="1607820"/>
                          </a:xfrm>
                          <a:prstGeom prst="rect">
                            <a:avLst/>
                          </a:prstGeom>
                          <a:noFill/>
                          <a:ln>
                            <a:noFill/>
                          </a:ln>
                        </pic:spPr>
                      </pic:pic>
                    </a:graphicData>
                  </a:graphic>
                </wp:inline>
              </w:drawing>
            </w:r>
          </w:p>
          <w:p w14:paraId="7A48CB8E">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收费对象：本项目代理服务费向成交供应商收取</w:t>
            </w:r>
          </w:p>
          <w:p w14:paraId="0C2B48B8">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缴纳时间：中标(成交)结果公示后5个工作日内一次性付清</w:t>
            </w:r>
          </w:p>
          <w:p w14:paraId="3948B0B8">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缴纳形式：汇票/支票/电汇/现金</w:t>
            </w:r>
          </w:p>
          <w:p w14:paraId="3AE5A5D9">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rPr>
              <w:t>备注：放弃中标（成交）资格的供应商，须承担本项目招标代理费和专家评审费等费用。</w:t>
            </w:r>
          </w:p>
        </w:tc>
      </w:tr>
    </w:tbl>
    <w:p w14:paraId="1969C939">
      <w:pPr>
        <w:snapToGrid w:val="0"/>
        <w:spacing w:line="360" w:lineRule="auto"/>
        <w:jc w:val="center"/>
        <w:rPr>
          <w:rFonts w:ascii="宋体" w:hAnsi="宋体" w:cs="宋体"/>
          <w:b/>
          <w:color w:val="auto"/>
          <w:sz w:val="32"/>
          <w:szCs w:val="20"/>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3"/>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3"/>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3"/>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4"/>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29768"/>
      <w:bookmarkEnd w:id="15"/>
      <w:bookmarkStart w:id="16" w:name="_Hlt68057669"/>
      <w:bookmarkEnd w:id="16"/>
      <w:bookmarkStart w:id="17" w:name="_Hlt75236290"/>
      <w:bookmarkEnd w:id="17"/>
      <w:bookmarkStart w:id="18" w:name="_Hlt68403820"/>
      <w:bookmarkEnd w:id="18"/>
      <w:bookmarkStart w:id="19" w:name="_Hlt74730295"/>
      <w:bookmarkEnd w:id="19"/>
      <w:bookmarkStart w:id="20" w:name="_Hlt74707468"/>
      <w:bookmarkEnd w:id="20"/>
      <w:bookmarkStart w:id="21" w:name="_Hlt75236101"/>
      <w:bookmarkEnd w:id="21"/>
      <w:bookmarkStart w:id="22" w:name="_Hlt68073093"/>
      <w:bookmarkEnd w:id="22"/>
      <w:bookmarkStart w:id="23" w:name="_Hlt75236011"/>
      <w:bookmarkEnd w:id="23"/>
      <w:bookmarkStart w:id="24" w:name="_Hlt68072990"/>
      <w:bookmarkEnd w:id="24"/>
      <w:bookmarkStart w:id="25" w:name="_Hlt68072998"/>
      <w:bookmarkEnd w:id="25"/>
      <w:bookmarkStart w:id="26" w:name="_Hlt74714665"/>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653DF291">
      <w:pPr>
        <w:spacing w:line="360" w:lineRule="auto"/>
        <w:jc w:val="both"/>
        <w:outlineLvl w:val="0"/>
        <w:rPr>
          <w:rFonts w:hint="eastAsia" w:ascii="宋体" w:hAnsi="宋体" w:eastAsia="宋体" w:cs="宋体"/>
          <w:b/>
          <w:bCs/>
          <w:color w:val="auto"/>
          <w:sz w:val="24"/>
        </w:rPr>
      </w:pPr>
      <w:r>
        <w:rPr>
          <w:rFonts w:hint="eastAsia" w:ascii="宋体" w:hAnsi="宋体" w:eastAsia="宋体" w:cs="宋体"/>
          <w:b/>
          <w:bCs/>
          <w:color w:val="auto"/>
          <w:sz w:val="24"/>
          <w:lang w:val="en-US" w:eastAsia="zh-CN"/>
        </w:rPr>
        <w:t>一、</w:t>
      </w:r>
      <w:r>
        <w:rPr>
          <w:rFonts w:hint="eastAsia" w:ascii="宋体" w:hAnsi="宋体" w:eastAsia="宋体" w:cs="宋体"/>
          <w:b/>
          <w:bCs/>
          <w:color w:val="auto"/>
          <w:sz w:val="24"/>
        </w:rPr>
        <w:t>项目要求</w:t>
      </w:r>
    </w:p>
    <w:p w14:paraId="6D96F249">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1、招标项目名称</w:t>
      </w:r>
      <w:r>
        <w:rPr>
          <w:rFonts w:hint="eastAsia" w:ascii="宋体" w:hAnsi="宋体" w:eastAsia="宋体" w:cs="宋体"/>
          <w:color w:val="auto"/>
          <w:sz w:val="24"/>
          <w:lang w:eastAsia="zh-CN"/>
        </w:rPr>
        <w:t>：青山湖街道横畈集镇道路保洁、14个行政村及横畈集镇垃圾清运服务项目</w:t>
      </w:r>
      <w:r>
        <w:rPr>
          <w:rFonts w:hint="eastAsia" w:ascii="宋体" w:hAnsi="宋体" w:eastAsia="宋体" w:cs="宋体"/>
          <w:color w:val="auto"/>
          <w:sz w:val="24"/>
        </w:rPr>
        <w:t>。</w:t>
      </w:r>
    </w:p>
    <w:p w14:paraId="548ADD7B">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2、招标范围及内容：</w:t>
      </w:r>
    </w:p>
    <w:p w14:paraId="1887D625">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（1）清扫保洁道路范围以具体表格核定范围为准（具体详见青山湖街道横畈集镇道路面积汇总表</w:t>
      </w:r>
      <w:r>
        <w:rPr>
          <w:rFonts w:hint="eastAsia" w:ascii="宋体" w:hAnsi="宋体" w:eastAsia="宋体" w:cs="宋体"/>
          <w:color w:val="auto"/>
          <w:sz w:val="24"/>
          <w:lang w:val="en-US" w:eastAsia="zh-CN"/>
        </w:rPr>
        <w:t>附件</w:t>
      </w:r>
      <w:r>
        <w:rPr>
          <w:rFonts w:hint="eastAsia" w:ascii="宋体" w:hAnsi="宋体" w:eastAsia="宋体" w:cs="宋体"/>
          <w:color w:val="auto"/>
          <w:sz w:val="24"/>
        </w:rPr>
        <w:t>）</w:t>
      </w: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以及14个行政村及横畈集镇垃圾清运</w:t>
      </w:r>
      <w:r>
        <w:rPr>
          <w:rFonts w:hint="eastAsia" w:ascii="宋体" w:hAnsi="宋体" w:eastAsia="宋体" w:cs="宋体"/>
          <w:color w:val="auto"/>
          <w:sz w:val="24"/>
        </w:rPr>
        <w:t>。</w:t>
      </w:r>
    </w:p>
    <w:p w14:paraId="09A29FFC">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（2）本招标内容包含：职工工资待遇及相关福利待遇、运营设施设备采购及日常养护等项目要求。</w:t>
      </w:r>
    </w:p>
    <w:p w14:paraId="109C8116">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lang w:val="en-US" w:eastAsia="zh-CN"/>
        </w:rPr>
      </w:pPr>
      <w:r>
        <w:rPr>
          <w:rFonts w:hint="eastAsia" w:ascii="宋体" w:hAnsi="宋体" w:eastAsia="宋体" w:cs="宋体"/>
          <w:color w:val="auto"/>
          <w:sz w:val="24"/>
        </w:rPr>
        <w:t>（3）承包期限：</w:t>
      </w:r>
      <w:r>
        <w:rPr>
          <w:rFonts w:hint="eastAsia" w:ascii="宋体" w:hAnsi="宋体" w:eastAsia="宋体" w:cs="宋体"/>
          <w:b/>
          <w:color w:val="auto"/>
          <w:sz w:val="24"/>
          <w:lang w:val="en-US" w:eastAsia="zh-CN"/>
        </w:rPr>
        <w:t>壹</w:t>
      </w:r>
      <w:r>
        <w:rPr>
          <w:rFonts w:hint="eastAsia" w:ascii="宋体" w:hAnsi="宋体" w:eastAsia="宋体" w:cs="宋体"/>
          <w:b/>
          <w:color w:val="auto"/>
          <w:sz w:val="24"/>
        </w:rPr>
        <w:t>年（</w:t>
      </w:r>
      <w:r>
        <w:rPr>
          <w:rFonts w:hint="eastAsia" w:ascii="宋体" w:hAnsi="宋体" w:eastAsia="宋体" w:cs="宋体"/>
          <w:color w:val="auto"/>
          <w:sz w:val="24"/>
        </w:rPr>
        <w:t>202</w:t>
      </w:r>
      <w:r>
        <w:rPr>
          <w:rFonts w:hint="eastAsia" w:ascii="宋体" w:hAnsi="宋体" w:cs="宋体"/>
          <w:color w:val="auto"/>
          <w:sz w:val="24"/>
          <w:lang w:val="en-US" w:eastAsia="zh-CN"/>
        </w:rPr>
        <w:t>4</w:t>
      </w:r>
      <w:r>
        <w:rPr>
          <w:rFonts w:hint="eastAsia" w:ascii="宋体" w:hAnsi="宋体" w:eastAsia="宋体" w:cs="宋体"/>
          <w:color w:val="auto"/>
          <w:sz w:val="24"/>
        </w:rPr>
        <w:t>年</w:t>
      </w:r>
      <w:r>
        <w:rPr>
          <w:rFonts w:hint="eastAsia" w:ascii="宋体" w:hAnsi="宋体" w:eastAsia="宋体" w:cs="宋体"/>
          <w:color w:val="auto"/>
          <w:sz w:val="24"/>
          <w:lang w:val="en-US" w:eastAsia="zh-CN"/>
        </w:rPr>
        <w:t>08</w:t>
      </w:r>
      <w:r>
        <w:rPr>
          <w:rFonts w:hint="eastAsia" w:ascii="宋体" w:hAnsi="宋体" w:eastAsia="宋体" w:cs="宋体"/>
          <w:color w:val="auto"/>
          <w:sz w:val="24"/>
        </w:rPr>
        <w:t>月</w:t>
      </w:r>
      <w:r>
        <w:rPr>
          <w:rFonts w:hint="eastAsia" w:ascii="宋体" w:hAnsi="宋体" w:eastAsia="宋体" w:cs="宋体"/>
          <w:color w:val="auto"/>
          <w:sz w:val="24"/>
          <w:lang w:val="en-US" w:eastAsia="zh-CN"/>
        </w:rPr>
        <w:t>0</w:t>
      </w:r>
      <w:r>
        <w:rPr>
          <w:rFonts w:hint="eastAsia" w:ascii="宋体" w:hAnsi="宋体" w:cs="宋体"/>
          <w:color w:val="auto"/>
          <w:sz w:val="24"/>
          <w:lang w:val="en-US" w:eastAsia="zh-CN"/>
        </w:rPr>
        <w:t>1</w:t>
      </w:r>
      <w:r>
        <w:rPr>
          <w:rFonts w:hint="eastAsia" w:ascii="宋体" w:hAnsi="宋体" w:eastAsia="宋体" w:cs="宋体"/>
          <w:color w:val="auto"/>
          <w:sz w:val="24"/>
        </w:rPr>
        <w:t>日-202</w:t>
      </w:r>
      <w:r>
        <w:rPr>
          <w:rFonts w:hint="eastAsia" w:ascii="宋体" w:hAnsi="宋体" w:eastAsia="宋体" w:cs="宋体"/>
          <w:color w:val="auto"/>
          <w:sz w:val="24"/>
          <w:lang w:val="en-US" w:eastAsia="zh-CN"/>
        </w:rPr>
        <w:t>5</w:t>
      </w:r>
      <w:r>
        <w:rPr>
          <w:rFonts w:hint="eastAsia" w:ascii="宋体" w:hAnsi="宋体" w:eastAsia="宋体" w:cs="宋体"/>
          <w:color w:val="auto"/>
          <w:sz w:val="24"/>
        </w:rPr>
        <w:t>年</w:t>
      </w:r>
      <w:r>
        <w:rPr>
          <w:rFonts w:hint="eastAsia" w:ascii="宋体" w:hAnsi="宋体" w:cs="宋体"/>
          <w:color w:val="auto"/>
          <w:sz w:val="24"/>
          <w:lang w:val="en-US" w:eastAsia="zh-CN"/>
        </w:rPr>
        <w:t>07</w:t>
      </w:r>
      <w:r>
        <w:rPr>
          <w:rFonts w:hint="eastAsia" w:ascii="宋体" w:hAnsi="宋体" w:eastAsia="宋体" w:cs="宋体"/>
          <w:color w:val="auto"/>
          <w:sz w:val="24"/>
        </w:rPr>
        <w:t>月</w:t>
      </w:r>
      <w:r>
        <w:rPr>
          <w:rFonts w:hint="eastAsia" w:ascii="宋体" w:hAnsi="宋体" w:cs="宋体"/>
          <w:color w:val="auto"/>
          <w:sz w:val="24"/>
          <w:lang w:val="en-US" w:eastAsia="zh-CN"/>
        </w:rPr>
        <w:t>31</w:t>
      </w:r>
      <w:r>
        <w:rPr>
          <w:rFonts w:hint="eastAsia" w:ascii="宋体" w:hAnsi="宋体" w:eastAsia="宋体" w:cs="宋体"/>
          <w:color w:val="auto"/>
          <w:sz w:val="24"/>
        </w:rPr>
        <w:t>日）</w:t>
      </w:r>
      <w:r>
        <w:rPr>
          <w:rFonts w:hint="eastAsia" w:ascii="宋体" w:hAnsi="宋体" w:cs="宋体"/>
          <w:color w:val="auto"/>
          <w:sz w:val="24"/>
          <w:lang w:val="en-US" w:eastAsia="zh-CN"/>
        </w:rPr>
        <w:t>,其中集镇沿街商铺生活垃圾摇铃收集、小区上门收集服务期为</w:t>
      </w:r>
      <w:r>
        <w:rPr>
          <w:rFonts w:hint="eastAsia" w:ascii="宋体" w:hAnsi="宋体" w:eastAsia="宋体" w:cs="宋体"/>
          <w:color w:val="auto"/>
          <w:sz w:val="24"/>
        </w:rPr>
        <w:t>202</w:t>
      </w:r>
      <w:r>
        <w:rPr>
          <w:rFonts w:hint="eastAsia" w:ascii="宋体" w:hAnsi="宋体" w:cs="宋体"/>
          <w:color w:val="auto"/>
          <w:sz w:val="24"/>
          <w:lang w:val="en-US" w:eastAsia="zh-CN"/>
        </w:rPr>
        <w:t>5</w:t>
      </w:r>
      <w:r>
        <w:rPr>
          <w:rFonts w:hint="eastAsia" w:ascii="宋体" w:hAnsi="宋体" w:eastAsia="宋体" w:cs="宋体"/>
          <w:color w:val="auto"/>
          <w:sz w:val="24"/>
        </w:rPr>
        <w:t>年</w:t>
      </w:r>
      <w:r>
        <w:rPr>
          <w:rFonts w:hint="eastAsia" w:ascii="宋体" w:hAnsi="宋体" w:cs="宋体"/>
          <w:color w:val="auto"/>
          <w:sz w:val="24"/>
          <w:lang w:val="en-US" w:eastAsia="zh-CN"/>
        </w:rPr>
        <w:t>01</w:t>
      </w:r>
      <w:r>
        <w:rPr>
          <w:rFonts w:hint="eastAsia" w:ascii="宋体" w:hAnsi="宋体" w:eastAsia="宋体" w:cs="宋体"/>
          <w:color w:val="auto"/>
          <w:sz w:val="24"/>
        </w:rPr>
        <w:t>月</w:t>
      </w:r>
      <w:r>
        <w:rPr>
          <w:rFonts w:hint="eastAsia" w:ascii="宋体" w:hAnsi="宋体" w:cs="宋体"/>
          <w:color w:val="auto"/>
          <w:sz w:val="24"/>
          <w:lang w:val="en-US" w:eastAsia="zh-CN"/>
        </w:rPr>
        <w:t>09</w:t>
      </w:r>
      <w:r>
        <w:rPr>
          <w:rFonts w:hint="eastAsia" w:ascii="宋体" w:hAnsi="宋体" w:eastAsia="宋体" w:cs="宋体"/>
          <w:color w:val="auto"/>
          <w:sz w:val="24"/>
        </w:rPr>
        <w:t>日-202</w:t>
      </w:r>
      <w:r>
        <w:rPr>
          <w:rFonts w:hint="eastAsia" w:ascii="宋体" w:hAnsi="宋体" w:eastAsia="宋体" w:cs="宋体"/>
          <w:color w:val="auto"/>
          <w:sz w:val="24"/>
          <w:lang w:val="en-US" w:eastAsia="zh-CN"/>
        </w:rPr>
        <w:t>5</w:t>
      </w:r>
      <w:r>
        <w:rPr>
          <w:rFonts w:hint="eastAsia" w:ascii="宋体" w:hAnsi="宋体" w:eastAsia="宋体" w:cs="宋体"/>
          <w:color w:val="auto"/>
          <w:sz w:val="24"/>
        </w:rPr>
        <w:t>年</w:t>
      </w:r>
      <w:r>
        <w:rPr>
          <w:rFonts w:hint="eastAsia" w:ascii="宋体" w:hAnsi="宋体" w:cs="宋体"/>
          <w:color w:val="auto"/>
          <w:sz w:val="24"/>
          <w:lang w:val="en-US" w:eastAsia="zh-CN"/>
        </w:rPr>
        <w:t>07</w:t>
      </w:r>
      <w:r>
        <w:rPr>
          <w:rFonts w:hint="eastAsia" w:ascii="宋体" w:hAnsi="宋体" w:eastAsia="宋体" w:cs="宋体"/>
          <w:color w:val="auto"/>
          <w:sz w:val="24"/>
        </w:rPr>
        <w:t>月</w:t>
      </w:r>
      <w:r>
        <w:rPr>
          <w:rFonts w:hint="eastAsia" w:ascii="宋体" w:hAnsi="宋体" w:cs="宋体"/>
          <w:color w:val="auto"/>
          <w:sz w:val="24"/>
          <w:lang w:val="en-US" w:eastAsia="zh-CN"/>
        </w:rPr>
        <w:t>31</w:t>
      </w:r>
      <w:r>
        <w:rPr>
          <w:rFonts w:hint="eastAsia" w:ascii="宋体" w:hAnsi="宋体" w:eastAsia="宋体" w:cs="宋体"/>
          <w:color w:val="auto"/>
          <w:sz w:val="24"/>
        </w:rPr>
        <w:t>日</w:t>
      </w:r>
      <w:r>
        <w:rPr>
          <w:rFonts w:hint="eastAsia" w:ascii="宋体" w:hAnsi="宋体" w:cs="宋体"/>
          <w:color w:val="auto"/>
          <w:sz w:val="24"/>
          <w:lang w:eastAsia="zh-CN"/>
        </w:rPr>
        <w:t>。</w:t>
      </w:r>
    </w:p>
    <w:p w14:paraId="0AB022F4">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（4）项目保洁作业质量按照新一期的《杭州清洁度考核评价实施办法》和《区市政公用和市容环境卫生监管中心环卫作业考核实施办法》等文件要求执行。</w:t>
      </w:r>
    </w:p>
    <w:p w14:paraId="45BEA831">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（5）项目作业人员和作业车辆按照《杭州市环卫作业人员着装与作业行为规范》、《杭州市环卫作业车辆标识与作业管理规范》等文件要求执行。</w:t>
      </w:r>
    </w:p>
    <w:p w14:paraId="6760BE7E">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（6）投标人应制定项目保洁方案，包括作业人员安排、作业车辆设备配置及养护、日常保洁工作计划表、突发情况及各类创建活动应急措施和质量保证方案。</w:t>
      </w:r>
    </w:p>
    <w:p w14:paraId="01A912AD">
      <w:pPr>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3、合同期内，若承包区域内新增道路保洁面积及其他新增作业内容产生的相关保洁费用由</w:t>
      </w:r>
      <w:r>
        <w:rPr>
          <w:rFonts w:hint="eastAsia" w:ascii="宋体" w:hAnsi="宋体" w:eastAsia="宋体" w:cs="宋体"/>
          <w:color w:val="auto"/>
          <w:sz w:val="24"/>
          <w:lang w:val="en-US" w:eastAsia="zh-CN"/>
        </w:rPr>
        <w:t>青山湖街道办事处</w:t>
      </w:r>
      <w:r>
        <w:rPr>
          <w:rFonts w:hint="eastAsia" w:ascii="宋体" w:hAnsi="宋体" w:eastAsia="宋体" w:cs="宋体"/>
          <w:color w:val="auto"/>
          <w:sz w:val="24"/>
        </w:rPr>
        <w:t>审核，定期结算。</w:t>
      </w:r>
    </w:p>
    <w:p w14:paraId="7D7189F1">
      <w:pPr>
        <w:keepNext w:val="0"/>
        <w:keepLines w:val="0"/>
        <w:pageBreakBefore w:val="0"/>
        <w:widowControl w:val="0"/>
        <w:kinsoku/>
        <w:wordWrap/>
        <w:topLinePunct w:val="0"/>
        <w:bidi w:val="0"/>
        <w:spacing w:line="360" w:lineRule="auto"/>
        <w:rPr>
          <w:rFonts w:hint="eastAsia" w:ascii="宋体" w:hAnsi="宋体" w:eastAsia="宋体" w:cs="宋体"/>
          <w:b/>
          <w:color w:val="auto"/>
          <w:kern w:val="0"/>
          <w:sz w:val="24"/>
        </w:rPr>
      </w:pPr>
      <w:r>
        <w:rPr>
          <w:rFonts w:hint="eastAsia" w:ascii="宋体" w:hAnsi="宋体" w:eastAsia="宋体" w:cs="宋体"/>
          <w:b/>
          <w:color w:val="auto"/>
          <w:kern w:val="0"/>
          <w:sz w:val="24"/>
        </w:rPr>
        <w:t>二、项目服务范围</w:t>
      </w:r>
    </w:p>
    <w:p w14:paraId="612E7178">
      <w:pPr>
        <w:keepNext w:val="0"/>
        <w:keepLines w:val="0"/>
        <w:pageBreakBefore w:val="0"/>
        <w:widowControl w:val="0"/>
        <w:shd w:val="clear" w:color="auto" w:fill="FFFFFF"/>
        <w:kinsoku/>
        <w:wordWrap/>
        <w:topLinePunct w:val="0"/>
        <w:bidi w:val="0"/>
        <w:snapToGrid w:val="0"/>
        <w:spacing w:line="360" w:lineRule="auto"/>
        <w:ind w:left="0" w:leftChars="0" w:firstLine="482" w:firstLineChars="200"/>
        <w:jc w:val="left"/>
        <w:rPr>
          <w:rFonts w:hint="eastAsia" w:ascii="宋体" w:hAnsi="宋体" w:eastAsia="宋体" w:cs="宋体"/>
          <w:b/>
          <w:color w:val="auto"/>
          <w:kern w:val="0"/>
          <w:sz w:val="24"/>
        </w:rPr>
      </w:pPr>
      <w:r>
        <w:rPr>
          <w:rFonts w:hint="eastAsia" w:ascii="宋体" w:hAnsi="宋体" w:eastAsia="宋体" w:cs="宋体"/>
          <w:b/>
          <w:color w:val="auto"/>
          <w:kern w:val="0"/>
          <w:sz w:val="24"/>
        </w:rPr>
        <w:t>1、保洁服务主要工作内容：</w:t>
      </w:r>
    </w:p>
    <w:p w14:paraId="33308960">
      <w:pPr>
        <w:keepNext w:val="0"/>
        <w:keepLines w:val="0"/>
        <w:pageBreakBefore w:val="0"/>
        <w:widowControl w:val="0"/>
        <w:shd w:val="clear" w:color="auto" w:fill="FFFFFF"/>
        <w:kinsoku/>
        <w:wordWrap/>
        <w:topLinePunct w:val="0"/>
        <w:bidi w:val="0"/>
        <w:snapToGrid w:val="0"/>
        <w:spacing w:line="360" w:lineRule="auto"/>
        <w:ind w:left="0" w:leftChars="0" w:firstLine="480" w:firstLineChars="200"/>
        <w:jc w:val="left"/>
        <w:rPr>
          <w:rFonts w:hint="eastAsia" w:ascii="宋体" w:hAnsi="宋体" w:eastAsia="宋体" w:cs="宋体"/>
          <w:bCs/>
          <w:color w:val="auto"/>
          <w:sz w:val="24"/>
        </w:rPr>
      </w:pPr>
      <w:r>
        <w:rPr>
          <w:rFonts w:hint="eastAsia" w:ascii="宋体" w:hAnsi="宋体" w:eastAsia="宋体" w:cs="宋体"/>
          <w:bCs/>
          <w:color w:val="auto"/>
          <w:kern w:val="0"/>
          <w:sz w:val="24"/>
        </w:rPr>
        <w:t>（1）</w:t>
      </w:r>
      <w:r>
        <w:rPr>
          <w:rFonts w:hint="eastAsia" w:ascii="宋体" w:hAnsi="宋体" w:eastAsia="宋体" w:cs="宋体"/>
          <w:bCs/>
          <w:color w:val="auto"/>
          <w:kern w:val="0"/>
          <w:sz w:val="24"/>
          <w:lang w:val="en-US" w:eastAsia="zh-CN"/>
        </w:rPr>
        <w:t>集镇</w:t>
      </w:r>
      <w:r>
        <w:rPr>
          <w:rFonts w:hint="eastAsia" w:ascii="宋体" w:hAnsi="宋体" w:eastAsia="宋体" w:cs="宋体"/>
          <w:bCs/>
          <w:color w:val="auto"/>
          <w:kern w:val="0"/>
          <w:sz w:val="24"/>
        </w:rPr>
        <w:t>主次道路、</w:t>
      </w:r>
      <w:r>
        <w:rPr>
          <w:rFonts w:hint="eastAsia" w:ascii="宋体" w:hAnsi="宋体" w:eastAsia="宋体" w:cs="宋体"/>
          <w:bCs/>
          <w:color w:val="auto"/>
          <w:kern w:val="0"/>
          <w:sz w:val="24"/>
          <w:lang w:val="en-US" w:eastAsia="zh-CN"/>
        </w:rPr>
        <w:t>安置小区内部道路</w:t>
      </w:r>
      <w:r>
        <w:rPr>
          <w:rFonts w:hint="eastAsia" w:ascii="宋体" w:hAnsi="宋体" w:eastAsia="宋体" w:cs="宋体"/>
          <w:bCs/>
          <w:color w:val="auto"/>
          <w:kern w:val="0"/>
          <w:sz w:val="24"/>
        </w:rPr>
        <w:t>、硬化空地、开放式公园广场</w:t>
      </w:r>
      <w:r>
        <w:rPr>
          <w:rFonts w:hint="eastAsia" w:ascii="宋体" w:hAnsi="宋体" w:eastAsia="宋体" w:cs="宋体"/>
          <w:bCs/>
          <w:color w:val="auto"/>
          <w:sz w:val="24"/>
        </w:rPr>
        <w:t>（视线范围内）</w:t>
      </w:r>
      <w:r>
        <w:rPr>
          <w:rFonts w:hint="eastAsia" w:ascii="宋体" w:hAnsi="宋体" w:cs="宋体"/>
          <w:bCs/>
          <w:color w:val="auto"/>
          <w:sz w:val="24"/>
          <w:lang w:eastAsia="zh-CN"/>
        </w:rPr>
        <w:t>、</w:t>
      </w:r>
      <w:r>
        <w:rPr>
          <w:rFonts w:hint="eastAsia" w:ascii="宋体" w:hAnsi="宋体" w:cs="宋体"/>
          <w:bCs/>
          <w:color w:val="auto"/>
          <w:sz w:val="24"/>
          <w:lang w:val="en-US" w:eastAsia="zh-CN"/>
        </w:rPr>
        <w:t>4个停车场（横畈幼儿园前停车场、庆南停车场、横畈派出所停车场、新横线庆南停车场）</w:t>
      </w:r>
      <w:r>
        <w:rPr>
          <w:rFonts w:hint="eastAsia" w:ascii="宋体" w:hAnsi="宋体" w:eastAsia="宋体" w:cs="宋体"/>
          <w:bCs/>
          <w:color w:val="auto"/>
          <w:kern w:val="0"/>
          <w:sz w:val="24"/>
        </w:rPr>
        <w:t>等清扫；</w:t>
      </w:r>
    </w:p>
    <w:p w14:paraId="224232E8">
      <w:pPr>
        <w:keepNext w:val="0"/>
        <w:keepLines w:val="0"/>
        <w:pageBreakBefore w:val="0"/>
        <w:widowControl w:val="0"/>
        <w:shd w:val="clear" w:color="auto" w:fill="FFFFFF"/>
        <w:kinsoku/>
        <w:wordWrap/>
        <w:topLinePunct w:val="0"/>
        <w:bidi w:val="0"/>
        <w:snapToGrid w:val="0"/>
        <w:spacing w:line="360" w:lineRule="auto"/>
        <w:ind w:left="0" w:leftChars="0" w:firstLine="480" w:firstLineChars="200"/>
        <w:rPr>
          <w:rFonts w:hint="eastAsia" w:ascii="宋体" w:hAnsi="宋体" w:eastAsia="宋体" w:cs="宋体"/>
          <w:bCs/>
          <w:color w:val="auto"/>
          <w:kern w:val="0"/>
          <w:sz w:val="24"/>
        </w:rPr>
      </w:pPr>
      <w:r>
        <w:rPr>
          <w:rFonts w:hint="eastAsia" w:ascii="宋体" w:hAnsi="宋体" w:eastAsia="宋体" w:cs="宋体"/>
          <w:bCs/>
          <w:color w:val="auto"/>
          <w:kern w:val="0"/>
          <w:sz w:val="24"/>
        </w:rPr>
        <w:t>（2）道路绿化隔离带、道路两侧绿化带</w:t>
      </w:r>
      <w:r>
        <w:rPr>
          <w:rFonts w:hint="eastAsia" w:ascii="宋体" w:hAnsi="宋体" w:eastAsia="宋体" w:cs="宋体"/>
          <w:bCs/>
          <w:color w:val="auto"/>
          <w:sz w:val="24"/>
        </w:rPr>
        <w:t>（视线范围内）、开放式绿地（视线范围内）、</w:t>
      </w:r>
      <w:r>
        <w:rPr>
          <w:rFonts w:hint="eastAsia" w:ascii="宋体" w:hAnsi="宋体" w:eastAsia="宋体" w:cs="宋体"/>
          <w:bCs/>
          <w:color w:val="auto"/>
          <w:sz w:val="24"/>
          <w:lang w:val="en-US" w:eastAsia="zh-CN"/>
        </w:rPr>
        <w:t>安置小区内部道路</w:t>
      </w:r>
      <w:r>
        <w:rPr>
          <w:rFonts w:hint="eastAsia" w:ascii="宋体" w:hAnsi="宋体" w:eastAsia="宋体" w:cs="宋体"/>
          <w:bCs/>
          <w:color w:val="auto"/>
          <w:sz w:val="24"/>
        </w:rPr>
        <w:t>等范围内绿化带保洁</w:t>
      </w:r>
      <w:r>
        <w:rPr>
          <w:rFonts w:hint="eastAsia" w:ascii="宋体" w:hAnsi="宋体" w:eastAsia="宋体" w:cs="宋体"/>
          <w:bCs/>
          <w:color w:val="auto"/>
          <w:kern w:val="0"/>
          <w:sz w:val="24"/>
        </w:rPr>
        <w:t>；</w:t>
      </w:r>
    </w:p>
    <w:p w14:paraId="4A5E17C4">
      <w:pPr>
        <w:keepNext w:val="0"/>
        <w:keepLines w:val="0"/>
        <w:pageBreakBefore w:val="0"/>
        <w:widowControl w:val="0"/>
        <w:shd w:val="clear" w:color="auto" w:fill="FFFFFF"/>
        <w:kinsoku/>
        <w:wordWrap/>
        <w:topLinePunct w:val="0"/>
        <w:bidi w:val="0"/>
        <w:snapToGrid w:val="0"/>
        <w:spacing w:line="360" w:lineRule="auto"/>
        <w:ind w:left="0" w:leftChars="0" w:firstLine="480" w:firstLineChars="200"/>
        <w:rPr>
          <w:rFonts w:hint="eastAsia" w:ascii="宋体" w:hAnsi="宋体" w:eastAsia="宋体" w:cs="宋体"/>
          <w:bCs/>
          <w:color w:val="auto"/>
          <w:kern w:val="0"/>
          <w:sz w:val="24"/>
        </w:rPr>
      </w:pPr>
      <w:r>
        <w:rPr>
          <w:rFonts w:hint="eastAsia" w:ascii="宋体" w:hAnsi="宋体" w:eastAsia="宋体" w:cs="宋体"/>
          <w:bCs/>
          <w:color w:val="auto"/>
          <w:kern w:val="0"/>
          <w:sz w:val="24"/>
        </w:rPr>
        <w:t>（3）沿街</w:t>
      </w:r>
      <w:r>
        <w:rPr>
          <w:rFonts w:hint="eastAsia" w:ascii="宋体" w:hAnsi="宋体" w:eastAsia="宋体" w:cs="宋体"/>
          <w:bCs/>
          <w:color w:val="auto"/>
          <w:sz w:val="24"/>
        </w:rPr>
        <w:t>果壳箱垃圾收集清理、定期清洗保洁</w:t>
      </w:r>
      <w:r>
        <w:rPr>
          <w:rFonts w:hint="eastAsia" w:ascii="宋体" w:hAnsi="宋体" w:eastAsia="宋体" w:cs="宋体"/>
          <w:bCs/>
          <w:color w:val="auto"/>
          <w:kern w:val="0"/>
          <w:sz w:val="24"/>
        </w:rPr>
        <w:t>；</w:t>
      </w:r>
    </w:p>
    <w:p w14:paraId="5948DED5">
      <w:pPr>
        <w:keepNext w:val="0"/>
        <w:keepLines w:val="0"/>
        <w:pageBreakBefore w:val="0"/>
        <w:widowControl w:val="0"/>
        <w:shd w:val="clear" w:color="auto" w:fill="FFFFFF"/>
        <w:kinsoku/>
        <w:wordWrap/>
        <w:topLinePunct w:val="0"/>
        <w:bidi w:val="0"/>
        <w:snapToGrid w:val="0"/>
        <w:spacing w:line="360" w:lineRule="auto"/>
        <w:ind w:left="0" w:leftChars="0" w:firstLine="480" w:firstLineChars="200"/>
        <w:rPr>
          <w:rFonts w:hint="eastAsia" w:ascii="宋体" w:hAnsi="宋体" w:eastAsia="宋体" w:cs="宋体"/>
          <w:bCs/>
          <w:color w:val="auto"/>
          <w:sz w:val="24"/>
        </w:rPr>
      </w:pPr>
      <w:r>
        <w:rPr>
          <w:rFonts w:hint="eastAsia" w:ascii="宋体" w:hAnsi="宋体" w:eastAsia="宋体" w:cs="宋体"/>
          <w:bCs/>
          <w:color w:val="auto"/>
          <w:kern w:val="0"/>
          <w:sz w:val="24"/>
        </w:rPr>
        <w:t>（4）</w:t>
      </w:r>
      <w:r>
        <w:rPr>
          <w:rFonts w:hint="eastAsia" w:ascii="宋体" w:hAnsi="宋体" w:eastAsia="宋体" w:cs="宋体"/>
          <w:bCs/>
          <w:color w:val="auto"/>
          <w:sz w:val="24"/>
        </w:rPr>
        <w:t>交通隔离栏、人行道、2.2米以下路灯杆、交通信号灯杆等公共设施、城市家具清洗；</w:t>
      </w:r>
    </w:p>
    <w:p w14:paraId="168C2157">
      <w:pPr>
        <w:keepNext w:val="0"/>
        <w:keepLines w:val="0"/>
        <w:pageBreakBefore w:val="0"/>
        <w:widowControl w:val="0"/>
        <w:shd w:val="clear" w:color="auto" w:fill="FFFFFF"/>
        <w:kinsoku/>
        <w:wordWrap/>
        <w:topLinePunct w:val="0"/>
        <w:bidi w:val="0"/>
        <w:snapToGrid w:val="0"/>
        <w:spacing w:line="360" w:lineRule="auto"/>
        <w:ind w:left="0" w:leftChars="0" w:firstLine="480" w:firstLineChars="200"/>
        <w:rPr>
          <w:rFonts w:hint="eastAsia" w:ascii="宋体" w:hAnsi="宋体" w:eastAsia="宋体" w:cs="宋体"/>
          <w:bCs/>
          <w:color w:val="auto"/>
          <w:sz w:val="24"/>
          <w:lang w:eastAsia="zh-CN"/>
        </w:rPr>
      </w:pPr>
      <w:r>
        <w:rPr>
          <w:rFonts w:hint="eastAsia" w:ascii="宋体" w:hAnsi="宋体" w:cs="宋体"/>
          <w:bCs/>
          <w:color w:val="auto"/>
          <w:sz w:val="24"/>
          <w:lang w:eastAsia="zh-CN"/>
        </w:rPr>
        <w:t>（</w:t>
      </w:r>
      <w:r>
        <w:rPr>
          <w:rFonts w:hint="eastAsia" w:ascii="宋体" w:hAnsi="宋体" w:cs="宋体"/>
          <w:bCs/>
          <w:color w:val="auto"/>
          <w:sz w:val="24"/>
          <w:lang w:val="en-US" w:eastAsia="zh-CN"/>
        </w:rPr>
        <w:t>5</w:t>
      </w:r>
      <w:r>
        <w:rPr>
          <w:rFonts w:hint="eastAsia" w:ascii="宋体" w:hAnsi="宋体" w:cs="宋体"/>
          <w:bCs/>
          <w:color w:val="auto"/>
          <w:sz w:val="24"/>
          <w:lang w:eastAsia="zh-CN"/>
        </w:rPr>
        <w:t>）</w:t>
      </w:r>
      <w:r>
        <w:rPr>
          <w:rFonts w:hint="eastAsia" w:ascii="宋体" w:hAnsi="宋体" w:eastAsia="宋体" w:cs="宋体"/>
          <w:bCs/>
          <w:color w:val="auto"/>
          <w:sz w:val="24"/>
        </w:rPr>
        <w:t>横畈集镇沿街商铺生活垃圾摇铃收集、小区上门收集</w:t>
      </w:r>
      <w:r>
        <w:rPr>
          <w:rFonts w:hint="eastAsia" w:ascii="宋体" w:hAnsi="宋体" w:cs="宋体"/>
          <w:bCs/>
          <w:color w:val="auto"/>
          <w:sz w:val="24"/>
          <w:lang w:eastAsia="zh-CN"/>
        </w:rPr>
        <w:t>；</w:t>
      </w:r>
    </w:p>
    <w:p w14:paraId="4D6B4EC3">
      <w:pPr>
        <w:keepNext w:val="0"/>
        <w:keepLines w:val="0"/>
        <w:pageBreakBefore w:val="0"/>
        <w:widowControl w:val="0"/>
        <w:shd w:val="clear" w:color="auto" w:fill="FFFFFF"/>
        <w:kinsoku/>
        <w:wordWrap/>
        <w:topLinePunct w:val="0"/>
        <w:bidi w:val="0"/>
        <w:snapToGrid w:val="0"/>
        <w:spacing w:line="360" w:lineRule="auto"/>
        <w:ind w:left="0" w:leftChars="0" w:firstLine="480" w:firstLineChars="200"/>
        <w:rPr>
          <w:rFonts w:hint="eastAsia" w:ascii="宋体" w:hAnsi="宋体" w:eastAsia="宋体" w:cs="宋体"/>
          <w:bCs/>
          <w:color w:val="auto"/>
          <w:sz w:val="24"/>
          <w:lang w:eastAsia="zh-CN"/>
        </w:rPr>
      </w:pPr>
      <w:r>
        <w:rPr>
          <w:rFonts w:hint="eastAsia" w:ascii="宋体" w:hAnsi="宋体" w:eastAsia="宋体" w:cs="宋体"/>
          <w:bCs/>
          <w:color w:val="auto"/>
          <w:sz w:val="24"/>
        </w:rPr>
        <w:t>（</w:t>
      </w:r>
      <w:r>
        <w:rPr>
          <w:rFonts w:hint="eastAsia" w:ascii="宋体" w:hAnsi="宋体" w:cs="宋体"/>
          <w:bCs/>
          <w:color w:val="auto"/>
          <w:sz w:val="24"/>
          <w:lang w:val="en-US" w:eastAsia="zh-CN"/>
        </w:rPr>
        <w:t>6</w:t>
      </w:r>
      <w:r>
        <w:rPr>
          <w:rFonts w:hint="eastAsia" w:ascii="宋体" w:hAnsi="宋体" w:eastAsia="宋体" w:cs="宋体"/>
          <w:bCs/>
          <w:color w:val="auto"/>
          <w:sz w:val="24"/>
        </w:rPr>
        <w:t>）落实责任保洁区域边界管理，</w:t>
      </w:r>
      <w:r>
        <w:rPr>
          <w:rFonts w:hint="eastAsia" w:ascii="宋体" w:hAnsi="宋体" w:cs="宋体"/>
          <w:bCs/>
          <w:color w:val="auto"/>
          <w:sz w:val="24"/>
          <w:lang w:val="en-US" w:eastAsia="zh-CN"/>
        </w:rPr>
        <w:t>包括沿街路边排水沟的垃圾保洁清理，保洁</w:t>
      </w:r>
      <w:r>
        <w:rPr>
          <w:rFonts w:hint="eastAsia" w:ascii="宋体" w:hAnsi="宋体" w:eastAsia="宋体" w:cs="宋体"/>
          <w:bCs/>
          <w:color w:val="auto"/>
          <w:sz w:val="24"/>
        </w:rPr>
        <w:t>时应向保洁边界以外延伸5米，不留保洁盲区空白点</w:t>
      </w:r>
      <w:r>
        <w:rPr>
          <w:rFonts w:hint="eastAsia" w:ascii="宋体" w:hAnsi="宋体" w:cs="宋体"/>
          <w:bCs/>
          <w:color w:val="auto"/>
          <w:sz w:val="24"/>
          <w:lang w:eastAsia="zh-CN"/>
        </w:rPr>
        <w:t>；</w:t>
      </w:r>
    </w:p>
    <w:p w14:paraId="46206821">
      <w:pPr>
        <w:keepNext w:val="0"/>
        <w:keepLines w:val="0"/>
        <w:pageBreakBefore w:val="0"/>
        <w:widowControl w:val="0"/>
        <w:shd w:val="clear" w:color="auto" w:fill="FFFFFF"/>
        <w:kinsoku/>
        <w:wordWrap/>
        <w:topLinePunct w:val="0"/>
        <w:bidi w:val="0"/>
        <w:snapToGrid w:val="0"/>
        <w:spacing w:line="360" w:lineRule="auto"/>
        <w:ind w:left="0" w:leftChars="0" w:firstLine="480" w:firstLineChars="200"/>
        <w:rPr>
          <w:rFonts w:hint="eastAsia" w:ascii="宋体" w:hAnsi="宋体" w:eastAsia="宋体" w:cs="宋体"/>
          <w:bCs/>
          <w:color w:val="auto"/>
          <w:sz w:val="24"/>
        </w:rPr>
      </w:pPr>
      <w:r>
        <w:rPr>
          <w:rFonts w:hint="eastAsia" w:ascii="宋体" w:hAnsi="宋体" w:eastAsia="宋体" w:cs="宋体"/>
          <w:bCs/>
          <w:color w:val="auto"/>
          <w:kern w:val="0"/>
          <w:sz w:val="24"/>
        </w:rPr>
        <w:t>（</w:t>
      </w:r>
      <w:r>
        <w:rPr>
          <w:rFonts w:hint="eastAsia" w:ascii="宋体" w:hAnsi="宋体" w:cs="宋体"/>
          <w:bCs/>
          <w:color w:val="auto"/>
          <w:kern w:val="0"/>
          <w:sz w:val="24"/>
          <w:lang w:val="en-US" w:eastAsia="zh-CN"/>
        </w:rPr>
        <w:t>7</w:t>
      </w:r>
      <w:r>
        <w:rPr>
          <w:rFonts w:hint="eastAsia" w:ascii="宋体" w:hAnsi="宋体" w:eastAsia="宋体" w:cs="宋体"/>
          <w:bCs/>
          <w:color w:val="auto"/>
          <w:kern w:val="0"/>
          <w:sz w:val="24"/>
        </w:rPr>
        <w:t>）</w:t>
      </w:r>
      <w:r>
        <w:rPr>
          <w:rFonts w:hint="eastAsia" w:ascii="宋体" w:hAnsi="宋体" w:eastAsia="宋体" w:cs="宋体"/>
          <w:bCs/>
          <w:color w:val="auto"/>
          <w:sz w:val="24"/>
        </w:rPr>
        <w:t>及时清扫、清洗因突发情况（各类投诉、110联动、城管96310、区长公开电话等）污染的道路；抗台防台、抗雪防冰冻等各类工作的应急保障；</w:t>
      </w:r>
    </w:p>
    <w:p w14:paraId="33EF2C13">
      <w:pPr>
        <w:keepNext w:val="0"/>
        <w:keepLines w:val="0"/>
        <w:pageBreakBefore w:val="0"/>
        <w:widowControl w:val="0"/>
        <w:shd w:val="clear" w:color="auto" w:fill="FFFFFF"/>
        <w:kinsoku/>
        <w:wordWrap/>
        <w:topLinePunct w:val="0"/>
        <w:bidi w:val="0"/>
        <w:snapToGrid w:val="0"/>
        <w:spacing w:line="360" w:lineRule="auto"/>
        <w:ind w:left="0" w:leftChars="0" w:firstLine="480" w:firstLineChars="200"/>
        <w:jc w:val="left"/>
        <w:rPr>
          <w:rFonts w:hint="eastAsia" w:ascii="宋体" w:hAnsi="宋体" w:eastAsia="宋体" w:cs="宋体"/>
          <w:bCs/>
          <w:color w:val="auto"/>
          <w:kern w:val="0"/>
          <w:sz w:val="24"/>
        </w:rPr>
      </w:pPr>
      <w:r>
        <w:rPr>
          <w:rFonts w:hint="eastAsia" w:ascii="宋体" w:hAnsi="宋体" w:eastAsia="宋体" w:cs="宋体"/>
          <w:bCs/>
          <w:color w:val="auto"/>
          <w:kern w:val="0"/>
          <w:sz w:val="24"/>
        </w:rPr>
        <w:t>（</w:t>
      </w:r>
      <w:r>
        <w:rPr>
          <w:rFonts w:hint="eastAsia" w:ascii="宋体" w:hAnsi="宋体" w:cs="宋体"/>
          <w:bCs/>
          <w:color w:val="auto"/>
          <w:kern w:val="0"/>
          <w:sz w:val="24"/>
          <w:lang w:val="en-US" w:eastAsia="zh-CN"/>
        </w:rPr>
        <w:t>8</w:t>
      </w:r>
      <w:r>
        <w:rPr>
          <w:rFonts w:hint="eastAsia" w:ascii="宋体" w:hAnsi="宋体" w:eastAsia="宋体" w:cs="宋体"/>
          <w:bCs/>
          <w:color w:val="auto"/>
          <w:kern w:val="0"/>
          <w:sz w:val="24"/>
        </w:rPr>
        <w:t>）做好法定节假日、政府举办的重大活动期间的保洁工作；</w:t>
      </w:r>
    </w:p>
    <w:p w14:paraId="705D4B2C">
      <w:pPr>
        <w:keepNext w:val="0"/>
        <w:keepLines w:val="0"/>
        <w:pageBreakBefore w:val="0"/>
        <w:widowControl w:val="0"/>
        <w:shd w:val="clear" w:color="auto" w:fill="FFFFFF"/>
        <w:kinsoku/>
        <w:wordWrap/>
        <w:topLinePunct w:val="0"/>
        <w:bidi w:val="0"/>
        <w:snapToGrid w:val="0"/>
        <w:spacing w:line="360" w:lineRule="auto"/>
        <w:ind w:left="0" w:leftChars="0" w:firstLine="480" w:firstLineChars="200"/>
        <w:jc w:val="left"/>
        <w:rPr>
          <w:rFonts w:hint="eastAsia" w:ascii="宋体" w:hAnsi="宋体" w:eastAsia="宋体" w:cs="宋体"/>
          <w:bCs/>
          <w:color w:val="auto"/>
          <w:kern w:val="0"/>
          <w:sz w:val="24"/>
        </w:rPr>
      </w:pPr>
      <w:r>
        <w:rPr>
          <w:rFonts w:hint="eastAsia" w:ascii="宋体" w:hAnsi="宋体" w:eastAsia="宋体" w:cs="宋体"/>
          <w:bCs/>
          <w:color w:val="auto"/>
          <w:kern w:val="0"/>
          <w:sz w:val="24"/>
        </w:rPr>
        <w:t>（</w:t>
      </w:r>
      <w:r>
        <w:rPr>
          <w:rFonts w:hint="eastAsia" w:ascii="宋体" w:hAnsi="宋体" w:cs="宋体"/>
          <w:bCs/>
          <w:color w:val="auto"/>
          <w:kern w:val="0"/>
          <w:sz w:val="24"/>
          <w:lang w:val="en-US" w:eastAsia="zh-CN"/>
        </w:rPr>
        <w:t>9</w:t>
      </w:r>
      <w:r>
        <w:rPr>
          <w:rFonts w:hint="eastAsia" w:ascii="宋体" w:hAnsi="宋体" w:eastAsia="宋体" w:cs="宋体"/>
          <w:bCs/>
          <w:color w:val="auto"/>
          <w:kern w:val="0"/>
          <w:sz w:val="24"/>
        </w:rPr>
        <w:t>）应主管单位要求，无条件响应完成重大检查评比、庆典活动期间</w:t>
      </w:r>
      <w:r>
        <w:rPr>
          <w:rFonts w:hint="eastAsia" w:ascii="宋体" w:hAnsi="宋体" w:cs="宋体"/>
          <w:bCs/>
          <w:color w:val="auto"/>
          <w:kern w:val="0"/>
          <w:sz w:val="24"/>
          <w:lang w:val="en-US" w:eastAsia="zh-CN"/>
        </w:rPr>
        <w:t>及上级领导考察、视察等</w:t>
      </w:r>
      <w:r>
        <w:rPr>
          <w:rFonts w:hint="eastAsia" w:ascii="宋体" w:hAnsi="宋体" w:eastAsia="宋体" w:cs="宋体"/>
          <w:bCs/>
          <w:color w:val="auto"/>
          <w:kern w:val="0"/>
          <w:sz w:val="24"/>
        </w:rPr>
        <w:t>市容环境卫生保障任务；</w:t>
      </w:r>
    </w:p>
    <w:p w14:paraId="78C85813">
      <w:pPr>
        <w:keepNext w:val="0"/>
        <w:keepLines w:val="0"/>
        <w:pageBreakBefore w:val="0"/>
        <w:widowControl w:val="0"/>
        <w:shd w:val="clear" w:color="auto" w:fill="FFFFFF"/>
        <w:kinsoku/>
        <w:wordWrap/>
        <w:topLinePunct w:val="0"/>
        <w:bidi w:val="0"/>
        <w:snapToGrid w:val="0"/>
        <w:spacing w:line="360" w:lineRule="auto"/>
        <w:ind w:left="0" w:leftChars="0" w:firstLine="480" w:firstLineChars="200"/>
        <w:jc w:val="left"/>
        <w:rPr>
          <w:rFonts w:hint="eastAsia" w:ascii="宋体" w:hAnsi="宋体" w:eastAsia="宋体" w:cs="宋体"/>
          <w:bCs/>
          <w:color w:val="auto"/>
          <w:kern w:val="0"/>
          <w:sz w:val="24"/>
        </w:rPr>
      </w:pPr>
      <w:r>
        <w:rPr>
          <w:rFonts w:hint="eastAsia" w:ascii="宋体" w:hAnsi="宋体" w:eastAsia="宋体" w:cs="宋体"/>
          <w:bCs/>
          <w:color w:val="auto"/>
          <w:kern w:val="0"/>
          <w:sz w:val="24"/>
        </w:rPr>
        <w:t>（</w:t>
      </w:r>
      <w:r>
        <w:rPr>
          <w:rFonts w:hint="eastAsia" w:ascii="宋体" w:hAnsi="宋体" w:cs="宋体"/>
          <w:bCs/>
          <w:color w:val="auto"/>
          <w:kern w:val="0"/>
          <w:sz w:val="24"/>
          <w:lang w:val="en-US" w:eastAsia="zh-CN"/>
        </w:rPr>
        <w:t>10</w:t>
      </w:r>
      <w:r>
        <w:rPr>
          <w:rFonts w:hint="eastAsia" w:ascii="宋体" w:hAnsi="宋体" w:eastAsia="宋体" w:cs="宋体"/>
          <w:bCs/>
          <w:color w:val="auto"/>
          <w:kern w:val="0"/>
          <w:sz w:val="24"/>
        </w:rPr>
        <w:t>）对辖区范围内各类无主垃圾进行清理、分类清运，包括杂物垃圾、大件垃圾、建筑装潢垃圾清理；</w:t>
      </w:r>
    </w:p>
    <w:p w14:paraId="13C3147F">
      <w:pPr>
        <w:keepNext w:val="0"/>
        <w:keepLines w:val="0"/>
        <w:pageBreakBefore w:val="0"/>
        <w:widowControl w:val="0"/>
        <w:shd w:val="clear" w:color="auto" w:fill="FFFFFF"/>
        <w:kinsoku/>
        <w:wordWrap/>
        <w:topLinePunct w:val="0"/>
        <w:bidi w:val="0"/>
        <w:snapToGrid w:val="0"/>
        <w:spacing w:line="360" w:lineRule="auto"/>
        <w:ind w:left="0" w:leftChars="0" w:firstLine="480" w:firstLineChars="200"/>
        <w:jc w:val="left"/>
        <w:rPr>
          <w:rFonts w:hint="eastAsia" w:ascii="宋体" w:hAnsi="宋体" w:eastAsia="宋体" w:cs="宋体"/>
          <w:bCs/>
          <w:color w:val="auto"/>
          <w:kern w:val="0"/>
          <w:sz w:val="24"/>
          <w:lang w:eastAsia="zh-CN"/>
        </w:rPr>
      </w:pPr>
      <w:r>
        <w:rPr>
          <w:rFonts w:hint="eastAsia" w:ascii="宋体" w:hAnsi="宋体" w:eastAsia="宋体" w:cs="宋体"/>
          <w:bCs/>
          <w:color w:val="auto"/>
          <w:kern w:val="0"/>
          <w:sz w:val="24"/>
        </w:rPr>
        <w:t>（</w:t>
      </w:r>
      <w:r>
        <w:rPr>
          <w:rFonts w:hint="eastAsia" w:ascii="宋体" w:hAnsi="宋体" w:cs="宋体"/>
          <w:bCs/>
          <w:color w:val="auto"/>
          <w:kern w:val="0"/>
          <w:sz w:val="24"/>
          <w:lang w:val="en-US" w:eastAsia="zh-CN"/>
        </w:rPr>
        <w:t>11</w:t>
      </w:r>
      <w:r>
        <w:rPr>
          <w:rFonts w:hint="eastAsia" w:ascii="宋体" w:hAnsi="宋体" w:eastAsia="宋体" w:cs="宋体"/>
          <w:bCs/>
          <w:color w:val="auto"/>
          <w:kern w:val="0"/>
          <w:sz w:val="24"/>
        </w:rPr>
        <w:t>）对社区辖区区域内牛皮癣进行清理清除，对乱贴、乱画、乱投小广告的行为人进行劝阻与制止</w:t>
      </w:r>
      <w:r>
        <w:rPr>
          <w:rFonts w:hint="eastAsia" w:ascii="宋体" w:hAnsi="宋体" w:cs="宋体"/>
          <w:bCs/>
          <w:color w:val="auto"/>
          <w:kern w:val="0"/>
          <w:sz w:val="24"/>
          <w:lang w:eastAsia="zh-CN"/>
        </w:rPr>
        <w:t>；</w:t>
      </w:r>
    </w:p>
    <w:p w14:paraId="3EAEBABD">
      <w:pPr>
        <w:pStyle w:val="235"/>
        <w:keepNext w:val="0"/>
        <w:keepLines w:val="0"/>
        <w:pageBreakBefore w:val="0"/>
        <w:widowControl w:val="0"/>
        <w:kinsoku/>
        <w:wordWrap/>
        <w:topLinePunct w:val="0"/>
        <w:bidi w:val="0"/>
        <w:spacing w:line="360" w:lineRule="auto"/>
        <w:ind w:left="0" w:leftChars="0" w:firstLine="480" w:firstLineChars="200"/>
        <w:rPr>
          <w:rFonts w:hint="eastAsia" w:ascii="宋体" w:hAnsi="宋体" w:eastAsia="宋体" w:cs="宋体"/>
          <w:color w:val="auto"/>
        </w:rPr>
      </w:pPr>
      <w:r>
        <w:rPr>
          <w:rFonts w:hint="eastAsia" w:ascii="宋体" w:hAnsi="宋体" w:eastAsia="宋体" w:cs="宋体"/>
          <w:bCs/>
          <w:color w:val="auto"/>
        </w:rPr>
        <w:t>（1</w:t>
      </w:r>
      <w:r>
        <w:rPr>
          <w:rFonts w:hint="eastAsia" w:ascii="宋体" w:hAnsi="宋体" w:eastAsia="宋体" w:cs="宋体"/>
          <w:bCs/>
          <w:color w:val="auto"/>
          <w:lang w:val="en-US" w:eastAsia="zh-CN"/>
        </w:rPr>
        <w:t>2</w:t>
      </w:r>
      <w:r>
        <w:rPr>
          <w:rFonts w:hint="eastAsia" w:ascii="宋体" w:hAnsi="宋体" w:eastAsia="宋体" w:cs="宋体"/>
          <w:bCs/>
          <w:color w:val="auto"/>
        </w:rPr>
        <w:t>）做好其他涉及环境卫生的各项工作。</w:t>
      </w:r>
    </w:p>
    <w:p w14:paraId="3E304C30">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rPr>
        <w:t>2、作业标准</w:t>
      </w:r>
    </w:p>
    <w:p w14:paraId="1827E628">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普扫是对城市道路、街巷</w:t>
      </w:r>
      <w:r>
        <w:rPr>
          <w:rFonts w:hint="eastAsia" w:ascii="宋体" w:hAnsi="宋体" w:cs="宋体"/>
          <w:color w:val="auto"/>
          <w:kern w:val="0"/>
          <w:sz w:val="24"/>
          <w:lang w:eastAsia="zh-CN"/>
        </w:rPr>
        <w:t>、</w:t>
      </w:r>
      <w:r>
        <w:rPr>
          <w:rFonts w:hint="eastAsia" w:ascii="宋体" w:hAnsi="宋体" w:cs="宋体"/>
          <w:color w:val="auto"/>
          <w:kern w:val="0"/>
          <w:sz w:val="24"/>
          <w:lang w:val="en-US" w:eastAsia="zh-CN"/>
        </w:rPr>
        <w:t>停车场</w:t>
      </w:r>
      <w:r>
        <w:rPr>
          <w:rFonts w:hint="eastAsia" w:ascii="宋体" w:hAnsi="宋体" w:eastAsia="宋体" w:cs="宋体"/>
          <w:color w:val="auto"/>
          <w:kern w:val="0"/>
          <w:sz w:val="24"/>
        </w:rPr>
        <w:t>进行的全面清扫，包括机械化和人工清扫，普扫作业质量应做到“五无五净”，路面见本色。“五无”：无垃圾杂物，无积水积泥，无痰迹烟蒂，无果皮纸屑，无土石杂草；“五净”：路面干净，绿地、绿化带和树圈干净，边角侧石干净，雨水井盖沟眼畅通干净，果皮箱等环卫设施干净。路面见本色。</w:t>
      </w:r>
    </w:p>
    <w:p w14:paraId="55B0292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每日普扫前，应先对车行道路面进行洒水，一般第一次普扫采用人机结合方式对道路街巷进行全面的清扫。第二次普扫，根据车流量情况，一般采用机械化方式对快车道进行清扫清理。人工方式对慢车道、人行道等位置进行清扫捡拾。</w:t>
      </w:r>
    </w:p>
    <w:p w14:paraId="6CBB2FD4">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在“五无五净”的基础上，保持交通隔离栏、2.2米以下灯杆、交通信号灯杆等城市家具清洁。巡回保洁期间，以捡拾漂浮垃圾为主，不允许单人无维护措施情况下上快车道作业。遇特殊情况，非机动车道可进行小范围清扫，车行道内在做好维护及安全措施的前提下集体进入清扫清理。</w:t>
      </w:r>
    </w:p>
    <w:p w14:paraId="192824EA">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rPr>
        <w:t>3、清扫保洁时间规定</w:t>
      </w:r>
    </w:p>
    <w:p w14:paraId="5E393683">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（1）普扫作业时间应符合下列要求：普扫作业每日不少于3次；普扫完成时间：每日首次普扫在上午</w:t>
      </w:r>
      <w:r>
        <w:rPr>
          <w:rFonts w:hint="eastAsia" w:ascii="宋体" w:hAnsi="宋体" w:eastAsia="宋体" w:cs="宋体"/>
          <w:color w:val="auto"/>
          <w:kern w:val="0"/>
          <w:sz w:val="24"/>
          <w:lang w:val="en-US" w:eastAsia="zh-CN"/>
        </w:rPr>
        <w:t>7</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00</w:t>
      </w:r>
      <w:r>
        <w:rPr>
          <w:rFonts w:hint="eastAsia" w:ascii="宋体" w:hAnsi="宋体" w:eastAsia="宋体" w:cs="宋体"/>
          <w:color w:val="auto"/>
          <w:kern w:val="0"/>
          <w:sz w:val="24"/>
        </w:rPr>
        <w:t>之前完成；每日二次普扫在13：30之前完成，在遇特殊天气或路面落叶较多季节，可视实际情况适当延长；夜间普扫在19:00之前完成。</w:t>
      </w:r>
    </w:p>
    <w:p w14:paraId="06192D66">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（2）每日清扫保洁时间规定</w:t>
      </w:r>
    </w:p>
    <w:p w14:paraId="6153713B">
      <w:pPr>
        <w:keepNext w:val="0"/>
        <w:keepLines w:val="0"/>
        <w:pageBreakBefore w:val="0"/>
        <w:widowControl w:val="0"/>
        <w:kinsoku/>
        <w:wordWrap/>
        <w:overflowPunct w:val="0"/>
        <w:topLinePunct w:val="0"/>
        <w:autoSpaceDE w:val="0"/>
        <w:autoSpaceDN w:val="0"/>
        <w:bidi w:val="0"/>
        <w:snapToGrid w:val="0"/>
        <w:spacing w:line="360" w:lineRule="auto"/>
        <w:ind w:left="0" w:leftChars="0" w:firstLine="600" w:firstLineChars="25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二</w:t>
      </w:r>
      <w:r>
        <w:rPr>
          <w:rFonts w:hint="eastAsia" w:ascii="宋体" w:hAnsi="宋体" w:eastAsia="宋体" w:cs="宋体"/>
          <w:color w:val="auto"/>
          <w:kern w:val="0"/>
          <w:sz w:val="24"/>
        </w:rPr>
        <w:t>类道路</w:t>
      </w:r>
      <w:r>
        <w:rPr>
          <w:rFonts w:hint="eastAsia" w:ascii="宋体" w:hAnsi="宋体" w:eastAsia="宋体" w:cs="宋体"/>
          <w:color w:val="auto"/>
          <w:kern w:val="0"/>
          <w:sz w:val="24"/>
          <w:lang w:val="en-US" w:eastAsia="zh-CN"/>
        </w:rPr>
        <w:t>14</w:t>
      </w:r>
      <w:r>
        <w:rPr>
          <w:rFonts w:hint="eastAsia" w:ascii="宋体" w:hAnsi="宋体" w:eastAsia="宋体" w:cs="宋体"/>
          <w:color w:val="auto"/>
          <w:kern w:val="0"/>
          <w:sz w:val="24"/>
        </w:rPr>
        <w:t>小时保洁：全年度（</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w:t>
      </w:r>
      <w:r>
        <w:rPr>
          <w:rFonts w:hint="eastAsia" w:ascii="宋体" w:hAnsi="宋体" w:eastAsia="宋体" w:cs="宋体"/>
          <w:color w:val="auto"/>
          <w:kern w:val="0"/>
          <w:sz w:val="24"/>
        </w:rPr>
        <w:t>0—</w:t>
      </w:r>
      <w:r>
        <w:rPr>
          <w:rFonts w:hint="eastAsia" w:ascii="宋体" w:hAnsi="宋体" w:eastAsia="宋体" w:cs="宋体"/>
          <w:color w:val="auto"/>
          <w:kern w:val="0"/>
          <w:sz w:val="24"/>
          <w:lang w:val="en-US" w:eastAsia="zh-CN"/>
        </w:rPr>
        <w:t>20</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w:t>
      </w:r>
      <w:r>
        <w:rPr>
          <w:rFonts w:hint="eastAsia" w:ascii="宋体" w:hAnsi="宋体" w:eastAsia="宋体" w:cs="宋体"/>
          <w:color w:val="auto"/>
          <w:kern w:val="0"/>
          <w:sz w:val="24"/>
        </w:rPr>
        <w:t>0）；</w:t>
      </w:r>
      <w:r>
        <w:rPr>
          <w:rFonts w:hint="eastAsia" w:ascii="宋体" w:hAnsi="宋体" w:eastAsia="宋体" w:cs="宋体"/>
          <w:color w:val="auto"/>
          <w:kern w:val="0"/>
          <w:sz w:val="24"/>
          <w:lang w:val="en-US" w:eastAsia="zh-CN"/>
        </w:rPr>
        <w:t>三</w:t>
      </w:r>
      <w:r>
        <w:rPr>
          <w:rFonts w:hint="eastAsia" w:ascii="宋体" w:hAnsi="宋体" w:eastAsia="宋体" w:cs="宋体"/>
          <w:color w:val="auto"/>
          <w:kern w:val="0"/>
          <w:sz w:val="24"/>
        </w:rPr>
        <w:t>类道路、</w:t>
      </w:r>
      <w:r>
        <w:rPr>
          <w:rFonts w:hint="eastAsia" w:ascii="宋体" w:hAnsi="宋体" w:eastAsia="宋体" w:cs="宋体"/>
          <w:color w:val="auto"/>
          <w:kern w:val="0"/>
          <w:sz w:val="24"/>
          <w:lang w:val="en-US" w:eastAsia="zh-CN"/>
        </w:rPr>
        <w:t>快速保洁道路8</w:t>
      </w:r>
      <w:r>
        <w:rPr>
          <w:rFonts w:hint="eastAsia" w:ascii="宋体" w:hAnsi="宋体" w:eastAsia="宋体" w:cs="宋体"/>
          <w:color w:val="auto"/>
          <w:kern w:val="0"/>
          <w:sz w:val="24"/>
        </w:rPr>
        <w:t>小时保洁：全年度（</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w:t>
      </w:r>
      <w:r>
        <w:rPr>
          <w:rFonts w:hint="eastAsia" w:ascii="宋体" w:hAnsi="宋体" w:eastAsia="宋体" w:cs="宋体"/>
          <w:color w:val="auto"/>
          <w:kern w:val="0"/>
          <w:sz w:val="24"/>
        </w:rPr>
        <w:t>0—</w:t>
      </w:r>
      <w:r>
        <w:rPr>
          <w:rFonts w:hint="eastAsia" w:ascii="宋体" w:hAnsi="宋体" w:eastAsia="宋体" w:cs="宋体"/>
          <w:color w:val="auto"/>
          <w:kern w:val="0"/>
          <w:sz w:val="24"/>
          <w:lang w:val="en-US" w:eastAsia="zh-CN"/>
        </w:rPr>
        <w:t>17</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w:t>
      </w:r>
      <w:r>
        <w:rPr>
          <w:rFonts w:hint="eastAsia" w:ascii="宋体" w:hAnsi="宋体" w:eastAsia="宋体" w:cs="宋体"/>
          <w:color w:val="auto"/>
          <w:kern w:val="0"/>
          <w:sz w:val="24"/>
        </w:rPr>
        <w:t>0）</w:t>
      </w:r>
    </w:p>
    <w:p w14:paraId="5131AFF4">
      <w:pPr>
        <w:keepNext w:val="0"/>
        <w:keepLines w:val="0"/>
        <w:pageBreakBefore w:val="0"/>
        <w:widowControl w:val="0"/>
        <w:kinsoku/>
        <w:wordWrap/>
        <w:overflowPunct w:val="0"/>
        <w:topLinePunct w:val="0"/>
        <w:autoSpaceDE w:val="0"/>
        <w:autoSpaceDN w:val="0"/>
        <w:bidi w:val="0"/>
        <w:adjustRightInd/>
        <w:snapToGrid w:val="0"/>
        <w:spacing w:line="360" w:lineRule="auto"/>
        <w:ind w:left="0" w:leftChars="0" w:firstLine="240" w:firstLineChars="1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机械化作业路段洒水、冲洗、机扫、三位一体洗扫等轮班作业</w:t>
      </w:r>
    </w:p>
    <w:p w14:paraId="5A87FD1A">
      <w:pPr>
        <w:keepNext w:val="0"/>
        <w:keepLines w:val="0"/>
        <w:pageBreakBefore w:val="0"/>
        <w:widowControl w:val="0"/>
        <w:kinsoku/>
        <w:wordWrap/>
        <w:overflowPunct w:val="0"/>
        <w:topLinePunct w:val="0"/>
        <w:autoSpaceDE w:val="0"/>
        <w:autoSpaceDN w:val="0"/>
        <w:bidi w:val="0"/>
        <w:snapToGrid w:val="0"/>
        <w:spacing w:line="360" w:lineRule="auto"/>
        <w:ind w:left="0" w:leftChars="0" w:firstLine="600" w:firstLineChars="250"/>
        <w:jc w:val="left"/>
        <w:textAlignment w:val="baseline"/>
        <w:rPr>
          <w:rFonts w:hint="default" w:ascii="宋体" w:hAnsi="宋体" w:eastAsia="宋体" w:cs="宋体"/>
          <w:color w:val="auto"/>
          <w:kern w:val="0"/>
          <w:sz w:val="24"/>
          <w:lang w:val="en-US" w:eastAsia="zh-CN"/>
        </w:rPr>
      </w:pPr>
      <w:r>
        <w:rPr>
          <w:rFonts w:hint="eastAsia" w:ascii="宋体" w:hAnsi="宋体" w:eastAsia="宋体" w:cs="宋体"/>
          <w:color w:val="auto"/>
          <w:kern w:val="0"/>
          <w:sz w:val="24"/>
        </w:rPr>
        <w:t>作业时间：</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w:t>
      </w:r>
      <w:r>
        <w:rPr>
          <w:rFonts w:hint="eastAsia" w:ascii="宋体" w:hAnsi="宋体" w:eastAsia="宋体" w:cs="宋体"/>
          <w:color w:val="auto"/>
          <w:kern w:val="0"/>
          <w:sz w:val="24"/>
        </w:rPr>
        <w:t>0-</w:t>
      </w:r>
      <w:r>
        <w:rPr>
          <w:rFonts w:hint="eastAsia" w:ascii="宋体" w:hAnsi="宋体" w:eastAsia="宋体" w:cs="宋体"/>
          <w:color w:val="auto"/>
          <w:kern w:val="0"/>
          <w:sz w:val="24"/>
          <w:lang w:val="en-US" w:eastAsia="zh-CN"/>
        </w:rPr>
        <w:t>20</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w:t>
      </w:r>
      <w:r>
        <w:rPr>
          <w:rFonts w:hint="eastAsia" w:ascii="宋体" w:hAnsi="宋体" w:eastAsia="宋体" w:cs="宋体"/>
          <w:color w:val="auto"/>
          <w:kern w:val="0"/>
          <w:sz w:val="24"/>
        </w:rPr>
        <w:t>0，避早晚高峰（7:00-8:30,16:30-18:00），冬季2度以下禁止涉水作业。</w:t>
      </w:r>
      <w:r>
        <w:rPr>
          <w:rFonts w:hint="eastAsia" w:ascii="宋体" w:hAnsi="宋体" w:cs="宋体"/>
          <w:color w:val="auto"/>
          <w:kern w:val="0"/>
          <w:sz w:val="24"/>
          <w:lang w:val="en-US" w:eastAsia="zh-CN"/>
        </w:rPr>
        <w:t>快速道路须保证每周至少一次机扫、洒水，其中新白线、横风线须保证每周至少2次机扫、洒水。</w:t>
      </w:r>
    </w:p>
    <w:p w14:paraId="355ED257">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rPr>
        <w:t>4、人工清扫保洁作业规范</w:t>
      </w:r>
    </w:p>
    <w:p w14:paraId="4C71473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（1）普扫时，应按人行道路面、树圈及周边、车行道路面、窨井口的顺序进行全面清扫。</w:t>
      </w:r>
    </w:p>
    <w:p w14:paraId="20AEEDFE">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（2）清扫归拢的垃圾靠边成堆，应及时清运，确保无漏扫漏收。清扫道路时不得将垃圾扫入窨井、喇叭口、绿地等，并及时疏通窨井口。</w:t>
      </w:r>
    </w:p>
    <w:p w14:paraId="49449D97">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（3）清扫道路路面时应仔细清扫，不得漏扫、甩扫，尽量避免扬尘，妨碍周边行人。</w:t>
      </w:r>
    </w:p>
    <w:p w14:paraId="310169BC">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（4）保洁作业时，应做到对道路路面巡查保洁，及时用工具清理路面垃圾。</w:t>
      </w:r>
    </w:p>
    <w:p w14:paraId="28102C1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（5）发现有人随地乱扔垃圾或破环果壳箱等行为时，应及时劝阻，发现路面被严重污染时，应马上向上级监管部门汇报，并立即组织人员或车辆等设备进行清理。</w:t>
      </w:r>
    </w:p>
    <w:p w14:paraId="3049340E">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（6）道路清扫归拢的垃圾应及时清运至就近生活垃圾中转站。</w:t>
      </w:r>
    </w:p>
    <w:p w14:paraId="07B4255A">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（7）绿化带（含车道绿化隔离带、人行道绿地及道路两侧保洁区域绿地）保洁应与道路保洁同步，做到绿化带内无杂物、无垃圾。</w:t>
      </w:r>
    </w:p>
    <w:p w14:paraId="12EE4CB8">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（8）道路设置的果壳箱等城市家具，每天擦洗不少于1次，每周冲洗不少于1次。果壳箱内垃圾即满即清，不得发生满溢现象。</w:t>
      </w:r>
    </w:p>
    <w:p w14:paraId="4313B061">
      <w:pPr>
        <w:keepNext w:val="0"/>
        <w:keepLines w:val="0"/>
        <w:pageBreakBefore w:val="0"/>
        <w:widowControl w:val="0"/>
        <w:kinsoku/>
        <w:wordWrap/>
        <w:overflowPunct w:val="0"/>
        <w:topLinePunct w:val="0"/>
        <w:autoSpaceDE w:val="0"/>
        <w:autoSpaceDN w:val="0"/>
        <w:bidi w:val="0"/>
        <w:snapToGrid w:val="0"/>
        <w:spacing w:line="360" w:lineRule="auto"/>
        <w:ind w:left="0" w:leftChars="0" w:firstLine="600" w:firstLineChars="249"/>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rPr>
        <w:t>5、洒水车（高压清洗车）作业规范</w:t>
      </w:r>
    </w:p>
    <w:p w14:paraId="4BF0EED6">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（1）路面作业。洒水时，洒水车车速不得超过25Km/h；清洗时，高压清洗车车速不得超过10Km/h。每</w:t>
      </w:r>
      <w:r>
        <w:rPr>
          <w:rFonts w:hint="eastAsia" w:ascii="宋体" w:hAnsi="宋体" w:eastAsia="宋体" w:cs="宋体"/>
          <w:color w:val="auto"/>
          <w:kern w:val="0"/>
          <w:sz w:val="24"/>
          <w:lang w:val="en-US" w:eastAsia="zh-CN"/>
        </w:rPr>
        <w:t>天</w:t>
      </w:r>
      <w:r>
        <w:rPr>
          <w:rFonts w:hint="eastAsia" w:ascii="宋体" w:hAnsi="宋体" w:eastAsia="宋体" w:cs="宋体"/>
          <w:color w:val="auto"/>
          <w:kern w:val="0"/>
          <w:sz w:val="24"/>
        </w:rPr>
        <w:t>洒水不少于</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次</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夏季洒水每天不少于4次</w:t>
      </w:r>
      <w:r>
        <w:rPr>
          <w:rFonts w:hint="eastAsia" w:ascii="宋体" w:hAnsi="宋体" w:eastAsia="宋体" w:cs="宋体"/>
          <w:color w:val="auto"/>
          <w:kern w:val="0"/>
          <w:sz w:val="24"/>
        </w:rPr>
        <w:t>；集镇主要道路、人行道（重要路段）</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安置小区内部道路</w:t>
      </w:r>
      <w:r>
        <w:rPr>
          <w:rFonts w:hint="eastAsia" w:ascii="宋体" w:hAnsi="宋体" w:eastAsia="宋体" w:cs="宋体"/>
          <w:color w:val="auto"/>
          <w:kern w:val="0"/>
          <w:sz w:val="24"/>
        </w:rPr>
        <w:t>每周冲洗1次，洒水作业水源由采购人解决</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对个别易受污染的道路或遇突发事件引发道路污染的，中标人应及时组织车辆与人员进行清洗。</w:t>
      </w:r>
    </w:p>
    <w:p w14:paraId="559DDBB4">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（2）洒水作业时不得漏洒，注意调整高度和水压，避让行人，作业结束后，要做到路面、侧石、交通隔离带以及道路相关公共设施周围无泥沙和积水。</w:t>
      </w:r>
    </w:p>
    <w:p w14:paraId="55197406">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3）高压清洗必须高压清洗车采用主喷作业模式或采用洒水车冲洗与人工清扫模式，作业时水压调整适当，避让行人，应积极与人工作业相配合，以消除路面的积泥、沙石、污迹。对被泥沙等严重污染的路面应组织洒水车、高压清洗车和人员进行反复冲洗，直至路面见本色。</w:t>
      </w:r>
    </w:p>
    <w:p w14:paraId="47C8F5B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（4）洒水作业时不得倒车洒水。洒水、高压清洗作业，月末应制定作业计划并上报采购人（按一般为每月25日前上报），全面推行定车、定人、定责、定路线制度。</w:t>
      </w:r>
    </w:p>
    <w:p w14:paraId="4AE9E245">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（5）清扫作业前应检查车辆车况，加足水，并根据路面实际及时调整好机扫车侧刷和吸口。</w:t>
      </w:r>
    </w:p>
    <w:p w14:paraId="5AD0E011">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（6）清扫作业时应避免“干扫”，做到喷雾清扫作业，做到不扬尘，不漏土（沙）。禁止侧刷，吸口不落地空跑。</w:t>
      </w:r>
    </w:p>
    <w:p w14:paraId="03307B4C">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（7）清扫时注意观察路面清扫质量和路面障碍情况，对机扫车不能清除的大件垃圾和硬物，应及时进行清除，确保清扫质量和设备不受损坏。</w:t>
      </w:r>
    </w:p>
    <w:p w14:paraId="7D08B2EE">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（8）清扫完毕，应检查车辆内垃圾是否卸尽，并做好车辆保洁和维护，保持车容整洁、性能良好。</w:t>
      </w:r>
    </w:p>
    <w:p w14:paraId="46810643">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（9）机扫车清扫作业时速为：≦10㎞/h，道路机扫频次为按招标要求执行，首次机扫必须在7</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30</w:t>
      </w:r>
      <w:r>
        <w:rPr>
          <w:rFonts w:hint="eastAsia" w:ascii="宋体" w:hAnsi="宋体" w:eastAsia="宋体" w:cs="宋体"/>
          <w:color w:val="auto"/>
          <w:kern w:val="0"/>
          <w:sz w:val="24"/>
        </w:rPr>
        <w:t>时前完成，夏季</w:t>
      </w:r>
      <w:r>
        <w:rPr>
          <w:rFonts w:hint="eastAsia" w:ascii="宋体" w:hAnsi="宋体" w:eastAsia="宋体" w:cs="宋体"/>
          <w:color w:val="auto"/>
          <w:kern w:val="0"/>
          <w:sz w:val="24"/>
          <w:lang w:val="en-US" w:eastAsia="zh-CN"/>
        </w:rPr>
        <w:t>7</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00</w:t>
      </w:r>
      <w:r>
        <w:rPr>
          <w:rFonts w:hint="eastAsia" w:ascii="宋体" w:hAnsi="宋体" w:eastAsia="宋体" w:cs="宋体"/>
          <w:color w:val="auto"/>
          <w:kern w:val="0"/>
          <w:sz w:val="24"/>
        </w:rPr>
        <w:t>前完成。</w:t>
      </w:r>
    </w:p>
    <w:p w14:paraId="0CF71BB9">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（10）机扫作业，月末应制定作业计划并上报监管部门（按一般为每月25日前上报），全面推行定车、定人、定责、定路线制度。</w:t>
      </w:r>
    </w:p>
    <w:p w14:paraId="442C1BFD">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（11）机械化清扫车作业垃圾自行分类组织处理，不得乱倒、偷倒。</w:t>
      </w:r>
    </w:p>
    <w:p w14:paraId="399CBCA7">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（12）机械化清扫车规范处理作业污水，严禁乱倒乱排。</w:t>
      </w:r>
    </w:p>
    <w:p w14:paraId="2C4EBD41">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注：各类机械化作业车辆，应根据实际适时调整提示音音量，指示灯模式等，以减少对市民朋友的影响。7时前关闭提示音乐开启警示灯作业，7时后关闭警示灯开启提示音乐作业。</w:t>
      </w:r>
    </w:p>
    <w:p w14:paraId="6E7F6719">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rPr>
        <w:t>6、</w:t>
      </w:r>
      <w:r>
        <w:rPr>
          <w:rFonts w:hint="eastAsia" w:ascii="宋体" w:hAnsi="宋体" w:eastAsia="宋体" w:cs="宋体"/>
          <w:b/>
          <w:color w:val="auto"/>
          <w:kern w:val="0"/>
          <w:sz w:val="24"/>
          <w:lang w:val="en-US" w:eastAsia="zh-CN"/>
        </w:rPr>
        <w:t>安置小区内部道路</w:t>
      </w:r>
      <w:r>
        <w:rPr>
          <w:rFonts w:hint="eastAsia" w:ascii="宋体" w:hAnsi="宋体" w:eastAsia="宋体" w:cs="宋体"/>
          <w:b/>
          <w:color w:val="auto"/>
          <w:kern w:val="0"/>
          <w:sz w:val="24"/>
        </w:rPr>
        <w:t>保洁作业规范</w:t>
      </w:r>
    </w:p>
    <w:p w14:paraId="73190589">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（1）普扫作业时间应符合下列要求：安置小区内部道路普扫作业每日不少于2次。安置小区内部道路普扫完成时间：每日首次普扫在上午7:</w:t>
      </w:r>
      <w:r>
        <w:rPr>
          <w:rFonts w:hint="eastAsia" w:ascii="宋体" w:hAnsi="宋体" w:eastAsia="宋体" w:cs="宋体"/>
          <w:color w:val="auto"/>
          <w:kern w:val="0"/>
          <w:sz w:val="24"/>
          <w:lang w:val="en-US" w:eastAsia="zh-CN"/>
        </w:rPr>
        <w:t>00</w:t>
      </w:r>
      <w:r>
        <w:rPr>
          <w:rFonts w:hint="eastAsia" w:ascii="宋体" w:hAnsi="宋体" w:eastAsia="宋体" w:cs="宋体"/>
          <w:color w:val="auto"/>
          <w:kern w:val="0"/>
          <w:sz w:val="24"/>
        </w:rPr>
        <w:t>之前完成；二次普扫在13:00之前完成，在遇特殊恶劣天气或路面落叶较多季节，可视实际情况适当延长。</w:t>
      </w:r>
    </w:p>
    <w:p w14:paraId="70C2126E">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（2）安置小区内部道路普扫每日清扫保洁时间规定：（</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w:t>
      </w:r>
      <w:r>
        <w:rPr>
          <w:rFonts w:hint="eastAsia" w:ascii="宋体" w:hAnsi="宋体" w:eastAsia="宋体" w:cs="宋体"/>
          <w:color w:val="auto"/>
          <w:kern w:val="0"/>
          <w:sz w:val="24"/>
        </w:rPr>
        <w:t>0—1</w:t>
      </w:r>
      <w:r>
        <w:rPr>
          <w:rFonts w:hint="eastAsia" w:ascii="宋体" w:hAnsi="宋体" w:eastAsia="宋体" w:cs="宋体"/>
          <w:color w:val="auto"/>
          <w:kern w:val="0"/>
          <w:sz w:val="24"/>
          <w:lang w:val="en-US" w:eastAsia="zh-CN"/>
        </w:rPr>
        <w:t>7</w:t>
      </w: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0</w:t>
      </w:r>
      <w:r>
        <w:rPr>
          <w:rFonts w:hint="eastAsia" w:ascii="宋体" w:hAnsi="宋体" w:eastAsia="宋体" w:cs="宋体"/>
          <w:color w:val="auto"/>
          <w:kern w:val="0"/>
          <w:sz w:val="24"/>
        </w:rPr>
        <w:t>0）。</w:t>
      </w:r>
    </w:p>
    <w:p w14:paraId="32AD56E5">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普扫时，应进行全面清扫，不得遗漏。清扫道路路面时应文明作业、注意安全，清扫时尽量避免扬尘或妨碍周边行人；清扫归拢的垃圾靠边成堆，应及时清运，确保无漏收。清扫道路时不得将垃圾扫（倒）入窨井、喇叭口、绿地等，并及时疏通窨井口。</w:t>
      </w:r>
    </w:p>
    <w:p w14:paraId="585D4AD1">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4</w:t>
      </w:r>
      <w:r>
        <w:rPr>
          <w:rFonts w:hint="eastAsia" w:ascii="宋体" w:hAnsi="宋体" w:eastAsia="宋体" w:cs="宋体"/>
          <w:color w:val="auto"/>
          <w:kern w:val="0"/>
          <w:sz w:val="24"/>
        </w:rPr>
        <w:t>）发现有人随地乱扔垃圾或破坏垃圾桶等行为时，应及时劝阻，发现路面被严重污染时，应马上向上级汇报，并立即组织人员或车辆等设备进行清理。</w:t>
      </w:r>
    </w:p>
    <w:p w14:paraId="061480F0">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5</w:t>
      </w:r>
      <w:r>
        <w:rPr>
          <w:rFonts w:hint="eastAsia" w:ascii="宋体" w:hAnsi="宋体" w:eastAsia="宋体" w:cs="宋体"/>
          <w:color w:val="auto"/>
          <w:kern w:val="0"/>
          <w:sz w:val="24"/>
        </w:rPr>
        <w:t>）道路清扫归拢的垃圾应及时清运至周边垃圾投放点。</w:t>
      </w:r>
    </w:p>
    <w:p w14:paraId="1A5D53D4">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对房前屋后开放式绿地的保洁，做好日常巡回捡拾保洁，及时清理绿地内枯叶、树枝、吊挂垃圾等其他垃圾，配合好绿化养护单位做好养护作业时的地面及周边环境的保洁工作。发现有损坏的绿化等现象，应及时做好信息上报工作。</w:t>
      </w:r>
    </w:p>
    <w:p w14:paraId="4379D01D">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bCs/>
          <w:color w:val="auto"/>
          <w:kern w:val="0"/>
          <w:sz w:val="24"/>
        </w:rPr>
      </w:pPr>
      <w:r>
        <w:rPr>
          <w:rFonts w:hint="eastAsia" w:ascii="宋体" w:hAnsi="宋体" w:eastAsia="宋体" w:cs="宋体"/>
          <w:bCs/>
          <w:color w:val="auto"/>
          <w:kern w:val="0"/>
          <w:sz w:val="24"/>
        </w:rPr>
        <w:t>（</w:t>
      </w:r>
      <w:r>
        <w:rPr>
          <w:rFonts w:hint="eastAsia" w:ascii="宋体" w:hAnsi="宋体" w:eastAsia="宋体" w:cs="宋体"/>
          <w:bCs/>
          <w:color w:val="auto"/>
          <w:kern w:val="0"/>
          <w:sz w:val="24"/>
          <w:lang w:val="en-US" w:eastAsia="zh-CN"/>
        </w:rPr>
        <w:t>7</w:t>
      </w:r>
      <w:r>
        <w:rPr>
          <w:rFonts w:hint="eastAsia" w:ascii="宋体" w:hAnsi="宋体" w:eastAsia="宋体" w:cs="宋体"/>
          <w:bCs/>
          <w:color w:val="auto"/>
          <w:kern w:val="0"/>
          <w:sz w:val="24"/>
        </w:rPr>
        <w:t>）按照垃圾分类的要求分类清运，不得混装混运。垃圾清运过后，垃圾桶需及时清洗。垃圾桶、收运点及垃圾房周边需保持清洁，无暴露垃圾、无污水满溢等问题存在。</w:t>
      </w:r>
    </w:p>
    <w:p w14:paraId="3B1BBE0B">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rPr>
        <w:t>7、交通隔离护栏、果壳箱等保洁作业规范</w:t>
      </w:r>
    </w:p>
    <w:p w14:paraId="396EE06D">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（1）隔离护栏清洗作业应做到每周一次周期性循环清洗，日常保洁应做到护栏无明显积尘。遇大风、暴雨、暴雪等恶劣天气时，上报区环卫处经批准，可停止清洗作业。</w:t>
      </w:r>
    </w:p>
    <w:p w14:paraId="3BF84C5B">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（2）由于在清洗作业中会使用清洗剂或洗衣粉，作业当中易产生白色泡沫或积水遗留路面，造成二次污染，因此必需对产生的白色泡沫和路面积水进行清理。</w:t>
      </w:r>
    </w:p>
    <w:p w14:paraId="011AD811">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（3）由于清洗作业处于交通干道内，为确保安全生产，在清洗作业时在来车方向适当位置放置警示锥或桩等能起到有效警示作业的物品。</w:t>
      </w:r>
    </w:p>
    <w:p w14:paraId="4C97FB4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（4）果壳箱擦洗每天不少于1次，清洗每周不少于1次。果壳箱无积尘、无油污、无垃圾满溢。果壳箱内不得存在垃圾满溢现象。</w:t>
      </w:r>
    </w:p>
    <w:p w14:paraId="207284F5">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（5）如遇果壳箱存在破损等情况时，应及时告知监管部门，以便于及时维修或更换。</w:t>
      </w:r>
    </w:p>
    <w:p w14:paraId="7604F9A9">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lang w:val="en-US" w:eastAsia="zh-CN"/>
        </w:rPr>
        <w:t>8</w:t>
      </w:r>
      <w:r>
        <w:rPr>
          <w:rFonts w:hint="eastAsia" w:ascii="宋体" w:hAnsi="宋体" w:eastAsia="宋体" w:cs="宋体"/>
          <w:b/>
          <w:color w:val="auto"/>
          <w:kern w:val="0"/>
          <w:sz w:val="24"/>
        </w:rPr>
        <w:t>、牛皮癣（非法涂写）作业规范</w:t>
      </w:r>
    </w:p>
    <w:p w14:paraId="6C58A4AA">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（1）建立除癣队伍，自备作业工具和作业用品，每日全天候对辖区主要道路、居民社区、里弄小巷牛皮癣（非法涂写）情况进行巡查。</w:t>
      </w:r>
    </w:p>
    <w:p w14:paraId="74837EBA">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（2）对张贴式城市牛皮癣要及时清理干净，不得遗留明显的张贴痕迹，作业时不损坏建筑物、树木、管线、灯杆、护栏及其他各类市政公共设施，确有损坏的，要及时采取相应补救措施，恢复原状。</w:t>
      </w:r>
    </w:p>
    <w:p w14:paraId="50D295B8">
      <w:pPr>
        <w:pStyle w:val="235"/>
        <w:keepNext w:val="0"/>
        <w:keepLines w:val="0"/>
        <w:pageBreakBefore w:val="0"/>
        <w:widowControl w:val="0"/>
        <w:kinsoku/>
        <w:wordWrap/>
        <w:topLinePunct w:val="0"/>
        <w:bidi w:val="0"/>
        <w:spacing w:line="360" w:lineRule="auto"/>
        <w:ind w:left="0" w:leftChars="0" w:firstLine="240" w:firstLineChars="100"/>
        <w:rPr>
          <w:rFonts w:hint="eastAsia" w:ascii="宋体" w:hAnsi="宋体" w:eastAsia="宋体" w:cs="宋体"/>
          <w:color w:val="auto"/>
        </w:rPr>
      </w:pPr>
      <w:r>
        <w:rPr>
          <w:rFonts w:hint="eastAsia" w:ascii="宋体" w:hAnsi="宋体" w:eastAsia="宋体" w:cs="宋体"/>
          <w:color w:val="auto"/>
        </w:rPr>
        <w:t>（3）对涂写式牛皮癣要确保覆盖彻底，不出现清理后涂写文字仍能呈现的情况。</w:t>
      </w:r>
    </w:p>
    <w:p w14:paraId="5C11CE0D">
      <w:pPr>
        <w:pStyle w:val="235"/>
        <w:keepNext w:val="0"/>
        <w:keepLines w:val="0"/>
        <w:pageBreakBefore w:val="0"/>
        <w:widowControl w:val="0"/>
        <w:kinsoku/>
        <w:wordWrap/>
        <w:topLinePunct w:val="0"/>
        <w:bidi w:val="0"/>
        <w:spacing w:line="360" w:lineRule="auto"/>
        <w:ind w:left="0" w:leftChars="0" w:firstLine="240" w:firstLineChars="100"/>
        <w:rPr>
          <w:rFonts w:hint="eastAsia" w:ascii="宋体" w:hAnsi="宋体" w:eastAsia="宋体" w:cs="宋体"/>
          <w:color w:val="auto"/>
        </w:rPr>
      </w:pPr>
      <w:r>
        <w:rPr>
          <w:rFonts w:hint="eastAsia" w:ascii="宋体" w:hAnsi="宋体" w:eastAsia="宋体" w:cs="宋体"/>
          <w:color w:val="auto"/>
        </w:rPr>
        <w:t>（4）注意与底色协调、涂刷规范，按照“色差一致、形状统一、干净整洁、协调美观”的要求进行整改，恢复，要避免出现癣上癣。</w:t>
      </w:r>
    </w:p>
    <w:p w14:paraId="42C5D53E">
      <w:pPr>
        <w:pStyle w:val="235"/>
        <w:keepNext w:val="0"/>
        <w:keepLines w:val="0"/>
        <w:pageBreakBefore w:val="0"/>
        <w:widowControl w:val="0"/>
        <w:kinsoku/>
        <w:wordWrap/>
        <w:topLinePunct w:val="0"/>
        <w:bidi w:val="0"/>
        <w:spacing w:line="360" w:lineRule="auto"/>
        <w:ind w:left="0" w:leftChars="0" w:firstLine="240" w:firstLineChars="100"/>
        <w:rPr>
          <w:rFonts w:hint="eastAsia" w:ascii="宋体" w:hAnsi="宋体" w:eastAsia="宋体" w:cs="宋体"/>
          <w:color w:val="auto"/>
        </w:rPr>
      </w:pPr>
      <w:r>
        <w:rPr>
          <w:rFonts w:hint="eastAsia" w:ascii="宋体" w:hAnsi="宋体" w:eastAsia="宋体" w:cs="宋体"/>
          <w:color w:val="auto"/>
        </w:rPr>
        <w:t>（5）除癣作业后，要及时做好周边地面保洁，保持周边地面干净。</w:t>
      </w:r>
    </w:p>
    <w:p w14:paraId="0939540C">
      <w:pPr>
        <w:pStyle w:val="235"/>
        <w:keepNext w:val="0"/>
        <w:keepLines w:val="0"/>
        <w:pageBreakBefore w:val="0"/>
        <w:widowControl w:val="0"/>
        <w:kinsoku/>
        <w:wordWrap/>
        <w:topLinePunct w:val="0"/>
        <w:bidi w:val="0"/>
        <w:spacing w:line="360" w:lineRule="auto"/>
        <w:ind w:left="0" w:leftChars="0" w:firstLine="240" w:firstLineChars="100"/>
        <w:rPr>
          <w:rFonts w:hint="eastAsia" w:ascii="宋体" w:hAnsi="宋体" w:eastAsia="宋体" w:cs="宋体"/>
          <w:color w:val="auto"/>
        </w:rPr>
      </w:pPr>
      <w:r>
        <w:rPr>
          <w:rFonts w:hint="eastAsia" w:ascii="宋体" w:hAnsi="宋体" w:eastAsia="宋体" w:cs="宋体"/>
          <w:color w:val="auto"/>
        </w:rPr>
        <w:t>（6）接到辖区范围内，检查发现、投诉反映、新闻或各类媒介报道的牛皮癣（非法涂写），必须在12小时内完成整改处理并反馈整改信息。</w:t>
      </w:r>
    </w:p>
    <w:p w14:paraId="78087AB0">
      <w:pPr>
        <w:pStyle w:val="235"/>
        <w:keepNext w:val="0"/>
        <w:keepLines w:val="0"/>
        <w:pageBreakBefore w:val="0"/>
        <w:widowControl w:val="0"/>
        <w:kinsoku/>
        <w:wordWrap/>
        <w:topLinePunct w:val="0"/>
        <w:bidi w:val="0"/>
        <w:spacing w:line="360" w:lineRule="auto"/>
        <w:ind w:left="0" w:leftChars="0" w:firstLine="240" w:firstLineChars="100"/>
        <w:rPr>
          <w:rFonts w:hint="eastAsia" w:ascii="宋体" w:hAnsi="宋体" w:eastAsia="宋体" w:cs="宋体"/>
          <w:color w:val="auto"/>
        </w:rPr>
      </w:pPr>
      <w:r>
        <w:rPr>
          <w:rFonts w:hint="eastAsia" w:ascii="宋体" w:hAnsi="宋体" w:eastAsia="宋体" w:cs="宋体"/>
          <w:color w:val="auto"/>
        </w:rPr>
        <w:t>（7）发现大规模低俗、反社会等小广告时，必须组织人员在1小时内进行清除。</w:t>
      </w:r>
    </w:p>
    <w:p w14:paraId="5F187652">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color w:val="auto"/>
          <w:kern w:val="0"/>
          <w:sz w:val="24"/>
        </w:rPr>
      </w:pPr>
      <w:r>
        <w:rPr>
          <w:rFonts w:hint="eastAsia" w:ascii="宋体" w:hAnsi="宋体" w:eastAsia="宋体" w:cs="宋体"/>
          <w:b/>
          <w:bCs/>
          <w:color w:val="auto"/>
          <w:kern w:val="0"/>
          <w:sz w:val="24"/>
          <w:lang w:val="en-US" w:eastAsia="zh-CN"/>
        </w:rPr>
        <w:t>9</w:t>
      </w:r>
      <w:r>
        <w:rPr>
          <w:rFonts w:hint="eastAsia" w:ascii="宋体" w:hAnsi="宋体" w:eastAsia="宋体" w:cs="宋体"/>
          <w:b/>
          <w:bCs/>
          <w:color w:val="auto"/>
          <w:kern w:val="0"/>
          <w:sz w:val="24"/>
        </w:rPr>
        <w:t>、无主垃圾作业规范</w:t>
      </w:r>
    </w:p>
    <w:p w14:paraId="13D9F016">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（1）装卸垃圾不得随意乱倒，必须运至指定场所处理。装卸应符合作业要求，文明作业，垃圾进入处理场站时应服从管理，不得乱倒、乱卸、乱抛垃圾。</w:t>
      </w:r>
    </w:p>
    <w:p w14:paraId="6EAA66DD">
      <w:pPr>
        <w:pStyle w:val="235"/>
        <w:keepNext w:val="0"/>
        <w:keepLines w:val="0"/>
        <w:pageBreakBefore w:val="0"/>
        <w:widowControl w:val="0"/>
        <w:kinsoku/>
        <w:wordWrap/>
        <w:topLinePunct w:val="0"/>
        <w:bidi w:val="0"/>
        <w:spacing w:line="360" w:lineRule="auto"/>
        <w:ind w:left="0" w:leftChars="0" w:firstLine="240" w:firstLineChars="100"/>
        <w:rPr>
          <w:rFonts w:hint="eastAsia" w:ascii="宋体" w:hAnsi="宋体" w:eastAsia="宋体" w:cs="宋体"/>
          <w:color w:val="auto"/>
        </w:rPr>
      </w:pPr>
      <w:r>
        <w:rPr>
          <w:rFonts w:hint="eastAsia" w:ascii="宋体" w:hAnsi="宋体" w:eastAsia="宋体" w:cs="宋体"/>
          <w:color w:val="auto"/>
        </w:rPr>
        <w:t>（2）每日不少于1次对辖区主要道路、居民社区、里弄小巷无主垃圾堆放情况进行巡查。</w:t>
      </w:r>
    </w:p>
    <w:p w14:paraId="62FBB2D6">
      <w:pPr>
        <w:pStyle w:val="235"/>
        <w:keepNext w:val="0"/>
        <w:keepLines w:val="0"/>
        <w:pageBreakBefore w:val="0"/>
        <w:widowControl w:val="0"/>
        <w:kinsoku/>
        <w:wordWrap/>
        <w:topLinePunct w:val="0"/>
        <w:bidi w:val="0"/>
        <w:spacing w:line="360" w:lineRule="auto"/>
        <w:ind w:left="0" w:leftChars="0" w:firstLine="240" w:firstLineChars="100"/>
        <w:rPr>
          <w:rFonts w:hint="eastAsia" w:ascii="宋体" w:hAnsi="宋体" w:eastAsia="宋体" w:cs="宋体"/>
          <w:color w:val="auto"/>
        </w:rPr>
      </w:pPr>
      <w:r>
        <w:rPr>
          <w:rFonts w:hint="eastAsia" w:ascii="宋体" w:hAnsi="宋体" w:eastAsia="宋体" w:cs="宋体"/>
          <w:color w:val="auto"/>
        </w:rPr>
        <w:t>（3）辖区内堆放的无主大件杂物垃圾、无主建筑装潢垃圾应做到集中收拢清运堆放至</w:t>
      </w:r>
      <w:r>
        <w:rPr>
          <w:rFonts w:hint="eastAsia" w:ascii="宋体" w:hAnsi="宋体" w:eastAsia="宋体" w:cs="宋体"/>
          <w:color w:val="auto"/>
          <w:lang w:val="en-US" w:eastAsia="zh-CN"/>
        </w:rPr>
        <w:t>采购人</w:t>
      </w:r>
      <w:r>
        <w:rPr>
          <w:rFonts w:hint="eastAsia" w:ascii="宋体" w:hAnsi="宋体" w:eastAsia="宋体" w:cs="宋体"/>
          <w:color w:val="auto"/>
        </w:rPr>
        <w:t>所指定场所</w:t>
      </w:r>
      <w:r>
        <w:rPr>
          <w:rFonts w:hint="eastAsia" w:ascii="宋体" w:hAnsi="宋体" w:eastAsia="宋体" w:cs="宋体"/>
          <w:color w:val="auto"/>
          <w:lang w:eastAsia="zh-CN"/>
        </w:rPr>
        <w:t>，</w:t>
      </w:r>
      <w:r>
        <w:rPr>
          <w:rFonts w:hint="eastAsia" w:ascii="宋体" w:hAnsi="宋体" w:eastAsia="宋体" w:cs="宋体"/>
          <w:color w:val="auto"/>
          <w:lang w:val="en-US" w:eastAsia="zh-CN"/>
        </w:rPr>
        <w:t xml:space="preserve"> </w:t>
      </w:r>
      <w:r>
        <w:rPr>
          <w:rFonts w:hint="eastAsia" w:ascii="宋体" w:hAnsi="宋体" w:eastAsia="宋体" w:cs="宋体"/>
          <w:color w:val="auto"/>
        </w:rPr>
        <w:t>严禁将生活垃圾与建筑装潢垃圾混合投（堆）放。</w:t>
      </w:r>
    </w:p>
    <w:p w14:paraId="21F1D60D">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（4）无主垃圾清理后，要及时清扫周围地面，周边环境恢复卫生面貌。</w:t>
      </w:r>
    </w:p>
    <w:p w14:paraId="15837A9C">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（5）对发现乱扔乱倒垃圾的行为，要及时规范劝导，引导居民群众正确妥善处置垃圾。</w:t>
      </w:r>
    </w:p>
    <w:p w14:paraId="5D7A5492">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（6）发现大量偷倒垃圾情况，保持维护好现场证据，并第一时间向街道</w:t>
      </w:r>
      <w:r>
        <w:rPr>
          <w:rFonts w:hint="eastAsia" w:ascii="宋体" w:hAnsi="宋体" w:cs="宋体"/>
          <w:color w:val="auto"/>
          <w:kern w:val="0"/>
          <w:sz w:val="24"/>
          <w:lang w:eastAsia="zh-CN"/>
        </w:rPr>
        <w:t>、</w:t>
      </w:r>
      <w:r>
        <w:rPr>
          <w:rFonts w:hint="eastAsia" w:ascii="宋体" w:hAnsi="宋体" w:cs="宋体"/>
          <w:color w:val="auto"/>
          <w:kern w:val="0"/>
          <w:sz w:val="24"/>
          <w:lang w:val="en-US" w:eastAsia="zh-CN"/>
        </w:rPr>
        <w:t>村</w:t>
      </w:r>
      <w:r>
        <w:rPr>
          <w:rFonts w:hint="eastAsia" w:ascii="宋体" w:hAnsi="宋体" w:eastAsia="宋体" w:cs="宋体"/>
          <w:color w:val="auto"/>
          <w:kern w:val="0"/>
          <w:sz w:val="24"/>
        </w:rPr>
        <w:t>或城管部门反馈查处。</w:t>
      </w:r>
    </w:p>
    <w:p w14:paraId="1BFDC779">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lang w:eastAsia="zh-CN"/>
        </w:rPr>
      </w:pPr>
      <w:r>
        <w:rPr>
          <w:rFonts w:hint="eastAsia" w:ascii="宋体" w:hAnsi="宋体" w:eastAsia="宋体" w:cs="宋体"/>
          <w:color w:val="auto"/>
          <w:kern w:val="0"/>
          <w:sz w:val="24"/>
        </w:rPr>
        <w:t>（7）垃圾装运量应以车辆的额定荷载和有效容积为限，不得超重、超高运输</w:t>
      </w:r>
      <w:r>
        <w:rPr>
          <w:rFonts w:hint="eastAsia" w:ascii="宋体" w:hAnsi="宋体" w:cs="宋体"/>
          <w:color w:val="auto"/>
          <w:kern w:val="0"/>
          <w:sz w:val="24"/>
          <w:lang w:eastAsia="zh-CN"/>
        </w:rPr>
        <w:t>。</w:t>
      </w:r>
    </w:p>
    <w:p w14:paraId="7EAB03D0">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lang w:val="en-US" w:eastAsia="zh-CN"/>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8）需清运的无主垃圾必须每日清运至街道、村所指定场所。</w:t>
      </w:r>
    </w:p>
    <w:p w14:paraId="418CC66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注：采购人有权对上述作业标准及作业质量进行补充修改完善，中标单位无条件服从。</w:t>
      </w:r>
    </w:p>
    <w:p w14:paraId="6D8D660D">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bCs/>
          <w:color w:val="auto"/>
          <w:kern w:val="0"/>
          <w:sz w:val="24"/>
          <w:lang w:val="en-US" w:eastAsia="zh-CN"/>
        </w:rPr>
      </w:pPr>
      <w:r>
        <w:rPr>
          <w:rFonts w:hint="eastAsia" w:ascii="宋体" w:hAnsi="宋体" w:eastAsia="宋体" w:cs="宋体"/>
          <w:b/>
          <w:bCs/>
          <w:color w:val="auto"/>
          <w:kern w:val="0"/>
          <w:sz w:val="24"/>
          <w:lang w:val="en-US" w:eastAsia="zh-CN"/>
        </w:rPr>
        <w:t>10、垃圾清运主要工作内容</w:t>
      </w:r>
    </w:p>
    <w:p w14:paraId="504F586C">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（1）中标人负责14个行政村及企业的垃圾运输至</w:t>
      </w:r>
      <w:r>
        <w:rPr>
          <w:rFonts w:hint="eastAsia" w:ascii="宋体" w:hAnsi="宋体" w:cs="宋体"/>
          <w:color w:val="auto"/>
          <w:kern w:val="0"/>
          <w:sz w:val="24"/>
          <w:lang w:val="en-US" w:eastAsia="zh-CN"/>
        </w:rPr>
        <w:t>街道垃圾中转站或</w:t>
      </w:r>
      <w:r>
        <w:rPr>
          <w:rFonts w:hint="eastAsia" w:ascii="宋体" w:hAnsi="宋体" w:eastAsia="宋体" w:cs="宋体"/>
          <w:color w:val="auto"/>
          <w:kern w:val="0"/>
          <w:sz w:val="24"/>
          <w:lang w:val="en-US" w:eastAsia="zh-CN"/>
        </w:rPr>
        <w:t>垃圾资源化利用</w:t>
      </w:r>
      <w:r>
        <w:rPr>
          <w:rFonts w:hint="eastAsia" w:ascii="宋体" w:hAnsi="宋体" w:cs="宋体"/>
          <w:color w:val="auto"/>
          <w:kern w:val="0"/>
          <w:sz w:val="24"/>
          <w:lang w:val="en-US" w:eastAsia="zh-CN"/>
        </w:rPr>
        <w:t>基地</w:t>
      </w:r>
      <w:r>
        <w:rPr>
          <w:rFonts w:hint="eastAsia" w:ascii="宋体" w:hAnsi="宋体" w:eastAsia="宋体" w:cs="宋体"/>
          <w:color w:val="auto"/>
          <w:kern w:val="0"/>
          <w:sz w:val="24"/>
          <w:lang w:val="en-US" w:eastAsia="zh-CN"/>
        </w:rPr>
        <w:t>处置，按规定处置；</w:t>
      </w:r>
    </w:p>
    <w:p w14:paraId="0D1296EE">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default"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（2）村垃圾清运要求日产日清，同时中标人工作人员主动对接村卫生专管员，做好清运线路、时间等规划，减少工作中的人为失误。村垃圾要求一天两次清运，垃圾较多时，视情况</w:t>
      </w:r>
      <w:r>
        <w:rPr>
          <w:rFonts w:hint="eastAsia" w:ascii="宋体" w:hAnsi="宋体" w:cs="宋体"/>
          <w:color w:val="auto"/>
          <w:kern w:val="0"/>
          <w:sz w:val="24"/>
          <w:lang w:val="en-US" w:eastAsia="zh-CN"/>
        </w:rPr>
        <w:t>（特别是节假日）</w:t>
      </w:r>
      <w:r>
        <w:rPr>
          <w:rFonts w:hint="eastAsia" w:ascii="宋体" w:hAnsi="宋体" w:eastAsia="宋体" w:cs="宋体"/>
          <w:color w:val="auto"/>
          <w:kern w:val="0"/>
          <w:sz w:val="24"/>
          <w:lang w:val="en-US" w:eastAsia="zh-CN"/>
        </w:rPr>
        <w:t>增加垃圾清运次数</w:t>
      </w:r>
      <w:r>
        <w:rPr>
          <w:rFonts w:hint="eastAsia" w:ascii="宋体" w:hAnsi="宋体" w:cs="宋体"/>
          <w:color w:val="auto"/>
          <w:kern w:val="0"/>
          <w:sz w:val="24"/>
          <w:lang w:val="en-US" w:eastAsia="zh-CN"/>
        </w:rPr>
        <w:t>，生活垃圾要求分类清运，特殊垃圾和生活垃圾不能混装。</w:t>
      </w:r>
    </w:p>
    <w:p w14:paraId="5037913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（3）集镇范围特</w:t>
      </w:r>
      <w:r>
        <w:rPr>
          <w:rFonts w:hint="eastAsia" w:ascii="宋体" w:hAnsi="宋体" w:cs="宋体"/>
          <w:color w:val="auto"/>
          <w:kern w:val="0"/>
          <w:sz w:val="24"/>
          <w:lang w:val="en-US" w:eastAsia="zh-CN"/>
        </w:rPr>
        <w:t>殊</w:t>
      </w:r>
      <w:r>
        <w:rPr>
          <w:rFonts w:hint="eastAsia" w:ascii="宋体" w:hAnsi="宋体" w:eastAsia="宋体" w:cs="宋体"/>
          <w:color w:val="auto"/>
          <w:kern w:val="0"/>
          <w:sz w:val="24"/>
          <w:lang w:val="en-US" w:eastAsia="zh-CN"/>
        </w:rPr>
        <w:t>垃圾清运至业主指定倾倒点。</w:t>
      </w:r>
    </w:p>
    <w:p w14:paraId="5B355E6F">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default" w:ascii="宋体" w:hAnsi="宋体" w:eastAsia="宋体" w:cs="宋体"/>
          <w:b/>
          <w:bCs/>
          <w:color w:val="auto"/>
          <w:kern w:val="0"/>
          <w:sz w:val="24"/>
          <w:lang w:val="en-US" w:eastAsia="zh-CN"/>
        </w:rPr>
      </w:pPr>
      <w:r>
        <w:rPr>
          <w:rFonts w:hint="eastAsia" w:ascii="宋体" w:hAnsi="宋体" w:eastAsia="宋体" w:cs="宋体"/>
          <w:b/>
          <w:bCs/>
          <w:color w:val="auto"/>
          <w:kern w:val="0"/>
          <w:sz w:val="24"/>
          <w:lang w:val="en-US" w:eastAsia="zh-CN"/>
        </w:rPr>
        <w:t>11、横畈集镇沿街商铺生活垃圾摇铃收集、小区上门收集</w:t>
      </w:r>
      <w:r>
        <w:rPr>
          <w:rFonts w:hint="eastAsia" w:ascii="宋体" w:hAnsi="宋体" w:cs="宋体"/>
          <w:b/>
          <w:bCs/>
          <w:color w:val="auto"/>
          <w:kern w:val="0"/>
          <w:sz w:val="24"/>
          <w:lang w:val="en-US" w:eastAsia="zh-CN"/>
        </w:rPr>
        <w:t>工作内容</w:t>
      </w:r>
    </w:p>
    <w:p w14:paraId="07B5DAD3">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b w:val="0"/>
          <w:bCs w:val="0"/>
          <w:color w:val="auto"/>
          <w:kern w:val="0"/>
          <w:sz w:val="24"/>
          <w:lang w:val="en-US" w:eastAsia="zh-CN"/>
        </w:rPr>
      </w:pPr>
      <w:r>
        <w:rPr>
          <w:rFonts w:hint="eastAsia" w:ascii="宋体" w:hAnsi="宋体" w:eastAsia="宋体" w:cs="宋体"/>
          <w:b w:val="0"/>
          <w:bCs w:val="0"/>
          <w:color w:val="auto"/>
          <w:kern w:val="0"/>
          <w:sz w:val="24"/>
          <w:lang w:val="en-US" w:eastAsia="zh-CN"/>
        </w:rPr>
        <w:t>（1）应结合本项目特点制定商业街、小区居民生活垃圾收集时间、频次、人员、责任等规定，全面推行垃圾分类、摇铃上门收集清运模式。</w:t>
      </w:r>
    </w:p>
    <w:p w14:paraId="55650342">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b w:val="0"/>
          <w:bCs w:val="0"/>
          <w:color w:val="auto"/>
          <w:kern w:val="0"/>
          <w:sz w:val="24"/>
          <w:lang w:val="en-US" w:eastAsia="zh-CN"/>
        </w:rPr>
      </w:pPr>
      <w:r>
        <w:rPr>
          <w:rFonts w:hint="eastAsia" w:ascii="宋体" w:hAnsi="宋体" w:eastAsia="宋体" w:cs="宋体"/>
          <w:b w:val="0"/>
          <w:bCs w:val="0"/>
          <w:color w:val="auto"/>
          <w:kern w:val="0"/>
          <w:sz w:val="24"/>
          <w:lang w:val="en-US" w:eastAsia="zh-CN"/>
        </w:rPr>
        <w:t>（2）应配置专用车辆，全面推行垃圾分类投放、分类收集、分类清运。</w:t>
      </w:r>
    </w:p>
    <w:p w14:paraId="2FA122F3">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b w:val="0"/>
          <w:bCs w:val="0"/>
          <w:color w:val="auto"/>
          <w:kern w:val="0"/>
          <w:sz w:val="24"/>
          <w:lang w:val="en-US" w:eastAsia="zh-CN"/>
        </w:rPr>
      </w:pPr>
      <w:r>
        <w:rPr>
          <w:rFonts w:hint="eastAsia" w:ascii="宋体" w:hAnsi="宋体" w:eastAsia="宋体" w:cs="宋体"/>
          <w:b w:val="0"/>
          <w:bCs w:val="0"/>
          <w:color w:val="auto"/>
          <w:kern w:val="0"/>
          <w:sz w:val="24"/>
          <w:lang w:val="en-US" w:eastAsia="zh-CN"/>
        </w:rPr>
        <w:t>（3）收集车辆运输垃圾必须密闭，无抛洒、吊挂和污水滴漏。车容整洁，车体垃圾桶外部无污物、灰垢，标识应清晰。运输车辆垃圾桶及时清洗干净，并按指定地点停放。</w:t>
      </w:r>
    </w:p>
    <w:p w14:paraId="211B0E39">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b w:val="0"/>
          <w:bCs w:val="0"/>
          <w:color w:val="auto"/>
          <w:kern w:val="0"/>
          <w:sz w:val="24"/>
          <w:lang w:val="en-US" w:eastAsia="zh-CN"/>
        </w:rPr>
      </w:pPr>
      <w:r>
        <w:rPr>
          <w:rFonts w:hint="eastAsia" w:ascii="宋体" w:hAnsi="宋体" w:eastAsia="宋体" w:cs="宋体"/>
          <w:b w:val="0"/>
          <w:bCs w:val="0"/>
          <w:color w:val="auto"/>
          <w:kern w:val="0"/>
          <w:sz w:val="24"/>
          <w:lang w:val="en-US" w:eastAsia="zh-CN"/>
        </w:rPr>
        <w:t>（4）商业街摇铃收集作业每天不少于2次。收集清运时应分类投放，不得混装。如店家不配合，可拒绝收集清运，并第一时间向监管部门或城管执法中队反馈。</w:t>
      </w:r>
    </w:p>
    <w:p w14:paraId="1C48161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b w:val="0"/>
          <w:bCs w:val="0"/>
          <w:color w:val="auto"/>
          <w:kern w:val="0"/>
          <w:sz w:val="24"/>
          <w:lang w:val="en-US" w:eastAsia="zh-CN"/>
        </w:rPr>
      </w:pPr>
      <w:r>
        <w:rPr>
          <w:rFonts w:hint="eastAsia" w:ascii="宋体" w:hAnsi="宋体" w:eastAsia="宋体" w:cs="宋体"/>
          <w:b w:val="0"/>
          <w:bCs w:val="0"/>
          <w:color w:val="auto"/>
          <w:kern w:val="0"/>
          <w:sz w:val="24"/>
          <w:lang w:val="en-US" w:eastAsia="zh-CN"/>
        </w:rPr>
        <w:t>（5）小区、城中村居民生活垃圾上门收集每天不少于2次。根据居民生活习惯，制定并实施上门收集方案。对居民垃圾分类进行指导，对拒绝分类的居民加以劝导和指导。</w:t>
      </w:r>
    </w:p>
    <w:p w14:paraId="76DD43AD">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b w:val="0"/>
          <w:bCs w:val="0"/>
          <w:color w:val="auto"/>
          <w:kern w:val="0"/>
          <w:sz w:val="24"/>
          <w:lang w:val="en-US" w:eastAsia="zh-CN"/>
        </w:rPr>
      </w:pPr>
      <w:r>
        <w:rPr>
          <w:rFonts w:hint="eastAsia" w:ascii="宋体" w:hAnsi="宋体" w:eastAsia="宋体" w:cs="宋体"/>
          <w:b w:val="0"/>
          <w:bCs w:val="0"/>
          <w:color w:val="auto"/>
          <w:kern w:val="0"/>
          <w:sz w:val="24"/>
          <w:lang w:val="en-US" w:eastAsia="zh-CN"/>
        </w:rPr>
        <w:t>（6）制定宣传方案，定期做好上门收集、入户宣传指导和对接。</w:t>
      </w:r>
    </w:p>
    <w:p w14:paraId="7F612AB9">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default" w:ascii="宋体" w:hAnsi="宋体" w:eastAsia="宋体" w:cs="宋体"/>
          <w:b w:val="0"/>
          <w:bCs w:val="0"/>
          <w:color w:val="auto"/>
          <w:kern w:val="0"/>
          <w:sz w:val="24"/>
          <w:lang w:val="en-US" w:eastAsia="zh-CN"/>
        </w:rPr>
      </w:pPr>
      <w:r>
        <w:rPr>
          <w:rFonts w:hint="eastAsia" w:ascii="宋体" w:hAnsi="宋体" w:eastAsia="宋体" w:cs="宋体"/>
          <w:b w:val="0"/>
          <w:bCs w:val="0"/>
          <w:color w:val="auto"/>
          <w:kern w:val="0"/>
          <w:sz w:val="24"/>
          <w:lang w:val="en-US" w:eastAsia="zh-CN"/>
        </w:rPr>
        <w:t>（7）根据清运要求，将项目范围内的生活垃圾清运至中转站。</w:t>
      </w:r>
    </w:p>
    <w:p w14:paraId="4B9BC5CD">
      <w:pPr>
        <w:keepNext w:val="0"/>
        <w:keepLines w:val="0"/>
        <w:pageBreakBefore w:val="0"/>
        <w:widowControl w:val="0"/>
        <w:kinsoku/>
        <w:wordWrap/>
        <w:overflowPunct w:val="0"/>
        <w:topLinePunct w:val="0"/>
        <w:autoSpaceDE w:val="0"/>
        <w:autoSpaceDN w:val="0"/>
        <w:bidi w:val="0"/>
        <w:snapToGrid w:val="0"/>
        <w:spacing w:line="360" w:lineRule="auto"/>
        <w:ind w:left="0" w:leftChars="0"/>
        <w:jc w:val="left"/>
        <w:textAlignment w:val="baseline"/>
        <w:rPr>
          <w:rFonts w:hint="eastAsia" w:ascii="宋体" w:hAnsi="宋体" w:eastAsia="宋体" w:cs="宋体"/>
          <w:b/>
          <w:bCs/>
          <w:color w:val="auto"/>
          <w:kern w:val="0"/>
          <w:sz w:val="24"/>
        </w:rPr>
      </w:pPr>
      <w:r>
        <w:rPr>
          <w:rFonts w:hint="eastAsia" w:ascii="宋体" w:hAnsi="宋体" w:eastAsia="宋体" w:cs="宋体"/>
          <w:b/>
          <w:bCs/>
          <w:color w:val="auto"/>
          <w:kern w:val="0"/>
          <w:sz w:val="24"/>
        </w:rPr>
        <w:t>三、人员设备配置要求</w:t>
      </w:r>
    </w:p>
    <w:p w14:paraId="75E4BF46">
      <w:pPr>
        <w:keepNext w:val="0"/>
        <w:keepLines w:val="0"/>
        <w:pageBreakBefore w:val="0"/>
        <w:widowControl w:val="0"/>
        <w:kinsoku/>
        <w:wordWrap/>
        <w:topLinePunct w:val="0"/>
        <w:bidi w:val="0"/>
        <w:spacing w:line="360" w:lineRule="auto"/>
        <w:ind w:left="0" w:leftChars="0" w:firstLine="480"/>
        <w:jc w:val="left"/>
        <w:rPr>
          <w:rFonts w:hint="eastAsia" w:ascii="宋体" w:hAnsi="宋体" w:eastAsia="宋体" w:cs="宋体"/>
          <w:color w:val="auto"/>
          <w:sz w:val="24"/>
        </w:rPr>
      </w:pPr>
      <w:r>
        <w:rPr>
          <w:rFonts w:hint="eastAsia" w:ascii="宋体" w:hAnsi="宋体" w:eastAsia="宋体" w:cs="宋体"/>
          <w:color w:val="auto"/>
          <w:sz w:val="24"/>
        </w:rPr>
        <w:t>1、根据《关于进一步规范浙江省城市生活垃圾经营性服务管理的实施意见》（浙建〔2013〕5号）文件规定，中标人应在签订合同30日内办理《城市生活垃圾经营性清扫、收集、运输服务许可证》，如逾期未办理，采购人将单方面解除合同。</w:t>
      </w:r>
    </w:p>
    <w:p w14:paraId="0EDF603E">
      <w:pPr>
        <w:keepNext w:val="0"/>
        <w:keepLines w:val="0"/>
        <w:pageBreakBefore w:val="0"/>
        <w:widowControl w:val="0"/>
        <w:kinsoku/>
        <w:wordWrap/>
        <w:topLinePunct w:val="0"/>
        <w:bidi w:val="0"/>
        <w:spacing w:line="360" w:lineRule="auto"/>
        <w:ind w:left="0" w:leftChars="0" w:firstLine="480"/>
        <w:jc w:val="left"/>
        <w:rPr>
          <w:rFonts w:hint="eastAsia" w:ascii="宋体" w:hAnsi="宋体" w:eastAsia="宋体" w:cs="宋体"/>
          <w:color w:val="auto"/>
          <w:sz w:val="24"/>
        </w:rPr>
      </w:pPr>
      <w:r>
        <w:rPr>
          <w:rFonts w:hint="eastAsia" w:ascii="宋体" w:hAnsi="宋体" w:eastAsia="宋体" w:cs="宋体"/>
          <w:color w:val="auto"/>
          <w:kern w:val="0"/>
          <w:sz w:val="24"/>
        </w:rPr>
        <w:t>2、</w:t>
      </w:r>
      <w:r>
        <w:rPr>
          <w:rFonts w:hint="eastAsia" w:ascii="宋体" w:hAnsi="宋体" w:eastAsia="宋体" w:cs="宋体"/>
          <w:color w:val="auto"/>
          <w:sz w:val="24"/>
        </w:rPr>
        <w:t>凡列入投标文件内的管理人员，投标人必须承诺是服务于本项目，不得服务于其他项目或与其他项目兼用，中标后如需更换或调整的，必须经采购人同意方可，如中标后投标人未能落实该要求的可视作单方面违约，</w:t>
      </w:r>
      <w:r>
        <w:rPr>
          <w:rFonts w:hint="eastAsia" w:ascii="宋体" w:hAnsi="宋体" w:cs="宋体"/>
          <w:color w:val="auto"/>
          <w:sz w:val="24"/>
          <w:lang w:eastAsia="zh-CN"/>
        </w:rPr>
        <w:t>采购人</w:t>
      </w:r>
      <w:r>
        <w:rPr>
          <w:rFonts w:hint="eastAsia" w:ascii="宋体" w:hAnsi="宋体" w:eastAsia="宋体" w:cs="宋体"/>
          <w:color w:val="auto"/>
          <w:sz w:val="24"/>
        </w:rPr>
        <w:t>将根据未落实情况，以成本测算为依据，采取加倍扣款的方式，所产生的违约责任由投标人承担。</w:t>
      </w:r>
    </w:p>
    <w:p w14:paraId="36F7D51B">
      <w:pPr>
        <w:keepNext w:val="0"/>
        <w:keepLines w:val="0"/>
        <w:pageBreakBefore w:val="0"/>
        <w:widowControl w:val="0"/>
        <w:kinsoku/>
        <w:wordWrap/>
        <w:topLinePunct w:val="0"/>
        <w:bidi w:val="0"/>
        <w:spacing w:line="360" w:lineRule="auto"/>
        <w:ind w:left="0" w:leftChars="0" w:firstLine="480"/>
        <w:jc w:val="left"/>
        <w:rPr>
          <w:rFonts w:hint="eastAsia" w:ascii="宋体" w:hAnsi="宋体" w:eastAsia="宋体" w:cs="宋体"/>
          <w:color w:val="auto"/>
          <w:sz w:val="24"/>
        </w:rPr>
      </w:pPr>
      <w:r>
        <w:rPr>
          <w:rFonts w:hint="eastAsia" w:ascii="宋体" w:hAnsi="宋体" w:eastAsia="宋体" w:cs="宋体"/>
          <w:color w:val="auto"/>
          <w:sz w:val="24"/>
        </w:rPr>
        <w:t>3、本项目内机械化作业车辆发生故障时，应向采购人进行报备，并上报应对措施。</w:t>
      </w:r>
    </w:p>
    <w:p w14:paraId="2937B68C">
      <w:pPr>
        <w:keepNext w:val="0"/>
        <w:keepLines w:val="0"/>
        <w:pageBreakBefore w:val="0"/>
        <w:widowControl w:val="0"/>
        <w:kinsoku/>
        <w:wordWrap/>
        <w:topLinePunct w:val="0"/>
        <w:bidi w:val="0"/>
        <w:spacing w:line="360" w:lineRule="auto"/>
        <w:ind w:left="0" w:leftChars="0" w:firstLine="480"/>
        <w:jc w:val="left"/>
        <w:rPr>
          <w:rFonts w:hint="eastAsia" w:ascii="宋体" w:hAnsi="宋体" w:eastAsia="宋体" w:cs="宋体"/>
          <w:color w:val="auto"/>
          <w:sz w:val="24"/>
        </w:rPr>
      </w:pPr>
      <w:r>
        <w:rPr>
          <w:rFonts w:hint="eastAsia" w:ascii="宋体" w:hAnsi="宋体" w:eastAsia="宋体" w:cs="宋体"/>
          <w:color w:val="auto"/>
          <w:sz w:val="24"/>
        </w:rPr>
        <w:t>4、</w:t>
      </w:r>
      <w:r>
        <w:rPr>
          <w:rFonts w:hint="eastAsia" w:ascii="宋体" w:hAnsi="宋体" w:eastAsia="宋体" w:cs="宋体"/>
          <w:color w:val="auto"/>
          <w:sz w:val="24"/>
          <w:lang w:val="en-US" w:eastAsia="zh-CN"/>
        </w:rPr>
        <w:t>本项目</w:t>
      </w:r>
      <w:r>
        <w:rPr>
          <w:rFonts w:hint="eastAsia" w:ascii="宋体" w:hAnsi="宋体" w:eastAsia="宋体" w:cs="宋体"/>
          <w:color w:val="auto"/>
          <w:sz w:val="24"/>
        </w:rPr>
        <w:t>需专属配置的设备类型及数量要求，具体见下表：</w:t>
      </w:r>
    </w:p>
    <w:tbl>
      <w:tblPr>
        <w:tblStyle w:val="62"/>
        <w:tblW w:w="8490" w:type="dxa"/>
        <w:jc w:val="center"/>
        <w:tblLayout w:type="fixed"/>
        <w:tblCellMar>
          <w:top w:w="0" w:type="dxa"/>
          <w:left w:w="108" w:type="dxa"/>
          <w:bottom w:w="0" w:type="dxa"/>
          <w:right w:w="108" w:type="dxa"/>
        </w:tblCellMar>
      </w:tblPr>
      <w:tblGrid>
        <w:gridCol w:w="713"/>
        <w:gridCol w:w="4761"/>
        <w:gridCol w:w="1350"/>
        <w:gridCol w:w="1666"/>
      </w:tblGrid>
      <w:tr w14:paraId="6DCAF620">
        <w:tblPrEx>
          <w:tblCellMar>
            <w:top w:w="0" w:type="dxa"/>
            <w:left w:w="108" w:type="dxa"/>
            <w:bottom w:w="0" w:type="dxa"/>
            <w:right w:w="108" w:type="dxa"/>
          </w:tblCellMar>
        </w:tblPrEx>
        <w:trPr>
          <w:trHeight w:val="4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50BEF308">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65F02C43">
            <w:pPr>
              <w:keepNext w:val="0"/>
              <w:keepLines w:val="0"/>
              <w:pageBreakBefore w:val="0"/>
              <w:widowControl w:val="0"/>
              <w:kinsoku/>
              <w:wordWrap/>
              <w:topLinePunct w:val="0"/>
              <w:bidi w:val="0"/>
              <w:spacing w:line="360" w:lineRule="auto"/>
              <w:ind w:left="-170" w:firstLine="48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配置设备类型</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2A2ABA06">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数量</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4CB7C7EA">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备注</w:t>
            </w:r>
          </w:p>
        </w:tc>
      </w:tr>
      <w:tr w14:paraId="2C282160">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5A2ABD18">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35327476">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洒水车</w:t>
            </w:r>
            <w:r>
              <w:rPr>
                <w:rFonts w:hint="eastAsia" w:ascii="宋体" w:hAnsi="宋体" w:cs="宋体"/>
                <w:color w:val="auto"/>
                <w:szCs w:val="21"/>
                <w:highlight w:val="none"/>
                <w:lang w:val="en-US" w:eastAsia="zh-CN"/>
              </w:rPr>
              <w:t>（总质量18吨及以上）</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485E02BA">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077A0615">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p>
        </w:tc>
      </w:tr>
      <w:tr w14:paraId="3EC3F529">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033ECD89">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16ED6427">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三位一体车</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64990508">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49DFED23">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p>
        </w:tc>
      </w:tr>
      <w:tr w14:paraId="122569C2">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5B023DBF">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6A10FA33">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小型冲洗车</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5B37F06C">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25070388">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p>
        </w:tc>
      </w:tr>
      <w:tr w14:paraId="10674278">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39E1148B">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7341C4CC">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快速保洁车</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07BE2702">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42FD2CD3">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p>
        </w:tc>
      </w:tr>
      <w:tr w14:paraId="0E302353">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2319DD33">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5B3B901D">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3吨压缩车</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3DB83EFB">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6</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1AFD78E0">
            <w:pPr>
              <w:keepNext w:val="0"/>
              <w:keepLines w:val="0"/>
              <w:pageBreakBefore w:val="0"/>
              <w:widowControl w:val="0"/>
              <w:kinsoku/>
              <w:wordWrap/>
              <w:topLinePunct w:val="0"/>
              <w:bidi w:val="0"/>
              <w:spacing w:line="360" w:lineRule="auto"/>
              <w:jc w:val="center"/>
              <w:rPr>
                <w:rFonts w:hint="eastAsia" w:ascii="宋体" w:hAnsi="宋体" w:cs="宋体"/>
                <w:color w:val="auto"/>
                <w:szCs w:val="21"/>
                <w:highlight w:val="none"/>
                <w:lang w:val="en-US" w:eastAsia="zh-CN"/>
              </w:rPr>
            </w:pPr>
          </w:p>
        </w:tc>
      </w:tr>
      <w:tr w14:paraId="3E6FFB23">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19273789">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6</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7A776AD1">
            <w:pPr>
              <w:keepNext w:val="0"/>
              <w:keepLines w:val="0"/>
              <w:pageBreakBefore w:val="0"/>
              <w:widowControl w:val="0"/>
              <w:kinsoku/>
              <w:wordWrap/>
              <w:topLinePunct w:val="0"/>
              <w:bidi w:val="0"/>
              <w:spacing w:line="360" w:lineRule="auto"/>
              <w:jc w:val="lef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3吨易腐垃圾车</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30A194EC">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43DB6226">
            <w:pPr>
              <w:keepNext w:val="0"/>
              <w:keepLines w:val="0"/>
              <w:pageBreakBefore w:val="0"/>
              <w:widowControl w:val="0"/>
              <w:kinsoku/>
              <w:wordWrap/>
              <w:topLinePunct w:val="0"/>
              <w:bidi w:val="0"/>
              <w:spacing w:line="360" w:lineRule="auto"/>
              <w:jc w:val="center"/>
              <w:rPr>
                <w:rFonts w:hint="eastAsia" w:ascii="宋体" w:hAnsi="宋体" w:cs="宋体"/>
                <w:color w:val="auto"/>
                <w:szCs w:val="21"/>
                <w:highlight w:val="none"/>
                <w:lang w:val="en-US" w:eastAsia="zh-CN"/>
              </w:rPr>
            </w:pPr>
          </w:p>
        </w:tc>
      </w:tr>
      <w:tr w14:paraId="18382032">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6B0EE104">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7</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1FF6123D">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吨压缩车</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2F5F897A">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5A873DEE">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p>
        </w:tc>
      </w:tr>
      <w:tr w14:paraId="21B4D1C9">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000000" w:sz="4" w:space="0"/>
            </w:tcBorders>
            <w:noWrap/>
            <w:vAlign w:val="center"/>
          </w:tcPr>
          <w:p w14:paraId="5D536E07">
            <w:pPr>
              <w:keepNext w:val="0"/>
              <w:keepLines w:val="0"/>
              <w:pageBreakBefore w:val="0"/>
              <w:widowControl w:val="0"/>
              <w:kinsoku/>
              <w:wordWrap/>
              <w:topLinePunct w:val="0"/>
              <w:bidi w:val="0"/>
              <w:spacing w:line="360" w:lineRule="auto"/>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8</w:t>
            </w:r>
          </w:p>
        </w:tc>
        <w:tc>
          <w:tcPr>
            <w:tcW w:w="4761" w:type="dxa"/>
            <w:tcBorders>
              <w:top w:val="single" w:color="000000" w:sz="4" w:space="0"/>
              <w:left w:val="single" w:color="000000" w:sz="4" w:space="0"/>
              <w:bottom w:val="single" w:color="000000" w:sz="4" w:space="0"/>
              <w:right w:val="single" w:color="000000" w:sz="4" w:space="0"/>
            </w:tcBorders>
            <w:noWrap/>
            <w:vAlign w:val="center"/>
          </w:tcPr>
          <w:p w14:paraId="59DC671E">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上门收集车</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10EF5E8A">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538ED10B">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采购人提供</w:t>
            </w:r>
          </w:p>
        </w:tc>
      </w:tr>
      <w:tr w14:paraId="125391F2">
        <w:tblPrEx>
          <w:tblCellMar>
            <w:top w:w="0" w:type="dxa"/>
            <w:left w:w="108" w:type="dxa"/>
            <w:bottom w:w="0" w:type="dxa"/>
            <w:right w:w="108" w:type="dxa"/>
          </w:tblCellMar>
        </w:tblPrEx>
        <w:trPr>
          <w:trHeight w:val="340" w:hRule="atLeast"/>
          <w:jc w:val="center"/>
        </w:trPr>
        <w:tc>
          <w:tcPr>
            <w:tcW w:w="713" w:type="dxa"/>
            <w:tcBorders>
              <w:top w:val="single" w:color="000000" w:sz="4" w:space="0"/>
              <w:left w:val="single" w:color="000000" w:sz="4" w:space="0"/>
              <w:bottom w:val="single" w:color="000000" w:sz="4" w:space="0"/>
              <w:right w:val="single" w:color="auto" w:sz="4" w:space="0"/>
            </w:tcBorders>
            <w:noWrap/>
            <w:vAlign w:val="center"/>
          </w:tcPr>
          <w:p w14:paraId="12B84429">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9</w:t>
            </w:r>
          </w:p>
        </w:tc>
        <w:tc>
          <w:tcPr>
            <w:tcW w:w="4761" w:type="dxa"/>
            <w:tcBorders>
              <w:top w:val="single" w:color="000000" w:sz="4" w:space="0"/>
              <w:left w:val="single" w:color="auto" w:sz="4" w:space="0"/>
              <w:bottom w:val="single" w:color="000000" w:sz="4" w:space="0"/>
              <w:right w:val="single" w:color="000000" w:sz="4" w:space="0"/>
            </w:tcBorders>
            <w:noWrap/>
            <w:vAlign w:val="center"/>
          </w:tcPr>
          <w:p w14:paraId="1FCE7C7A">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鼓励投入其他适用该项目的保洁机械设备，新能源设备</w:t>
            </w:r>
          </w:p>
        </w:tc>
        <w:tc>
          <w:tcPr>
            <w:tcW w:w="1350" w:type="dxa"/>
            <w:tcBorders>
              <w:top w:val="single" w:color="000000" w:sz="4" w:space="0"/>
              <w:left w:val="single" w:color="auto" w:sz="4" w:space="0"/>
              <w:bottom w:val="single" w:color="000000" w:sz="4" w:space="0"/>
              <w:right w:val="single" w:color="000000" w:sz="4" w:space="0"/>
            </w:tcBorders>
            <w:noWrap/>
            <w:vAlign w:val="center"/>
          </w:tcPr>
          <w:p w14:paraId="72FE6D8A">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rPr>
            </w:pPr>
          </w:p>
        </w:tc>
        <w:tc>
          <w:tcPr>
            <w:tcW w:w="1666" w:type="dxa"/>
            <w:tcBorders>
              <w:top w:val="single" w:color="000000" w:sz="4" w:space="0"/>
              <w:left w:val="single" w:color="auto" w:sz="4" w:space="0"/>
              <w:bottom w:val="single" w:color="000000" w:sz="4" w:space="0"/>
              <w:right w:val="single" w:color="000000" w:sz="4" w:space="0"/>
            </w:tcBorders>
            <w:noWrap/>
            <w:vAlign w:val="center"/>
          </w:tcPr>
          <w:p w14:paraId="0092E954">
            <w:pPr>
              <w:keepNext w:val="0"/>
              <w:keepLines w:val="0"/>
              <w:pageBreakBefore w:val="0"/>
              <w:widowControl w:val="0"/>
              <w:kinsoku/>
              <w:wordWrap/>
              <w:topLinePunct w:val="0"/>
              <w:bidi w:val="0"/>
              <w:spacing w:line="360" w:lineRule="auto"/>
              <w:jc w:val="left"/>
              <w:rPr>
                <w:rFonts w:hint="eastAsia" w:ascii="宋体" w:hAnsi="宋体" w:eastAsia="宋体" w:cs="宋体"/>
                <w:color w:val="auto"/>
                <w:szCs w:val="21"/>
                <w:highlight w:val="none"/>
              </w:rPr>
            </w:pPr>
          </w:p>
        </w:tc>
      </w:tr>
      <w:tr w14:paraId="7AB09A53">
        <w:tblPrEx>
          <w:tblCellMar>
            <w:top w:w="0" w:type="dxa"/>
            <w:left w:w="108" w:type="dxa"/>
            <w:bottom w:w="0" w:type="dxa"/>
            <w:right w:w="108" w:type="dxa"/>
          </w:tblCellMar>
        </w:tblPrEx>
        <w:trPr>
          <w:trHeight w:val="340" w:hRule="atLeast"/>
          <w:jc w:val="center"/>
        </w:trPr>
        <w:tc>
          <w:tcPr>
            <w:tcW w:w="5474" w:type="dxa"/>
            <w:gridSpan w:val="2"/>
            <w:tcBorders>
              <w:top w:val="single" w:color="000000" w:sz="4" w:space="0"/>
              <w:left w:val="single" w:color="000000" w:sz="4" w:space="0"/>
              <w:bottom w:val="single" w:color="000000" w:sz="4" w:space="0"/>
              <w:right w:val="single" w:color="000000" w:sz="4" w:space="0"/>
            </w:tcBorders>
            <w:noWrap/>
            <w:vAlign w:val="center"/>
          </w:tcPr>
          <w:p w14:paraId="0BA8ECAB">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合计</w:t>
            </w:r>
          </w:p>
        </w:tc>
        <w:tc>
          <w:tcPr>
            <w:tcW w:w="1350" w:type="dxa"/>
            <w:tcBorders>
              <w:top w:val="single" w:color="000000" w:sz="4" w:space="0"/>
              <w:left w:val="single" w:color="000000" w:sz="4" w:space="0"/>
              <w:bottom w:val="single" w:color="000000" w:sz="4" w:space="0"/>
              <w:right w:val="single" w:color="000000" w:sz="4" w:space="0"/>
            </w:tcBorders>
            <w:noWrap/>
            <w:vAlign w:val="center"/>
          </w:tcPr>
          <w:p w14:paraId="60287C0D">
            <w:pPr>
              <w:keepNext w:val="0"/>
              <w:keepLines w:val="0"/>
              <w:pageBreakBefore w:val="0"/>
              <w:widowControl w:val="0"/>
              <w:kinsoku/>
              <w:wordWrap/>
              <w:topLinePunct w:val="0"/>
              <w:bidi w:val="0"/>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20</w:t>
            </w:r>
          </w:p>
        </w:tc>
        <w:tc>
          <w:tcPr>
            <w:tcW w:w="1666" w:type="dxa"/>
            <w:tcBorders>
              <w:top w:val="single" w:color="000000" w:sz="4" w:space="0"/>
              <w:left w:val="single" w:color="000000" w:sz="4" w:space="0"/>
              <w:bottom w:val="single" w:color="000000" w:sz="4" w:space="0"/>
              <w:right w:val="single" w:color="000000" w:sz="4" w:space="0"/>
            </w:tcBorders>
            <w:noWrap/>
            <w:vAlign w:val="center"/>
          </w:tcPr>
          <w:p w14:paraId="737DBC1B">
            <w:pPr>
              <w:keepNext w:val="0"/>
              <w:keepLines w:val="0"/>
              <w:pageBreakBefore w:val="0"/>
              <w:widowControl w:val="0"/>
              <w:kinsoku/>
              <w:wordWrap/>
              <w:topLinePunct w:val="0"/>
              <w:bidi w:val="0"/>
              <w:spacing w:line="360" w:lineRule="auto"/>
              <w:jc w:val="center"/>
              <w:rPr>
                <w:rFonts w:hint="eastAsia" w:ascii="宋体" w:hAnsi="宋体" w:eastAsia="宋体" w:cs="宋体"/>
                <w:color w:val="auto"/>
                <w:szCs w:val="21"/>
                <w:highlight w:val="none"/>
                <w:lang w:val="en-US" w:eastAsia="zh-CN"/>
              </w:rPr>
            </w:pPr>
          </w:p>
        </w:tc>
      </w:tr>
    </w:tbl>
    <w:p w14:paraId="050EB265">
      <w:pPr>
        <w:keepNext w:val="0"/>
        <w:keepLines w:val="0"/>
        <w:pageBreakBefore w:val="0"/>
        <w:widowControl w:val="0"/>
        <w:kinsoku/>
        <w:wordWrap/>
        <w:topLinePunct w:val="0"/>
        <w:bidi w:val="0"/>
        <w:spacing w:line="360" w:lineRule="auto"/>
        <w:ind w:left="0" w:leftChars="0"/>
        <w:jc w:val="left"/>
        <w:rPr>
          <w:rFonts w:hint="eastAsia" w:ascii="宋体" w:hAnsi="宋体" w:eastAsia="宋体" w:cs="宋体"/>
          <w:color w:val="auto"/>
          <w:sz w:val="24"/>
        </w:rPr>
      </w:pPr>
      <w:r>
        <w:rPr>
          <w:rFonts w:hint="eastAsia" w:ascii="宋体" w:hAnsi="宋体" w:eastAsia="宋体" w:cs="宋体"/>
          <w:color w:val="auto"/>
          <w:sz w:val="24"/>
        </w:rPr>
        <w:t>备注说明：</w:t>
      </w:r>
    </w:p>
    <w:p w14:paraId="3879200B">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lang w:val="en-US" w:eastAsia="zh-CN"/>
        </w:rPr>
        <w:t>1</w:t>
      </w:r>
      <w:r>
        <w:rPr>
          <w:rFonts w:hint="eastAsia" w:ascii="宋体" w:hAnsi="宋体" w:eastAsia="宋体" w:cs="宋体"/>
          <w:color w:val="auto"/>
          <w:sz w:val="24"/>
        </w:rPr>
        <w:t>、若中标人配置其他的先进机械设备，经采购人核实允许后可适当调整人数。</w:t>
      </w:r>
    </w:p>
    <w:p w14:paraId="530AC4C7">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lang w:val="en-US" w:eastAsia="zh-CN"/>
        </w:rPr>
        <w:t>2</w:t>
      </w:r>
      <w:r>
        <w:rPr>
          <w:rFonts w:hint="eastAsia" w:ascii="宋体" w:hAnsi="宋体" w:eastAsia="宋体" w:cs="宋体"/>
          <w:color w:val="auto"/>
          <w:sz w:val="24"/>
        </w:rPr>
        <w:t>、中标人在中标后，需根据</w:t>
      </w:r>
      <w:r>
        <w:rPr>
          <w:rFonts w:hint="eastAsia" w:ascii="宋体" w:hAnsi="宋体" w:cs="宋体"/>
          <w:color w:val="auto"/>
          <w:sz w:val="24"/>
          <w:lang w:eastAsia="zh-CN"/>
        </w:rPr>
        <w:t>采购人</w:t>
      </w:r>
      <w:r>
        <w:rPr>
          <w:rFonts w:hint="eastAsia" w:ascii="宋体" w:hAnsi="宋体" w:eastAsia="宋体" w:cs="宋体"/>
          <w:color w:val="auto"/>
          <w:sz w:val="24"/>
        </w:rPr>
        <w:t>标文件中的相关承诺及要求，落实人员、设备等过渡措施，保障在过渡时间内的保洁要求，并在合同签订后一个月内按规定落实人员、设备，并将清单上交给</w:t>
      </w:r>
      <w:r>
        <w:rPr>
          <w:rFonts w:hint="eastAsia" w:ascii="宋体" w:hAnsi="宋体" w:cs="宋体"/>
          <w:color w:val="auto"/>
          <w:sz w:val="24"/>
          <w:lang w:eastAsia="zh-CN"/>
        </w:rPr>
        <w:t>采购人</w:t>
      </w:r>
      <w:r>
        <w:rPr>
          <w:rFonts w:hint="eastAsia" w:ascii="宋体" w:hAnsi="宋体" w:eastAsia="宋体" w:cs="宋体"/>
          <w:color w:val="auto"/>
          <w:sz w:val="24"/>
        </w:rPr>
        <w:t>备案。</w:t>
      </w:r>
    </w:p>
    <w:p w14:paraId="154F9DCA">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lang w:val="en-US" w:eastAsia="zh-CN"/>
        </w:rPr>
        <w:t>3</w:t>
      </w:r>
      <w:r>
        <w:rPr>
          <w:rFonts w:hint="eastAsia" w:ascii="宋体" w:hAnsi="宋体" w:eastAsia="宋体" w:cs="宋体"/>
          <w:color w:val="auto"/>
          <w:sz w:val="24"/>
        </w:rPr>
        <w:t>、中标人在本服务区块内的作业车辆及设备应保持完好作业状态，所有作业车辆的首次购置时间要求在2021年1月1日以后（如是原保洁区域过户车辆，不受采购时间限制），中标人在中标一个月内提供车辆清单。</w:t>
      </w:r>
    </w:p>
    <w:p w14:paraId="6193A8CA">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lang w:val="en-US" w:eastAsia="zh-CN"/>
        </w:rPr>
        <w:t>4</w:t>
      </w:r>
      <w:r>
        <w:rPr>
          <w:rFonts w:hint="eastAsia" w:ascii="宋体" w:hAnsi="宋体" w:eastAsia="宋体" w:cs="宋体"/>
          <w:color w:val="auto"/>
          <w:sz w:val="24"/>
        </w:rPr>
        <w:t>、</w:t>
      </w:r>
      <w:r>
        <w:rPr>
          <w:rFonts w:hint="eastAsia" w:ascii="宋体" w:hAnsi="宋体" w:cs="宋体"/>
          <w:color w:val="auto"/>
          <w:sz w:val="24"/>
          <w:lang w:val="en-US" w:eastAsia="zh-CN"/>
        </w:rPr>
        <w:t>中标人须自行解决</w:t>
      </w:r>
      <w:r>
        <w:rPr>
          <w:rFonts w:hint="eastAsia" w:ascii="宋体" w:hAnsi="宋体" w:eastAsia="宋体" w:cs="宋体"/>
          <w:color w:val="auto"/>
          <w:sz w:val="24"/>
          <w:szCs w:val="24"/>
        </w:rPr>
        <w:t>项目所需的青山湖街道横畈集镇</w:t>
      </w:r>
      <w:r>
        <w:rPr>
          <w:rFonts w:hint="eastAsia" w:ascii="宋体" w:hAnsi="宋体" w:cs="宋体"/>
          <w:color w:val="auto"/>
          <w:sz w:val="24"/>
          <w:szCs w:val="24"/>
          <w:lang w:val="en-US" w:eastAsia="zh-CN"/>
        </w:rPr>
        <w:t>范围内</w:t>
      </w:r>
      <w:r>
        <w:rPr>
          <w:rFonts w:hint="eastAsia" w:ascii="宋体" w:hAnsi="宋体" w:eastAsia="宋体" w:cs="宋体"/>
          <w:color w:val="auto"/>
          <w:sz w:val="24"/>
          <w:szCs w:val="24"/>
        </w:rPr>
        <w:t>停车场地（不少于200平方米）</w:t>
      </w:r>
      <w:r>
        <w:rPr>
          <w:rFonts w:hint="eastAsia" w:ascii="宋体" w:hAnsi="宋体" w:cs="宋体"/>
          <w:color w:val="auto"/>
          <w:sz w:val="24"/>
          <w:szCs w:val="24"/>
          <w:lang w:val="en-US" w:eastAsia="zh-CN"/>
        </w:rPr>
        <w:t>及办公场地</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采购人不再另行支付场地费用。</w:t>
      </w:r>
      <w:r>
        <w:rPr>
          <w:rFonts w:hint="eastAsia" w:ascii="宋体" w:hAnsi="宋体" w:eastAsia="宋体" w:cs="宋体"/>
          <w:color w:val="auto"/>
          <w:sz w:val="24"/>
        </w:rPr>
        <w:t>中标人需合法有效处置在服务期内由于作业、处置、清洗车辆产生的环保问题，</w:t>
      </w:r>
      <w:r>
        <w:rPr>
          <w:rFonts w:hint="eastAsia" w:ascii="宋体" w:hAnsi="宋体" w:cs="宋体"/>
          <w:color w:val="auto"/>
          <w:sz w:val="24"/>
          <w:lang w:eastAsia="zh-CN"/>
        </w:rPr>
        <w:t>采购人</w:t>
      </w:r>
      <w:r>
        <w:rPr>
          <w:rFonts w:hint="eastAsia" w:ascii="宋体" w:hAnsi="宋体" w:eastAsia="宋体" w:cs="宋体"/>
          <w:color w:val="auto"/>
          <w:sz w:val="24"/>
        </w:rPr>
        <w:t>不承担由此产生的责任与费用。</w:t>
      </w:r>
    </w:p>
    <w:p w14:paraId="0C49BA71">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lang w:val="en-US" w:eastAsia="zh-CN"/>
        </w:rPr>
        <w:t>5</w:t>
      </w:r>
      <w:r>
        <w:rPr>
          <w:rFonts w:hint="eastAsia" w:ascii="宋体" w:hAnsi="宋体" w:eastAsia="宋体" w:cs="宋体"/>
          <w:color w:val="auto"/>
          <w:sz w:val="24"/>
        </w:rPr>
        <w:t>、中标人在本项目各标项（区块）设置项目部，项目工作岗位不可兼职，相关管理团队</w:t>
      </w:r>
      <w:r>
        <w:rPr>
          <w:rFonts w:hint="eastAsia" w:ascii="宋体" w:hAnsi="宋体" w:cs="宋体"/>
          <w:color w:val="auto"/>
          <w:sz w:val="24"/>
          <w:lang w:val="en-US" w:eastAsia="zh-CN"/>
        </w:rPr>
        <w:t>及人员配备</w:t>
      </w:r>
      <w:r>
        <w:rPr>
          <w:rFonts w:hint="eastAsia" w:ascii="宋体" w:hAnsi="宋体" w:eastAsia="宋体" w:cs="宋体"/>
          <w:color w:val="auto"/>
          <w:sz w:val="24"/>
        </w:rPr>
        <w:t>要求配置如下：</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8"/>
        <w:gridCol w:w="1867"/>
        <w:gridCol w:w="1831"/>
        <w:gridCol w:w="3819"/>
      </w:tblGrid>
      <w:tr w14:paraId="13212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80" w:type="dxa"/>
            <w:noWrap w:val="0"/>
            <w:vAlign w:val="center"/>
          </w:tcPr>
          <w:p w14:paraId="134F64D9">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序号</w:t>
            </w:r>
          </w:p>
        </w:tc>
        <w:tc>
          <w:tcPr>
            <w:tcW w:w="1873" w:type="dxa"/>
            <w:noWrap w:val="0"/>
            <w:vAlign w:val="center"/>
          </w:tcPr>
          <w:p w14:paraId="7A73579E">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岗位</w:t>
            </w:r>
          </w:p>
        </w:tc>
        <w:tc>
          <w:tcPr>
            <w:tcW w:w="1837" w:type="dxa"/>
            <w:noWrap w:val="0"/>
            <w:vAlign w:val="center"/>
          </w:tcPr>
          <w:p w14:paraId="696DF90D">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人数</w:t>
            </w:r>
          </w:p>
        </w:tc>
        <w:tc>
          <w:tcPr>
            <w:tcW w:w="3832" w:type="dxa"/>
            <w:noWrap w:val="0"/>
            <w:vAlign w:val="center"/>
          </w:tcPr>
          <w:p w14:paraId="107209A9">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要求</w:t>
            </w:r>
          </w:p>
        </w:tc>
      </w:tr>
      <w:tr w14:paraId="31BE0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0" w:type="dxa"/>
            <w:noWrap w:val="0"/>
            <w:vAlign w:val="center"/>
          </w:tcPr>
          <w:p w14:paraId="1D911004">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1</w:t>
            </w:r>
          </w:p>
        </w:tc>
        <w:tc>
          <w:tcPr>
            <w:tcW w:w="1873" w:type="dxa"/>
            <w:noWrap w:val="0"/>
            <w:vAlign w:val="center"/>
          </w:tcPr>
          <w:p w14:paraId="7D607F3D">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项目经理</w:t>
            </w:r>
          </w:p>
        </w:tc>
        <w:tc>
          <w:tcPr>
            <w:tcW w:w="1837" w:type="dxa"/>
            <w:noWrap w:val="0"/>
            <w:vAlign w:val="center"/>
          </w:tcPr>
          <w:p w14:paraId="71ADE256">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1人</w:t>
            </w:r>
          </w:p>
        </w:tc>
        <w:tc>
          <w:tcPr>
            <w:tcW w:w="3832" w:type="dxa"/>
            <w:noWrap w:val="0"/>
            <w:vAlign w:val="center"/>
          </w:tcPr>
          <w:p w14:paraId="7513C338">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3年以上道路保洁工作经验</w:t>
            </w:r>
          </w:p>
        </w:tc>
      </w:tr>
      <w:tr w14:paraId="1FDF3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0" w:type="dxa"/>
            <w:noWrap w:val="0"/>
            <w:vAlign w:val="center"/>
          </w:tcPr>
          <w:p w14:paraId="5BFC49A4">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2</w:t>
            </w:r>
          </w:p>
        </w:tc>
        <w:tc>
          <w:tcPr>
            <w:tcW w:w="1873" w:type="dxa"/>
            <w:noWrap w:val="0"/>
            <w:vAlign w:val="center"/>
          </w:tcPr>
          <w:p w14:paraId="7A7F2A1A">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内勤</w:t>
            </w:r>
          </w:p>
        </w:tc>
        <w:tc>
          <w:tcPr>
            <w:tcW w:w="1837" w:type="dxa"/>
            <w:noWrap w:val="0"/>
            <w:vAlign w:val="center"/>
          </w:tcPr>
          <w:p w14:paraId="62611E35">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1人</w:t>
            </w:r>
          </w:p>
        </w:tc>
        <w:tc>
          <w:tcPr>
            <w:tcW w:w="3832" w:type="dxa"/>
            <w:noWrap w:val="0"/>
            <w:vAlign w:val="center"/>
          </w:tcPr>
          <w:p w14:paraId="1060DF8A">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p>
        </w:tc>
      </w:tr>
      <w:tr w14:paraId="2A33C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0" w:type="dxa"/>
            <w:noWrap w:val="0"/>
            <w:vAlign w:val="center"/>
          </w:tcPr>
          <w:p w14:paraId="45B9079F">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3</w:t>
            </w:r>
          </w:p>
        </w:tc>
        <w:tc>
          <w:tcPr>
            <w:tcW w:w="1873" w:type="dxa"/>
            <w:noWrap w:val="0"/>
            <w:vAlign w:val="center"/>
          </w:tcPr>
          <w:p w14:paraId="185D63C5">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车辆管理员</w:t>
            </w:r>
          </w:p>
        </w:tc>
        <w:tc>
          <w:tcPr>
            <w:tcW w:w="1837" w:type="dxa"/>
            <w:noWrap w:val="0"/>
            <w:vAlign w:val="center"/>
          </w:tcPr>
          <w:p w14:paraId="775B5B99">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lang w:val="en-US" w:eastAsia="zh-CN"/>
              </w:rPr>
              <w:t>1</w:t>
            </w:r>
            <w:r>
              <w:rPr>
                <w:rFonts w:hint="eastAsia" w:ascii="宋体" w:hAnsi="宋体" w:eastAsia="宋体" w:cs="宋体"/>
                <w:color w:val="auto"/>
                <w:sz w:val="24"/>
              </w:rPr>
              <w:t>人</w:t>
            </w:r>
          </w:p>
        </w:tc>
        <w:tc>
          <w:tcPr>
            <w:tcW w:w="3832" w:type="dxa"/>
            <w:noWrap w:val="0"/>
            <w:vAlign w:val="center"/>
          </w:tcPr>
          <w:p w14:paraId="23334728">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2年以上</w:t>
            </w:r>
            <w:r>
              <w:rPr>
                <w:rFonts w:hint="eastAsia" w:ascii="宋体" w:hAnsi="宋体" w:eastAsia="宋体" w:cs="宋体"/>
                <w:color w:val="auto"/>
                <w:sz w:val="24"/>
                <w:lang w:val="en-US" w:eastAsia="zh-CN"/>
              </w:rPr>
              <w:t>车辆管理</w:t>
            </w:r>
            <w:r>
              <w:rPr>
                <w:rFonts w:hint="eastAsia" w:ascii="宋体" w:hAnsi="宋体" w:eastAsia="宋体" w:cs="宋体"/>
                <w:color w:val="auto"/>
                <w:sz w:val="24"/>
              </w:rPr>
              <w:t>工作经验</w:t>
            </w:r>
          </w:p>
        </w:tc>
      </w:tr>
      <w:tr w14:paraId="3556A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0" w:type="dxa"/>
            <w:noWrap w:val="0"/>
            <w:vAlign w:val="center"/>
          </w:tcPr>
          <w:p w14:paraId="4E4DC9F3">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4</w:t>
            </w:r>
          </w:p>
        </w:tc>
        <w:tc>
          <w:tcPr>
            <w:tcW w:w="1873" w:type="dxa"/>
            <w:noWrap w:val="0"/>
            <w:vAlign w:val="center"/>
          </w:tcPr>
          <w:p w14:paraId="1BE87527">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rPr>
              <w:t>巡查人员</w:t>
            </w:r>
          </w:p>
        </w:tc>
        <w:tc>
          <w:tcPr>
            <w:tcW w:w="1837" w:type="dxa"/>
            <w:noWrap w:val="0"/>
            <w:vAlign w:val="center"/>
          </w:tcPr>
          <w:p w14:paraId="23EEE536">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r>
              <w:rPr>
                <w:rFonts w:hint="eastAsia" w:ascii="宋体" w:hAnsi="宋体" w:eastAsia="宋体" w:cs="宋体"/>
                <w:color w:val="auto"/>
                <w:sz w:val="24"/>
                <w:lang w:val="en-US" w:eastAsia="zh-CN"/>
              </w:rPr>
              <w:t>3</w:t>
            </w:r>
            <w:r>
              <w:rPr>
                <w:rFonts w:hint="eastAsia" w:ascii="宋体" w:hAnsi="宋体" w:eastAsia="宋体" w:cs="宋体"/>
                <w:color w:val="auto"/>
                <w:sz w:val="24"/>
              </w:rPr>
              <w:t>人</w:t>
            </w:r>
          </w:p>
        </w:tc>
        <w:tc>
          <w:tcPr>
            <w:tcW w:w="3832" w:type="dxa"/>
            <w:noWrap w:val="0"/>
            <w:vAlign w:val="center"/>
          </w:tcPr>
          <w:p w14:paraId="4A098C4E">
            <w:pPr>
              <w:keepNext w:val="0"/>
              <w:keepLines w:val="0"/>
              <w:pageBreakBefore w:val="0"/>
              <w:widowControl w:val="0"/>
              <w:kinsoku/>
              <w:wordWrap/>
              <w:overflowPunct w:val="0"/>
              <w:topLinePunct w:val="0"/>
              <w:autoSpaceDE w:val="0"/>
              <w:autoSpaceDN w:val="0"/>
              <w:bidi w:val="0"/>
              <w:snapToGrid w:val="0"/>
              <w:spacing w:line="360" w:lineRule="auto"/>
              <w:ind w:left="0" w:leftChars="0"/>
              <w:jc w:val="center"/>
              <w:textAlignment w:val="baseline"/>
              <w:rPr>
                <w:rFonts w:hint="eastAsia" w:ascii="宋体" w:hAnsi="宋体" w:eastAsia="宋体" w:cs="宋体"/>
                <w:color w:val="auto"/>
                <w:sz w:val="24"/>
              </w:rPr>
            </w:pPr>
          </w:p>
        </w:tc>
      </w:tr>
    </w:tbl>
    <w:p w14:paraId="39E57070">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lang w:val="en-US" w:eastAsia="zh-CN"/>
        </w:rPr>
        <w:t>6</w:t>
      </w:r>
      <w:r>
        <w:rPr>
          <w:rFonts w:hint="eastAsia" w:ascii="宋体" w:hAnsi="宋体" w:eastAsia="宋体" w:cs="宋体"/>
          <w:color w:val="auto"/>
          <w:sz w:val="24"/>
          <w:lang w:val="en-US" w:eastAsia="zh-CN"/>
        </w:rPr>
        <w:t>、</w:t>
      </w:r>
      <w:r>
        <w:rPr>
          <w:rFonts w:hint="eastAsia" w:ascii="宋体" w:hAnsi="宋体" w:eastAsia="宋体" w:cs="宋体"/>
          <w:color w:val="auto"/>
          <w:sz w:val="24"/>
        </w:rPr>
        <w:t>投标人需承诺在中标后一个月内，在临安设立子公司</w:t>
      </w:r>
      <w:r>
        <w:rPr>
          <w:rFonts w:hint="eastAsia" w:ascii="宋体" w:hAnsi="宋体" w:cs="宋体"/>
          <w:color w:val="auto"/>
          <w:sz w:val="24"/>
          <w:lang w:val="en-US" w:eastAsia="zh-CN"/>
        </w:rPr>
        <w:t>或分公司</w:t>
      </w:r>
      <w:r>
        <w:rPr>
          <w:rFonts w:hint="eastAsia" w:ascii="宋体" w:hAnsi="宋体" w:eastAsia="宋体" w:cs="宋体"/>
          <w:color w:val="auto"/>
          <w:sz w:val="24"/>
        </w:rPr>
        <w:t>，负责该项目具体实施，并作为结算单位开具服务发票。</w:t>
      </w:r>
    </w:p>
    <w:p w14:paraId="45E687E2">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lang w:val="en-US" w:eastAsia="zh-CN"/>
        </w:rPr>
        <w:t>7</w:t>
      </w:r>
      <w:r>
        <w:rPr>
          <w:rFonts w:hint="eastAsia" w:ascii="宋体" w:hAnsi="宋体" w:eastAsia="宋体" w:cs="宋体"/>
          <w:color w:val="auto"/>
          <w:sz w:val="24"/>
        </w:rPr>
        <w:t>、投标人需自行规范处置在合同执行过程中产生的如污水、尘土、噪音、取水等问题，</w:t>
      </w:r>
      <w:r>
        <w:rPr>
          <w:rFonts w:hint="eastAsia" w:ascii="宋体" w:hAnsi="宋体" w:cs="宋体"/>
          <w:color w:val="auto"/>
          <w:sz w:val="24"/>
          <w:lang w:eastAsia="zh-CN"/>
        </w:rPr>
        <w:t>采购人</w:t>
      </w:r>
      <w:r>
        <w:rPr>
          <w:rFonts w:hint="eastAsia" w:ascii="宋体" w:hAnsi="宋体" w:eastAsia="宋体" w:cs="宋体"/>
          <w:color w:val="auto"/>
          <w:sz w:val="24"/>
        </w:rPr>
        <w:t>不承担由此产生的费用和责任。</w:t>
      </w:r>
    </w:p>
    <w:p w14:paraId="69D771E1">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lang w:val="en-US" w:eastAsia="zh-CN"/>
        </w:rPr>
        <w:t>8</w:t>
      </w:r>
      <w:r>
        <w:rPr>
          <w:rFonts w:hint="eastAsia" w:ascii="宋体" w:hAnsi="宋体" w:eastAsia="宋体" w:cs="宋体"/>
          <w:color w:val="auto"/>
          <w:sz w:val="24"/>
        </w:rPr>
        <w:t>、如投标人保洁质量不符合</w:t>
      </w:r>
      <w:r>
        <w:rPr>
          <w:rFonts w:hint="eastAsia" w:ascii="宋体" w:hAnsi="宋体" w:cs="宋体"/>
          <w:color w:val="auto"/>
          <w:sz w:val="24"/>
          <w:lang w:eastAsia="zh-CN"/>
        </w:rPr>
        <w:t>采购人</w:t>
      </w:r>
      <w:r>
        <w:rPr>
          <w:rFonts w:hint="eastAsia" w:ascii="宋体" w:hAnsi="宋体" w:eastAsia="宋体" w:cs="宋体"/>
          <w:color w:val="auto"/>
          <w:sz w:val="24"/>
        </w:rPr>
        <w:t>要求，投标人应采取包括在原合同基础上增加人员设备等方式保证保洁水平，</w:t>
      </w:r>
      <w:r>
        <w:rPr>
          <w:rFonts w:hint="eastAsia" w:ascii="宋体" w:hAnsi="宋体" w:cs="宋体"/>
          <w:color w:val="auto"/>
          <w:sz w:val="24"/>
          <w:lang w:eastAsia="zh-CN"/>
        </w:rPr>
        <w:t>采购人</w:t>
      </w:r>
      <w:r>
        <w:rPr>
          <w:rFonts w:hint="eastAsia" w:ascii="宋体" w:hAnsi="宋体" w:eastAsia="宋体" w:cs="宋体"/>
          <w:color w:val="auto"/>
          <w:sz w:val="24"/>
        </w:rPr>
        <w:t>不承担由此产生的费用。</w:t>
      </w:r>
    </w:p>
    <w:p w14:paraId="3BE96111">
      <w:pPr>
        <w:keepNext w:val="0"/>
        <w:keepLines w:val="0"/>
        <w:pageBreakBefore w:val="0"/>
        <w:widowControl/>
        <w:kinsoku/>
        <w:wordWrap/>
        <w:overflowPunct w:val="0"/>
        <w:topLinePunct w:val="0"/>
        <w:autoSpaceDE w:val="0"/>
        <w:autoSpaceDN w:val="0"/>
        <w:bidi w:val="0"/>
        <w:snapToGrid w:val="0"/>
        <w:spacing w:line="360" w:lineRule="auto"/>
        <w:ind w:leftChars="0" w:firstLine="480" w:firstLineChars="200"/>
        <w:jc w:val="left"/>
        <w:textAlignment w:val="baseline"/>
        <w:rPr>
          <w:rFonts w:hint="eastAsia" w:ascii="宋体" w:hAnsi="宋体" w:eastAsia="宋体" w:cs="宋体"/>
          <w:color w:val="auto"/>
          <w:sz w:val="24"/>
        </w:rPr>
      </w:pP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val="en-US" w:eastAsia="zh-CN"/>
        </w:rPr>
        <w:t>、配备表中的3辆3吨压缩车、1辆8吨压缩车为专门为企业垃圾清运而配置。</w:t>
      </w:r>
      <w:r>
        <w:rPr>
          <w:rFonts w:hint="eastAsia" w:ascii="宋体" w:hAnsi="宋体" w:eastAsia="宋体" w:cs="宋体"/>
          <w:color w:val="auto"/>
          <w:sz w:val="24"/>
          <w:lang w:val="en-US" w:eastAsia="zh-CN"/>
        </w:rPr>
        <w:t>企业垃圾清运费用不在本次采购项目中，由承包人自行与企业结算。</w:t>
      </w:r>
    </w:p>
    <w:p w14:paraId="35EFC054">
      <w:pPr>
        <w:pStyle w:val="235"/>
        <w:keepNext w:val="0"/>
        <w:keepLines w:val="0"/>
        <w:pageBreakBefore w:val="0"/>
        <w:kinsoku/>
        <w:wordWrap/>
        <w:topLinePunct w:val="0"/>
        <w:bidi w:val="0"/>
        <w:spacing w:line="360" w:lineRule="auto"/>
        <w:ind w:leftChars="0" w:firstLine="48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四、资产处置</w:t>
      </w:r>
    </w:p>
    <w:p w14:paraId="11343704">
      <w:pPr>
        <w:keepNext w:val="0"/>
        <w:keepLines w:val="0"/>
        <w:pageBreakBefore w:val="0"/>
        <w:widowControl/>
        <w:kinsoku/>
        <w:wordWrap/>
        <w:overflowPunct w:val="0"/>
        <w:topLinePunct w:val="0"/>
        <w:autoSpaceDE w:val="0"/>
        <w:autoSpaceDN w:val="0"/>
        <w:bidi w:val="0"/>
        <w:snapToGrid w:val="0"/>
        <w:spacing w:line="360" w:lineRule="auto"/>
        <w:ind w:leftChars="0" w:firstLine="480" w:firstLineChars="200"/>
        <w:jc w:val="left"/>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原保洁单位</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浙江华再环境技术有限公司</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现有各类环卫车辆共计</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辆。中标单位需在合同签订后的一个月内，依据街道委托的评估公司出具的资产评估报告（价值时点为交接之日）所确定的车辆残值，与浙江华再环境技术有限公司完成车辆收购事宜。具体承接如下。投标人可</w:t>
      </w:r>
      <w:r>
        <w:rPr>
          <w:rFonts w:hint="eastAsia" w:ascii="宋体" w:hAnsi="宋体" w:eastAsia="宋体" w:cs="宋体"/>
          <w:color w:val="auto"/>
          <w:sz w:val="24"/>
          <w:highlight w:val="none"/>
          <w:lang w:val="en-US" w:eastAsia="zh-CN"/>
        </w:rPr>
        <w:t>投标截止日</w:t>
      </w:r>
      <w:r>
        <w:rPr>
          <w:rFonts w:hint="eastAsia" w:ascii="宋体" w:hAnsi="宋体" w:eastAsia="宋体" w:cs="宋体"/>
          <w:color w:val="auto"/>
          <w:sz w:val="24"/>
          <w:highlight w:val="none"/>
        </w:rPr>
        <w:t>之前，与采购方</w:t>
      </w:r>
      <w:r>
        <w:rPr>
          <w:rFonts w:hint="eastAsia" w:ascii="宋体" w:hAnsi="宋体" w:eastAsia="宋体" w:cs="宋体"/>
          <w:color w:val="auto"/>
          <w:sz w:val="24"/>
          <w:highlight w:val="none"/>
          <w:lang w:val="en-US" w:eastAsia="zh-CN"/>
        </w:rPr>
        <w:t>代表（</w:t>
      </w:r>
      <w:r>
        <w:rPr>
          <w:rFonts w:hint="eastAsia" w:ascii="宋体" w:hAnsi="宋体" w:cs="宋体"/>
          <w:color w:val="auto"/>
          <w:sz w:val="24"/>
          <w:highlight w:val="none"/>
          <w:lang w:val="en-US" w:eastAsia="zh-CN"/>
        </w:rPr>
        <w:t>沈忠裕</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18968153699</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，联系</w:t>
      </w:r>
      <w:r>
        <w:rPr>
          <w:rFonts w:hint="eastAsia" w:ascii="宋体" w:hAnsi="宋体" w:eastAsia="宋体" w:cs="宋体"/>
          <w:color w:val="auto"/>
          <w:sz w:val="24"/>
          <w:highlight w:val="none"/>
          <w:lang w:val="en-US" w:eastAsia="zh-CN"/>
        </w:rPr>
        <w:t>自行前往</w:t>
      </w:r>
      <w:r>
        <w:rPr>
          <w:rFonts w:hint="eastAsia" w:ascii="宋体" w:hAnsi="宋体" w:eastAsia="宋体" w:cs="宋体"/>
          <w:color w:val="auto"/>
          <w:sz w:val="24"/>
          <w:highlight w:val="none"/>
        </w:rPr>
        <w:t>对该批车辆进行现场勘验。如以上车辆在过户前产权不清的、车辆因各种原因无法使用的、发生重大事故导致对残值有直接影响等情况的，经采购人同意后，中标单位可不予收购。</w:t>
      </w:r>
    </w:p>
    <w:p w14:paraId="0857CA80">
      <w:pPr>
        <w:pStyle w:val="521"/>
        <w:keepNext w:val="0"/>
        <w:keepLines w:val="0"/>
        <w:pageBreakBefore w:val="0"/>
        <w:numPr>
          <w:ilvl w:val="0"/>
          <w:numId w:val="0"/>
        </w:numPr>
        <w:kinsoku/>
        <w:wordWrap/>
        <w:topLinePunct w:val="0"/>
        <w:bidi w:val="0"/>
        <w:spacing w:line="360" w:lineRule="auto"/>
        <w:ind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24"/>
          <w:highlight w:val="none"/>
        </w:rPr>
        <w:t>中标单位承接环卫车辆</w:t>
      </w:r>
    </w:p>
    <w:tbl>
      <w:tblPr>
        <w:tblStyle w:val="62"/>
        <w:tblW w:w="8194" w:type="dxa"/>
        <w:tblInd w:w="96" w:type="dxa"/>
        <w:tblLayout w:type="fixed"/>
        <w:tblCellMar>
          <w:top w:w="0" w:type="dxa"/>
          <w:left w:w="108" w:type="dxa"/>
          <w:bottom w:w="0" w:type="dxa"/>
          <w:right w:w="108" w:type="dxa"/>
        </w:tblCellMar>
      </w:tblPr>
      <w:tblGrid>
        <w:gridCol w:w="1021"/>
        <w:gridCol w:w="914"/>
        <w:gridCol w:w="2359"/>
        <w:gridCol w:w="1241"/>
        <w:gridCol w:w="1677"/>
        <w:gridCol w:w="982"/>
      </w:tblGrid>
      <w:tr w14:paraId="3F220497">
        <w:tblPrEx>
          <w:tblCellMar>
            <w:top w:w="0" w:type="dxa"/>
            <w:left w:w="108" w:type="dxa"/>
            <w:bottom w:w="0" w:type="dxa"/>
            <w:right w:w="108" w:type="dxa"/>
          </w:tblCellMar>
        </w:tblPrEx>
        <w:trPr>
          <w:trHeight w:val="420" w:hRule="atLeast"/>
        </w:trPr>
        <w:tc>
          <w:tcPr>
            <w:tcW w:w="1021" w:type="dxa"/>
            <w:tcBorders>
              <w:top w:val="single" w:color="000000" w:sz="4" w:space="0"/>
              <w:left w:val="single" w:color="000000" w:sz="4" w:space="0"/>
              <w:bottom w:val="single" w:color="000000" w:sz="4" w:space="0"/>
              <w:right w:val="single" w:color="000000" w:sz="4" w:space="0"/>
            </w:tcBorders>
            <w:noWrap/>
            <w:vAlign w:val="center"/>
          </w:tcPr>
          <w:p w14:paraId="577F036F">
            <w:pPr>
              <w:widowControl/>
              <w:spacing w:line="360" w:lineRule="auto"/>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承接单位</w:t>
            </w: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563E524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序号</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2CD332E1">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资产名称</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55C559BD">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数量</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6720FC63">
            <w:pPr>
              <w:widowControl/>
              <w:spacing w:line="360" w:lineRule="auto"/>
              <w:jc w:val="center"/>
              <w:textAlignment w:val="center"/>
              <w:rPr>
                <w:rFonts w:hint="eastAsia" w:ascii="宋体" w:hAnsi="宋体" w:eastAsia="宋体" w:cs="宋体"/>
                <w:color w:val="auto"/>
                <w:sz w:val="18"/>
                <w:szCs w:val="18"/>
                <w:highlight w:val="none"/>
              </w:rPr>
            </w:pPr>
            <w:r>
              <w:rPr>
                <w:rFonts w:hint="eastAsia" w:ascii="宋体" w:hAnsi="宋体" w:eastAsia="宋体" w:cs="宋体"/>
                <w:color w:val="auto"/>
                <w:kern w:val="0"/>
                <w:sz w:val="18"/>
                <w:szCs w:val="18"/>
                <w:highlight w:val="none"/>
              </w:rPr>
              <w:t>购入日期</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45DA6696">
            <w:pPr>
              <w:widowControl/>
              <w:spacing w:line="360" w:lineRule="auto"/>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备注</w:t>
            </w:r>
          </w:p>
        </w:tc>
      </w:tr>
      <w:tr w14:paraId="6F9115CD">
        <w:tblPrEx>
          <w:tblCellMar>
            <w:top w:w="0" w:type="dxa"/>
            <w:left w:w="108" w:type="dxa"/>
            <w:bottom w:w="0" w:type="dxa"/>
            <w:right w:w="108" w:type="dxa"/>
          </w:tblCellMar>
        </w:tblPrEx>
        <w:trPr>
          <w:trHeight w:val="420" w:hRule="atLeast"/>
        </w:trPr>
        <w:tc>
          <w:tcPr>
            <w:tcW w:w="1021" w:type="dxa"/>
            <w:vMerge w:val="restart"/>
            <w:tcBorders>
              <w:left w:val="single" w:color="000000" w:sz="4" w:space="0"/>
              <w:right w:val="single" w:color="000000" w:sz="4" w:space="0"/>
            </w:tcBorders>
            <w:noWrap/>
            <w:vAlign w:val="center"/>
          </w:tcPr>
          <w:p w14:paraId="2E19F007">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05E90BC6">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1</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7D51C445">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垃圾压缩车浙A83A51</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211F244B">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61EACCFD">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2020-05-14</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4FF146FD">
            <w:pPr>
              <w:widowControl/>
              <w:spacing w:line="360" w:lineRule="auto"/>
              <w:jc w:val="center"/>
              <w:textAlignment w:val="center"/>
              <w:rPr>
                <w:rFonts w:hint="eastAsia" w:ascii="宋体" w:hAnsi="宋体" w:eastAsia="宋体" w:cs="宋体"/>
                <w:color w:val="auto"/>
                <w:kern w:val="0"/>
                <w:sz w:val="18"/>
                <w:szCs w:val="18"/>
                <w:highlight w:val="none"/>
              </w:rPr>
            </w:pPr>
          </w:p>
        </w:tc>
      </w:tr>
      <w:tr w14:paraId="59C21A68">
        <w:tblPrEx>
          <w:tblCellMar>
            <w:top w:w="0" w:type="dxa"/>
            <w:left w:w="108" w:type="dxa"/>
            <w:bottom w:w="0" w:type="dxa"/>
            <w:right w:w="108" w:type="dxa"/>
          </w:tblCellMar>
        </w:tblPrEx>
        <w:trPr>
          <w:trHeight w:val="420" w:hRule="atLeast"/>
        </w:trPr>
        <w:tc>
          <w:tcPr>
            <w:tcW w:w="1021" w:type="dxa"/>
            <w:vMerge w:val="continue"/>
            <w:tcBorders>
              <w:left w:val="single" w:color="000000" w:sz="4" w:space="0"/>
              <w:right w:val="single" w:color="000000" w:sz="4" w:space="0"/>
            </w:tcBorders>
            <w:noWrap/>
            <w:vAlign w:val="center"/>
          </w:tcPr>
          <w:p w14:paraId="6F26665E">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44251251">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2</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221CC83D">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清洗车</w:t>
            </w:r>
          </w:p>
          <w:p w14:paraId="0DA98BAE">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浙A50B72</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53269C46">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25241D30">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2020-08-26</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10C589DC">
            <w:pPr>
              <w:widowControl/>
              <w:spacing w:line="360" w:lineRule="auto"/>
              <w:jc w:val="center"/>
              <w:textAlignment w:val="center"/>
              <w:rPr>
                <w:rFonts w:hint="eastAsia" w:ascii="宋体" w:hAnsi="宋体" w:eastAsia="宋体" w:cs="宋体"/>
                <w:color w:val="auto"/>
                <w:kern w:val="0"/>
                <w:sz w:val="18"/>
                <w:szCs w:val="18"/>
                <w:highlight w:val="none"/>
              </w:rPr>
            </w:pPr>
          </w:p>
        </w:tc>
      </w:tr>
      <w:tr w14:paraId="79BF526D">
        <w:tblPrEx>
          <w:tblCellMar>
            <w:top w:w="0" w:type="dxa"/>
            <w:left w:w="108" w:type="dxa"/>
            <w:bottom w:w="0" w:type="dxa"/>
            <w:right w:w="108" w:type="dxa"/>
          </w:tblCellMar>
        </w:tblPrEx>
        <w:trPr>
          <w:trHeight w:val="420" w:hRule="atLeast"/>
        </w:trPr>
        <w:tc>
          <w:tcPr>
            <w:tcW w:w="1021" w:type="dxa"/>
            <w:vMerge w:val="continue"/>
            <w:tcBorders>
              <w:left w:val="single" w:color="000000" w:sz="4" w:space="0"/>
              <w:right w:val="single" w:color="000000" w:sz="4" w:space="0"/>
            </w:tcBorders>
            <w:noWrap/>
            <w:vAlign w:val="center"/>
          </w:tcPr>
          <w:p w14:paraId="2365304C">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6C09B6FC">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3</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5120F43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中联压缩车</w:t>
            </w:r>
          </w:p>
          <w:p w14:paraId="4F4A7752">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浙A36J28</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39D8CBD1">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6439D216">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2022-09-03</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7B3DC841">
            <w:pPr>
              <w:widowControl/>
              <w:spacing w:line="360" w:lineRule="auto"/>
              <w:jc w:val="center"/>
              <w:textAlignment w:val="center"/>
              <w:rPr>
                <w:rFonts w:hint="eastAsia" w:ascii="宋体" w:hAnsi="宋体" w:eastAsia="宋体" w:cs="宋体"/>
                <w:color w:val="auto"/>
                <w:kern w:val="0"/>
                <w:sz w:val="18"/>
                <w:szCs w:val="18"/>
                <w:highlight w:val="none"/>
              </w:rPr>
            </w:pPr>
          </w:p>
        </w:tc>
      </w:tr>
      <w:tr w14:paraId="2D68D841">
        <w:tblPrEx>
          <w:tblCellMar>
            <w:top w:w="0" w:type="dxa"/>
            <w:left w:w="108" w:type="dxa"/>
            <w:bottom w:w="0" w:type="dxa"/>
            <w:right w:w="108" w:type="dxa"/>
          </w:tblCellMar>
        </w:tblPrEx>
        <w:trPr>
          <w:trHeight w:val="420" w:hRule="atLeast"/>
        </w:trPr>
        <w:tc>
          <w:tcPr>
            <w:tcW w:w="1021" w:type="dxa"/>
            <w:vMerge w:val="continue"/>
            <w:tcBorders>
              <w:left w:val="single" w:color="000000" w:sz="4" w:space="0"/>
              <w:right w:val="single" w:color="000000" w:sz="4" w:space="0"/>
            </w:tcBorders>
            <w:noWrap/>
            <w:vAlign w:val="center"/>
          </w:tcPr>
          <w:p w14:paraId="235CDE2A">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613D1BD8">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4</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38D6E10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中联压缩车</w:t>
            </w:r>
          </w:p>
          <w:p w14:paraId="64A74523">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浙A25J58</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19A6BFD6">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41A4356E">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2022-09-03</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0F45307B">
            <w:pPr>
              <w:widowControl/>
              <w:spacing w:line="360" w:lineRule="auto"/>
              <w:jc w:val="center"/>
              <w:textAlignment w:val="center"/>
              <w:rPr>
                <w:rFonts w:hint="eastAsia" w:ascii="宋体" w:hAnsi="宋体" w:eastAsia="宋体" w:cs="宋体"/>
                <w:color w:val="auto"/>
                <w:kern w:val="0"/>
                <w:sz w:val="18"/>
                <w:szCs w:val="18"/>
                <w:highlight w:val="none"/>
              </w:rPr>
            </w:pPr>
          </w:p>
        </w:tc>
      </w:tr>
      <w:tr w14:paraId="3A485A2C">
        <w:tblPrEx>
          <w:tblCellMar>
            <w:top w:w="0" w:type="dxa"/>
            <w:left w:w="108" w:type="dxa"/>
            <w:bottom w:w="0" w:type="dxa"/>
            <w:right w:w="108" w:type="dxa"/>
          </w:tblCellMar>
        </w:tblPrEx>
        <w:trPr>
          <w:trHeight w:val="420" w:hRule="atLeast"/>
        </w:trPr>
        <w:tc>
          <w:tcPr>
            <w:tcW w:w="1021" w:type="dxa"/>
            <w:vMerge w:val="continue"/>
            <w:tcBorders>
              <w:left w:val="single" w:color="000000" w:sz="4" w:space="0"/>
              <w:right w:val="single" w:color="000000" w:sz="4" w:space="0"/>
            </w:tcBorders>
            <w:noWrap/>
            <w:vAlign w:val="center"/>
          </w:tcPr>
          <w:p w14:paraId="6E65E9F2">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6510FF41">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5</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5467390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中联压缩车</w:t>
            </w:r>
          </w:p>
          <w:p w14:paraId="286E50BF">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浙A60G98</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6901B538">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06C35D61">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2022-09-03</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4217FDAD">
            <w:pPr>
              <w:widowControl/>
              <w:spacing w:line="360" w:lineRule="auto"/>
              <w:jc w:val="center"/>
              <w:textAlignment w:val="center"/>
              <w:rPr>
                <w:rFonts w:hint="eastAsia" w:ascii="宋体" w:hAnsi="宋体" w:eastAsia="宋体" w:cs="宋体"/>
                <w:color w:val="auto"/>
                <w:kern w:val="0"/>
                <w:sz w:val="18"/>
                <w:szCs w:val="18"/>
                <w:highlight w:val="none"/>
              </w:rPr>
            </w:pPr>
          </w:p>
        </w:tc>
      </w:tr>
      <w:tr w14:paraId="77B73D91">
        <w:tblPrEx>
          <w:tblCellMar>
            <w:top w:w="0" w:type="dxa"/>
            <w:left w:w="108" w:type="dxa"/>
            <w:bottom w:w="0" w:type="dxa"/>
            <w:right w:w="108" w:type="dxa"/>
          </w:tblCellMar>
        </w:tblPrEx>
        <w:trPr>
          <w:trHeight w:val="420" w:hRule="atLeast"/>
        </w:trPr>
        <w:tc>
          <w:tcPr>
            <w:tcW w:w="1021" w:type="dxa"/>
            <w:vMerge w:val="continue"/>
            <w:tcBorders>
              <w:left w:val="single" w:color="000000" w:sz="4" w:space="0"/>
              <w:right w:val="single" w:color="000000" w:sz="4" w:space="0"/>
            </w:tcBorders>
            <w:noWrap/>
            <w:vAlign w:val="center"/>
          </w:tcPr>
          <w:p w14:paraId="38A41ED2">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3483A596">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6</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51697C2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中联压缩车</w:t>
            </w:r>
          </w:p>
          <w:p w14:paraId="50FD5BFF">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浙A61J71</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60B7391C">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18139C89">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2022-09-04</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46A5736C">
            <w:pPr>
              <w:widowControl/>
              <w:spacing w:line="360" w:lineRule="auto"/>
              <w:jc w:val="center"/>
              <w:textAlignment w:val="center"/>
              <w:rPr>
                <w:rFonts w:hint="eastAsia" w:ascii="宋体" w:hAnsi="宋体" w:eastAsia="宋体" w:cs="宋体"/>
                <w:color w:val="auto"/>
                <w:kern w:val="0"/>
                <w:sz w:val="18"/>
                <w:szCs w:val="18"/>
                <w:highlight w:val="none"/>
              </w:rPr>
            </w:pPr>
          </w:p>
        </w:tc>
      </w:tr>
      <w:tr w14:paraId="22B2E0DF">
        <w:tblPrEx>
          <w:tblCellMar>
            <w:top w:w="0" w:type="dxa"/>
            <w:left w:w="108" w:type="dxa"/>
            <w:bottom w:w="0" w:type="dxa"/>
            <w:right w:w="108" w:type="dxa"/>
          </w:tblCellMar>
        </w:tblPrEx>
        <w:trPr>
          <w:trHeight w:val="420" w:hRule="atLeast"/>
        </w:trPr>
        <w:tc>
          <w:tcPr>
            <w:tcW w:w="1021" w:type="dxa"/>
            <w:vMerge w:val="continue"/>
            <w:tcBorders>
              <w:left w:val="single" w:color="000000" w:sz="4" w:space="0"/>
              <w:right w:val="single" w:color="000000" w:sz="4" w:space="0"/>
            </w:tcBorders>
            <w:noWrap/>
            <w:vAlign w:val="center"/>
          </w:tcPr>
          <w:p w14:paraId="6C0B3247">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24A6F293">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7</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36348B8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中联压缩车</w:t>
            </w:r>
          </w:p>
          <w:p w14:paraId="0610807D">
            <w:pPr>
              <w:keepNext w:val="0"/>
              <w:keepLines w:val="0"/>
              <w:widowControl/>
              <w:suppressLineNumbers w:val="0"/>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浙A88H8</w:t>
            </w:r>
            <w:r>
              <w:rPr>
                <w:rFonts w:hint="eastAsia" w:ascii="宋体" w:hAnsi="宋体" w:cs="宋体"/>
                <w:i w:val="0"/>
                <w:iCs w:val="0"/>
                <w:color w:val="auto"/>
                <w:kern w:val="0"/>
                <w:sz w:val="20"/>
                <w:szCs w:val="20"/>
                <w:highlight w:val="none"/>
                <w:u w:val="none"/>
                <w:lang w:val="en-US" w:eastAsia="zh-CN" w:bidi="ar"/>
              </w:rPr>
              <w:t>6</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48A98B5A">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3CE465A9">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2022-09-05</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2D1AE6ED">
            <w:pPr>
              <w:widowControl/>
              <w:spacing w:line="360" w:lineRule="auto"/>
              <w:jc w:val="center"/>
              <w:textAlignment w:val="center"/>
              <w:rPr>
                <w:rFonts w:hint="eastAsia" w:ascii="宋体" w:hAnsi="宋体" w:eastAsia="宋体" w:cs="宋体"/>
                <w:color w:val="auto"/>
                <w:kern w:val="0"/>
                <w:sz w:val="18"/>
                <w:szCs w:val="18"/>
                <w:highlight w:val="none"/>
              </w:rPr>
            </w:pPr>
          </w:p>
        </w:tc>
      </w:tr>
      <w:tr w14:paraId="75402210">
        <w:tblPrEx>
          <w:tblCellMar>
            <w:top w:w="0" w:type="dxa"/>
            <w:left w:w="108" w:type="dxa"/>
            <w:bottom w:w="0" w:type="dxa"/>
            <w:right w:w="108" w:type="dxa"/>
          </w:tblCellMar>
        </w:tblPrEx>
        <w:trPr>
          <w:trHeight w:val="420" w:hRule="atLeast"/>
        </w:trPr>
        <w:tc>
          <w:tcPr>
            <w:tcW w:w="1021" w:type="dxa"/>
            <w:vMerge w:val="continue"/>
            <w:tcBorders>
              <w:left w:val="single" w:color="000000" w:sz="4" w:space="0"/>
              <w:right w:val="single" w:color="000000" w:sz="4" w:space="0"/>
            </w:tcBorders>
            <w:noWrap/>
            <w:vAlign w:val="center"/>
          </w:tcPr>
          <w:p w14:paraId="534E6EF9">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2709EA4E">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8</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16FAD54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中联压缩车</w:t>
            </w:r>
          </w:p>
          <w:p w14:paraId="43E4B7E9">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浙A33G89</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1556E3BC">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617A5EAA">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2022-09-06</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08B56CFF">
            <w:pPr>
              <w:widowControl/>
              <w:spacing w:line="360" w:lineRule="auto"/>
              <w:jc w:val="center"/>
              <w:textAlignment w:val="center"/>
              <w:rPr>
                <w:rFonts w:hint="eastAsia" w:ascii="宋体" w:hAnsi="宋体" w:eastAsia="宋体" w:cs="宋体"/>
                <w:color w:val="auto"/>
                <w:kern w:val="0"/>
                <w:sz w:val="18"/>
                <w:szCs w:val="18"/>
                <w:highlight w:val="none"/>
              </w:rPr>
            </w:pPr>
          </w:p>
        </w:tc>
      </w:tr>
      <w:tr w14:paraId="390BDD9F">
        <w:tblPrEx>
          <w:tblCellMar>
            <w:top w:w="0" w:type="dxa"/>
            <w:left w:w="108" w:type="dxa"/>
            <w:bottom w:w="0" w:type="dxa"/>
            <w:right w:w="108" w:type="dxa"/>
          </w:tblCellMar>
        </w:tblPrEx>
        <w:trPr>
          <w:trHeight w:val="420" w:hRule="atLeast"/>
        </w:trPr>
        <w:tc>
          <w:tcPr>
            <w:tcW w:w="1021" w:type="dxa"/>
            <w:vMerge w:val="continue"/>
            <w:tcBorders>
              <w:left w:val="single" w:color="000000" w:sz="4" w:space="0"/>
              <w:right w:val="single" w:color="000000" w:sz="4" w:space="0"/>
            </w:tcBorders>
            <w:noWrap/>
            <w:vAlign w:val="center"/>
          </w:tcPr>
          <w:p w14:paraId="768A9B43">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6DAFB8EA">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cs="宋体"/>
                <w:color w:val="auto"/>
                <w:kern w:val="0"/>
                <w:sz w:val="18"/>
                <w:szCs w:val="18"/>
                <w:highlight w:val="none"/>
                <w:lang w:val="en-US" w:eastAsia="zh-CN"/>
              </w:rPr>
              <w:t>9</w:t>
            </w:r>
          </w:p>
        </w:tc>
        <w:tc>
          <w:tcPr>
            <w:tcW w:w="2359" w:type="dxa"/>
            <w:tcBorders>
              <w:top w:val="single" w:color="000000" w:sz="4" w:space="0"/>
              <w:left w:val="single" w:color="000000" w:sz="4" w:space="0"/>
              <w:bottom w:val="single" w:color="000000" w:sz="4" w:space="0"/>
              <w:right w:val="single" w:color="000000" w:sz="4" w:space="0"/>
            </w:tcBorders>
            <w:noWrap w:val="0"/>
            <w:vAlign w:val="center"/>
          </w:tcPr>
          <w:p w14:paraId="2A2CCAE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中联洗扫车</w:t>
            </w:r>
          </w:p>
          <w:p w14:paraId="604C611C">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浙A27J26</w:t>
            </w:r>
          </w:p>
        </w:tc>
        <w:tc>
          <w:tcPr>
            <w:tcW w:w="1241" w:type="dxa"/>
            <w:tcBorders>
              <w:top w:val="single" w:color="000000" w:sz="4" w:space="0"/>
              <w:left w:val="single" w:color="000000" w:sz="4" w:space="0"/>
              <w:bottom w:val="single" w:color="000000" w:sz="4" w:space="0"/>
              <w:right w:val="single" w:color="000000" w:sz="4" w:space="0"/>
            </w:tcBorders>
            <w:noWrap w:val="0"/>
            <w:vAlign w:val="center"/>
          </w:tcPr>
          <w:p w14:paraId="26F315D2">
            <w:pPr>
              <w:keepNext w:val="0"/>
              <w:keepLines w:val="0"/>
              <w:widowControl/>
              <w:suppressLineNumbers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20"/>
                <w:szCs w:val="20"/>
                <w:highlight w:val="none"/>
                <w:u w:val="none"/>
                <w:lang w:val="en-US" w:eastAsia="zh-CN" w:bidi="ar"/>
              </w:rPr>
              <w:t xml:space="preserve">1 </w:t>
            </w:r>
          </w:p>
        </w:tc>
        <w:tc>
          <w:tcPr>
            <w:tcW w:w="1677" w:type="dxa"/>
            <w:tcBorders>
              <w:top w:val="single" w:color="000000" w:sz="4" w:space="0"/>
              <w:left w:val="single" w:color="000000" w:sz="4" w:space="0"/>
              <w:bottom w:val="single" w:color="000000" w:sz="4" w:space="0"/>
              <w:right w:val="single" w:color="000000" w:sz="4" w:space="0"/>
            </w:tcBorders>
            <w:noWrap w:val="0"/>
            <w:vAlign w:val="center"/>
          </w:tcPr>
          <w:p w14:paraId="3DBDF2BB">
            <w:pPr>
              <w:keepNext w:val="0"/>
              <w:keepLines w:val="0"/>
              <w:widowControl/>
              <w:suppressLineNumbers w:val="0"/>
              <w:jc w:val="center"/>
              <w:textAlignment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i w:val="0"/>
                <w:iCs w:val="0"/>
                <w:color w:val="auto"/>
                <w:kern w:val="0"/>
                <w:sz w:val="20"/>
                <w:szCs w:val="20"/>
                <w:highlight w:val="none"/>
                <w:u w:val="none"/>
                <w:lang w:val="en-US" w:eastAsia="zh-CN" w:bidi="ar"/>
              </w:rPr>
              <w:t>2022-09-07</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2C8CD37D">
            <w:pPr>
              <w:widowControl/>
              <w:spacing w:line="360" w:lineRule="auto"/>
              <w:jc w:val="center"/>
              <w:textAlignment w:val="center"/>
              <w:rPr>
                <w:rFonts w:hint="eastAsia" w:ascii="宋体" w:hAnsi="宋体" w:eastAsia="宋体" w:cs="宋体"/>
                <w:color w:val="auto"/>
                <w:kern w:val="0"/>
                <w:sz w:val="18"/>
                <w:szCs w:val="18"/>
                <w:highlight w:val="none"/>
              </w:rPr>
            </w:pPr>
          </w:p>
        </w:tc>
      </w:tr>
      <w:tr w14:paraId="24F76D6C">
        <w:tblPrEx>
          <w:tblCellMar>
            <w:top w:w="0" w:type="dxa"/>
            <w:left w:w="108" w:type="dxa"/>
            <w:bottom w:w="0" w:type="dxa"/>
            <w:right w:w="108" w:type="dxa"/>
          </w:tblCellMar>
        </w:tblPrEx>
        <w:trPr>
          <w:trHeight w:val="312" w:hRule="atLeast"/>
        </w:trPr>
        <w:tc>
          <w:tcPr>
            <w:tcW w:w="1021" w:type="dxa"/>
            <w:vMerge w:val="continue"/>
            <w:tcBorders>
              <w:left w:val="single" w:color="000000" w:sz="4" w:space="0"/>
              <w:bottom w:val="single" w:color="000000" w:sz="4" w:space="0"/>
              <w:right w:val="single" w:color="000000" w:sz="4" w:space="0"/>
            </w:tcBorders>
            <w:noWrap/>
            <w:vAlign w:val="center"/>
          </w:tcPr>
          <w:p w14:paraId="3B7D4895">
            <w:pPr>
              <w:widowControl/>
              <w:spacing w:line="360" w:lineRule="auto"/>
              <w:jc w:val="center"/>
              <w:textAlignment w:val="center"/>
              <w:rPr>
                <w:rFonts w:hint="eastAsia" w:ascii="宋体" w:hAnsi="宋体" w:eastAsia="宋体" w:cs="宋体"/>
                <w:color w:val="auto"/>
                <w:kern w:val="0"/>
                <w:sz w:val="18"/>
                <w:szCs w:val="18"/>
                <w:highlight w:val="none"/>
              </w:rPr>
            </w:pPr>
          </w:p>
        </w:tc>
        <w:tc>
          <w:tcPr>
            <w:tcW w:w="914" w:type="dxa"/>
            <w:tcBorders>
              <w:top w:val="single" w:color="000000" w:sz="4" w:space="0"/>
              <w:left w:val="single" w:color="000000" w:sz="4" w:space="0"/>
              <w:bottom w:val="single" w:color="000000" w:sz="4" w:space="0"/>
              <w:right w:val="single" w:color="000000" w:sz="4" w:space="0"/>
            </w:tcBorders>
            <w:noWrap/>
            <w:vAlign w:val="center"/>
          </w:tcPr>
          <w:p w14:paraId="222D5719">
            <w:pPr>
              <w:widowControl/>
              <w:spacing w:line="360" w:lineRule="auto"/>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合计</w:t>
            </w:r>
          </w:p>
        </w:tc>
        <w:tc>
          <w:tcPr>
            <w:tcW w:w="2359" w:type="dxa"/>
            <w:tcBorders>
              <w:top w:val="single" w:color="000000" w:sz="4" w:space="0"/>
              <w:left w:val="single" w:color="000000" w:sz="4" w:space="0"/>
              <w:bottom w:val="single" w:color="000000" w:sz="4" w:space="0"/>
              <w:right w:val="single" w:color="000000" w:sz="4" w:space="0"/>
            </w:tcBorders>
            <w:noWrap/>
            <w:vAlign w:val="center"/>
          </w:tcPr>
          <w:p w14:paraId="3C2ACDB6">
            <w:pPr>
              <w:widowControl/>
              <w:spacing w:line="360" w:lineRule="auto"/>
              <w:jc w:val="center"/>
              <w:textAlignment w:val="center"/>
              <w:rPr>
                <w:rFonts w:hint="eastAsia" w:ascii="宋体" w:hAnsi="宋体" w:eastAsia="宋体" w:cs="宋体"/>
                <w:color w:val="auto"/>
                <w:kern w:val="0"/>
                <w:sz w:val="18"/>
                <w:szCs w:val="18"/>
                <w:highlight w:val="none"/>
              </w:rPr>
            </w:pPr>
          </w:p>
        </w:tc>
        <w:tc>
          <w:tcPr>
            <w:tcW w:w="1241" w:type="dxa"/>
            <w:tcBorders>
              <w:top w:val="single" w:color="000000" w:sz="4" w:space="0"/>
              <w:left w:val="single" w:color="000000" w:sz="4" w:space="0"/>
              <w:bottom w:val="single" w:color="000000" w:sz="4" w:space="0"/>
              <w:right w:val="single" w:color="000000" w:sz="4" w:space="0"/>
            </w:tcBorders>
            <w:noWrap/>
            <w:vAlign w:val="center"/>
          </w:tcPr>
          <w:p w14:paraId="08DD1F97">
            <w:pPr>
              <w:widowControl/>
              <w:spacing w:line="360" w:lineRule="auto"/>
              <w:jc w:val="center"/>
              <w:textAlignment w:val="center"/>
              <w:rPr>
                <w:rFonts w:hint="default"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9</w:t>
            </w:r>
          </w:p>
        </w:tc>
        <w:tc>
          <w:tcPr>
            <w:tcW w:w="1677" w:type="dxa"/>
            <w:tcBorders>
              <w:top w:val="single" w:color="000000" w:sz="4" w:space="0"/>
              <w:left w:val="single" w:color="000000" w:sz="4" w:space="0"/>
              <w:bottom w:val="single" w:color="000000" w:sz="4" w:space="0"/>
              <w:right w:val="single" w:color="000000" w:sz="4" w:space="0"/>
            </w:tcBorders>
            <w:noWrap/>
            <w:vAlign w:val="center"/>
          </w:tcPr>
          <w:p w14:paraId="5A4E790E">
            <w:pPr>
              <w:widowControl/>
              <w:spacing w:line="360" w:lineRule="auto"/>
              <w:jc w:val="center"/>
              <w:textAlignment w:val="center"/>
              <w:rPr>
                <w:rFonts w:hint="eastAsia" w:ascii="宋体" w:hAnsi="宋体" w:eastAsia="宋体" w:cs="宋体"/>
                <w:color w:val="auto"/>
                <w:kern w:val="0"/>
                <w:sz w:val="18"/>
                <w:szCs w:val="18"/>
                <w:highlight w:val="none"/>
              </w:rPr>
            </w:pP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66C489EA">
            <w:pPr>
              <w:widowControl/>
              <w:spacing w:line="360" w:lineRule="auto"/>
              <w:jc w:val="center"/>
              <w:textAlignment w:val="center"/>
              <w:rPr>
                <w:rFonts w:hint="eastAsia" w:ascii="宋体" w:hAnsi="宋体" w:eastAsia="宋体" w:cs="宋体"/>
                <w:color w:val="auto"/>
                <w:kern w:val="0"/>
                <w:sz w:val="18"/>
                <w:szCs w:val="18"/>
                <w:highlight w:val="none"/>
              </w:rPr>
            </w:pPr>
          </w:p>
        </w:tc>
      </w:tr>
    </w:tbl>
    <w:p w14:paraId="055E9268">
      <w:pPr>
        <w:keepNext w:val="0"/>
        <w:keepLines w:val="0"/>
        <w:pageBreakBefore w:val="0"/>
        <w:widowControl w:val="0"/>
        <w:kinsoku/>
        <w:wordWrap/>
        <w:overflowPunct w:val="0"/>
        <w:topLinePunct w:val="0"/>
        <w:autoSpaceDE w:val="0"/>
        <w:autoSpaceDN w:val="0"/>
        <w:bidi w:val="0"/>
        <w:snapToGrid w:val="0"/>
        <w:spacing w:line="360" w:lineRule="auto"/>
        <w:jc w:val="left"/>
        <w:textAlignment w:val="baseline"/>
        <w:rPr>
          <w:rFonts w:hint="eastAsia" w:ascii="宋体" w:hAnsi="宋体" w:eastAsia="宋体" w:cs="宋体"/>
          <w:b/>
          <w:bCs/>
          <w:color w:val="auto"/>
          <w:sz w:val="24"/>
        </w:rPr>
      </w:pPr>
      <w:r>
        <w:rPr>
          <w:rFonts w:hint="eastAsia" w:ascii="宋体" w:hAnsi="宋体" w:eastAsia="宋体" w:cs="宋体"/>
          <w:b/>
          <w:bCs/>
          <w:color w:val="auto"/>
          <w:sz w:val="24"/>
          <w:lang w:val="en-US" w:eastAsia="zh-CN"/>
        </w:rPr>
        <w:t>五</w:t>
      </w:r>
      <w:r>
        <w:rPr>
          <w:rFonts w:hint="eastAsia" w:ascii="宋体" w:hAnsi="宋体" w:eastAsia="宋体" w:cs="宋体"/>
          <w:b/>
          <w:bCs/>
          <w:color w:val="auto"/>
          <w:sz w:val="24"/>
        </w:rPr>
        <w:t>、其他事项</w:t>
      </w:r>
    </w:p>
    <w:p w14:paraId="60171A3C">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1、遭遇突发性污染事件、110联动，必须组织人员及车辆等在20分钟内到达事发现场，以最快的有效时间内清除地面污染。</w:t>
      </w:r>
    </w:p>
    <w:p w14:paraId="45FFB47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2、在重大节假日、活动保障及防汛抗台、防冻抗雪期间，准备相应应急物资，及时报送物资清单，根据实际无条件服从要求，及时调整与转换作业模式。</w:t>
      </w:r>
    </w:p>
    <w:p w14:paraId="2B4E81B7">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3、对清扫保洁区域周边部位的卫生保洁有“举手之劳”的义务。</w:t>
      </w:r>
    </w:p>
    <w:p w14:paraId="083C8FA0">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4、保洁公司应积极协助并配合街道</w:t>
      </w:r>
      <w:r>
        <w:rPr>
          <w:rFonts w:hint="eastAsia" w:ascii="宋体" w:hAnsi="宋体" w:cs="宋体"/>
          <w:color w:val="auto"/>
          <w:sz w:val="24"/>
          <w:lang w:eastAsia="zh-CN"/>
        </w:rPr>
        <w:t>、</w:t>
      </w:r>
      <w:r>
        <w:rPr>
          <w:rFonts w:hint="eastAsia" w:ascii="宋体" w:hAnsi="宋体" w:cs="宋体"/>
          <w:color w:val="auto"/>
          <w:sz w:val="24"/>
          <w:lang w:val="en-US" w:eastAsia="zh-CN"/>
        </w:rPr>
        <w:t>村</w:t>
      </w:r>
      <w:r>
        <w:rPr>
          <w:rFonts w:hint="eastAsia" w:ascii="宋体" w:hAnsi="宋体" w:eastAsia="宋体" w:cs="宋体"/>
          <w:color w:val="auto"/>
          <w:sz w:val="24"/>
        </w:rPr>
        <w:t>完成其他各类卫生清理整治工作。</w:t>
      </w:r>
    </w:p>
    <w:p w14:paraId="4677AAC5">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5、接到区（市）长公开电话、96310交办单、数字城管，或者各类媒体报道、市民来电（访）或投诉的各类问题，及在各级检查中发现并通报的问题，应做到及时整改与上报。</w:t>
      </w:r>
    </w:p>
    <w:p w14:paraId="43A58FB0">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6、需做好对</w:t>
      </w:r>
      <w:r>
        <w:rPr>
          <w:rFonts w:hint="eastAsia" w:ascii="宋体" w:hAnsi="宋体" w:cs="宋体"/>
          <w:color w:val="auto"/>
          <w:sz w:val="24"/>
          <w:lang w:val="en-US" w:eastAsia="zh-CN"/>
        </w:rPr>
        <w:t>街道</w:t>
      </w:r>
      <w:r>
        <w:rPr>
          <w:rFonts w:hint="eastAsia" w:ascii="宋体" w:hAnsi="宋体" w:eastAsia="宋体" w:cs="宋体"/>
          <w:color w:val="auto"/>
          <w:sz w:val="24"/>
        </w:rPr>
        <w:t>保洁区域内所建的公共设施（城市家具）保洁。</w:t>
      </w:r>
    </w:p>
    <w:p w14:paraId="438E389F">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7、所有作业车辆必须严格遵守交通规则、安全文明作业，按照交警部门规定避开早晚高峰。</w:t>
      </w:r>
    </w:p>
    <w:p w14:paraId="174E2E3D">
      <w:pPr>
        <w:keepNext w:val="0"/>
        <w:keepLines w:val="0"/>
        <w:pageBreakBefore w:val="0"/>
        <w:widowControl w:val="0"/>
        <w:kinsoku/>
        <w:wordWrap/>
        <w:overflowPunct w:val="0"/>
        <w:topLinePunct w:val="0"/>
        <w:autoSpaceDE w:val="0"/>
        <w:autoSpaceDN w:val="0"/>
        <w:bidi w:val="0"/>
        <w:adjustRightInd w:val="0"/>
        <w:snapToGrid w:val="0"/>
        <w:spacing w:line="360" w:lineRule="auto"/>
        <w:jc w:val="left"/>
        <w:textAlignment w:val="baseline"/>
        <w:rPr>
          <w:rFonts w:hint="eastAsia" w:ascii="宋体" w:hAnsi="宋体" w:eastAsia="宋体" w:cs="宋体"/>
          <w:b/>
          <w:bCs/>
          <w:color w:val="auto"/>
          <w:sz w:val="24"/>
        </w:rPr>
      </w:pPr>
      <w:r>
        <w:rPr>
          <w:rFonts w:hint="eastAsia" w:ascii="宋体" w:hAnsi="宋体" w:eastAsia="宋体" w:cs="宋体"/>
          <w:b/>
          <w:bCs/>
          <w:color w:val="auto"/>
          <w:sz w:val="24"/>
          <w:lang w:val="en-US" w:eastAsia="zh-CN"/>
        </w:rPr>
        <w:t>六</w:t>
      </w:r>
      <w:r>
        <w:rPr>
          <w:rFonts w:hint="eastAsia" w:ascii="宋体" w:hAnsi="宋体" w:eastAsia="宋体" w:cs="宋体"/>
          <w:b/>
          <w:bCs/>
          <w:color w:val="auto"/>
          <w:sz w:val="24"/>
        </w:rPr>
        <w:t>、管理要求</w:t>
      </w:r>
    </w:p>
    <w:p w14:paraId="382CA950">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1、按《临安区市政公用和市容环境卫生监管中心环卫作业考核实施办法》中明确的相关要求执行。符合《环卫服务市场化企业退出机制》要求的，将按相关制度与程序办理。</w:t>
      </w:r>
    </w:p>
    <w:p w14:paraId="2748A964">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2、中标人应加强作业质量管理，做好作业质量自查记录，作业交接班必须在作业现场进行。</w:t>
      </w:r>
    </w:p>
    <w:p w14:paraId="52087CC1">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3、规范管理，文明作业，自觉接受合同采购人及上级各部门领导的检查和社会监督，对出现的问题要及时整改。</w:t>
      </w:r>
    </w:p>
    <w:p w14:paraId="31D4C552">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4、作业时应严格遵守劳动纪律，遵守安全操作规程，确保安全，发生各种意外事故由中标人自行依照法律法规妥善处理。</w:t>
      </w:r>
    </w:p>
    <w:p w14:paraId="610B2F62">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5、中标人不得</w:t>
      </w:r>
      <w:r>
        <w:rPr>
          <w:rFonts w:hint="eastAsia" w:ascii="宋体" w:hAnsi="宋体" w:cs="宋体"/>
          <w:color w:val="auto"/>
          <w:sz w:val="24"/>
          <w:highlight w:val="none"/>
          <w:lang w:val="en-US" w:eastAsia="zh-CN"/>
        </w:rPr>
        <w:t>私自</w:t>
      </w:r>
      <w:r>
        <w:rPr>
          <w:rFonts w:hint="eastAsia" w:ascii="宋体" w:hAnsi="宋体" w:eastAsia="宋体" w:cs="宋体"/>
          <w:color w:val="auto"/>
          <w:sz w:val="24"/>
          <w:highlight w:val="none"/>
        </w:rPr>
        <w:t>向沿街单位、商户和个人收取费用（除单位</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商户</w:t>
      </w:r>
      <w:r>
        <w:rPr>
          <w:rFonts w:hint="eastAsia" w:ascii="宋体" w:hAnsi="宋体" w:eastAsia="宋体" w:cs="宋体"/>
          <w:color w:val="auto"/>
          <w:sz w:val="24"/>
          <w:highlight w:val="none"/>
        </w:rPr>
        <w:t>或个人自行委托清运的有主垃圾）。中标人在一个月里完成自来水过户手续。</w:t>
      </w:r>
    </w:p>
    <w:p w14:paraId="0A14A912">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sz w:val="24"/>
        </w:rPr>
      </w:pPr>
      <w:r>
        <w:rPr>
          <w:rFonts w:hint="eastAsia" w:ascii="宋体" w:hAnsi="宋体" w:eastAsia="宋体" w:cs="宋体"/>
          <w:color w:val="auto"/>
          <w:sz w:val="24"/>
        </w:rPr>
        <w:t>6、保持果壳箱的整洁完好，合同期间由于作业操作不善，造成破损的，由中标人负责赔偿；因其它原因破损需要调（更）换的及时报告。</w:t>
      </w:r>
    </w:p>
    <w:p w14:paraId="1E970674">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7、中标人作业车辆应停放适当地点，不影响行人和交通，收工后存放在合适的停车场所进行集中管理。</w:t>
      </w:r>
    </w:p>
    <w:p w14:paraId="13CC0614">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8、遇到乱丢、乱扔、渣土抛洒污染路面等不文明行为及时进行劝阻，并进行市容环卫法规的宣传教育，做到说话文明，以理服人，对不听劝阻造成不良影响的，应及时向采购人或有关部门报告。</w:t>
      </w:r>
    </w:p>
    <w:p w14:paraId="1D640A4B">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9、月度内中标人应根据作业标准和考核细则加强自身管理与检查，并结合区块实际认真科学的制定保洁计划，向采购人提供优质服务。</w:t>
      </w:r>
    </w:p>
    <w:p w14:paraId="4A836CF0">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bCs/>
          <w:color w:val="auto"/>
          <w:kern w:val="0"/>
          <w:sz w:val="24"/>
        </w:rPr>
      </w:pPr>
      <w:r>
        <w:rPr>
          <w:rFonts w:hint="eastAsia" w:ascii="宋体" w:hAnsi="宋体" w:eastAsia="宋体" w:cs="宋体"/>
          <w:color w:val="auto"/>
          <w:kern w:val="0"/>
          <w:sz w:val="24"/>
        </w:rPr>
        <w:t>10、</w:t>
      </w:r>
      <w:r>
        <w:rPr>
          <w:rFonts w:hint="eastAsia" w:ascii="宋体" w:hAnsi="宋体" w:eastAsia="宋体" w:cs="宋体"/>
          <w:bCs/>
          <w:color w:val="auto"/>
          <w:kern w:val="0"/>
          <w:sz w:val="24"/>
        </w:rPr>
        <w:t>本项目原则上要求保洁人员为适龄人员。应严格遵守有关劳动法规，保障职工合法权益，参照《浙江省关于进一步改善环卫工人工作生活条件促进环卫事业持续健康发展的若干意见》（浙政办发〔2009〕190号）文件精神，结合临安实际。足额发放相关福利及支付加班工资。另外，在落实好职工劳保福利待遇的同时，还必须按临安区标准为适龄职工缴纳社会保险费（养老保险、医疗保险、失业保险、工伤保险和生育保险）；必须强制缴纳人身意外险，人身意外死亡险赔付不低于100万元；如因中标人违规造成上访或群体性事件的，由中标人负责处理。</w:t>
      </w:r>
    </w:p>
    <w:p w14:paraId="7DA75E00">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rPr>
        <w:t>注：本项目中标价为招标需求工作量的价格，在合同履行期间，如临安区最低工资标准调整的，保洁公司承诺应按时进行调整，合同保洁经费不再另行追加。</w:t>
      </w:r>
    </w:p>
    <w:p w14:paraId="2800CB72">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11、在合同履行期间，因自然等灾害或政府需求等因素，导致合同无法正常履行时，采购人可根据实际情况，终止合同。另外，采购人根据管理需要，单方面对各类考核细则、管理要求等相关内容进行修改时，经双方协商同意后，按新的考核细则、管理要求等相关内容进行考核。</w:t>
      </w:r>
    </w:p>
    <w:p w14:paraId="78DEF611">
      <w:pPr>
        <w:keepNext w:val="0"/>
        <w:keepLines w:val="0"/>
        <w:pageBreakBefore w:val="0"/>
        <w:widowControl w:val="0"/>
        <w:kinsoku/>
        <w:wordWrap/>
        <w:overflowPunct w:val="0"/>
        <w:topLinePunct w:val="0"/>
        <w:autoSpaceDE w:val="0"/>
        <w:autoSpaceDN w:val="0"/>
        <w:bidi w:val="0"/>
        <w:snapToGrid w:val="0"/>
        <w:spacing w:line="360" w:lineRule="auto"/>
        <w:jc w:val="left"/>
        <w:textAlignment w:val="baseline"/>
        <w:rPr>
          <w:rFonts w:hint="eastAsia" w:ascii="宋体" w:hAnsi="宋体" w:eastAsia="宋体" w:cs="宋体"/>
          <w:b/>
          <w:bCs/>
          <w:color w:val="auto"/>
          <w:kern w:val="0"/>
          <w:sz w:val="24"/>
        </w:rPr>
      </w:pPr>
      <w:r>
        <w:rPr>
          <w:rFonts w:hint="eastAsia" w:ascii="宋体" w:hAnsi="宋体" w:eastAsia="宋体" w:cs="宋体"/>
          <w:b/>
          <w:bCs/>
          <w:color w:val="auto"/>
          <w:kern w:val="0"/>
          <w:sz w:val="24"/>
          <w:lang w:val="en-US" w:eastAsia="zh-CN"/>
        </w:rPr>
        <w:t>七</w:t>
      </w:r>
      <w:r>
        <w:rPr>
          <w:rFonts w:hint="eastAsia" w:ascii="宋体" w:hAnsi="宋体" w:eastAsia="宋体" w:cs="宋体"/>
          <w:b/>
          <w:bCs/>
          <w:color w:val="auto"/>
          <w:kern w:val="0"/>
          <w:sz w:val="24"/>
        </w:rPr>
        <w:t>、督查考核种类和方法</w:t>
      </w:r>
    </w:p>
    <w:p w14:paraId="153CFE67">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1、考核种类：日常巡查、月度考核</w:t>
      </w:r>
    </w:p>
    <w:p w14:paraId="05730586">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2、考核方法，参照主城区考核办法执行：</w:t>
      </w:r>
    </w:p>
    <w:p w14:paraId="0F166661">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（1）日常巡查由采购人组织和实施，巡查时间应一般按与道路清扫保洁作业时间段相同，巡回中发现的问题中标人应在规定时间整改完成。</w:t>
      </w:r>
    </w:p>
    <w:p w14:paraId="1816CC38">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w:t>
      </w:r>
      <w:r>
        <w:rPr>
          <w:rFonts w:hint="eastAsia" w:ascii="宋体" w:hAnsi="宋体" w:eastAsia="宋体" w:cs="宋体"/>
          <w:color w:val="auto"/>
          <w:kern w:val="0"/>
          <w:sz w:val="24"/>
          <w:lang w:val="en-US" w:eastAsia="zh-CN"/>
        </w:rPr>
        <w:t>月度考核由青山湖街道办事处组织进行</w:t>
      </w:r>
      <w:r>
        <w:rPr>
          <w:rFonts w:hint="eastAsia" w:ascii="宋体" w:hAnsi="宋体" w:eastAsia="宋体" w:cs="宋体"/>
          <w:color w:val="auto"/>
          <w:kern w:val="0"/>
          <w:sz w:val="24"/>
        </w:rPr>
        <w:t>，另外结合重大活动保障及行业管理要求，增加重大活动保障、安全生产、宣传等专项考核，每月考核总得分在次月10日前完成。</w:t>
      </w:r>
    </w:p>
    <w:p w14:paraId="1F2F0E2B">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（3）根据每月考核情况实施扣罚措施，具体为：</w:t>
      </w:r>
    </w:p>
    <w:p w14:paraId="20ACE78D">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fldChar w:fldCharType="begin"/>
      </w:r>
      <w:r>
        <w:rPr>
          <w:rFonts w:hint="eastAsia" w:ascii="宋体" w:hAnsi="宋体" w:eastAsia="宋体" w:cs="宋体"/>
          <w:color w:val="auto"/>
          <w:kern w:val="0"/>
          <w:sz w:val="24"/>
        </w:rPr>
        <w:instrText xml:space="preserve">= 1 \* GB3</w:instrText>
      </w:r>
      <w:r>
        <w:rPr>
          <w:rFonts w:hint="eastAsia" w:ascii="宋体" w:hAnsi="宋体" w:eastAsia="宋体" w:cs="宋体"/>
          <w:color w:val="auto"/>
          <w:kern w:val="0"/>
          <w:sz w:val="24"/>
        </w:rPr>
        <w:fldChar w:fldCharType="separate"/>
      </w:r>
      <w:r>
        <w:rPr>
          <w:rFonts w:hint="eastAsia" w:ascii="宋体" w:hAnsi="宋体" w:eastAsia="宋体" w:cs="宋体"/>
          <w:color w:val="auto"/>
          <w:kern w:val="0"/>
          <w:sz w:val="24"/>
        </w:rPr>
        <w:t>①</w:t>
      </w:r>
      <w:r>
        <w:rPr>
          <w:rFonts w:hint="eastAsia" w:ascii="宋体" w:hAnsi="宋体" w:eastAsia="宋体" w:cs="宋体"/>
          <w:color w:val="auto"/>
          <w:kern w:val="0"/>
          <w:sz w:val="24"/>
        </w:rPr>
        <w:fldChar w:fldCharType="end"/>
      </w:r>
      <w:r>
        <w:rPr>
          <w:rFonts w:hint="eastAsia" w:ascii="宋体" w:hAnsi="宋体" w:eastAsia="宋体" w:cs="宋体"/>
          <w:color w:val="auto"/>
          <w:kern w:val="0"/>
          <w:sz w:val="24"/>
        </w:rPr>
        <w:t>每月考核扣分达到200分及以下的，每分扣罚</w:t>
      </w: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00元。</w:t>
      </w:r>
    </w:p>
    <w:p w14:paraId="4272EB1B">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fldChar w:fldCharType="begin"/>
      </w:r>
      <w:r>
        <w:rPr>
          <w:rFonts w:hint="eastAsia" w:ascii="宋体" w:hAnsi="宋体" w:eastAsia="宋体" w:cs="宋体"/>
          <w:color w:val="auto"/>
          <w:kern w:val="0"/>
          <w:sz w:val="24"/>
        </w:rPr>
        <w:instrText xml:space="preserve">= 2 \* GB3</w:instrText>
      </w:r>
      <w:r>
        <w:rPr>
          <w:rFonts w:hint="eastAsia" w:ascii="宋体" w:hAnsi="宋体" w:eastAsia="宋体" w:cs="宋体"/>
          <w:color w:val="auto"/>
          <w:kern w:val="0"/>
          <w:sz w:val="24"/>
        </w:rPr>
        <w:fldChar w:fldCharType="separate"/>
      </w:r>
      <w:r>
        <w:rPr>
          <w:rFonts w:hint="eastAsia" w:ascii="宋体" w:hAnsi="宋体" w:eastAsia="宋体" w:cs="宋体"/>
          <w:color w:val="auto"/>
          <w:kern w:val="0"/>
          <w:sz w:val="24"/>
        </w:rPr>
        <w:t>②</w:t>
      </w:r>
      <w:r>
        <w:rPr>
          <w:rFonts w:hint="eastAsia" w:ascii="宋体" w:hAnsi="宋体" w:eastAsia="宋体" w:cs="宋体"/>
          <w:color w:val="auto"/>
          <w:kern w:val="0"/>
          <w:sz w:val="24"/>
        </w:rPr>
        <w:fldChar w:fldCharType="end"/>
      </w:r>
      <w:r>
        <w:rPr>
          <w:rFonts w:hint="eastAsia" w:ascii="宋体" w:hAnsi="宋体" w:eastAsia="宋体" w:cs="宋体"/>
          <w:color w:val="auto"/>
          <w:kern w:val="0"/>
          <w:sz w:val="24"/>
        </w:rPr>
        <w:t>每月考核扣分达到250分及以下的，200分以上部分每分扣300元。</w:t>
      </w:r>
    </w:p>
    <w:p w14:paraId="3A541910">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fldChar w:fldCharType="begin"/>
      </w:r>
      <w:r>
        <w:rPr>
          <w:rFonts w:hint="eastAsia" w:ascii="宋体" w:hAnsi="宋体" w:eastAsia="宋体" w:cs="宋体"/>
          <w:color w:val="auto"/>
          <w:kern w:val="0"/>
          <w:sz w:val="24"/>
        </w:rPr>
        <w:instrText xml:space="preserve">= 3 \* GB3</w:instrText>
      </w:r>
      <w:r>
        <w:rPr>
          <w:rFonts w:hint="eastAsia" w:ascii="宋体" w:hAnsi="宋体" w:eastAsia="宋体" w:cs="宋体"/>
          <w:color w:val="auto"/>
          <w:kern w:val="0"/>
          <w:sz w:val="24"/>
        </w:rPr>
        <w:fldChar w:fldCharType="separate"/>
      </w:r>
      <w:r>
        <w:rPr>
          <w:rFonts w:hint="eastAsia" w:ascii="宋体" w:hAnsi="宋体" w:eastAsia="宋体" w:cs="宋体"/>
          <w:color w:val="auto"/>
          <w:kern w:val="0"/>
          <w:sz w:val="24"/>
        </w:rPr>
        <w:t>③</w:t>
      </w:r>
      <w:r>
        <w:rPr>
          <w:rFonts w:hint="eastAsia" w:ascii="宋体" w:hAnsi="宋体" w:eastAsia="宋体" w:cs="宋体"/>
          <w:color w:val="auto"/>
          <w:kern w:val="0"/>
          <w:sz w:val="24"/>
        </w:rPr>
        <w:fldChar w:fldCharType="end"/>
      </w:r>
      <w:r>
        <w:rPr>
          <w:rFonts w:hint="eastAsia" w:ascii="宋体" w:hAnsi="宋体" w:eastAsia="宋体" w:cs="宋体"/>
          <w:color w:val="auto"/>
          <w:kern w:val="0"/>
          <w:sz w:val="24"/>
        </w:rPr>
        <w:t>每月考核扣分达到300分及以下的，250分以上部分每分扣500元。</w:t>
      </w:r>
    </w:p>
    <w:p w14:paraId="047B54C9">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fldChar w:fldCharType="begin"/>
      </w:r>
      <w:r>
        <w:rPr>
          <w:rFonts w:hint="eastAsia" w:ascii="宋体" w:hAnsi="宋体" w:eastAsia="宋体" w:cs="宋体"/>
          <w:color w:val="auto"/>
          <w:kern w:val="0"/>
          <w:sz w:val="24"/>
        </w:rPr>
        <w:instrText xml:space="preserve">= 4 \* GB3</w:instrText>
      </w:r>
      <w:r>
        <w:rPr>
          <w:rFonts w:hint="eastAsia" w:ascii="宋体" w:hAnsi="宋体" w:eastAsia="宋体" w:cs="宋体"/>
          <w:color w:val="auto"/>
          <w:kern w:val="0"/>
          <w:sz w:val="24"/>
        </w:rPr>
        <w:fldChar w:fldCharType="separate"/>
      </w:r>
      <w:r>
        <w:rPr>
          <w:rFonts w:hint="eastAsia" w:ascii="宋体" w:hAnsi="宋体" w:eastAsia="宋体" w:cs="宋体"/>
          <w:color w:val="auto"/>
          <w:kern w:val="0"/>
          <w:sz w:val="24"/>
        </w:rPr>
        <w:t>④</w:t>
      </w:r>
      <w:r>
        <w:rPr>
          <w:rFonts w:hint="eastAsia" w:ascii="宋体" w:hAnsi="宋体" w:eastAsia="宋体" w:cs="宋体"/>
          <w:color w:val="auto"/>
          <w:kern w:val="0"/>
          <w:sz w:val="24"/>
        </w:rPr>
        <w:fldChar w:fldCharType="end"/>
      </w:r>
      <w:r>
        <w:rPr>
          <w:rFonts w:hint="eastAsia" w:ascii="宋体" w:hAnsi="宋体" w:eastAsia="宋体" w:cs="宋体"/>
          <w:color w:val="auto"/>
          <w:kern w:val="0"/>
          <w:sz w:val="24"/>
        </w:rPr>
        <w:t>每月考核扣分超过300分（不含）的，300分以上部分每分扣1000元。</w:t>
      </w:r>
    </w:p>
    <w:p w14:paraId="657B211D">
      <w:pPr>
        <w:keepNext w:val="0"/>
        <w:keepLines w:val="0"/>
        <w:pageBreakBefore w:val="0"/>
        <w:widowControl w:val="0"/>
        <w:kinsoku/>
        <w:wordWrap/>
        <w:topLinePunct w:val="0"/>
        <w:bidi w:val="0"/>
        <w:spacing w:line="360" w:lineRule="auto"/>
        <w:ind w:left="0" w:leftChars="0" w:firstLine="480"/>
        <w:jc w:val="left"/>
        <w:rPr>
          <w:rFonts w:hint="eastAsia" w:ascii="宋体" w:hAnsi="宋体" w:eastAsia="宋体" w:cs="宋体"/>
          <w:color w:val="auto"/>
          <w:kern w:val="0"/>
          <w:sz w:val="24"/>
        </w:rPr>
      </w:pPr>
      <w:r>
        <w:rPr>
          <w:rFonts w:hint="eastAsia" w:ascii="宋体" w:hAnsi="宋体" w:eastAsia="宋体" w:cs="宋体"/>
          <w:color w:val="auto"/>
          <w:kern w:val="0"/>
          <w:sz w:val="24"/>
        </w:rPr>
        <w:t>3、对于考核的具体情况，采购人有义务将考核情况通知中标人。</w:t>
      </w:r>
    </w:p>
    <w:p w14:paraId="2E8478E9">
      <w:pPr>
        <w:keepNext w:val="0"/>
        <w:keepLines w:val="0"/>
        <w:pageBreakBefore w:val="0"/>
        <w:widowControl w:val="0"/>
        <w:kinsoku/>
        <w:wordWrap/>
        <w:topLinePunct w:val="0"/>
        <w:bidi w:val="0"/>
        <w:spacing w:line="360" w:lineRule="auto"/>
        <w:ind w:left="0" w:leftChars="0" w:firstLine="480"/>
        <w:jc w:val="left"/>
        <w:rPr>
          <w:rFonts w:hint="eastAsia" w:ascii="宋体" w:hAnsi="宋体" w:eastAsia="宋体" w:cs="宋体"/>
          <w:color w:val="auto"/>
          <w:kern w:val="0"/>
          <w:sz w:val="24"/>
        </w:rPr>
      </w:pPr>
      <w:r>
        <w:rPr>
          <w:rFonts w:hint="eastAsia" w:ascii="宋体" w:hAnsi="宋体" w:eastAsia="宋体" w:cs="宋体"/>
          <w:color w:val="auto"/>
          <w:kern w:val="0"/>
          <w:sz w:val="24"/>
        </w:rPr>
        <w:t>4、具体考核细则及扣分办法参照杭州每年考核细则并结合我</w:t>
      </w:r>
      <w:r>
        <w:rPr>
          <w:rFonts w:hint="eastAsia" w:ascii="宋体" w:hAnsi="宋体" w:eastAsia="宋体" w:cs="宋体"/>
          <w:color w:val="auto"/>
          <w:kern w:val="0"/>
          <w:sz w:val="24"/>
          <w:lang w:val="en-US" w:eastAsia="zh-CN"/>
        </w:rPr>
        <w:t>街道</w:t>
      </w:r>
      <w:r>
        <w:rPr>
          <w:rFonts w:hint="eastAsia" w:ascii="宋体" w:hAnsi="宋体" w:eastAsia="宋体" w:cs="宋体"/>
          <w:color w:val="auto"/>
          <w:kern w:val="0"/>
          <w:sz w:val="24"/>
        </w:rPr>
        <w:t>实际情况制定具体考核实施方案。附件：《杭州市临安区道路保洁作业标准、细则》（该方案仅供参考，具体考核办法以杭州最新考核办法及临安实际情况具体制定）</w:t>
      </w:r>
    </w:p>
    <w:p w14:paraId="01DCF983">
      <w:pPr>
        <w:keepNext w:val="0"/>
        <w:keepLines w:val="0"/>
        <w:pageBreakBefore w:val="0"/>
        <w:widowControl w:val="0"/>
        <w:kinsoku/>
        <w:wordWrap/>
        <w:topLinePunct w:val="0"/>
        <w:bidi w:val="0"/>
        <w:spacing w:line="360" w:lineRule="auto"/>
        <w:ind w:left="0" w:leftChars="0" w:firstLine="480"/>
        <w:jc w:val="left"/>
        <w:rPr>
          <w:rFonts w:hint="eastAsia" w:ascii="宋体" w:hAnsi="宋体" w:eastAsia="宋体" w:cs="宋体"/>
          <w:color w:val="auto"/>
          <w:lang w:val="en-US" w:eastAsia="zh-CN"/>
        </w:rPr>
      </w:pPr>
      <w:r>
        <w:rPr>
          <w:rFonts w:hint="eastAsia" w:ascii="宋体" w:hAnsi="宋体" w:eastAsia="宋体" w:cs="宋体"/>
          <w:color w:val="auto"/>
          <w:kern w:val="0"/>
          <w:sz w:val="24"/>
          <w:lang w:val="en-US" w:eastAsia="zh-CN"/>
        </w:rPr>
        <w:t>5、在各类迎检、重要活动保障、抗台防汛等事件中表现优异的，视情况给予加分。</w:t>
      </w:r>
    </w:p>
    <w:p w14:paraId="77FD0785">
      <w:pPr>
        <w:keepNext w:val="0"/>
        <w:keepLines w:val="0"/>
        <w:pageBreakBefore w:val="0"/>
        <w:widowControl w:val="0"/>
        <w:kinsoku/>
        <w:wordWrap/>
        <w:overflowPunct w:val="0"/>
        <w:topLinePunct w:val="0"/>
        <w:autoSpaceDE w:val="0"/>
        <w:autoSpaceDN w:val="0"/>
        <w:bidi w:val="0"/>
        <w:snapToGrid w:val="0"/>
        <w:spacing w:line="360" w:lineRule="auto"/>
        <w:jc w:val="left"/>
        <w:textAlignment w:val="baseline"/>
        <w:rPr>
          <w:rFonts w:hint="eastAsia" w:ascii="宋体" w:hAnsi="宋体" w:eastAsia="宋体" w:cs="宋体"/>
          <w:b/>
          <w:bCs/>
          <w:color w:val="auto"/>
          <w:kern w:val="0"/>
          <w:sz w:val="24"/>
        </w:rPr>
      </w:pPr>
      <w:r>
        <w:rPr>
          <w:rFonts w:hint="eastAsia" w:ascii="宋体" w:hAnsi="宋体" w:eastAsia="宋体" w:cs="宋体"/>
          <w:b/>
          <w:bCs/>
          <w:color w:val="auto"/>
          <w:kern w:val="0"/>
          <w:sz w:val="24"/>
          <w:lang w:val="en-US" w:eastAsia="zh-CN"/>
        </w:rPr>
        <w:t>八</w:t>
      </w:r>
      <w:r>
        <w:rPr>
          <w:rFonts w:hint="eastAsia" w:ascii="宋体" w:hAnsi="宋体" w:eastAsia="宋体" w:cs="宋体"/>
          <w:b/>
          <w:bCs/>
          <w:color w:val="auto"/>
          <w:kern w:val="0"/>
          <w:sz w:val="24"/>
        </w:rPr>
        <w:t>、考核事项说明</w:t>
      </w:r>
    </w:p>
    <w:p w14:paraId="2FC1B010">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1、采购人应认真、详实的记录督查考核情况。</w:t>
      </w:r>
    </w:p>
    <w:p w14:paraId="6F05D19D">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采购人在各类考核中，应做好相关证据的收集与记录工作，严格依据考核标准作出相应的处理结果，及时通知中标人对存在的问题进行整改，如中标人对考核结果有疑意的，采购人应向中标人以口头或书面的形式做出答复。</w:t>
      </w:r>
    </w:p>
    <w:p w14:paraId="09998726">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3、采购人在各类考核中，针对中标人存在的问题，依据合同条款或考核标准作出如实的处罚，如中标人拒绝签字确认，或拒不承认的，不影响采购人处罚决定的执行力。</w:t>
      </w:r>
    </w:p>
    <w:p w14:paraId="43F58A0C">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4、当月的扣罚在月度保洁经费中直接扣除，如有</w:t>
      </w:r>
      <w:r>
        <w:rPr>
          <w:rFonts w:hint="eastAsia" w:ascii="宋体" w:hAnsi="宋体" w:eastAsia="宋体" w:cs="宋体"/>
          <w:color w:val="auto"/>
          <w:kern w:val="0"/>
          <w:sz w:val="24"/>
          <w:lang w:val="en-US" w:eastAsia="zh-CN"/>
        </w:rPr>
        <w:t>其它</w:t>
      </w:r>
      <w:r>
        <w:rPr>
          <w:rFonts w:hint="eastAsia" w:ascii="宋体" w:hAnsi="宋体" w:eastAsia="宋体" w:cs="宋体"/>
          <w:color w:val="auto"/>
          <w:kern w:val="0"/>
          <w:sz w:val="24"/>
        </w:rPr>
        <w:t>原因未扣除的，采购人可通知中标人依据扣罚凭证向采购人缴纳扣罚款，另外，采购人也可在下月度的保洁经费中一并扣除。</w:t>
      </w:r>
    </w:p>
    <w:p w14:paraId="6DB5B37D">
      <w:pPr>
        <w:keepNext w:val="0"/>
        <w:keepLines w:val="0"/>
        <w:pageBreakBefore w:val="0"/>
        <w:widowControl w:val="0"/>
        <w:kinsoku/>
        <w:wordWrap/>
        <w:overflowPunct w:val="0"/>
        <w:topLinePunct w:val="0"/>
        <w:autoSpaceDE w:val="0"/>
        <w:autoSpaceDN w:val="0"/>
        <w:bidi w:val="0"/>
        <w:snapToGrid w:val="0"/>
        <w:spacing w:line="360" w:lineRule="auto"/>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lang w:val="en-US" w:eastAsia="zh-CN"/>
        </w:rPr>
        <w:t>九</w:t>
      </w:r>
      <w:r>
        <w:rPr>
          <w:rFonts w:hint="eastAsia" w:ascii="宋体" w:hAnsi="宋体" w:eastAsia="宋体" w:cs="宋体"/>
          <w:b/>
          <w:color w:val="auto"/>
          <w:kern w:val="0"/>
          <w:sz w:val="24"/>
        </w:rPr>
        <w:t>、其他奖惩办法</w:t>
      </w:r>
    </w:p>
    <w:p w14:paraId="7545BECC">
      <w:pPr>
        <w:keepNext w:val="0"/>
        <w:keepLines w:val="0"/>
        <w:pageBreakBefore w:val="0"/>
        <w:widowControl w:val="0"/>
        <w:kinsoku/>
        <w:wordWrap/>
        <w:overflowPunct w:val="0"/>
        <w:topLinePunct w:val="0"/>
        <w:autoSpaceDE w:val="0"/>
        <w:autoSpaceDN w:val="0"/>
        <w:bidi w:val="0"/>
        <w:snapToGrid w:val="0"/>
        <w:spacing w:line="360" w:lineRule="auto"/>
        <w:ind w:left="0" w:leftChars="0" w:firstLine="482" w:firstLineChars="200"/>
        <w:jc w:val="left"/>
        <w:textAlignment w:val="baseline"/>
        <w:rPr>
          <w:rFonts w:hint="eastAsia" w:ascii="宋体" w:hAnsi="宋体" w:eastAsia="宋体" w:cs="宋体"/>
          <w:b/>
          <w:bCs/>
          <w:color w:val="auto"/>
          <w:kern w:val="0"/>
          <w:sz w:val="24"/>
          <w:lang w:val="en-US" w:eastAsia="zh-CN"/>
        </w:rPr>
      </w:pPr>
      <w:r>
        <w:rPr>
          <w:rFonts w:hint="eastAsia" w:ascii="宋体" w:hAnsi="宋体" w:eastAsia="宋体" w:cs="宋体"/>
          <w:b/>
          <w:bCs/>
          <w:color w:val="auto"/>
          <w:kern w:val="0"/>
          <w:sz w:val="24"/>
        </w:rPr>
        <w:t>1、</w:t>
      </w:r>
      <w:r>
        <w:rPr>
          <w:rFonts w:hint="eastAsia" w:ascii="宋体" w:hAnsi="宋体" w:eastAsia="宋体" w:cs="宋体"/>
          <w:b/>
          <w:bCs/>
          <w:color w:val="auto"/>
          <w:kern w:val="0"/>
          <w:sz w:val="24"/>
          <w:lang w:val="en-US" w:eastAsia="zh-CN"/>
        </w:rPr>
        <w:t>街道</w:t>
      </w:r>
      <w:r>
        <w:rPr>
          <w:rFonts w:hint="eastAsia" w:ascii="宋体" w:hAnsi="宋体" w:eastAsia="宋体" w:cs="宋体"/>
          <w:b/>
          <w:bCs/>
          <w:color w:val="auto"/>
          <w:kern w:val="0"/>
          <w:sz w:val="24"/>
        </w:rPr>
        <w:t>对承包方进行年度作业考核，</w:t>
      </w:r>
      <w:r>
        <w:rPr>
          <w:rFonts w:hint="eastAsia" w:ascii="宋体" w:hAnsi="宋体" w:eastAsia="宋体" w:cs="宋体"/>
          <w:b/>
          <w:bCs/>
          <w:color w:val="auto"/>
          <w:kern w:val="0"/>
          <w:sz w:val="24"/>
          <w:lang w:val="en-US" w:eastAsia="zh-CN"/>
        </w:rPr>
        <w:t>合同总价的5%作为奖励金额，考核优秀的给予100%奖励金额，考核良好的给予80%奖励金额，考核及格的给予60%奖励金额</w:t>
      </w:r>
      <w:r>
        <w:rPr>
          <w:rFonts w:hint="eastAsia" w:ascii="宋体" w:hAnsi="宋体" w:eastAsia="宋体" w:cs="宋体"/>
          <w:b/>
          <w:bCs/>
          <w:color w:val="auto"/>
          <w:kern w:val="0"/>
          <w:sz w:val="24"/>
        </w:rPr>
        <w:t>。</w:t>
      </w:r>
      <w:r>
        <w:rPr>
          <w:rFonts w:hint="eastAsia" w:ascii="宋体" w:hAnsi="宋体" w:eastAsia="宋体" w:cs="宋体"/>
          <w:b/>
          <w:bCs/>
          <w:color w:val="auto"/>
          <w:kern w:val="0"/>
          <w:sz w:val="24"/>
          <w:lang w:val="en-US" w:eastAsia="zh-CN"/>
        </w:rPr>
        <w:t>年度考核按月度考核平均分计取，月度考核扣50分（含50分)以内视作优秀，扣50-100分（含100分)以内视作良好，扣100-200分（含200分)以内视作及格，扣200分以下视作不及格。</w:t>
      </w:r>
    </w:p>
    <w:p w14:paraId="5588B2F7">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、监管部门采取各种形式对配置人员、车辆设备进行查实，承包方以任何方式瞒报、虚报、规避作业等情况的，发现人员车辆设备不符合招标需求的，每次扣3000元，并纳入考核。</w:t>
      </w:r>
    </w:p>
    <w:p w14:paraId="76EBA182">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遇到突发事件、自然灾害或天气影响，必须服从上级部门、监管部门指挥调度，遇到抗雪防冻、抗台防汛、路面交通事故等，承包单位须在第一时间内迅速组织人员、机具将道路清理干净。如发现接到指令后，未采取措施或者按规定完成任务的，每次扣1万元至3万元</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情节特别严重的，发包方可单方面终止合同</w:t>
      </w:r>
    </w:p>
    <w:p w14:paraId="723F66B3">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lang w:val="en-US" w:eastAsia="zh-CN"/>
        </w:rPr>
      </w:pPr>
      <w:r>
        <w:rPr>
          <w:rFonts w:hint="eastAsia" w:ascii="宋体" w:hAnsi="宋体" w:eastAsia="宋体" w:cs="宋体"/>
          <w:color w:val="auto"/>
          <w:kern w:val="0"/>
          <w:sz w:val="24"/>
          <w:lang w:val="en-US" w:eastAsia="zh-CN"/>
        </w:rPr>
        <w:t>4、项目经理到位率需保证在70%以上，到位率以发包人考勤记录为依据。经发包人发出整改通知后仍未达到约定到位率的，承包人以每天500元*缺勤天数支付给发包人。到位率按每月实际到场天数/每月实际日历天*100%，具体考核方式待中标后与发包方协商确定。</w:t>
      </w:r>
    </w:p>
    <w:p w14:paraId="20D54212">
      <w:pPr>
        <w:keepNext w:val="0"/>
        <w:keepLines w:val="0"/>
        <w:pageBreakBefore w:val="0"/>
        <w:widowControl w:val="0"/>
        <w:kinsoku/>
        <w:wordWrap/>
        <w:overflowPunct w:val="0"/>
        <w:topLinePunct w:val="0"/>
        <w:autoSpaceDE w:val="0"/>
        <w:autoSpaceDN w:val="0"/>
        <w:bidi w:val="0"/>
        <w:snapToGrid w:val="0"/>
        <w:spacing w:line="360" w:lineRule="auto"/>
        <w:jc w:val="left"/>
        <w:textAlignment w:val="baseline"/>
        <w:rPr>
          <w:rFonts w:hint="eastAsia" w:ascii="宋体" w:hAnsi="宋体" w:eastAsia="宋体" w:cs="宋体"/>
          <w:b/>
          <w:color w:val="auto"/>
          <w:kern w:val="0"/>
          <w:sz w:val="24"/>
        </w:rPr>
      </w:pPr>
      <w:r>
        <w:rPr>
          <w:rFonts w:hint="eastAsia" w:ascii="宋体" w:hAnsi="宋体" w:eastAsia="宋体" w:cs="宋体"/>
          <w:b/>
          <w:color w:val="auto"/>
          <w:kern w:val="0"/>
          <w:sz w:val="24"/>
          <w:lang w:val="en-US" w:eastAsia="zh-CN"/>
        </w:rPr>
        <w:t>十</w:t>
      </w:r>
      <w:r>
        <w:rPr>
          <w:rFonts w:hint="eastAsia" w:ascii="宋体" w:hAnsi="宋体" w:eastAsia="宋体" w:cs="宋体"/>
          <w:b/>
          <w:color w:val="auto"/>
          <w:kern w:val="0"/>
          <w:sz w:val="24"/>
        </w:rPr>
        <w:t>、付款方式</w:t>
      </w:r>
    </w:p>
    <w:p w14:paraId="30F94F47">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保洁经费采用先作业后拨付的方式，</w:t>
      </w:r>
      <w:r>
        <w:rPr>
          <w:rFonts w:hint="eastAsia" w:ascii="宋体" w:hAnsi="宋体" w:eastAsia="宋体" w:cs="宋体"/>
          <w:color w:val="auto"/>
          <w:kern w:val="0"/>
          <w:sz w:val="24"/>
          <w:lang w:val="en-US" w:eastAsia="zh-CN"/>
        </w:rPr>
        <w:t>服务费每季度结算一次，经甲方考核后于下季度首月10日前支付上季度的服务费，单季度结算服务费以合同总价95%的季度算术平均计取，合同总价5%的费用作为考核奖励费用</w:t>
      </w:r>
      <w:r>
        <w:rPr>
          <w:rFonts w:hint="eastAsia" w:ascii="宋体" w:hAnsi="宋体" w:eastAsia="宋体" w:cs="宋体"/>
          <w:color w:val="auto"/>
          <w:kern w:val="0"/>
          <w:sz w:val="24"/>
        </w:rPr>
        <w:t>。</w:t>
      </w:r>
    </w:p>
    <w:p w14:paraId="7372CD75">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每月督查考核扣罚款在当月保洁经费中直接扣除。</w:t>
      </w:r>
    </w:p>
    <w:p w14:paraId="57093789">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合同履行完毕后，在未找到项目接替公司前，若采购人仍需中标人提供</w:t>
      </w:r>
      <w:r>
        <w:rPr>
          <w:rFonts w:hint="eastAsia" w:ascii="宋体" w:hAnsi="宋体" w:eastAsia="宋体" w:cs="宋体"/>
          <w:color w:val="auto"/>
          <w:kern w:val="0"/>
          <w:sz w:val="24"/>
          <w:lang w:val="en-US" w:eastAsia="zh-CN"/>
        </w:rPr>
        <w:t>保洁清运</w:t>
      </w:r>
      <w:r>
        <w:rPr>
          <w:rFonts w:hint="eastAsia" w:ascii="宋体" w:hAnsi="宋体" w:eastAsia="宋体" w:cs="宋体"/>
          <w:color w:val="auto"/>
          <w:kern w:val="0"/>
          <w:sz w:val="24"/>
        </w:rPr>
        <w:t>服务的，费用按原合同签订的月平均费用标准进行支付。</w:t>
      </w:r>
    </w:p>
    <w:p w14:paraId="0676F296">
      <w:pPr>
        <w:keepNext w:val="0"/>
        <w:keepLines w:val="0"/>
        <w:pageBreakBefore w:val="0"/>
        <w:widowControl w:val="0"/>
        <w:kinsoku/>
        <w:wordWrap/>
        <w:overflowPunct w:val="0"/>
        <w:topLinePunct w:val="0"/>
        <w:autoSpaceDE w:val="0"/>
        <w:autoSpaceDN w:val="0"/>
        <w:bidi w:val="0"/>
        <w:snapToGrid w:val="0"/>
        <w:spacing w:line="360" w:lineRule="auto"/>
        <w:ind w:left="0" w:leftChars="0" w:firstLine="480" w:firstLineChars="200"/>
        <w:jc w:val="left"/>
        <w:textAlignment w:val="baseline"/>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4.本项目中增减道路结算单价参照标底预算单价结合投标总价与预算总价比例同比例下浮。预算单价详见下表</w:t>
      </w:r>
    </w:p>
    <w:tbl>
      <w:tblPr>
        <w:tblStyle w:val="62"/>
        <w:tblW w:w="467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5"/>
        <w:gridCol w:w="1392"/>
        <w:gridCol w:w="1865"/>
        <w:gridCol w:w="1417"/>
        <w:gridCol w:w="2675"/>
      </w:tblGrid>
      <w:tr w14:paraId="08177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374" w:type="pct"/>
            <w:noWrap w:val="0"/>
            <w:vAlign w:val="center"/>
          </w:tcPr>
          <w:p w14:paraId="3BC2E80E">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rPr>
              <w:t>序号</w:t>
            </w:r>
          </w:p>
        </w:tc>
        <w:tc>
          <w:tcPr>
            <w:tcW w:w="876" w:type="pct"/>
            <w:noWrap w:val="0"/>
            <w:vAlign w:val="center"/>
          </w:tcPr>
          <w:p w14:paraId="3B889293">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rPr>
              <w:t>名称</w:t>
            </w:r>
          </w:p>
        </w:tc>
        <w:tc>
          <w:tcPr>
            <w:tcW w:w="1173" w:type="pct"/>
            <w:noWrap w:val="0"/>
            <w:vAlign w:val="center"/>
          </w:tcPr>
          <w:p w14:paraId="4A2ECC61">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rPr>
              <w:t>规格型号（或具体服务）</w:t>
            </w:r>
          </w:p>
        </w:tc>
        <w:tc>
          <w:tcPr>
            <w:tcW w:w="891" w:type="pct"/>
            <w:noWrap w:val="0"/>
            <w:vAlign w:val="center"/>
          </w:tcPr>
          <w:p w14:paraId="544C9472">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b/>
                <w:color w:val="auto"/>
                <w:spacing w:val="-20"/>
                <w:szCs w:val="21"/>
                <w:highlight w:val="none"/>
              </w:rPr>
            </w:pPr>
          </w:p>
          <w:p w14:paraId="7477B092">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rPr>
              <w:t>服务要求（年限）</w:t>
            </w:r>
          </w:p>
          <w:p w14:paraId="631DF14B">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b/>
                <w:color w:val="auto"/>
                <w:spacing w:val="-20"/>
                <w:szCs w:val="21"/>
                <w:highlight w:val="none"/>
              </w:rPr>
            </w:pPr>
          </w:p>
        </w:tc>
        <w:tc>
          <w:tcPr>
            <w:tcW w:w="1683" w:type="pct"/>
            <w:noWrap w:val="0"/>
            <w:vAlign w:val="center"/>
          </w:tcPr>
          <w:p w14:paraId="096D711F">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lang w:val="en-US" w:eastAsia="zh-CN"/>
              </w:rPr>
              <w:t>预算</w:t>
            </w:r>
            <w:r>
              <w:rPr>
                <w:rFonts w:hint="eastAsia" w:ascii="宋体" w:hAnsi="宋体" w:eastAsia="宋体" w:cs="宋体"/>
                <w:b/>
                <w:color w:val="auto"/>
                <w:spacing w:val="-20"/>
                <w:szCs w:val="21"/>
                <w:highlight w:val="none"/>
              </w:rPr>
              <w:t>单价</w:t>
            </w:r>
          </w:p>
        </w:tc>
      </w:tr>
      <w:tr w14:paraId="10F1E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374" w:type="pct"/>
            <w:noWrap w:val="0"/>
            <w:vAlign w:val="center"/>
          </w:tcPr>
          <w:p w14:paraId="63A89B65">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876" w:type="pct"/>
            <w:noWrap w:val="0"/>
            <w:vAlign w:val="center"/>
          </w:tcPr>
          <w:p w14:paraId="4AEF9002">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14小时保洁道路</w:t>
            </w:r>
          </w:p>
        </w:tc>
        <w:tc>
          <w:tcPr>
            <w:tcW w:w="1173" w:type="pct"/>
            <w:noWrap w:val="0"/>
            <w:vAlign w:val="center"/>
          </w:tcPr>
          <w:p w14:paraId="71685C20">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道路保洁</w:t>
            </w:r>
          </w:p>
        </w:tc>
        <w:tc>
          <w:tcPr>
            <w:tcW w:w="891" w:type="pct"/>
            <w:noWrap w:val="0"/>
            <w:vAlign w:val="center"/>
          </w:tcPr>
          <w:p w14:paraId="54F0C774">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年</w:t>
            </w:r>
          </w:p>
        </w:tc>
        <w:tc>
          <w:tcPr>
            <w:tcW w:w="1683" w:type="pct"/>
            <w:noWrap w:val="0"/>
            <w:vAlign w:val="center"/>
          </w:tcPr>
          <w:p w14:paraId="77072A6B">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13.169</w:t>
            </w:r>
            <w:r>
              <w:rPr>
                <w:rFonts w:hint="eastAsia" w:ascii="宋体" w:hAnsi="宋体" w:eastAsia="宋体" w:cs="宋体"/>
                <w:b/>
                <w:color w:val="auto"/>
                <w:spacing w:val="-20"/>
                <w:szCs w:val="21"/>
                <w:highlight w:val="none"/>
              </w:rPr>
              <w:t>元/平方米/年</w:t>
            </w:r>
          </w:p>
        </w:tc>
      </w:tr>
      <w:tr w14:paraId="2F40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374" w:type="pct"/>
            <w:noWrap w:val="0"/>
            <w:vAlign w:val="center"/>
          </w:tcPr>
          <w:p w14:paraId="465E5F0F">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876" w:type="pct"/>
            <w:noWrap w:val="0"/>
            <w:vAlign w:val="center"/>
          </w:tcPr>
          <w:p w14:paraId="72A7D0B1">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rPr>
              <w:t>小时保洁道路</w:t>
            </w:r>
          </w:p>
        </w:tc>
        <w:tc>
          <w:tcPr>
            <w:tcW w:w="1173" w:type="pct"/>
            <w:noWrap w:val="0"/>
            <w:vAlign w:val="center"/>
          </w:tcPr>
          <w:p w14:paraId="000E8D39">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道路保洁</w:t>
            </w:r>
          </w:p>
        </w:tc>
        <w:tc>
          <w:tcPr>
            <w:tcW w:w="891" w:type="pct"/>
            <w:noWrap w:val="0"/>
            <w:vAlign w:val="center"/>
          </w:tcPr>
          <w:p w14:paraId="0564250B">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年</w:t>
            </w:r>
          </w:p>
        </w:tc>
        <w:tc>
          <w:tcPr>
            <w:tcW w:w="1683" w:type="pct"/>
            <w:noWrap w:val="0"/>
            <w:vAlign w:val="center"/>
          </w:tcPr>
          <w:p w14:paraId="57198FA0">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7.107</w:t>
            </w:r>
            <w:r>
              <w:rPr>
                <w:rFonts w:hint="eastAsia" w:ascii="宋体" w:hAnsi="宋体" w:eastAsia="宋体" w:cs="宋体"/>
                <w:b/>
                <w:color w:val="auto"/>
                <w:spacing w:val="-20"/>
                <w:szCs w:val="21"/>
                <w:highlight w:val="none"/>
              </w:rPr>
              <w:t>元/平方米/年</w:t>
            </w:r>
          </w:p>
        </w:tc>
      </w:tr>
      <w:tr w14:paraId="785CC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374" w:type="pct"/>
            <w:noWrap w:val="0"/>
            <w:vAlign w:val="center"/>
          </w:tcPr>
          <w:p w14:paraId="6528EB04">
            <w:pPr>
              <w:keepNext w:val="0"/>
              <w:keepLines w:val="0"/>
              <w:pageBreakBefore w:val="0"/>
              <w:widowControl w:val="0"/>
              <w:kinsoku/>
              <w:wordWrap/>
              <w:overflowPunct/>
              <w:topLinePunct w:val="0"/>
              <w:autoSpaceDE/>
              <w:autoSpaceDN/>
              <w:bidi w:val="0"/>
              <w:adjustRightInd w:val="0"/>
              <w:snapToGrid/>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876" w:type="pct"/>
            <w:noWrap w:val="0"/>
            <w:vAlign w:val="center"/>
          </w:tcPr>
          <w:p w14:paraId="38C1D238">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快速保洁道路</w:t>
            </w:r>
          </w:p>
        </w:tc>
        <w:tc>
          <w:tcPr>
            <w:tcW w:w="1173" w:type="pct"/>
            <w:noWrap w:val="0"/>
            <w:vAlign w:val="center"/>
          </w:tcPr>
          <w:p w14:paraId="028FFB1A">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道路保洁</w:t>
            </w:r>
          </w:p>
        </w:tc>
        <w:tc>
          <w:tcPr>
            <w:tcW w:w="891" w:type="pct"/>
            <w:noWrap w:val="0"/>
            <w:vAlign w:val="center"/>
          </w:tcPr>
          <w:p w14:paraId="28D5DDBC">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年</w:t>
            </w:r>
          </w:p>
        </w:tc>
        <w:tc>
          <w:tcPr>
            <w:tcW w:w="1683" w:type="pct"/>
            <w:noWrap w:val="0"/>
            <w:vAlign w:val="center"/>
          </w:tcPr>
          <w:p w14:paraId="753EFB86">
            <w:pPr>
              <w:keepNext w:val="0"/>
              <w:keepLines w:val="0"/>
              <w:pageBreakBefore w:val="0"/>
              <w:widowControl w:val="0"/>
              <w:kinsoku/>
              <w:wordWrap/>
              <w:overflowPunct/>
              <w:topLinePunct w:val="0"/>
              <w:autoSpaceDE/>
              <w:autoSpaceDN/>
              <w:bidi w:val="0"/>
              <w:adjustRightInd w:val="0"/>
              <w:snapToGrid/>
              <w:spacing w:line="400" w:lineRule="exact"/>
              <w:jc w:val="center"/>
              <w:textAlignment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2.225</w:t>
            </w:r>
            <w:r>
              <w:rPr>
                <w:rFonts w:hint="eastAsia" w:ascii="宋体" w:hAnsi="宋体" w:eastAsia="宋体" w:cs="宋体"/>
                <w:b/>
                <w:color w:val="auto"/>
                <w:spacing w:val="-20"/>
                <w:szCs w:val="21"/>
                <w:highlight w:val="none"/>
              </w:rPr>
              <w:t>元/平方米/年</w:t>
            </w:r>
          </w:p>
        </w:tc>
      </w:tr>
    </w:tbl>
    <w:p w14:paraId="0FCEB26D">
      <w:pPr>
        <w:pStyle w:val="235"/>
        <w:keepNext w:val="0"/>
        <w:keepLines w:val="0"/>
        <w:pageBreakBefore w:val="0"/>
        <w:widowControl w:val="0"/>
        <w:kinsoku/>
        <w:wordWrap/>
        <w:topLinePunct w:val="0"/>
        <w:bidi w:val="0"/>
        <w:adjustRightInd w:val="0"/>
        <w:spacing w:line="360" w:lineRule="auto"/>
        <w:ind w:firstLine="480" w:firstLineChars="200"/>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注：本表格单价仅适用于本项目发生道路保洁范围变化时使用。提供清单面积仅供参考，投标单位按表格中起始位置至结束位置范围自行报价，结算时不因实际面积与清单面积不符而调整价款。相关风险由投标单位在报价中综合考虑。</w:t>
      </w:r>
    </w:p>
    <w:p w14:paraId="1CB96EB9">
      <w:pPr>
        <w:pStyle w:val="235"/>
        <w:keepNext w:val="0"/>
        <w:keepLines w:val="0"/>
        <w:pageBreakBefore w:val="0"/>
        <w:widowControl w:val="0"/>
        <w:kinsoku/>
        <w:wordWrap/>
        <w:topLinePunct w:val="0"/>
        <w:bidi w:val="0"/>
        <w:adjustRightInd w:val="0"/>
        <w:spacing w:line="360" w:lineRule="auto"/>
        <w:ind w:firstLine="480" w:firstLineChars="200"/>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5、本项目承包服务期为一年，自2024年8月01日至2025年7月31日。投标单位按照一年费用报价，因本服务为延续性服务，服务不能中断，所以2024年8月01日开始采购单位委托原服务供应商先提供延续服务，服务费按实结算，经采购单位确认后，由中标供应商支付给采购单位原服务供应商（计算方式为原合同日平均费用*原服务供应商本合同服务期内实际服务天数），新中标单位在交接后15个工作日内支付。企业垃圾处置费用每年约为240万元，由承包人直接与企业进行结算。结算标准依据青山湖街道制定的相关规定执行。若结算金额超过240万元，超出部分需上交给街道；若结算金额不足240万元，则由中标人自行承担相应的差额风险。原服务供应商收缴的本合同服务期内的企业垃圾处置费及清运费（扣除2024年8月1日至中标交接日止的费用）由原服务供应商与采购单位结算。合同期满，采购人根据相关企业垃圾处置费用凭证与中标单位进行结算。采购单位和中标单位本项目合同按照实际交接日期签订。</w:t>
      </w:r>
    </w:p>
    <w:p w14:paraId="4E034992">
      <w:pPr>
        <w:keepNext w:val="0"/>
        <w:keepLines w:val="0"/>
        <w:pageBreakBefore w:val="0"/>
        <w:widowControl w:val="0"/>
        <w:kinsoku/>
        <w:wordWrap/>
        <w:overflowPunct w:val="0"/>
        <w:topLinePunct w:val="0"/>
        <w:autoSpaceDE w:val="0"/>
        <w:autoSpaceDN w:val="0"/>
        <w:bidi w:val="0"/>
        <w:adjustRightInd w:val="0"/>
        <w:snapToGrid w:val="0"/>
        <w:spacing w:line="360" w:lineRule="auto"/>
        <w:jc w:val="left"/>
        <w:textAlignment w:val="baseline"/>
        <w:rPr>
          <w:rFonts w:hint="eastAsia" w:ascii="宋体" w:hAnsi="宋体" w:eastAsia="宋体" w:cs="宋体"/>
          <w:b/>
          <w:color w:val="auto"/>
          <w:kern w:val="0"/>
          <w:sz w:val="24"/>
        </w:rPr>
      </w:pPr>
      <w:r>
        <w:rPr>
          <w:rFonts w:hint="eastAsia" w:ascii="宋体" w:hAnsi="宋体" w:eastAsia="宋体" w:cs="宋体"/>
          <w:b/>
          <w:bCs/>
          <w:color w:val="auto"/>
          <w:kern w:val="0"/>
          <w:sz w:val="24"/>
        </w:rPr>
        <w:t>十</w:t>
      </w:r>
      <w:r>
        <w:rPr>
          <w:rFonts w:hint="eastAsia" w:ascii="宋体" w:hAnsi="宋体" w:eastAsia="宋体" w:cs="宋体"/>
          <w:b/>
          <w:bCs/>
          <w:color w:val="auto"/>
          <w:kern w:val="0"/>
          <w:sz w:val="24"/>
          <w:lang w:val="en-US" w:eastAsia="zh-CN"/>
        </w:rPr>
        <w:t>一</w:t>
      </w:r>
      <w:r>
        <w:rPr>
          <w:rFonts w:hint="eastAsia" w:ascii="宋体" w:hAnsi="宋体" w:eastAsia="宋体" w:cs="宋体"/>
          <w:b/>
          <w:bCs/>
          <w:color w:val="auto"/>
          <w:kern w:val="0"/>
          <w:sz w:val="24"/>
        </w:rPr>
        <w:t>、</w:t>
      </w:r>
      <w:r>
        <w:rPr>
          <w:rFonts w:hint="eastAsia" w:ascii="宋体" w:hAnsi="宋体" w:eastAsia="宋体" w:cs="宋体"/>
          <w:b/>
          <w:color w:val="auto"/>
          <w:kern w:val="0"/>
          <w:sz w:val="24"/>
        </w:rPr>
        <w:t>补充事项说明</w:t>
      </w:r>
    </w:p>
    <w:p w14:paraId="4D3148A7">
      <w:pPr>
        <w:keepNext w:val="0"/>
        <w:keepLines w:val="0"/>
        <w:pageBreakBefore w:val="0"/>
        <w:widowControl w:val="0"/>
        <w:kinsoku/>
        <w:wordWrap/>
        <w:overflowPunct w:val="0"/>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1、为提升作业队伍形象，作业人员服装（含帽子）必须按照采购人所指定款式、面料进行采购，费用由中标单位列支。如未落实此项要求的，采购人将按项目类预算标准，从划拔的保洁费中扣除。</w:t>
      </w:r>
    </w:p>
    <w:p w14:paraId="1590387B">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2、中标人不得以任何形式对本项目进行分包或转包，否则视为违约，并将中标人不良情况通报行业主管部门。</w:t>
      </w:r>
    </w:p>
    <w:p w14:paraId="3B7CAF15">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3、中标人必须接收录用原有保洁人员，且在3个月内不得无故辞退，但除下列情况例外：违反劳动纪律，工作质量差，体弱多病不适合从事岗位工作，不服从工作安排等原因，否则视为违约。</w:t>
      </w:r>
    </w:p>
    <w:p w14:paraId="249254C4">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4、根据本项目保洁工作移交时间节点，中标人必须按投标文件中所明确的车辆等机械设备为采购人提供服务，由采购人进行现场验收与审核，中标人如不能在约定的时间节点提供投标文件中相符的车辆等机械设备及各类凭证（提供车辆行驶证，购置发票复印件）的视为违约。</w:t>
      </w:r>
    </w:p>
    <w:p w14:paraId="1B56B2AB">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5、在合同履行期间，因中标人保洁服务质量不到位，管理不善等其他原因而引发问题，造成严重的负面影响，给采购人的正常工作与形象等造成不良后果的，采购人可单方面可终止合同。</w:t>
      </w:r>
    </w:p>
    <w:p w14:paraId="706027B4">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2" w:firstLineChars="200"/>
        <w:jc w:val="left"/>
        <w:textAlignment w:val="baseline"/>
        <w:rPr>
          <w:rFonts w:hint="eastAsia" w:ascii="宋体" w:hAnsi="宋体" w:eastAsia="宋体" w:cs="宋体"/>
          <w:b/>
          <w:bCs/>
          <w:color w:val="auto"/>
          <w:kern w:val="0"/>
          <w:sz w:val="24"/>
        </w:rPr>
      </w:pPr>
      <w:r>
        <w:rPr>
          <w:rFonts w:hint="eastAsia" w:ascii="宋体" w:hAnsi="宋体" w:eastAsia="宋体" w:cs="宋体"/>
          <w:b/>
          <w:bCs/>
          <w:color w:val="auto"/>
          <w:kern w:val="0"/>
          <w:sz w:val="24"/>
        </w:rPr>
        <w:t>6、中标人在合同履行期间，在各类检查、考核、各类迎检、重要活动保障等工作中，存在保洁服务质量不符合相应的标准，对整改措施落实不到位，</w:t>
      </w:r>
      <w:r>
        <w:rPr>
          <w:rFonts w:hint="eastAsia" w:ascii="宋体" w:hAnsi="宋体" w:eastAsia="宋体" w:cs="宋体"/>
          <w:b/>
          <w:bCs/>
          <w:color w:val="auto"/>
          <w:kern w:val="0"/>
          <w:sz w:val="24"/>
          <w:lang w:val="en-US" w:eastAsia="zh-CN"/>
        </w:rPr>
        <w:t>考核</w:t>
      </w:r>
      <w:r>
        <w:rPr>
          <w:rFonts w:hint="eastAsia" w:ascii="宋体" w:hAnsi="宋体" w:eastAsia="宋体" w:cs="宋体"/>
          <w:b/>
          <w:bCs/>
          <w:color w:val="auto"/>
          <w:kern w:val="0"/>
          <w:sz w:val="24"/>
        </w:rPr>
        <w:t>成绩较差（连续三个月），经采购人综合测评认为中标人已不能履行合同约定的内容，采购人可单方面终止合同。</w:t>
      </w:r>
    </w:p>
    <w:p w14:paraId="525B8CF7">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7、中标人在合同履行期间，存在未能按投标书明确的要求，有效落实人员与车辆等服务承诺的，采购人要求期限期整改而不落实、不到位的，或者对采购人的检查与考核进行推诿不配合的，采购人视情节，可对中标人进行抄告、约谈、扣罚，情节严重的可终止合同。</w:t>
      </w:r>
    </w:p>
    <w:p w14:paraId="3779C29A">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8、在其他方面，因中标人单方原因，造成不良后果，采购人认为已不适合继续履行合同的，可单方面终止合同。</w:t>
      </w:r>
    </w:p>
    <w:p w14:paraId="59E182A0">
      <w:pPr>
        <w:keepNext w:val="0"/>
        <w:keepLines w:val="0"/>
        <w:pageBreakBefore w:val="0"/>
        <w:widowControl w:val="0"/>
        <w:kinsoku/>
        <w:wordWrap/>
        <w:overflowPunct w:val="0"/>
        <w:topLinePunct w:val="0"/>
        <w:autoSpaceDE w:val="0"/>
        <w:autoSpaceDN w:val="0"/>
        <w:bidi w:val="0"/>
        <w:adjustRightInd w:val="0"/>
        <w:snapToGrid w:val="0"/>
        <w:spacing w:line="360" w:lineRule="auto"/>
        <w:ind w:left="0" w:leftChars="0" w:firstLine="480" w:firstLineChars="200"/>
        <w:jc w:val="left"/>
        <w:textAlignment w:val="baseline"/>
        <w:rPr>
          <w:rFonts w:hint="eastAsia" w:ascii="宋体" w:hAnsi="宋体" w:eastAsia="宋体" w:cs="宋体"/>
          <w:color w:val="auto"/>
          <w:lang w:val="en-US" w:eastAsia="zh-CN"/>
        </w:rPr>
      </w:pPr>
      <w:r>
        <w:rPr>
          <w:rFonts w:hint="eastAsia" w:ascii="宋体" w:hAnsi="宋体" w:eastAsia="宋体" w:cs="宋体"/>
          <w:color w:val="auto"/>
          <w:kern w:val="0"/>
          <w:sz w:val="24"/>
          <w:lang w:val="en-US" w:eastAsia="zh-CN"/>
        </w:rPr>
        <w:t>9、本项目中标单位需在中标公示结束后2天内与采购人进行交接。</w:t>
      </w:r>
    </w:p>
    <w:p w14:paraId="26042BEF">
      <w:pPr>
        <w:keepNext w:val="0"/>
        <w:keepLines w:val="0"/>
        <w:pageBreakBefore w:val="0"/>
        <w:widowControl w:val="0"/>
        <w:kinsoku/>
        <w:wordWrap/>
        <w:topLinePunct w:val="0"/>
        <w:bidi w:val="0"/>
        <w:adjustRightInd w:val="0"/>
        <w:spacing w:line="360" w:lineRule="auto"/>
        <w:ind w:left="0" w:leftChars="0" w:firstLine="482" w:firstLineChars="200"/>
        <w:rPr>
          <w:rFonts w:hint="eastAsia" w:ascii="宋体" w:hAnsi="宋体" w:eastAsia="宋体" w:cs="宋体"/>
          <w:bCs/>
          <w:color w:val="auto"/>
          <w:sz w:val="24"/>
          <w:szCs w:val="24"/>
          <w:highlight w:val="none"/>
        </w:rPr>
      </w:pPr>
      <w:r>
        <w:rPr>
          <w:rFonts w:hint="eastAsia" w:ascii="宋体" w:hAnsi="宋体" w:eastAsia="宋体" w:cs="宋体"/>
          <w:b/>
          <w:bCs/>
          <w:color w:val="auto"/>
          <w:sz w:val="24"/>
        </w:rPr>
        <w:t>“▲”系指实质性要求条款，投标文件未满足采购文件实质性条款将作无效标处理。</w:t>
      </w:r>
    </w:p>
    <w:p w14:paraId="09133B45">
      <w:pPr>
        <w:spacing w:line="360" w:lineRule="auto"/>
        <w:ind w:firstLine="181" w:firstLineChars="50"/>
        <w:rPr>
          <w:rFonts w:ascii="宋体" w:hAnsi="宋体" w:cs="宋体"/>
          <w:b/>
          <w:color w:val="auto"/>
          <w:sz w:val="36"/>
          <w:szCs w:val="36"/>
          <w:highlight w:val="none"/>
        </w:rPr>
      </w:pPr>
    </w:p>
    <w:p w14:paraId="16A70E79">
      <w:pPr>
        <w:spacing w:line="360" w:lineRule="auto"/>
        <w:rPr>
          <w:rFonts w:ascii="宋体" w:hAnsi="宋体" w:cs="宋体"/>
          <w:color w:val="auto"/>
          <w:sz w:val="24"/>
          <w:highlight w:val="none"/>
        </w:rPr>
      </w:pPr>
    </w:p>
    <w:p w14:paraId="78FEAA71">
      <w:pPr>
        <w:widowControl/>
        <w:ind w:firstLine="720" w:firstLineChars="300"/>
        <w:jc w:val="left"/>
        <w:rPr>
          <w:rFonts w:ascii="宋体" w:hAnsi="宋体" w:cs="宋体"/>
          <w:bCs/>
          <w:color w:val="auto"/>
          <w:sz w:val="24"/>
          <w:highlight w:val="none"/>
        </w:rPr>
      </w:pPr>
    </w:p>
    <w:p w14:paraId="6D636660">
      <w:pPr>
        <w:rPr>
          <w:rFonts w:ascii="宋体" w:hAnsi="宋体" w:cs="宋体"/>
          <w:snapToGrid w:val="0"/>
          <w:color w:val="auto"/>
          <w:kern w:val="0"/>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08072"/>
      <w:bookmarkEnd w:id="28"/>
      <w:bookmarkStart w:id="29" w:name="_Toc184308087"/>
      <w:bookmarkEnd w:id="29"/>
      <w:bookmarkStart w:id="30" w:name="_Toc184308046"/>
      <w:bookmarkEnd w:id="30"/>
      <w:bookmarkStart w:id="31" w:name="_Toc184314445"/>
      <w:bookmarkEnd w:id="31"/>
      <w:bookmarkStart w:id="32" w:name="_Toc184314434"/>
      <w:bookmarkEnd w:id="32"/>
      <w:bookmarkStart w:id="33" w:name="_Toc184314478"/>
      <w:bookmarkEnd w:id="33"/>
      <w:bookmarkStart w:id="34" w:name="_Toc184308078"/>
      <w:bookmarkEnd w:id="34"/>
      <w:bookmarkStart w:id="35" w:name="_Toc184310275"/>
      <w:bookmarkEnd w:id="35"/>
      <w:bookmarkStart w:id="36" w:name="_Toc184310281"/>
      <w:bookmarkEnd w:id="36"/>
      <w:bookmarkStart w:id="37" w:name="_Toc184308045"/>
      <w:bookmarkEnd w:id="37"/>
      <w:bookmarkStart w:id="38" w:name="_Toc184312084"/>
      <w:bookmarkEnd w:id="38"/>
      <w:bookmarkStart w:id="39" w:name="_Toc184310313"/>
      <w:bookmarkEnd w:id="39"/>
      <w:bookmarkStart w:id="40" w:name="_Toc184310306"/>
      <w:bookmarkEnd w:id="40"/>
      <w:bookmarkStart w:id="41" w:name="_Toc184312137"/>
      <w:bookmarkEnd w:id="41"/>
      <w:bookmarkStart w:id="42" w:name="_Toc184314417"/>
      <w:bookmarkEnd w:id="42"/>
      <w:bookmarkStart w:id="43" w:name="_Toc184310310"/>
      <w:bookmarkEnd w:id="43"/>
      <w:bookmarkStart w:id="44" w:name="_Toc184308080"/>
      <w:bookmarkEnd w:id="44"/>
      <w:bookmarkStart w:id="45" w:name="_Toc184313299"/>
      <w:bookmarkEnd w:id="45"/>
      <w:bookmarkStart w:id="46" w:name="_Toc184313262"/>
      <w:bookmarkEnd w:id="46"/>
      <w:bookmarkStart w:id="47" w:name="_Toc184310329"/>
      <w:bookmarkEnd w:id="47"/>
      <w:bookmarkStart w:id="48" w:name="_Toc184314463"/>
      <w:bookmarkEnd w:id="48"/>
      <w:bookmarkStart w:id="49" w:name="_Toc184314440"/>
      <w:bookmarkEnd w:id="49"/>
      <w:bookmarkStart w:id="50" w:name="_Toc184314480"/>
      <w:bookmarkEnd w:id="50"/>
      <w:bookmarkStart w:id="51" w:name="_Toc184310311"/>
      <w:bookmarkEnd w:id="51"/>
      <w:bookmarkStart w:id="52" w:name="_Toc184313251"/>
      <w:bookmarkEnd w:id="52"/>
      <w:bookmarkStart w:id="53" w:name="_Toc184313245"/>
      <w:bookmarkEnd w:id="53"/>
      <w:bookmarkStart w:id="54" w:name="_Toc184314452"/>
      <w:bookmarkEnd w:id="54"/>
      <w:bookmarkStart w:id="55" w:name="_Toc184312114"/>
      <w:bookmarkEnd w:id="55"/>
      <w:bookmarkStart w:id="56" w:name="_Toc184313249"/>
      <w:bookmarkEnd w:id="56"/>
      <w:bookmarkStart w:id="57" w:name="_Toc184312109"/>
      <w:bookmarkEnd w:id="57"/>
      <w:bookmarkStart w:id="58" w:name="_Toc184313239"/>
      <w:bookmarkEnd w:id="58"/>
      <w:bookmarkStart w:id="59" w:name="_Toc184310294"/>
      <w:bookmarkEnd w:id="59"/>
      <w:bookmarkStart w:id="60" w:name="_Toc184313293"/>
      <w:bookmarkEnd w:id="60"/>
      <w:bookmarkStart w:id="61" w:name="_Toc184312104"/>
      <w:bookmarkEnd w:id="61"/>
      <w:bookmarkStart w:id="62" w:name="_Toc184312072"/>
      <w:bookmarkEnd w:id="62"/>
      <w:bookmarkStart w:id="63" w:name="_Toc184314424"/>
      <w:bookmarkEnd w:id="63"/>
      <w:bookmarkStart w:id="64" w:name="_Toc184312105"/>
      <w:bookmarkEnd w:id="64"/>
      <w:bookmarkStart w:id="65" w:name="_Toc184308054"/>
      <w:bookmarkEnd w:id="65"/>
      <w:bookmarkStart w:id="66" w:name="_Toc184310272"/>
      <w:bookmarkEnd w:id="66"/>
      <w:bookmarkStart w:id="67" w:name="_Toc184312107"/>
      <w:bookmarkEnd w:id="67"/>
      <w:bookmarkStart w:id="68" w:name="_Toc184308102"/>
      <w:bookmarkEnd w:id="68"/>
      <w:bookmarkStart w:id="69" w:name="_Toc184308077"/>
      <w:bookmarkEnd w:id="69"/>
      <w:bookmarkStart w:id="70" w:name="_Toc184310322"/>
      <w:bookmarkEnd w:id="70"/>
      <w:bookmarkStart w:id="71" w:name="_Toc184314420"/>
      <w:bookmarkEnd w:id="71"/>
      <w:bookmarkStart w:id="72" w:name="_Toc184313270"/>
      <w:bookmarkEnd w:id="72"/>
      <w:bookmarkStart w:id="73" w:name="_Toc184314481"/>
      <w:bookmarkEnd w:id="73"/>
      <w:bookmarkStart w:id="74" w:name="_Toc184313300"/>
      <w:bookmarkEnd w:id="74"/>
      <w:bookmarkStart w:id="75" w:name="_Toc184308067"/>
      <w:bookmarkEnd w:id="75"/>
      <w:bookmarkStart w:id="76" w:name="_Toc184308044"/>
      <w:bookmarkEnd w:id="76"/>
      <w:bookmarkStart w:id="77" w:name="_Toc184314467"/>
      <w:bookmarkEnd w:id="77"/>
      <w:bookmarkStart w:id="78" w:name="_Toc184313266"/>
      <w:bookmarkEnd w:id="78"/>
      <w:bookmarkStart w:id="79" w:name="_Toc184308075"/>
      <w:bookmarkEnd w:id="79"/>
      <w:bookmarkStart w:id="80" w:name="_Toc184312078"/>
      <w:bookmarkEnd w:id="80"/>
      <w:bookmarkStart w:id="81" w:name="_Toc184312095"/>
      <w:bookmarkEnd w:id="81"/>
      <w:bookmarkStart w:id="82" w:name="_Toc184310284"/>
      <w:bookmarkEnd w:id="82"/>
      <w:bookmarkStart w:id="83" w:name="_Toc184312067"/>
      <w:bookmarkEnd w:id="83"/>
      <w:bookmarkStart w:id="84" w:name="_Toc184308081"/>
      <w:bookmarkEnd w:id="84"/>
      <w:bookmarkStart w:id="85" w:name="_Toc184313290"/>
      <w:bookmarkEnd w:id="85"/>
      <w:bookmarkStart w:id="86" w:name="_Toc184312093"/>
      <w:bookmarkEnd w:id="86"/>
      <w:bookmarkStart w:id="87" w:name="_Toc184313272"/>
      <w:bookmarkEnd w:id="87"/>
      <w:bookmarkStart w:id="88" w:name="_Toc184310307"/>
      <w:bookmarkEnd w:id="88"/>
      <w:bookmarkStart w:id="89" w:name="_Toc184313259"/>
      <w:bookmarkEnd w:id="89"/>
      <w:bookmarkStart w:id="90" w:name="_Toc184310308"/>
      <w:bookmarkEnd w:id="90"/>
      <w:bookmarkStart w:id="91" w:name="_Toc184314447"/>
      <w:bookmarkEnd w:id="91"/>
      <w:bookmarkStart w:id="92" w:name="_Toc184313296"/>
      <w:bookmarkEnd w:id="92"/>
      <w:bookmarkStart w:id="93" w:name="_Toc184312129"/>
      <w:bookmarkEnd w:id="93"/>
      <w:bookmarkStart w:id="94" w:name="_Toc184310334"/>
      <w:bookmarkEnd w:id="94"/>
      <w:bookmarkStart w:id="95" w:name="_Toc184312082"/>
      <w:bookmarkEnd w:id="95"/>
      <w:bookmarkStart w:id="96" w:name="_Toc184308084"/>
      <w:bookmarkEnd w:id="96"/>
      <w:bookmarkStart w:id="97" w:name="_Toc184310330"/>
      <w:bookmarkEnd w:id="97"/>
      <w:bookmarkStart w:id="98" w:name="_Toc184310274"/>
      <w:bookmarkEnd w:id="98"/>
      <w:bookmarkStart w:id="99" w:name="_Toc184313264"/>
      <w:bookmarkEnd w:id="99"/>
      <w:bookmarkStart w:id="100" w:name="_Toc184313281"/>
      <w:bookmarkEnd w:id="100"/>
      <w:bookmarkStart w:id="101" w:name="_Toc184312091"/>
      <w:bookmarkEnd w:id="101"/>
      <w:bookmarkStart w:id="102" w:name="_Toc184313305"/>
      <w:bookmarkEnd w:id="102"/>
      <w:bookmarkStart w:id="103" w:name="_Toc184310287"/>
      <w:bookmarkEnd w:id="103"/>
      <w:bookmarkStart w:id="104" w:name="_Toc184313238"/>
      <w:bookmarkEnd w:id="104"/>
      <w:bookmarkStart w:id="105" w:name="_Toc184314437"/>
      <w:bookmarkEnd w:id="105"/>
      <w:bookmarkStart w:id="106" w:name="_Toc184310319"/>
      <w:bookmarkEnd w:id="106"/>
      <w:bookmarkStart w:id="107" w:name="_Toc184312079"/>
      <w:bookmarkEnd w:id="107"/>
      <w:bookmarkStart w:id="108" w:name="_Toc184313250"/>
      <w:bookmarkEnd w:id="108"/>
      <w:bookmarkStart w:id="109" w:name="_Toc184310296"/>
      <w:bookmarkEnd w:id="109"/>
      <w:bookmarkStart w:id="110" w:name="_Toc184313256"/>
      <w:bookmarkEnd w:id="110"/>
      <w:bookmarkStart w:id="111" w:name="_Toc184312097"/>
      <w:bookmarkEnd w:id="111"/>
      <w:bookmarkStart w:id="112" w:name="_Toc184313273"/>
      <w:bookmarkEnd w:id="112"/>
      <w:bookmarkStart w:id="113" w:name="_Toc184308095"/>
      <w:bookmarkEnd w:id="113"/>
      <w:bookmarkStart w:id="114" w:name="_Toc184313309"/>
      <w:bookmarkEnd w:id="114"/>
      <w:bookmarkStart w:id="115" w:name="_Toc184314459"/>
      <w:bookmarkEnd w:id="115"/>
      <w:bookmarkStart w:id="116" w:name="_Toc184308053"/>
      <w:bookmarkEnd w:id="116"/>
      <w:bookmarkStart w:id="117" w:name="_Toc184312075"/>
      <w:bookmarkEnd w:id="117"/>
      <w:bookmarkStart w:id="118" w:name="_Toc184314415"/>
      <w:bookmarkEnd w:id="118"/>
      <w:bookmarkStart w:id="119" w:name="_Toc184310326"/>
      <w:bookmarkEnd w:id="119"/>
      <w:bookmarkStart w:id="120" w:name="_Toc184314422"/>
      <w:bookmarkEnd w:id="120"/>
      <w:bookmarkStart w:id="121" w:name="_Toc184312115"/>
      <w:bookmarkEnd w:id="121"/>
      <w:bookmarkStart w:id="122" w:name="_Toc184310278"/>
      <w:bookmarkEnd w:id="122"/>
      <w:bookmarkStart w:id="123" w:name="_Toc184313265"/>
      <w:bookmarkEnd w:id="123"/>
      <w:bookmarkStart w:id="124" w:name="_Toc184314453"/>
      <w:bookmarkEnd w:id="124"/>
      <w:bookmarkStart w:id="125" w:name="_Toc184312081"/>
      <w:bookmarkEnd w:id="125"/>
      <w:bookmarkStart w:id="126" w:name="_Toc184312103"/>
      <w:bookmarkEnd w:id="126"/>
      <w:bookmarkStart w:id="127" w:name="_Toc184310343"/>
      <w:bookmarkEnd w:id="127"/>
      <w:bookmarkStart w:id="128" w:name="_Toc184308039"/>
      <w:bookmarkEnd w:id="128"/>
      <w:bookmarkStart w:id="129" w:name="_Toc184313284"/>
      <w:bookmarkEnd w:id="129"/>
      <w:bookmarkStart w:id="130" w:name="_Toc184312126"/>
      <w:bookmarkEnd w:id="130"/>
      <w:bookmarkStart w:id="131" w:name="_Toc184313276"/>
      <w:bookmarkEnd w:id="131"/>
      <w:bookmarkStart w:id="132" w:name="_Toc184313269"/>
      <w:bookmarkEnd w:id="132"/>
      <w:bookmarkStart w:id="133" w:name="_Toc184312110"/>
      <w:bookmarkEnd w:id="133"/>
      <w:bookmarkStart w:id="134" w:name="_Toc184310324"/>
      <w:bookmarkEnd w:id="134"/>
      <w:bookmarkStart w:id="135" w:name="_Toc184308098"/>
      <w:bookmarkEnd w:id="135"/>
      <w:bookmarkStart w:id="136" w:name="_Toc184312083"/>
      <w:bookmarkEnd w:id="136"/>
      <w:bookmarkStart w:id="137" w:name="_Toc184314455"/>
      <w:bookmarkEnd w:id="137"/>
      <w:bookmarkStart w:id="138" w:name="_Toc184312138"/>
      <w:bookmarkEnd w:id="138"/>
      <w:bookmarkStart w:id="139" w:name="_Toc184313274"/>
      <w:bookmarkEnd w:id="139"/>
      <w:bookmarkStart w:id="140" w:name="_Toc184308094"/>
      <w:bookmarkEnd w:id="140"/>
      <w:bookmarkStart w:id="141" w:name="_Toc184310315"/>
      <w:bookmarkEnd w:id="141"/>
      <w:bookmarkStart w:id="142" w:name="_Toc184308040"/>
      <w:bookmarkEnd w:id="142"/>
      <w:bookmarkStart w:id="143" w:name="_Toc184310282"/>
      <w:bookmarkEnd w:id="143"/>
      <w:bookmarkStart w:id="144" w:name="_Toc184308092"/>
      <w:bookmarkEnd w:id="144"/>
      <w:bookmarkStart w:id="145" w:name="_Toc184312069"/>
      <w:bookmarkEnd w:id="145"/>
      <w:bookmarkStart w:id="146" w:name="_Toc184312076"/>
      <w:bookmarkEnd w:id="146"/>
      <w:bookmarkStart w:id="147" w:name="_Toc184310286"/>
      <w:bookmarkEnd w:id="147"/>
      <w:bookmarkStart w:id="148" w:name="_Toc184312113"/>
      <w:bookmarkEnd w:id="148"/>
      <w:bookmarkStart w:id="149" w:name="_Toc184313303"/>
      <w:bookmarkEnd w:id="149"/>
      <w:bookmarkStart w:id="150" w:name="_Toc184314474"/>
      <w:bookmarkEnd w:id="150"/>
      <w:bookmarkStart w:id="151" w:name="_Toc184310320"/>
      <w:bookmarkEnd w:id="151"/>
      <w:bookmarkStart w:id="152" w:name="_Toc184312096"/>
      <w:bookmarkEnd w:id="152"/>
      <w:bookmarkStart w:id="153" w:name="_Toc184314446"/>
      <w:bookmarkEnd w:id="153"/>
      <w:bookmarkStart w:id="154" w:name="_Toc184313279"/>
      <w:bookmarkEnd w:id="154"/>
      <w:bookmarkStart w:id="155" w:name="_Toc184313242"/>
      <w:bookmarkEnd w:id="155"/>
      <w:bookmarkStart w:id="156" w:name="_Toc184308082"/>
      <w:bookmarkEnd w:id="156"/>
      <w:bookmarkStart w:id="157" w:name="_Toc184314462"/>
      <w:bookmarkEnd w:id="157"/>
      <w:bookmarkStart w:id="158" w:name="_Toc184314482"/>
      <w:bookmarkEnd w:id="158"/>
      <w:bookmarkStart w:id="159" w:name="_Toc184314476"/>
      <w:bookmarkEnd w:id="159"/>
      <w:bookmarkStart w:id="160" w:name="_Toc184312094"/>
      <w:bookmarkEnd w:id="160"/>
      <w:bookmarkStart w:id="161" w:name="_Toc184308061"/>
      <w:bookmarkEnd w:id="161"/>
      <w:bookmarkStart w:id="162" w:name="_Toc184314425"/>
      <w:bookmarkEnd w:id="162"/>
      <w:bookmarkStart w:id="163" w:name="_Toc184312070"/>
      <w:bookmarkEnd w:id="163"/>
      <w:bookmarkStart w:id="164" w:name="_Toc184312074"/>
      <w:bookmarkEnd w:id="164"/>
      <w:bookmarkStart w:id="165" w:name="_Toc184310309"/>
      <w:bookmarkEnd w:id="165"/>
      <w:bookmarkStart w:id="166" w:name="_Toc184313295"/>
      <w:bookmarkEnd w:id="166"/>
      <w:bookmarkStart w:id="167" w:name="_Toc184308086"/>
      <w:bookmarkEnd w:id="167"/>
      <w:bookmarkStart w:id="168" w:name="_Toc184310288"/>
      <w:bookmarkEnd w:id="168"/>
      <w:bookmarkStart w:id="169" w:name="_Toc184310321"/>
      <w:bookmarkEnd w:id="169"/>
      <w:bookmarkStart w:id="170" w:name="_Toc184314429"/>
      <w:bookmarkEnd w:id="170"/>
      <w:bookmarkStart w:id="171" w:name="_Toc184313288"/>
      <w:bookmarkEnd w:id="171"/>
      <w:bookmarkStart w:id="172" w:name="_Toc184308097"/>
      <w:bookmarkEnd w:id="172"/>
      <w:bookmarkStart w:id="173" w:name="_Toc184313244"/>
      <w:bookmarkEnd w:id="173"/>
      <w:bookmarkStart w:id="174" w:name="_Toc184308085"/>
      <w:bookmarkEnd w:id="174"/>
      <w:bookmarkStart w:id="175" w:name="_Toc184314419"/>
      <w:bookmarkEnd w:id="175"/>
      <w:bookmarkStart w:id="176" w:name="_Toc184312086"/>
      <w:bookmarkEnd w:id="176"/>
      <w:bookmarkStart w:id="177" w:name="_Toc184314427"/>
      <w:bookmarkEnd w:id="177"/>
      <w:bookmarkStart w:id="178" w:name="_Toc184310292"/>
      <w:bookmarkEnd w:id="178"/>
      <w:bookmarkStart w:id="179" w:name="_Toc184314439"/>
      <w:bookmarkEnd w:id="179"/>
      <w:bookmarkStart w:id="180" w:name="_Toc184308088"/>
      <w:bookmarkEnd w:id="180"/>
      <w:bookmarkStart w:id="181" w:name="_Toc184310293"/>
      <w:bookmarkEnd w:id="181"/>
      <w:bookmarkStart w:id="182" w:name="_Toc184312112"/>
      <w:bookmarkEnd w:id="182"/>
      <w:bookmarkStart w:id="183" w:name="_Toc184312127"/>
      <w:bookmarkEnd w:id="183"/>
      <w:bookmarkStart w:id="184" w:name="_Toc184312118"/>
      <w:bookmarkEnd w:id="184"/>
      <w:bookmarkStart w:id="185" w:name="_Toc184308058"/>
      <w:bookmarkEnd w:id="185"/>
      <w:bookmarkStart w:id="186" w:name="_Toc184310290"/>
      <w:bookmarkEnd w:id="186"/>
      <w:bookmarkStart w:id="187" w:name="_Toc184308036"/>
      <w:bookmarkEnd w:id="187"/>
      <w:bookmarkStart w:id="188" w:name="_Toc184313246"/>
      <w:bookmarkEnd w:id="188"/>
      <w:bookmarkStart w:id="189" w:name="_Toc184308101"/>
      <w:bookmarkEnd w:id="189"/>
      <w:bookmarkStart w:id="190" w:name="_Toc184312120"/>
      <w:bookmarkEnd w:id="190"/>
      <w:bookmarkStart w:id="191" w:name="_Toc184314471"/>
      <w:bookmarkEnd w:id="191"/>
      <w:bookmarkStart w:id="192" w:name="_Toc184312134"/>
      <w:bookmarkEnd w:id="192"/>
      <w:bookmarkStart w:id="193" w:name="_Toc184308070"/>
      <w:bookmarkEnd w:id="193"/>
      <w:bookmarkStart w:id="194" w:name="_Toc184314433"/>
      <w:bookmarkEnd w:id="194"/>
      <w:bookmarkStart w:id="195" w:name="_Toc184314428"/>
      <w:bookmarkEnd w:id="195"/>
      <w:bookmarkStart w:id="196" w:name="_Toc184314426"/>
      <w:bookmarkEnd w:id="196"/>
      <w:bookmarkStart w:id="197" w:name="_Toc184313287"/>
      <w:bookmarkEnd w:id="197"/>
      <w:bookmarkStart w:id="198" w:name="_Toc184308048"/>
      <w:bookmarkEnd w:id="198"/>
      <w:bookmarkStart w:id="199" w:name="_Toc184314442"/>
      <w:bookmarkEnd w:id="199"/>
      <w:bookmarkStart w:id="200" w:name="_Toc184308068"/>
      <w:bookmarkEnd w:id="200"/>
      <w:bookmarkStart w:id="201" w:name="_Toc184308059"/>
      <w:bookmarkEnd w:id="201"/>
      <w:bookmarkStart w:id="202" w:name="_Toc184314444"/>
      <w:bookmarkEnd w:id="202"/>
      <w:bookmarkStart w:id="203" w:name="_Toc184310331"/>
      <w:bookmarkEnd w:id="203"/>
      <w:bookmarkStart w:id="204" w:name="_Toc184310335"/>
      <w:bookmarkEnd w:id="204"/>
      <w:bookmarkStart w:id="205" w:name="_Toc184312119"/>
      <w:bookmarkEnd w:id="205"/>
      <w:bookmarkStart w:id="206" w:name="_Toc184313271"/>
      <w:bookmarkEnd w:id="206"/>
      <w:bookmarkStart w:id="207" w:name="_Toc184314458"/>
      <w:bookmarkEnd w:id="207"/>
      <w:bookmarkStart w:id="208" w:name="_Toc184314443"/>
      <w:bookmarkEnd w:id="208"/>
      <w:bookmarkStart w:id="209" w:name="_Toc184312136"/>
      <w:bookmarkEnd w:id="209"/>
      <w:bookmarkStart w:id="210" w:name="_Toc184313260"/>
      <w:bookmarkEnd w:id="210"/>
      <w:bookmarkStart w:id="211" w:name="_Toc184310341"/>
      <w:bookmarkEnd w:id="211"/>
      <w:bookmarkStart w:id="212" w:name="_Toc184313301"/>
      <w:bookmarkEnd w:id="212"/>
      <w:bookmarkStart w:id="213" w:name="_Toc184308103"/>
      <w:bookmarkEnd w:id="213"/>
      <w:bookmarkStart w:id="214" w:name="_Toc184308108"/>
      <w:bookmarkEnd w:id="214"/>
      <w:bookmarkStart w:id="215" w:name="_Toc184313291"/>
      <w:bookmarkEnd w:id="215"/>
      <w:bookmarkStart w:id="216" w:name="_Toc184314468"/>
      <w:bookmarkEnd w:id="216"/>
      <w:bookmarkStart w:id="217" w:name="_Toc184312088"/>
      <w:bookmarkEnd w:id="217"/>
      <w:bookmarkStart w:id="218" w:name="_Toc184310295"/>
      <w:bookmarkEnd w:id="218"/>
      <w:bookmarkStart w:id="219" w:name="_Toc184310273"/>
      <w:bookmarkEnd w:id="219"/>
      <w:bookmarkStart w:id="220" w:name="_Toc184310323"/>
      <w:bookmarkEnd w:id="220"/>
      <w:bookmarkStart w:id="221" w:name="_Toc184310312"/>
      <w:bookmarkEnd w:id="221"/>
      <w:bookmarkStart w:id="222" w:name="_Toc184312101"/>
      <w:bookmarkEnd w:id="222"/>
      <w:bookmarkStart w:id="223" w:name="_Toc184314457"/>
      <w:bookmarkEnd w:id="223"/>
      <w:bookmarkStart w:id="224" w:name="_Toc184313294"/>
      <w:bookmarkEnd w:id="224"/>
      <w:bookmarkStart w:id="225" w:name="_Toc184308076"/>
      <w:bookmarkEnd w:id="225"/>
      <w:bookmarkStart w:id="226" w:name="_Toc184314423"/>
      <w:bookmarkEnd w:id="226"/>
      <w:bookmarkStart w:id="227" w:name="_Toc184313263"/>
      <w:bookmarkEnd w:id="227"/>
      <w:bookmarkStart w:id="228" w:name="_Toc184314469"/>
      <w:bookmarkEnd w:id="228"/>
      <w:bookmarkStart w:id="229" w:name="_Toc184314470"/>
      <w:bookmarkEnd w:id="229"/>
      <w:bookmarkStart w:id="230" w:name="_Toc184312131"/>
      <w:bookmarkEnd w:id="230"/>
      <w:bookmarkStart w:id="231" w:name="_Toc184308074"/>
      <w:bookmarkEnd w:id="231"/>
      <w:bookmarkStart w:id="232" w:name="_Toc184313310"/>
      <w:bookmarkEnd w:id="232"/>
      <w:bookmarkStart w:id="233" w:name="_Toc184314436"/>
      <w:bookmarkEnd w:id="233"/>
      <w:bookmarkStart w:id="234" w:name="_Toc184314473"/>
      <w:bookmarkEnd w:id="234"/>
      <w:bookmarkStart w:id="235" w:name="_Toc184308041"/>
      <w:bookmarkEnd w:id="235"/>
      <w:bookmarkStart w:id="236" w:name="_Toc184312099"/>
      <w:bookmarkEnd w:id="236"/>
      <w:bookmarkStart w:id="237" w:name="_Toc184308064"/>
      <w:bookmarkEnd w:id="237"/>
      <w:bookmarkStart w:id="238" w:name="_Toc184313278"/>
      <w:bookmarkEnd w:id="238"/>
      <w:bookmarkStart w:id="239" w:name="_Toc184308104"/>
      <w:bookmarkEnd w:id="239"/>
      <w:bookmarkStart w:id="240" w:name="_Toc184310344"/>
      <w:bookmarkEnd w:id="240"/>
      <w:bookmarkStart w:id="241" w:name="_Toc184310277"/>
      <w:bookmarkEnd w:id="241"/>
      <w:bookmarkStart w:id="242" w:name="_Toc184312106"/>
      <w:bookmarkEnd w:id="242"/>
      <w:bookmarkStart w:id="243" w:name="_Toc184313257"/>
      <w:bookmarkEnd w:id="243"/>
      <w:bookmarkStart w:id="244" w:name="_Toc184310337"/>
      <w:bookmarkEnd w:id="244"/>
      <w:bookmarkStart w:id="245" w:name="_Toc184312077"/>
      <w:bookmarkEnd w:id="245"/>
      <w:bookmarkStart w:id="246" w:name="_Toc184312130"/>
      <w:bookmarkEnd w:id="246"/>
      <w:bookmarkStart w:id="247" w:name="_Toc184308073"/>
      <w:bookmarkEnd w:id="247"/>
      <w:bookmarkStart w:id="248" w:name="_Toc184310332"/>
      <w:bookmarkEnd w:id="248"/>
      <w:bookmarkStart w:id="249" w:name="_Toc184313302"/>
      <w:bookmarkEnd w:id="249"/>
      <w:bookmarkStart w:id="250" w:name="_Toc184312108"/>
      <w:bookmarkEnd w:id="250"/>
      <w:bookmarkStart w:id="251" w:name="_Toc184313275"/>
      <w:bookmarkEnd w:id="251"/>
      <w:bookmarkStart w:id="252" w:name="_Toc184308096"/>
      <w:bookmarkEnd w:id="252"/>
      <w:bookmarkStart w:id="253" w:name="_Toc184310285"/>
      <w:bookmarkEnd w:id="253"/>
      <w:bookmarkStart w:id="254" w:name="_Toc184313261"/>
      <w:bookmarkEnd w:id="254"/>
      <w:bookmarkStart w:id="255" w:name="_Toc184314451"/>
      <w:bookmarkEnd w:id="255"/>
      <w:bookmarkStart w:id="256" w:name="_Toc184310276"/>
      <w:bookmarkEnd w:id="256"/>
      <w:bookmarkStart w:id="257" w:name="_Toc184312098"/>
      <w:bookmarkEnd w:id="257"/>
      <w:bookmarkStart w:id="258" w:name="_Toc184312090"/>
      <w:bookmarkEnd w:id="258"/>
      <w:bookmarkStart w:id="259" w:name="_Toc184314430"/>
      <w:bookmarkEnd w:id="259"/>
      <w:bookmarkStart w:id="260" w:name="_Toc184314411"/>
      <w:bookmarkEnd w:id="260"/>
      <w:bookmarkStart w:id="261" w:name="_Toc184314454"/>
      <w:bookmarkEnd w:id="261"/>
      <w:bookmarkStart w:id="262" w:name="_Toc184312123"/>
      <w:bookmarkEnd w:id="262"/>
      <w:bookmarkStart w:id="263" w:name="_Toc184310301"/>
      <w:bookmarkEnd w:id="263"/>
      <w:bookmarkStart w:id="264" w:name="_Toc184308069"/>
      <w:bookmarkEnd w:id="264"/>
      <w:bookmarkStart w:id="265" w:name="_Toc184314456"/>
      <w:bookmarkEnd w:id="265"/>
      <w:bookmarkStart w:id="266" w:name="_Toc184308060"/>
      <w:bookmarkEnd w:id="266"/>
      <w:bookmarkStart w:id="267" w:name="_Toc184313292"/>
      <w:bookmarkEnd w:id="267"/>
      <w:bookmarkStart w:id="268" w:name="_Toc184310300"/>
      <w:bookmarkEnd w:id="268"/>
      <w:bookmarkStart w:id="269" w:name="_Toc184313306"/>
      <w:bookmarkEnd w:id="269"/>
      <w:bookmarkStart w:id="270" w:name="_Toc184308071"/>
      <w:bookmarkEnd w:id="270"/>
      <w:bookmarkStart w:id="271" w:name="_Toc184308106"/>
      <w:bookmarkEnd w:id="271"/>
      <w:bookmarkStart w:id="272" w:name="_Toc184313268"/>
      <w:bookmarkEnd w:id="272"/>
      <w:bookmarkStart w:id="273" w:name="_Toc184313280"/>
      <w:bookmarkEnd w:id="273"/>
      <w:bookmarkStart w:id="274" w:name="_Toc184313285"/>
      <w:bookmarkEnd w:id="274"/>
      <w:bookmarkStart w:id="275" w:name="_Toc184312125"/>
      <w:bookmarkEnd w:id="275"/>
      <w:bookmarkStart w:id="276" w:name="_Toc184310304"/>
      <w:bookmarkEnd w:id="276"/>
      <w:bookmarkStart w:id="277" w:name="_Toc184308042"/>
      <w:bookmarkEnd w:id="277"/>
      <w:bookmarkStart w:id="278" w:name="_Toc184313297"/>
      <w:bookmarkEnd w:id="278"/>
      <w:bookmarkStart w:id="279" w:name="_Toc184308055"/>
      <w:bookmarkEnd w:id="279"/>
      <w:bookmarkStart w:id="280" w:name="_Toc184312121"/>
      <w:bookmarkEnd w:id="280"/>
      <w:bookmarkStart w:id="281" w:name="_Toc184313267"/>
      <w:bookmarkEnd w:id="281"/>
      <w:bookmarkStart w:id="282" w:name="_Toc184314412"/>
      <w:bookmarkEnd w:id="282"/>
      <w:bookmarkStart w:id="283" w:name="_Toc184312087"/>
      <w:bookmarkEnd w:id="283"/>
      <w:bookmarkStart w:id="284" w:name="_Toc184310283"/>
      <w:bookmarkEnd w:id="284"/>
      <w:bookmarkStart w:id="285" w:name="_Toc184308065"/>
      <w:bookmarkEnd w:id="285"/>
      <w:bookmarkStart w:id="286" w:name="_Toc184310303"/>
      <w:bookmarkEnd w:id="286"/>
      <w:bookmarkStart w:id="287" w:name="_Toc184308057"/>
      <w:bookmarkEnd w:id="287"/>
      <w:bookmarkStart w:id="288" w:name="_Toc184308049"/>
      <w:bookmarkEnd w:id="288"/>
      <w:bookmarkStart w:id="289" w:name="_Toc184312122"/>
      <w:bookmarkEnd w:id="289"/>
      <w:bookmarkStart w:id="290" w:name="_Toc184314475"/>
      <w:bookmarkEnd w:id="290"/>
      <w:bookmarkStart w:id="291" w:name="_Toc184308107"/>
      <w:bookmarkEnd w:id="291"/>
      <w:bookmarkStart w:id="292" w:name="_Toc184313308"/>
      <w:bookmarkEnd w:id="292"/>
      <w:bookmarkStart w:id="293" w:name="_Toc184313248"/>
      <w:bookmarkEnd w:id="293"/>
      <w:bookmarkStart w:id="294" w:name="_Toc184313307"/>
      <w:bookmarkEnd w:id="294"/>
      <w:bookmarkStart w:id="295" w:name="_Toc184313247"/>
      <w:bookmarkEnd w:id="295"/>
      <w:bookmarkStart w:id="296" w:name="_Toc184314441"/>
      <w:bookmarkEnd w:id="296"/>
      <w:bookmarkStart w:id="297" w:name="_Toc184314448"/>
      <w:bookmarkEnd w:id="297"/>
      <w:bookmarkStart w:id="298" w:name="_Toc184308056"/>
      <w:bookmarkEnd w:id="298"/>
      <w:bookmarkStart w:id="299" w:name="_Toc184310327"/>
      <w:bookmarkEnd w:id="299"/>
      <w:bookmarkStart w:id="300" w:name="_Toc184314449"/>
      <w:bookmarkEnd w:id="300"/>
      <w:bookmarkStart w:id="301" w:name="_Toc184310279"/>
      <w:bookmarkEnd w:id="301"/>
      <w:bookmarkStart w:id="302" w:name="_Toc184314410"/>
      <w:bookmarkEnd w:id="302"/>
      <w:bookmarkStart w:id="303" w:name="_Toc184314421"/>
      <w:bookmarkEnd w:id="303"/>
      <w:bookmarkStart w:id="304" w:name="_Toc184313277"/>
      <w:bookmarkEnd w:id="304"/>
      <w:bookmarkStart w:id="305" w:name="_Toc184310314"/>
      <w:bookmarkEnd w:id="305"/>
      <w:bookmarkStart w:id="306" w:name="_Toc184308089"/>
      <w:bookmarkEnd w:id="306"/>
      <w:bookmarkStart w:id="307" w:name="_Toc184308099"/>
      <w:bookmarkEnd w:id="307"/>
      <w:bookmarkStart w:id="308" w:name="_Toc184313282"/>
      <w:bookmarkEnd w:id="308"/>
      <w:bookmarkStart w:id="309" w:name="_Toc184310317"/>
      <w:bookmarkEnd w:id="309"/>
      <w:bookmarkStart w:id="310" w:name="_Toc184314460"/>
      <w:bookmarkEnd w:id="310"/>
      <w:bookmarkStart w:id="311" w:name="_Toc184313286"/>
      <w:bookmarkEnd w:id="311"/>
      <w:bookmarkStart w:id="312" w:name="_Toc184310316"/>
      <w:bookmarkEnd w:id="312"/>
      <w:bookmarkStart w:id="313" w:name="_Toc184314461"/>
      <w:bookmarkEnd w:id="313"/>
      <w:bookmarkStart w:id="314" w:name="_Toc184312111"/>
      <w:bookmarkEnd w:id="314"/>
      <w:bookmarkStart w:id="315" w:name="_Toc184308062"/>
      <w:bookmarkEnd w:id="315"/>
      <w:bookmarkStart w:id="316" w:name="_Toc184312085"/>
      <w:bookmarkEnd w:id="316"/>
      <w:bookmarkStart w:id="317" w:name="_Toc184308105"/>
      <w:bookmarkEnd w:id="317"/>
      <w:bookmarkStart w:id="318" w:name="_Toc184314466"/>
      <w:bookmarkEnd w:id="318"/>
      <w:bookmarkStart w:id="319" w:name="_Toc184308090"/>
      <w:bookmarkEnd w:id="319"/>
      <w:bookmarkStart w:id="320" w:name="_Toc184308093"/>
      <w:bookmarkEnd w:id="320"/>
      <w:bookmarkStart w:id="321" w:name="_Toc184312100"/>
      <w:bookmarkEnd w:id="321"/>
      <w:bookmarkStart w:id="322" w:name="_Toc184310342"/>
      <w:bookmarkEnd w:id="322"/>
      <w:bookmarkStart w:id="323" w:name="_Toc184312139"/>
      <w:bookmarkEnd w:id="323"/>
      <w:bookmarkStart w:id="324" w:name="_Toc184314477"/>
      <w:bookmarkEnd w:id="324"/>
      <w:bookmarkStart w:id="325" w:name="_Toc184312117"/>
      <w:bookmarkEnd w:id="325"/>
      <w:bookmarkStart w:id="326" w:name="_Toc184313252"/>
      <w:bookmarkEnd w:id="326"/>
      <w:bookmarkStart w:id="327" w:name="_Toc184312092"/>
      <w:bookmarkEnd w:id="327"/>
      <w:bookmarkStart w:id="328" w:name="_Toc184310291"/>
      <w:bookmarkEnd w:id="328"/>
      <w:bookmarkStart w:id="329" w:name="_Toc184308052"/>
      <w:bookmarkEnd w:id="329"/>
      <w:bookmarkStart w:id="330" w:name="_Toc184312132"/>
      <w:bookmarkEnd w:id="330"/>
      <w:bookmarkStart w:id="331" w:name="_Toc184308066"/>
      <w:bookmarkEnd w:id="331"/>
      <w:bookmarkStart w:id="332" w:name="_Toc184310280"/>
      <w:bookmarkEnd w:id="332"/>
      <w:bookmarkStart w:id="333" w:name="_Toc184314432"/>
      <w:bookmarkEnd w:id="333"/>
      <w:bookmarkStart w:id="334" w:name="_Toc184312071"/>
      <w:bookmarkEnd w:id="334"/>
      <w:bookmarkStart w:id="335" w:name="_Toc184312128"/>
      <w:bookmarkEnd w:id="335"/>
      <w:bookmarkStart w:id="336" w:name="_Toc184313243"/>
      <w:bookmarkEnd w:id="336"/>
      <w:bookmarkStart w:id="337" w:name="_Toc184310339"/>
      <w:bookmarkEnd w:id="337"/>
      <w:bookmarkStart w:id="338" w:name="_Toc184313241"/>
      <w:bookmarkEnd w:id="338"/>
      <w:bookmarkStart w:id="339" w:name="_Toc184310289"/>
      <w:bookmarkEnd w:id="339"/>
      <w:bookmarkStart w:id="340" w:name="_Toc184313253"/>
      <w:bookmarkEnd w:id="340"/>
      <w:bookmarkStart w:id="341" w:name="_Toc184310302"/>
      <w:bookmarkEnd w:id="341"/>
      <w:bookmarkStart w:id="342" w:name="_Toc184314431"/>
      <w:bookmarkEnd w:id="342"/>
      <w:bookmarkStart w:id="343" w:name="_Toc184312080"/>
      <w:bookmarkEnd w:id="343"/>
      <w:bookmarkStart w:id="344" w:name="_Toc184314413"/>
      <w:bookmarkEnd w:id="344"/>
      <w:bookmarkStart w:id="345" w:name="_Toc184313255"/>
      <w:bookmarkEnd w:id="345"/>
      <w:bookmarkStart w:id="346" w:name="_Toc184313283"/>
      <w:bookmarkEnd w:id="346"/>
      <w:bookmarkStart w:id="347" w:name="_Toc184308100"/>
      <w:bookmarkEnd w:id="347"/>
      <w:bookmarkStart w:id="348" w:name="_Toc184310338"/>
      <w:bookmarkEnd w:id="348"/>
      <w:bookmarkStart w:id="349" w:name="_Toc184313304"/>
      <w:bookmarkEnd w:id="349"/>
      <w:bookmarkStart w:id="350" w:name="_Toc184314464"/>
      <w:bookmarkEnd w:id="350"/>
      <w:bookmarkStart w:id="351" w:name="_Toc184314416"/>
      <w:bookmarkEnd w:id="351"/>
      <w:bookmarkStart w:id="352" w:name="_Toc184308063"/>
      <w:bookmarkEnd w:id="352"/>
      <w:bookmarkStart w:id="353" w:name="_Toc184314472"/>
      <w:bookmarkEnd w:id="353"/>
      <w:bookmarkStart w:id="354" w:name="_Toc184314465"/>
      <w:bookmarkEnd w:id="354"/>
      <w:bookmarkStart w:id="355" w:name="_Toc184310328"/>
      <w:bookmarkEnd w:id="355"/>
      <w:bookmarkStart w:id="356" w:name="_Toc184312135"/>
      <w:bookmarkEnd w:id="356"/>
      <w:bookmarkStart w:id="357" w:name="_Toc184310305"/>
      <w:bookmarkEnd w:id="357"/>
      <w:bookmarkStart w:id="358" w:name="_Toc184308037"/>
      <w:bookmarkEnd w:id="358"/>
      <w:bookmarkStart w:id="359" w:name="_Toc184312116"/>
      <w:bookmarkEnd w:id="359"/>
      <w:bookmarkStart w:id="360" w:name="_Toc184308050"/>
      <w:bookmarkEnd w:id="360"/>
      <w:bookmarkStart w:id="361" w:name="_Toc184308043"/>
      <w:bookmarkEnd w:id="361"/>
      <w:bookmarkStart w:id="362" w:name="_Toc184310299"/>
      <w:bookmarkEnd w:id="362"/>
      <w:bookmarkStart w:id="363" w:name="_Toc184310298"/>
      <w:bookmarkEnd w:id="363"/>
      <w:bookmarkStart w:id="364" w:name="_Toc184312089"/>
      <w:bookmarkEnd w:id="364"/>
      <w:bookmarkStart w:id="365" w:name="_Toc184314438"/>
      <w:bookmarkEnd w:id="365"/>
      <w:bookmarkStart w:id="366" w:name="_Toc184308083"/>
      <w:bookmarkEnd w:id="366"/>
      <w:bookmarkStart w:id="367" w:name="_Toc184310336"/>
      <w:bookmarkEnd w:id="367"/>
      <w:bookmarkStart w:id="368" w:name="_Toc184310333"/>
      <w:bookmarkEnd w:id="368"/>
      <w:bookmarkStart w:id="369" w:name="_Toc184310325"/>
      <w:bookmarkEnd w:id="369"/>
      <w:bookmarkStart w:id="370" w:name="_Toc184308038"/>
      <w:bookmarkEnd w:id="370"/>
      <w:bookmarkStart w:id="371" w:name="_Toc184314418"/>
      <w:bookmarkEnd w:id="371"/>
      <w:bookmarkStart w:id="372" w:name="_Toc184310340"/>
      <w:bookmarkEnd w:id="372"/>
      <w:bookmarkStart w:id="373" w:name="_Toc184312068"/>
      <w:bookmarkEnd w:id="373"/>
      <w:bookmarkStart w:id="374" w:name="_Toc184314435"/>
      <w:bookmarkEnd w:id="374"/>
      <w:bookmarkStart w:id="375" w:name="_Toc184314479"/>
      <w:bookmarkEnd w:id="375"/>
      <w:bookmarkStart w:id="376" w:name="_Toc184308091"/>
      <w:bookmarkEnd w:id="376"/>
      <w:bookmarkStart w:id="377" w:name="_Toc184312133"/>
      <w:bookmarkEnd w:id="377"/>
      <w:bookmarkStart w:id="378" w:name="_Toc184313240"/>
      <w:bookmarkEnd w:id="378"/>
      <w:bookmarkStart w:id="379" w:name="_Toc184313298"/>
      <w:bookmarkEnd w:id="379"/>
      <w:bookmarkStart w:id="380" w:name="_Toc184312073"/>
      <w:bookmarkEnd w:id="380"/>
      <w:bookmarkStart w:id="381" w:name="_Toc184310318"/>
      <w:bookmarkEnd w:id="381"/>
      <w:bookmarkStart w:id="382" w:name="_Toc184312124"/>
      <w:bookmarkEnd w:id="382"/>
      <w:bookmarkStart w:id="383" w:name="_Toc184313258"/>
      <w:bookmarkEnd w:id="383"/>
      <w:bookmarkStart w:id="384" w:name="_Toc184308047"/>
      <w:bookmarkEnd w:id="384"/>
      <w:bookmarkStart w:id="385" w:name="_Toc184308079"/>
      <w:bookmarkEnd w:id="385"/>
      <w:bookmarkStart w:id="386" w:name="_Toc184308051"/>
      <w:bookmarkEnd w:id="386"/>
      <w:bookmarkStart w:id="387" w:name="_Toc184314450"/>
      <w:bookmarkEnd w:id="387"/>
      <w:bookmarkStart w:id="388" w:name="_Toc184313289"/>
      <w:bookmarkEnd w:id="388"/>
      <w:bookmarkStart w:id="389" w:name="_Toc184314414"/>
      <w:bookmarkEnd w:id="389"/>
      <w:bookmarkStart w:id="390" w:name="_Toc184312102"/>
      <w:bookmarkEnd w:id="390"/>
      <w:bookmarkStart w:id="391" w:name="_Toc184310297"/>
      <w:bookmarkEnd w:id="391"/>
      <w:bookmarkStart w:id="392" w:name="_Toc184313254"/>
      <w:bookmarkEnd w:id="392"/>
      <w:r>
        <w:rPr>
          <w:rFonts w:hint="eastAsia" w:ascii="宋体" w:hAnsi="宋体" w:cs="宋体"/>
          <w:b/>
          <w:color w:val="auto"/>
          <w:sz w:val="36"/>
          <w:szCs w:val="36"/>
          <w:highlight w:val="none"/>
        </w:rPr>
        <w:t>评标办法</w:t>
      </w:r>
    </w:p>
    <w:p w14:paraId="38468B90">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10436" w:type="dxa"/>
        <w:jc w:val="center"/>
        <w:tblLayout w:type="fixed"/>
        <w:tblCellMar>
          <w:top w:w="0" w:type="dxa"/>
          <w:left w:w="108" w:type="dxa"/>
          <w:bottom w:w="0" w:type="dxa"/>
          <w:right w:w="108" w:type="dxa"/>
        </w:tblCellMar>
      </w:tblPr>
      <w:tblGrid>
        <w:gridCol w:w="654"/>
        <w:gridCol w:w="7235"/>
        <w:gridCol w:w="570"/>
        <w:gridCol w:w="647"/>
        <w:gridCol w:w="1330"/>
      </w:tblGrid>
      <w:tr w14:paraId="4D468600">
        <w:tblPrEx>
          <w:tblCellMar>
            <w:top w:w="0" w:type="dxa"/>
            <w:left w:w="108" w:type="dxa"/>
            <w:bottom w:w="0" w:type="dxa"/>
            <w:right w:w="108" w:type="dxa"/>
          </w:tblCellMar>
        </w:tblPrEx>
        <w:trPr>
          <w:trHeight w:val="535"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3FAFE417">
            <w:pPr>
              <w:widowControl/>
              <w:jc w:val="center"/>
              <w:textAlignment w:val="center"/>
              <w:rPr>
                <w:rFonts w:hint="eastAsia" w:ascii="宋体" w:hAnsi="宋体" w:cs="宋体"/>
                <w:b/>
                <w:bCs/>
                <w:color w:val="auto"/>
                <w:sz w:val="24"/>
              </w:rPr>
            </w:pPr>
            <w:r>
              <w:rPr>
                <w:rFonts w:hint="eastAsia" w:ascii="宋体" w:hAnsi="宋体" w:cs="宋体"/>
                <w:b/>
                <w:bCs/>
                <w:color w:val="auto"/>
                <w:kern w:val="0"/>
                <w:sz w:val="24"/>
                <w:lang w:bidi="ar"/>
              </w:rPr>
              <w:t>序号</w:t>
            </w:r>
          </w:p>
        </w:tc>
        <w:tc>
          <w:tcPr>
            <w:tcW w:w="7235" w:type="dxa"/>
            <w:tcBorders>
              <w:top w:val="single" w:color="000000" w:sz="4" w:space="0"/>
              <w:left w:val="single" w:color="000000" w:sz="4" w:space="0"/>
              <w:bottom w:val="single" w:color="000000" w:sz="4" w:space="0"/>
              <w:right w:val="single" w:color="000000" w:sz="4" w:space="0"/>
            </w:tcBorders>
            <w:noWrap w:val="0"/>
            <w:vAlign w:val="center"/>
          </w:tcPr>
          <w:p w14:paraId="70DE7A6E">
            <w:pPr>
              <w:spacing w:line="360" w:lineRule="auto"/>
              <w:ind w:firstLine="1560" w:firstLineChars="650"/>
              <w:outlineLvl w:val="0"/>
              <w:rPr>
                <w:rFonts w:hint="eastAsia" w:ascii="宋体" w:hAnsi="宋体" w:cs="宋体"/>
                <w:b/>
                <w:bCs/>
                <w:color w:val="auto"/>
                <w:sz w:val="24"/>
              </w:rPr>
            </w:pPr>
            <w:r>
              <w:rPr>
                <w:rFonts w:hint="eastAsia" w:ascii="宋体" w:hAnsi="宋体" w:cs="宋体"/>
                <w:bCs/>
                <w:color w:val="auto"/>
                <w:sz w:val="24"/>
              </w:rPr>
              <w:t>评审标准</w:t>
            </w:r>
          </w:p>
        </w:tc>
        <w:tc>
          <w:tcPr>
            <w:tcW w:w="570" w:type="dxa"/>
            <w:tcBorders>
              <w:top w:val="single" w:color="000000" w:sz="4" w:space="0"/>
              <w:left w:val="single" w:color="000000" w:sz="4" w:space="0"/>
              <w:bottom w:val="single" w:color="000000" w:sz="4" w:space="0"/>
              <w:right w:val="single" w:color="000000" w:sz="4" w:space="0"/>
            </w:tcBorders>
            <w:noWrap w:val="0"/>
            <w:vAlign w:val="center"/>
          </w:tcPr>
          <w:p w14:paraId="76B1117C">
            <w:pPr>
              <w:spacing w:line="360" w:lineRule="auto"/>
              <w:jc w:val="center"/>
              <w:outlineLvl w:val="0"/>
              <w:rPr>
                <w:rFonts w:hint="eastAsia" w:ascii="宋体" w:hAnsi="宋体" w:cs="宋体"/>
                <w:b/>
                <w:bCs/>
                <w:color w:val="auto"/>
                <w:sz w:val="24"/>
              </w:rPr>
            </w:pPr>
            <w:r>
              <w:rPr>
                <w:rFonts w:hint="eastAsia" w:ascii="宋体" w:hAnsi="宋体" w:cs="宋体"/>
                <w:bCs/>
                <w:color w:val="auto"/>
                <w:sz w:val="24"/>
              </w:rPr>
              <w:t>权重</w:t>
            </w:r>
          </w:p>
        </w:tc>
        <w:tc>
          <w:tcPr>
            <w:tcW w:w="647" w:type="dxa"/>
            <w:tcBorders>
              <w:top w:val="single" w:color="000000" w:sz="4" w:space="0"/>
              <w:left w:val="single" w:color="000000" w:sz="4" w:space="0"/>
              <w:bottom w:val="single" w:color="auto" w:sz="4" w:space="0"/>
              <w:right w:val="single" w:color="000000" w:sz="4" w:space="0"/>
            </w:tcBorders>
            <w:noWrap w:val="0"/>
            <w:vAlign w:val="top"/>
          </w:tcPr>
          <w:p w14:paraId="5481EEA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主观分/客观分属性</w:t>
            </w:r>
          </w:p>
        </w:tc>
        <w:tc>
          <w:tcPr>
            <w:tcW w:w="1330" w:type="dxa"/>
            <w:tcBorders>
              <w:top w:val="single" w:color="000000" w:sz="4" w:space="0"/>
              <w:left w:val="single" w:color="000000" w:sz="4" w:space="0"/>
              <w:bottom w:val="single" w:color="auto" w:sz="4" w:space="0"/>
              <w:right w:val="single" w:color="000000" w:sz="4" w:space="0"/>
            </w:tcBorders>
            <w:noWrap w:val="0"/>
            <w:vAlign w:val="top"/>
          </w:tcPr>
          <w:p w14:paraId="184B29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投标文件中评标标准相应的商务技术资料目录*</w:t>
            </w:r>
          </w:p>
        </w:tc>
      </w:tr>
      <w:tr w14:paraId="263F247D">
        <w:tblPrEx>
          <w:tblCellMar>
            <w:top w:w="0" w:type="dxa"/>
            <w:left w:w="108" w:type="dxa"/>
            <w:bottom w:w="0" w:type="dxa"/>
            <w:right w:w="108" w:type="dxa"/>
          </w:tblCellMar>
        </w:tblPrEx>
        <w:trPr>
          <w:trHeight w:val="113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3C0DC4C1">
            <w:pPr>
              <w:widowControl/>
              <w:jc w:val="center"/>
              <w:textAlignment w:val="center"/>
              <w:rPr>
                <w:rFonts w:hint="eastAsia" w:ascii="宋体" w:hAnsi="宋体" w:cs="宋体"/>
                <w:bCs/>
                <w:color w:val="auto"/>
                <w:sz w:val="24"/>
              </w:rPr>
            </w:pPr>
            <w:r>
              <w:rPr>
                <w:rFonts w:hint="eastAsia" w:ascii="宋体" w:hAnsi="宋体" w:cs="宋体"/>
                <w:bCs/>
                <w:color w:val="auto"/>
                <w:sz w:val="24"/>
              </w:rPr>
              <w:t>1</w:t>
            </w:r>
          </w:p>
        </w:tc>
        <w:tc>
          <w:tcPr>
            <w:tcW w:w="7235" w:type="dxa"/>
            <w:tcBorders>
              <w:top w:val="single" w:color="000000" w:sz="4" w:space="0"/>
              <w:left w:val="single" w:color="000000" w:sz="4" w:space="0"/>
              <w:bottom w:val="single" w:color="000000" w:sz="4" w:space="0"/>
              <w:right w:val="single" w:color="000000" w:sz="4" w:space="0"/>
            </w:tcBorders>
            <w:noWrap w:val="0"/>
            <w:vAlign w:val="center"/>
          </w:tcPr>
          <w:p w14:paraId="22FCC4EE">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投标人获得区县级及以上政府或行政主管部门(城管局）颁发的荣誉证书一个得1分，最高得3分。</w:t>
            </w:r>
          </w:p>
          <w:p w14:paraId="7FD76E25">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注：以上证书须提供证书原件扫描件。未提供原件扫描件的不得分。</w:t>
            </w:r>
            <w:bookmarkStart w:id="519" w:name="_GoBack"/>
            <w:bookmarkEnd w:id="519"/>
          </w:p>
        </w:tc>
        <w:tc>
          <w:tcPr>
            <w:tcW w:w="570" w:type="dxa"/>
            <w:tcBorders>
              <w:top w:val="single" w:color="000000" w:sz="4" w:space="0"/>
              <w:left w:val="single" w:color="000000" w:sz="4" w:space="0"/>
              <w:bottom w:val="single" w:color="000000" w:sz="4" w:space="0"/>
              <w:right w:val="single" w:color="auto" w:sz="4" w:space="0"/>
            </w:tcBorders>
            <w:noWrap w:val="0"/>
            <w:vAlign w:val="center"/>
          </w:tcPr>
          <w:p w14:paraId="6AF87A15">
            <w:pPr>
              <w:widowControl/>
              <w:jc w:val="center"/>
              <w:textAlignment w:val="center"/>
              <w:rPr>
                <w:rFonts w:hint="eastAsia" w:ascii="宋体" w:hAnsi="宋体" w:cs="宋体"/>
                <w:bCs/>
                <w:color w:val="auto"/>
                <w:sz w:val="24"/>
              </w:rPr>
            </w:pPr>
            <w:r>
              <w:rPr>
                <w:rFonts w:hint="eastAsia" w:ascii="宋体" w:hAnsi="宋体" w:cs="宋体"/>
                <w:bCs/>
                <w:color w:val="auto"/>
                <w:sz w:val="24"/>
              </w:rPr>
              <w:t>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204B4041">
            <w:pPr>
              <w:widowControl/>
              <w:jc w:val="center"/>
              <w:textAlignment w:val="center"/>
              <w:rPr>
                <w:rFonts w:hint="eastAsia" w:ascii="宋体" w:hAnsi="宋体" w:cs="宋体"/>
                <w:bCs/>
                <w:color w:val="auto"/>
                <w:sz w:val="24"/>
              </w:rPr>
            </w:pPr>
            <w:r>
              <w:rPr>
                <w:rFonts w:hint="eastAsia" w:ascii="宋体" w:hAnsi="宋体" w:cs="宋体"/>
                <w:bCs/>
                <w:color w:val="auto"/>
                <w:sz w:val="24"/>
              </w:rPr>
              <w:t>客观分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3D8973A1">
            <w:pPr>
              <w:widowControl/>
              <w:jc w:val="center"/>
              <w:textAlignment w:val="center"/>
              <w:rPr>
                <w:rFonts w:hint="eastAsia" w:ascii="宋体" w:hAnsi="宋体" w:cs="宋体"/>
                <w:bCs/>
                <w:color w:val="auto"/>
                <w:sz w:val="24"/>
              </w:rPr>
            </w:pPr>
          </w:p>
        </w:tc>
      </w:tr>
      <w:tr w14:paraId="4F1885DA">
        <w:tblPrEx>
          <w:tblCellMar>
            <w:top w:w="0" w:type="dxa"/>
            <w:left w:w="108" w:type="dxa"/>
            <w:bottom w:w="0" w:type="dxa"/>
            <w:right w:w="108" w:type="dxa"/>
          </w:tblCellMar>
        </w:tblPrEx>
        <w:trPr>
          <w:trHeight w:val="748"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1AC8C087">
            <w:pPr>
              <w:widowControl/>
              <w:jc w:val="center"/>
              <w:textAlignment w:val="center"/>
              <w:rPr>
                <w:rFonts w:hint="eastAsia" w:ascii="宋体" w:hAnsi="宋体" w:cs="宋体"/>
                <w:bCs/>
                <w:color w:val="auto"/>
                <w:sz w:val="24"/>
              </w:rPr>
            </w:pPr>
            <w:r>
              <w:rPr>
                <w:rFonts w:hint="eastAsia" w:ascii="宋体" w:hAnsi="宋体" w:cs="宋体"/>
                <w:bCs/>
                <w:color w:val="auto"/>
                <w:sz w:val="24"/>
              </w:rPr>
              <w:t>2</w:t>
            </w:r>
          </w:p>
        </w:tc>
        <w:tc>
          <w:tcPr>
            <w:tcW w:w="7235" w:type="dxa"/>
            <w:tcBorders>
              <w:top w:val="single" w:color="000000" w:sz="4" w:space="0"/>
              <w:left w:val="single" w:color="000000" w:sz="4" w:space="0"/>
              <w:bottom w:val="single" w:color="000000" w:sz="4" w:space="0"/>
              <w:right w:val="single" w:color="000000" w:sz="4" w:space="0"/>
            </w:tcBorders>
            <w:noWrap w:val="0"/>
            <w:vAlign w:val="top"/>
          </w:tcPr>
          <w:p w14:paraId="25981079">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投标人具有有效期内的质量管理体系认证书、环境管理体系认证书、职业健康安全管理体系认证证书的，每个得</w:t>
            </w:r>
            <w:r>
              <w:rPr>
                <w:rFonts w:hint="eastAsia" w:ascii="宋体" w:hAnsi="宋体" w:cs="宋体"/>
                <w:color w:val="auto"/>
                <w:sz w:val="24"/>
                <w:lang w:val="en-US" w:eastAsia="zh-CN"/>
              </w:rPr>
              <w:t>1</w:t>
            </w:r>
            <w:r>
              <w:rPr>
                <w:rFonts w:hint="eastAsia" w:ascii="宋体" w:hAnsi="宋体" w:cs="宋体"/>
                <w:color w:val="auto"/>
                <w:sz w:val="24"/>
              </w:rPr>
              <w:t>分，最高得</w:t>
            </w:r>
            <w:r>
              <w:rPr>
                <w:rFonts w:hint="eastAsia" w:ascii="宋体" w:hAnsi="宋体" w:cs="宋体"/>
                <w:color w:val="auto"/>
                <w:sz w:val="24"/>
                <w:lang w:val="en-US" w:eastAsia="zh-CN"/>
              </w:rPr>
              <w:t>3</w:t>
            </w:r>
            <w:r>
              <w:rPr>
                <w:rFonts w:hint="eastAsia" w:ascii="宋体" w:hAnsi="宋体" w:cs="宋体"/>
                <w:color w:val="auto"/>
                <w:sz w:val="24"/>
              </w:rPr>
              <w:t>分。</w:t>
            </w:r>
          </w:p>
          <w:p w14:paraId="7BD76BF6">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注：以上证书须提供证书原件扫描件。未提供原件扫描件的不得分。</w:t>
            </w:r>
          </w:p>
        </w:tc>
        <w:tc>
          <w:tcPr>
            <w:tcW w:w="570" w:type="dxa"/>
            <w:tcBorders>
              <w:top w:val="single" w:color="000000" w:sz="4" w:space="0"/>
              <w:left w:val="single" w:color="000000" w:sz="4" w:space="0"/>
              <w:bottom w:val="single" w:color="000000" w:sz="4" w:space="0"/>
              <w:right w:val="single" w:color="auto" w:sz="4" w:space="0"/>
            </w:tcBorders>
            <w:noWrap w:val="0"/>
            <w:vAlign w:val="center"/>
          </w:tcPr>
          <w:p w14:paraId="055D781E">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162DBE69">
            <w:pPr>
              <w:widowControl/>
              <w:jc w:val="center"/>
              <w:textAlignment w:val="center"/>
              <w:rPr>
                <w:rFonts w:hint="eastAsia" w:ascii="宋体" w:hAnsi="宋体" w:cs="宋体"/>
                <w:bCs/>
                <w:color w:val="auto"/>
                <w:sz w:val="24"/>
              </w:rPr>
            </w:pPr>
            <w:r>
              <w:rPr>
                <w:rFonts w:hint="eastAsia" w:ascii="宋体" w:hAnsi="宋体" w:cs="宋体"/>
                <w:bCs/>
                <w:color w:val="auto"/>
                <w:sz w:val="24"/>
              </w:rPr>
              <w:t>客观分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01376FD3">
            <w:pPr>
              <w:widowControl/>
              <w:jc w:val="center"/>
              <w:textAlignment w:val="center"/>
              <w:rPr>
                <w:rFonts w:hint="eastAsia" w:ascii="宋体" w:hAnsi="宋体" w:cs="宋体"/>
                <w:bCs/>
                <w:color w:val="auto"/>
                <w:sz w:val="24"/>
              </w:rPr>
            </w:pPr>
          </w:p>
        </w:tc>
      </w:tr>
      <w:tr w14:paraId="004A64BB">
        <w:tblPrEx>
          <w:tblCellMar>
            <w:top w:w="0" w:type="dxa"/>
            <w:left w:w="108" w:type="dxa"/>
            <w:bottom w:w="0" w:type="dxa"/>
            <w:right w:w="108" w:type="dxa"/>
          </w:tblCellMar>
        </w:tblPrEx>
        <w:trPr>
          <w:trHeight w:val="1936"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074EF526">
            <w:pPr>
              <w:widowControl/>
              <w:jc w:val="center"/>
              <w:textAlignment w:val="center"/>
              <w:rPr>
                <w:rFonts w:hint="eastAsia" w:ascii="宋体" w:hAnsi="宋体" w:cs="宋体"/>
                <w:bCs/>
                <w:color w:val="auto"/>
                <w:sz w:val="24"/>
              </w:rPr>
            </w:pPr>
            <w:r>
              <w:rPr>
                <w:rFonts w:hint="eastAsia" w:ascii="宋体" w:hAnsi="宋体" w:cs="宋体"/>
                <w:bCs/>
                <w:color w:val="auto"/>
                <w:sz w:val="24"/>
              </w:rPr>
              <w:t>3</w:t>
            </w:r>
          </w:p>
        </w:tc>
        <w:tc>
          <w:tcPr>
            <w:tcW w:w="7235" w:type="dxa"/>
            <w:tcBorders>
              <w:top w:val="single" w:color="000000" w:sz="4" w:space="0"/>
              <w:left w:val="single" w:color="000000" w:sz="4" w:space="0"/>
              <w:bottom w:val="single" w:color="000000" w:sz="4" w:space="0"/>
              <w:right w:val="single" w:color="000000" w:sz="4" w:space="0"/>
            </w:tcBorders>
            <w:noWrap w:val="0"/>
            <w:vAlign w:val="top"/>
          </w:tcPr>
          <w:p w14:paraId="724292CA">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1.本项目的项目经理，具有大专及以上学历（含函授）且从业3年以上得</w:t>
            </w:r>
            <w:r>
              <w:rPr>
                <w:rFonts w:hint="eastAsia" w:ascii="宋体" w:hAnsi="宋体" w:cs="宋体"/>
                <w:color w:val="auto"/>
                <w:sz w:val="24"/>
                <w:lang w:val="en-US" w:eastAsia="zh-CN"/>
              </w:rPr>
              <w:t>1</w:t>
            </w:r>
            <w:r>
              <w:rPr>
                <w:rFonts w:hint="eastAsia" w:ascii="宋体" w:hAnsi="宋体" w:cs="宋体"/>
                <w:color w:val="auto"/>
                <w:sz w:val="24"/>
              </w:rPr>
              <w:t>分。</w:t>
            </w:r>
          </w:p>
          <w:p w14:paraId="1AED694A">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2.投标人为本项目配备的管理人员（车辆管理员、巡查人员）：从业2年及以上的，每提供1名管理人员得1分。本项最高得2分。</w:t>
            </w:r>
          </w:p>
          <w:p w14:paraId="43A7CB84">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注：须提供项目经理及其他人员学历证书、社保证明（人社局盖章）为准的原件扫描件，提交本人从业经历承诺书。</w:t>
            </w:r>
          </w:p>
        </w:tc>
        <w:tc>
          <w:tcPr>
            <w:tcW w:w="570" w:type="dxa"/>
            <w:tcBorders>
              <w:top w:val="single" w:color="000000" w:sz="4" w:space="0"/>
              <w:left w:val="single" w:color="000000" w:sz="4" w:space="0"/>
              <w:bottom w:val="single" w:color="000000" w:sz="4" w:space="0"/>
              <w:right w:val="single" w:color="auto" w:sz="4" w:space="0"/>
            </w:tcBorders>
            <w:noWrap w:val="0"/>
            <w:vAlign w:val="center"/>
          </w:tcPr>
          <w:p w14:paraId="1CCF9338">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3D7F6E34">
            <w:pPr>
              <w:widowControl/>
              <w:jc w:val="center"/>
              <w:textAlignment w:val="center"/>
              <w:rPr>
                <w:rFonts w:hint="eastAsia" w:ascii="宋体" w:hAnsi="宋体" w:cs="宋体"/>
                <w:color w:val="auto"/>
                <w:sz w:val="24"/>
              </w:rPr>
            </w:pPr>
            <w:r>
              <w:rPr>
                <w:rFonts w:hint="eastAsia" w:ascii="宋体" w:hAnsi="宋体" w:cs="宋体"/>
                <w:color w:val="auto"/>
                <w:sz w:val="24"/>
              </w:rPr>
              <w:t>客观分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4DD31D1E">
            <w:pPr>
              <w:widowControl/>
              <w:jc w:val="center"/>
              <w:textAlignment w:val="center"/>
              <w:rPr>
                <w:rFonts w:hint="eastAsia" w:ascii="宋体" w:hAnsi="宋体" w:cs="宋体"/>
                <w:bCs/>
                <w:color w:val="auto"/>
                <w:sz w:val="24"/>
              </w:rPr>
            </w:pPr>
          </w:p>
        </w:tc>
      </w:tr>
      <w:tr w14:paraId="2C1BBE41">
        <w:tblPrEx>
          <w:tblCellMar>
            <w:top w:w="0" w:type="dxa"/>
            <w:left w:w="108" w:type="dxa"/>
            <w:bottom w:w="0" w:type="dxa"/>
            <w:right w:w="108" w:type="dxa"/>
          </w:tblCellMar>
        </w:tblPrEx>
        <w:trPr>
          <w:trHeight w:val="441"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38E713B9">
            <w:pPr>
              <w:widowControl/>
              <w:jc w:val="center"/>
              <w:textAlignment w:val="center"/>
              <w:rPr>
                <w:rFonts w:hint="eastAsia" w:ascii="宋体" w:hAnsi="宋体" w:cs="宋体"/>
                <w:bCs/>
                <w:color w:val="auto"/>
                <w:sz w:val="24"/>
              </w:rPr>
            </w:pPr>
            <w:r>
              <w:rPr>
                <w:rFonts w:hint="eastAsia" w:ascii="宋体" w:hAnsi="宋体" w:cs="宋体"/>
                <w:bCs/>
                <w:color w:val="auto"/>
                <w:sz w:val="24"/>
              </w:rPr>
              <w:t>4</w:t>
            </w:r>
          </w:p>
        </w:tc>
        <w:tc>
          <w:tcPr>
            <w:tcW w:w="7235" w:type="dxa"/>
            <w:tcBorders>
              <w:top w:val="single" w:color="000000" w:sz="4" w:space="0"/>
              <w:left w:val="single" w:color="000000" w:sz="4" w:space="0"/>
              <w:bottom w:val="single" w:color="000000" w:sz="4" w:space="0"/>
              <w:right w:val="single" w:color="000000" w:sz="4" w:space="0"/>
            </w:tcBorders>
            <w:noWrap w:val="0"/>
            <w:vAlign w:val="top"/>
          </w:tcPr>
          <w:p w14:paraId="2FA78E6B">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自20</w:t>
            </w:r>
            <w:r>
              <w:rPr>
                <w:rFonts w:hint="eastAsia" w:ascii="宋体" w:hAnsi="宋体" w:cs="宋体"/>
                <w:color w:val="auto"/>
                <w:sz w:val="24"/>
                <w:lang w:val="en-US" w:eastAsia="zh-CN"/>
              </w:rPr>
              <w:t>20</w:t>
            </w:r>
            <w:r>
              <w:rPr>
                <w:rFonts w:hint="eastAsia" w:ascii="宋体" w:hAnsi="宋体" w:cs="宋体"/>
                <w:color w:val="auto"/>
                <w:sz w:val="24"/>
              </w:rPr>
              <w:t>年1月1日起（以合同签订时间为准）至开标时间止，投标人提供政府采购的道路保洁及垃圾清运项目（包含综合类项目），的每个得0.5分，最高得1分。（须提供项目合同及中标通知书，未提供或提供不全不得分）</w:t>
            </w:r>
          </w:p>
        </w:tc>
        <w:tc>
          <w:tcPr>
            <w:tcW w:w="570" w:type="dxa"/>
            <w:tcBorders>
              <w:top w:val="single" w:color="000000" w:sz="4" w:space="0"/>
              <w:left w:val="single" w:color="000000" w:sz="4" w:space="0"/>
              <w:bottom w:val="single" w:color="auto" w:sz="4" w:space="0"/>
              <w:right w:val="single" w:color="auto" w:sz="4" w:space="0"/>
            </w:tcBorders>
            <w:noWrap w:val="0"/>
            <w:vAlign w:val="center"/>
          </w:tcPr>
          <w:p w14:paraId="74F4E16A">
            <w:pPr>
              <w:widowControl/>
              <w:jc w:val="center"/>
              <w:textAlignment w:val="center"/>
              <w:rPr>
                <w:rFonts w:hint="eastAsia" w:ascii="宋体" w:hAnsi="宋体" w:cs="宋体"/>
                <w:bCs/>
                <w:color w:val="auto"/>
                <w:sz w:val="24"/>
              </w:rPr>
            </w:pPr>
            <w:r>
              <w:rPr>
                <w:rFonts w:hint="eastAsia" w:ascii="宋体" w:hAnsi="宋体" w:cs="宋体"/>
                <w:bCs/>
                <w:color w:val="auto"/>
                <w:sz w:val="24"/>
              </w:rPr>
              <w:t>1</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44FF6D37">
            <w:pPr>
              <w:widowControl/>
              <w:jc w:val="center"/>
              <w:textAlignment w:val="center"/>
              <w:rPr>
                <w:rFonts w:hint="eastAsia" w:ascii="宋体" w:hAnsi="宋体" w:cs="宋体"/>
                <w:color w:val="auto"/>
                <w:sz w:val="24"/>
              </w:rPr>
            </w:pPr>
            <w:r>
              <w:rPr>
                <w:rFonts w:hint="eastAsia" w:ascii="宋体" w:hAnsi="宋体" w:cs="宋体"/>
                <w:color w:val="auto"/>
                <w:sz w:val="24"/>
              </w:rPr>
              <w:t>客观分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3619A9C5">
            <w:pPr>
              <w:widowControl/>
              <w:jc w:val="center"/>
              <w:textAlignment w:val="center"/>
              <w:rPr>
                <w:rFonts w:hint="eastAsia" w:ascii="宋体" w:hAnsi="宋体" w:cs="宋体"/>
                <w:color w:val="auto"/>
                <w:sz w:val="24"/>
              </w:rPr>
            </w:pPr>
          </w:p>
        </w:tc>
      </w:tr>
      <w:tr w14:paraId="01B312D6">
        <w:tblPrEx>
          <w:tblCellMar>
            <w:top w:w="0" w:type="dxa"/>
            <w:left w:w="108" w:type="dxa"/>
            <w:bottom w:w="0" w:type="dxa"/>
            <w:right w:w="108" w:type="dxa"/>
          </w:tblCellMar>
        </w:tblPrEx>
        <w:trPr>
          <w:trHeight w:val="74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3E57305D">
            <w:pPr>
              <w:widowControl/>
              <w:jc w:val="center"/>
              <w:textAlignment w:val="center"/>
              <w:rPr>
                <w:rFonts w:hint="eastAsia" w:ascii="宋体" w:hAnsi="宋体" w:cs="宋体"/>
                <w:bCs/>
                <w:color w:val="auto"/>
                <w:sz w:val="24"/>
              </w:rPr>
            </w:pPr>
            <w:r>
              <w:rPr>
                <w:rFonts w:hint="eastAsia" w:ascii="宋体" w:hAnsi="宋体" w:cs="宋体"/>
                <w:bCs/>
                <w:color w:val="auto"/>
                <w:sz w:val="24"/>
              </w:rPr>
              <w:t>5</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3403E472">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设备保障：①自</w:t>
            </w:r>
            <w:r>
              <w:rPr>
                <w:rFonts w:hint="eastAsia" w:ascii="宋体" w:hAnsi="宋体" w:cs="宋体"/>
                <w:color w:val="auto"/>
                <w:sz w:val="24"/>
                <w:lang w:val="en-US" w:eastAsia="zh-CN"/>
              </w:rPr>
              <w:t>有</w:t>
            </w:r>
            <w:r>
              <w:rPr>
                <w:rFonts w:hint="eastAsia" w:ascii="宋体" w:hAnsi="宋体" w:cs="宋体"/>
                <w:color w:val="auto"/>
                <w:sz w:val="24"/>
              </w:rPr>
              <w:t>上牌三位一体洗扫车1辆</w:t>
            </w:r>
            <w:r>
              <w:rPr>
                <w:rFonts w:hint="eastAsia" w:ascii="宋体" w:hAnsi="宋体" w:cs="宋体"/>
                <w:color w:val="auto"/>
                <w:sz w:val="24"/>
                <w:lang w:eastAsia="zh-CN"/>
              </w:rPr>
              <w:t>，</w:t>
            </w:r>
            <w:r>
              <w:rPr>
                <w:rFonts w:hint="eastAsia" w:ascii="宋体" w:hAnsi="宋体" w:cs="宋体"/>
                <w:color w:val="auto"/>
                <w:sz w:val="24"/>
              </w:rPr>
              <w:t>车辆要求总质量10吨或10吨以上，或采购价格不低于38万元</w:t>
            </w:r>
            <w:r>
              <w:rPr>
                <w:rFonts w:hint="eastAsia" w:ascii="宋体" w:hAnsi="宋体" w:cs="宋体"/>
                <w:color w:val="auto"/>
                <w:sz w:val="24"/>
                <w:lang w:eastAsia="zh-CN"/>
              </w:rPr>
              <w:t>；</w:t>
            </w:r>
            <w:r>
              <w:rPr>
                <w:rFonts w:hint="eastAsia" w:ascii="宋体" w:hAnsi="宋体" w:cs="宋体"/>
                <w:color w:val="auto"/>
                <w:sz w:val="24"/>
              </w:rPr>
              <w:t>②自</w:t>
            </w:r>
            <w:r>
              <w:rPr>
                <w:rFonts w:hint="eastAsia" w:ascii="宋体" w:hAnsi="宋体" w:cs="宋体"/>
                <w:color w:val="auto"/>
                <w:sz w:val="24"/>
                <w:lang w:val="en-US" w:eastAsia="zh-CN"/>
              </w:rPr>
              <w:t>有</w:t>
            </w:r>
            <w:r>
              <w:rPr>
                <w:rFonts w:hint="eastAsia" w:ascii="宋体" w:hAnsi="宋体" w:cs="宋体"/>
                <w:color w:val="auto"/>
                <w:sz w:val="24"/>
              </w:rPr>
              <w:t>上牌大型洒水车1辆（或高压清洗车）</w:t>
            </w:r>
            <w:r>
              <w:rPr>
                <w:rFonts w:hint="eastAsia" w:ascii="宋体" w:hAnsi="宋体" w:cs="宋体"/>
                <w:color w:val="auto"/>
                <w:sz w:val="24"/>
                <w:lang w:eastAsia="zh-CN"/>
              </w:rPr>
              <w:t>，</w:t>
            </w:r>
            <w:r>
              <w:rPr>
                <w:rFonts w:hint="eastAsia" w:ascii="宋体" w:hAnsi="宋体" w:cs="宋体"/>
                <w:color w:val="auto"/>
                <w:sz w:val="24"/>
              </w:rPr>
              <w:t>车辆要求总质量18吨</w:t>
            </w:r>
            <w:r>
              <w:rPr>
                <w:rFonts w:hint="eastAsia" w:ascii="宋体" w:hAnsi="宋体" w:cs="宋体"/>
                <w:color w:val="auto"/>
                <w:sz w:val="24"/>
                <w:lang w:val="en-US" w:eastAsia="zh-CN"/>
              </w:rPr>
              <w:t>及</w:t>
            </w:r>
            <w:r>
              <w:rPr>
                <w:rFonts w:hint="eastAsia" w:ascii="宋体" w:hAnsi="宋体" w:cs="宋体"/>
                <w:color w:val="auto"/>
                <w:sz w:val="24"/>
              </w:rPr>
              <w:t>以上，或采购价格不低于</w:t>
            </w:r>
            <w:r>
              <w:rPr>
                <w:rFonts w:hint="eastAsia" w:ascii="宋体" w:hAnsi="宋体" w:cs="宋体"/>
                <w:color w:val="auto"/>
                <w:sz w:val="24"/>
                <w:lang w:val="en-US" w:eastAsia="zh-CN"/>
              </w:rPr>
              <w:t>26</w:t>
            </w:r>
            <w:r>
              <w:rPr>
                <w:rFonts w:hint="eastAsia" w:ascii="宋体" w:hAnsi="宋体" w:cs="宋体"/>
                <w:color w:val="auto"/>
                <w:sz w:val="24"/>
              </w:rPr>
              <w:t>万元；③自</w:t>
            </w:r>
            <w:r>
              <w:rPr>
                <w:rFonts w:hint="eastAsia" w:ascii="宋体" w:hAnsi="宋体" w:cs="宋体"/>
                <w:color w:val="auto"/>
                <w:sz w:val="24"/>
                <w:lang w:val="en-US" w:eastAsia="zh-CN"/>
              </w:rPr>
              <w:t>有</w:t>
            </w:r>
            <w:r>
              <w:rPr>
                <w:rFonts w:hint="eastAsia" w:ascii="宋体" w:hAnsi="宋体" w:cs="宋体"/>
                <w:color w:val="auto"/>
                <w:sz w:val="24"/>
              </w:rPr>
              <w:t>垃圾压缩车4辆，车辆要求总质量</w:t>
            </w:r>
            <w:r>
              <w:rPr>
                <w:rFonts w:hint="eastAsia" w:ascii="宋体" w:hAnsi="宋体" w:cs="宋体"/>
                <w:color w:val="auto"/>
                <w:sz w:val="24"/>
                <w:lang w:val="en-US" w:eastAsia="zh-CN"/>
              </w:rPr>
              <w:t>8</w:t>
            </w:r>
            <w:r>
              <w:rPr>
                <w:rFonts w:hint="eastAsia" w:ascii="宋体" w:hAnsi="宋体" w:cs="宋体"/>
                <w:color w:val="auto"/>
                <w:sz w:val="24"/>
              </w:rPr>
              <w:t>吨</w:t>
            </w:r>
            <w:r>
              <w:rPr>
                <w:rFonts w:hint="eastAsia" w:ascii="宋体" w:hAnsi="宋体" w:cs="宋体"/>
                <w:color w:val="auto"/>
                <w:sz w:val="24"/>
                <w:lang w:val="en-US" w:eastAsia="zh-CN"/>
              </w:rPr>
              <w:t>-9吨（含以上数字）</w:t>
            </w:r>
            <w:r>
              <w:rPr>
                <w:rFonts w:hint="eastAsia" w:ascii="宋体" w:hAnsi="宋体" w:cs="宋体"/>
                <w:color w:val="auto"/>
                <w:sz w:val="24"/>
                <w:lang w:eastAsia="zh-CN"/>
              </w:rPr>
              <w:t>，</w:t>
            </w:r>
            <w:r>
              <w:rPr>
                <w:rFonts w:hint="eastAsia" w:ascii="宋体" w:hAnsi="宋体" w:cs="宋体"/>
                <w:color w:val="auto"/>
                <w:sz w:val="24"/>
                <w:lang w:val="en-US" w:eastAsia="zh-CN"/>
              </w:rPr>
              <w:t>或</w:t>
            </w:r>
            <w:r>
              <w:rPr>
                <w:rFonts w:hint="eastAsia" w:ascii="宋体" w:hAnsi="宋体" w:cs="宋体"/>
                <w:color w:val="auto"/>
                <w:sz w:val="24"/>
              </w:rPr>
              <w:t>采购价格</w:t>
            </w:r>
            <w:r>
              <w:rPr>
                <w:rFonts w:hint="eastAsia" w:ascii="宋体" w:hAnsi="宋体" w:cs="宋体"/>
                <w:color w:val="auto"/>
                <w:sz w:val="24"/>
                <w:lang w:val="en-US" w:eastAsia="zh-CN"/>
              </w:rPr>
              <w:t>每辆</w:t>
            </w:r>
            <w:r>
              <w:rPr>
                <w:rFonts w:hint="eastAsia" w:ascii="宋体" w:hAnsi="宋体" w:cs="宋体"/>
                <w:color w:val="auto"/>
                <w:sz w:val="24"/>
              </w:rPr>
              <w:t>不低于2</w:t>
            </w:r>
            <w:r>
              <w:rPr>
                <w:rFonts w:hint="eastAsia" w:ascii="宋体" w:hAnsi="宋体" w:cs="宋体"/>
                <w:color w:val="auto"/>
                <w:sz w:val="24"/>
                <w:lang w:val="en-US" w:eastAsia="zh-CN"/>
              </w:rPr>
              <w:t>1</w:t>
            </w:r>
            <w:r>
              <w:rPr>
                <w:rFonts w:hint="eastAsia" w:ascii="宋体" w:hAnsi="宋体" w:cs="宋体"/>
                <w:color w:val="auto"/>
                <w:sz w:val="24"/>
              </w:rPr>
              <w:t>万元。①-③项共</w:t>
            </w:r>
            <w:r>
              <w:rPr>
                <w:rFonts w:hint="eastAsia" w:ascii="宋体" w:hAnsi="宋体" w:cs="宋体"/>
                <w:color w:val="auto"/>
                <w:sz w:val="24"/>
                <w:lang w:val="en-US" w:eastAsia="zh-CN"/>
              </w:rPr>
              <w:t>12</w:t>
            </w:r>
            <w:r>
              <w:rPr>
                <w:rFonts w:hint="eastAsia" w:ascii="宋体" w:hAnsi="宋体" w:cs="宋体"/>
                <w:color w:val="auto"/>
                <w:sz w:val="24"/>
              </w:rPr>
              <w:t>分，每少一辆扣</w:t>
            </w:r>
            <w:r>
              <w:rPr>
                <w:rFonts w:hint="eastAsia" w:ascii="宋体" w:hAnsi="宋体" w:cs="宋体"/>
                <w:color w:val="auto"/>
                <w:sz w:val="24"/>
                <w:lang w:val="en-US" w:eastAsia="zh-CN"/>
              </w:rPr>
              <w:t>2</w:t>
            </w:r>
            <w:r>
              <w:rPr>
                <w:rFonts w:hint="eastAsia" w:ascii="宋体" w:hAnsi="宋体" w:cs="宋体"/>
                <w:color w:val="auto"/>
                <w:sz w:val="24"/>
              </w:rPr>
              <w:t>分，扣完为止。</w:t>
            </w:r>
            <w:r>
              <w:rPr>
                <w:rFonts w:hint="eastAsia" w:ascii="宋体" w:hAnsi="宋体" w:cs="宋体"/>
                <w:color w:val="auto"/>
                <w:sz w:val="24"/>
              </w:rPr>
              <w:br w:type="textWrapping"/>
            </w:r>
            <w:r>
              <w:rPr>
                <w:rFonts w:hint="eastAsia" w:ascii="宋体" w:hAnsi="宋体" w:cs="宋体"/>
                <w:color w:val="auto"/>
                <w:sz w:val="24"/>
              </w:rPr>
              <w:t>备注：自备上牌车辆要求首次采购时间在20</w:t>
            </w:r>
            <w:r>
              <w:rPr>
                <w:rFonts w:hint="eastAsia" w:ascii="宋体" w:hAnsi="宋体" w:cs="宋体"/>
                <w:color w:val="auto"/>
                <w:sz w:val="24"/>
                <w:lang w:val="en-US" w:eastAsia="zh-CN"/>
              </w:rPr>
              <w:t>20</w:t>
            </w:r>
            <w:r>
              <w:rPr>
                <w:rFonts w:hint="eastAsia" w:ascii="宋体" w:hAnsi="宋体" w:cs="宋体"/>
                <w:color w:val="auto"/>
                <w:sz w:val="24"/>
              </w:rPr>
              <w:t>年1月1日（含）后，需同时提供车辆购置发票、车辆行驶证、车辆登记证，需提供车辆购置发票，否则不得分。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48F64FED">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12</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74C9BD57">
            <w:pPr>
              <w:widowControl/>
              <w:jc w:val="center"/>
              <w:textAlignment w:val="center"/>
              <w:rPr>
                <w:rFonts w:hint="eastAsia" w:ascii="宋体" w:hAnsi="宋体" w:cs="宋体"/>
                <w:bCs/>
                <w:color w:val="auto"/>
                <w:sz w:val="24"/>
              </w:rPr>
            </w:pPr>
            <w:r>
              <w:rPr>
                <w:rFonts w:hint="eastAsia" w:ascii="宋体" w:hAnsi="宋体" w:cs="宋体"/>
                <w:bCs/>
                <w:color w:val="auto"/>
                <w:sz w:val="24"/>
              </w:rPr>
              <w:t>客观分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00433A71">
            <w:pPr>
              <w:jc w:val="center"/>
              <w:textAlignment w:val="center"/>
              <w:rPr>
                <w:rFonts w:hint="eastAsia" w:ascii="宋体" w:hAnsi="宋体" w:cs="宋体"/>
                <w:bCs/>
                <w:color w:val="auto"/>
                <w:sz w:val="24"/>
              </w:rPr>
            </w:pPr>
          </w:p>
        </w:tc>
      </w:tr>
      <w:tr w14:paraId="78016840">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33D47F1F">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6</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0CB95028">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lang w:val="en-US" w:eastAsia="zh-CN"/>
              </w:rPr>
              <w:t>1、</w:t>
            </w:r>
            <w:r>
              <w:rPr>
                <w:rFonts w:hint="eastAsia" w:ascii="宋体" w:hAnsi="宋体" w:cs="宋体"/>
                <w:color w:val="auto"/>
                <w:sz w:val="24"/>
              </w:rPr>
              <w:t>承诺配置路面养护车2辆；</w:t>
            </w:r>
            <w:r>
              <w:rPr>
                <w:rFonts w:hint="eastAsia" w:ascii="宋体" w:hAnsi="宋体" w:cs="宋体"/>
                <w:color w:val="auto"/>
                <w:sz w:val="24"/>
                <w:lang w:val="en-US" w:eastAsia="zh-CN"/>
              </w:rPr>
              <w:t>2、</w:t>
            </w:r>
            <w:r>
              <w:rPr>
                <w:rFonts w:hint="eastAsia" w:ascii="宋体" w:hAnsi="宋体" w:cs="宋体"/>
                <w:color w:val="auto"/>
                <w:sz w:val="24"/>
              </w:rPr>
              <w:t>承诺配置快速保洁车</w:t>
            </w:r>
            <w:r>
              <w:rPr>
                <w:rFonts w:hint="eastAsia" w:ascii="宋体" w:hAnsi="宋体" w:cs="宋体"/>
                <w:color w:val="auto"/>
                <w:sz w:val="24"/>
                <w:lang w:val="en-US" w:eastAsia="zh-CN"/>
              </w:rPr>
              <w:t>4</w:t>
            </w:r>
            <w:r>
              <w:rPr>
                <w:rFonts w:hint="eastAsia" w:ascii="宋体" w:hAnsi="宋体" w:cs="宋体"/>
                <w:color w:val="auto"/>
                <w:sz w:val="24"/>
              </w:rPr>
              <w:t>辆</w:t>
            </w:r>
            <w:r>
              <w:rPr>
                <w:rFonts w:hint="eastAsia" w:ascii="宋体" w:hAnsi="宋体" w:cs="宋体"/>
                <w:color w:val="auto"/>
                <w:sz w:val="24"/>
                <w:lang w:eastAsia="zh-CN"/>
              </w:rPr>
              <w:t>；</w:t>
            </w:r>
            <w:r>
              <w:rPr>
                <w:rFonts w:hint="eastAsia" w:ascii="宋体" w:hAnsi="宋体" w:cs="宋体"/>
                <w:color w:val="auto"/>
                <w:sz w:val="24"/>
              </w:rPr>
              <w:t>共</w:t>
            </w:r>
            <w:r>
              <w:rPr>
                <w:rFonts w:hint="eastAsia" w:ascii="宋体" w:hAnsi="宋体" w:cs="宋体"/>
                <w:color w:val="auto"/>
                <w:sz w:val="24"/>
                <w:lang w:val="en-US" w:eastAsia="zh-CN"/>
              </w:rPr>
              <w:t>3</w:t>
            </w:r>
            <w:r>
              <w:rPr>
                <w:rFonts w:hint="eastAsia" w:ascii="宋体" w:hAnsi="宋体" w:cs="宋体"/>
                <w:color w:val="auto"/>
                <w:sz w:val="24"/>
              </w:rPr>
              <w:t>分，每少一</w:t>
            </w:r>
            <w:r>
              <w:rPr>
                <w:rFonts w:hint="eastAsia" w:ascii="宋体" w:hAnsi="宋体" w:cs="宋体"/>
                <w:color w:val="auto"/>
                <w:sz w:val="24"/>
                <w:lang w:val="en-US" w:eastAsia="zh-CN"/>
              </w:rPr>
              <w:t>辆</w:t>
            </w:r>
            <w:r>
              <w:rPr>
                <w:rFonts w:hint="eastAsia" w:ascii="宋体" w:hAnsi="宋体" w:cs="宋体"/>
                <w:color w:val="auto"/>
                <w:sz w:val="24"/>
              </w:rPr>
              <w:t>扣0.5分，扣完为止。</w:t>
            </w:r>
            <w:r>
              <w:rPr>
                <w:rFonts w:hint="eastAsia" w:ascii="宋体" w:hAnsi="宋体" w:cs="宋体"/>
                <w:color w:val="auto"/>
                <w:sz w:val="24"/>
              </w:rPr>
              <w:br w:type="textWrapping"/>
            </w:r>
            <w:r>
              <w:rPr>
                <w:rFonts w:hint="eastAsia" w:ascii="宋体" w:hAnsi="宋体" w:cs="宋体"/>
                <w:color w:val="auto"/>
                <w:sz w:val="24"/>
              </w:rPr>
              <w:t>备注：承诺车辆202</w:t>
            </w:r>
            <w:r>
              <w:rPr>
                <w:rFonts w:hint="eastAsia" w:ascii="宋体" w:hAnsi="宋体" w:cs="宋体"/>
                <w:color w:val="auto"/>
                <w:sz w:val="24"/>
                <w:lang w:val="en-US" w:eastAsia="zh-CN"/>
              </w:rPr>
              <w:t>5</w:t>
            </w:r>
            <w:r>
              <w:rPr>
                <w:rFonts w:hint="eastAsia" w:ascii="宋体" w:hAnsi="宋体" w:cs="宋体"/>
                <w:color w:val="auto"/>
                <w:sz w:val="24"/>
              </w:rPr>
              <w:t>年</w:t>
            </w:r>
            <w:r>
              <w:rPr>
                <w:rFonts w:hint="eastAsia" w:ascii="宋体" w:hAnsi="宋体" w:cs="宋体"/>
                <w:color w:val="auto"/>
                <w:sz w:val="24"/>
                <w:lang w:val="en-US" w:eastAsia="zh-CN"/>
              </w:rPr>
              <w:t>4</w:t>
            </w:r>
            <w:r>
              <w:rPr>
                <w:rFonts w:hint="eastAsia" w:ascii="宋体" w:hAnsi="宋体" w:cs="宋体"/>
                <w:color w:val="auto"/>
                <w:sz w:val="24"/>
              </w:rPr>
              <w:t>月</w:t>
            </w:r>
            <w:r>
              <w:rPr>
                <w:rFonts w:hint="eastAsia" w:ascii="宋体" w:hAnsi="宋体" w:cs="宋体"/>
                <w:color w:val="auto"/>
                <w:sz w:val="24"/>
                <w:lang w:val="en-US" w:eastAsia="zh-CN"/>
              </w:rPr>
              <w:t>30</w:t>
            </w:r>
            <w:r>
              <w:rPr>
                <w:rFonts w:hint="eastAsia" w:ascii="宋体" w:hAnsi="宋体" w:cs="宋体"/>
                <w:color w:val="auto"/>
                <w:sz w:val="24"/>
              </w:rPr>
              <w:t>日前完成配置并投入使用,否则不得分。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1DFCDCA8">
            <w:pPr>
              <w:widowControl/>
              <w:jc w:val="center"/>
              <w:textAlignment w:val="center"/>
              <w:rPr>
                <w:rFonts w:hint="default" w:ascii="宋体" w:hAnsi="宋体" w:eastAsia="宋体" w:cs="宋体"/>
                <w:bCs/>
                <w:color w:val="auto"/>
                <w:sz w:val="24"/>
                <w:lang w:val="en-US" w:eastAsia="zh-CN"/>
              </w:rPr>
            </w:pPr>
            <w:r>
              <w:rPr>
                <w:rFonts w:hint="eastAsia" w:ascii="宋体" w:hAnsi="宋体" w:eastAsia="宋体" w:cs="宋体"/>
                <w:bCs/>
                <w:color w:val="auto"/>
                <w:sz w:val="24"/>
                <w:lang w:val="en-US" w:eastAsia="zh-CN"/>
              </w:rPr>
              <w:t>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11DDAB01">
            <w:pPr>
              <w:widowControl/>
              <w:jc w:val="center"/>
              <w:textAlignment w:val="center"/>
              <w:rPr>
                <w:rFonts w:hint="eastAsia" w:ascii="宋体" w:hAnsi="宋体" w:cs="宋体"/>
                <w:bCs/>
                <w:color w:val="auto"/>
                <w:sz w:val="24"/>
              </w:rPr>
            </w:pPr>
            <w:r>
              <w:rPr>
                <w:rFonts w:hint="eastAsia" w:ascii="宋体" w:hAnsi="宋体" w:cs="宋体"/>
                <w:bCs/>
                <w:color w:val="auto"/>
                <w:sz w:val="24"/>
              </w:rPr>
              <w:t>客观分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0C946F14">
            <w:pPr>
              <w:widowControl/>
              <w:jc w:val="center"/>
              <w:textAlignment w:val="center"/>
              <w:rPr>
                <w:rFonts w:hint="eastAsia" w:ascii="宋体" w:hAnsi="宋体" w:cs="宋体"/>
                <w:bCs/>
                <w:color w:val="auto"/>
                <w:sz w:val="24"/>
              </w:rPr>
            </w:pPr>
          </w:p>
        </w:tc>
      </w:tr>
      <w:tr w14:paraId="4CFAB60F">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639D2CF7">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7</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508F5057">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default" w:ascii="宋体" w:hAnsi="宋体" w:eastAsia="宋体" w:cs="宋体"/>
                <w:color w:val="auto"/>
                <w:sz w:val="24"/>
                <w:lang w:val="en-US" w:eastAsia="zh-CN"/>
              </w:rPr>
            </w:pPr>
            <w:r>
              <w:rPr>
                <w:rFonts w:hint="eastAsia" w:ascii="宋体" w:hAnsi="宋体" w:cs="宋体"/>
                <w:color w:val="auto"/>
                <w:sz w:val="24"/>
              </w:rPr>
              <w:t>投标人针对临安区青山湖街道横畈集镇及14个行政村实际情况，提出具体方案（包含：1、保洁服务主要工作内容；2、作业标准；3、清扫保洁时间；4、人工清扫保洁作业规范；5、洒水车（高压清洗车）作业规范；6、居民社区里弄小巷保洁作业规范；7、交通隔离护栏、果壳箱等保洁作业规范；8、垃圾清运作业规范；9、牛皮癣（非法涂写）作业规范；10、无主垃圾作业规范）</w:t>
            </w:r>
            <w:r>
              <w:rPr>
                <w:rFonts w:hint="eastAsia" w:ascii="宋体" w:hAnsi="宋体" w:cs="宋体"/>
                <w:color w:val="auto"/>
                <w:sz w:val="24"/>
                <w:lang w:eastAsia="zh-CN"/>
              </w:rPr>
              <w:t>；</w:t>
            </w:r>
            <w:r>
              <w:rPr>
                <w:rFonts w:hint="eastAsia" w:ascii="宋体" w:hAnsi="宋体" w:cs="宋体"/>
                <w:color w:val="auto"/>
                <w:sz w:val="24"/>
                <w:lang w:val="en-US" w:eastAsia="zh-CN"/>
              </w:rPr>
              <w:t>11、</w:t>
            </w:r>
            <w:r>
              <w:rPr>
                <w:rFonts w:hint="eastAsia" w:ascii="宋体" w:hAnsi="宋体" w:cs="宋体"/>
                <w:color w:val="auto"/>
                <w:sz w:val="24"/>
                <w:lang w:eastAsia="zh-CN"/>
              </w:rPr>
              <w:t>横畈集镇沿街商铺生活垃圾摇铃收集、小区上门收集工作。</w:t>
            </w:r>
            <w:r>
              <w:rPr>
                <w:rFonts w:hint="eastAsia" w:ascii="宋体" w:hAnsi="宋体" w:cs="宋体"/>
                <w:color w:val="auto"/>
                <w:sz w:val="24"/>
              </w:rPr>
              <w:t>每项方案未提供或不符合的不得分，部分符合得</w:t>
            </w:r>
            <w:r>
              <w:rPr>
                <w:rFonts w:hint="eastAsia" w:ascii="宋体" w:hAnsi="宋体" w:cs="宋体"/>
                <w:color w:val="auto"/>
                <w:sz w:val="24"/>
                <w:lang w:val="en-US" w:eastAsia="zh-CN"/>
              </w:rPr>
              <w:t>1</w:t>
            </w:r>
            <w:r>
              <w:rPr>
                <w:rFonts w:hint="eastAsia" w:ascii="宋体" w:hAnsi="宋体" w:cs="宋体"/>
                <w:color w:val="auto"/>
                <w:sz w:val="24"/>
              </w:rPr>
              <w:t>分，</w:t>
            </w:r>
            <w:r>
              <w:rPr>
                <w:rFonts w:hint="eastAsia" w:ascii="宋体" w:hAnsi="宋体" w:cs="宋体"/>
                <w:color w:val="auto"/>
                <w:sz w:val="24"/>
                <w:lang w:val="en-US" w:eastAsia="zh-CN"/>
              </w:rPr>
              <w:t>基本符合的得2分，</w:t>
            </w:r>
            <w:r>
              <w:rPr>
                <w:rFonts w:hint="eastAsia" w:ascii="宋体" w:hAnsi="宋体" w:cs="宋体"/>
                <w:color w:val="auto"/>
                <w:sz w:val="24"/>
              </w:rPr>
              <w:t>符合的得</w:t>
            </w:r>
            <w:r>
              <w:rPr>
                <w:rFonts w:hint="eastAsia" w:ascii="宋体" w:hAnsi="宋体" w:cs="宋体"/>
                <w:color w:val="auto"/>
                <w:sz w:val="24"/>
                <w:lang w:val="en-US" w:eastAsia="zh-CN"/>
              </w:rPr>
              <w:t>3</w:t>
            </w:r>
            <w:r>
              <w:rPr>
                <w:rFonts w:hint="eastAsia" w:ascii="宋体" w:hAnsi="宋体" w:cs="宋体"/>
                <w:color w:val="auto"/>
                <w:sz w:val="24"/>
              </w:rPr>
              <w:t>分。</w:t>
            </w:r>
            <w:r>
              <w:rPr>
                <w:rFonts w:hint="eastAsia" w:ascii="宋体" w:hAnsi="宋体" w:cs="宋体"/>
                <w:color w:val="auto"/>
                <w:sz w:val="24"/>
                <w:lang w:val="en-US" w:eastAsia="zh-CN"/>
              </w:rPr>
              <w:t>共33分。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28CA1772">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33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67A8E8A1">
            <w:pPr>
              <w:widowControl/>
              <w:jc w:val="center"/>
              <w:textAlignment w:val="center"/>
              <w:rPr>
                <w:rFonts w:hint="eastAsia" w:ascii="宋体" w:hAnsi="宋体" w:cs="宋体"/>
                <w:bCs/>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54E18F7D">
            <w:pPr>
              <w:widowControl/>
              <w:jc w:val="center"/>
              <w:textAlignment w:val="center"/>
              <w:rPr>
                <w:rFonts w:hint="eastAsia" w:ascii="宋体" w:hAnsi="宋体" w:cs="宋体"/>
                <w:bCs/>
                <w:color w:val="auto"/>
                <w:sz w:val="24"/>
              </w:rPr>
            </w:pPr>
          </w:p>
        </w:tc>
      </w:tr>
      <w:tr w14:paraId="5AC734AC">
        <w:tblPrEx>
          <w:tblCellMar>
            <w:top w:w="0" w:type="dxa"/>
            <w:left w:w="108" w:type="dxa"/>
            <w:bottom w:w="0" w:type="dxa"/>
            <w:right w:w="108" w:type="dxa"/>
          </w:tblCellMar>
        </w:tblPrEx>
        <w:trPr>
          <w:trHeight w:val="51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19DFBAB4">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8</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009F04FC">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投标人突破传统运作模式，针对①项目管理、②作业措施、③人员管理、④设施管理等环节运用智能化管理措施的，且措施科学合理的每项得</w:t>
            </w:r>
            <w:r>
              <w:rPr>
                <w:rFonts w:hint="eastAsia" w:ascii="宋体" w:hAnsi="宋体" w:cs="宋体"/>
                <w:color w:val="auto"/>
                <w:sz w:val="24"/>
                <w:lang w:val="en-US" w:eastAsia="zh-CN"/>
              </w:rPr>
              <w:t>2</w:t>
            </w:r>
            <w:r>
              <w:rPr>
                <w:rFonts w:hint="eastAsia" w:ascii="宋体" w:hAnsi="宋体" w:cs="宋体"/>
                <w:color w:val="auto"/>
                <w:sz w:val="24"/>
              </w:rPr>
              <w:t>分，基本完善的每项得</w:t>
            </w:r>
            <w:r>
              <w:rPr>
                <w:rFonts w:hint="eastAsia" w:ascii="宋体" w:hAnsi="宋体" w:cs="宋体"/>
                <w:color w:val="auto"/>
                <w:sz w:val="24"/>
                <w:lang w:val="en-US" w:eastAsia="zh-CN"/>
              </w:rPr>
              <w:t>1</w:t>
            </w:r>
            <w:r>
              <w:rPr>
                <w:rFonts w:hint="eastAsia" w:ascii="宋体" w:hAnsi="宋体" w:cs="宋体"/>
                <w:color w:val="auto"/>
                <w:sz w:val="24"/>
              </w:rPr>
              <w:t>分，部分完善的每项的得</w:t>
            </w:r>
            <w:r>
              <w:rPr>
                <w:rFonts w:hint="eastAsia" w:ascii="宋体" w:hAnsi="宋体" w:cs="宋体"/>
                <w:color w:val="auto"/>
                <w:sz w:val="24"/>
                <w:lang w:val="en-US" w:eastAsia="zh-CN"/>
              </w:rPr>
              <w:t>0.5</w:t>
            </w:r>
            <w:r>
              <w:rPr>
                <w:rFonts w:hint="eastAsia" w:ascii="宋体" w:hAnsi="宋体" w:cs="宋体"/>
                <w:color w:val="auto"/>
                <w:sz w:val="24"/>
              </w:rPr>
              <w:t>分，不符合或未提供不得分，最高得</w:t>
            </w:r>
            <w:r>
              <w:rPr>
                <w:rFonts w:hint="eastAsia" w:ascii="宋体" w:hAnsi="宋体" w:cs="宋体"/>
                <w:color w:val="auto"/>
                <w:sz w:val="24"/>
                <w:lang w:val="en-US" w:eastAsia="zh-CN"/>
              </w:rPr>
              <w:t>8</w:t>
            </w:r>
            <w:r>
              <w:rPr>
                <w:rFonts w:hint="eastAsia" w:ascii="宋体" w:hAnsi="宋体" w:cs="宋体"/>
                <w:color w:val="auto"/>
                <w:sz w:val="24"/>
              </w:rPr>
              <w:t>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75704620">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8</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5ADF0B3D">
            <w:pPr>
              <w:widowControl/>
              <w:jc w:val="center"/>
              <w:textAlignment w:val="center"/>
              <w:rPr>
                <w:rFonts w:hint="eastAsia" w:ascii="宋体" w:hAnsi="宋体" w:cs="宋体"/>
                <w:bCs/>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660C79B9">
            <w:pPr>
              <w:widowControl/>
              <w:jc w:val="center"/>
              <w:textAlignment w:val="center"/>
              <w:rPr>
                <w:rFonts w:hint="eastAsia" w:ascii="宋体" w:hAnsi="宋体" w:cs="宋体"/>
                <w:bCs/>
                <w:color w:val="auto"/>
                <w:sz w:val="24"/>
              </w:rPr>
            </w:pPr>
          </w:p>
        </w:tc>
      </w:tr>
      <w:tr w14:paraId="0748C102">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1070C611">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9</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2643DD20">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投标人针对实际情况，提出在交接过渡期内原区域人员及设备的交接安排方案。方案完整、合理、有针对性，并能保证人员及设备平稳过渡的视为符合。符合的得</w:t>
            </w:r>
            <w:r>
              <w:rPr>
                <w:rFonts w:hint="eastAsia" w:ascii="宋体" w:hAnsi="宋体" w:cs="宋体"/>
                <w:color w:val="auto"/>
                <w:sz w:val="24"/>
                <w:lang w:val="en-US" w:eastAsia="zh-CN"/>
              </w:rPr>
              <w:t>3</w:t>
            </w:r>
            <w:r>
              <w:rPr>
                <w:rFonts w:hint="eastAsia" w:ascii="宋体" w:hAnsi="宋体" w:cs="宋体"/>
                <w:color w:val="auto"/>
                <w:sz w:val="24"/>
              </w:rPr>
              <w:t>分，</w:t>
            </w:r>
            <w:r>
              <w:rPr>
                <w:rFonts w:hint="eastAsia" w:ascii="宋体" w:hAnsi="宋体" w:cs="宋体"/>
                <w:color w:val="auto"/>
                <w:sz w:val="24"/>
                <w:lang w:val="en-US" w:eastAsia="zh-CN"/>
              </w:rPr>
              <w:t>基本符合的的2分，</w:t>
            </w:r>
            <w:r>
              <w:rPr>
                <w:rFonts w:hint="eastAsia" w:ascii="宋体" w:hAnsi="宋体" w:cs="宋体"/>
                <w:color w:val="auto"/>
                <w:sz w:val="24"/>
              </w:rPr>
              <w:t>部分符合得1分，不符合或未提供不得分。共</w:t>
            </w:r>
            <w:r>
              <w:rPr>
                <w:rFonts w:hint="eastAsia" w:ascii="宋体" w:hAnsi="宋体" w:cs="宋体"/>
                <w:color w:val="auto"/>
                <w:sz w:val="24"/>
                <w:lang w:val="en-US" w:eastAsia="zh-CN"/>
              </w:rPr>
              <w:t>3</w:t>
            </w:r>
            <w:r>
              <w:rPr>
                <w:rFonts w:hint="eastAsia" w:ascii="宋体" w:hAnsi="宋体" w:cs="宋体"/>
                <w:color w:val="auto"/>
                <w:sz w:val="24"/>
              </w:rPr>
              <w:t>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5ADE2880">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15FD28EA">
            <w:pPr>
              <w:widowControl/>
              <w:jc w:val="center"/>
              <w:textAlignment w:val="center"/>
              <w:rPr>
                <w:rFonts w:hint="eastAsia" w:ascii="宋体" w:hAnsi="宋体" w:cs="宋体"/>
                <w:bCs/>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13AB0258">
            <w:pPr>
              <w:widowControl/>
              <w:jc w:val="center"/>
              <w:textAlignment w:val="center"/>
              <w:rPr>
                <w:rFonts w:hint="eastAsia" w:ascii="宋体" w:hAnsi="宋体" w:cs="宋体"/>
                <w:bCs/>
                <w:color w:val="auto"/>
                <w:sz w:val="24"/>
              </w:rPr>
            </w:pPr>
          </w:p>
        </w:tc>
      </w:tr>
      <w:tr w14:paraId="605ACD0E">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4C97A13E">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10</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28C378D9">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投标人提供安全保证措施及服务质量保证措施，符合的得</w:t>
            </w:r>
            <w:r>
              <w:rPr>
                <w:rFonts w:hint="eastAsia" w:ascii="宋体" w:hAnsi="宋体" w:cs="宋体"/>
                <w:color w:val="auto"/>
                <w:sz w:val="24"/>
                <w:lang w:val="en-US" w:eastAsia="zh-CN"/>
              </w:rPr>
              <w:t>3</w:t>
            </w:r>
            <w:r>
              <w:rPr>
                <w:rFonts w:hint="eastAsia" w:ascii="宋体" w:hAnsi="宋体" w:cs="宋体"/>
                <w:color w:val="auto"/>
                <w:sz w:val="24"/>
              </w:rPr>
              <w:t>分，</w:t>
            </w:r>
            <w:r>
              <w:rPr>
                <w:rFonts w:hint="eastAsia" w:ascii="宋体" w:hAnsi="宋体" w:cs="宋体"/>
                <w:color w:val="auto"/>
                <w:sz w:val="24"/>
                <w:lang w:val="en-US" w:eastAsia="zh-CN"/>
              </w:rPr>
              <w:t>基本符合的的2分，</w:t>
            </w:r>
            <w:r>
              <w:rPr>
                <w:rFonts w:hint="eastAsia" w:ascii="宋体" w:hAnsi="宋体" w:cs="宋体"/>
                <w:color w:val="auto"/>
                <w:sz w:val="24"/>
              </w:rPr>
              <w:t>部分符合得1分，不符合或未提供不得分。共</w:t>
            </w:r>
            <w:r>
              <w:rPr>
                <w:rFonts w:hint="eastAsia" w:ascii="宋体" w:hAnsi="宋体" w:cs="宋体"/>
                <w:color w:val="auto"/>
                <w:sz w:val="24"/>
                <w:lang w:val="en-US" w:eastAsia="zh-CN"/>
              </w:rPr>
              <w:t>3</w:t>
            </w:r>
            <w:r>
              <w:rPr>
                <w:rFonts w:hint="eastAsia" w:ascii="宋体" w:hAnsi="宋体" w:cs="宋体"/>
                <w:color w:val="auto"/>
                <w:sz w:val="24"/>
              </w:rPr>
              <w:t>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7C77DE1F">
            <w:pPr>
              <w:widowControl/>
              <w:jc w:val="center"/>
              <w:textAlignment w:val="center"/>
              <w:rPr>
                <w:rFonts w:hint="default" w:ascii="宋体" w:hAnsi="宋体" w:eastAsia="宋体" w:cs="宋体"/>
                <w:bCs/>
                <w:color w:val="auto"/>
                <w:sz w:val="24"/>
                <w:lang w:val="en-US" w:eastAsia="zh-CN"/>
              </w:rPr>
            </w:pPr>
            <w:r>
              <w:rPr>
                <w:rFonts w:hint="eastAsia" w:ascii="宋体" w:hAnsi="宋体" w:eastAsia="宋体" w:cs="宋体"/>
                <w:bCs/>
                <w:color w:val="auto"/>
                <w:sz w:val="24"/>
                <w:lang w:val="en-US" w:eastAsia="zh-CN"/>
              </w:rPr>
              <w:t>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272966C6">
            <w:pPr>
              <w:widowControl/>
              <w:jc w:val="center"/>
              <w:textAlignment w:val="center"/>
              <w:rPr>
                <w:rFonts w:hint="eastAsia" w:ascii="宋体" w:hAnsi="宋体" w:cs="宋体"/>
                <w:bCs/>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697C0A66">
            <w:pPr>
              <w:widowControl/>
              <w:jc w:val="center"/>
              <w:textAlignment w:val="center"/>
              <w:rPr>
                <w:rFonts w:hint="eastAsia" w:ascii="宋体" w:hAnsi="宋体" w:cs="宋体"/>
                <w:bCs/>
                <w:color w:val="auto"/>
                <w:sz w:val="24"/>
              </w:rPr>
            </w:pPr>
          </w:p>
        </w:tc>
      </w:tr>
      <w:tr w14:paraId="38058C8D">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0141C456">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rPr>
              <w:t>1</w:t>
            </w:r>
            <w:r>
              <w:rPr>
                <w:rFonts w:hint="eastAsia" w:ascii="宋体" w:hAnsi="宋体" w:cs="宋体"/>
                <w:bCs/>
                <w:color w:val="auto"/>
                <w:sz w:val="24"/>
                <w:lang w:val="en-US" w:eastAsia="zh-CN"/>
              </w:rPr>
              <w:t>1</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39CC94A8">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对本项目服务有合理化建议，并制订具体实施措施及方案，每提供一个建议及方案的得1分，最高得</w:t>
            </w:r>
            <w:r>
              <w:rPr>
                <w:rFonts w:hint="eastAsia" w:ascii="宋体" w:hAnsi="宋体" w:cs="宋体"/>
                <w:color w:val="auto"/>
                <w:sz w:val="24"/>
                <w:lang w:val="en-US" w:eastAsia="zh-CN"/>
              </w:rPr>
              <w:t>3</w:t>
            </w:r>
            <w:r>
              <w:rPr>
                <w:rFonts w:hint="eastAsia" w:ascii="宋体" w:hAnsi="宋体" w:cs="宋体"/>
                <w:color w:val="auto"/>
                <w:sz w:val="24"/>
              </w:rPr>
              <w:t>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1051FC66">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5D0BCDC4">
            <w:pPr>
              <w:widowControl/>
              <w:jc w:val="center"/>
              <w:textAlignment w:val="center"/>
              <w:rPr>
                <w:rFonts w:hint="eastAsia" w:ascii="宋体" w:hAnsi="宋体" w:cs="宋体"/>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0023DBEF">
            <w:pPr>
              <w:widowControl/>
              <w:jc w:val="center"/>
              <w:textAlignment w:val="center"/>
              <w:rPr>
                <w:rFonts w:hint="eastAsia" w:ascii="宋体" w:hAnsi="宋体" w:cs="宋体"/>
                <w:bCs/>
                <w:color w:val="auto"/>
                <w:sz w:val="24"/>
              </w:rPr>
            </w:pPr>
          </w:p>
        </w:tc>
      </w:tr>
      <w:tr w14:paraId="181E7D32">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249B77AD">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rPr>
              <w:t>1</w:t>
            </w:r>
            <w:r>
              <w:rPr>
                <w:rFonts w:hint="eastAsia" w:ascii="宋体" w:hAnsi="宋体" w:cs="宋体"/>
                <w:bCs/>
                <w:color w:val="auto"/>
                <w:sz w:val="24"/>
                <w:lang w:val="en-US" w:eastAsia="zh-CN"/>
              </w:rPr>
              <w:t>2</w:t>
            </w:r>
          </w:p>
        </w:tc>
        <w:tc>
          <w:tcPr>
            <w:tcW w:w="7235" w:type="dxa"/>
            <w:tcBorders>
              <w:top w:val="single" w:color="000000" w:sz="4" w:space="0"/>
              <w:left w:val="single" w:color="000000" w:sz="4" w:space="0"/>
              <w:bottom w:val="single" w:color="000000" w:sz="4" w:space="0"/>
              <w:right w:val="single" w:color="auto" w:sz="4" w:space="0"/>
            </w:tcBorders>
            <w:noWrap w:val="0"/>
            <w:vAlign w:val="center"/>
          </w:tcPr>
          <w:p w14:paraId="310AE13B">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投标人内部管理制度内容完善、各项规章制度健全的配置合理，其中制定有①员工管理制度、②企业财务制度、③安全生产制度，符合要求的每项得</w:t>
            </w:r>
            <w:r>
              <w:rPr>
                <w:rFonts w:hint="eastAsia" w:ascii="宋体" w:hAnsi="宋体" w:cs="宋体"/>
                <w:color w:val="auto"/>
                <w:sz w:val="24"/>
                <w:lang w:val="en-US" w:eastAsia="zh-CN"/>
              </w:rPr>
              <w:t>1</w:t>
            </w:r>
            <w:r>
              <w:rPr>
                <w:rFonts w:hint="eastAsia" w:ascii="宋体" w:hAnsi="宋体" w:cs="宋体"/>
                <w:color w:val="auto"/>
                <w:sz w:val="24"/>
              </w:rPr>
              <w:t>分，部分符合的每项得</w:t>
            </w:r>
            <w:r>
              <w:rPr>
                <w:rFonts w:hint="eastAsia" w:ascii="宋体" w:hAnsi="宋体" w:cs="宋体"/>
                <w:color w:val="auto"/>
                <w:sz w:val="24"/>
                <w:lang w:val="en-US" w:eastAsia="zh-CN"/>
              </w:rPr>
              <w:t>0.5</w:t>
            </w:r>
            <w:r>
              <w:rPr>
                <w:rFonts w:hint="eastAsia" w:ascii="宋体" w:hAnsi="宋体" w:cs="宋体"/>
                <w:color w:val="auto"/>
                <w:sz w:val="24"/>
              </w:rPr>
              <w:t>分，不符合或未提供不得分，最高得</w:t>
            </w:r>
            <w:r>
              <w:rPr>
                <w:rFonts w:hint="eastAsia" w:ascii="宋体" w:hAnsi="宋体" w:cs="宋体"/>
                <w:color w:val="auto"/>
                <w:sz w:val="24"/>
                <w:lang w:val="en-US" w:eastAsia="zh-CN"/>
              </w:rPr>
              <w:t>3</w:t>
            </w:r>
            <w:r>
              <w:rPr>
                <w:rFonts w:hint="eastAsia" w:ascii="宋体" w:hAnsi="宋体" w:cs="宋体"/>
                <w:color w:val="auto"/>
                <w:sz w:val="24"/>
              </w:rPr>
              <w:t>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6FBEC267">
            <w:pPr>
              <w:widowControl/>
              <w:jc w:val="center"/>
              <w:textAlignment w:val="center"/>
              <w:rPr>
                <w:rFonts w:hint="eastAsia" w:ascii="宋体" w:hAnsi="宋体" w:cs="宋体"/>
                <w:bCs/>
                <w:color w:val="auto"/>
                <w:sz w:val="24"/>
              </w:rPr>
            </w:pPr>
            <w:r>
              <w:rPr>
                <w:rFonts w:hint="eastAsia" w:ascii="宋体" w:hAnsi="宋体" w:cs="宋体"/>
                <w:bCs/>
                <w:color w:val="auto"/>
                <w:sz w:val="24"/>
                <w:lang w:val="en-US" w:eastAsia="zh-CN"/>
              </w:rPr>
              <w:t>3</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06E10F1C">
            <w:pPr>
              <w:widowControl/>
              <w:jc w:val="center"/>
              <w:textAlignment w:val="center"/>
              <w:rPr>
                <w:rFonts w:hint="eastAsia" w:ascii="宋体" w:hAnsi="宋体" w:cs="宋体"/>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2D8E0AEF">
            <w:pPr>
              <w:widowControl/>
              <w:jc w:val="center"/>
              <w:textAlignment w:val="center"/>
              <w:rPr>
                <w:rFonts w:hint="eastAsia" w:ascii="宋体" w:hAnsi="宋体" w:cs="宋体"/>
                <w:bCs/>
                <w:color w:val="auto"/>
                <w:sz w:val="24"/>
              </w:rPr>
            </w:pPr>
          </w:p>
        </w:tc>
      </w:tr>
      <w:tr w14:paraId="0B27D059">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2771FCC4">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rPr>
              <w:t>1</w:t>
            </w:r>
            <w:r>
              <w:rPr>
                <w:rFonts w:hint="eastAsia" w:ascii="宋体" w:hAnsi="宋体" w:cs="宋体"/>
                <w:bCs/>
                <w:color w:val="auto"/>
                <w:sz w:val="24"/>
                <w:lang w:val="en-US" w:eastAsia="zh-CN"/>
              </w:rPr>
              <w:t>3</w:t>
            </w:r>
          </w:p>
        </w:tc>
        <w:tc>
          <w:tcPr>
            <w:tcW w:w="7235" w:type="dxa"/>
            <w:tcBorders>
              <w:top w:val="single" w:color="000000" w:sz="4" w:space="0"/>
              <w:left w:val="single" w:color="000000" w:sz="4" w:space="0"/>
              <w:bottom w:val="single" w:color="000000" w:sz="4" w:space="0"/>
              <w:right w:val="single" w:color="auto" w:sz="4" w:space="0"/>
            </w:tcBorders>
            <w:noWrap w:val="0"/>
            <w:vAlign w:val="center"/>
          </w:tcPr>
          <w:p w14:paraId="6CDDC537">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投标人提供明确的培训方案和培训计划（包括培训的具体内容、培训方式、人数等），符合要求的得</w:t>
            </w:r>
            <w:r>
              <w:rPr>
                <w:rFonts w:hint="eastAsia" w:ascii="宋体" w:hAnsi="宋体" w:cs="宋体"/>
                <w:color w:val="auto"/>
                <w:sz w:val="24"/>
                <w:lang w:val="en-US" w:eastAsia="zh-CN"/>
              </w:rPr>
              <w:t>2</w:t>
            </w:r>
            <w:r>
              <w:rPr>
                <w:rFonts w:hint="eastAsia" w:ascii="宋体" w:hAnsi="宋体" w:cs="宋体"/>
                <w:color w:val="auto"/>
                <w:sz w:val="24"/>
              </w:rPr>
              <w:t>分，部分符合要求的得</w:t>
            </w:r>
            <w:r>
              <w:rPr>
                <w:rFonts w:hint="eastAsia" w:ascii="宋体" w:hAnsi="宋体" w:cs="宋体"/>
                <w:color w:val="auto"/>
                <w:sz w:val="24"/>
                <w:lang w:val="en-US" w:eastAsia="zh-CN"/>
              </w:rPr>
              <w:t>1</w:t>
            </w:r>
            <w:r>
              <w:rPr>
                <w:rFonts w:hint="eastAsia" w:ascii="宋体" w:hAnsi="宋体" w:cs="宋体"/>
                <w:color w:val="auto"/>
                <w:sz w:val="24"/>
              </w:rPr>
              <w:t>分，不符合或未提供不得分。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1E7C6812">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2</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2D24230B">
            <w:pPr>
              <w:widowControl/>
              <w:jc w:val="center"/>
              <w:textAlignment w:val="center"/>
              <w:rPr>
                <w:rFonts w:hint="eastAsia" w:ascii="宋体" w:hAnsi="宋体" w:cs="宋体"/>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30A1EE9B">
            <w:pPr>
              <w:widowControl/>
              <w:jc w:val="center"/>
              <w:textAlignment w:val="center"/>
              <w:rPr>
                <w:rFonts w:hint="eastAsia" w:ascii="宋体" w:hAnsi="宋体" w:cs="宋体"/>
                <w:bCs/>
                <w:color w:val="auto"/>
                <w:sz w:val="24"/>
              </w:rPr>
            </w:pPr>
          </w:p>
        </w:tc>
      </w:tr>
      <w:tr w14:paraId="46B1D3A6">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7E64823D">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rPr>
              <w:t>1</w:t>
            </w:r>
            <w:r>
              <w:rPr>
                <w:rFonts w:hint="eastAsia" w:ascii="宋体" w:hAnsi="宋体" w:cs="宋体"/>
                <w:bCs/>
                <w:color w:val="auto"/>
                <w:sz w:val="24"/>
                <w:lang w:val="en-US" w:eastAsia="zh-CN"/>
              </w:rPr>
              <w:t>4</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1866DC85">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投标人针对①应急保障（防汛抗台、防雪抗冻、突发情况）；②重大检查及各项创建活动；能无条件响应并圆满完成任务的，每项方案</w:t>
            </w:r>
            <w:r>
              <w:rPr>
                <w:rFonts w:hint="eastAsia" w:ascii="宋体" w:hAnsi="宋体" w:cs="宋体"/>
                <w:color w:val="auto"/>
                <w:sz w:val="24"/>
                <w:lang w:val="en-US" w:eastAsia="zh-CN"/>
              </w:rPr>
              <w:t>符合的</w:t>
            </w:r>
            <w:r>
              <w:rPr>
                <w:rFonts w:hint="eastAsia" w:ascii="宋体" w:hAnsi="宋体" w:cs="宋体"/>
                <w:color w:val="auto"/>
                <w:sz w:val="24"/>
              </w:rPr>
              <w:t>得</w:t>
            </w:r>
            <w:r>
              <w:rPr>
                <w:rFonts w:hint="eastAsia" w:ascii="宋体" w:hAnsi="宋体" w:cs="宋体"/>
                <w:color w:val="auto"/>
                <w:sz w:val="24"/>
                <w:lang w:val="en-US" w:eastAsia="zh-CN"/>
              </w:rPr>
              <w:t>3</w:t>
            </w:r>
            <w:r>
              <w:rPr>
                <w:rFonts w:hint="eastAsia" w:ascii="宋体" w:hAnsi="宋体" w:cs="宋体"/>
                <w:color w:val="auto"/>
                <w:sz w:val="24"/>
              </w:rPr>
              <w:t>分，</w:t>
            </w:r>
            <w:r>
              <w:rPr>
                <w:rFonts w:hint="eastAsia" w:ascii="宋体" w:hAnsi="宋体" w:cs="宋体"/>
                <w:color w:val="auto"/>
                <w:sz w:val="24"/>
                <w:lang w:val="en-US" w:eastAsia="zh-CN"/>
              </w:rPr>
              <w:t>基本符合的得2分，</w:t>
            </w:r>
            <w:r>
              <w:rPr>
                <w:rFonts w:hint="eastAsia" w:ascii="宋体" w:hAnsi="宋体" w:cs="宋体"/>
                <w:color w:val="auto"/>
                <w:sz w:val="24"/>
              </w:rPr>
              <w:t>部分符合得</w:t>
            </w:r>
            <w:r>
              <w:rPr>
                <w:rFonts w:hint="eastAsia" w:ascii="宋体" w:hAnsi="宋体" w:cs="宋体"/>
                <w:color w:val="auto"/>
                <w:sz w:val="24"/>
                <w:lang w:val="en-US" w:eastAsia="zh-CN"/>
              </w:rPr>
              <w:t>1</w:t>
            </w:r>
            <w:r>
              <w:rPr>
                <w:rFonts w:hint="eastAsia" w:ascii="宋体" w:hAnsi="宋体" w:cs="宋体"/>
                <w:color w:val="auto"/>
                <w:sz w:val="24"/>
              </w:rPr>
              <w:t>分，不符合或未提供不得分。最高</w:t>
            </w:r>
            <w:r>
              <w:rPr>
                <w:rFonts w:hint="eastAsia" w:ascii="宋体" w:hAnsi="宋体" w:cs="宋体"/>
                <w:color w:val="auto"/>
                <w:sz w:val="24"/>
                <w:lang w:val="en-US" w:eastAsia="zh-CN"/>
              </w:rPr>
              <w:t>6</w:t>
            </w:r>
            <w:r>
              <w:rPr>
                <w:rFonts w:hint="eastAsia" w:ascii="宋体" w:hAnsi="宋体" w:cs="宋体"/>
                <w:color w:val="auto"/>
                <w:sz w:val="24"/>
              </w:rPr>
              <w:t>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36E65E7B">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6</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715231A2">
            <w:pPr>
              <w:widowControl/>
              <w:jc w:val="center"/>
              <w:textAlignment w:val="center"/>
              <w:rPr>
                <w:rFonts w:hint="eastAsia" w:ascii="宋体" w:hAnsi="宋体" w:cs="宋体"/>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253E7614">
            <w:pPr>
              <w:widowControl/>
              <w:jc w:val="center"/>
              <w:textAlignment w:val="center"/>
              <w:rPr>
                <w:rFonts w:hint="eastAsia" w:ascii="宋体" w:hAnsi="宋体" w:cs="宋体"/>
                <w:bCs/>
                <w:color w:val="auto"/>
                <w:sz w:val="24"/>
              </w:rPr>
            </w:pPr>
          </w:p>
        </w:tc>
      </w:tr>
      <w:tr w14:paraId="2EBFEC3D">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26E76CFC">
            <w:pPr>
              <w:widowControl/>
              <w:jc w:val="center"/>
              <w:textAlignment w:val="center"/>
              <w:rPr>
                <w:rFonts w:hint="eastAsia" w:ascii="宋体" w:hAnsi="宋体" w:eastAsia="宋体" w:cs="宋体"/>
                <w:bCs/>
                <w:color w:val="auto"/>
                <w:sz w:val="24"/>
                <w:lang w:val="en-US" w:eastAsia="zh-CN"/>
              </w:rPr>
            </w:pPr>
            <w:r>
              <w:rPr>
                <w:rFonts w:hint="eastAsia" w:ascii="宋体" w:hAnsi="宋体" w:cs="宋体"/>
                <w:bCs/>
                <w:color w:val="auto"/>
                <w:sz w:val="24"/>
              </w:rPr>
              <w:t>1</w:t>
            </w:r>
            <w:r>
              <w:rPr>
                <w:rFonts w:hint="eastAsia" w:ascii="宋体" w:hAnsi="宋体" w:cs="宋体"/>
                <w:bCs/>
                <w:color w:val="auto"/>
                <w:sz w:val="24"/>
                <w:lang w:val="en-US" w:eastAsia="zh-CN"/>
              </w:rPr>
              <w:t>5</w:t>
            </w:r>
          </w:p>
        </w:tc>
        <w:tc>
          <w:tcPr>
            <w:tcW w:w="7235" w:type="dxa"/>
            <w:tcBorders>
              <w:top w:val="single" w:color="000000" w:sz="4" w:space="0"/>
              <w:left w:val="single" w:color="000000" w:sz="4" w:space="0"/>
              <w:bottom w:val="single" w:color="000000" w:sz="4" w:space="0"/>
              <w:right w:val="single" w:color="auto" w:sz="4" w:space="0"/>
            </w:tcBorders>
            <w:noWrap w:val="0"/>
            <w:vAlign w:val="top"/>
          </w:tcPr>
          <w:p w14:paraId="13CB54D3">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lang w:val="zh-CN"/>
              </w:rPr>
              <w:t>投入本项目的设备满足采购需求，安排合理</w:t>
            </w:r>
            <w:r>
              <w:rPr>
                <w:rFonts w:hint="eastAsia" w:ascii="宋体" w:hAnsi="宋体" w:cs="宋体"/>
                <w:color w:val="auto"/>
                <w:sz w:val="24"/>
              </w:rPr>
              <w:t>的得</w:t>
            </w:r>
            <w:r>
              <w:rPr>
                <w:rFonts w:hint="eastAsia" w:ascii="宋体" w:hAnsi="宋体" w:cs="宋体"/>
                <w:color w:val="auto"/>
                <w:sz w:val="24"/>
                <w:lang w:val="en-US" w:eastAsia="zh-CN"/>
              </w:rPr>
              <w:t>2</w:t>
            </w:r>
            <w:r>
              <w:rPr>
                <w:rFonts w:hint="eastAsia" w:ascii="宋体" w:hAnsi="宋体" w:cs="宋体"/>
                <w:color w:val="auto"/>
                <w:sz w:val="24"/>
              </w:rPr>
              <w:t>分，基本合理的得</w:t>
            </w:r>
            <w:r>
              <w:rPr>
                <w:rFonts w:hint="eastAsia" w:ascii="宋体" w:hAnsi="宋体" w:cs="宋体"/>
                <w:color w:val="auto"/>
                <w:sz w:val="24"/>
                <w:lang w:val="en-US" w:eastAsia="zh-CN"/>
              </w:rPr>
              <w:t>1</w:t>
            </w:r>
            <w:r>
              <w:rPr>
                <w:rFonts w:hint="eastAsia" w:ascii="宋体" w:hAnsi="宋体" w:cs="宋体"/>
                <w:color w:val="auto"/>
                <w:sz w:val="24"/>
              </w:rPr>
              <w:t>分，</w:t>
            </w:r>
            <w:r>
              <w:rPr>
                <w:rFonts w:hint="eastAsia" w:ascii="宋体" w:hAnsi="宋体" w:cs="宋体"/>
                <w:color w:val="auto"/>
                <w:sz w:val="24"/>
                <w:lang w:val="zh-CN"/>
              </w:rPr>
              <w:t>未提供设备配置计划的该项不得分，设备安排数量不符合招标方作业设备安排数量的不得分。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7EFBA7E9">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2</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119CCE64">
            <w:pPr>
              <w:widowControl/>
              <w:jc w:val="center"/>
              <w:textAlignment w:val="center"/>
              <w:rPr>
                <w:rFonts w:hint="eastAsia" w:ascii="宋体" w:hAnsi="宋体" w:cs="宋体"/>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02300C95">
            <w:pPr>
              <w:widowControl/>
              <w:jc w:val="center"/>
              <w:textAlignment w:val="center"/>
              <w:rPr>
                <w:rFonts w:hint="eastAsia" w:ascii="宋体" w:hAnsi="宋体" w:cs="宋体"/>
                <w:bCs/>
                <w:color w:val="auto"/>
                <w:sz w:val="24"/>
              </w:rPr>
            </w:pPr>
          </w:p>
        </w:tc>
      </w:tr>
      <w:tr w14:paraId="14E3F096">
        <w:tblPrEx>
          <w:tblCellMar>
            <w:top w:w="0" w:type="dxa"/>
            <w:left w:w="108" w:type="dxa"/>
            <w:bottom w:w="0" w:type="dxa"/>
            <w:right w:w="108" w:type="dxa"/>
          </w:tblCellMar>
        </w:tblPrEx>
        <w:trPr>
          <w:trHeight w:val="40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503AA6A1">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16</w:t>
            </w:r>
          </w:p>
        </w:tc>
        <w:tc>
          <w:tcPr>
            <w:tcW w:w="7235" w:type="dxa"/>
            <w:tcBorders>
              <w:top w:val="single" w:color="000000" w:sz="4" w:space="0"/>
              <w:left w:val="single" w:color="000000" w:sz="4" w:space="0"/>
              <w:bottom w:val="single" w:color="000000" w:sz="4" w:space="0"/>
              <w:right w:val="single" w:color="auto" w:sz="4" w:space="0"/>
            </w:tcBorders>
            <w:noWrap w:val="0"/>
            <w:vAlign w:val="center"/>
          </w:tcPr>
          <w:p w14:paraId="5DD45185">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color w:val="auto"/>
                <w:sz w:val="24"/>
              </w:rPr>
            </w:pPr>
            <w:r>
              <w:rPr>
                <w:rFonts w:hint="eastAsia" w:ascii="宋体" w:hAnsi="宋体" w:cs="宋体"/>
                <w:color w:val="auto"/>
                <w:sz w:val="24"/>
              </w:rPr>
              <w:t>服务能力及服务及时性响应方案进行打分，最多得2分。</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33B23468">
            <w:pPr>
              <w:widowControl/>
              <w:jc w:val="center"/>
              <w:textAlignment w:val="center"/>
              <w:rPr>
                <w:rFonts w:hint="eastAsia" w:ascii="宋体" w:hAnsi="宋体" w:cs="宋体"/>
                <w:bCs/>
                <w:color w:val="auto"/>
                <w:sz w:val="24"/>
              </w:rPr>
            </w:pPr>
            <w:r>
              <w:rPr>
                <w:rFonts w:hint="eastAsia" w:ascii="宋体" w:hAnsi="宋体" w:cs="宋体"/>
                <w:bCs/>
                <w:color w:val="auto"/>
                <w:sz w:val="24"/>
              </w:rPr>
              <w:t>2</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2BB042EB">
            <w:pPr>
              <w:widowControl/>
              <w:jc w:val="center"/>
              <w:textAlignment w:val="center"/>
              <w:rPr>
                <w:rFonts w:hint="eastAsia" w:ascii="宋体" w:hAnsi="宋体" w:cs="宋体"/>
                <w:color w:val="auto"/>
                <w:sz w:val="24"/>
              </w:rPr>
            </w:pPr>
            <w:r>
              <w:rPr>
                <w:rFonts w:hint="eastAsia" w:ascii="宋体" w:hAnsi="宋体" w:cs="宋体"/>
                <w:bCs/>
                <w:color w:val="auto"/>
                <w:sz w:val="24"/>
              </w:rPr>
              <w:t>主观分</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7B1B23CF">
            <w:pPr>
              <w:widowControl/>
              <w:jc w:val="center"/>
              <w:textAlignment w:val="center"/>
              <w:rPr>
                <w:rFonts w:hint="eastAsia" w:ascii="宋体" w:hAnsi="宋体" w:cs="宋体"/>
                <w:bCs/>
                <w:color w:val="auto"/>
                <w:sz w:val="24"/>
              </w:rPr>
            </w:pPr>
          </w:p>
        </w:tc>
      </w:tr>
      <w:tr w14:paraId="605B5F8F">
        <w:tblPrEx>
          <w:tblCellMar>
            <w:top w:w="0" w:type="dxa"/>
            <w:left w:w="108" w:type="dxa"/>
            <w:bottom w:w="0" w:type="dxa"/>
            <w:right w:w="108" w:type="dxa"/>
          </w:tblCellMar>
        </w:tblPrEx>
        <w:trPr>
          <w:trHeight w:val="693" w:hRule="atLeast"/>
          <w:jc w:val="center"/>
        </w:trPr>
        <w:tc>
          <w:tcPr>
            <w:tcW w:w="654" w:type="dxa"/>
            <w:tcBorders>
              <w:top w:val="single" w:color="000000" w:sz="4" w:space="0"/>
              <w:left w:val="single" w:color="000000" w:sz="4" w:space="0"/>
              <w:bottom w:val="single" w:color="000000" w:sz="4" w:space="0"/>
              <w:right w:val="single" w:color="000000" w:sz="4" w:space="0"/>
            </w:tcBorders>
            <w:noWrap w:val="0"/>
            <w:vAlign w:val="center"/>
          </w:tcPr>
          <w:p w14:paraId="00569188">
            <w:pPr>
              <w:widowControl/>
              <w:jc w:val="center"/>
              <w:textAlignment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17</w:t>
            </w:r>
          </w:p>
        </w:tc>
        <w:tc>
          <w:tcPr>
            <w:tcW w:w="7235" w:type="dxa"/>
            <w:tcBorders>
              <w:top w:val="single" w:color="000000" w:sz="4" w:space="0"/>
              <w:left w:val="single" w:color="000000" w:sz="4" w:space="0"/>
              <w:bottom w:val="single" w:color="000000" w:sz="4" w:space="0"/>
              <w:right w:val="single" w:color="auto" w:sz="4" w:space="0"/>
            </w:tcBorders>
            <w:noWrap w:val="0"/>
            <w:vAlign w:val="center"/>
          </w:tcPr>
          <w:p w14:paraId="407322E3">
            <w:pPr>
              <w:spacing w:line="360" w:lineRule="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rPr>
              <w:t>权重</w:t>
            </w:r>
            <w:r>
              <w:rPr>
                <w:rFonts w:cs="仿宋_GB2312" w:asciiTheme="minorEastAsia" w:hAnsiTheme="minorEastAsia" w:eastAsiaTheme="minorEastAsia"/>
                <w:color w:val="auto"/>
                <w:sz w:val="24"/>
                <w:highlight w:val="none"/>
              </w:rPr>
              <w:t>］的计算公式计算。</w:t>
            </w:r>
          </w:p>
          <w:p w14:paraId="39CDFDFB">
            <w:pPr>
              <w:widowControl/>
              <w:shd w:val="clear" w:color="auto" w:fill="FFFFFF"/>
              <w:adjustRightInd/>
              <w:spacing w:after="225" w:line="315" w:lineRule="atLeast"/>
              <w:ind w:firstLine="420"/>
              <w:jc w:val="left"/>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56CC2498">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ascii="宋体" w:hAnsi="宋体" w:cs="宋体"/>
                <w:bCs/>
                <w:color w:val="auto"/>
                <w:sz w:val="24"/>
              </w:rPr>
            </w:pPr>
            <w:r>
              <w:rPr>
                <w:rFonts w:hint="eastAsia" w:cs="仿宋_GB2312" w:asciiTheme="minorEastAsia" w:hAnsiTheme="minorEastAsia" w:eastAsiaTheme="minorEastAsia"/>
                <w:color w:val="auto"/>
                <w:sz w:val="24"/>
                <w:highlight w:val="none"/>
              </w:rPr>
              <w:t>对于未预留份额专门面向中小企业的政府采购服务项目，以及预留份额政府采购服务项目中的非预留部分标项，对小型和微型企业的投标报价给予X%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X%的扣除，用扣除后的价格参加评审</w:t>
            </w:r>
            <w:r>
              <w:rPr>
                <w:rFonts w:cs="仿宋_GB2312" w:asciiTheme="minorEastAsia" w:hAnsiTheme="minorEastAsia" w:eastAsiaTheme="minorEastAsia"/>
                <w:color w:val="auto"/>
                <w:sz w:val="24"/>
                <w:highlight w:val="none"/>
              </w:rPr>
              <w:t>。</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2D7610E2">
            <w:pPr>
              <w:widowControl/>
              <w:jc w:val="center"/>
              <w:textAlignment w:val="center"/>
              <w:rPr>
                <w:rFonts w:hint="eastAsia" w:ascii="宋体" w:hAnsi="宋体" w:cs="宋体"/>
                <w:bCs/>
                <w:color w:val="auto"/>
                <w:sz w:val="24"/>
              </w:rPr>
            </w:pPr>
            <w:r>
              <w:rPr>
                <w:rFonts w:hint="eastAsia" w:ascii="宋体" w:hAnsi="宋体" w:cs="宋体"/>
                <w:bCs/>
                <w:color w:val="auto"/>
                <w:sz w:val="24"/>
              </w:rPr>
              <w:t>10</w:t>
            </w:r>
          </w:p>
        </w:tc>
        <w:tc>
          <w:tcPr>
            <w:tcW w:w="647" w:type="dxa"/>
            <w:tcBorders>
              <w:top w:val="single" w:color="auto" w:sz="4" w:space="0"/>
              <w:left w:val="single" w:color="auto" w:sz="4" w:space="0"/>
              <w:bottom w:val="single" w:color="auto" w:sz="4" w:space="0"/>
              <w:right w:val="single" w:color="auto" w:sz="4" w:space="0"/>
            </w:tcBorders>
            <w:noWrap w:val="0"/>
            <w:vAlign w:val="center"/>
          </w:tcPr>
          <w:p w14:paraId="612C5027">
            <w:pPr>
              <w:widowControl/>
              <w:jc w:val="center"/>
              <w:textAlignment w:val="center"/>
              <w:rPr>
                <w:rFonts w:hint="eastAsia" w:ascii="宋体" w:hAnsi="宋体" w:cs="宋体"/>
                <w:bCs/>
                <w:color w:val="auto"/>
                <w:sz w:val="24"/>
              </w:rPr>
            </w:pPr>
            <w:r>
              <w:rPr>
                <w:rFonts w:hint="eastAsia" w:ascii="宋体" w:hAnsi="宋体" w:cs="宋体"/>
                <w:color w:val="auto"/>
                <w:sz w:val="24"/>
              </w:rPr>
              <w:t>/</w:t>
            </w:r>
          </w:p>
        </w:tc>
        <w:tc>
          <w:tcPr>
            <w:tcW w:w="1330" w:type="dxa"/>
            <w:tcBorders>
              <w:top w:val="single" w:color="auto" w:sz="4" w:space="0"/>
              <w:left w:val="single" w:color="auto" w:sz="4" w:space="0"/>
              <w:bottom w:val="single" w:color="auto" w:sz="4" w:space="0"/>
              <w:right w:val="single" w:color="auto" w:sz="4" w:space="0"/>
            </w:tcBorders>
            <w:noWrap w:val="0"/>
            <w:vAlign w:val="center"/>
          </w:tcPr>
          <w:p w14:paraId="6B124E05">
            <w:pPr>
              <w:widowControl/>
              <w:jc w:val="center"/>
              <w:textAlignment w:val="center"/>
              <w:rPr>
                <w:rFonts w:hint="eastAsia" w:ascii="宋体" w:hAnsi="宋体" w:cs="宋体"/>
                <w:bCs/>
                <w:color w:val="auto"/>
                <w:sz w:val="24"/>
              </w:rPr>
            </w:pPr>
          </w:p>
        </w:tc>
      </w:tr>
    </w:tbl>
    <w:p w14:paraId="17079EA1">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4"/>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3"/>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5" w:name="_Toc15367"/>
      <w:bookmarkStart w:id="396" w:name="_Toc22967"/>
      <w:bookmarkStart w:id="397" w:name="_Toc28855"/>
      <w:bookmarkStart w:id="398" w:name="_Toc19273"/>
      <w:bookmarkStart w:id="399" w:name="_Toc20421"/>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0" w:name="_Toc2918"/>
      <w:bookmarkStart w:id="401" w:name="_Toc6773"/>
      <w:bookmarkStart w:id="402" w:name="_Toc22185"/>
      <w:bookmarkStart w:id="403" w:name="_Toc6311"/>
      <w:bookmarkStart w:id="404"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5" w:name="_Toc4929"/>
      <w:bookmarkStart w:id="406" w:name="_Toc21124"/>
      <w:bookmarkStart w:id="407" w:name="_Toc13918"/>
      <w:bookmarkStart w:id="408" w:name="_Toc5635"/>
      <w:bookmarkStart w:id="409" w:name="_Toc1386"/>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0" w:name="_Toc26916"/>
      <w:bookmarkStart w:id="411" w:name="_Toc3654"/>
      <w:bookmarkStart w:id="412" w:name="_Toc14993"/>
      <w:bookmarkStart w:id="413" w:name="_Toc30506"/>
      <w:bookmarkStart w:id="414" w:name="_Toc30158"/>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3"/>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2F5CCC91">
      <w:pPr>
        <w:pStyle w:val="960"/>
        <w:spacing w:before="0" w:beforeAutospacing="0" w:after="0" w:afterAutospacing="0" w:line="360" w:lineRule="auto"/>
        <w:ind w:firstLine="480"/>
        <w:rPr>
          <w:b/>
          <w:color w:val="auto"/>
          <w:highlight w:val="none"/>
        </w:rPr>
      </w:pPr>
      <w:bookmarkStart w:id="415" w:name="_Toc1814"/>
      <w:bookmarkStart w:id="416" w:name="_Toc22618"/>
      <w:bookmarkStart w:id="417" w:name="_Toc10340"/>
      <w:bookmarkStart w:id="418" w:name="_Toc11108"/>
      <w:bookmarkStart w:id="419" w:name="_Toc3625"/>
      <w:bookmarkStart w:id="420" w:name="_Toc4760"/>
      <w:bookmarkStart w:id="421" w:name="_Toc31421"/>
      <w:bookmarkStart w:id="422" w:name="_Toc8772"/>
      <w:r>
        <w:rPr>
          <w:rFonts w:hint="eastAsia"/>
          <w:b/>
          <w:color w:val="auto"/>
          <w:highlight w:val="none"/>
        </w:rPr>
        <w:t>1.4履约保证金</w:t>
      </w:r>
    </w:p>
    <w:p w14:paraId="74D47AFB">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3"/>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7C829B0B">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3" w:name="_Toc5698"/>
      <w:bookmarkStart w:id="424" w:name="_Toc24662"/>
      <w:bookmarkStart w:id="425" w:name="_Toc8586"/>
      <w:bookmarkStart w:id="426" w:name="_Toc2375"/>
      <w:bookmarkStart w:id="427" w:name="_Toc3079"/>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8" w:name="_Toc26807"/>
      <w:bookmarkStart w:id="429" w:name="_Toc18683"/>
      <w:bookmarkStart w:id="430" w:name="_Toc9497"/>
      <w:bookmarkStart w:id="431" w:name="_Toc30329"/>
      <w:bookmarkStart w:id="432"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0"/>
        <w:rPr>
          <w:rFonts w:ascii="宋体" w:hAnsi="宋体" w:cs="宋体"/>
          <w:b/>
          <w:color w:val="auto"/>
          <w:sz w:val="24"/>
          <w:highlight w:val="none"/>
        </w:rPr>
      </w:pPr>
      <w:bookmarkStart w:id="433" w:name="_Toc28375"/>
      <w:bookmarkStart w:id="434" w:name="_Toc16021"/>
      <w:bookmarkStart w:id="435" w:name="_Toc15583"/>
      <w:r>
        <w:rPr>
          <w:rFonts w:hint="eastAsia" w:ascii="宋体" w:hAnsi="宋体" w:cs="宋体"/>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6" w:name="_Toc11173"/>
      <w:bookmarkStart w:id="437" w:name="_Toc7245"/>
      <w:bookmarkStart w:id="438" w:name="_Toc15322"/>
      <w:r>
        <w:rPr>
          <w:rFonts w:hint="eastAsia" w:ascii="宋体" w:hAnsi="宋体" w:cs="宋体"/>
          <w:b/>
          <w:color w:val="auto"/>
          <w:sz w:val="24"/>
          <w:highlight w:val="none"/>
        </w:rPr>
        <w:t>2.0 合同生效</w:t>
      </w:r>
      <w:bookmarkEnd w:id="436"/>
      <w:bookmarkEnd w:id="437"/>
      <w:bookmarkEnd w:id="438"/>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9" w:name="_Toc14021"/>
      <w:bookmarkStart w:id="440" w:name="_Toc31297"/>
      <w:bookmarkStart w:id="441" w:name="_Toc5228"/>
      <w:bookmarkStart w:id="442" w:name="_Toc25079"/>
      <w:bookmarkStart w:id="443" w:name="_Toc19680"/>
      <w:r>
        <w:rPr>
          <w:rFonts w:ascii="宋体" w:hAnsi="宋体"/>
          <w:b/>
          <w:color w:val="auto"/>
          <w:sz w:val="24"/>
          <w:highlight w:val="none"/>
        </w:rPr>
        <w:t>2.1 定义</w:t>
      </w:r>
      <w:bookmarkEnd w:id="439"/>
      <w:bookmarkEnd w:id="440"/>
      <w:bookmarkEnd w:id="441"/>
      <w:bookmarkEnd w:id="442"/>
      <w:bookmarkEnd w:id="443"/>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4" w:name="_Toc16752"/>
      <w:bookmarkStart w:id="445" w:name="_Toc31402"/>
      <w:bookmarkStart w:id="446" w:name="_Toc19539"/>
      <w:bookmarkStart w:id="447" w:name="_Toc23289"/>
      <w:bookmarkStart w:id="448" w:name="_Toc3769"/>
      <w:r>
        <w:rPr>
          <w:rFonts w:ascii="宋体" w:hAnsi="宋体"/>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9" w:name="_Toc12412"/>
      <w:bookmarkStart w:id="450" w:name="_Toc9161"/>
      <w:bookmarkStart w:id="451" w:name="_Toc4133"/>
      <w:bookmarkStart w:id="452" w:name="_Toc27945"/>
      <w:bookmarkStart w:id="453" w:name="_Toc13673"/>
      <w:r>
        <w:rPr>
          <w:rFonts w:ascii="宋体" w:hAnsi="宋体"/>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4" w:name="_Toc32670"/>
      <w:bookmarkStart w:id="455" w:name="_Toc15447"/>
      <w:bookmarkStart w:id="456" w:name="_Toc26555"/>
      <w:bookmarkStart w:id="457" w:name="_Toc22011"/>
      <w:bookmarkStart w:id="458" w:name="_Toc31233"/>
      <w:r>
        <w:rPr>
          <w:rFonts w:ascii="宋体" w:hAnsi="宋体"/>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9" w:name="_Toc13467"/>
      <w:bookmarkStart w:id="460" w:name="_Toc30507"/>
      <w:bookmarkStart w:id="461" w:name="_Toc16163"/>
      <w:bookmarkStart w:id="462" w:name="_Toc13154"/>
      <w:bookmarkStart w:id="463" w:name="_Toc18990"/>
      <w:r>
        <w:rPr>
          <w:rFonts w:ascii="宋体" w:hAnsi="宋体"/>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7" w:name="_Toc26689"/>
      <w:bookmarkStart w:id="468" w:name="_Toc10663"/>
      <w:bookmarkStart w:id="469" w:name="_Toc21830"/>
      <w:bookmarkStart w:id="470" w:name="_Toc23368"/>
      <w:bookmarkStart w:id="471" w:name="_Toc42"/>
      <w:r>
        <w:rPr>
          <w:rFonts w:ascii="宋体" w:hAnsi="宋体"/>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2" w:name="_Toc25571"/>
      <w:bookmarkStart w:id="473" w:name="_Toc26633"/>
      <w:bookmarkStart w:id="474" w:name="_Toc4720"/>
      <w:bookmarkStart w:id="475" w:name="_Toc32494"/>
      <w:bookmarkStart w:id="476" w:name="_Toc14371"/>
      <w:r>
        <w:rPr>
          <w:rFonts w:ascii="宋体" w:hAnsi="宋体"/>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7" w:name="_Toc24465"/>
      <w:bookmarkStart w:id="478" w:name="_Toc3638"/>
      <w:bookmarkStart w:id="479" w:name="_Toc14115"/>
      <w:bookmarkStart w:id="480" w:name="_Toc23854"/>
      <w:bookmarkStart w:id="481" w:name="_Toc25783"/>
      <w:r>
        <w:rPr>
          <w:rFonts w:ascii="宋体" w:hAnsi="宋体"/>
          <w:b/>
          <w:color w:val="auto"/>
          <w:sz w:val="24"/>
          <w:highlight w:val="none"/>
        </w:rPr>
        <w:t>2.12 税费</w:t>
      </w:r>
      <w:bookmarkEnd w:id="477"/>
      <w:bookmarkEnd w:id="478"/>
      <w:bookmarkEnd w:id="479"/>
      <w:bookmarkEnd w:id="480"/>
      <w:bookmarkEnd w:id="481"/>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2" w:name="_Toc7315"/>
      <w:bookmarkStart w:id="483" w:name="_Toc26883"/>
      <w:bookmarkStart w:id="484" w:name="_Toc14814"/>
      <w:bookmarkStart w:id="485" w:name="_Toc25525"/>
      <w:bookmarkStart w:id="486" w:name="_Toc30105"/>
      <w:r>
        <w:rPr>
          <w:rFonts w:ascii="宋体" w:hAnsi="宋体"/>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7" w:name="_Toc1123"/>
      <w:bookmarkStart w:id="488" w:name="_Toc23323"/>
      <w:bookmarkStart w:id="489" w:name="_Toc2016"/>
      <w:r>
        <w:rPr>
          <w:rFonts w:ascii="宋体" w:hAnsi="宋体"/>
          <w:b/>
          <w:color w:val="auto"/>
          <w:sz w:val="24"/>
          <w:highlight w:val="none"/>
        </w:rPr>
        <w:t>2.14 合同中止、终止</w:t>
      </w:r>
      <w:bookmarkEnd w:id="487"/>
      <w:bookmarkEnd w:id="488"/>
      <w:bookmarkEnd w:id="489"/>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0" w:name="_Toc17363"/>
      <w:bookmarkStart w:id="491" w:name="_Toc1969"/>
      <w:bookmarkStart w:id="492" w:name="_Toc14525"/>
      <w:r>
        <w:rPr>
          <w:rFonts w:ascii="宋体" w:hAnsi="宋体"/>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3" w:name="_Toc12666"/>
      <w:bookmarkStart w:id="494" w:name="_Toc25198"/>
      <w:bookmarkStart w:id="495" w:name="_Toc31892"/>
      <w:bookmarkStart w:id="496" w:name="_Toc2308"/>
      <w:bookmarkStart w:id="497" w:name="_Toc9808"/>
      <w:r>
        <w:rPr>
          <w:rFonts w:ascii="宋体" w:hAnsi="宋体"/>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rPr>
          <w:rFonts w:ascii="宋体" w:hAnsi="宋体"/>
          <w:color w:val="auto"/>
          <w:sz w:val="24"/>
          <w:highlight w:val="none"/>
        </w:rPr>
      </w:pPr>
      <w:bookmarkStart w:id="498" w:name="_Toc18401"/>
      <w:bookmarkStart w:id="499"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79494EF1">
      <w:pPr>
        <w:spacing w:line="560" w:lineRule="exact"/>
        <w:ind w:firstLine="482" w:firstLineChars="200"/>
        <w:outlineLvl w:val="0"/>
        <w:rPr>
          <w:rFonts w:ascii="宋体" w:hAnsi="宋体"/>
          <w:b/>
          <w:color w:val="auto"/>
          <w:sz w:val="24"/>
          <w:highlight w:val="none"/>
        </w:rPr>
      </w:pPr>
      <w:bookmarkStart w:id="500" w:name="_Toc12254"/>
      <w:bookmarkStart w:id="501" w:name="_Toc28906"/>
      <w:bookmarkStart w:id="502" w:name="_Toc5063"/>
      <w:bookmarkStart w:id="503" w:name="_Toc27644"/>
      <w:bookmarkStart w:id="504" w:name="_Toc20808"/>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5" w:name="_Toc4355"/>
      <w:bookmarkStart w:id="506" w:name="_Toc18540"/>
      <w:bookmarkStart w:id="507" w:name="_Toc30599"/>
      <w:r>
        <w:rPr>
          <w:rFonts w:hint="eastAsia" w:ascii="宋体" w:hAnsi="宋体" w:cs="宋体"/>
          <w:b/>
          <w:color w:val="auto"/>
          <w:sz w:val="24"/>
          <w:highlight w:val="none"/>
        </w:rPr>
        <w:t>2.18 计量单位</w:t>
      </w:r>
      <w:bookmarkEnd w:id="505"/>
      <w:bookmarkEnd w:id="506"/>
      <w:bookmarkEnd w:id="507"/>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265D86DB">
      <w:pPr>
        <w:spacing w:line="360" w:lineRule="auto"/>
        <w:ind w:left="-420" w:leftChars="-200" w:right="-420" w:rightChars="-200" w:firstLine="480" w:firstLineChars="200"/>
        <w:jc w:val="center"/>
        <w:outlineLvl w:val="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1"/>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0" w:name="OLE_LINK14"/>
      <w:bookmarkStart w:id="511" w:name="OLE_LINK13"/>
      <w:r>
        <w:rPr>
          <w:rFonts w:hint="eastAsia" w:ascii="宋体" w:hAnsi="宋体" w:cs="宋体"/>
          <w:b/>
          <w:color w:val="auto"/>
          <w:spacing w:val="6"/>
          <w:sz w:val="32"/>
          <w:szCs w:val="32"/>
          <w:highlight w:val="none"/>
        </w:rPr>
        <w:t>残疾人福利性单位声明函</w:t>
      </w:r>
    </w:p>
    <w:bookmarkEnd w:id="510"/>
    <w:bookmarkEnd w:id="51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0"/>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AMGDT"/>
    <w:panose1 w:val="00000000000000000000"/>
    <w:charset w:val="00"/>
    <w:family w:val="swiss"/>
    <w:pitch w:val="default"/>
    <w:sig w:usb0="00000000" w:usb1="00000000" w:usb2="00000000" w:usb3="00000000" w:csb0="00000011" w:csb1="00000000"/>
  </w:font>
  <w:font w:name="AMGDT">
    <w:panose1 w:val="02000400000000000000"/>
    <w:charset w:val="00"/>
    <w:family w:val="auto"/>
    <w:pitch w:val="default"/>
    <w:sig w:usb0="80000003" w:usb1="1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方正公文小标宋"/>
    <w:panose1 w:val="00000000000000000000"/>
    <w:charset w:val="00"/>
    <w:family w:val="roman"/>
    <w:pitch w:val="default"/>
    <w:sig w:usb0="00000000" w:usb1="00000000" w:usb2="00000000" w:usb3="00000000" w:csb0="00040001" w:csb1="00000000"/>
  </w:font>
  <w:font w:name="方正公文小标宋">
    <w:panose1 w:val="02000500000000000000"/>
    <w:charset w:val="86"/>
    <w:family w:val="auto"/>
    <w:pitch w:val="default"/>
    <w:sig w:usb0="A00002BF" w:usb1="38CF7CFA" w:usb2="00000016" w:usb3="00000000" w:csb0="00040001" w:csb1="00000000"/>
  </w:font>
  <w:font w:name="幼圆">
    <w:altName w:val="黑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方正公文小标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MGD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AmdtSymbols"/>
    <w:panose1 w:val="020B0502020202020204"/>
    <w:charset w:val="00"/>
    <w:family w:val="swiss"/>
    <w:pitch w:val="default"/>
    <w:sig w:usb0="00000000" w:usb1="00000000" w:usb2="00000000" w:usb3="00000000" w:csb0="2000009F" w:csb1="DFD70000"/>
  </w:font>
  <w:font w:name="AmdtSymbols">
    <w:panose1 w:val="02000500000000020004"/>
    <w:charset w:val="00"/>
    <w:family w:val="auto"/>
    <w:pitch w:val="default"/>
    <w:sig w:usb0="00000001" w:usb1="00000000" w:usb2="00000000" w:usb3="00000000" w:csb0="00000001" w:csb1="00000000"/>
  </w:font>
  <w:font w:name="Aldine401 BT">
    <w:altName w:val="AMGDT"/>
    <w:panose1 w:val="00000000000000000000"/>
    <w:charset w:val="00"/>
    <w:family w:val="roman"/>
    <w:pitch w:val="default"/>
    <w:sig w:usb0="00000000" w:usb1="00000000" w:usb2="00000000" w:usb3="00000000" w:csb0="00000011" w:csb1="00000000"/>
  </w:font>
  <w:font w:name=".PingFang SC">
    <w:altName w:val="方正公文小标宋"/>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39"/>
      <w:framePr w:wrap="around" w:vAnchor="text" w:hAnchor="margin" w:xAlign="right" w:y="1"/>
      <w:rPr>
        <w:rStyle w:val="72"/>
      </w:rPr>
    </w:pPr>
    <w:r>
      <w:fldChar w:fldCharType="begin"/>
    </w:r>
    <w:r>
      <w:rPr>
        <w:rStyle w:val="72"/>
      </w:rPr>
      <w:instrText xml:space="preserve">PAGE  </w:instrText>
    </w:r>
    <w:r>
      <w:fldChar w:fldCharType="end"/>
    </w:r>
  </w:p>
  <w:p w14:paraId="5E0900A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39"/>
      <w:framePr w:wrap="around" w:vAnchor="text" w:hAnchor="margin" w:xAlign="right" w:y="1"/>
      <w:rPr>
        <w:rStyle w:val="72"/>
      </w:rPr>
    </w:pPr>
    <w:r>
      <w:fldChar w:fldCharType="begin"/>
    </w:r>
    <w:r>
      <w:rPr>
        <w:rStyle w:val="72"/>
      </w:rPr>
      <w:instrText xml:space="preserve">PAGE  </w:instrText>
    </w:r>
    <w:r>
      <w:fldChar w:fldCharType="end"/>
    </w:r>
  </w:p>
  <w:p w14:paraId="65FC6C0A">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164085800"/>
    <w:bookmarkStart w:id="516" w:name="_Toc131845147"/>
    <w:bookmarkStart w:id="517" w:name="_Toc36110187"/>
    <w:bookmarkStart w:id="518" w:name="_Toc91899912"/>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0"/>
      <w:pBdr>
        <w:bottom w:val="single" w:color="auto" w:sz="6" w:space="4"/>
      </w:pBdr>
      <w:jc w:val="right"/>
    </w:pPr>
    <w:r>
      <w:t></w:t>
    </w:r>
    <w:r>
      <w:rPr>
        <w:rFonts w:hint="eastAsia"/>
      </w:rPr>
      <w:t xml:space="preserve">             </w:t>
    </w:r>
    <w:r>
      <w:t>杭州市政府采购公开招标文件</w:t>
    </w:r>
  </w:p>
  <w:p w14:paraId="5E97806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0"/>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0"/>
    </w:pPr>
    <w:r>
      <w:t></w:t>
    </w:r>
    <w:r>
      <w:rPr>
        <w:rFonts w:hint="eastAsia"/>
      </w:rPr>
      <w:t xml:space="preserve">         </w:t>
    </w:r>
  </w:p>
  <w:p w14:paraId="6F97612A">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0"/>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0"/>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8E3717"/>
    <w:rsid w:val="02DC4B10"/>
    <w:rsid w:val="02DD76CE"/>
    <w:rsid w:val="02F36323"/>
    <w:rsid w:val="02F5619C"/>
    <w:rsid w:val="0326446A"/>
    <w:rsid w:val="032D5555"/>
    <w:rsid w:val="036634D2"/>
    <w:rsid w:val="03B246DA"/>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6F3259"/>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7467ED"/>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144B9D"/>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27231E"/>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134546"/>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86</Pages>
  <Words>20783</Words>
  <Characters>22042</Characters>
  <Lines>281</Lines>
  <Paragraphs>79</Paragraphs>
  <TotalTime>0</TotalTime>
  <ScaleCrop>false</ScaleCrop>
  <LinksUpToDate>false</LinksUpToDate>
  <CharactersWithSpaces>22505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Mecon</cp:lastModifiedBy>
  <cp:lastPrinted>2021-12-28T03:06:00Z</cp:lastPrinted>
  <dcterms:modified xsi:type="dcterms:W3CDTF">2025-03-10T02:12:48Z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eyJoZGlkIjoiYWYwYmI4ZDk4YjU2NDQzZmJiNjhjY2Y2Y2FjYmY3NGUiLCJ1c2VySWQiOiIyNDQ5NjM1MjgifQ==</vt:lpwstr>
  </property>
</Properties>
</file>