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杭州市临安区人民法院</w:t>
      </w:r>
      <w:r>
        <w:rPr>
          <w:rFonts w:hint="eastAsia" w:ascii="宋体" w:hAnsi="宋体" w:cs="宋体"/>
          <w:color w:val="auto"/>
          <w:sz w:val="48"/>
          <w:szCs w:val="48"/>
          <w:highlight w:val="none"/>
          <w:lang w:val="en-US" w:eastAsia="zh-CN"/>
        </w:rPr>
        <w:t>2025-2026年</w:t>
      </w:r>
      <w:r>
        <w:rPr>
          <w:rFonts w:hint="eastAsia" w:ascii="宋体" w:hAnsi="宋体" w:cs="宋体"/>
          <w:color w:val="auto"/>
          <w:sz w:val="48"/>
          <w:szCs w:val="48"/>
          <w:highlight w:val="none"/>
          <w:lang w:eastAsia="zh-CN"/>
        </w:rPr>
        <w:t>物业</w:t>
      </w: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eastAsia="宋体" w:cs="宋体"/>
          <w:sz w:val="30"/>
          <w:szCs w:val="30"/>
        </w:rPr>
        <w:t>（</w:t>
      </w:r>
      <w:r>
        <w:rPr>
          <w:rFonts w:hint="eastAsia" w:ascii="宋体" w:hAnsi="宋体" w:eastAsia="宋体" w:cs="宋体"/>
          <w:sz w:val="30"/>
          <w:szCs w:val="30"/>
          <w:lang w:val="en-US" w:eastAsia="zh-CN"/>
        </w:rPr>
        <w:t>LZC-GK-临[2024]4085号</w:t>
      </w:r>
      <w:r>
        <w:rPr>
          <w:rFonts w:hint="eastAsia" w:ascii="宋体" w:hAnsi="宋体" w:eastAsia="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杭州市临安区人民法院</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w:t>
      </w:r>
      <w:r>
        <w:rPr>
          <w:rFonts w:hint="eastAsia" w:ascii="宋体" w:hAnsi="宋体" w:cs="宋体"/>
          <w:bCs/>
          <w:color w:val="auto"/>
          <w:sz w:val="32"/>
          <w:szCs w:val="32"/>
          <w:lang w:eastAsia="zh-CN"/>
        </w:rPr>
        <w:t>共资源交易中心临安分中心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r>
        <w:rPr>
          <w:rFonts w:hint="eastAsia" w:ascii="宋体" w:hAnsi="宋体" w:cs="宋体"/>
          <w:bCs/>
          <w:color w:val="auto"/>
          <w:sz w:val="32"/>
          <w:szCs w:val="32"/>
          <w:lang w:eastAsia="zh-CN"/>
        </w:rPr>
        <w:t>三</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lang w:eastAsia="zh-CN"/>
        </w:rPr>
        <w:t>杭州市临安区人民法院2025-2026年物业服务采购项目</w:t>
      </w:r>
      <w:r>
        <w:rPr>
          <w:rFonts w:hint="eastAsia" w:ascii="宋体" w:hAnsi="宋体" w:cs="宋体"/>
          <w:sz w:val="24"/>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w:t>
      </w:r>
      <w:r>
        <w:rPr>
          <w:rStyle w:val="76"/>
          <w:rFonts w:hint="eastAsia" w:ascii="宋体" w:hAnsi="宋体" w:eastAsia="宋体" w:cs="宋体"/>
          <w:snapToGrid/>
          <w:kern w:val="2"/>
          <w:sz w:val="24"/>
          <w:szCs w:val="24"/>
          <w:highlight w:val="none"/>
          <w:u w:val="single"/>
        </w:rPr>
        <w:t>202</w:t>
      </w:r>
      <w:r>
        <w:rPr>
          <w:rStyle w:val="76"/>
          <w:rFonts w:hint="eastAsia" w:ascii="宋体" w:hAnsi="宋体" w:cs="宋体"/>
          <w:snapToGrid/>
          <w:kern w:val="2"/>
          <w:sz w:val="24"/>
          <w:szCs w:val="24"/>
          <w:highlight w:val="none"/>
          <w:u w:val="single"/>
          <w:lang w:val="en-US" w:eastAsia="zh-CN"/>
        </w:rPr>
        <w:t>5</w:t>
      </w:r>
      <w:r>
        <w:rPr>
          <w:rStyle w:val="76"/>
          <w:rFonts w:hint="eastAsia" w:ascii="宋体" w:hAnsi="宋体" w:eastAsia="宋体" w:cs="宋体"/>
          <w:snapToGrid/>
          <w:kern w:val="2"/>
          <w:sz w:val="24"/>
          <w:szCs w:val="24"/>
          <w:highlight w:val="none"/>
          <w:u w:val="single"/>
        </w:rPr>
        <w:t>年</w:t>
      </w:r>
      <w:r>
        <w:rPr>
          <w:rStyle w:val="76"/>
          <w:rFonts w:hint="eastAsia" w:ascii="宋体" w:hAnsi="宋体" w:cs="宋体"/>
          <w:snapToGrid/>
          <w:kern w:val="2"/>
          <w:sz w:val="24"/>
          <w:szCs w:val="24"/>
          <w:highlight w:val="none"/>
          <w:u w:val="single"/>
          <w:lang w:val="en-US" w:eastAsia="zh-CN"/>
        </w:rPr>
        <w:t>1</w:t>
      </w:r>
      <w:r>
        <w:rPr>
          <w:rStyle w:val="76"/>
          <w:rFonts w:hint="eastAsia" w:ascii="宋体" w:hAnsi="宋体" w:eastAsia="宋体" w:cs="宋体"/>
          <w:snapToGrid/>
          <w:kern w:val="2"/>
          <w:sz w:val="24"/>
          <w:szCs w:val="24"/>
          <w:highlight w:val="none"/>
          <w:u w:val="single"/>
        </w:rPr>
        <w:t>月</w:t>
      </w:r>
      <w:r>
        <w:rPr>
          <w:rStyle w:val="76"/>
          <w:rFonts w:hint="eastAsia" w:ascii="宋体" w:hAnsi="宋体" w:cs="宋体"/>
          <w:snapToGrid/>
          <w:kern w:val="2"/>
          <w:sz w:val="24"/>
          <w:szCs w:val="24"/>
          <w:highlight w:val="none"/>
          <w:u w:val="single"/>
          <w:lang w:val="en-US" w:eastAsia="zh-CN"/>
        </w:rPr>
        <w:t>24</w:t>
      </w:r>
      <w:r>
        <w:rPr>
          <w:rStyle w:val="76"/>
          <w:rFonts w:hint="eastAsia" w:ascii="宋体" w:hAnsi="宋体" w:eastAsia="宋体" w:cs="宋体"/>
          <w:snapToGrid/>
          <w:kern w:val="2"/>
          <w:sz w:val="24"/>
          <w:szCs w:val="24"/>
          <w:highlight w:val="none"/>
          <w:u w:val="single"/>
        </w:rPr>
        <w:t>日</w:t>
      </w:r>
      <w:r>
        <w:rPr>
          <w:rStyle w:val="76"/>
          <w:rFonts w:hint="eastAsia" w:ascii="宋体" w:hAnsi="宋体" w:cs="宋体"/>
          <w:snapToGrid/>
          <w:kern w:val="2"/>
          <w:sz w:val="24"/>
          <w:szCs w:val="24"/>
          <w:highlight w:val="none"/>
          <w:u w:val="single"/>
          <w:lang w:val="en-US" w:eastAsia="zh-CN"/>
        </w:rPr>
        <w:t>13</w:t>
      </w:r>
      <w:r>
        <w:rPr>
          <w:rStyle w:val="76"/>
          <w:rFonts w:hint="eastAsia" w:ascii="宋体" w:hAnsi="宋体" w:eastAsia="宋体" w:cs="宋体"/>
          <w:snapToGrid/>
          <w:kern w:val="2"/>
          <w:sz w:val="24"/>
          <w:szCs w:val="24"/>
          <w:highlight w:val="none"/>
          <w:u w:val="single"/>
        </w:rPr>
        <w:t>点</w:t>
      </w:r>
      <w:r>
        <w:rPr>
          <w:rStyle w:val="76"/>
          <w:rFonts w:hint="eastAsia" w:ascii="宋体" w:hAnsi="宋体" w:cs="宋体"/>
          <w:snapToGrid/>
          <w:kern w:val="2"/>
          <w:sz w:val="24"/>
          <w:szCs w:val="24"/>
          <w:highlight w:val="none"/>
          <w:u w:val="single"/>
          <w:lang w:val="en-US" w:eastAsia="zh-CN"/>
        </w:rPr>
        <w:t>30</w:t>
      </w:r>
      <w:r>
        <w:rPr>
          <w:rStyle w:val="76"/>
          <w:rFonts w:hint="eastAsia" w:ascii="宋体" w:hAnsi="宋体" w:eastAsia="宋体" w:cs="宋体"/>
          <w:snapToGrid/>
          <w:kern w:val="2"/>
          <w:sz w:val="24"/>
          <w:szCs w:val="24"/>
          <w:highlight w:val="none"/>
          <w:u w:val="single"/>
        </w:rPr>
        <w:t>分</w:t>
      </w:r>
      <w:r>
        <w:rPr>
          <w:rStyle w:val="76"/>
          <w:rFonts w:hint="eastAsia" w:ascii="宋体" w:hAnsi="宋体" w:eastAsia="宋体" w:cs="宋体"/>
          <w:bCs/>
          <w:snapToGrid/>
          <w:kern w:val="2"/>
          <w:sz w:val="24"/>
          <w:szCs w:val="24"/>
          <w:highlight w:val="none"/>
          <w:u w:val="singl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val="en-US" w:eastAsia="zh-CN"/>
        </w:rPr>
        <w:t>LZC-GK-临[2024]4085号</w:t>
      </w:r>
    </w:p>
    <w:p>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eastAsia="zh-CN"/>
        </w:rPr>
        <w:t>杭州市临安区人民法院2025-2026年物业服务采购项目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4600000</w:t>
      </w:r>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4600000</w:t>
      </w:r>
      <w:r>
        <w:rPr>
          <w:rFonts w:ascii="宋体" w:hAnsi="宋体" w:cs="宋体"/>
          <w:sz w:val="24"/>
        </w:rPr>
        <w:t xml:space="preserve"> </w:t>
      </w:r>
    </w:p>
    <w:p>
      <w:pPr>
        <w:pStyle w:val="9"/>
        <w:spacing w:line="360" w:lineRule="auto"/>
        <w:ind w:firstLine="480"/>
        <w:rPr>
          <w:rFonts w:hAnsi="宋体" w:cs="宋体"/>
          <w:bCs/>
          <w:snapToGrid/>
          <w:color w:val="auto"/>
          <w:kern w:val="2"/>
          <w:sz w:val="24"/>
          <w:szCs w:val="24"/>
          <w:highlight w:val="none"/>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临安区人民法院物业管理服务采购：临安法院办公审判综合大楼和诉讼服务中心消防与治安安全管理；临安法院办公审判综合大楼和诉讼服务中心安全检查服务；法院派出的青山、於潜、昌化、昌北法庭安全检查和门卫值守；临安法院办公审判综合大楼和诉讼服务中心环境保洁；昌北法庭和青山湖科技城法庭的环境保洁。详见招标文件第三部分采购需求。</w:t>
      </w:r>
    </w:p>
    <w:p>
      <w:pPr>
        <w:pStyle w:val="9"/>
        <w:spacing w:line="360" w:lineRule="auto"/>
        <w:ind w:firstLine="480"/>
        <w:rPr>
          <w:rFonts w:hint="eastAsia" w:asciiTheme="minorEastAsia" w:hAnsiTheme="minorEastAsia" w:eastAsiaTheme="minorEastAsia"/>
          <w:b w:val="0"/>
          <w:bCs w:val="0"/>
          <w:snapToGrid/>
          <w:color w:val="auto"/>
          <w:kern w:val="2"/>
          <w:sz w:val="24"/>
          <w:szCs w:val="24"/>
        </w:rPr>
      </w:pPr>
      <w:r>
        <w:rPr>
          <w:rFonts w:hint="eastAsia" w:asciiTheme="minorEastAsia" w:hAnsiTheme="minorEastAsia" w:eastAsiaTheme="minorEastAsia"/>
          <w:b/>
          <w:bCs/>
          <w:snapToGrid/>
          <w:color w:val="auto"/>
          <w:kern w:val="2"/>
          <w:sz w:val="24"/>
          <w:szCs w:val="24"/>
        </w:rPr>
        <w:t>合同履约期限：</w:t>
      </w:r>
      <w:r>
        <w:rPr>
          <w:rFonts w:hint="eastAsia" w:asciiTheme="minorEastAsia" w:hAnsiTheme="minorEastAsia" w:eastAsiaTheme="minorEastAsia"/>
          <w:b w:val="0"/>
          <w:bCs w:val="0"/>
          <w:snapToGrid/>
          <w:color w:val="auto"/>
          <w:kern w:val="2"/>
          <w:sz w:val="24"/>
          <w:szCs w:val="24"/>
        </w:rPr>
        <w:t>承包服务期为两年，自2025年1月1日至2026年12月31日。</w:t>
      </w:r>
      <w:r>
        <w:rPr>
          <w:rFonts w:hint="eastAsia" w:asciiTheme="minorEastAsia" w:hAnsiTheme="minorEastAsia" w:eastAsiaTheme="minorEastAsia"/>
          <w:b/>
          <w:bCs/>
          <w:snapToGrid/>
          <w:color w:val="auto"/>
          <w:kern w:val="2"/>
          <w:sz w:val="24"/>
          <w:szCs w:val="24"/>
          <w:lang w:eastAsia="zh-CN"/>
        </w:rPr>
        <w:t>特别说明：</w:t>
      </w:r>
      <w:r>
        <w:rPr>
          <w:rFonts w:hint="eastAsia" w:asciiTheme="minorEastAsia" w:hAnsiTheme="minorEastAsia" w:eastAsiaTheme="minorEastAsia"/>
          <w:b w:val="0"/>
          <w:bCs w:val="0"/>
          <w:snapToGrid/>
          <w:color w:val="auto"/>
          <w:kern w:val="2"/>
          <w:sz w:val="24"/>
          <w:szCs w:val="24"/>
        </w:rPr>
        <w:t>投标单位按照两年费用报价，因本服务为延续性服务，服务不能中断，所以2025年1月1日开始采购单位委托原服务供应商先提供延续服务，服务费按实结算，经采购单位确认后，由中标供应商支付给采购单位原服务供应商（计算方式为原服务供应商2025年实际服务天数/365天*该项目投标报价中除青山湖科技城法庭以外每年服务费用）</w:t>
      </w:r>
      <w:r>
        <w:rPr>
          <w:rFonts w:hint="eastAsia" w:asciiTheme="minorEastAsia" w:hAnsiTheme="minorEastAsia" w:eastAsiaTheme="minorEastAsia"/>
          <w:b w:val="0"/>
          <w:bCs w:val="0"/>
          <w:snapToGrid/>
          <w:color w:val="auto"/>
          <w:kern w:val="2"/>
          <w:sz w:val="24"/>
          <w:szCs w:val="24"/>
          <w:lang w:eastAsia="zh-CN"/>
        </w:rPr>
        <w:t>。</w:t>
      </w:r>
      <w:r>
        <w:rPr>
          <w:rFonts w:hint="eastAsia" w:asciiTheme="minorEastAsia" w:hAnsiTheme="minorEastAsia" w:eastAsiaTheme="minorEastAsia"/>
          <w:b w:val="0"/>
          <w:bCs w:val="0"/>
          <w:snapToGrid/>
          <w:color w:val="auto"/>
          <w:kern w:val="2"/>
          <w:sz w:val="24"/>
          <w:szCs w:val="24"/>
        </w:rPr>
        <w:t xml:space="preserve">考虑到交接等因素，预计需要2个月左右，因此采购单位和中标单位2025年合同按照实际交接日期签订，2025年物业费按照中标单位实际服务天数结算。 </w:t>
      </w:r>
    </w:p>
    <w:p>
      <w:pPr>
        <w:pStyle w:val="9"/>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称：杭州市临安区人民法院</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址：浙江省杭州市临安区锦城街道钱王大街958号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项目联系人（询问）：邵卫东</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项目联系方式（询问）：0571-89543680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质疑联系人：赵鑫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质疑联系方式：0571-89543681</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邵旭峰</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0571-89540588</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default" w:ascii="宋体" w:hAnsi="宋体" w:cs="宋体"/>
          <w:sz w:val="24"/>
          <w:lang w:val="en-US"/>
        </w:rPr>
      </w:pPr>
      <w:r>
        <w:rPr>
          <w:rFonts w:hint="eastAsia" w:ascii="宋体" w:hAnsi="宋体" w:cs="宋体"/>
          <w:sz w:val="24"/>
        </w:rPr>
        <w:t xml:space="preserve">    质疑联系方式：0571-</w:t>
      </w:r>
      <w:r>
        <w:rPr>
          <w:rFonts w:hint="eastAsia" w:ascii="宋体" w:hAnsi="宋体" w:cs="宋体"/>
          <w:sz w:val="24"/>
          <w:lang w:val="en-US" w:eastAsia="zh-CN"/>
        </w:rPr>
        <w:t>89540611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hint="eastAsia"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称：杭州市临安区财政局政府采购监管科、浙江省政府采购行政裁决服务中心（杭州）</w:t>
      </w:r>
    </w:p>
    <w:p>
      <w:pPr>
        <w:spacing w:line="360" w:lineRule="auto"/>
        <w:ind w:firstLine="48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址：杭州市上城区清泰街549号城建综合大楼11楼（快递仅限ems或顺丰）</w:t>
      </w:r>
    </w:p>
    <w:p>
      <w:pPr>
        <w:spacing w:line="360" w:lineRule="auto"/>
        <w:ind w:firstLine="480"/>
        <w:rPr>
          <w:rFonts w:hint="eastAsia" w:ascii="宋体" w:hAnsi="宋体" w:cs="宋体"/>
          <w:sz w:val="24"/>
        </w:rPr>
      </w:pPr>
      <w:r>
        <w:rPr>
          <w:rFonts w:hint="eastAsia" w:ascii="宋体" w:hAnsi="宋体" w:cs="宋体"/>
          <w:sz w:val="24"/>
        </w:rPr>
        <w:t>传</w:t>
      </w:r>
      <w:r>
        <w:rPr>
          <w:rFonts w:hint="eastAsia" w:ascii="宋体" w:hAnsi="宋体" w:cs="宋体"/>
          <w:sz w:val="24"/>
          <w:lang w:val="en-US" w:eastAsia="zh-CN"/>
        </w:rPr>
        <w:t xml:space="preserve">    </w:t>
      </w:r>
      <w:r>
        <w:rPr>
          <w:rFonts w:hint="eastAsia" w:ascii="宋体" w:hAnsi="宋体" w:cs="宋体"/>
          <w:sz w:val="24"/>
        </w:rPr>
        <w:t>真：0571-89541600</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：朱女士、王女士</w:t>
      </w:r>
    </w:p>
    <w:p>
      <w:pPr>
        <w:spacing w:line="360" w:lineRule="auto"/>
        <w:ind w:firstLine="480"/>
        <w:rPr>
          <w:rFonts w:hint="eastAsia" w:ascii="宋体" w:hAnsi="宋体" w:cs="宋体"/>
          <w:sz w:val="24"/>
          <w:lang w:val="en-US" w:eastAsia="zh-CN"/>
        </w:rPr>
      </w:pPr>
      <w:r>
        <w:rPr>
          <w:rFonts w:hint="eastAsia" w:ascii="宋体" w:hAnsi="宋体" w:cs="宋体"/>
          <w:sz w:val="24"/>
        </w:rPr>
        <w:t xml:space="preserve">监督投诉电话：0571-87800218、0571-87227671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hint="eastAsia" w:ascii="宋体" w:hAnsi="宋体" w:eastAsia="宋体" w:cs="宋体"/>
          <w:b/>
          <w:sz w:val="36"/>
          <w:szCs w:val="20"/>
          <w:lang w:eastAsia="zh-CN"/>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物业服务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 xml:space="preserve">物业管理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w:t>
            </w:r>
            <w:r>
              <w:rPr>
                <w:rFonts w:hint="eastAsia" w:ascii="宋体" w:hAnsi="宋体" w:cs="宋体"/>
                <w:color w:val="auto"/>
                <w:sz w:val="24"/>
                <w:highlight w:val="none"/>
              </w:rPr>
              <w:t>体、非关键性的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设施设备的保洁维护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pPr>
              <w:spacing w:line="360" w:lineRule="auto"/>
              <w:rPr>
                <w:rFonts w:ascii="宋体" w:hAnsi="宋体" w:cs="宋体"/>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highlight w:val="none"/>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w:t>
            </w:r>
            <w:r>
              <w:rPr>
                <w:rFonts w:hint="eastAsia" w:ascii="宋体" w:hAnsi="宋体" w:cs="宋体"/>
                <w:color w:val="auto"/>
                <w:kern w:val="0"/>
                <w:sz w:val="24"/>
                <w:highlight w:val="none"/>
              </w:rPr>
              <w:t>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kern w:val="0"/>
                <w:sz w:val="24"/>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lang w:val="zh-CN"/>
              </w:rPr>
              <w:t>认证证书，对获得证书的产品实施政府优先采购或强制采购；其中，对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color w:val="auto"/>
                <w:kern w:val="0"/>
                <w:sz w:val="24"/>
                <w:highlight w:val="none"/>
              </w:rPr>
              <w:t>本项目评审报告推荐的中标候选人数量：</w:t>
            </w:r>
            <w:r>
              <w:rPr>
                <w:rFonts w:hint="eastAsia" w:cs="Arial" w:asciiTheme="minorEastAsia" w:hAnsiTheme="minorEastAsia" w:eastAsiaTheme="minorEastAsia"/>
                <w:b/>
                <w:bCs/>
                <w:color w:val="auto"/>
                <w:kern w:val="0"/>
                <w:sz w:val="24"/>
                <w:highlight w:val="none"/>
                <w:u w:val="single"/>
              </w:rPr>
              <w:t xml:space="preserve"> 1 </w:t>
            </w:r>
            <w:r>
              <w:rPr>
                <w:rFonts w:hint="eastAsia" w:cs="Arial" w:asciiTheme="minorEastAsia" w:hAnsiTheme="minorEastAsia" w:eastAsiaTheme="minorEastAsia"/>
                <w:color w:val="auto"/>
                <w:kern w:val="0"/>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highlight w:val="none"/>
        </w:rPr>
        <w:t>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w:t>
      </w:r>
      <w:r>
        <w:rPr>
          <w:rFonts w:hint="eastAsia" w:ascii="宋体" w:hAnsi="宋体" w:cs="宋体"/>
          <w:sz w:val="24"/>
        </w:rPr>
        <w:t>业之间存在直接控股、管理关系的，不享受价格扣除优惠政策。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9"/>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w:t>
      </w:r>
      <w:r>
        <w:rPr>
          <w:rFonts w:hint="eastAsia"/>
          <w:highlight w:val="none"/>
        </w:rPr>
        <w:t>，收件人：朱女士、王女士，电话：</w:t>
      </w:r>
      <w:r>
        <w:rPr>
          <w:rFonts w:hint="eastAsia" w:ascii="宋体" w:hAnsi="宋体" w:cs="宋体"/>
          <w:sz w:val="24"/>
        </w:rPr>
        <w:t>0571-87800218、0571-87227671</w:t>
      </w:r>
      <w:r>
        <w:rPr>
          <w:rFonts w:hint="eastAsia"/>
          <w:highlight w:val="none"/>
        </w:rPr>
        <w:t>。</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9"/>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r>
        <w:rPr>
          <w:rFonts w:hint="eastAsia" w:ascii="宋体" w:hAnsi="宋体" w:cs="宋体"/>
        </w:rPr>
        <w:t>17.4在投标截止时间起至投标有效期届满，供应商投标文件不可撤销。</w:t>
      </w:r>
    </w:p>
    <w:p>
      <w:pPr>
        <w:pStyle w:val="128"/>
        <w:spacing w:before="0"/>
        <w:ind w:firstLine="1928" w:firstLineChars="600"/>
        <w:rPr>
          <w:rFonts w:hint="eastAsia"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2" w:firstLineChars="200"/>
        <w:contextualSpacing/>
        <w:rPr>
          <w:rFonts w:ascii="宋体" w:hAnsi="宋体" w:cs="宋体"/>
          <w:b/>
          <w:sz w:val="24"/>
        </w:rPr>
      </w:pPr>
      <w:r>
        <w:rPr>
          <w:rFonts w:hint="eastAsia" w:ascii="宋体" w:hAnsi="宋体" w:cs="宋体"/>
          <w:b/>
          <w:sz w:val="24"/>
          <w:lang w:val="en-US" w:eastAsia="zh-CN"/>
        </w:rPr>
        <w:t>18.4开标记录开启后，请将附件8《政府采购活动现场确认声明书》填写完整发送至邮箱：3692652350@qq.com。</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firstLineChars="20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8"/>
        <w:snapToGrid w:val="0"/>
        <w:spacing w:before="0"/>
        <w:ind w:firstLine="480" w:firstLineChars="200"/>
        <w:rPr>
          <w:rFonts w:hint="eastAsia" w:ascii="宋体" w:hAnsi="宋体" w:cs="宋体"/>
          <w:b w:val="0"/>
          <w:bCs/>
          <w:szCs w:val="24"/>
        </w:rPr>
      </w:pPr>
      <w:r>
        <w:rPr>
          <w:rFonts w:hint="eastAsia" w:ascii="宋体" w:hAnsi="宋体" w:cs="宋体"/>
          <w:b w:val="0"/>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7"/>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57669"/>
      <w:bookmarkEnd w:id="16"/>
      <w:bookmarkStart w:id="17" w:name="_Hlt68072990"/>
      <w:bookmarkEnd w:id="17"/>
      <w:bookmarkStart w:id="18" w:name="_Hlt75236101"/>
      <w:bookmarkEnd w:id="18"/>
      <w:bookmarkStart w:id="19" w:name="_Hlt74714665"/>
      <w:bookmarkEnd w:id="19"/>
      <w:bookmarkStart w:id="20" w:name="_Hlt68073093"/>
      <w:bookmarkEnd w:id="20"/>
      <w:bookmarkStart w:id="21" w:name="_Hlt74730295"/>
      <w:bookmarkEnd w:id="21"/>
      <w:bookmarkStart w:id="22" w:name="_Hlt68403820"/>
      <w:bookmarkEnd w:id="22"/>
      <w:bookmarkStart w:id="23" w:name="_Hlt68072998"/>
      <w:bookmarkEnd w:id="23"/>
      <w:bookmarkStart w:id="24" w:name="_Hlt74729768"/>
      <w:bookmarkEnd w:id="24"/>
      <w:bookmarkStart w:id="25" w:name="_Hlt75236290"/>
      <w:bookmarkEnd w:id="25"/>
      <w:bookmarkStart w:id="26" w:name="_Hlt75236011"/>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heme="minorEastAsia" w:hAnsiTheme="minorEastAsia" w:eastAsiaTheme="minorEastAsia" w:cstheme="minorEastAsia"/>
          <w:b/>
          <w:bCs/>
          <w:sz w:val="24"/>
          <w:szCs w:val="24"/>
          <w:lang w:eastAsia="zh-CN"/>
        </w:rPr>
      </w:pPr>
      <w:bookmarkStart w:id="28" w:name="_Toc266367448"/>
      <w:bookmarkStart w:id="29" w:name="_Toc227423930"/>
      <w:r>
        <w:rPr>
          <w:rFonts w:hint="eastAsia" w:asciiTheme="minorEastAsia" w:hAnsiTheme="minorEastAsia" w:eastAsiaTheme="minorEastAsia" w:cstheme="minorEastAsia"/>
          <w:b/>
          <w:bCs/>
          <w:sz w:val="24"/>
          <w:szCs w:val="24"/>
        </w:rPr>
        <w:t>“▲” 系指实质性要求条款</w:t>
      </w:r>
      <w:r>
        <w:rPr>
          <w:rFonts w:hint="eastAsia" w:asciiTheme="minorEastAsia" w:hAnsiTheme="minorEastAsia" w:eastAsiaTheme="minorEastAsia" w:cstheme="minorEastAsia"/>
          <w:b/>
          <w:bCs/>
          <w:sz w:val="24"/>
          <w:szCs w:val="24"/>
          <w:lang w:eastAsia="zh-CN"/>
        </w:rPr>
        <w:t>，不满足或未响应招标文件的实质性要求的，投标无效。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color w:val="000000"/>
          <w:sz w:val="24"/>
        </w:rPr>
      </w:pPr>
      <w:r>
        <w:rPr>
          <w:rFonts w:hint="eastAsia" w:ascii="宋体" w:hAnsi="宋体" w:cs="仿宋"/>
          <w:b/>
          <w:color w:val="000000"/>
          <w:sz w:val="24"/>
        </w:rPr>
        <w:t>一、项目概况</w:t>
      </w:r>
      <w:bookmarkEnd w:id="28"/>
      <w:bookmarkEnd w:id="2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项目地址：临安区锦城街道、青山湖街道、於潜镇、昌化镇、岛石镇，具体为：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临安区人民法院位于临安区锦城街道钱王大街958号，由办公审判综合大楼和诉讼服务中心（立案执行业务用房）组成，占地面积8000平方米，总建筑面积16000平方米，其中办公审判综合大楼主楼12层、面积7700平方米，裙楼5层、面积5300平方米，诉讼服务中心三层、面积3000平方米，</w:t>
      </w:r>
      <w:r>
        <w:rPr>
          <w:rFonts w:hint="eastAsia" w:asciiTheme="minorEastAsia" w:hAnsiTheme="minorEastAsia" w:eastAsiaTheme="minorEastAsia"/>
          <w:snapToGrid w:val="0"/>
          <w:sz w:val="24"/>
        </w:rPr>
        <w:t>外围区域及绿化6000平方米，总保洁面积22000</w:t>
      </w:r>
      <w:r>
        <w:rPr>
          <w:rFonts w:hint="eastAsia" w:ascii="宋体" w:hAnsi="宋体" w:cs="仿宋"/>
          <w:color w:val="000000"/>
          <w:sz w:val="24"/>
        </w:rPr>
        <w:t>平方米</w:t>
      </w:r>
      <w:r>
        <w:rPr>
          <w:rFonts w:hint="eastAsia" w:asciiTheme="minorEastAsia" w:hAnsiTheme="minorEastAsia" w:eastAsiaTheme="minorEastAsia"/>
          <w:snapToGrid w:val="0"/>
          <w:sz w:val="24"/>
        </w:rPr>
        <w:t>；</w:t>
      </w:r>
      <w:r>
        <w:rPr>
          <w:rFonts w:ascii="宋体" w:hAnsi="宋体" w:cs="仿宋"/>
          <w:color w:val="000000"/>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pPr>
      <w:r>
        <w:rPr>
          <w:rFonts w:hint="eastAsia" w:ascii="宋体" w:hAnsi="宋体" w:cs="仿宋"/>
          <w:color w:val="000000"/>
          <w:sz w:val="24"/>
        </w:rPr>
        <w:t>於潜法庭位于於潜镇绿筠街，建筑面积1550平方米；昌化法庭位于昌化镇唐昌街262号，建筑面积1650平方米</w:t>
      </w:r>
      <w:r>
        <w:rPr>
          <w:rFonts w:hint="eastAsia" w:asciiTheme="minorEastAsia" w:hAnsiTheme="minorEastAsia" w:eastAsiaTheme="minorEastAsia"/>
          <w:snapToGrid w:val="0"/>
          <w:sz w:val="24"/>
        </w:rPr>
        <w:t>；</w:t>
      </w:r>
      <w:r>
        <w:rPr>
          <w:rFonts w:hint="eastAsia" w:ascii="宋体" w:hAnsi="宋体" w:cs="仿宋"/>
          <w:color w:val="000000"/>
          <w:sz w:val="24"/>
        </w:rPr>
        <w:t>昌北法庭位于岛石镇岛石村，建筑面积2200平方米，</w:t>
      </w:r>
      <w:r>
        <w:rPr>
          <w:rFonts w:hint="eastAsia" w:asciiTheme="minorEastAsia" w:hAnsiTheme="minorEastAsia" w:eastAsiaTheme="minorEastAsia"/>
          <w:snapToGrid w:val="0"/>
          <w:sz w:val="24"/>
        </w:rPr>
        <w:t>外围区域及绿化1300平方米；</w:t>
      </w:r>
      <w:r>
        <w:rPr>
          <w:rFonts w:hint="eastAsia" w:ascii="宋体" w:hAnsi="宋体" w:cs="仿宋"/>
          <w:sz w:val="24"/>
        </w:rPr>
        <w:t>青山湖科技城</w:t>
      </w:r>
      <w:r>
        <w:rPr>
          <w:rFonts w:hint="eastAsia" w:ascii="宋体" w:hAnsi="宋体" w:cs="仿宋"/>
          <w:sz w:val="24"/>
          <w:highlight w:val="none"/>
        </w:rPr>
        <w:t>法庭</w:t>
      </w:r>
      <w:r>
        <w:rPr>
          <w:rFonts w:hint="eastAsia" w:ascii="宋体" w:hAnsi="宋体" w:cs="仿宋"/>
          <w:b/>
          <w:bCs/>
          <w:sz w:val="24"/>
          <w:highlight w:val="none"/>
          <w:lang w:val="en-US" w:eastAsia="zh-CN"/>
        </w:rPr>
        <w:t>(本年度新增内容)</w:t>
      </w:r>
      <w:r>
        <w:rPr>
          <w:rFonts w:hint="eastAsia" w:ascii="宋体" w:hAnsi="宋体" w:cs="仿宋"/>
          <w:sz w:val="24"/>
          <w:highlight w:val="none"/>
        </w:rPr>
        <w:t>位</w:t>
      </w:r>
      <w:r>
        <w:rPr>
          <w:rFonts w:hint="eastAsia" w:ascii="宋体" w:hAnsi="宋体" w:cs="仿宋"/>
          <w:sz w:val="24"/>
        </w:rPr>
        <w:t>于青山湖街道，</w:t>
      </w:r>
      <w:r>
        <w:rPr>
          <w:rFonts w:hint="eastAsia" w:ascii="宋体" w:hAnsi="宋体" w:cs="仿宋"/>
          <w:color w:val="000000"/>
          <w:sz w:val="24"/>
        </w:rPr>
        <w:t>建筑面积1500平方米</w:t>
      </w:r>
      <w:r>
        <w:rPr>
          <w:rFonts w:hint="eastAsia" w:asciiTheme="minorEastAsia" w:hAnsiTheme="minorEastAsia" w:eastAsiaTheme="minorEastAsia"/>
          <w:snapToGrid w:val="0"/>
          <w:sz w:val="24"/>
        </w:rPr>
        <w:t>，外围区域及绿化4000平方米。</w:t>
      </w:r>
      <w:r>
        <w:rPr>
          <w:rFonts w:hint="eastAsia" w:ascii="宋体" w:hAnsi="宋体" w:cs="仿宋"/>
          <w:color w:val="000000"/>
          <w:sz w:val="24"/>
        </w:rPr>
        <w:t>院机关和派出法庭</w:t>
      </w:r>
      <w:r>
        <w:rPr>
          <w:rFonts w:hint="eastAsia" w:ascii="宋体" w:hAnsi="宋体"/>
          <w:sz w:val="24"/>
        </w:rPr>
        <w:t>总保洁面积约为34200平方米。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本项目具体物业服务招标内容如下：</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（一）临安法院办公审判综合大楼和诉讼服务中心消防与治安安全管理。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1、出入审判楼、办公楼和诉服中心的人员及物品管理；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2、全院范围内的治安安全与车辆指挥管理；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3、24小时消监控管理；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4、审判区域和诉讼服务中心内的安检管理；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5、全院消防设施的定期巡查。</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（二）临安法院办公审判综合大楼和诉讼服务中心安全检查服务。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受临安区人民法院委托，依据审判工作需要，依法防止限制物品、管制物品、易燃易爆物品、强腐蚀性物品等危险物品进入立案、执行、审判场所，保证参加立案、执行和庭审活动的人身安全和审判工作的顺利进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2、重大活动及重要会议服务工作。</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（三）法院派出的青山、於潜、昌化、昌北法庭安全检查和门卫值守。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1、24小时门卫值班；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2、进入法庭立案、审判区域的安检管理；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3、区域内消防设施的定期巡查。</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（四） 临安法院办公审判综合大楼和诉讼服务中心环境保洁。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临安法院办公审判综合大楼”主楼（地上十二层）、裙楼（地上五层）和诉讼服务中心（地上三层）所有的公共区域的保洁养护，具体为：室内所有公共区域，包括大厅、消防通道、公共走道、卫生间、开水间、会议室、接待室、法庭、院长层、电梯间、车库等；室外广场地面、各类管线、天台、墙面、护栏、公共设施、自动门等的保洁维护、各种环境设施设备的保洁维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具体包括：</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1、室内：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⑴公共区域：落尘毯、地面、墙面、门、门框、饰面、顶棚、玻璃、窗、消防通道、公用设施、风口、灯饰、烟筒、消防栓、灭火器箱、井道。</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⑵院长层办公室：办公家具、电话机、墙面、沙发、地毯等。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⑶卫生间：地面、墙面、玻璃镜、便器、便斗、洗手盆、台面、隔断板、天花板、灯、排风口。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⑷会议室：桌面、茶几、沙发（椅）、地毯等。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⑸电梯前室：电梯轿厢、地毯、地面、墙面、天花板等。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⑹开水间：地面、墙面、开水箱。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⑺健身房、活动室、阅览室：桌面、椅、茶几等。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⑻办公室内地板、办公桌每半年上光打蜡一次，办公室内玻璃每半年清洁一次。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⑴天台：地面、各类管线、停车库内地面、墙面、天花板、告示牌等。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⑵大楼外围：广场地面、绿化带卫生、外墙护栏、自动门、告示牌、公共设施等。</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（五）昌北法庭和青山湖科技城法庭环境保洁。</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二、技术规范及要求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（一）管理服务应达到的各项指标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1、各类服务人员上岗培训率达到100%；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2、治安责任案件发生率为0；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3、火灾责任事故、刑事案件率为0；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4、环境卫生、清洁率达98%；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5、服务有效投诉少于1%，处理率100%；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6、业主满意率95%。</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（二） 物业管理服务具体内容及基本要求(但不限于)</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color w:val="000000"/>
          <w:sz w:val="24"/>
        </w:rPr>
      </w:pPr>
      <w:r>
        <w:rPr>
          <w:rFonts w:hint="eastAsia" w:ascii="宋体" w:hAnsi="宋体" w:cs="仿宋"/>
          <w:b/>
          <w:bCs/>
          <w:color w:val="000000"/>
          <w:sz w:val="24"/>
        </w:rPr>
        <w:t>第一、环境管理与保洁标准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1、清扫、拖洗楼内公共走廊地面和楼梯间地面，每日不少于二次保洁。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2、定期清洁擦拭各层办公室外门和门套、防火门、走廊灯具、开关、栏杆、楼梯扶手、花岗岩墙面、窗台板等。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4、随时清抹大堂玻璃门、电梯门、电梯按钮，电梯轿箱内不锈钢壁面。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5、协助业主做好公共洗手间卫生纸和洗手液的及时添置，卫生间和茶水间内的墙面、地面、台面及卫生洁具的及时清洗和保洁，清洗垃圾桶。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6、大堂地面半年抛光一次，保持地面光洁，公共走道和楼梯花岗岩地面每季打蜡和养护。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7、大院道路每天清扫，石材地面每2个月清洗一次，垃圾桶每天及时清倒、每周清洗：及时清理公共场所，公共绿地的废弃杂物；及时清扫积水、积雪；及时组织清理乱堆放物品、乱张贴宣传品等。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8、会议室及接待室在每次使用后及时清扫、整理。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9、定期清抹路灯、标识牌等。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10、做好相关保安、保洁工作的资料留存及台帐记录；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11、遇重大活动开展时，乙方需无条件配合甲方搞好各项保洁工作。</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bCs/>
          <w:color w:val="000000"/>
          <w:sz w:val="24"/>
        </w:rPr>
      </w:pPr>
      <w:r>
        <w:rPr>
          <w:rFonts w:hint="eastAsia" w:ascii="宋体" w:hAnsi="宋体" w:cs="仿宋"/>
          <w:b/>
          <w:bCs/>
          <w:color w:val="000000"/>
          <w:sz w:val="24"/>
        </w:rPr>
        <w:t>第二、安保服务标准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1、保安岗位服务规范及职责：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①按法院要求配备各区域值守人员，人员统一制服，工作规范，作风严谨，注意自身仪表、仪容形象，精神饱满；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②维护办公及审判区域秩序，保持道路畅通。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③遵守法院制定的安检程序，认真负责，注意可疑人员所携带物品，仔细询问，发现情况及时汇报。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④认真做好人员、车辆出入登记工作，做好交接工作，当来车违规时应及时引导劝阻。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⑤消防监控中心24小时值守，提高警惕，注意发现可疑人员及可疑情况，并制止违反规定的行为。发现反常或意外情况，除及时向领导报告外，要采取必要措施以防止火灾事故及破坏行为的发生。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⑥定时定点查看财务部门、档案库房、重要机房、配电房、地下车库等以及无人值班但有可能发生问题的地方，做好记录，确保合同期间的治安消防保卫工作不出问题。若发现盗窃、凶案、火灾、投毒、损毁财物，以及一切有现场的案件或事件，要妥善保护好现场，迅速上报并积极协助调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⑦应熟练掌握灭火常识，会使用消防器材，对初起火灾能及时扑灭。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⑧做好传达室卫生工作。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⑨完成委托方交办的其他工作(与保安工作有关)。</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仿宋"/>
          <w:b/>
          <w:color w:val="000000"/>
          <w:sz w:val="24"/>
        </w:rPr>
      </w:pPr>
      <w:bookmarkStart w:id="30" w:name="_Toc211917819"/>
      <w:bookmarkStart w:id="31" w:name="_Toc266367452"/>
      <w:bookmarkStart w:id="32" w:name="_Toc228255653"/>
      <w:bookmarkStart w:id="33" w:name="_Toc227463270"/>
      <w:r>
        <w:rPr>
          <w:rFonts w:hint="eastAsia" w:ascii="宋体" w:hAnsi="宋体" w:cs="仿宋"/>
          <w:b/>
          <w:color w:val="000000"/>
          <w:sz w:val="24"/>
        </w:rPr>
        <w:t>第三、工程维修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1、设备维运要求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提供供配电系统、电梯系统、给排水系统、消防系统等的正常运行和日常小维修。同时要求做到：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（1）制定各层次、各工种、管理、运维人员的岗位职责。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（2）制定各种管理制度。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（3）按照各专业各工种的工作规范、操作规程进行设备运行维。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（4）做好小型维修工作及内墙的局部修补和钢结构的油漆。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2、房屋建筑物本体、共用部位及共用设施设备：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（1）按规定建立厅内房屋本体及配套设施等的物业管理资料档案，并妥善使用与保管。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（2）建立房屋本体及配套设施维修养护检查制度，检查记录完整。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（3）楼内外无违章乱张贴、乱搭建、乱拉管线等现象。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（4）无擅自改变房屋用途行为。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（5）办公大楼外观完好、整洁，无脱落；室外招牌整洁统一无安全隐患，墙面装饰无破损。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（6）确保房屋、门窗等共用设施的完好和正常使用；及时完成各项零星维修任务，零修合格率100%；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（7）确保室外场地、道路等公用设施的完好和正常使用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（8）保证公共照明、水电设施、广播系统等公共设施正常运行。公共设施、水电每天检查一遍，发现故障或损坏应在20分钟内到场，12小时内维修完毕。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3、供配电系统: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（1）保证正常供电，对限电、停电有明确的审批权限并提前48小时通知采购人和物业使用人；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（2）制定临时用电管理措施与停电应急处理措施并严格执行；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（3）公共照明系统应根据使用日的季节与气候情况掌握提前开启时间，用毕应立即关闭，避免浪费；规范空调温度设定与控制，配合采购人做好节能减排工作；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4、消防、给排水系统: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（1）建立用水、供水管理制度，积极协助采购人安排合理的用水和节水计划；</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（2）设备、阀门、管道工作正常，无跑冒滴漏现象；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（3）遇有事故，维修人员在规定时间内进行抢修，无大面积跑水、泛水和长时间停水现象；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（4）应有险情的应急处理措施。尤其要做好防台防汛防寒恶劣天气、节假日前的全方位检查，并做好检查登记台账；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5、电梯管理、维保服务和年检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（1）大楼内含电梯维维保服务，提供电梯专用服务。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（2）对电梯的维护保养进行监督，对电梯运行进行管理。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电梯性能状态须经有资质的检测机构检验合格，确保在《特种设备使用标志》有效期内安全运行。电梯如发生困人、停梯等重大故障时，专业维修人员应在30分钟内到达现场进行抢修和处理。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6、小型维修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（1）水、电、卫浴设备、门锁维修不过夜；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（2）遇电路故障没电，水管爆裂、水龙头漏水、门锁开不了、门窗毁坏及墙面破损，要随叫随修；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（3）排水管、排污管要保持畅通，如有堵塞应立即疏通，厕所堵塞应当天疏通（需换厕盆的除外）。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（4）公共照明、水电设施每天检查一遍。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（5）楼宇内门窗、卫浴设施、内墙面、所有照明设施的检查每半年3次。</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仿宋"/>
          <w:b/>
          <w:bCs/>
          <w:color w:val="000000"/>
          <w:sz w:val="24"/>
        </w:rPr>
      </w:pPr>
      <w:r>
        <w:rPr>
          <w:rFonts w:hint="eastAsia" w:ascii="宋体" w:hAnsi="宋体" w:cs="仿宋"/>
          <w:b/>
          <w:bCs/>
          <w:color w:val="000000"/>
          <w:sz w:val="24"/>
        </w:rPr>
        <w:t>（三）项目特别说明</w:t>
      </w:r>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仿宋"/>
          <w:b/>
          <w:bCs/>
          <w:color w:val="000000"/>
          <w:sz w:val="24"/>
        </w:rPr>
      </w:pPr>
      <w:r>
        <w:rPr>
          <w:rFonts w:hint="eastAsia" w:ascii="宋体" w:hAnsi="宋体" w:cs="仿宋"/>
          <w:b/>
          <w:bCs/>
          <w:color w:val="000000"/>
          <w:sz w:val="24"/>
        </w:rPr>
        <w:t>1、服务要求：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参照酒店化管理，按照三星级标准进行服务。</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2、人员要求：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总人数不得少于39人，具体岗位要求如下: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(1)项目负责人1人；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color w:val="000000"/>
          <w:sz w:val="24"/>
        </w:rPr>
      </w:pPr>
      <w:r>
        <w:rPr>
          <w:rFonts w:hint="eastAsia" w:ascii="宋体" w:hAnsi="宋体" w:cs="仿宋"/>
          <w:color w:val="000000"/>
          <w:sz w:val="24"/>
        </w:rPr>
        <w:t>(2)</w:t>
      </w:r>
      <w:r>
        <w:rPr>
          <w:rFonts w:hint="eastAsia" w:ascii="宋体" w:hAnsi="宋体" w:cs="仿宋"/>
          <w:color w:val="000000"/>
          <w:sz w:val="24"/>
          <w:lang w:eastAsia="zh-CN"/>
        </w:rPr>
        <w:t>安保</w:t>
      </w:r>
      <w:r>
        <w:rPr>
          <w:rFonts w:hint="eastAsia" w:ascii="宋体" w:hAnsi="宋体" w:cs="仿宋"/>
          <w:color w:val="000000"/>
          <w:sz w:val="24"/>
        </w:rPr>
        <w:t>总人数不得少于23人，其中法院机关不得少于12人（保安负责人1名；消监控值班员3名，需持有保安员证及建构筑物消防员证；</w:t>
      </w:r>
      <w:r>
        <w:rPr>
          <w:rFonts w:hint="eastAsia" w:ascii="宋体" w:hAnsi="宋体" w:cs="仿宋"/>
          <w:color w:val="000000"/>
          <w:sz w:val="24"/>
          <w:highlight w:val="none"/>
        </w:rPr>
        <w:t>安检员6人</w:t>
      </w:r>
      <w:r>
        <w:rPr>
          <w:rFonts w:hint="eastAsia" w:ascii="宋体" w:hAnsi="宋体" w:cs="仿宋"/>
          <w:color w:val="000000"/>
          <w:sz w:val="24"/>
        </w:rPr>
        <w:t>，根据上级法院关于安全保卫工作全封闭、全闭环的要求，负责南门诉服中心和西门审判区的安检工作；日常保安2名，少数女性保安兼顾会务服务工作。）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於潜法庭、昌化法庭、青山湖科技城法庭</w:t>
      </w:r>
      <w:r>
        <w:rPr>
          <w:rFonts w:hint="eastAsia" w:ascii="宋体" w:hAnsi="宋体" w:cs="仿宋"/>
          <w:color w:val="000000"/>
          <w:sz w:val="24"/>
          <w:lang w:eastAsia="zh-CN"/>
        </w:rPr>
        <w:t>安检员</w:t>
      </w:r>
      <w:r>
        <w:rPr>
          <w:rFonts w:hint="eastAsia" w:ascii="宋体" w:hAnsi="宋体" w:cs="仿宋"/>
          <w:color w:val="000000"/>
          <w:sz w:val="24"/>
        </w:rPr>
        <w:t>分别不少于3人，其中须各有1名女性</w:t>
      </w:r>
      <w:r>
        <w:rPr>
          <w:rFonts w:hint="eastAsia" w:ascii="宋体" w:hAnsi="宋体" w:cs="仿宋"/>
          <w:color w:val="000000"/>
          <w:sz w:val="24"/>
          <w:lang w:eastAsia="zh-CN"/>
        </w:rPr>
        <w:t>安检员</w:t>
      </w:r>
      <w:r>
        <w:rPr>
          <w:rFonts w:hint="eastAsia" w:ascii="宋体" w:hAnsi="宋体" w:cs="仿宋"/>
          <w:color w:val="000000"/>
          <w:sz w:val="24"/>
        </w:rPr>
        <w:t>，昌北法庭</w:t>
      </w:r>
      <w:r>
        <w:rPr>
          <w:rFonts w:hint="eastAsia" w:ascii="宋体" w:hAnsi="宋体" w:cs="仿宋"/>
          <w:color w:val="000000"/>
          <w:sz w:val="24"/>
          <w:lang w:eastAsia="zh-CN"/>
        </w:rPr>
        <w:t>安检员</w:t>
      </w:r>
      <w:r>
        <w:rPr>
          <w:rFonts w:hint="eastAsia" w:ascii="宋体" w:hAnsi="宋体" w:cs="仿宋"/>
          <w:color w:val="000000"/>
          <w:sz w:val="24"/>
        </w:rPr>
        <w:t>不得少于2 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(3)保洁总人数不得少于14人（院机关11人，昌北法庭1人、青山湖科技</w:t>
      </w:r>
      <w:r>
        <w:rPr>
          <w:rFonts w:hint="eastAsia" w:ascii="宋体" w:hAnsi="宋体" w:cs="仿宋"/>
          <w:color w:val="000000"/>
          <w:sz w:val="24"/>
          <w:lang w:eastAsia="zh-CN"/>
        </w:rPr>
        <w:t>城</w:t>
      </w:r>
      <w:r>
        <w:rPr>
          <w:rFonts w:hint="eastAsia" w:ascii="宋体" w:hAnsi="宋体" w:cs="仿宋"/>
          <w:color w:val="000000"/>
          <w:sz w:val="24"/>
        </w:rPr>
        <w:t>法庭2人）。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
          <w:b/>
          <w:color w:val="000000"/>
          <w:sz w:val="24"/>
        </w:rPr>
      </w:pPr>
      <w:r>
        <w:rPr>
          <w:rFonts w:hint="eastAsia" w:ascii="宋体" w:hAnsi="宋体" w:cs="仿宋"/>
          <w:color w:val="000000"/>
          <w:sz w:val="24"/>
        </w:rPr>
        <w:t>(4)水电工1名，需持有低压上岗证和高配进网许可证。</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3、人员录用条件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875"/>
        <w:gridCol w:w="1042"/>
        <w:gridCol w:w="1503"/>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0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部门</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岗位</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人数</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性别</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录用条件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服务中心</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项目经理</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1</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不限</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年龄60周岁及以下，身体健康，大专及以上学历，持有建（构）筑物消防证或消防设施操作员证；具有5年及以上</w:t>
            </w:r>
            <w:r>
              <w:rPr>
                <w:rFonts w:hint="eastAsia" w:ascii="宋体" w:hAnsi="宋体"/>
                <w:sz w:val="24"/>
                <w:highlight w:val="none"/>
                <w:lang w:eastAsia="zh-CN"/>
              </w:rPr>
              <w:t>非住宅</w:t>
            </w:r>
            <w:r>
              <w:rPr>
                <w:rFonts w:hint="eastAsia" w:ascii="宋体" w:hAnsi="宋体"/>
                <w:sz w:val="24"/>
                <w:highlight w:val="none"/>
              </w:rPr>
              <w:t>物</w:t>
            </w:r>
            <w:r>
              <w:rPr>
                <w:rFonts w:hint="eastAsia" w:ascii="宋体" w:hAnsi="宋体"/>
                <w:sz w:val="24"/>
              </w:rPr>
              <w:t>业项目经理经验等。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trPr>
        <w:tc>
          <w:tcPr>
            <w:tcW w:w="1101"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安保部</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保安主管（队长）</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1</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男性</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highlight w:val="none"/>
              </w:rPr>
            </w:pPr>
            <w:r>
              <w:rPr>
                <w:rFonts w:hint="eastAsia" w:ascii="宋体" w:hAnsi="宋体"/>
                <w:sz w:val="24"/>
                <w:highlight w:val="none"/>
              </w:rPr>
              <w:t>身体健康、具备建（构）筑物消防证或消防设施操作员证，具有3年及以上安保管理服务经验。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rPr>
              <w:t>安检员</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7</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sz w:val="24"/>
                <w:highlight w:val="none"/>
                <w:lang w:val="en-US" w:eastAsia="zh-CN"/>
              </w:rPr>
            </w:pPr>
            <w:r>
              <w:rPr>
                <w:rFonts w:hint="eastAsia" w:ascii="宋体" w:hAnsi="宋体"/>
                <w:sz w:val="24"/>
                <w:highlight w:val="none"/>
                <w:lang w:eastAsia="zh-CN"/>
              </w:rPr>
              <w:t>女性不少于</w:t>
            </w:r>
            <w:r>
              <w:rPr>
                <w:rFonts w:hint="eastAsia" w:ascii="宋体" w:hAnsi="宋体"/>
                <w:sz w:val="24"/>
                <w:highlight w:val="none"/>
                <w:lang w:val="en-US" w:eastAsia="zh-CN"/>
              </w:rPr>
              <w:t>5人</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highlight w:val="none"/>
              </w:rPr>
            </w:pPr>
            <w:r>
              <w:rPr>
                <w:rFonts w:hint="eastAsia" w:ascii="宋体" w:hAnsi="宋体"/>
                <w:sz w:val="24"/>
                <w:highlight w:val="none"/>
              </w:rPr>
              <w:t>身体健康，具有</w:t>
            </w:r>
            <w:r>
              <w:rPr>
                <w:rFonts w:hint="eastAsia" w:ascii="宋体" w:hAnsi="宋体"/>
                <w:sz w:val="24"/>
                <w:highlight w:val="none"/>
                <w:lang w:eastAsia="zh-CN"/>
              </w:rPr>
              <w:t>相关证书</w:t>
            </w:r>
            <w:r>
              <w:rPr>
                <w:rFonts w:hint="eastAsia" w:ascii="宋体" w:hAnsi="宋体"/>
                <w:sz w:val="24"/>
                <w:highlight w:val="none"/>
              </w:rPr>
              <w:t>，工作责任心强。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保安员</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highlight w:val="none"/>
              </w:rPr>
            </w:pPr>
            <w:r>
              <w:rPr>
                <w:rFonts w:hint="eastAsia" w:ascii="宋体" w:hAnsi="宋体"/>
                <w:sz w:val="24"/>
                <w:highlight w:val="none"/>
                <w:lang w:val="en-US" w:eastAsia="zh-CN"/>
              </w:rPr>
              <w:t>2</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身体健康，具备保安员上岗证，工作责任心强。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110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消监控值班</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3</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sz w:val="24"/>
                <w:lang w:eastAsia="zh-CN"/>
              </w:rPr>
            </w:pPr>
            <w:r>
              <w:rPr>
                <w:rFonts w:hint="eastAsia" w:ascii="宋体" w:hAnsi="宋体"/>
                <w:sz w:val="24"/>
              </w:rPr>
              <w:t>男性不少于</w:t>
            </w:r>
            <w:r>
              <w:rPr>
                <w:rFonts w:hint="eastAsia" w:ascii="宋体" w:hAnsi="宋体"/>
                <w:sz w:val="24"/>
                <w:lang w:val="en-US" w:eastAsia="zh-CN"/>
              </w:rPr>
              <w:t>2</w:t>
            </w:r>
            <w:r>
              <w:rPr>
                <w:rFonts w:hint="eastAsia" w:ascii="宋体" w:hAnsi="宋体"/>
                <w:sz w:val="24"/>
                <w:lang w:eastAsia="zh-CN"/>
              </w:rPr>
              <w:t>人</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b/>
                <w:bCs/>
                <w:sz w:val="24"/>
              </w:rPr>
            </w:pPr>
            <w:r>
              <w:rPr>
                <w:rFonts w:hint="eastAsia" w:ascii="宋体" w:hAnsi="宋体"/>
                <w:b/>
                <w:bCs/>
                <w:sz w:val="24"/>
              </w:rPr>
              <w:t>▲</w:t>
            </w:r>
            <w:r>
              <w:rPr>
                <w:rFonts w:hint="eastAsia" w:ascii="宋体" w:hAnsi="宋体"/>
                <w:b/>
                <w:bCs/>
                <w:sz w:val="24"/>
                <w:lang w:eastAsia="zh-CN"/>
              </w:rPr>
              <w:t>具</w:t>
            </w:r>
            <w:r>
              <w:rPr>
                <w:rFonts w:hint="eastAsia" w:ascii="宋体" w:hAnsi="宋体"/>
                <w:b/>
                <w:bCs/>
                <w:sz w:val="24"/>
              </w:rPr>
              <w:t>有保安员证及消防设施操作员或建（构）筑物消防员证书</w:t>
            </w:r>
            <w:r>
              <w:rPr>
                <w:rFonts w:hint="eastAsia" w:ascii="宋体" w:hAnsi="宋体"/>
                <w:b/>
                <w:bCs/>
                <w:sz w:val="24"/>
                <w:lang w:val="en-US" w:eastAsia="zh-CN"/>
              </w:rPr>
              <w:t>（需提供相关证书）</w:t>
            </w:r>
            <w:r>
              <w:rPr>
                <w:rFonts w:hint="eastAsia" w:ascii="宋体" w:hAnsi="宋体"/>
                <w:b/>
                <w:bCs/>
                <w:sz w:val="24"/>
              </w:rPr>
              <w:t>。</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工作责任心强。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10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保洁部</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保洁员</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14</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不限</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身体健康，持有健康证。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10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工程部</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水电工</w:t>
            </w:r>
          </w:p>
        </w:tc>
        <w:tc>
          <w:tcPr>
            <w:tcW w:w="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1</w:t>
            </w:r>
          </w:p>
        </w:tc>
        <w:tc>
          <w:tcPr>
            <w:tcW w:w="94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sz w:val="24"/>
              </w:rPr>
            </w:pPr>
            <w:r>
              <w:rPr>
                <w:rFonts w:hint="eastAsia" w:ascii="宋体" w:hAnsi="宋体"/>
                <w:sz w:val="24"/>
              </w:rPr>
              <w:t>不限</w:t>
            </w:r>
          </w:p>
        </w:tc>
        <w:tc>
          <w:tcPr>
            <w:tcW w:w="0" w:type="auto"/>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sz w:val="24"/>
              </w:rPr>
            </w:pPr>
            <w:r>
              <w:rPr>
                <w:rFonts w:hint="eastAsia" w:ascii="宋体" w:hAnsi="宋体"/>
                <w:sz w:val="24"/>
              </w:rPr>
              <w:t>▲</w:t>
            </w:r>
            <w:r>
              <w:rPr>
                <w:rFonts w:hint="eastAsia" w:ascii="宋体" w:hAnsi="宋体"/>
                <w:b/>
                <w:bCs/>
                <w:sz w:val="24"/>
              </w:rPr>
              <w:t>具有低压电工作业证及高压电工作业证</w:t>
            </w:r>
            <w:r>
              <w:rPr>
                <w:rFonts w:hint="eastAsia" w:ascii="宋体" w:hAnsi="宋体"/>
                <w:b/>
                <w:bCs/>
                <w:sz w:val="24"/>
                <w:lang w:val="en-US" w:eastAsia="zh-CN"/>
              </w:rPr>
              <w:t>（需提供相关证书）</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0" w:type="auto"/>
            <w:gridSpan w:val="5"/>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sz w:val="24"/>
                <w:lang w:eastAsia="zh-CN"/>
              </w:rPr>
            </w:pPr>
            <w:r>
              <w:rPr>
                <w:rFonts w:hint="eastAsia" w:ascii="宋体" w:hAnsi="宋体"/>
                <w:sz w:val="24"/>
                <w:highlight w:val="none"/>
              </w:rPr>
              <w:t>因本项目的特殊性，投标单位配置的项目负责人、保安主管及水电工为本项目重要岗位人员；中标单位承诺收到中标通知书后三日内提供上述重要岗位人员在投标文件中所列明的证书原件、劳动合同及社保缴纳清单进行备查；在项目接管验收前半个月内进驻本项目提前熟悉现场服务流程。</w:t>
            </w:r>
          </w:p>
        </w:tc>
      </w:tr>
    </w:tbl>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pP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jc w:val="both"/>
        <w:textAlignment w:val="auto"/>
        <w:rPr>
          <w:rFonts w:ascii="宋体" w:hAnsi="宋体" w:cs="仿宋"/>
          <w:b/>
          <w:bCs/>
          <w:color w:val="000000"/>
          <w:sz w:val="24"/>
        </w:rPr>
      </w:pPr>
      <w:r>
        <w:rPr>
          <w:rFonts w:hint="eastAsia" w:ascii="宋体" w:hAnsi="宋体" w:cs="仿宋"/>
          <w:b/>
          <w:bCs/>
          <w:color w:val="000000"/>
          <w:sz w:val="24"/>
        </w:rPr>
        <w:t>三、项目总预算及承包服务期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b w:val="0"/>
          <w:bCs w:val="0"/>
          <w:snapToGrid/>
          <w:color w:val="auto"/>
          <w:kern w:val="2"/>
          <w:sz w:val="24"/>
          <w:szCs w:val="24"/>
        </w:rPr>
      </w:pPr>
      <w:r>
        <w:rPr>
          <w:rFonts w:hint="eastAsia" w:asciiTheme="minorEastAsia" w:hAnsiTheme="minorEastAsia" w:eastAsiaTheme="minorEastAsia"/>
          <w:b w:val="0"/>
          <w:bCs w:val="0"/>
          <w:snapToGrid/>
          <w:color w:val="auto"/>
          <w:kern w:val="2"/>
          <w:sz w:val="24"/>
          <w:szCs w:val="24"/>
        </w:rPr>
        <w:t>承包服务期为两年，自2025年1月1日至2026年12月31日。</w:t>
      </w:r>
      <w:r>
        <w:rPr>
          <w:rFonts w:hint="eastAsia" w:asciiTheme="minorEastAsia" w:hAnsiTheme="minorEastAsia" w:eastAsiaTheme="minorEastAsia"/>
          <w:b/>
          <w:bCs/>
          <w:snapToGrid/>
          <w:color w:val="auto"/>
          <w:kern w:val="2"/>
          <w:sz w:val="24"/>
          <w:szCs w:val="24"/>
          <w:lang w:eastAsia="zh-CN"/>
        </w:rPr>
        <w:t>特别说明：</w:t>
      </w:r>
      <w:r>
        <w:rPr>
          <w:rFonts w:hint="eastAsia" w:asciiTheme="minorEastAsia" w:hAnsiTheme="minorEastAsia" w:eastAsiaTheme="minorEastAsia"/>
          <w:b w:val="0"/>
          <w:bCs w:val="0"/>
          <w:snapToGrid/>
          <w:color w:val="auto"/>
          <w:kern w:val="2"/>
          <w:sz w:val="24"/>
          <w:szCs w:val="24"/>
        </w:rPr>
        <w:t>投标单位按照两年费用报价，因本服务为延续性服务，服务不能中断，所以2025年1月1日开始采购单位委托原服务供应商先提供延续服务，服务费按实结算，经采购单位确认后，由中标供应商支付给采购单位原服务供应商（计算方式为原服务供应商2025年实际服务天数/365天*该项目投标报价中除青山湖科技城法庭以外每年服务费用）</w:t>
      </w:r>
      <w:r>
        <w:rPr>
          <w:rFonts w:hint="eastAsia" w:asciiTheme="minorEastAsia" w:hAnsiTheme="minorEastAsia" w:eastAsiaTheme="minorEastAsia"/>
          <w:b w:val="0"/>
          <w:bCs w:val="0"/>
          <w:snapToGrid/>
          <w:color w:val="auto"/>
          <w:kern w:val="2"/>
          <w:sz w:val="24"/>
          <w:szCs w:val="24"/>
          <w:lang w:eastAsia="zh-CN"/>
        </w:rPr>
        <w:t>。</w:t>
      </w:r>
      <w:r>
        <w:rPr>
          <w:rFonts w:hint="eastAsia" w:asciiTheme="minorEastAsia" w:hAnsiTheme="minorEastAsia" w:eastAsiaTheme="minorEastAsia"/>
          <w:b w:val="0"/>
          <w:bCs w:val="0"/>
          <w:snapToGrid/>
          <w:color w:val="auto"/>
          <w:kern w:val="2"/>
          <w:sz w:val="24"/>
          <w:szCs w:val="24"/>
        </w:rPr>
        <w:t>考虑到交接等因素，预计需要2个月左右，因此采购单位和中标单位2025年合同按照实际交接日期签订，2025年物业费按照中标单位实际服务天数结算。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jc w:val="both"/>
        <w:textAlignment w:val="auto"/>
        <w:rPr>
          <w:rFonts w:ascii="宋体" w:hAnsi="宋体" w:cs="仿宋"/>
          <w:b/>
          <w:bCs/>
          <w:color w:val="000000"/>
          <w:sz w:val="24"/>
        </w:rPr>
      </w:pPr>
      <w:r>
        <w:rPr>
          <w:rFonts w:hint="eastAsia" w:ascii="宋体" w:hAnsi="宋体" w:cs="仿宋"/>
          <w:b/>
          <w:bCs/>
          <w:color w:val="000000"/>
          <w:sz w:val="24"/>
        </w:rPr>
        <w:t>四、投标报价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投标报价除应包括物业管理服务人员的年度工资预算（员工工资不得低于临安区对于最低工资标准的相关规定）、物业管理法定税费及和合理利润外，还应包括服装、培训及政策性文件规定等各项应有费用，以及为完成招标文件规定的物业管理工作所涉及到的一切相关费用。完成服务所需的劳动用具费、清洁用品费、办公费及固定资产折旧费由投标人承担。为完成本项目服务可能发生的全部费用及投标人的利润和应交纳的税金等及招标代理服务费（若有）均计入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本项目采用固定总价制，投标人应充分考虑所有可能影响到报价的价格因素（最低工资标准上涨等）。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其它费用处理：招标文件未列明，而投标人认为必需的费用也需列入报价。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投标货币：投标文件中价格全部采用人民币报价。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物业管理费用说明：按年度报价，费用在服务期内不作调整。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cs="仿宋"/>
          <w:b/>
          <w:color w:val="000000"/>
          <w:sz w:val="24"/>
        </w:rPr>
      </w:pPr>
      <w:r>
        <w:rPr>
          <w:rFonts w:hint="eastAsia" w:ascii="宋体" w:hAnsi="宋体" w:cs="仿宋"/>
          <w:b/>
          <w:color w:val="000000"/>
          <w:sz w:val="24"/>
        </w:rPr>
        <w:t>五、奖惩措施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1、临安区人民法院办公审判综合大楼、诉讼服务中心和派出人民法庭的保安、保洁服务标准按</w:t>
      </w:r>
      <w:r>
        <w:rPr>
          <w:rFonts w:hint="eastAsia" w:ascii="宋体" w:hAnsi="宋体" w:cs="仿宋"/>
          <w:color w:val="000000"/>
          <w:sz w:val="24"/>
          <w:highlight w:val="none"/>
        </w:rPr>
        <w:t>《物业管理考核评分细则》</w:t>
      </w:r>
      <w:r>
        <w:rPr>
          <w:rFonts w:hint="eastAsia" w:ascii="宋体" w:hAnsi="宋体" w:cs="仿宋"/>
          <w:color w:val="000000"/>
          <w:sz w:val="24"/>
        </w:rPr>
        <w:t>（90分以上）及物业服务合同执行，中标单位投标书有关指标和内容超过上述标准的，以投标书为准。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2、 临安法院综合办公室每年对物业工作进行考评，如未达到考评标准，三次以上被业主投诉查实或发生重大管理失误等事故，招标人有权扣除物业服务费直至终止委托合同，并由中标单位承担违约和赔偿责任。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3、禁止借用、挂靠其他单位资质投标，一经发现取消投标资格；中标的终止合同。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考核内容及考核标准：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
          <w:color w:val="000000"/>
          <w:sz w:val="24"/>
        </w:rPr>
      </w:pPr>
      <w:r>
        <w:rPr>
          <w:rFonts w:hint="eastAsia" w:ascii="宋体" w:hAnsi="宋体" w:cs="仿宋"/>
          <w:color w:val="000000"/>
          <w:sz w:val="24"/>
        </w:rPr>
        <w:t>我方第四季度费用支付将对供应商进行现场服务质量考核，甲方按照本项目物业管理考核验收评分细则进行考核，每次综合评分低于70分的，扣除一个月服务费用的20%，并终止合同；考评分70分～80分之间的，扣除一个月服务费用10%；考评分为80分（含）～90分之间的，扣除一个月服务费用5%；考评分在90分（含）以上，按正常费用支付。</w:t>
      </w:r>
    </w:p>
    <w:p>
      <w:pPr>
        <w:spacing w:line="580" w:lineRule="exact"/>
        <w:ind w:firstLine="480" w:firstLineChars="200"/>
        <w:rPr>
          <w:rFonts w:ascii="宋体" w:hAnsi="宋体" w:cs="仿宋"/>
          <w:color w:val="000000"/>
          <w:sz w:val="24"/>
        </w:rPr>
      </w:pPr>
      <w:r>
        <w:rPr>
          <w:rFonts w:hint="eastAsia" w:ascii="宋体" w:hAnsi="宋体" w:cs="仿宋"/>
          <w:color w:val="000000"/>
          <w:sz w:val="24"/>
        </w:rPr>
        <w:t>附件：考核细则</w:t>
      </w:r>
    </w:p>
    <w:p>
      <w:pPr>
        <w:spacing w:beforeLines="100" w:afterLines="100"/>
        <w:jc w:val="center"/>
        <w:rPr>
          <w:rFonts w:ascii="宋体" w:hAnsi="宋体"/>
          <w:sz w:val="24"/>
        </w:rPr>
      </w:pPr>
      <w:r>
        <w:rPr>
          <w:rFonts w:hint="eastAsia" w:ascii="宋体" w:hAnsi="宋体"/>
          <w:sz w:val="24"/>
        </w:rPr>
        <w:t>物业管理考核评分细则</w:t>
      </w:r>
    </w:p>
    <w:tbl>
      <w:tblPr>
        <w:tblStyle w:val="62"/>
        <w:tblW w:w="934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4860"/>
        <w:gridCol w:w="776"/>
        <w:gridCol w:w="835"/>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1184" w:type="dxa"/>
          </w:tcPr>
          <w:p>
            <w:pPr>
              <w:spacing w:line="280" w:lineRule="exact"/>
              <w:jc w:val="center"/>
              <w:rPr>
                <w:rFonts w:ascii="宋体" w:hAnsi="宋体"/>
                <w:sz w:val="24"/>
              </w:rPr>
            </w:pPr>
            <w:r>
              <w:rPr>
                <w:rFonts w:hint="eastAsia" w:ascii="宋体" w:hAnsi="宋体"/>
                <w:sz w:val="24"/>
              </w:rPr>
              <w:t>考核内容及分值</w:t>
            </w:r>
          </w:p>
          <w:p>
            <w:pPr>
              <w:spacing w:line="280" w:lineRule="exact"/>
              <w:jc w:val="center"/>
              <w:rPr>
                <w:rFonts w:ascii="宋体" w:hAnsi="宋体"/>
                <w:sz w:val="24"/>
              </w:rPr>
            </w:pPr>
            <w:r>
              <w:rPr>
                <w:rFonts w:hint="eastAsia" w:ascii="宋体" w:hAnsi="宋体"/>
                <w:sz w:val="24"/>
              </w:rPr>
              <w:t>设置</w:t>
            </w:r>
          </w:p>
        </w:tc>
        <w:tc>
          <w:tcPr>
            <w:tcW w:w="4860" w:type="dxa"/>
            <w:vAlign w:val="center"/>
          </w:tcPr>
          <w:p>
            <w:pPr>
              <w:spacing w:line="280" w:lineRule="exact"/>
              <w:jc w:val="center"/>
              <w:rPr>
                <w:rFonts w:ascii="宋体" w:hAnsi="宋体"/>
                <w:sz w:val="24"/>
              </w:rPr>
            </w:pPr>
            <w:r>
              <w:rPr>
                <w:rFonts w:hint="eastAsia" w:ascii="宋体" w:hAnsi="宋体"/>
                <w:sz w:val="24"/>
              </w:rPr>
              <w:t>考核标准</w:t>
            </w:r>
          </w:p>
        </w:tc>
        <w:tc>
          <w:tcPr>
            <w:tcW w:w="776" w:type="dxa"/>
            <w:vAlign w:val="center"/>
          </w:tcPr>
          <w:p>
            <w:pPr>
              <w:spacing w:line="280" w:lineRule="exact"/>
              <w:jc w:val="center"/>
              <w:rPr>
                <w:rFonts w:ascii="宋体" w:hAnsi="宋体"/>
                <w:sz w:val="24"/>
              </w:rPr>
            </w:pPr>
            <w:r>
              <w:rPr>
                <w:rFonts w:hint="eastAsia" w:ascii="宋体" w:hAnsi="宋体"/>
                <w:sz w:val="24"/>
              </w:rPr>
              <w:t>单项分值</w:t>
            </w:r>
          </w:p>
        </w:tc>
        <w:tc>
          <w:tcPr>
            <w:tcW w:w="835" w:type="dxa"/>
            <w:vAlign w:val="center"/>
          </w:tcPr>
          <w:p>
            <w:pPr>
              <w:spacing w:line="280" w:lineRule="exact"/>
              <w:jc w:val="center"/>
              <w:rPr>
                <w:rFonts w:ascii="宋体" w:hAnsi="宋体"/>
                <w:sz w:val="24"/>
              </w:rPr>
            </w:pPr>
            <w:r>
              <w:rPr>
                <w:rFonts w:hint="eastAsia" w:ascii="宋体" w:hAnsi="宋体"/>
                <w:sz w:val="24"/>
              </w:rPr>
              <w:t>得分</w:t>
            </w:r>
          </w:p>
        </w:tc>
        <w:tc>
          <w:tcPr>
            <w:tcW w:w="1686" w:type="dxa"/>
            <w:vAlign w:val="center"/>
          </w:tcPr>
          <w:p>
            <w:pPr>
              <w:spacing w:line="28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84" w:type="dxa"/>
            <w:vMerge w:val="restart"/>
            <w:vAlign w:val="center"/>
          </w:tcPr>
          <w:p>
            <w:pPr>
              <w:spacing w:line="280" w:lineRule="exact"/>
              <w:jc w:val="center"/>
              <w:rPr>
                <w:rFonts w:ascii="宋体" w:hAnsi="宋体"/>
                <w:sz w:val="24"/>
              </w:rPr>
            </w:pPr>
            <w:r>
              <w:rPr>
                <w:rFonts w:hint="eastAsia" w:ascii="宋体" w:hAnsi="宋体"/>
                <w:sz w:val="24"/>
              </w:rPr>
              <w:t>项目</w:t>
            </w:r>
          </w:p>
          <w:p>
            <w:pPr>
              <w:spacing w:line="280" w:lineRule="exact"/>
              <w:jc w:val="center"/>
              <w:rPr>
                <w:rFonts w:ascii="宋体" w:hAnsi="宋体"/>
                <w:sz w:val="24"/>
              </w:rPr>
            </w:pPr>
            <w:r>
              <w:rPr>
                <w:rFonts w:hint="eastAsia" w:ascii="宋体" w:hAnsi="宋体"/>
                <w:sz w:val="24"/>
              </w:rPr>
              <w:t>管理</w:t>
            </w:r>
          </w:p>
          <w:p>
            <w:pPr>
              <w:spacing w:line="280" w:lineRule="exact"/>
              <w:jc w:val="center"/>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分）</w:t>
            </w: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1、组织管理。按合同要求配备人员设置，每发现缺位一人次扣</w:t>
            </w:r>
            <w:r>
              <w:rPr>
                <w:rFonts w:ascii="宋体" w:hAnsi="宋体"/>
                <w:sz w:val="24"/>
              </w:rPr>
              <w:t>0.5</w:t>
            </w:r>
            <w:r>
              <w:rPr>
                <w:rFonts w:hint="eastAsia" w:ascii="宋体" w:hAnsi="宋体"/>
                <w:sz w:val="24"/>
              </w:rPr>
              <w:t>分；部门经理以上人员更换未报告的，每次扣1分。</w:t>
            </w:r>
          </w:p>
        </w:tc>
        <w:tc>
          <w:tcPr>
            <w:tcW w:w="776" w:type="dxa"/>
            <w:vAlign w:val="center"/>
          </w:tcPr>
          <w:p>
            <w:pPr>
              <w:spacing w:line="280" w:lineRule="exact"/>
              <w:jc w:val="center"/>
              <w:rPr>
                <w:rFonts w:ascii="宋体" w:hAnsi="宋体"/>
                <w:sz w:val="24"/>
              </w:rPr>
            </w:pPr>
            <w:r>
              <w:rPr>
                <w:rFonts w:ascii="宋体" w:hAnsi="宋体"/>
                <w:sz w:val="24"/>
              </w:rPr>
              <w:t>6</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2、日常管理。值班人员每缺位一次，工作日扣1分，节假日扣2分；部门之间工作相互推诿、扯皮的，每发现一次扣1分。</w:t>
            </w:r>
          </w:p>
        </w:tc>
        <w:tc>
          <w:tcPr>
            <w:tcW w:w="776" w:type="dxa"/>
            <w:vAlign w:val="center"/>
          </w:tcPr>
          <w:p>
            <w:pPr>
              <w:spacing w:line="280" w:lineRule="exact"/>
              <w:jc w:val="center"/>
              <w:rPr>
                <w:rFonts w:ascii="宋体" w:hAnsi="宋体"/>
                <w:sz w:val="24"/>
              </w:rPr>
            </w:pPr>
            <w:r>
              <w:rPr>
                <w:rFonts w:ascii="宋体" w:hAnsi="宋体"/>
                <w:sz w:val="24"/>
              </w:rPr>
              <w:t>6</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3、台帐管理。要求工作日志完整，台帐整理规范有序。每发现一次不符扣1分；重大会议、重点班次保障无针对性方案的，每发现一次扣1分。</w:t>
            </w:r>
          </w:p>
        </w:tc>
        <w:tc>
          <w:tcPr>
            <w:tcW w:w="776" w:type="dxa"/>
            <w:vAlign w:val="center"/>
          </w:tcPr>
          <w:p>
            <w:pPr>
              <w:spacing w:line="280" w:lineRule="exact"/>
              <w:jc w:val="center"/>
              <w:rPr>
                <w:rFonts w:ascii="宋体" w:hAnsi="宋体"/>
                <w:sz w:val="24"/>
              </w:rPr>
            </w:pPr>
            <w:r>
              <w:rPr>
                <w:rFonts w:ascii="宋体" w:hAnsi="宋体"/>
                <w:sz w:val="24"/>
              </w:rPr>
              <w:t>6</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4、交办的事情无及时回复的，每次扣1分；在能力范围内未完成的，每次扣1分。</w:t>
            </w:r>
          </w:p>
        </w:tc>
        <w:tc>
          <w:tcPr>
            <w:tcW w:w="776" w:type="dxa"/>
            <w:vAlign w:val="center"/>
          </w:tcPr>
          <w:p>
            <w:pPr>
              <w:spacing w:line="280" w:lineRule="exact"/>
              <w:jc w:val="center"/>
              <w:rPr>
                <w:rFonts w:ascii="宋体" w:hAnsi="宋体"/>
                <w:sz w:val="24"/>
              </w:rPr>
            </w:pPr>
            <w:r>
              <w:rPr>
                <w:rFonts w:ascii="宋体" w:hAnsi="宋体"/>
                <w:sz w:val="24"/>
              </w:rPr>
              <w:t>7</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restart"/>
            <w:vAlign w:val="center"/>
          </w:tcPr>
          <w:p>
            <w:pPr>
              <w:spacing w:line="280" w:lineRule="exact"/>
              <w:jc w:val="center"/>
              <w:rPr>
                <w:rFonts w:ascii="宋体" w:hAnsi="宋体"/>
                <w:sz w:val="24"/>
              </w:rPr>
            </w:pPr>
            <w:r>
              <w:rPr>
                <w:rFonts w:hint="eastAsia" w:ascii="宋体" w:hAnsi="宋体"/>
                <w:sz w:val="24"/>
              </w:rPr>
              <w:t>安全保卫消防管理</w:t>
            </w:r>
          </w:p>
          <w:p>
            <w:pPr>
              <w:spacing w:line="280" w:lineRule="exact"/>
              <w:jc w:val="center"/>
              <w:rPr>
                <w:rFonts w:ascii="宋体" w:hAnsi="宋体"/>
                <w:sz w:val="24"/>
              </w:rPr>
            </w:pPr>
            <w:r>
              <w:rPr>
                <w:rFonts w:hint="eastAsia" w:ascii="宋体" w:hAnsi="宋体"/>
                <w:sz w:val="24"/>
              </w:rPr>
              <w:t>(</w:t>
            </w:r>
            <w:r>
              <w:rPr>
                <w:rFonts w:ascii="宋体" w:hAnsi="宋体"/>
                <w:sz w:val="24"/>
              </w:rPr>
              <w:t>40</w:t>
            </w:r>
            <w:r>
              <w:rPr>
                <w:rFonts w:hint="eastAsia" w:ascii="宋体" w:hAnsi="宋体"/>
                <w:sz w:val="24"/>
              </w:rPr>
              <w:t>分)</w:t>
            </w: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1、执勤时形象不好，有打闹、喧哗和影响本项目秩序的，每发现一次扣</w:t>
            </w:r>
            <w:r>
              <w:rPr>
                <w:rFonts w:ascii="宋体" w:hAnsi="宋体"/>
                <w:sz w:val="24"/>
              </w:rPr>
              <w:t>0.5</w:t>
            </w:r>
            <w:r>
              <w:rPr>
                <w:rFonts w:hint="eastAsia" w:ascii="宋体" w:hAnsi="宋体"/>
                <w:sz w:val="24"/>
              </w:rPr>
              <w:t>分；情节严重给学员造成不良影响的，扣</w:t>
            </w:r>
            <w:r>
              <w:rPr>
                <w:rFonts w:ascii="宋体" w:hAnsi="宋体"/>
                <w:sz w:val="24"/>
              </w:rPr>
              <w:t>1</w:t>
            </w:r>
            <w:r>
              <w:rPr>
                <w:rFonts w:hint="eastAsia" w:ascii="宋体" w:hAnsi="宋体"/>
                <w:sz w:val="24"/>
              </w:rPr>
              <w:t>分。</w:t>
            </w:r>
          </w:p>
        </w:tc>
        <w:tc>
          <w:tcPr>
            <w:tcW w:w="776" w:type="dxa"/>
            <w:vAlign w:val="center"/>
          </w:tcPr>
          <w:p>
            <w:pPr>
              <w:spacing w:line="280" w:lineRule="exact"/>
              <w:jc w:val="center"/>
              <w:rPr>
                <w:rFonts w:ascii="宋体" w:hAnsi="宋体"/>
                <w:sz w:val="24"/>
              </w:rPr>
            </w:pPr>
            <w:r>
              <w:rPr>
                <w:rFonts w:ascii="宋体" w:hAnsi="宋体"/>
                <w:sz w:val="24"/>
              </w:rPr>
              <w:t>8</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2、执勤时擅离工作岗位或夜间巡逻缺岗的，每发现一次扣</w:t>
            </w:r>
            <w:r>
              <w:rPr>
                <w:rFonts w:ascii="宋体" w:hAnsi="宋体"/>
                <w:sz w:val="24"/>
              </w:rPr>
              <w:t>1</w:t>
            </w:r>
            <w:r>
              <w:rPr>
                <w:rFonts w:hint="eastAsia" w:ascii="宋体" w:hAnsi="宋体"/>
                <w:sz w:val="24"/>
              </w:rPr>
              <w:t>分。</w:t>
            </w:r>
          </w:p>
        </w:tc>
        <w:tc>
          <w:tcPr>
            <w:tcW w:w="776" w:type="dxa"/>
            <w:vAlign w:val="center"/>
          </w:tcPr>
          <w:p>
            <w:pPr>
              <w:spacing w:line="280" w:lineRule="exact"/>
              <w:jc w:val="center"/>
              <w:rPr>
                <w:rFonts w:ascii="宋体" w:hAnsi="宋体"/>
                <w:sz w:val="24"/>
              </w:rPr>
            </w:pPr>
            <w:r>
              <w:rPr>
                <w:rFonts w:ascii="宋体" w:hAnsi="宋体"/>
                <w:sz w:val="24"/>
              </w:rPr>
              <w:t>8</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3、执勤时态度蛮横、说话粗鲁，造成不良影响的，每发现一次扣1分。</w:t>
            </w:r>
          </w:p>
        </w:tc>
        <w:tc>
          <w:tcPr>
            <w:tcW w:w="776" w:type="dxa"/>
            <w:vAlign w:val="center"/>
          </w:tcPr>
          <w:p>
            <w:pPr>
              <w:spacing w:line="280" w:lineRule="exact"/>
              <w:jc w:val="center"/>
              <w:rPr>
                <w:rFonts w:ascii="宋体" w:hAnsi="宋体"/>
                <w:sz w:val="24"/>
              </w:rPr>
            </w:pPr>
            <w:r>
              <w:rPr>
                <w:rFonts w:ascii="宋体" w:hAnsi="宋体"/>
                <w:sz w:val="24"/>
              </w:rPr>
              <w:t>8</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4、执勤工作不到位，不能及时指挥车辆停放到位，造成车辆进出不畅的，每发现一次扣</w:t>
            </w:r>
            <w:r>
              <w:rPr>
                <w:rFonts w:ascii="宋体" w:hAnsi="宋体"/>
                <w:sz w:val="24"/>
              </w:rPr>
              <w:t>1</w:t>
            </w:r>
            <w:r>
              <w:rPr>
                <w:rFonts w:hint="eastAsia" w:ascii="宋体" w:hAnsi="宋体"/>
                <w:sz w:val="24"/>
              </w:rPr>
              <w:t>分。</w:t>
            </w:r>
          </w:p>
        </w:tc>
        <w:tc>
          <w:tcPr>
            <w:tcW w:w="776" w:type="dxa"/>
            <w:vAlign w:val="center"/>
          </w:tcPr>
          <w:p>
            <w:pPr>
              <w:spacing w:line="280" w:lineRule="exact"/>
              <w:jc w:val="center"/>
              <w:rPr>
                <w:rFonts w:ascii="宋体" w:hAnsi="宋体"/>
                <w:sz w:val="24"/>
              </w:rPr>
            </w:pPr>
            <w:r>
              <w:rPr>
                <w:rFonts w:ascii="宋体" w:hAnsi="宋体"/>
                <w:sz w:val="24"/>
              </w:rPr>
              <w:t>8</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5、有人员和车辆进出大门时，安保人员在岗亭内不出门，对进出人员和车辆不管不问，每发现一次扣1分。</w:t>
            </w:r>
          </w:p>
        </w:tc>
        <w:tc>
          <w:tcPr>
            <w:tcW w:w="776" w:type="dxa"/>
            <w:vAlign w:val="center"/>
          </w:tcPr>
          <w:p>
            <w:pPr>
              <w:spacing w:line="280" w:lineRule="exact"/>
              <w:jc w:val="center"/>
              <w:rPr>
                <w:rFonts w:ascii="宋体" w:hAnsi="宋体"/>
                <w:sz w:val="24"/>
              </w:rPr>
            </w:pPr>
            <w:r>
              <w:rPr>
                <w:rFonts w:ascii="宋体" w:hAnsi="宋体"/>
                <w:sz w:val="24"/>
              </w:rPr>
              <w:t>8</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restart"/>
            <w:vAlign w:val="center"/>
          </w:tcPr>
          <w:p>
            <w:pPr>
              <w:spacing w:line="280" w:lineRule="exact"/>
              <w:jc w:val="center"/>
              <w:rPr>
                <w:rFonts w:ascii="宋体" w:hAnsi="宋体"/>
                <w:sz w:val="24"/>
              </w:rPr>
            </w:pPr>
            <w:r>
              <w:rPr>
                <w:rFonts w:hint="eastAsia" w:ascii="宋体" w:hAnsi="宋体"/>
                <w:sz w:val="24"/>
              </w:rPr>
              <w:t>环境卫生</w:t>
            </w:r>
          </w:p>
          <w:p>
            <w:pPr>
              <w:spacing w:line="280" w:lineRule="exact"/>
              <w:jc w:val="center"/>
              <w:rPr>
                <w:rFonts w:ascii="宋体" w:hAnsi="宋体"/>
                <w:sz w:val="24"/>
              </w:rPr>
            </w:pPr>
            <w:r>
              <w:rPr>
                <w:rFonts w:hint="eastAsia" w:ascii="宋体" w:hAnsi="宋体"/>
                <w:sz w:val="24"/>
              </w:rPr>
              <w:t>(</w:t>
            </w:r>
            <w:r>
              <w:rPr>
                <w:rFonts w:ascii="宋体" w:hAnsi="宋体"/>
                <w:sz w:val="24"/>
              </w:rPr>
              <w:t>20</w:t>
            </w:r>
            <w:r>
              <w:rPr>
                <w:rFonts w:hint="eastAsia" w:ascii="宋体" w:hAnsi="宋体"/>
                <w:sz w:val="24"/>
              </w:rPr>
              <w:t>分)</w:t>
            </w: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l、室内有蝇虫乱飞、厕所内长时间有明显粪便的，每发现一次扣1分。</w:t>
            </w:r>
          </w:p>
        </w:tc>
        <w:tc>
          <w:tcPr>
            <w:tcW w:w="776" w:type="dxa"/>
            <w:vAlign w:val="center"/>
          </w:tcPr>
          <w:p>
            <w:pPr>
              <w:spacing w:line="280" w:lineRule="exact"/>
              <w:jc w:val="center"/>
              <w:rPr>
                <w:rFonts w:ascii="宋体" w:hAnsi="宋体"/>
                <w:sz w:val="24"/>
              </w:rPr>
            </w:pPr>
            <w:r>
              <w:rPr>
                <w:rFonts w:ascii="宋体" w:hAnsi="宋体"/>
                <w:sz w:val="24"/>
              </w:rPr>
              <w:t>3</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2、垃圾桶内有流水、有臭味的，每发现一次扣1分。</w:t>
            </w:r>
          </w:p>
        </w:tc>
        <w:tc>
          <w:tcPr>
            <w:tcW w:w="776" w:type="dxa"/>
            <w:vAlign w:val="center"/>
          </w:tcPr>
          <w:p>
            <w:pPr>
              <w:spacing w:line="280" w:lineRule="exact"/>
              <w:jc w:val="center"/>
              <w:rPr>
                <w:rFonts w:ascii="宋体" w:hAnsi="宋体"/>
                <w:sz w:val="24"/>
              </w:rPr>
            </w:pPr>
            <w:r>
              <w:rPr>
                <w:rFonts w:ascii="宋体" w:hAnsi="宋体"/>
                <w:sz w:val="24"/>
              </w:rPr>
              <w:t>3</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3、公共部位的设施设备有明显灰尘的，每发现一次扣1分。</w:t>
            </w:r>
          </w:p>
        </w:tc>
        <w:tc>
          <w:tcPr>
            <w:tcW w:w="776" w:type="dxa"/>
            <w:vAlign w:val="center"/>
          </w:tcPr>
          <w:p>
            <w:pPr>
              <w:spacing w:line="280" w:lineRule="exact"/>
              <w:jc w:val="center"/>
              <w:rPr>
                <w:rFonts w:ascii="宋体" w:hAnsi="宋体"/>
                <w:sz w:val="24"/>
              </w:rPr>
            </w:pPr>
            <w:r>
              <w:rPr>
                <w:rFonts w:ascii="宋体" w:hAnsi="宋体"/>
                <w:sz w:val="24"/>
              </w:rPr>
              <w:t>5</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4、卫生清扫工具乱堆乱放的，每发现一次扣1分。</w:t>
            </w:r>
          </w:p>
        </w:tc>
        <w:tc>
          <w:tcPr>
            <w:tcW w:w="776" w:type="dxa"/>
            <w:vAlign w:val="center"/>
          </w:tcPr>
          <w:p>
            <w:pPr>
              <w:spacing w:line="280" w:lineRule="exact"/>
              <w:jc w:val="center"/>
              <w:rPr>
                <w:rFonts w:ascii="宋体" w:hAnsi="宋体"/>
                <w:sz w:val="24"/>
              </w:rPr>
            </w:pPr>
            <w:r>
              <w:rPr>
                <w:rFonts w:ascii="宋体" w:hAnsi="宋体"/>
                <w:sz w:val="24"/>
              </w:rPr>
              <w:t>4</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Merge w:val="continue"/>
            <w:vAlign w:val="center"/>
          </w:tcPr>
          <w:p>
            <w:pPr>
              <w:spacing w:line="280" w:lineRule="exact"/>
              <w:jc w:val="center"/>
              <w:rPr>
                <w:rFonts w:ascii="宋体" w:hAnsi="宋体"/>
                <w:sz w:val="24"/>
              </w:rPr>
            </w:pP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5、场地有明显积水和废弃物堆放的，每发现一次扣1分。</w:t>
            </w:r>
          </w:p>
        </w:tc>
        <w:tc>
          <w:tcPr>
            <w:tcW w:w="776" w:type="dxa"/>
            <w:vAlign w:val="center"/>
          </w:tcPr>
          <w:p>
            <w:pPr>
              <w:spacing w:line="280" w:lineRule="exact"/>
              <w:jc w:val="center"/>
              <w:rPr>
                <w:rFonts w:ascii="宋体" w:hAnsi="宋体"/>
                <w:sz w:val="24"/>
              </w:rPr>
            </w:pPr>
            <w:r>
              <w:rPr>
                <w:rFonts w:ascii="宋体" w:hAnsi="宋体"/>
                <w:sz w:val="24"/>
              </w:rPr>
              <w:t>5</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4" w:type="dxa"/>
            <w:vAlign w:val="center"/>
          </w:tcPr>
          <w:p>
            <w:pPr>
              <w:spacing w:line="280" w:lineRule="exact"/>
              <w:jc w:val="center"/>
              <w:rPr>
                <w:rFonts w:ascii="宋体" w:hAnsi="宋体"/>
                <w:sz w:val="24"/>
              </w:rPr>
            </w:pPr>
            <w:r>
              <w:rPr>
                <w:rFonts w:hint="eastAsia" w:ascii="宋体" w:hAnsi="宋体"/>
                <w:sz w:val="24"/>
              </w:rPr>
              <w:t>投诉</w:t>
            </w:r>
          </w:p>
          <w:p>
            <w:pPr>
              <w:spacing w:line="280" w:lineRule="exact"/>
              <w:jc w:val="center"/>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分）</w:t>
            </w:r>
          </w:p>
        </w:tc>
        <w:tc>
          <w:tcPr>
            <w:tcW w:w="4860" w:type="dxa"/>
            <w:tcMar>
              <w:top w:w="113" w:type="dxa"/>
              <w:bottom w:w="113" w:type="dxa"/>
            </w:tcMar>
            <w:vAlign w:val="center"/>
          </w:tcPr>
          <w:p>
            <w:pPr>
              <w:spacing w:line="280" w:lineRule="exact"/>
              <w:rPr>
                <w:rFonts w:ascii="宋体" w:hAnsi="宋体"/>
                <w:sz w:val="24"/>
              </w:rPr>
            </w:pPr>
            <w:r>
              <w:rPr>
                <w:rFonts w:hint="eastAsia" w:ascii="宋体" w:hAnsi="宋体"/>
                <w:sz w:val="24"/>
              </w:rPr>
              <w:t>学员或教职工对物业工作不到位发生投诉，且情况属实的，每次扣2分，造成恶劣影响的，得5分。</w:t>
            </w:r>
          </w:p>
        </w:tc>
        <w:tc>
          <w:tcPr>
            <w:tcW w:w="776" w:type="dxa"/>
            <w:vAlign w:val="center"/>
          </w:tcPr>
          <w:p>
            <w:pPr>
              <w:spacing w:line="280" w:lineRule="exact"/>
              <w:jc w:val="center"/>
              <w:rPr>
                <w:rFonts w:ascii="宋体" w:hAnsi="宋体"/>
                <w:sz w:val="24"/>
              </w:rPr>
            </w:pPr>
            <w:r>
              <w:rPr>
                <w:rFonts w:ascii="宋体" w:hAnsi="宋体"/>
                <w:sz w:val="24"/>
              </w:rPr>
              <w:t>15</w:t>
            </w:r>
          </w:p>
        </w:tc>
        <w:tc>
          <w:tcPr>
            <w:tcW w:w="835" w:type="dxa"/>
            <w:vAlign w:val="center"/>
          </w:tcPr>
          <w:p>
            <w:pPr>
              <w:spacing w:line="280" w:lineRule="exact"/>
              <w:jc w:val="center"/>
              <w:rPr>
                <w:rFonts w:ascii="宋体" w:hAnsi="宋体"/>
                <w:sz w:val="24"/>
              </w:rPr>
            </w:pPr>
          </w:p>
        </w:tc>
        <w:tc>
          <w:tcPr>
            <w:tcW w:w="1686" w:type="dxa"/>
            <w:vAlign w:val="center"/>
          </w:tcPr>
          <w:p>
            <w:pPr>
              <w:spacing w:line="280" w:lineRule="exact"/>
              <w:jc w:val="center"/>
              <w:rPr>
                <w:rFonts w:ascii="宋体" w:hAnsi="宋体"/>
                <w:sz w:val="24"/>
              </w:rPr>
            </w:pPr>
          </w:p>
        </w:tc>
      </w:tr>
    </w:tbl>
    <w:p>
      <w:pPr>
        <w:pStyle w:val="7"/>
        <w:ind w:left="0" w:firstLine="0"/>
        <w:rPr>
          <w:rFonts w:ascii="宋体" w:hAnsi="宋体" w:eastAsia="宋体"/>
          <w:b w:val="0"/>
          <w:bCs w:val="0"/>
          <w:sz w:val="24"/>
          <w:szCs w:val="24"/>
          <w:lang w:val="en-US"/>
        </w:rPr>
      </w:pPr>
    </w:p>
    <w:p>
      <w:pPr>
        <w:spacing w:beforeLines="50"/>
        <w:rPr>
          <w:rFonts w:ascii="宋体" w:hAnsi="宋体"/>
          <w:sz w:val="24"/>
        </w:rPr>
      </w:pPr>
      <w:r>
        <w:rPr>
          <w:rFonts w:hint="eastAsia" w:ascii="宋体" w:hAnsi="宋体"/>
          <w:sz w:val="24"/>
        </w:rPr>
        <w:t xml:space="preserve">考评时间：                           </w:t>
      </w:r>
    </w:p>
    <w:p>
      <w:pPr>
        <w:spacing w:beforeLines="50"/>
        <w:rPr>
          <w:rFonts w:ascii="宋体" w:hAnsi="宋体"/>
          <w:sz w:val="24"/>
        </w:rPr>
      </w:pPr>
    </w:p>
    <w:p>
      <w:pPr>
        <w:spacing w:beforeLines="50"/>
        <w:rPr>
          <w:rFonts w:ascii="宋体" w:hAnsi="宋体"/>
          <w:sz w:val="24"/>
        </w:rPr>
      </w:pPr>
      <w:r>
        <w:rPr>
          <w:rFonts w:hint="eastAsia" w:ascii="宋体" w:hAnsi="宋体"/>
          <w:sz w:val="24"/>
        </w:rPr>
        <w:t>考评组成员：</w:t>
      </w:r>
    </w:p>
    <w:p>
      <w:pPr>
        <w:spacing w:line="320" w:lineRule="exact"/>
        <w:rPr>
          <w:rFonts w:ascii="宋体" w:hAnsi="宋体" w:cs="宋体"/>
          <w:b/>
          <w:bCs/>
          <w:sz w:val="24"/>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both"/>
        <w:rPr>
          <w:rFonts w:hint="eastAsia" w:ascii="宋体" w:hAnsi="宋体" w:cs="宋体"/>
          <w:b/>
          <w:sz w:val="36"/>
          <w:szCs w:val="36"/>
        </w:rPr>
      </w:pPr>
    </w:p>
    <w:p>
      <w:pPr>
        <w:snapToGrid w:val="0"/>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4" w:name="_Toc184310295"/>
      <w:bookmarkEnd w:id="34"/>
      <w:bookmarkStart w:id="35" w:name="_Toc184308038"/>
      <w:bookmarkEnd w:id="35"/>
      <w:bookmarkStart w:id="36" w:name="_Toc184312084"/>
      <w:bookmarkEnd w:id="36"/>
      <w:bookmarkStart w:id="37" w:name="_Toc184310293"/>
      <w:bookmarkEnd w:id="37"/>
      <w:bookmarkStart w:id="38" w:name="_Toc184310310"/>
      <w:bookmarkEnd w:id="38"/>
      <w:bookmarkStart w:id="39" w:name="_Toc184314474"/>
      <w:bookmarkEnd w:id="39"/>
      <w:bookmarkStart w:id="40" w:name="_Toc184308053"/>
      <w:bookmarkEnd w:id="40"/>
      <w:bookmarkStart w:id="41" w:name="_Toc184314443"/>
      <w:bookmarkEnd w:id="41"/>
      <w:bookmarkStart w:id="42" w:name="_Toc184313309"/>
      <w:bookmarkEnd w:id="42"/>
      <w:bookmarkStart w:id="43" w:name="_Toc184310278"/>
      <w:bookmarkEnd w:id="43"/>
      <w:bookmarkStart w:id="44" w:name="_Toc184313252"/>
      <w:bookmarkEnd w:id="44"/>
      <w:bookmarkStart w:id="45" w:name="_Toc184310290"/>
      <w:bookmarkEnd w:id="45"/>
      <w:bookmarkStart w:id="46" w:name="_Toc184313258"/>
      <w:bookmarkEnd w:id="46"/>
      <w:bookmarkStart w:id="47" w:name="_Toc184310301"/>
      <w:bookmarkEnd w:id="47"/>
      <w:bookmarkStart w:id="48" w:name="_Toc184310298"/>
      <w:bookmarkEnd w:id="48"/>
      <w:bookmarkStart w:id="49" w:name="_Toc184308057"/>
      <w:bookmarkEnd w:id="49"/>
      <w:bookmarkStart w:id="50" w:name="_Toc184310306"/>
      <w:bookmarkEnd w:id="50"/>
      <w:bookmarkStart w:id="51" w:name="_Toc184314425"/>
      <w:bookmarkEnd w:id="51"/>
      <w:bookmarkStart w:id="52" w:name="_Toc184313297"/>
      <w:bookmarkEnd w:id="52"/>
      <w:bookmarkStart w:id="53" w:name="_Toc184308064"/>
      <w:bookmarkEnd w:id="53"/>
      <w:bookmarkStart w:id="54" w:name="_Toc184310313"/>
      <w:bookmarkEnd w:id="54"/>
      <w:bookmarkStart w:id="55" w:name="_Toc184313299"/>
      <w:bookmarkEnd w:id="55"/>
      <w:bookmarkStart w:id="56" w:name="_Toc184314410"/>
      <w:bookmarkEnd w:id="56"/>
      <w:bookmarkStart w:id="57" w:name="_Toc184312120"/>
      <w:bookmarkEnd w:id="57"/>
      <w:bookmarkStart w:id="58" w:name="_Toc184313271"/>
      <w:bookmarkEnd w:id="58"/>
      <w:bookmarkStart w:id="59" w:name="_Toc184308042"/>
      <w:bookmarkEnd w:id="59"/>
      <w:bookmarkStart w:id="60" w:name="_Toc184314471"/>
      <w:bookmarkEnd w:id="60"/>
      <w:bookmarkStart w:id="61" w:name="_Toc184308094"/>
      <w:bookmarkEnd w:id="61"/>
      <w:bookmarkStart w:id="62" w:name="_Toc184314451"/>
      <w:bookmarkEnd w:id="62"/>
      <w:bookmarkStart w:id="63" w:name="_Toc184314463"/>
      <w:bookmarkEnd w:id="63"/>
      <w:bookmarkStart w:id="64" w:name="_Toc184313240"/>
      <w:bookmarkEnd w:id="64"/>
      <w:bookmarkStart w:id="65" w:name="_Toc184313257"/>
      <w:bookmarkEnd w:id="65"/>
      <w:bookmarkStart w:id="66" w:name="_Toc184312103"/>
      <w:bookmarkEnd w:id="66"/>
      <w:bookmarkStart w:id="67" w:name="_Toc184313261"/>
      <w:bookmarkEnd w:id="67"/>
      <w:bookmarkStart w:id="68" w:name="_Toc184314455"/>
      <w:bookmarkEnd w:id="68"/>
      <w:bookmarkStart w:id="69" w:name="_Toc184312108"/>
      <w:bookmarkEnd w:id="69"/>
      <w:bookmarkStart w:id="70" w:name="_Toc184308082"/>
      <w:bookmarkEnd w:id="70"/>
      <w:bookmarkStart w:id="71" w:name="_Toc184308087"/>
      <w:bookmarkEnd w:id="71"/>
      <w:bookmarkStart w:id="72" w:name="_Toc184308045"/>
      <w:bookmarkEnd w:id="72"/>
      <w:bookmarkStart w:id="73" w:name="_Toc184310274"/>
      <w:bookmarkEnd w:id="73"/>
      <w:bookmarkStart w:id="74" w:name="_Toc184312107"/>
      <w:bookmarkEnd w:id="74"/>
      <w:bookmarkStart w:id="75" w:name="_Toc184310335"/>
      <w:bookmarkEnd w:id="75"/>
      <w:bookmarkStart w:id="76" w:name="_Toc184308049"/>
      <w:bookmarkEnd w:id="76"/>
      <w:bookmarkStart w:id="77" w:name="_Toc184310328"/>
      <w:bookmarkEnd w:id="77"/>
      <w:bookmarkStart w:id="78" w:name="_Toc184312105"/>
      <w:bookmarkEnd w:id="78"/>
      <w:bookmarkStart w:id="79" w:name="_Toc184313243"/>
      <w:bookmarkEnd w:id="79"/>
      <w:bookmarkStart w:id="80" w:name="_Toc184308097"/>
      <w:bookmarkEnd w:id="80"/>
      <w:bookmarkStart w:id="81" w:name="_Toc184314473"/>
      <w:bookmarkEnd w:id="81"/>
      <w:bookmarkStart w:id="82" w:name="_Toc184310281"/>
      <w:bookmarkEnd w:id="82"/>
      <w:bookmarkStart w:id="83" w:name="_Toc184308041"/>
      <w:bookmarkEnd w:id="83"/>
      <w:bookmarkStart w:id="84" w:name="_Toc184312110"/>
      <w:bookmarkEnd w:id="84"/>
      <w:bookmarkStart w:id="85" w:name="_Toc184312111"/>
      <w:bookmarkEnd w:id="85"/>
      <w:bookmarkStart w:id="86" w:name="_Toc184312083"/>
      <w:bookmarkEnd w:id="86"/>
      <w:bookmarkStart w:id="87" w:name="_Toc184310316"/>
      <w:bookmarkEnd w:id="87"/>
      <w:bookmarkStart w:id="88" w:name="_Toc184312115"/>
      <w:bookmarkEnd w:id="88"/>
      <w:bookmarkStart w:id="89" w:name="_Toc184308067"/>
      <w:bookmarkEnd w:id="89"/>
      <w:bookmarkStart w:id="90" w:name="_Toc184310300"/>
      <w:bookmarkEnd w:id="90"/>
      <w:bookmarkStart w:id="91" w:name="_Toc184308059"/>
      <w:bookmarkEnd w:id="91"/>
      <w:bookmarkStart w:id="92" w:name="_Toc184308093"/>
      <w:bookmarkEnd w:id="92"/>
      <w:bookmarkStart w:id="93" w:name="_Toc184308075"/>
      <w:bookmarkEnd w:id="93"/>
      <w:bookmarkStart w:id="94" w:name="_Toc184312080"/>
      <w:bookmarkEnd w:id="94"/>
      <w:bookmarkStart w:id="95" w:name="_Toc184314480"/>
      <w:bookmarkEnd w:id="95"/>
      <w:bookmarkStart w:id="96" w:name="_Toc184314422"/>
      <w:bookmarkEnd w:id="96"/>
      <w:bookmarkStart w:id="97" w:name="_Toc184310326"/>
      <w:bookmarkEnd w:id="97"/>
      <w:bookmarkStart w:id="98" w:name="_Toc184313289"/>
      <w:bookmarkEnd w:id="98"/>
      <w:bookmarkStart w:id="99" w:name="_Toc184312071"/>
      <w:bookmarkEnd w:id="99"/>
      <w:bookmarkStart w:id="100" w:name="_Toc184310292"/>
      <w:bookmarkEnd w:id="100"/>
      <w:bookmarkStart w:id="101" w:name="_Toc184308089"/>
      <w:bookmarkEnd w:id="101"/>
      <w:bookmarkStart w:id="102" w:name="_Toc184312076"/>
      <w:bookmarkEnd w:id="102"/>
      <w:bookmarkStart w:id="103" w:name="_Toc184310333"/>
      <w:bookmarkEnd w:id="103"/>
      <w:bookmarkStart w:id="104" w:name="_Toc184310343"/>
      <w:bookmarkEnd w:id="104"/>
      <w:bookmarkStart w:id="105" w:name="_Toc184314467"/>
      <w:bookmarkEnd w:id="105"/>
      <w:bookmarkStart w:id="106" w:name="_Toc184312096"/>
      <w:bookmarkEnd w:id="106"/>
      <w:bookmarkStart w:id="107" w:name="_Toc184310277"/>
      <w:bookmarkEnd w:id="107"/>
      <w:bookmarkStart w:id="108" w:name="_Toc184312135"/>
      <w:bookmarkEnd w:id="108"/>
      <w:bookmarkStart w:id="109" w:name="_Toc184308083"/>
      <w:bookmarkEnd w:id="109"/>
      <w:bookmarkStart w:id="110" w:name="_Toc184308054"/>
      <w:bookmarkEnd w:id="110"/>
      <w:bookmarkStart w:id="111" w:name="_Toc184310344"/>
      <w:bookmarkEnd w:id="111"/>
      <w:bookmarkStart w:id="112" w:name="_Toc184313305"/>
      <w:bookmarkEnd w:id="112"/>
      <w:bookmarkStart w:id="113" w:name="_Toc184308062"/>
      <w:bookmarkEnd w:id="113"/>
      <w:bookmarkStart w:id="114" w:name="_Toc184314430"/>
      <w:bookmarkEnd w:id="114"/>
      <w:bookmarkStart w:id="115" w:name="_Toc184314431"/>
      <w:bookmarkEnd w:id="115"/>
      <w:bookmarkStart w:id="116" w:name="_Toc184312088"/>
      <w:bookmarkEnd w:id="116"/>
      <w:bookmarkStart w:id="117" w:name="_Toc184313267"/>
      <w:bookmarkEnd w:id="117"/>
      <w:bookmarkStart w:id="118" w:name="_Toc184314475"/>
      <w:bookmarkEnd w:id="118"/>
      <w:bookmarkStart w:id="119" w:name="_Toc184308090"/>
      <w:bookmarkEnd w:id="119"/>
      <w:bookmarkStart w:id="120" w:name="_Toc184310332"/>
      <w:bookmarkEnd w:id="120"/>
      <w:bookmarkStart w:id="121" w:name="_Toc184313254"/>
      <w:bookmarkEnd w:id="121"/>
      <w:bookmarkStart w:id="122" w:name="_Toc184313269"/>
      <w:bookmarkEnd w:id="122"/>
      <w:bookmarkStart w:id="123" w:name="_Toc184308086"/>
      <w:bookmarkEnd w:id="123"/>
      <w:bookmarkStart w:id="124" w:name="_Toc184314448"/>
      <w:bookmarkEnd w:id="124"/>
      <w:bookmarkStart w:id="125" w:name="_Toc184312081"/>
      <w:bookmarkEnd w:id="125"/>
      <w:bookmarkStart w:id="126" w:name="_Toc184308063"/>
      <w:bookmarkEnd w:id="126"/>
      <w:bookmarkStart w:id="127" w:name="_Toc184308066"/>
      <w:bookmarkEnd w:id="127"/>
      <w:bookmarkStart w:id="128" w:name="_Toc184313310"/>
      <w:bookmarkEnd w:id="128"/>
      <w:bookmarkStart w:id="129" w:name="_Toc184312092"/>
      <w:bookmarkEnd w:id="129"/>
      <w:bookmarkStart w:id="130" w:name="_Toc184313275"/>
      <w:bookmarkEnd w:id="130"/>
      <w:bookmarkStart w:id="131" w:name="_Toc184313256"/>
      <w:bookmarkEnd w:id="131"/>
      <w:bookmarkStart w:id="132" w:name="_Toc184314426"/>
      <w:bookmarkEnd w:id="132"/>
      <w:bookmarkStart w:id="133" w:name="_Toc184313260"/>
      <w:bookmarkEnd w:id="133"/>
      <w:bookmarkStart w:id="134" w:name="_Toc184312070"/>
      <w:bookmarkEnd w:id="134"/>
      <w:bookmarkStart w:id="135" w:name="_Toc184308071"/>
      <w:bookmarkEnd w:id="135"/>
      <w:bookmarkStart w:id="136" w:name="_Toc184313239"/>
      <w:bookmarkEnd w:id="136"/>
      <w:bookmarkStart w:id="137" w:name="_Toc184310311"/>
      <w:bookmarkEnd w:id="137"/>
      <w:bookmarkStart w:id="138" w:name="_Toc184313245"/>
      <w:bookmarkEnd w:id="138"/>
      <w:bookmarkStart w:id="139" w:name="_Toc184310327"/>
      <w:bookmarkEnd w:id="139"/>
      <w:bookmarkStart w:id="140" w:name="_Toc184310342"/>
      <w:bookmarkEnd w:id="140"/>
      <w:bookmarkStart w:id="141" w:name="_Toc184312134"/>
      <w:bookmarkEnd w:id="141"/>
      <w:bookmarkStart w:id="142" w:name="_Toc184308046"/>
      <w:bookmarkEnd w:id="142"/>
      <w:bookmarkStart w:id="143" w:name="_Toc184312101"/>
      <w:bookmarkEnd w:id="143"/>
      <w:bookmarkStart w:id="144" w:name="_Toc184313272"/>
      <w:bookmarkEnd w:id="144"/>
      <w:bookmarkStart w:id="145" w:name="_Toc184308044"/>
      <w:bookmarkEnd w:id="145"/>
      <w:bookmarkStart w:id="146" w:name="_Toc184312077"/>
      <w:bookmarkEnd w:id="146"/>
      <w:bookmarkStart w:id="147" w:name="_Toc184310282"/>
      <w:bookmarkEnd w:id="147"/>
      <w:bookmarkStart w:id="148" w:name="_Toc184314416"/>
      <w:bookmarkEnd w:id="148"/>
      <w:bookmarkStart w:id="149" w:name="_Toc184313284"/>
      <w:bookmarkEnd w:id="149"/>
      <w:bookmarkStart w:id="150" w:name="_Toc184313283"/>
      <w:bookmarkEnd w:id="150"/>
      <w:bookmarkStart w:id="151" w:name="_Toc184314434"/>
      <w:bookmarkEnd w:id="151"/>
      <w:bookmarkStart w:id="152" w:name="_Toc184313273"/>
      <w:bookmarkEnd w:id="152"/>
      <w:bookmarkStart w:id="153" w:name="_Toc184314442"/>
      <w:bookmarkEnd w:id="153"/>
      <w:bookmarkStart w:id="154" w:name="_Toc184313255"/>
      <w:bookmarkEnd w:id="154"/>
      <w:bookmarkStart w:id="155" w:name="_Toc184314461"/>
      <w:bookmarkEnd w:id="155"/>
      <w:bookmarkStart w:id="156" w:name="_Toc184308081"/>
      <w:bookmarkEnd w:id="156"/>
      <w:bookmarkStart w:id="157" w:name="_Toc184308052"/>
      <w:bookmarkEnd w:id="157"/>
      <w:bookmarkStart w:id="158" w:name="_Toc184310339"/>
      <w:bookmarkEnd w:id="158"/>
      <w:bookmarkStart w:id="159" w:name="_Toc184314459"/>
      <w:bookmarkEnd w:id="159"/>
      <w:bookmarkStart w:id="160" w:name="_Toc184313292"/>
      <w:bookmarkEnd w:id="160"/>
      <w:bookmarkStart w:id="161" w:name="_Toc184308037"/>
      <w:bookmarkEnd w:id="161"/>
      <w:bookmarkStart w:id="162" w:name="_Toc184308050"/>
      <w:bookmarkEnd w:id="162"/>
      <w:bookmarkStart w:id="163" w:name="_Toc184310338"/>
      <w:bookmarkEnd w:id="163"/>
      <w:bookmarkStart w:id="164" w:name="_Toc184314420"/>
      <w:bookmarkEnd w:id="164"/>
      <w:bookmarkStart w:id="165" w:name="_Toc184313290"/>
      <w:bookmarkEnd w:id="165"/>
      <w:bookmarkStart w:id="166" w:name="_Toc184310289"/>
      <w:bookmarkEnd w:id="166"/>
      <w:bookmarkStart w:id="167" w:name="_Toc184313291"/>
      <w:bookmarkEnd w:id="167"/>
      <w:bookmarkStart w:id="168" w:name="_Toc184314447"/>
      <w:bookmarkEnd w:id="168"/>
      <w:bookmarkStart w:id="169" w:name="_Toc184308098"/>
      <w:bookmarkEnd w:id="169"/>
      <w:bookmarkStart w:id="170" w:name="_Toc184314482"/>
      <w:bookmarkEnd w:id="170"/>
      <w:bookmarkStart w:id="171" w:name="_Toc184312119"/>
      <w:bookmarkEnd w:id="171"/>
      <w:bookmarkStart w:id="172" w:name="_Toc184312085"/>
      <w:bookmarkEnd w:id="172"/>
      <w:bookmarkStart w:id="173" w:name="_Toc184312117"/>
      <w:bookmarkEnd w:id="173"/>
      <w:bookmarkStart w:id="174" w:name="_Toc184312106"/>
      <w:bookmarkEnd w:id="174"/>
      <w:bookmarkStart w:id="175" w:name="_Toc184310305"/>
      <w:bookmarkEnd w:id="175"/>
      <w:bookmarkStart w:id="176" w:name="_Toc184314462"/>
      <w:bookmarkEnd w:id="176"/>
      <w:bookmarkStart w:id="177" w:name="_Toc184314413"/>
      <w:bookmarkEnd w:id="177"/>
      <w:bookmarkStart w:id="178" w:name="_Toc184313301"/>
      <w:bookmarkEnd w:id="178"/>
      <w:bookmarkStart w:id="179" w:name="_Toc184313276"/>
      <w:bookmarkEnd w:id="179"/>
      <w:bookmarkStart w:id="180" w:name="_Toc184310297"/>
      <w:bookmarkEnd w:id="180"/>
      <w:bookmarkStart w:id="181" w:name="_Toc184313268"/>
      <w:bookmarkEnd w:id="181"/>
      <w:bookmarkStart w:id="182" w:name="_Toc184308047"/>
      <w:bookmarkEnd w:id="182"/>
      <w:bookmarkStart w:id="183" w:name="_Toc184314449"/>
      <w:bookmarkEnd w:id="183"/>
      <w:bookmarkStart w:id="184" w:name="_Toc184310320"/>
      <w:bookmarkEnd w:id="184"/>
      <w:bookmarkStart w:id="185" w:name="_Toc184313259"/>
      <w:bookmarkEnd w:id="185"/>
      <w:bookmarkStart w:id="186" w:name="_Toc184308036"/>
      <w:bookmarkEnd w:id="186"/>
      <w:bookmarkStart w:id="187" w:name="_Toc184313294"/>
      <w:bookmarkEnd w:id="187"/>
      <w:bookmarkStart w:id="188" w:name="_Toc184314424"/>
      <w:bookmarkEnd w:id="188"/>
      <w:bookmarkStart w:id="189" w:name="_Toc184308096"/>
      <w:bookmarkEnd w:id="189"/>
      <w:bookmarkStart w:id="190" w:name="_Toc184312132"/>
      <w:bookmarkEnd w:id="190"/>
      <w:bookmarkStart w:id="191" w:name="_Toc184313262"/>
      <w:bookmarkEnd w:id="191"/>
      <w:bookmarkStart w:id="192" w:name="_Toc184308085"/>
      <w:bookmarkEnd w:id="192"/>
      <w:bookmarkStart w:id="193" w:name="_Toc184308091"/>
      <w:bookmarkEnd w:id="193"/>
      <w:bookmarkStart w:id="194" w:name="_Toc184313282"/>
      <w:bookmarkEnd w:id="194"/>
      <w:bookmarkStart w:id="195" w:name="_Toc184314452"/>
      <w:bookmarkEnd w:id="195"/>
      <w:bookmarkStart w:id="196" w:name="_Toc184310318"/>
      <w:bookmarkEnd w:id="196"/>
      <w:bookmarkStart w:id="197" w:name="_Toc184312126"/>
      <w:bookmarkEnd w:id="197"/>
      <w:bookmarkStart w:id="198" w:name="_Toc184314479"/>
      <w:bookmarkEnd w:id="198"/>
      <w:bookmarkStart w:id="199" w:name="_Toc184312131"/>
      <w:bookmarkEnd w:id="199"/>
      <w:bookmarkStart w:id="200" w:name="_Toc184313274"/>
      <w:bookmarkEnd w:id="200"/>
      <w:bookmarkStart w:id="201" w:name="_Toc184308079"/>
      <w:bookmarkEnd w:id="201"/>
      <w:bookmarkStart w:id="202" w:name="_Toc184313265"/>
      <w:bookmarkEnd w:id="202"/>
      <w:bookmarkStart w:id="203" w:name="_Toc184314423"/>
      <w:bookmarkEnd w:id="203"/>
      <w:bookmarkStart w:id="204" w:name="_Toc184313238"/>
      <w:bookmarkEnd w:id="204"/>
      <w:bookmarkStart w:id="205" w:name="_Toc184313278"/>
      <w:bookmarkEnd w:id="205"/>
      <w:bookmarkStart w:id="206" w:name="_Toc184312074"/>
      <w:bookmarkEnd w:id="206"/>
      <w:bookmarkStart w:id="207" w:name="_Toc184310324"/>
      <w:bookmarkEnd w:id="207"/>
      <w:bookmarkStart w:id="208" w:name="_Toc184312102"/>
      <w:bookmarkEnd w:id="208"/>
      <w:bookmarkStart w:id="209" w:name="_Toc184308068"/>
      <w:bookmarkEnd w:id="209"/>
      <w:bookmarkStart w:id="210" w:name="_Toc184312079"/>
      <w:bookmarkEnd w:id="210"/>
      <w:bookmarkStart w:id="211" w:name="_Toc184314472"/>
      <w:bookmarkEnd w:id="211"/>
      <w:bookmarkStart w:id="212" w:name="_Toc184308106"/>
      <w:bookmarkEnd w:id="212"/>
      <w:bookmarkStart w:id="213" w:name="_Toc184314414"/>
      <w:bookmarkEnd w:id="213"/>
      <w:bookmarkStart w:id="214" w:name="_Toc184314417"/>
      <w:bookmarkEnd w:id="214"/>
      <w:bookmarkStart w:id="215" w:name="_Toc184313246"/>
      <w:bookmarkEnd w:id="215"/>
      <w:bookmarkStart w:id="216" w:name="_Toc184312097"/>
      <w:bookmarkEnd w:id="216"/>
      <w:bookmarkStart w:id="217" w:name="_Toc184310304"/>
      <w:bookmarkEnd w:id="217"/>
      <w:bookmarkStart w:id="218" w:name="_Toc184313308"/>
      <w:bookmarkEnd w:id="218"/>
      <w:bookmarkStart w:id="219" w:name="_Toc184314415"/>
      <w:bookmarkEnd w:id="219"/>
      <w:bookmarkStart w:id="220" w:name="_Toc184312069"/>
      <w:bookmarkEnd w:id="220"/>
      <w:bookmarkStart w:id="221" w:name="_Toc184310285"/>
      <w:bookmarkEnd w:id="221"/>
      <w:bookmarkStart w:id="222" w:name="_Toc184314429"/>
      <w:bookmarkEnd w:id="222"/>
      <w:bookmarkStart w:id="223" w:name="_Toc184313295"/>
      <w:bookmarkEnd w:id="223"/>
      <w:bookmarkStart w:id="224" w:name="_Toc184313266"/>
      <w:bookmarkEnd w:id="224"/>
      <w:bookmarkStart w:id="225" w:name="_Toc184312094"/>
      <w:bookmarkEnd w:id="225"/>
      <w:bookmarkStart w:id="226" w:name="_Toc184314457"/>
      <w:bookmarkEnd w:id="226"/>
      <w:bookmarkStart w:id="227" w:name="_Toc184312130"/>
      <w:bookmarkEnd w:id="227"/>
      <w:bookmarkStart w:id="228" w:name="_Toc184312073"/>
      <w:bookmarkEnd w:id="228"/>
      <w:bookmarkStart w:id="229" w:name="_Toc184312091"/>
      <w:bookmarkEnd w:id="229"/>
      <w:bookmarkStart w:id="230" w:name="_Toc184314439"/>
      <w:bookmarkEnd w:id="230"/>
      <w:bookmarkStart w:id="231" w:name="_Toc184312112"/>
      <w:bookmarkEnd w:id="231"/>
      <w:bookmarkStart w:id="232" w:name="_Toc184313241"/>
      <w:bookmarkEnd w:id="232"/>
      <w:bookmarkStart w:id="233" w:name="_Toc184312136"/>
      <w:bookmarkEnd w:id="233"/>
      <w:bookmarkStart w:id="234" w:name="_Toc184308048"/>
      <w:bookmarkEnd w:id="234"/>
      <w:bookmarkStart w:id="235" w:name="_Toc184310340"/>
      <w:bookmarkEnd w:id="235"/>
      <w:bookmarkStart w:id="236" w:name="_Toc184310299"/>
      <w:bookmarkEnd w:id="236"/>
      <w:bookmarkStart w:id="237" w:name="_Toc184313248"/>
      <w:bookmarkEnd w:id="237"/>
      <w:bookmarkStart w:id="238" w:name="_Toc184308039"/>
      <w:bookmarkEnd w:id="238"/>
      <w:bookmarkStart w:id="239" w:name="_Toc184312093"/>
      <w:bookmarkEnd w:id="239"/>
      <w:bookmarkStart w:id="240" w:name="_Toc184313281"/>
      <w:bookmarkEnd w:id="240"/>
      <w:bookmarkStart w:id="241" w:name="_Toc184308043"/>
      <w:bookmarkEnd w:id="241"/>
      <w:bookmarkStart w:id="242" w:name="_Toc184310334"/>
      <w:bookmarkEnd w:id="242"/>
      <w:bookmarkStart w:id="243" w:name="_Toc184314477"/>
      <w:bookmarkEnd w:id="243"/>
      <w:bookmarkStart w:id="244" w:name="_Toc184308095"/>
      <w:bookmarkEnd w:id="244"/>
      <w:bookmarkStart w:id="245" w:name="_Toc184310286"/>
      <w:bookmarkEnd w:id="245"/>
      <w:bookmarkStart w:id="246" w:name="_Toc184314460"/>
      <w:bookmarkEnd w:id="246"/>
      <w:bookmarkStart w:id="247" w:name="_Toc184312087"/>
      <w:bookmarkEnd w:id="247"/>
      <w:bookmarkStart w:id="248" w:name="_Toc184312086"/>
      <w:bookmarkEnd w:id="248"/>
      <w:bookmarkStart w:id="249" w:name="_Toc184310323"/>
      <w:bookmarkEnd w:id="249"/>
      <w:bookmarkStart w:id="250" w:name="_Toc184314465"/>
      <w:bookmarkEnd w:id="250"/>
      <w:bookmarkStart w:id="251" w:name="_Toc184312124"/>
      <w:bookmarkEnd w:id="251"/>
      <w:bookmarkStart w:id="252" w:name="_Toc184308055"/>
      <w:bookmarkEnd w:id="252"/>
      <w:bookmarkStart w:id="253" w:name="_Toc184314450"/>
      <w:bookmarkEnd w:id="253"/>
      <w:bookmarkStart w:id="254" w:name="_Toc184308102"/>
      <w:bookmarkEnd w:id="254"/>
      <w:bookmarkStart w:id="255" w:name="_Toc184313244"/>
      <w:bookmarkEnd w:id="255"/>
      <w:bookmarkStart w:id="256" w:name="_Toc184313303"/>
      <w:bookmarkEnd w:id="256"/>
      <w:bookmarkStart w:id="257" w:name="_Toc184313277"/>
      <w:bookmarkEnd w:id="257"/>
      <w:bookmarkStart w:id="258" w:name="_Toc184313287"/>
      <w:bookmarkEnd w:id="258"/>
      <w:bookmarkStart w:id="259" w:name="_Toc184313250"/>
      <w:bookmarkEnd w:id="259"/>
      <w:bookmarkStart w:id="260" w:name="_Toc184313288"/>
      <w:bookmarkEnd w:id="260"/>
      <w:bookmarkStart w:id="261" w:name="_Toc184314444"/>
      <w:bookmarkEnd w:id="261"/>
      <w:bookmarkStart w:id="262" w:name="_Toc184308088"/>
      <w:bookmarkEnd w:id="262"/>
      <w:bookmarkStart w:id="263" w:name="_Toc184310280"/>
      <w:bookmarkEnd w:id="263"/>
      <w:bookmarkStart w:id="264" w:name="_Toc184314470"/>
      <w:bookmarkEnd w:id="264"/>
      <w:bookmarkStart w:id="265" w:name="_Toc184308108"/>
      <w:bookmarkEnd w:id="265"/>
      <w:bookmarkStart w:id="266" w:name="_Toc184310337"/>
      <w:bookmarkEnd w:id="266"/>
      <w:bookmarkStart w:id="267" w:name="_Toc184313279"/>
      <w:bookmarkEnd w:id="267"/>
      <w:bookmarkStart w:id="268" w:name="_Toc184308069"/>
      <w:bookmarkEnd w:id="268"/>
      <w:bookmarkStart w:id="269" w:name="_Toc184310288"/>
      <w:bookmarkEnd w:id="269"/>
      <w:bookmarkStart w:id="270" w:name="_Toc184308107"/>
      <w:bookmarkEnd w:id="270"/>
      <w:bookmarkStart w:id="271" w:name="_Toc184308040"/>
      <w:bookmarkEnd w:id="271"/>
      <w:bookmarkStart w:id="272" w:name="_Toc184310307"/>
      <w:bookmarkEnd w:id="272"/>
      <w:bookmarkStart w:id="273" w:name="_Toc184310325"/>
      <w:bookmarkEnd w:id="273"/>
      <w:bookmarkStart w:id="274" w:name="_Toc184312099"/>
      <w:bookmarkEnd w:id="274"/>
      <w:bookmarkStart w:id="275" w:name="_Toc184312116"/>
      <w:bookmarkEnd w:id="275"/>
      <w:bookmarkStart w:id="276" w:name="_Toc184308100"/>
      <w:bookmarkEnd w:id="276"/>
      <w:bookmarkStart w:id="277" w:name="_Toc184313242"/>
      <w:bookmarkEnd w:id="277"/>
      <w:bookmarkStart w:id="278" w:name="_Toc184312129"/>
      <w:bookmarkEnd w:id="278"/>
      <w:bookmarkStart w:id="279" w:name="_Toc184312109"/>
      <w:bookmarkEnd w:id="279"/>
      <w:bookmarkStart w:id="280" w:name="_Toc184313306"/>
      <w:bookmarkEnd w:id="280"/>
      <w:bookmarkStart w:id="281" w:name="_Toc184308084"/>
      <w:bookmarkEnd w:id="281"/>
      <w:bookmarkStart w:id="282" w:name="_Toc184314418"/>
      <w:bookmarkEnd w:id="282"/>
      <w:bookmarkStart w:id="283" w:name="_Toc184310317"/>
      <w:bookmarkEnd w:id="283"/>
      <w:bookmarkStart w:id="284" w:name="_Toc184312075"/>
      <w:bookmarkEnd w:id="284"/>
      <w:bookmarkStart w:id="285" w:name="_Toc184312068"/>
      <w:bookmarkEnd w:id="285"/>
      <w:bookmarkStart w:id="286" w:name="_Toc184310314"/>
      <w:bookmarkEnd w:id="286"/>
      <w:bookmarkStart w:id="287" w:name="_Toc184312098"/>
      <w:bookmarkEnd w:id="287"/>
      <w:bookmarkStart w:id="288" w:name="_Toc184310312"/>
      <w:bookmarkEnd w:id="288"/>
      <w:bookmarkStart w:id="289" w:name="_Toc184310308"/>
      <w:bookmarkEnd w:id="289"/>
      <w:bookmarkStart w:id="290" w:name="_Toc184314478"/>
      <w:bookmarkEnd w:id="290"/>
      <w:bookmarkStart w:id="291" w:name="_Toc184313298"/>
      <w:bookmarkEnd w:id="291"/>
      <w:bookmarkStart w:id="292" w:name="_Toc184308101"/>
      <w:bookmarkEnd w:id="292"/>
      <w:bookmarkStart w:id="293" w:name="_Toc184312113"/>
      <w:bookmarkEnd w:id="293"/>
      <w:bookmarkStart w:id="294" w:name="_Toc184310272"/>
      <w:bookmarkEnd w:id="294"/>
      <w:bookmarkStart w:id="295" w:name="_Toc184314476"/>
      <w:bookmarkEnd w:id="295"/>
      <w:bookmarkStart w:id="296" w:name="_Toc184314421"/>
      <w:bookmarkEnd w:id="296"/>
      <w:bookmarkStart w:id="297" w:name="_Toc184314445"/>
      <w:bookmarkEnd w:id="297"/>
      <w:bookmarkStart w:id="298" w:name="_Toc184312137"/>
      <w:bookmarkEnd w:id="298"/>
      <w:bookmarkStart w:id="299" w:name="_Toc184312078"/>
      <w:bookmarkEnd w:id="299"/>
      <w:bookmarkStart w:id="300" w:name="_Toc184314453"/>
      <w:bookmarkEnd w:id="300"/>
      <w:bookmarkStart w:id="301" w:name="_Toc184314411"/>
      <w:bookmarkEnd w:id="301"/>
      <w:bookmarkStart w:id="302" w:name="_Toc184314427"/>
      <w:bookmarkEnd w:id="302"/>
      <w:bookmarkStart w:id="303" w:name="_Toc184312090"/>
      <w:bookmarkEnd w:id="303"/>
      <w:bookmarkStart w:id="304" w:name="_Toc184310284"/>
      <w:bookmarkEnd w:id="304"/>
      <w:bookmarkStart w:id="305" w:name="_Toc184310287"/>
      <w:bookmarkEnd w:id="305"/>
      <w:bookmarkStart w:id="306" w:name="_Toc184314454"/>
      <w:bookmarkEnd w:id="306"/>
      <w:bookmarkStart w:id="307" w:name="_Toc184310329"/>
      <w:bookmarkEnd w:id="307"/>
      <w:bookmarkStart w:id="308" w:name="_Toc184314428"/>
      <w:bookmarkEnd w:id="308"/>
      <w:bookmarkStart w:id="309" w:name="_Toc184310302"/>
      <w:bookmarkEnd w:id="309"/>
      <w:bookmarkStart w:id="310" w:name="_Toc184308073"/>
      <w:bookmarkEnd w:id="310"/>
      <w:bookmarkStart w:id="311" w:name="_Toc184313286"/>
      <w:bookmarkEnd w:id="311"/>
      <w:bookmarkStart w:id="312" w:name="_Toc184314446"/>
      <w:bookmarkEnd w:id="312"/>
      <w:bookmarkStart w:id="313" w:name="_Toc184312104"/>
      <w:bookmarkEnd w:id="313"/>
      <w:bookmarkStart w:id="314" w:name="_Toc184308078"/>
      <w:bookmarkEnd w:id="314"/>
      <w:bookmarkStart w:id="315" w:name="_Toc184313293"/>
      <w:bookmarkEnd w:id="315"/>
      <w:bookmarkStart w:id="316" w:name="_Toc184310283"/>
      <w:bookmarkEnd w:id="316"/>
      <w:bookmarkStart w:id="317" w:name="_Toc184313302"/>
      <w:bookmarkEnd w:id="317"/>
      <w:bookmarkStart w:id="318" w:name="_Toc184308077"/>
      <w:bookmarkEnd w:id="318"/>
      <w:bookmarkStart w:id="319" w:name="_Toc184312067"/>
      <w:bookmarkEnd w:id="319"/>
      <w:bookmarkStart w:id="320" w:name="_Toc184312123"/>
      <w:bookmarkEnd w:id="320"/>
      <w:bookmarkStart w:id="321" w:name="_Toc184308104"/>
      <w:bookmarkEnd w:id="321"/>
      <w:bookmarkStart w:id="322" w:name="_Toc184312139"/>
      <w:bookmarkEnd w:id="322"/>
      <w:bookmarkStart w:id="323" w:name="_Toc184313247"/>
      <w:bookmarkEnd w:id="323"/>
      <w:bookmarkStart w:id="324" w:name="_Toc184313280"/>
      <w:bookmarkEnd w:id="324"/>
      <w:bookmarkStart w:id="325" w:name="_Toc184308092"/>
      <w:bookmarkEnd w:id="325"/>
      <w:bookmarkStart w:id="326" w:name="_Toc184314469"/>
      <w:bookmarkEnd w:id="326"/>
      <w:bookmarkStart w:id="327" w:name="_Toc184308074"/>
      <w:bookmarkEnd w:id="327"/>
      <w:bookmarkStart w:id="328" w:name="_Toc184308060"/>
      <w:bookmarkEnd w:id="328"/>
      <w:bookmarkStart w:id="329" w:name="_Toc184312138"/>
      <w:bookmarkEnd w:id="329"/>
      <w:bookmarkStart w:id="330" w:name="_Toc184314437"/>
      <w:bookmarkEnd w:id="330"/>
      <w:bookmarkStart w:id="331" w:name="_Toc184314435"/>
      <w:bookmarkEnd w:id="331"/>
      <w:bookmarkStart w:id="332" w:name="_Toc184312118"/>
      <w:bookmarkEnd w:id="332"/>
      <w:bookmarkStart w:id="333" w:name="_Toc184313296"/>
      <w:bookmarkEnd w:id="333"/>
      <w:bookmarkStart w:id="334" w:name="_Toc184312128"/>
      <w:bookmarkEnd w:id="334"/>
      <w:bookmarkStart w:id="335" w:name="_Toc184313307"/>
      <w:bookmarkEnd w:id="335"/>
      <w:bookmarkStart w:id="336" w:name="_Toc184313253"/>
      <w:bookmarkEnd w:id="336"/>
      <w:bookmarkStart w:id="337" w:name="_Toc184308070"/>
      <w:bookmarkEnd w:id="337"/>
      <w:bookmarkStart w:id="338" w:name="_Toc184314441"/>
      <w:bookmarkEnd w:id="338"/>
      <w:bookmarkStart w:id="339" w:name="_Toc184310294"/>
      <w:bookmarkEnd w:id="339"/>
      <w:bookmarkStart w:id="340" w:name="_Toc184308080"/>
      <w:bookmarkEnd w:id="340"/>
      <w:bookmarkStart w:id="341" w:name="_Toc184310321"/>
      <w:bookmarkEnd w:id="341"/>
      <w:bookmarkStart w:id="342" w:name="_Toc184313263"/>
      <w:bookmarkEnd w:id="342"/>
      <w:bookmarkStart w:id="343" w:name="_Toc184308076"/>
      <w:bookmarkEnd w:id="343"/>
      <w:bookmarkStart w:id="344" w:name="_Toc184310330"/>
      <w:bookmarkEnd w:id="344"/>
      <w:bookmarkStart w:id="345" w:name="_Toc184312122"/>
      <w:bookmarkEnd w:id="345"/>
      <w:bookmarkStart w:id="346" w:name="_Toc184310315"/>
      <w:bookmarkEnd w:id="346"/>
      <w:bookmarkStart w:id="347" w:name="_Toc184313251"/>
      <w:bookmarkEnd w:id="347"/>
      <w:bookmarkStart w:id="348" w:name="_Toc184308072"/>
      <w:bookmarkEnd w:id="348"/>
      <w:bookmarkStart w:id="349" w:name="_Toc184308099"/>
      <w:bookmarkEnd w:id="349"/>
      <w:bookmarkStart w:id="350" w:name="_Toc184314464"/>
      <w:bookmarkEnd w:id="350"/>
      <w:bookmarkStart w:id="351" w:name="_Toc184310319"/>
      <w:bookmarkEnd w:id="351"/>
      <w:bookmarkStart w:id="352" w:name="_Toc184314456"/>
      <w:bookmarkEnd w:id="352"/>
      <w:bookmarkStart w:id="353" w:name="_Toc184310336"/>
      <w:bookmarkEnd w:id="353"/>
      <w:bookmarkStart w:id="354" w:name="_Toc184312125"/>
      <w:bookmarkEnd w:id="354"/>
      <w:bookmarkStart w:id="355" w:name="_Toc184310309"/>
      <w:bookmarkEnd w:id="355"/>
      <w:bookmarkStart w:id="356" w:name="_Toc184312133"/>
      <w:bookmarkEnd w:id="356"/>
      <w:bookmarkStart w:id="357" w:name="_Toc184314436"/>
      <w:bookmarkEnd w:id="357"/>
      <w:bookmarkStart w:id="358" w:name="_Toc184313264"/>
      <w:bookmarkEnd w:id="358"/>
      <w:bookmarkStart w:id="359" w:name="_Toc184314432"/>
      <w:bookmarkEnd w:id="359"/>
      <w:bookmarkStart w:id="360" w:name="_Toc184308051"/>
      <w:bookmarkEnd w:id="360"/>
      <w:bookmarkStart w:id="361" w:name="_Toc184312072"/>
      <w:bookmarkEnd w:id="361"/>
      <w:bookmarkStart w:id="362" w:name="_Toc184310273"/>
      <w:bookmarkEnd w:id="362"/>
      <w:bookmarkStart w:id="363" w:name="_Toc184314481"/>
      <w:bookmarkEnd w:id="363"/>
      <w:bookmarkStart w:id="364" w:name="_Toc184313249"/>
      <w:bookmarkEnd w:id="364"/>
      <w:bookmarkStart w:id="365" w:name="_Toc184313285"/>
      <w:bookmarkEnd w:id="365"/>
      <w:bookmarkStart w:id="366" w:name="_Toc184308058"/>
      <w:bookmarkEnd w:id="366"/>
      <w:bookmarkStart w:id="367" w:name="_Toc184310296"/>
      <w:bookmarkEnd w:id="367"/>
      <w:bookmarkStart w:id="368" w:name="_Toc184308056"/>
      <w:bookmarkEnd w:id="368"/>
      <w:bookmarkStart w:id="369" w:name="_Toc184310322"/>
      <w:bookmarkEnd w:id="369"/>
      <w:bookmarkStart w:id="370" w:name="_Toc184313270"/>
      <w:bookmarkEnd w:id="370"/>
      <w:bookmarkStart w:id="371" w:name="_Toc184314466"/>
      <w:bookmarkEnd w:id="371"/>
      <w:bookmarkStart w:id="372" w:name="_Toc184310303"/>
      <w:bookmarkEnd w:id="372"/>
      <w:bookmarkStart w:id="373" w:name="_Toc184314468"/>
      <w:bookmarkEnd w:id="373"/>
      <w:bookmarkStart w:id="374" w:name="_Toc184313304"/>
      <w:bookmarkEnd w:id="374"/>
      <w:bookmarkStart w:id="375" w:name="_Toc184312095"/>
      <w:bookmarkEnd w:id="375"/>
      <w:bookmarkStart w:id="376" w:name="_Toc184310275"/>
      <w:bookmarkEnd w:id="376"/>
      <w:bookmarkStart w:id="377" w:name="_Toc184310341"/>
      <w:bookmarkEnd w:id="377"/>
      <w:bookmarkStart w:id="378" w:name="_Toc184314419"/>
      <w:bookmarkEnd w:id="378"/>
      <w:bookmarkStart w:id="379" w:name="_Toc184314440"/>
      <w:bookmarkEnd w:id="379"/>
      <w:bookmarkStart w:id="380" w:name="_Toc184312127"/>
      <w:bookmarkEnd w:id="380"/>
      <w:bookmarkStart w:id="381" w:name="_Toc184314438"/>
      <w:bookmarkEnd w:id="381"/>
      <w:bookmarkStart w:id="382" w:name="_Toc184314433"/>
      <w:bookmarkEnd w:id="382"/>
      <w:bookmarkStart w:id="383" w:name="_Toc184312121"/>
      <w:bookmarkEnd w:id="383"/>
      <w:bookmarkStart w:id="384" w:name="_Toc184312082"/>
      <w:bookmarkEnd w:id="384"/>
      <w:bookmarkStart w:id="385" w:name="_Toc184312114"/>
      <w:bookmarkEnd w:id="385"/>
      <w:bookmarkStart w:id="386" w:name="_Toc184314412"/>
      <w:bookmarkEnd w:id="386"/>
      <w:bookmarkStart w:id="387" w:name="_Toc184310331"/>
      <w:bookmarkEnd w:id="387"/>
      <w:bookmarkStart w:id="388" w:name="_Toc184312100"/>
      <w:bookmarkEnd w:id="388"/>
      <w:bookmarkStart w:id="389" w:name="_Toc184313300"/>
      <w:bookmarkEnd w:id="389"/>
      <w:bookmarkStart w:id="390" w:name="_Toc184310276"/>
      <w:bookmarkEnd w:id="390"/>
      <w:bookmarkStart w:id="391" w:name="_Toc184310291"/>
      <w:bookmarkEnd w:id="391"/>
      <w:bookmarkStart w:id="392" w:name="_Toc184314458"/>
      <w:bookmarkEnd w:id="392"/>
      <w:bookmarkStart w:id="393" w:name="_Toc184308103"/>
      <w:bookmarkEnd w:id="393"/>
      <w:bookmarkStart w:id="394" w:name="_Toc184308105"/>
      <w:bookmarkEnd w:id="394"/>
      <w:bookmarkStart w:id="395" w:name="_Toc184310279"/>
      <w:bookmarkEnd w:id="395"/>
      <w:bookmarkStart w:id="396" w:name="_Toc184308061"/>
      <w:bookmarkEnd w:id="396"/>
      <w:bookmarkStart w:id="397" w:name="_Toc184312089"/>
      <w:bookmarkEnd w:id="397"/>
      <w:bookmarkStart w:id="398" w:name="_Toc184308065"/>
      <w:bookmarkEnd w:id="398"/>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margin" w:tblpXSpec="center" w:tblpY="75"/>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5910"/>
        <w:gridCol w:w="780"/>
        <w:gridCol w:w="94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31" w:type="pct"/>
            <w:vAlign w:val="center"/>
          </w:tcPr>
          <w:p>
            <w:pPr>
              <w:spacing w:line="360" w:lineRule="auto"/>
              <w:jc w:val="center"/>
              <w:outlineLvl w:val="0"/>
              <w:rPr>
                <w:rFonts w:ascii="宋体" w:hAnsi="宋体" w:cs="宋体"/>
                <w:bCs/>
                <w:sz w:val="24"/>
              </w:rPr>
            </w:pPr>
            <w:r>
              <w:rPr>
                <w:rFonts w:hint="eastAsia" w:ascii="宋体" w:hAnsi="宋体" w:cs="宋体"/>
                <w:bCs/>
                <w:sz w:val="24"/>
              </w:rPr>
              <w:t>序号</w:t>
            </w:r>
          </w:p>
        </w:tc>
        <w:tc>
          <w:tcPr>
            <w:tcW w:w="3047" w:type="pct"/>
            <w:vAlign w:val="center"/>
          </w:tcPr>
          <w:p>
            <w:pPr>
              <w:spacing w:line="360" w:lineRule="auto"/>
              <w:ind w:firstLine="1560" w:firstLineChars="650"/>
              <w:outlineLvl w:val="0"/>
              <w:rPr>
                <w:rFonts w:ascii="宋体" w:hAnsi="宋体" w:cs="宋体"/>
                <w:bCs/>
                <w:sz w:val="24"/>
              </w:rPr>
            </w:pPr>
            <w:r>
              <w:rPr>
                <w:rFonts w:hint="eastAsia" w:ascii="宋体" w:hAnsi="宋体" w:cs="宋体"/>
                <w:bCs/>
                <w:sz w:val="24"/>
              </w:rPr>
              <w:t>评标标准</w:t>
            </w:r>
          </w:p>
        </w:tc>
        <w:tc>
          <w:tcPr>
            <w:tcW w:w="402" w:type="pct"/>
            <w:vAlign w:val="center"/>
          </w:tcPr>
          <w:p>
            <w:pPr>
              <w:spacing w:line="360" w:lineRule="auto"/>
              <w:jc w:val="center"/>
              <w:outlineLvl w:val="0"/>
              <w:rPr>
                <w:rFonts w:ascii="宋体" w:hAnsi="宋体" w:cs="宋体"/>
                <w:bCs/>
                <w:sz w:val="24"/>
              </w:rPr>
            </w:pPr>
            <w:r>
              <w:rPr>
                <w:rFonts w:hint="eastAsia" w:ascii="宋体" w:hAnsi="宋体" w:cs="宋体"/>
                <w:bCs/>
                <w:sz w:val="24"/>
              </w:rPr>
              <w:t>权重</w:t>
            </w:r>
          </w:p>
        </w:tc>
        <w:tc>
          <w:tcPr>
            <w:tcW w:w="487" w:type="pct"/>
            <w:vAlign w:val="center"/>
          </w:tcPr>
          <w:p>
            <w:pPr>
              <w:spacing w:line="360" w:lineRule="auto"/>
              <w:jc w:val="center"/>
              <w:outlineLvl w:val="0"/>
              <w:rPr>
                <w:rFonts w:ascii="宋体" w:hAnsi="宋体" w:cs="宋体"/>
                <w:bCs/>
                <w:sz w:val="24"/>
              </w:rPr>
            </w:pPr>
            <w:r>
              <w:rPr>
                <w:rFonts w:hint="eastAsia" w:ascii="宋体" w:hAnsi="宋体" w:cs="宋体"/>
                <w:bCs/>
                <w:sz w:val="24"/>
              </w:rPr>
              <w:t>主客观属性</w:t>
            </w:r>
          </w:p>
        </w:tc>
        <w:tc>
          <w:tcPr>
            <w:tcW w:w="632" w:type="pct"/>
            <w:vAlign w:val="center"/>
          </w:tcPr>
          <w:p>
            <w:pPr>
              <w:spacing w:line="360" w:lineRule="auto"/>
              <w:jc w:val="center"/>
              <w:outlineLvl w:val="0"/>
              <w:rPr>
                <w:rFonts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bCs/>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31" w:type="pct"/>
            <w:vAlign w:val="center"/>
          </w:tcPr>
          <w:p>
            <w:pPr>
              <w:spacing w:line="360" w:lineRule="auto"/>
              <w:jc w:val="center"/>
              <w:outlineLvl w:val="0"/>
              <w:rPr>
                <w:rFonts w:ascii="宋体" w:hAnsi="宋体" w:cs="宋体"/>
                <w:bCs/>
                <w:sz w:val="24"/>
              </w:rPr>
            </w:pPr>
            <w:r>
              <w:rPr>
                <w:rFonts w:hint="eastAsia" w:ascii="宋体" w:hAnsi="宋体" w:cs="宋体"/>
                <w:bCs/>
                <w:sz w:val="24"/>
              </w:rPr>
              <w:t>1</w:t>
            </w:r>
          </w:p>
        </w:tc>
        <w:tc>
          <w:tcPr>
            <w:tcW w:w="3047" w:type="pct"/>
            <w:vAlign w:val="center"/>
          </w:tcPr>
          <w:p>
            <w:pPr>
              <w:spacing w:line="360" w:lineRule="auto"/>
              <w:outlineLvl w:val="0"/>
              <w:rPr>
                <w:rFonts w:ascii="宋体" w:hAnsi="宋体" w:cs="宋体"/>
                <w:bCs/>
                <w:sz w:val="24"/>
                <w:highlight w:val="none"/>
              </w:rPr>
            </w:pPr>
            <w:r>
              <w:rPr>
                <w:rFonts w:hint="eastAsia" w:ascii="宋体" w:hAnsi="宋体" w:cs="宋体"/>
                <w:b/>
                <w:sz w:val="24"/>
                <w:highlight w:val="none"/>
              </w:rPr>
              <w:t>总体服务方案。</w:t>
            </w:r>
            <w:r>
              <w:rPr>
                <w:rFonts w:hint="eastAsia" w:ascii="宋体" w:hAnsi="宋体" w:cs="宋体"/>
                <w:bCs/>
                <w:sz w:val="24"/>
                <w:highlight w:val="none"/>
              </w:rPr>
              <w:t>投标人通过对本项目物业服务范围、配套设施、周边环境、管理特点等方面进行分析，综合其布局、功能上的特点，提出服务定位、目标，提出有针对性的，切实可行的总体服务方案。方案内容完整、定位准确、措施科学、操作性强的</w:t>
            </w:r>
            <w:r>
              <w:rPr>
                <w:rFonts w:hint="eastAsia" w:ascii="宋体" w:hAnsi="宋体" w:cs="宋体"/>
                <w:bCs/>
                <w:kern w:val="0"/>
                <w:sz w:val="24"/>
                <w:highlight w:val="none"/>
              </w:rPr>
              <w:t>视为符合，全部符合得5分，基本符合得3分，部分符合得1分，</w:t>
            </w:r>
            <w:r>
              <w:rPr>
                <w:rFonts w:hint="eastAsia" w:ascii="宋体" w:hAnsi="宋体" w:cs="宋体"/>
                <w:bCs/>
                <w:sz w:val="24"/>
                <w:highlight w:val="none"/>
              </w:rPr>
              <w:t>不符合或没提供不得分。共5分。</w:t>
            </w:r>
          </w:p>
        </w:tc>
        <w:tc>
          <w:tcPr>
            <w:tcW w:w="402" w:type="pct"/>
            <w:vAlign w:val="center"/>
          </w:tcPr>
          <w:p>
            <w:pPr>
              <w:spacing w:line="360" w:lineRule="auto"/>
              <w:jc w:val="center"/>
              <w:outlineLvl w:val="0"/>
              <w:rPr>
                <w:rFonts w:ascii="宋体" w:hAnsi="宋体" w:cs="宋体"/>
                <w:bCs/>
                <w:sz w:val="24"/>
              </w:rPr>
            </w:pPr>
            <w:r>
              <w:rPr>
                <w:rFonts w:hint="eastAsia" w:ascii="宋体" w:hAnsi="宋体" w:cs="宋体"/>
                <w:bCs/>
                <w:sz w:val="24"/>
              </w:rPr>
              <w:t>5</w:t>
            </w:r>
          </w:p>
        </w:tc>
        <w:tc>
          <w:tcPr>
            <w:tcW w:w="487" w:type="pct"/>
            <w:vAlign w:val="center"/>
          </w:tcPr>
          <w:p>
            <w:pPr>
              <w:spacing w:line="360" w:lineRule="auto"/>
              <w:jc w:val="center"/>
              <w:outlineLvl w:val="0"/>
              <w:rPr>
                <w:rFonts w:ascii="宋体" w:hAnsi="宋体" w:cs="宋体"/>
                <w:bCs/>
                <w:sz w:val="24"/>
              </w:rPr>
            </w:pPr>
            <w:r>
              <w:rPr>
                <w:rFonts w:hint="eastAsia" w:ascii="宋体" w:hAnsi="宋体" w:cs="宋体"/>
                <w:bCs/>
                <w:sz w:val="24"/>
              </w:rPr>
              <w:t>主观分</w:t>
            </w:r>
          </w:p>
        </w:tc>
        <w:tc>
          <w:tcPr>
            <w:tcW w:w="632" w:type="pct"/>
            <w:vAlign w:val="center"/>
          </w:tcPr>
          <w:p>
            <w:pPr>
              <w:spacing w:line="360" w:lineRule="auto"/>
              <w:jc w:val="center"/>
              <w:outlineLvl w:val="0"/>
              <w:rPr>
                <w:rFonts w:ascii="宋体" w:hAnsi="宋体" w:cs="宋体"/>
                <w:bCs/>
                <w:sz w:val="24"/>
              </w:rPr>
            </w:pPr>
            <w:r>
              <w:rPr>
                <w:rFonts w:hint="eastAsia" w:ascii="宋体" w:hAnsi="宋体" w:cs="宋体"/>
                <w:bCs/>
                <w:sz w:val="24"/>
              </w:rPr>
              <w:t>总体服务方案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2</w:t>
            </w:r>
          </w:p>
        </w:tc>
        <w:tc>
          <w:tcPr>
            <w:tcW w:w="3047" w:type="pct"/>
            <w:vAlign w:val="center"/>
          </w:tcPr>
          <w:p>
            <w:pPr>
              <w:spacing w:line="360" w:lineRule="auto"/>
              <w:outlineLvl w:val="0"/>
              <w:rPr>
                <w:rFonts w:ascii="宋体" w:hAnsi="宋体" w:cs="宋体"/>
                <w:bCs/>
                <w:sz w:val="24"/>
                <w:highlight w:val="none"/>
              </w:rPr>
            </w:pPr>
            <w:r>
              <w:rPr>
                <w:rFonts w:hint="eastAsia" w:ascii="宋体" w:hAnsi="宋体" w:cs="宋体"/>
                <w:b/>
                <w:sz w:val="24"/>
                <w:highlight w:val="none"/>
              </w:rPr>
              <w:t>安保服务方案。</w:t>
            </w:r>
            <w:r>
              <w:rPr>
                <w:rFonts w:hint="eastAsia" w:ascii="宋体" w:hAnsi="宋体" w:cs="宋体"/>
                <w:bCs/>
                <w:sz w:val="24"/>
                <w:highlight w:val="none"/>
              </w:rPr>
              <w:t>投标人根据招标文件阐明的采购需求，结合本项目安保的特点和自身的行业服务经验，提出完整、可行、有效的安保服务方案方案，内容完整、定位准确、措施科学、操作性强的</w:t>
            </w:r>
            <w:r>
              <w:rPr>
                <w:rFonts w:hint="eastAsia" w:ascii="宋体" w:hAnsi="宋体" w:cs="宋体"/>
                <w:bCs/>
                <w:kern w:val="0"/>
                <w:sz w:val="24"/>
                <w:highlight w:val="none"/>
              </w:rPr>
              <w:t>视为符合，全部符合得5分，基本符合得3分，部分符合得1分，</w:t>
            </w:r>
            <w:r>
              <w:rPr>
                <w:rFonts w:hint="eastAsia" w:ascii="宋体" w:hAnsi="宋体" w:cs="宋体"/>
                <w:bCs/>
                <w:sz w:val="24"/>
                <w:highlight w:val="none"/>
              </w:rPr>
              <w:t>不符合或没提供不得分。共5分。</w:t>
            </w:r>
          </w:p>
        </w:tc>
        <w:tc>
          <w:tcPr>
            <w:tcW w:w="402" w:type="pct"/>
            <w:vAlign w:val="center"/>
          </w:tcPr>
          <w:p>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5</w:t>
            </w:r>
          </w:p>
        </w:tc>
        <w:tc>
          <w:tcPr>
            <w:tcW w:w="487" w:type="pct"/>
            <w:vAlign w:val="center"/>
          </w:tcPr>
          <w:p>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主观分</w:t>
            </w:r>
          </w:p>
        </w:tc>
        <w:tc>
          <w:tcPr>
            <w:tcW w:w="632" w:type="pct"/>
            <w:vAlign w:val="center"/>
          </w:tcPr>
          <w:p>
            <w:pPr>
              <w:spacing w:line="360" w:lineRule="auto"/>
              <w:jc w:val="center"/>
              <w:outlineLvl w:val="0"/>
              <w:rPr>
                <w:rFonts w:ascii="宋体" w:hAnsi="宋体" w:cs="宋体"/>
                <w:bCs/>
                <w:sz w:val="24"/>
              </w:rPr>
            </w:pPr>
            <w:r>
              <w:rPr>
                <w:rFonts w:hint="eastAsia" w:ascii="宋体" w:hAnsi="宋体" w:cs="宋体"/>
                <w:bCs/>
                <w:sz w:val="24"/>
              </w:rPr>
              <w:t>安保服务方案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3</w:t>
            </w:r>
          </w:p>
        </w:tc>
        <w:tc>
          <w:tcPr>
            <w:tcW w:w="3047" w:type="pct"/>
            <w:vAlign w:val="center"/>
          </w:tcPr>
          <w:p>
            <w:pPr>
              <w:spacing w:line="360" w:lineRule="auto"/>
              <w:outlineLvl w:val="0"/>
              <w:rPr>
                <w:rFonts w:ascii="宋体" w:hAnsi="宋体" w:cs="宋体"/>
                <w:bCs/>
                <w:sz w:val="24"/>
                <w:highlight w:val="none"/>
              </w:rPr>
            </w:pPr>
            <w:r>
              <w:rPr>
                <w:rFonts w:hint="eastAsia" w:ascii="宋体" w:hAnsi="宋体" w:cs="宋体"/>
                <w:b/>
                <w:kern w:val="0"/>
                <w:sz w:val="24"/>
                <w:highlight w:val="none"/>
              </w:rPr>
              <w:t>消防与治安安全管理</w:t>
            </w:r>
            <w:r>
              <w:rPr>
                <w:rFonts w:hint="eastAsia" w:ascii="宋体" w:hAnsi="宋体" w:cs="宋体"/>
                <w:b/>
                <w:kern w:val="0"/>
                <w:sz w:val="24"/>
                <w:highlight w:val="none"/>
                <w:lang w:eastAsia="zh-CN"/>
              </w:rPr>
              <w:t>方案</w:t>
            </w:r>
            <w:r>
              <w:rPr>
                <w:rFonts w:hint="eastAsia" w:ascii="宋体" w:hAnsi="宋体" w:cs="宋体"/>
                <w:b/>
                <w:sz w:val="24"/>
                <w:highlight w:val="none"/>
              </w:rPr>
              <w:t>。</w:t>
            </w:r>
            <w:r>
              <w:rPr>
                <w:rFonts w:hint="eastAsia" w:ascii="宋体" w:hAnsi="宋体" w:cs="宋体"/>
                <w:bCs/>
                <w:sz w:val="24"/>
                <w:highlight w:val="none"/>
              </w:rPr>
              <w:t>投标人根据招标文件阐明的采购需求，结合本项目物业的特点和自身的行业服务经验，提出完整、可行、有效的临安法院办公审判综合大楼和诉讼服务中心消防与治安安全管理方案。方案根据服务区域内实际情况设计，涵盖需求中所有服务内容，具备操作性、针对性，能</w:t>
            </w:r>
            <w:r>
              <w:rPr>
                <w:rFonts w:hint="eastAsia" w:ascii="宋体" w:hAnsi="宋体" w:cs="宋体"/>
                <w:bCs/>
                <w:sz w:val="24"/>
                <w:highlight w:val="none"/>
                <w:lang w:eastAsia="zh-CN"/>
              </w:rPr>
              <w:t>满足需求的</w:t>
            </w:r>
            <w:r>
              <w:rPr>
                <w:rFonts w:hint="eastAsia" w:ascii="宋体" w:hAnsi="宋体" w:cs="宋体"/>
                <w:bCs/>
                <w:kern w:val="0"/>
                <w:sz w:val="24"/>
                <w:highlight w:val="none"/>
              </w:rPr>
              <w:t>视为符合，全部符合得5分，基本符合得3分，部分符合得1分，</w:t>
            </w:r>
            <w:r>
              <w:rPr>
                <w:rFonts w:hint="eastAsia" w:ascii="宋体" w:hAnsi="宋体" w:cs="宋体"/>
                <w:bCs/>
                <w:sz w:val="24"/>
                <w:highlight w:val="none"/>
              </w:rPr>
              <w:t>不符合或没提供不得分。共5分。</w:t>
            </w:r>
          </w:p>
        </w:tc>
        <w:tc>
          <w:tcPr>
            <w:tcW w:w="402"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5</w:t>
            </w:r>
          </w:p>
        </w:tc>
        <w:tc>
          <w:tcPr>
            <w:tcW w:w="487"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主观分</w:t>
            </w:r>
          </w:p>
        </w:tc>
        <w:tc>
          <w:tcPr>
            <w:tcW w:w="632"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消防与治安安全管理方案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4</w:t>
            </w:r>
          </w:p>
        </w:tc>
        <w:tc>
          <w:tcPr>
            <w:tcW w:w="3047" w:type="pct"/>
            <w:vAlign w:val="center"/>
          </w:tcPr>
          <w:p>
            <w:pPr>
              <w:spacing w:line="360" w:lineRule="auto"/>
              <w:outlineLvl w:val="0"/>
              <w:rPr>
                <w:rFonts w:ascii="宋体" w:hAnsi="宋体" w:cs="宋体"/>
                <w:bCs/>
                <w:sz w:val="24"/>
                <w:highlight w:val="none"/>
              </w:rPr>
            </w:pPr>
            <w:r>
              <w:rPr>
                <w:rFonts w:hint="eastAsia" w:ascii="宋体" w:hAnsi="宋体" w:cs="宋体"/>
                <w:b/>
                <w:sz w:val="24"/>
                <w:highlight w:val="none"/>
              </w:rPr>
              <w:t>环境管理与保洁方案</w:t>
            </w:r>
            <w:r>
              <w:rPr>
                <w:rFonts w:hint="eastAsia" w:ascii="宋体" w:hAnsi="宋体" w:cs="宋体"/>
                <w:bCs/>
                <w:sz w:val="24"/>
                <w:highlight w:val="none"/>
              </w:rPr>
              <w:t>。投标人根据招标文件阐明的采购需求，结合本项目物业的特点和自身的行业服务经验，提出完整、可行、有效的环境管理与保洁方案。</w:t>
            </w:r>
            <w:r>
              <w:rPr>
                <w:rFonts w:hint="eastAsia" w:ascii="宋体" w:hAnsi="宋体" w:cs="宋体"/>
                <w:bCs/>
                <w:kern w:val="0"/>
                <w:sz w:val="24"/>
                <w:highlight w:val="none"/>
              </w:rPr>
              <w:t>方案满足采购需求，具备操作性、针对性，能满足环境管理与保洁标准视为符合，全部符合得3分，基本符合得2分，部分符合得1分，</w:t>
            </w:r>
            <w:r>
              <w:rPr>
                <w:rFonts w:hint="eastAsia" w:ascii="宋体" w:hAnsi="宋体" w:cs="宋体"/>
                <w:bCs/>
                <w:sz w:val="24"/>
                <w:highlight w:val="none"/>
              </w:rPr>
              <w:t>不符合或没提供不得分。共3分。</w:t>
            </w:r>
          </w:p>
        </w:tc>
        <w:tc>
          <w:tcPr>
            <w:tcW w:w="402" w:type="pct"/>
            <w:vAlign w:val="center"/>
          </w:tcPr>
          <w:p>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3</w:t>
            </w:r>
          </w:p>
        </w:tc>
        <w:tc>
          <w:tcPr>
            <w:tcW w:w="487" w:type="pct"/>
            <w:vAlign w:val="center"/>
          </w:tcPr>
          <w:p>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主观分</w:t>
            </w:r>
          </w:p>
        </w:tc>
        <w:tc>
          <w:tcPr>
            <w:tcW w:w="632"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环境管理与保洁方案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5</w:t>
            </w:r>
          </w:p>
        </w:tc>
        <w:tc>
          <w:tcPr>
            <w:tcW w:w="3047" w:type="pct"/>
            <w:vAlign w:val="center"/>
          </w:tcPr>
          <w:p>
            <w:pPr>
              <w:spacing w:line="360" w:lineRule="auto"/>
              <w:outlineLvl w:val="0"/>
              <w:rPr>
                <w:rFonts w:ascii="宋体" w:hAnsi="宋体" w:cs="宋体"/>
                <w:b/>
                <w:sz w:val="24"/>
                <w:highlight w:val="none"/>
              </w:rPr>
            </w:pPr>
            <w:r>
              <w:rPr>
                <w:rFonts w:hint="eastAsia" w:ascii="宋体" w:hAnsi="宋体" w:cs="宋体"/>
                <w:b/>
                <w:kern w:val="0"/>
                <w:sz w:val="24"/>
                <w:highlight w:val="none"/>
              </w:rPr>
              <w:t>工程维修</w:t>
            </w:r>
            <w:r>
              <w:rPr>
                <w:rFonts w:hint="eastAsia" w:ascii="宋体" w:hAnsi="宋体" w:cs="宋体"/>
                <w:b/>
                <w:kern w:val="0"/>
                <w:sz w:val="24"/>
                <w:highlight w:val="none"/>
                <w:lang w:eastAsia="zh-CN"/>
              </w:rPr>
              <w:t>方案</w:t>
            </w:r>
            <w:r>
              <w:rPr>
                <w:rFonts w:hint="eastAsia" w:ascii="宋体" w:hAnsi="宋体" w:cs="宋体"/>
                <w:bCs/>
                <w:sz w:val="24"/>
                <w:highlight w:val="none"/>
              </w:rPr>
              <w:t>。投标人根据招标文件阐明的采购需求，结合本项目物业的特点和自身的行业服务经验，提出完整、可行、有效的</w:t>
            </w:r>
            <w:r>
              <w:rPr>
                <w:rFonts w:hint="eastAsia" w:ascii="宋体" w:hAnsi="宋体" w:cs="宋体"/>
                <w:bCs/>
                <w:sz w:val="24"/>
                <w:highlight w:val="none"/>
                <w:lang w:eastAsia="zh-CN"/>
              </w:rPr>
              <w:t>工程维修</w:t>
            </w:r>
            <w:r>
              <w:rPr>
                <w:rFonts w:hint="eastAsia" w:ascii="宋体" w:hAnsi="宋体" w:cs="宋体"/>
                <w:bCs/>
                <w:sz w:val="24"/>
                <w:highlight w:val="none"/>
              </w:rPr>
              <w:t>方案。</w:t>
            </w:r>
            <w:r>
              <w:rPr>
                <w:rFonts w:hint="eastAsia" w:ascii="宋体" w:hAnsi="宋体" w:cs="宋体"/>
                <w:bCs/>
                <w:kern w:val="0"/>
                <w:sz w:val="24"/>
                <w:highlight w:val="none"/>
              </w:rPr>
              <w:t>方案满足采购需求，具备操作性、针对性，能满足</w:t>
            </w:r>
            <w:r>
              <w:rPr>
                <w:rFonts w:hint="eastAsia" w:ascii="宋体" w:hAnsi="宋体" w:cs="宋体"/>
                <w:bCs/>
                <w:kern w:val="0"/>
                <w:sz w:val="24"/>
                <w:highlight w:val="none"/>
                <w:lang w:eastAsia="zh-CN"/>
              </w:rPr>
              <w:t>工程维修</w:t>
            </w:r>
            <w:r>
              <w:rPr>
                <w:rFonts w:hint="eastAsia" w:ascii="宋体" w:hAnsi="宋体" w:cs="宋体"/>
                <w:bCs/>
                <w:kern w:val="0"/>
                <w:sz w:val="24"/>
                <w:highlight w:val="none"/>
              </w:rPr>
              <w:t>标准视为符合，全部符合得</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分，基本符合得</w:t>
            </w:r>
            <w:r>
              <w:rPr>
                <w:rFonts w:hint="eastAsia" w:ascii="宋体" w:hAnsi="宋体" w:cs="宋体"/>
                <w:bCs/>
                <w:kern w:val="0"/>
                <w:sz w:val="24"/>
                <w:highlight w:val="none"/>
                <w:lang w:val="en-US" w:eastAsia="zh-CN"/>
              </w:rPr>
              <w:t>2</w:t>
            </w:r>
            <w:r>
              <w:rPr>
                <w:rFonts w:hint="eastAsia" w:ascii="宋体" w:hAnsi="宋体" w:cs="宋体"/>
                <w:bCs/>
                <w:kern w:val="0"/>
                <w:sz w:val="24"/>
                <w:highlight w:val="none"/>
              </w:rPr>
              <w:t>分，部分符合得1分，</w:t>
            </w:r>
            <w:r>
              <w:rPr>
                <w:rFonts w:hint="eastAsia" w:ascii="宋体" w:hAnsi="宋体" w:cs="宋体"/>
                <w:bCs/>
                <w:sz w:val="24"/>
                <w:highlight w:val="none"/>
              </w:rPr>
              <w:t>不符合或没提供不得分。共</w:t>
            </w:r>
            <w:r>
              <w:rPr>
                <w:rFonts w:hint="eastAsia" w:ascii="宋体" w:hAnsi="宋体" w:cs="宋体"/>
                <w:bCs/>
                <w:sz w:val="24"/>
                <w:highlight w:val="none"/>
                <w:lang w:val="en-US" w:eastAsia="zh-CN"/>
              </w:rPr>
              <w:t>3</w:t>
            </w:r>
            <w:r>
              <w:rPr>
                <w:rFonts w:hint="eastAsia" w:ascii="宋体" w:hAnsi="宋体" w:cs="宋体"/>
                <w:bCs/>
                <w:sz w:val="24"/>
                <w:highlight w:val="none"/>
              </w:rPr>
              <w:t>分。</w:t>
            </w:r>
          </w:p>
        </w:tc>
        <w:tc>
          <w:tcPr>
            <w:tcW w:w="402" w:type="pct"/>
            <w:vAlign w:val="center"/>
          </w:tcPr>
          <w:p>
            <w:pPr>
              <w:spacing w:line="360" w:lineRule="auto"/>
              <w:jc w:val="center"/>
              <w:outlineLvl w:val="0"/>
              <w:rPr>
                <w:rFonts w:hint="eastAsia" w:ascii="宋体" w:hAnsi="宋体" w:eastAsia="宋体" w:cs="宋体"/>
                <w:bCs/>
                <w:sz w:val="24"/>
                <w:szCs w:val="22"/>
                <w:highlight w:val="none"/>
                <w:lang w:eastAsia="zh-CN"/>
              </w:rPr>
            </w:pPr>
            <w:r>
              <w:rPr>
                <w:rFonts w:hint="eastAsia" w:ascii="宋体" w:hAnsi="宋体" w:cs="宋体"/>
                <w:bCs/>
                <w:sz w:val="24"/>
                <w:highlight w:val="none"/>
                <w:lang w:val="en-US" w:eastAsia="zh-CN"/>
              </w:rPr>
              <w:t>3</w:t>
            </w:r>
          </w:p>
        </w:tc>
        <w:tc>
          <w:tcPr>
            <w:tcW w:w="487" w:type="pct"/>
            <w:vAlign w:val="center"/>
          </w:tcPr>
          <w:p>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主观分</w:t>
            </w:r>
          </w:p>
        </w:tc>
        <w:tc>
          <w:tcPr>
            <w:tcW w:w="632"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工程维修方案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6</w:t>
            </w:r>
          </w:p>
        </w:tc>
        <w:tc>
          <w:tcPr>
            <w:tcW w:w="3047" w:type="pct"/>
            <w:vAlign w:val="center"/>
          </w:tcPr>
          <w:p>
            <w:pPr>
              <w:spacing w:line="360" w:lineRule="auto"/>
              <w:outlineLvl w:val="0"/>
              <w:rPr>
                <w:rFonts w:ascii="宋体" w:hAnsi="宋体" w:cs="宋体"/>
                <w:b/>
                <w:sz w:val="24"/>
              </w:rPr>
            </w:pPr>
            <w:r>
              <w:rPr>
                <w:rFonts w:hint="eastAsia" w:ascii="宋体" w:hAnsi="宋体" w:cs="宋体"/>
                <w:b/>
                <w:sz w:val="24"/>
              </w:rPr>
              <w:t>安检服务方案。</w:t>
            </w:r>
            <w:r>
              <w:rPr>
                <w:rFonts w:hint="eastAsia" w:ascii="宋体" w:hAnsi="宋体" w:cs="宋体"/>
                <w:bCs/>
                <w:sz w:val="24"/>
              </w:rPr>
              <w:t>投标人根据招标文件阐明的采购需求，结合本项目的服务特点和自身的行业服务经验，提出完整、可行、有效的</w:t>
            </w:r>
            <w:r>
              <w:rPr>
                <w:rFonts w:hint="eastAsia" w:ascii="宋体" w:hAnsi="宋体" w:cs="宋体"/>
                <w:bCs/>
                <w:kern w:val="0"/>
                <w:sz w:val="24"/>
              </w:rPr>
              <w:t>安检管理服务方案。方案满足采购需求，具备操作性、针对性，能满足安检管理服务标准视为符合，全部符合得</w:t>
            </w:r>
            <w:r>
              <w:rPr>
                <w:rFonts w:hint="eastAsia" w:ascii="宋体" w:hAnsi="宋体" w:cs="宋体"/>
                <w:bCs/>
                <w:kern w:val="0"/>
                <w:sz w:val="24"/>
                <w:lang w:val="en-US" w:eastAsia="zh-CN"/>
              </w:rPr>
              <w:t>5</w:t>
            </w:r>
            <w:r>
              <w:rPr>
                <w:rFonts w:hint="eastAsia" w:ascii="宋体" w:hAnsi="宋体" w:cs="宋体"/>
                <w:bCs/>
                <w:kern w:val="0"/>
                <w:sz w:val="24"/>
              </w:rPr>
              <w:t>分，基本符合得3分，部分符合得1分，不符合或没提供不得分。共5分。</w:t>
            </w:r>
          </w:p>
        </w:tc>
        <w:tc>
          <w:tcPr>
            <w:tcW w:w="402" w:type="pct"/>
            <w:vAlign w:val="center"/>
          </w:tcPr>
          <w:p>
            <w:pPr>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487" w:type="pct"/>
            <w:vAlign w:val="center"/>
          </w:tcPr>
          <w:p>
            <w:pPr>
              <w:spacing w:line="360" w:lineRule="auto"/>
              <w:jc w:val="center"/>
              <w:outlineLvl w:val="0"/>
              <w:rPr>
                <w:rFonts w:ascii="宋体" w:hAnsi="宋体" w:cs="宋体"/>
                <w:bCs/>
                <w:sz w:val="24"/>
              </w:rPr>
            </w:pPr>
            <w:r>
              <w:rPr>
                <w:rFonts w:hint="eastAsia" w:ascii="宋体" w:hAnsi="宋体" w:cs="宋体"/>
                <w:bCs/>
                <w:sz w:val="24"/>
              </w:rPr>
              <w:t>主观分</w:t>
            </w:r>
          </w:p>
        </w:tc>
        <w:tc>
          <w:tcPr>
            <w:tcW w:w="632" w:type="pct"/>
            <w:vAlign w:val="center"/>
          </w:tcPr>
          <w:p>
            <w:pPr>
              <w:spacing w:line="360" w:lineRule="auto"/>
              <w:jc w:val="center"/>
              <w:outlineLvl w:val="0"/>
              <w:rPr>
                <w:rFonts w:ascii="宋体" w:hAnsi="宋体" w:cs="宋体"/>
                <w:bCs/>
                <w:sz w:val="24"/>
              </w:rPr>
            </w:pPr>
            <w:r>
              <w:rPr>
                <w:rFonts w:hint="eastAsia" w:ascii="宋体" w:hAnsi="宋体" w:cs="宋体"/>
                <w:bCs/>
                <w:sz w:val="24"/>
              </w:rPr>
              <w:t>安检服务方案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pPr>
              <w:spacing w:line="360" w:lineRule="auto"/>
              <w:jc w:val="center"/>
              <w:outlineLvl w:val="0"/>
              <w:rPr>
                <w:rFonts w:hint="default" w:ascii="宋体" w:hAnsi="宋体" w:cs="宋体"/>
                <w:bCs/>
                <w:sz w:val="24"/>
                <w:lang w:val="en-US" w:eastAsia="zh-CN"/>
              </w:rPr>
            </w:pPr>
            <w:r>
              <w:rPr>
                <w:rFonts w:hint="eastAsia" w:ascii="宋体" w:hAnsi="宋体" w:cs="宋体"/>
                <w:bCs/>
                <w:sz w:val="24"/>
                <w:lang w:val="en-US" w:eastAsia="zh-CN"/>
              </w:rPr>
              <w:t>7</w:t>
            </w:r>
          </w:p>
        </w:tc>
        <w:tc>
          <w:tcPr>
            <w:tcW w:w="3047" w:type="pct"/>
            <w:vAlign w:val="center"/>
          </w:tcPr>
          <w:p>
            <w:pPr>
              <w:spacing w:line="360" w:lineRule="auto"/>
              <w:outlineLvl w:val="0"/>
              <w:rPr>
                <w:rFonts w:hint="eastAsia" w:ascii="宋体" w:hAnsi="宋体" w:cs="宋体"/>
                <w:b/>
                <w:sz w:val="24"/>
              </w:rPr>
            </w:pPr>
            <w:r>
              <w:rPr>
                <w:rFonts w:hint="eastAsia" w:ascii="宋体" w:hAnsi="宋体" w:cs="宋体"/>
                <w:bCs/>
                <w:kern w:val="0"/>
                <w:sz w:val="24"/>
              </w:rPr>
              <w:t>针对本项目有①进场筹备工作和与原履约方交接的工作方案</w:t>
            </w:r>
            <w:r>
              <w:rPr>
                <w:rFonts w:hint="eastAsia" w:ascii="宋体" w:hAnsi="宋体" w:cs="宋体"/>
                <w:bCs/>
                <w:kern w:val="0"/>
                <w:sz w:val="24"/>
                <w:lang w:eastAsia="zh-CN"/>
              </w:rPr>
              <w:t>；</w:t>
            </w:r>
            <w:r>
              <w:rPr>
                <w:rFonts w:hint="eastAsia" w:ascii="宋体" w:hAnsi="宋体" w:cs="宋体"/>
                <w:bCs/>
                <w:kern w:val="0"/>
                <w:sz w:val="24"/>
              </w:rPr>
              <w:t>②选聘及稳定员工队伍的措施，方案内容完整、规范、措施合理且可行，针对性强，能保证项目顺利实施的视为符合，符合得3分，基本符合得2分，部分符合得1分，不符合或未提供不得分。共3分。</w:t>
            </w:r>
          </w:p>
        </w:tc>
        <w:tc>
          <w:tcPr>
            <w:tcW w:w="402" w:type="pct"/>
            <w:vAlign w:val="center"/>
          </w:tcPr>
          <w:p>
            <w:pPr>
              <w:spacing w:line="360" w:lineRule="auto"/>
              <w:jc w:val="center"/>
              <w:outlineLvl w:val="0"/>
              <w:rPr>
                <w:rFonts w:hint="default" w:ascii="宋体" w:hAnsi="宋体" w:cs="宋体"/>
                <w:bCs/>
                <w:sz w:val="24"/>
                <w:lang w:val="en-US" w:eastAsia="zh-CN"/>
              </w:rPr>
            </w:pPr>
            <w:r>
              <w:rPr>
                <w:rFonts w:hint="eastAsia" w:ascii="宋体" w:hAnsi="宋体" w:cs="宋体"/>
                <w:bCs/>
                <w:sz w:val="24"/>
                <w:lang w:val="en-US" w:eastAsia="zh-CN"/>
              </w:rPr>
              <w:t>3</w:t>
            </w:r>
          </w:p>
        </w:tc>
        <w:tc>
          <w:tcPr>
            <w:tcW w:w="487" w:type="pct"/>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主观分</w:t>
            </w:r>
          </w:p>
        </w:tc>
        <w:tc>
          <w:tcPr>
            <w:tcW w:w="632" w:type="pct"/>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1" w:type="pct"/>
            <w:vAlign w:val="center"/>
          </w:tcPr>
          <w:p>
            <w:pPr>
              <w:spacing w:line="360" w:lineRule="auto"/>
              <w:jc w:val="center"/>
              <w:outlineLvl w:val="0"/>
              <w:rPr>
                <w:rFonts w:hint="eastAsia" w:ascii="宋体" w:hAnsi="宋体" w:eastAsia="宋体" w:cs="宋体"/>
                <w:bCs/>
                <w:kern w:val="0"/>
                <w:sz w:val="24"/>
                <w:lang w:eastAsia="zh-CN"/>
              </w:rPr>
            </w:pPr>
            <w:r>
              <w:rPr>
                <w:rFonts w:hint="eastAsia" w:ascii="宋体" w:hAnsi="宋体" w:cs="宋体"/>
                <w:bCs/>
                <w:kern w:val="0"/>
                <w:sz w:val="24"/>
                <w:lang w:val="en-US" w:eastAsia="zh-CN"/>
              </w:rPr>
              <w:t>8</w:t>
            </w:r>
          </w:p>
        </w:tc>
        <w:tc>
          <w:tcPr>
            <w:tcW w:w="3047" w:type="pct"/>
            <w:vAlign w:val="center"/>
          </w:tcPr>
          <w:p>
            <w:pPr>
              <w:spacing w:line="360" w:lineRule="auto"/>
              <w:outlineLvl w:val="0"/>
              <w:rPr>
                <w:rFonts w:hint="default" w:ascii="宋体" w:hAnsi="宋体" w:eastAsia="宋体" w:cs="宋体"/>
                <w:bCs/>
                <w:kern w:val="0"/>
                <w:sz w:val="24"/>
                <w:lang w:val="en-US" w:eastAsia="zh-CN"/>
              </w:rPr>
            </w:pPr>
            <w:r>
              <w:rPr>
                <w:rFonts w:hint="eastAsia" w:ascii="宋体" w:hAnsi="宋体" w:cs="宋体"/>
                <w:bCs/>
                <w:kern w:val="0"/>
                <w:sz w:val="24"/>
              </w:rPr>
              <w:t>针对采购人突发性事件（自然灾害、突发疫情、临时任务等），投标人的应急人员配备及应急响应时间等情况的，提供①有应对突发事件（包括发生暴雨等灾害性天气及其他突发事件）的应急预案；②有应对暴恐事件、防盗、防火等类型的应急预案；③有应对重大活动或重要接待任务等类型的应急预案。方案内容有针对性且措施有效视为符合</w:t>
            </w:r>
            <w:r>
              <w:rPr>
                <w:rFonts w:hint="eastAsia" w:ascii="宋体" w:hAnsi="宋体" w:cs="宋体"/>
                <w:bCs/>
                <w:kern w:val="0"/>
                <w:sz w:val="24"/>
                <w:lang w:eastAsia="zh-CN"/>
              </w:rPr>
              <w:t>，全部符合每条得</w:t>
            </w:r>
            <w:r>
              <w:rPr>
                <w:rFonts w:hint="eastAsia" w:ascii="宋体" w:hAnsi="宋体" w:cs="宋体"/>
                <w:bCs/>
                <w:kern w:val="0"/>
                <w:sz w:val="24"/>
                <w:lang w:val="en-US" w:eastAsia="zh-CN"/>
              </w:rPr>
              <w:t>2分，部分符合每条得1分，不符合或未提供不得分。共6分。</w:t>
            </w:r>
          </w:p>
        </w:tc>
        <w:tc>
          <w:tcPr>
            <w:tcW w:w="402" w:type="pct"/>
            <w:vAlign w:val="center"/>
          </w:tcPr>
          <w:p>
            <w:pPr>
              <w:spacing w:line="360" w:lineRule="auto"/>
              <w:jc w:val="center"/>
              <w:outlineLvl w:val="0"/>
              <w:rPr>
                <w:rFonts w:hint="eastAsia" w:ascii="宋体" w:hAnsi="宋体" w:eastAsia="宋体" w:cs="宋体"/>
                <w:bCs/>
                <w:color w:val="FF0000"/>
                <w:sz w:val="24"/>
                <w:lang w:eastAsia="zh-CN"/>
              </w:rPr>
            </w:pPr>
            <w:r>
              <w:rPr>
                <w:rFonts w:hint="eastAsia" w:ascii="宋体" w:hAnsi="宋体" w:cs="宋体"/>
                <w:bCs/>
                <w:sz w:val="24"/>
                <w:lang w:val="en-US" w:eastAsia="zh-CN"/>
              </w:rPr>
              <w:t>6</w:t>
            </w:r>
          </w:p>
        </w:tc>
        <w:tc>
          <w:tcPr>
            <w:tcW w:w="487" w:type="pct"/>
            <w:vAlign w:val="center"/>
          </w:tcPr>
          <w:p>
            <w:pPr>
              <w:spacing w:line="360" w:lineRule="auto"/>
              <w:jc w:val="center"/>
              <w:outlineLvl w:val="0"/>
              <w:rPr>
                <w:rFonts w:ascii="宋体" w:hAnsi="宋体" w:cs="宋体"/>
                <w:bCs/>
                <w:sz w:val="24"/>
              </w:rPr>
            </w:pPr>
            <w:r>
              <w:rPr>
                <w:rFonts w:hint="eastAsia" w:ascii="宋体" w:hAnsi="宋体" w:cs="宋体"/>
                <w:bCs/>
                <w:sz w:val="24"/>
              </w:rPr>
              <w:t>主观分</w:t>
            </w:r>
          </w:p>
        </w:tc>
        <w:tc>
          <w:tcPr>
            <w:tcW w:w="632" w:type="pct"/>
            <w:vAlign w:val="center"/>
          </w:tcPr>
          <w:p>
            <w:pPr>
              <w:spacing w:line="360" w:lineRule="auto"/>
              <w:jc w:val="center"/>
              <w:outlineLvl w:val="0"/>
              <w:rPr>
                <w:rFonts w:ascii="宋体" w:hAnsi="宋体" w:cs="宋体"/>
                <w:bCs/>
                <w:sz w:val="24"/>
              </w:rPr>
            </w:pPr>
            <w:r>
              <w:rPr>
                <w:rFonts w:hint="eastAsia" w:ascii="宋体" w:hAnsi="宋体" w:cs="宋体"/>
                <w:bCs/>
                <w:sz w:val="24"/>
              </w:rPr>
              <w:t>应急保障能力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1" w:type="pct"/>
            <w:vAlign w:val="center"/>
          </w:tcPr>
          <w:p>
            <w:pPr>
              <w:spacing w:line="360" w:lineRule="auto"/>
              <w:jc w:val="center"/>
              <w:outlineLvl w:val="0"/>
              <w:rPr>
                <w:rFonts w:hint="default" w:ascii="宋体" w:hAnsi="宋体" w:cs="宋体"/>
                <w:bCs/>
                <w:kern w:val="0"/>
                <w:sz w:val="24"/>
                <w:lang w:val="en-US" w:eastAsia="zh-CN"/>
              </w:rPr>
            </w:pPr>
            <w:r>
              <w:rPr>
                <w:rFonts w:hint="eastAsia" w:ascii="宋体" w:hAnsi="宋体" w:cs="宋体"/>
                <w:bCs/>
                <w:kern w:val="0"/>
                <w:sz w:val="24"/>
                <w:lang w:val="en-US" w:eastAsia="zh-CN"/>
              </w:rPr>
              <w:t>9</w:t>
            </w:r>
          </w:p>
        </w:tc>
        <w:tc>
          <w:tcPr>
            <w:tcW w:w="3047" w:type="pct"/>
            <w:vAlign w:val="center"/>
          </w:tcPr>
          <w:p>
            <w:pPr>
              <w:spacing w:line="360" w:lineRule="auto"/>
              <w:outlineLvl w:val="0"/>
              <w:rPr>
                <w:rFonts w:hint="eastAsia" w:ascii="宋体" w:hAnsi="宋体" w:cs="宋体"/>
                <w:bCs/>
                <w:kern w:val="0"/>
                <w:sz w:val="24"/>
              </w:rPr>
            </w:pPr>
            <w:r>
              <w:rPr>
                <w:rFonts w:hint="eastAsia" w:ascii="宋体" w:hAnsi="宋体" w:cs="宋体"/>
                <w:bCs/>
                <w:kern w:val="0"/>
                <w:sz w:val="24"/>
              </w:rPr>
              <w:t>投标人提供的质量保障方案中①质量管理体系完善，制定内部考核制度；②有专门的机构负责对本项目进行质量监管，针对本项目制定具体质量管理考核细则。以上内容满足项目需要且具有可操作性的视为符合，符合得5分，基本符合得3分，部分符合得1分，不符合或未提供不得分。共5分。</w:t>
            </w:r>
          </w:p>
        </w:tc>
        <w:tc>
          <w:tcPr>
            <w:tcW w:w="402" w:type="pct"/>
            <w:vAlign w:val="center"/>
          </w:tcPr>
          <w:p>
            <w:pPr>
              <w:spacing w:line="360" w:lineRule="auto"/>
              <w:jc w:val="center"/>
              <w:outlineLvl w:val="0"/>
              <w:rPr>
                <w:rFonts w:hint="default" w:ascii="宋体" w:hAnsi="宋体" w:cs="宋体"/>
                <w:bCs/>
                <w:sz w:val="24"/>
                <w:lang w:val="en-US" w:eastAsia="zh-CN"/>
              </w:rPr>
            </w:pPr>
            <w:r>
              <w:rPr>
                <w:rFonts w:hint="eastAsia" w:ascii="宋体" w:hAnsi="宋体" w:cs="宋体"/>
                <w:bCs/>
                <w:sz w:val="24"/>
                <w:lang w:val="en-US" w:eastAsia="zh-CN"/>
              </w:rPr>
              <w:t>5</w:t>
            </w:r>
          </w:p>
        </w:tc>
        <w:tc>
          <w:tcPr>
            <w:tcW w:w="487" w:type="pct"/>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主观分</w:t>
            </w:r>
          </w:p>
        </w:tc>
        <w:tc>
          <w:tcPr>
            <w:tcW w:w="632" w:type="pct"/>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eastAsia="zh-CN"/>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31" w:type="pct"/>
            <w:vAlign w:val="center"/>
          </w:tcPr>
          <w:p>
            <w:pPr>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3047" w:type="pct"/>
            <w:vAlign w:val="center"/>
          </w:tcPr>
          <w:p>
            <w:pPr>
              <w:pStyle w:val="2"/>
              <w:spacing w:line="360" w:lineRule="auto"/>
              <w:ind w:left="0" w:leftChars="0" w:firstLine="0" w:firstLineChars="0"/>
            </w:pPr>
            <w:r>
              <w:rPr>
                <w:rFonts w:hint="eastAsia" w:ascii="宋体" w:hAnsi="宋体" w:eastAsia="宋体" w:cs="宋体"/>
                <w:b/>
                <w:bCs w:val="0"/>
                <w:kern w:val="2"/>
                <w:sz w:val="24"/>
                <w:szCs w:val="24"/>
                <w:lang w:val="en-US" w:eastAsia="zh-CN" w:bidi="ar-SA"/>
              </w:rPr>
              <w:t>相关制度。</w:t>
            </w:r>
            <w:r>
              <w:rPr>
                <w:rFonts w:hint="eastAsia" w:ascii="宋体" w:hAnsi="宋体" w:eastAsia="宋体" w:cs="宋体"/>
                <w:bCs/>
                <w:kern w:val="2"/>
                <w:sz w:val="24"/>
                <w:szCs w:val="24"/>
                <w:lang w:val="en-US" w:eastAsia="zh-CN" w:bidi="ar-SA"/>
              </w:rPr>
              <w:t>投标人内部制定相关制度，其中包含但不限于员入职管理、考勤制度、休假管理制度、薪酬管理制度、员工档案管理制度、员工轮岗制度等等，制度内容完善、各项规章制度健全，有利于提高内部管理水平的视为符合，完全符合得3分，基本符合得2分,部分符合得1分，不符合或未提供不得分，共3分。</w:t>
            </w:r>
          </w:p>
        </w:tc>
        <w:tc>
          <w:tcPr>
            <w:tcW w:w="402" w:type="pct"/>
            <w:vAlign w:val="center"/>
          </w:tcPr>
          <w:p>
            <w:pPr>
              <w:spacing w:line="360" w:lineRule="auto"/>
              <w:jc w:val="center"/>
              <w:outlineLvl w:val="0"/>
              <w:rPr>
                <w:rFonts w:hint="eastAsia" w:ascii="宋体" w:hAnsi="宋体" w:eastAsia="宋体" w:cs="宋体"/>
                <w:bCs/>
                <w:sz w:val="24"/>
                <w:szCs w:val="22"/>
                <w:lang w:eastAsia="zh-CN"/>
              </w:rPr>
            </w:pPr>
            <w:r>
              <w:rPr>
                <w:rFonts w:hint="eastAsia" w:ascii="宋体" w:hAnsi="宋体" w:cs="宋体"/>
                <w:bCs/>
                <w:sz w:val="24"/>
                <w:lang w:val="en-US" w:eastAsia="zh-CN"/>
              </w:rPr>
              <w:t>3</w:t>
            </w:r>
          </w:p>
        </w:tc>
        <w:tc>
          <w:tcPr>
            <w:tcW w:w="487" w:type="pct"/>
            <w:vAlign w:val="center"/>
          </w:tcPr>
          <w:p>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Align w:val="center"/>
          </w:tcPr>
          <w:p>
            <w:pPr>
              <w:spacing w:line="360" w:lineRule="auto"/>
              <w:jc w:val="center"/>
              <w:outlineLvl w:val="0"/>
              <w:rPr>
                <w:rFonts w:ascii="宋体" w:hAnsi="宋体" w:cs="宋体"/>
                <w:bCs/>
                <w:sz w:val="24"/>
              </w:rPr>
            </w:pPr>
            <w:r>
              <w:rPr>
                <w:rFonts w:hint="eastAsia" w:ascii="宋体" w:hAnsi="宋体" w:cs="宋体"/>
                <w:bCs/>
                <w:sz w:val="24"/>
              </w:rPr>
              <w:t>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431" w:type="pct"/>
            <w:vAlign w:val="center"/>
          </w:tcPr>
          <w:p>
            <w:pPr>
              <w:jc w:val="center"/>
              <w:rPr>
                <w:rFonts w:hint="default" w:ascii="宋体" w:hAnsi="宋体" w:eastAsia="宋体" w:cs="宋体"/>
                <w:bCs/>
                <w:sz w:val="24"/>
                <w:lang w:val="en-US" w:eastAsia="zh-CN"/>
              </w:rPr>
            </w:pPr>
            <w:r>
              <w:rPr>
                <w:rFonts w:hint="eastAsia" w:ascii="宋体" w:hAnsi="宋体" w:cs="宋体"/>
                <w:bCs/>
                <w:sz w:val="24"/>
                <w:lang w:val="en-US" w:eastAsia="zh-CN"/>
              </w:rPr>
              <w:t>11</w:t>
            </w:r>
          </w:p>
        </w:tc>
        <w:tc>
          <w:tcPr>
            <w:tcW w:w="3047" w:type="pct"/>
            <w:vAlign w:val="center"/>
          </w:tcPr>
          <w:p>
            <w:pPr>
              <w:spacing w:line="360" w:lineRule="auto"/>
              <w:outlineLvl w:val="0"/>
              <w:rPr>
                <w:rFonts w:ascii="宋体" w:hAnsi="宋体" w:cs="宋体"/>
                <w:bCs/>
                <w:sz w:val="24"/>
                <w:szCs w:val="22"/>
              </w:rPr>
            </w:pPr>
            <w:r>
              <w:rPr>
                <w:rFonts w:hint="eastAsia" w:ascii="宋体" w:hAnsi="宋体" w:cs="宋体"/>
                <w:bCs/>
                <w:sz w:val="24"/>
              </w:rPr>
              <w:t>投标人针对本项目清晰简练地列出主要管理流程，包括组织架构、运作流程、激励机制、监督机制、自我约束机制、信息反馈渠道及处理机制，组织架构完善，管理流程科学合理，满足本项目实际需求的视为符合</w:t>
            </w:r>
            <w:r>
              <w:rPr>
                <w:rFonts w:hint="eastAsia" w:asciiTheme="minorEastAsia" w:hAnsiTheme="minorEastAsia" w:eastAsiaTheme="minorEastAsia" w:cstheme="minorEastAsia"/>
                <w:color w:val="000000"/>
                <w:sz w:val="24"/>
              </w:rPr>
              <w:t>，完全符合得</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分，基本符合得</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分,部分符合得1分，不符合或未提供不得分，共</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分。</w:t>
            </w:r>
          </w:p>
        </w:tc>
        <w:tc>
          <w:tcPr>
            <w:tcW w:w="402" w:type="pct"/>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3</w:t>
            </w:r>
          </w:p>
        </w:tc>
        <w:tc>
          <w:tcPr>
            <w:tcW w:w="487" w:type="pct"/>
            <w:vAlign w:val="center"/>
          </w:tcPr>
          <w:p>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Align w:val="center"/>
          </w:tcPr>
          <w:p>
            <w:pPr>
              <w:spacing w:line="360" w:lineRule="auto"/>
              <w:jc w:val="center"/>
              <w:outlineLvl w:val="0"/>
              <w:rPr>
                <w:rFonts w:ascii="宋体" w:hAnsi="宋体" w:cs="宋体"/>
                <w:bCs/>
                <w:sz w:val="24"/>
                <w:szCs w:val="22"/>
              </w:rPr>
            </w:pPr>
            <w:r>
              <w:rPr>
                <w:rFonts w:hint="eastAsia" w:ascii="宋体" w:hAnsi="宋体" w:cs="宋体"/>
                <w:bCs/>
                <w:sz w:val="24"/>
                <w:szCs w:val="22"/>
              </w:rPr>
              <w:t>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1" w:type="pct"/>
            <w:vAlign w:val="center"/>
          </w:tcPr>
          <w:p>
            <w:pPr>
              <w:spacing w:line="360" w:lineRule="auto"/>
              <w:jc w:val="center"/>
              <w:outlineLvl w:val="0"/>
              <w:rPr>
                <w:rFonts w:hint="default" w:ascii="宋体" w:hAnsi="宋体" w:cs="宋体"/>
                <w:bCs/>
                <w:sz w:val="24"/>
                <w:lang w:val="en-US"/>
              </w:rPr>
            </w:pPr>
            <w:r>
              <w:rPr>
                <w:rFonts w:hint="eastAsia" w:ascii="宋体" w:hAnsi="宋体" w:cs="宋体"/>
                <w:bCs/>
                <w:sz w:val="24"/>
                <w:lang w:val="en-US" w:eastAsia="zh-CN"/>
              </w:rPr>
              <w:t>12</w:t>
            </w:r>
          </w:p>
        </w:tc>
        <w:tc>
          <w:tcPr>
            <w:tcW w:w="3047" w:type="pct"/>
            <w:vAlign w:val="center"/>
          </w:tcPr>
          <w:p>
            <w:pPr>
              <w:spacing w:line="360" w:lineRule="auto"/>
              <w:outlineLvl w:val="0"/>
              <w:rPr>
                <w:rFonts w:ascii="宋体" w:hAnsi="宋体" w:cs="宋体"/>
                <w:bCs/>
                <w:sz w:val="24"/>
                <w:szCs w:val="22"/>
              </w:rPr>
            </w:pPr>
            <w:r>
              <w:rPr>
                <w:rFonts w:hint="eastAsia" w:asciiTheme="minorEastAsia" w:hAnsiTheme="minorEastAsia" w:eastAsiaTheme="minorEastAsia" w:cstheme="minorEastAsia"/>
                <w:color w:val="000000"/>
                <w:sz w:val="24"/>
              </w:rPr>
              <w:t>根据本项目人员配置的各部门、各岗位人员制定培训计划，包括岗前培训和在岗培训，管理人员培训计划等，培训计划明确、可行，内容健全的视为符合，</w:t>
            </w:r>
            <w:r>
              <w:rPr>
                <w:rFonts w:hint="eastAsia" w:asciiTheme="minorEastAsia" w:hAnsiTheme="minorEastAsia" w:eastAsiaTheme="minorEastAsia" w:cstheme="minorEastAsia"/>
                <w:color w:val="000000"/>
                <w:sz w:val="24"/>
                <w:highlight w:val="none"/>
              </w:rPr>
              <w:t>完全符合得</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分，基本符合得</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分,部分符合得</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rPr>
              <w:t>分，不符合或未提供不得分，共</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color w:val="000000"/>
                <w:sz w:val="24"/>
                <w:highlight w:val="none"/>
              </w:rPr>
              <w:t>分。</w:t>
            </w:r>
          </w:p>
        </w:tc>
        <w:tc>
          <w:tcPr>
            <w:tcW w:w="402" w:type="pct"/>
            <w:vAlign w:val="center"/>
          </w:tcPr>
          <w:p>
            <w:pPr>
              <w:spacing w:line="360" w:lineRule="auto"/>
              <w:jc w:val="center"/>
              <w:outlineLvl w:val="0"/>
              <w:rPr>
                <w:rFonts w:hint="eastAsia" w:ascii="宋体" w:hAnsi="宋体" w:eastAsia="宋体" w:cs="宋体"/>
                <w:bCs/>
                <w:sz w:val="24"/>
                <w:szCs w:val="22"/>
                <w:lang w:eastAsia="zh-CN"/>
              </w:rPr>
            </w:pPr>
            <w:r>
              <w:rPr>
                <w:rFonts w:hint="eastAsia" w:ascii="宋体" w:hAnsi="宋体" w:cs="宋体"/>
                <w:bCs/>
                <w:sz w:val="24"/>
                <w:lang w:val="en-US" w:eastAsia="zh-CN"/>
              </w:rPr>
              <w:t>3</w:t>
            </w:r>
          </w:p>
        </w:tc>
        <w:tc>
          <w:tcPr>
            <w:tcW w:w="487" w:type="pct"/>
            <w:vAlign w:val="center"/>
          </w:tcPr>
          <w:p>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Align w:val="center"/>
          </w:tcPr>
          <w:p>
            <w:pPr>
              <w:spacing w:line="360" w:lineRule="auto"/>
              <w:jc w:val="center"/>
              <w:outlineLvl w:val="0"/>
              <w:rPr>
                <w:rFonts w:ascii="宋体" w:hAnsi="宋体" w:cs="宋体"/>
                <w:bCs/>
                <w:sz w:val="24"/>
                <w:szCs w:val="22"/>
              </w:rPr>
            </w:pPr>
            <w:r>
              <w:rPr>
                <w:rFonts w:hint="eastAsia" w:ascii="宋体" w:hAnsi="宋体" w:cs="宋体"/>
                <w:bCs/>
                <w:sz w:val="24"/>
                <w:szCs w:val="22"/>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1" w:type="pct"/>
            <w:vAlign w:val="center"/>
          </w:tcPr>
          <w:p>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13</w:t>
            </w:r>
          </w:p>
        </w:tc>
        <w:tc>
          <w:tcPr>
            <w:tcW w:w="3047" w:type="pct"/>
            <w:vAlign w:val="center"/>
          </w:tcPr>
          <w:p>
            <w:pPr>
              <w:spacing w:line="360" w:lineRule="auto"/>
              <w:outlineLvl w:val="0"/>
              <w:rPr>
                <w:rFonts w:ascii="宋体" w:hAnsi="宋体" w:cs="宋体"/>
                <w:bCs/>
                <w:sz w:val="24"/>
                <w:highlight w:val="none"/>
              </w:rPr>
            </w:pPr>
            <w:r>
              <w:rPr>
                <w:rFonts w:hint="eastAsia" w:ascii="宋体" w:hAnsi="宋体" w:cs="宋体"/>
                <w:bCs/>
                <w:sz w:val="24"/>
                <w:szCs w:val="22"/>
                <w:highlight w:val="none"/>
              </w:rPr>
              <w:t>投标人拟派项目负责人（项目经理）：①具有大专及以上学历</w:t>
            </w:r>
            <w:r>
              <w:rPr>
                <w:rFonts w:hint="eastAsia" w:ascii="宋体" w:hAnsi="宋体" w:cs="宋体"/>
                <w:sz w:val="24"/>
                <w:highlight w:val="none"/>
              </w:rPr>
              <w:t>，提供学历证书（符合得1分，否则不得分）</w:t>
            </w:r>
            <w:r>
              <w:rPr>
                <w:rFonts w:hint="eastAsia" w:ascii="宋体" w:hAnsi="宋体" w:cs="宋体"/>
                <w:bCs/>
                <w:sz w:val="24"/>
                <w:szCs w:val="22"/>
                <w:highlight w:val="none"/>
              </w:rPr>
              <w:t>；②具有5年及以上</w:t>
            </w:r>
            <w:r>
              <w:rPr>
                <w:rFonts w:hint="eastAsia" w:ascii="宋体" w:hAnsi="宋体"/>
                <w:sz w:val="24"/>
                <w:highlight w:val="none"/>
              </w:rPr>
              <w:t>类似</w:t>
            </w:r>
            <w:r>
              <w:rPr>
                <w:rFonts w:hint="eastAsia" w:ascii="宋体" w:hAnsi="宋体"/>
                <w:sz w:val="24"/>
                <w:highlight w:val="none"/>
                <w:lang w:eastAsia="zh-CN"/>
              </w:rPr>
              <w:t>非住宅</w:t>
            </w:r>
            <w:r>
              <w:rPr>
                <w:rFonts w:hint="eastAsia" w:ascii="宋体" w:hAnsi="宋体" w:cs="宋体"/>
                <w:bCs/>
                <w:sz w:val="24"/>
                <w:szCs w:val="22"/>
                <w:highlight w:val="none"/>
              </w:rPr>
              <w:t>物业服务项目经理管理工作经验，需提供</w:t>
            </w:r>
            <w:r>
              <w:rPr>
                <w:rFonts w:hint="eastAsia" w:ascii="宋体" w:hAnsi="宋体" w:cs="宋体"/>
                <w:sz w:val="24"/>
                <w:highlight w:val="none"/>
              </w:rPr>
              <w:t>体现该岗位工作经验证明</w:t>
            </w:r>
            <w:r>
              <w:rPr>
                <w:rFonts w:hint="eastAsia" w:ascii="宋体" w:hAnsi="宋体" w:cs="宋体"/>
                <w:sz w:val="24"/>
                <w:highlight w:val="none"/>
                <w:lang w:eastAsia="zh-CN"/>
              </w:rPr>
              <w:t>材料（由业主或所在单位出具的都可，</w:t>
            </w:r>
            <w:r>
              <w:rPr>
                <w:rFonts w:hint="eastAsia" w:ascii="宋体" w:hAnsi="宋体" w:cs="宋体"/>
                <w:sz w:val="24"/>
                <w:highlight w:val="none"/>
              </w:rPr>
              <w:t>符合得</w:t>
            </w:r>
            <w:r>
              <w:rPr>
                <w:rFonts w:hint="eastAsia" w:ascii="宋体" w:hAnsi="宋体" w:cs="宋体"/>
                <w:sz w:val="24"/>
                <w:highlight w:val="none"/>
                <w:lang w:val="en-US" w:eastAsia="zh-CN"/>
              </w:rPr>
              <w:t>2</w:t>
            </w:r>
            <w:r>
              <w:rPr>
                <w:rFonts w:hint="eastAsia" w:ascii="宋体" w:hAnsi="宋体" w:cs="宋体"/>
                <w:bCs/>
                <w:sz w:val="24"/>
                <w:szCs w:val="22"/>
                <w:highlight w:val="none"/>
              </w:rPr>
              <w:t>分，否则不得分）；③具有建（构）筑物消防证或消防设施操作员证，提供相关证书(符合得1分，否则不得分）。以上</w:t>
            </w:r>
            <w:r>
              <w:rPr>
                <w:rFonts w:hint="eastAsia" w:ascii="宋体" w:hAnsi="宋体" w:cs="宋体"/>
                <w:bCs/>
                <w:sz w:val="24"/>
                <w:szCs w:val="22"/>
                <w:highlight w:val="none"/>
                <w:lang w:eastAsia="zh-CN"/>
              </w:rPr>
              <w:t>还</w:t>
            </w:r>
            <w:r>
              <w:rPr>
                <w:rFonts w:hint="eastAsia" w:ascii="宋体" w:hAnsi="宋体" w:cs="宋体"/>
                <w:bCs/>
                <w:sz w:val="24"/>
                <w:szCs w:val="22"/>
                <w:highlight w:val="none"/>
              </w:rPr>
              <w:t>需同时提供身份证、</w:t>
            </w:r>
            <w:r>
              <w:rPr>
                <w:rFonts w:hint="eastAsia" w:ascii="宋体" w:hAnsi="宋体" w:cs="宋体"/>
                <w:bCs/>
                <w:sz w:val="24"/>
                <w:szCs w:val="22"/>
                <w:highlight w:val="none"/>
                <w:lang w:eastAsia="zh-CN"/>
              </w:rPr>
              <w:t>本单位社保证明</w:t>
            </w:r>
            <w:r>
              <w:rPr>
                <w:rFonts w:hint="eastAsia" w:ascii="宋体" w:hAnsi="宋体" w:cs="宋体"/>
                <w:sz w:val="24"/>
                <w:highlight w:val="none"/>
              </w:rPr>
              <w:t>，否则不得分，</w:t>
            </w:r>
            <w:r>
              <w:rPr>
                <w:rFonts w:hint="eastAsia" w:ascii="宋体" w:hAnsi="宋体" w:cs="宋体"/>
                <w:kern w:val="0"/>
                <w:sz w:val="24"/>
                <w:highlight w:val="none"/>
              </w:rPr>
              <w:t>共</w:t>
            </w:r>
            <w:r>
              <w:rPr>
                <w:rFonts w:hint="eastAsia" w:ascii="宋体" w:hAnsi="宋体" w:cs="宋体"/>
                <w:kern w:val="0"/>
                <w:sz w:val="24"/>
                <w:highlight w:val="none"/>
                <w:lang w:val="en-US" w:eastAsia="zh-CN"/>
              </w:rPr>
              <w:t>4</w:t>
            </w:r>
            <w:r>
              <w:rPr>
                <w:rFonts w:hint="eastAsia" w:ascii="宋体" w:hAnsi="宋体" w:cs="宋体"/>
                <w:kern w:val="0"/>
                <w:sz w:val="24"/>
                <w:highlight w:val="none"/>
              </w:rPr>
              <w:t>分。</w:t>
            </w:r>
          </w:p>
        </w:tc>
        <w:tc>
          <w:tcPr>
            <w:tcW w:w="402" w:type="pct"/>
            <w:vAlign w:val="center"/>
          </w:tcPr>
          <w:p>
            <w:pPr>
              <w:jc w:val="center"/>
              <w:rPr>
                <w:rFonts w:hint="eastAsia" w:ascii="宋体" w:hAnsi="宋体" w:eastAsia="宋体" w:cs="宋体"/>
                <w:bCs/>
                <w:sz w:val="24"/>
                <w:szCs w:val="22"/>
                <w:lang w:eastAsia="zh-CN"/>
              </w:rPr>
            </w:pPr>
            <w:r>
              <w:rPr>
                <w:rFonts w:hint="eastAsia" w:ascii="宋体" w:hAnsi="宋体" w:cs="宋体"/>
                <w:bCs/>
                <w:sz w:val="24"/>
                <w:lang w:val="en-US" w:eastAsia="zh-CN"/>
              </w:rPr>
              <w:t>4</w:t>
            </w:r>
          </w:p>
        </w:tc>
        <w:tc>
          <w:tcPr>
            <w:tcW w:w="487" w:type="pct"/>
            <w:vAlign w:val="center"/>
          </w:tcPr>
          <w:p>
            <w:pPr>
              <w:jc w:val="center"/>
              <w:rPr>
                <w:rFonts w:ascii="宋体" w:hAnsi="宋体" w:cs="宋体"/>
                <w:bCs/>
                <w:sz w:val="24"/>
                <w:szCs w:val="22"/>
              </w:rPr>
            </w:pPr>
            <w:r>
              <w:rPr>
                <w:rFonts w:hint="eastAsia" w:ascii="宋体" w:hAnsi="宋体" w:cs="宋体"/>
                <w:bCs/>
                <w:sz w:val="24"/>
              </w:rPr>
              <w:t>客观分</w:t>
            </w:r>
          </w:p>
        </w:tc>
        <w:tc>
          <w:tcPr>
            <w:tcW w:w="632" w:type="pct"/>
            <w:vMerge w:val="restart"/>
            <w:vAlign w:val="center"/>
          </w:tcPr>
          <w:p>
            <w:pPr>
              <w:spacing w:line="360" w:lineRule="auto"/>
              <w:jc w:val="center"/>
              <w:outlineLvl w:val="0"/>
              <w:rPr>
                <w:rFonts w:ascii="宋体" w:hAnsi="宋体" w:cs="宋体"/>
                <w:bCs/>
                <w:sz w:val="24"/>
              </w:rPr>
            </w:pPr>
            <w:r>
              <w:rPr>
                <w:rFonts w:hint="eastAsia" w:ascii="宋体" w:hAnsi="宋体" w:cs="宋体"/>
                <w:bCs/>
                <w:sz w:val="24"/>
                <w:szCs w:val="22"/>
              </w:rPr>
              <w:t>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1" w:type="pct"/>
            <w:vAlign w:val="center"/>
          </w:tcPr>
          <w:p>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rPr>
              <w:t>1</w:t>
            </w:r>
            <w:r>
              <w:rPr>
                <w:rFonts w:hint="eastAsia" w:ascii="宋体" w:hAnsi="宋体" w:cs="宋体"/>
                <w:bCs/>
                <w:sz w:val="24"/>
                <w:highlight w:val="none"/>
                <w:lang w:val="en-US" w:eastAsia="zh-CN"/>
              </w:rPr>
              <w:t>4</w:t>
            </w:r>
          </w:p>
        </w:tc>
        <w:tc>
          <w:tcPr>
            <w:tcW w:w="3047" w:type="pct"/>
            <w:vAlign w:val="center"/>
          </w:tcPr>
          <w:p>
            <w:pPr>
              <w:spacing w:line="360" w:lineRule="auto"/>
              <w:outlineLvl w:val="0"/>
              <w:rPr>
                <w:rFonts w:ascii="宋体" w:hAnsi="宋体" w:cs="宋体"/>
                <w:bCs/>
                <w:sz w:val="24"/>
                <w:highlight w:val="none"/>
              </w:rPr>
            </w:pPr>
            <w:r>
              <w:rPr>
                <w:rFonts w:hint="eastAsia" w:ascii="宋体" w:hAnsi="宋体" w:cs="宋体"/>
                <w:bCs/>
                <w:sz w:val="24"/>
                <w:szCs w:val="22"/>
                <w:highlight w:val="none"/>
              </w:rPr>
              <w:t>投标人拟派保安队长：</w:t>
            </w:r>
            <w:r>
              <w:rPr>
                <w:rFonts w:hint="eastAsia" w:ascii="宋体" w:hAnsi="宋体" w:cs="宋体"/>
                <w:bCs/>
                <w:sz w:val="24"/>
                <w:highlight w:val="none"/>
                <w:lang w:eastAsia="zh-CN"/>
              </w:rPr>
              <w:t>①</w:t>
            </w:r>
            <w:r>
              <w:rPr>
                <w:rFonts w:hint="eastAsia" w:ascii="宋体" w:hAnsi="宋体" w:cs="宋体"/>
                <w:bCs/>
                <w:sz w:val="24"/>
                <w:highlight w:val="none"/>
              </w:rPr>
              <w:t>具</w:t>
            </w:r>
            <w:r>
              <w:rPr>
                <w:rFonts w:hint="eastAsia" w:ascii="宋体" w:hAnsi="宋体" w:cs="宋体"/>
                <w:bCs/>
                <w:sz w:val="24"/>
                <w:highlight w:val="none"/>
                <w:lang w:eastAsia="zh-CN"/>
              </w:rPr>
              <w:t>有</w:t>
            </w:r>
            <w:r>
              <w:rPr>
                <w:rFonts w:hint="eastAsia" w:ascii="宋体" w:hAnsi="宋体" w:cs="宋体"/>
                <w:bCs/>
                <w:sz w:val="24"/>
                <w:highlight w:val="none"/>
              </w:rPr>
              <w:t>建（构）筑物消防证或消防设施操作员证，提供相关证书(符合</w:t>
            </w:r>
            <w:r>
              <w:rPr>
                <w:rFonts w:hint="eastAsia" w:ascii="宋体" w:hAnsi="宋体" w:cs="宋体"/>
                <w:bCs/>
                <w:sz w:val="24"/>
                <w:szCs w:val="22"/>
                <w:highlight w:val="none"/>
              </w:rPr>
              <w:t>得1分，否</w:t>
            </w:r>
            <w:r>
              <w:rPr>
                <w:rFonts w:hint="eastAsia" w:ascii="宋体" w:hAnsi="宋体" w:cs="宋体"/>
                <w:sz w:val="24"/>
                <w:highlight w:val="none"/>
              </w:rPr>
              <w:t>则不得分）；</w:t>
            </w:r>
            <w:r>
              <w:rPr>
                <w:rFonts w:hint="eastAsia" w:ascii="宋体" w:hAnsi="宋体" w:cs="宋体"/>
                <w:bCs/>
                <w:sz w:val="24"/>
                <w:szCs w:val="22"/>
                <w:highlight w:val="none"/>
                <w:lang w:eastAsia="zh-CN"/>
              </w:rPr>
              <w:t>②</w:t>
            </w:r>
            <w:r>
              <w:rPr>
                <w:rFonts w:hint="eastAsia" w:ascii="宋体" w:hAnsi="宋体" w:cs="宋体"/>
                <w:bCs/>
                <w:sz w:val="24"/>
                <w:szCs w:val="22"/>
                <w:highlight w:val="none"/>
              </w:rPr>
              <w:t>具有3年及以上</w:t>
            </w:r>
            <w:r>
              <w:rPr>
                <w:rFonts w:hint="eastAsia" w:ascii="宋体" w:hAnsi="宋体"/>
                <w:sz w:val="24"/>
                <w:highlight w:val="none"/>
              </w:rPr>
              <w:t>类似</w:t>
            </w:r>
            <w:r>
              <w:rPr>
                <w:rFonts w:hint="eastAsia" w:ascii="宋体" w:hAnsi="宋体"/>
                <w:sz w:val="24"/>
                <w:highlight w:val="none"/>
                <w:lang w:eastAsia="zh-CN"/>
              </w:rPr>
              <w:t>非住宅</w:t>
            </w:r>
            <w:r>
              <w:rPr>
                <w:rFonts w:hint="eastAsia" w:ascii="宋体" w:hAnsi="宋体" w:cs="宋体"/>
                <w:bCs/>
                <w:sz w:val="24"/>
                <w:szCs w:val="22"/>
                <w:highlight w:val="none"/>
              </w:rPr>
              <w:t>物业服务项目安保管理工作经验，需提供</w:t>
            </w:r>
            <w:r>
              <w:rPr>
                <w:rFonts w:hint="eastAsia" w:ascii="宋体" w:hAnsi="宋体" w:cs="宋体"/>
                <w:sz w:val="24"/>
                <w:highlight w:val="none"/>
              </w:rPr>
              <w:t>体现该岗位工作经验</w:t>
            </w:r>
            <w:r>
              <w:rPr>
                <w:rFonts w:hint="eastAsia" w:ascii="宋体" w:hAnsi="宋体" w:cs="宋体"/>
                <w:sz w:val="24"/>
                <w:highlight w:val="none"/>
                <w:lang w:eastAsia="zh-CN"/>
              </w:rPr>
              <w:t>证明材料（由业主或所在单位出具的都可，</w:t>
            </w:r>
            <w:r>
              <w:rPr>
                <w:rFonts w:hint="eastAsia" w:ascii="宋体" w:hAnsi="宋体" w:cs="宋体"/>
                <w:sz w:val="24"/>
                <w:highlight w:val="none"/>
              </w:rPr>
              <w:t>符合得</w:t>
            </w:r>
            <w:r>
              <w:rPr>
                <w:rFonts w:hint="eastAsia" w:ascii="宋体" w:hAnsi="宋体" w:cs="宋体"/>
                <w:sz w:val="24"/>
                <w:highlight w:val="none"/>
                <w:lang w:val="en-US" w:eastAsia="zh-CN"/>
              </w:rPr>
              <w:t>2</w:t>
            </w:r>
            <w:r>
              <w:rPr>
                <w:rFonts w:hint="eastAsia" w:ascii="宋体" w:hAnsi="宋体" w:cs="宋体"/>
                <w:bCs/>
                <w:sz w:val="24"/>
                <w:szCs w:val="22"/>
                <w:highlight w:val="none"/>
              </w:rPr>
              <w:t>分，否则不得分）</w:t>
            </w:r>
            <w:r>
              <w:rPr>
                <w:rFonts w:hint="eastAsia" w:ascii="宋体" w:hAnsi="宋体" w:cs="宋体"/>
                <w:bCs/>
                <w:sz w:val="24"/>
                <w:szCs w:val="22"/>
                <w:highlight w:val="none"/>
                <w:lang w:eastAsia="zh-CN"/>
              </w:rPr>
              <w:t>，</w:t>
            </w:r>
            <w:r>
              <w:rPr>
                <w:rFonts w:hint="eastAsia" w:ascii="宋体" w:hAnsi="宋体" w:cs="宋体"/>
                <w:sz w:val="24"/>
                <w:highlight w:val="none"/>
              </w:rPr>
              <w:t>以上</w:t>
            </w:r>
            <w:r>
              <w:rPr>
                <w:rFonts w:hint="eastAsia" w:ascii="宋体" w:hAnsi="宋体" w:cs="宋体"/>
                <w:sz w:val="24"/>
                <w:highlight w:val="none"/>
                <w:lang w:eastAsia="zh-CN"/>
              </w:rPr>
              <w:t>还</w:t>
            </w:r>
            <w:r>
              <w:rPr>
                <w:rFonts w:hint="eastAsia" w:ascii="宋体" w:hAnsi="宋体" w:cs="宋体"/>
                <w:sz w:val="24"/>
                <w:highlight w:val="none"/>
              </w:rPr>
              <w:t>需同时提供</w:t>
            </w:r>
            <w:r>
              <w:rPr>
                <w:rFonts w:hint="eastAsia" w:asciiTheme="minorEastAsia" w:hAnsiTheme="minorEastAsia" w:eastAsiaTheme="minorEastAsia" w:cstheme="minorEastAsia"/>
                <w:kern w:val="0"/>
                <w:sz w:val="24"/>
                <w:highlight w:val="none"/>
              </w:rPr>
              <w:t>身份证</w:t>
            </w:r>
            <w:r>
              <w:rPr>
                <w:rFonts w:hint="eastAsia" w:asciiTheme="minorEastAsia" w:hAnsiTheme="minorEastAsia" w:eastAsiaTheme="minorEastAsia" w:cstheme="minorEastAsia"/>
                <w:kern w:val="0"/>
                <w:sz w:val="24"/>
                <w:highlight w:val="none"/>
                <w:lang w:eastAsia="zh-CN"/>
              </w:rPr>
              <w:t>、本单位</w:t>
            </w:r>
            <w:r>
              <w:rPr>
                <w:rFonts w:hint="eastAsia" w:asciiTheme="minorEastAsia" w:hAnsiTheme="minorEastAsia" w:eastAsiaTheme="minorEastAsia" w:cstheme="minorEastAsia"/>
                <w:kern w:val="0"/>
                <w:sz w:val="24"/>
                <w:highlight w:val="none"/>
              </w:rPr>
              <w:t>社保证明，否则不</w:t>
            </w:r>
            <w:r>
              <w:rPr>
                <w:rFonts w:hint="eastAsia" w:ascii="宋体" w:hAnsi="宋体" w:cs="宋体"/>
                <w:sz w:val="24"/>
                <w:highlight w:val="none"/>
              </w:rPr>
              <w:t>得分，</w:t>
            </w:r>
            <w:r>
              <w:rPr>
                <w:rFonts w:hint="eastAsia" w:ascii="宋体" w:hAnsi="宋体" w:cs="宋体"/>
                <w:kern w:val="0"/>
                <w:sz w:val="24"/>
                <w:highlight w:val="none"/>
              </w:rPr>
              <w:t>共</w:t>
            </w: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p>
        </w:tc>
        <w:tc>
          <w:tcPr>
            <w:tcW w:w="402" w:type="pct"/>
            <w:vAlign w:val="center"/>
          </w:tcPr>
          <w:p>
            <w:pPr>
              <w:spacing w:line="360" w:lineRule="auto"/>
              <w:jc w:val="center"/>
              <w:outlineLvl w:val="0"/>
              <w:rPr>
                <w:rFonts w:hint="eastAsia" w:ascii="宋体" w:hAnsi="宋体" w:eastAsia="宋体" w:cs="宋体"/>
                <w:bCs/>
                <w:sz w:val="24"/>
                <w:lang w:eastAsia="zh-CN"/>
              </w:rPr>
            </w:pPr>
            <w:r>
              <w:rPr>
                <w:rFonts w:hint="eastAsia" w:ascii="宋体" w:hAnsi="宋体" w:cs="宋体"/>
                <w:bCs/>
                <w:sz w:val="24"/>
                <w:lang w:val="en-US" w:eastAsia="zh-CN"/>
              </w:rPr>
              <w:t>3</w:t>
            </w:r>
          </w:p>
        </w:tc>
        <w:tc>
          <w:tcPr>
            <w:tcW w:w="487" w:type="pct"/>
            <w:vAlign w:val="center"/>
          </w:tcPr>
          <w:p>
            <w:pPr>
              <w:spacing w:line="360" w:lineRule="auto"/>
              <w:jc w:val="center"/>
              <w:outlineLvl w:val="0"/>
              <w:rPr>
                <w:rFonts w:ascii="宋体" w:hAnsi="宋体" w:cs="宋体"/>
                <w:bCs/>
                <w:sz w:val="24"/>
              </w:rPr>
            </w:pPr>
            <w:r>
              <w:rPr>
                <w:rFonts w:hint="eastAsia" w:ascii="宋体" w:hAnsi="宋体" w:cs="宋体"/>
                <w:bCs/>
                <w:sz w:val="24"/>
              </w:rPr>
              <w:t>客观分</w:t>
            </w:r>
          </w:p>
          <w:p>
            <w:pPr>
              <w:pStyle w:val="5"/>
              <w:rPr>
                <w:lang w:val="en-US"/>
              </w:rPr>
            </w:pPr>
          </w:p>
        </w:tc>
        <w:tc>
          <w:tcPr>
            <w:tcW w:w="632" w:type="pct"/>
            <w:vMerge w:val="continue"/>
          </w:tcPr>
          <w:p>
            <w:pPr>
              <w:spacing w:line="360" w:lineRule="auto"/>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vAlign w:val="center"/>
          </w:tcPr>
          <w:p>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15</w:t>
            </w:r>
          </w:p>
        </w:tc>
        <w:tc>
          <w:tcPr>
            <w:tcW w:w="3047" w:type="pct"/>
            <w:vAlign w:val="center"/>
          </w:tcPr>
          <w:p>
            <w:pPr>
              <w:spacing w:line="360" w:lineRule="auto"/>
              <w:outlineLvl w:val="0"/>
              <w:rPr>
                <w:rFonts w:ascii="宋体" w:hAnsi="宋体" w:cs="仿宋"/>
                <w:sz w:val="24"/>
                <w:highlight w:val="none"/>
              </w:rPr>
            </w:pPr>
            <w:r>
              <w:rPr>
                <w:rFonts w:hint="eastAsia" w:ascii="宋体" w:hAnsi="宋体" w:cs="仿宋"/>
                <w:sz w:val="24"/>
                <w:highlight w:val="none"/>
                <w:lang w:eastAsia="zh-CN"/>
              </w:rPr>
              <w:t>拟派人员中：所有安检员及保安具有</w:t>
            </w:r>
            <w:r>
              <w:rPr>
                <w:rFonts w:hint="eastAsia" w:ascii="宋体" w:hAnsi="宋体" w:cs="仿宋"/>
                <w:sz w:val="24"/>
                <w:highlight w:val="none"/>
              </w:rPr>
              <w:t>保安员证</w:t>
            </w:r>
            <w:r>
              <w:rPr>
                <w:rFonts w:hint="eastAsia" w:ascii="宋体" w:hAnsi="宋体" w:cs="仿宋"/>
                <w:sz w:val="24"/>
                <w:highlight w:val="none"/>
                <w:lang w:eastAsia="zh-CN"/>
              </w:rPr>
              <w:t>，符合</w:t>
            </w:r>
            <w:r>
              <w:rPr>
                <w:rFonts w:hint="eastAsia" w:ascii="宋体" w:hAnsi="宋体" w:cs="仿宋"/>
                <w:sz w:val="24"/>
                <w:highlight w:val="none"/>
              </w:rPr>
              <w:t>得</w:t>
            </w:r>
            <w:r>
              <w:rPr>
                <w:rFonts w:hint="eastAsia" w:ascii="宋体" w:hAnsi="宋体" w:cs="仿宋"/>
                <w:sz w:val="24"/>
                <w:highlight w:val="none"/>
                <w:lang w:val="en-US" w:eastAsia="zh-CN"/>
              </w:rPr>
              <w:t>3</w:t>
            </w:r>
            <w:r>
              <w:rPr>
                <w:rFonts w:hint="eastAsia" w:ascii="宋体" w:hAnsi="宋体" w:cs="仿宋"/>
                <w:sz w:val="24"/>
                <w:highlight w:val="none"/>
              </w:rPr>
              <w:t>分，不</w:t>
            </w:r>
            <w:r>
              <w:rPr>
                <w:rFonts w:hint="eastAsia" w:ascii="宋体" w:hAnsi="宋体" w:cs="仿宋"/>
                <w:sz w:val="24"/>
                <w:highlight w:val="none"/>
                <w:lang w:eastAsia="zh-CN"/>
              </w:rPr>
              <w:t>符合</w:t>
            </w:r>
            <w:r>
              <w:rPr>
                <w:rFonts w:hint="eastAsia" w:ascii="宋体" w:hAnsi="宋体" w:cs="仿宋"/>
                <w:sz w:val="24"/>
                <w:highlight w:val="none"/>
              </w:rPr>
              <w:t xml:space="preserve">不得分。 </w:t>
            </w:r>
          </w:p>
          <w:p>
            <w:pPr>
              <w:spacing w:line="360" w:lineRule="auto"/>
              <w:outlineLvl w:val="0"/>
              <w:rPr>
                <w:rFonts w:ascii="宋体" w:hAnsi="宋体" w:cs="仿宋"/>
                <w:sz w:val="24"/>
                <w:highlight w:val="none"/>
              </w:rPr>
            </w:pPr>
            <w:r>
              <w:rPr>
                <w:rFonts w:hint="eastAsia" w:ascii="宋体" w:hAnsi="宋体" w:cs="仿宋"/>
                <w:sz w:val="24"/>
                <w:highlight w:val="none"/>
              </w:rPr>
              <w:t>以上须同时提供身份证、相关证书及</w:t>
            </w:r>
            <w:r>
              <w:rPr>
                <w:rFonts w:hint="eastAsia" w:ascii="宋体" w:hAnsi="宋体" w:cs="仿宋"/>
                <w:sz w:val="24"/>
                <w:highlight w:val="none"/>
                <w:lang w:eastAsia="zh-CN"/>
              </w:rPr>
              <w:t>本单位</w:t>
            </w:r>
            <w:r>
              <w:rPr>
                <w:rFonts w:hint="eastAsia" w:ascii="宋体" w:hAnsi="宋体" w:cs="仿宋"/>
                <w:sz w:val="24"/>
                <w:highlight w:val="none"/>
              </w:rPr>
              <w:t>社保证明，未提供</w:t>
            </w:r>
            <w:r>
              <w:rPr>
                <w:rFonts w:hint="eastAsia" w:ascii="宋体" w:hAnsi="宋体" w:cs="仿宋"/>
                <w:sz w:val="24"/>
                <w:highlight w:val="none"/>
                <w:lang w:eastAsia="zh-CN"/>
              </w:rPr>
              <w:t>不得分</w:t>
            </w:r>
            <w:r>
              <w:rPr>
                <w:rFonts w:hint="eastAsia" w:ascii="宋体" w:hAnsi="宋体" w:cs="仿宋"/>
                <w:sz w:val="24"/>
                <w:highlight w:val="none"/>
              </w:rPr>
              <w:t>。共</w:t>
            </w:r>
            <w:r>
              <w:rPr>
                <w:rFonts w:hint="eastAsia" w:ascii="宋体" w:hAnsi="宋体" w:cs="仿宋"/>
                <w:sz w:val="24"/>
                <w:highlight w:val="none"/>
                <w:lang w:val="en-US" w:eastAsia="zh-CN"/>
              </w:rPr>
              <w:t>3</w:t>
            </w:r>
            <w:r>
              <w:rPr>
                <w:rFonts w:hint="eastAsia" w:ascii="宋体" w:hAnsi="宋体" w:cs="仿宋"/>
                <w:sz w:val="24"/>
                <w:highlight w:val="none"/>
              </w:rPr>
              <w:t>分。</w:t>
            </w:r>
          </w:p>
        </w:tc>
        <w:tc>
          <w:tcPr>
            <w:tcW w:w="402" w:type="pct"/>
            <w:vAlign w:val="center"/>
          </w:tcPr>
          <w:p>
            <w:pPr>
              <w:spacing w:line="360" w:lineRule="auto"/>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3</w:t>
            </w:r>
          </w:p>
        </w:tc>
        <w:tc>
          <w:tcPr>
            <w:tcW w:w="487" w:type="pct"/>
            <w:vAlign w:val="center"/>
          </w:tcPr>
          <w:p>
            <w:pPr>
              <w:spacing w:line="360" w:lineRule="auto"/>
              <w:jc w:val="center"/>
              <w:outlineLvl w:val="0"/>
              <w:rPr>
                <w:rFonts w:ascii="宋体" w:hAnsi="宋体" w:cs="宋体"/>
                <w:bCs/>
                <w:sz w:val="24"/>
                <w:highlight w:val="none"/>
              </w:rPr>
            </w:pPr>
            <w:r>
              <w:rPr>
                <w:rFonts w:hint="eastAsia" w:ascii="宋体" w:hAnsi="宋体" w:cs="宋体"/>
                <w:bCs/>
                <w:sz w:val="24"/>
                <w:highlight w:val="none"/>
              </w:rPr>
              <w:t>客观分</w:t>
            </w:r>
          </w:p>
        </w:tc>
        <w:tc>
          <w:tcPr>
            <w:tcW w:w="632" w:type="pct"/>
            <w:vMerge w:val="continue"/>
          </w:tcPr>
          <w:p>
            <w:pPr>
              <w:spacing w:line="360" w:lineRule="auto"/>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1" w:type="pct"/>
            <w:vAlign w:val="center"/>
          </w:tcPr>
          <w:p>
            <w:pPr>
              <w:spacing w:line="360" w:lineRule="auto"/>
              <w:jc w:val="center"/>
              <w:outlineLvl w:val="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16</w:t>
            </w:r>
          </w:p>
        </w:tc>
        <w:tc>
          <w:tcPr>
            <w:tcW w:w="3047" w:type="pct"/>
            <w:vAlign w:val="center"/>
          </w:tcPr>
          <w:p>
            <w:pPr>
              <w:spacing w:line="360" w:lineRule="auto"/>
              <w:outlineLvl w:val="0"/>
              <w:rPr>
                <w:rFonts w:asciiTheme="minorEastAsia" w:hAnsiTheme="minorEastAsia" w:eastAsiaTheme="minorEastAsia" w:cstheme="minorEastAsia"/>
                <w:kern w:val="0"/>
                <w:sz w:val="24"/>
                <w:highlight w:val="none"/>
              </w:rPr>
            </w:pPr>
            <w:r>
              <w:rPr>
                <w:rFonts w:hint="eastAsia" w:ascii="宋体" w:hAnsi="宋体" w:cs="仿宋"/>
                <w:color w:val="000000"/>
                <w:sz w:val="24"/>
                <w:highlight w:val="none"/>
              </w:rPr>
              <w:t>拟派</w:t>
            </w:r>
            <w:r>
              <w:rPr>
                <w:rFonts w:hint="eastAsia" w:asciiTheme="minorEastAsia" w:hAnsiTheme="minorEastAsia" w:eastAsiaTheme="minorEastAsia" w:cstheme="minorEastAsia"/>
                <w:kern w:val="0"/>
                <w:sz w:val="24"/>
                <w:highlight w:val="none"/>
              </w:rPr>
              <w:t>保洁人员：所有人员（不少于14人）按照要求提供健康证的得</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rPr>
              <w:t>分，不满足不得分。</w:t>
            </w:r>
          </w:p>
          <w:p>
            <w:pPr>
              <w:spacing w:line="360" w:lineRule="auto"/>
              <w:outlineLvl w:val="0"/>
              <w:rPr>
                <w:rFonts w:ascii="宋体" w:hAnsi="宋体" w:cs="宋体"/>
                <w:bCs/>
                <w:sz w:val="24"/>
                <w:highlight w:val="none"/>
              </w:rPr>
            </w:pPr>
            <w:r>
              <w:rPr>
                <w:rFonts w:hint="eastAsia" w:asciiTheme="minorEastAsia" w:hAnsiTheme="minorEastAsia" w:eastAsiaTheme="minorEastAsia" w:cstheme="minorEastAsia"/>
                <w:kern w:val="0"/>
                <w:sz w:val="24"/>
                <w:highlight w:val="none"/>
              </w:rPr>
              <w:t>以上须同时提供身份证、相关证书及</w:t>
            </w:r>
            <w:r>
              <w:rPr>
                <w:rFonts w:hint="eastAsia" w:ascii="宋体" w:hAnsi="宋体" w:cs="仿宋"/>
                <w:sz w:val="24"/>
                <w:highlight w:val="none"/>
                <w:lang w:eastAsia="zh-CN"/>
              </w:rPr>
              <w:t>本单位</w:t>
            </w:r>
            <w:r>
              <w:rPr>
                <w:rFonts w:hint="eastAsia" w:ascii="宋体" w:hAnsi="宋体" w:cs="仿宋"/>
                <w:sz w:val="24"/>
                <w:highlight w:val="none"/>
              </w:rPr>
              <w:t>社保证明，</w:t>
            </w:r>
            <w:r>
              <w:rPr>
                <w:rFonts w:hint="eastAsia" w:asciiTheme="minorEastAsia" w:hAnsiTheme="minorEastAsia" w:eastAsiaTheme="minorEastAsia" w:cstheme="minorEastAsia"/>
                <w:kern w:val="0"/>
                <w:sz w:val="24"/>
                <w:highlight w:val="none"/>
              </w:rPr>
              <w:t>未能提供或提供不全的按不得分处理。共</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rPr>
              <w:t>分。</w:t>
            </w:r>
          </w:p>
        </w:tc>
        <w:tc>
          <w:tcPr>
            <w:tcW w:w="402" w:type="pct"/>
            <w:vAlign w:val="center"/>
          </w:tcPr>
          <w:p>
            <w:pPr>
              <w:spacing w:line="360" w:lineRule="auto"/>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2</w:t>
            </w:r>
          </w:p>
        </w:tc>
        <w:tc>
          <w:tcPr>
            <w:tcW w:w="487" w:type="pct"/>
            <w:vAlign w:val="center"/>
          </w:tcPr>
          <w:p>
            <w:pPr>
              <w:spacing w:line="360" w:lineRule="auto"/>
              <w:jc w:val="center"/>
              <w:outlineLvl w:val="0"/>
              <w:rPr>
                <w:rFonts w:ascii="宋体" w:hAnsi="宋体" w:cs="宋体"/>
                <w:bCs/>
                <w:sz w:val="24"/>
                <w:szCs w:val="22"/>
                <w:highlight w:val="none"/>
              </w:rPr>
            </w:pPr>
            <w:r>
              <w:rPr>
                <w:rFonts w:hint="eastAsia" w:ascii="宋体" w:hAnsi="宋体" w:cs="宋体"/>
                <w:bCs/>
                <w:sz w:val="24"/>
                <w:highlight w:val="none"/>
              </w:rPr>
              <w:t>客观分</w:t>
            </w:r>
          </w:p>
        </w:tc>
        <w:tc>
          <w:tcPr>
            <w:tcW w:w="632" w:type="pct"/>
            <w:vMerge w:val="continue"/>
          </w:tcPr>
          <w:p>
            <w:pPr>
              <w:spacing w:line="360" w:lineRule="auto"/>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vAlign w:val="center"/>
          </w:tcPr>
          <w:p>
            <w:pPr>
              <w:spacing w:line="360" w:lineRule="auto"/>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17</w:t>
            </w:r>
          </w:p>
        </w:tc>
        <w:tc>
          <w:tcPr>
            <w:tcW w:w="3047" w:type="pct"/>
            <w:vAlign w:val="center"/>
          </w:tcPr>
          <w:p>
            <w:pPr>
              <w:spacing w:line="360" w:lineRule="auto"/>
              <w:outlineLvl w:val="0"/>
              <w:rPr>
                <w:rFonts w:ascii="宋体" w:hAnsi="宋体" w:cs="宋体"/>
                <w:bCs/>
                <w:sz w:val="24"/>
                <w:szCs w:val="22"/>
              </w:rPr>
            </w:pPr>
            <w:r>
              <w:rPr>
                <w:rFonts w:hint="eastAsia" w:ascii="宋体" w:hAnsi="宋体" w:cs="宋体"/>
                <w:bCs/>
                <w:sz w:val="24"/>
              </w:rPr>
              <w:t>投标人针对本项目所能提供的保安、保洁、维修等设施设备的投入和管理，提供物品投入清单，装备配置满足项目需求且全面的视为符合，</w:t>
            </w:r>
            <w:r>
              <w:rPr>
                <w:rFonts w:hint="eastAsia" w:ascii="宋体" w:hAnsi="宋体" w:cs="宋体"/>
                <w:bCs/>
                <w:kern w:val="0"/>
                <w:sz w:val="24"/>
              </w:rPr>
              <w:t>全部符合得3分，</w:t>
            </w:r>
            <w:r>
              <w:rPr>
                <w:rFonts w:hint="eastAsia" w:ascii="宋体" w:hAnsi="宋体" w:cs="宋体"/>
                <w:bCs/>
                <w:sz w:val="24"/>
              </w:rPr>
              <w:t>基本符合得2分，部分符合得1分，不符合或未提供不得分。共3分。</w:t>
            </w:r>
          </w:p>
        </w:tc>
        <w:tc>
          <w:tcPr>
            <w:tcW w:w="402" w:type="pct"/>
            <w:vAlign w:val="center"/>
          </w:tcPr>
          <w:p>
            <w:pPr>
              <w:spacing w:line="360" w:lineRule="auto"/>
              <w:jc w:val="center"/>
              <w:outlineLvl w:val="0"/>
              <w:rPr>
                <w:rFonts w:ascii="宋体" w:hAnsi="宋体" w:cs="宋体"/>
                <w:bCs/>
                <w:sz w:val="24"/>
              </w:rPr>
            </w:pPr>
            <w:r>
              <w:rPr>
                <w:rFonts w:hint="eastAsia" w:ascii="宋体" w:hAnsi="宋体" w:cs="宋体"/>
                <w:bCs/>
                <w:sz w:val="24"/>
              </w:rPr>
              <w:t>3</w:t>
            </w:r>
          </w:p>
        </w:tc>
        <w:tc>
          <w:tcPr>
            <w:tcW w:w="487" w:type="pct"/>
            <w:vAlign w:val="center"/>
          </w:tcPr>
          <w:p>
            <w:pPr>
              <w:spacing w:line="360" w:lineRule="auto"/>
              <w:jc w:val="center"/>
              <w:outlineLvl w:val="0"/>
              <w:rPr>
                <w:rFonts w:ascii="宋体" w:hAnsi="宋体" w:cs="宋体"/>
                <w:bCs/>
                <w:sz w:val="24"/>
                <w:szCs w:val="22"/>
              </w:rPr>
            </w:pPr>
            <w:r>
              <w:rPr>
                <w:rFonts w:hint="eastAsia" w:ascii="宋体" w:hAnsi="宋体" w:cs="宋体"/>
                <w:bCs/>
                <w:sz w:val="24"/>
              </w:rPr>
              <w:t>主观分</w:t>
            </w:r>
          </w:p>
        </w:tc>
        <w:tc>
          <w:tcPr>
            <w:tcW w:w="632" w:type="pct"/>
            <w:vMerge w:val="continue"/>
            <w:vAlign w:val="center"/>
          </w:tcPr>
          <w:p>
            <w:pPr>
              <w:spacing w:line="360" w:lineRule="auto"/>
              <w:jc w:val="center"/>
              <w:outlineLvl w:val="0"/>
              <w:rPr>
                <w:rFonts w:ascii="宋体" w:hAnsi="宋体" w:cs="宋体"/>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vAlign w:val="center"/>
          </w:tcPr>
          <w:p>
            <w:pPr>
              <w:jc w:val="center"/>
              <w:rPr>
                <w:rFonts w:hint="default" w:ascii="宋体" w:hAnsi="宋体" w:eastAsia="宋体" w:cs="宋体"/>
                <w:bCs/>
                <w:sz w:val="24"/>
                <w:lang w:val="en-US" w:eastAsia="zh-CN"/>
              </w:rPr>
            </w:pPr>
            <w:r>
              <w:rPr>
                <w:rFonts w:hint="eastAsia" w:ascii="宋体" w:hAnsi="宋体" w:cs="宋体"/>
                <w:bCs/>
                <w:sz w:val="24"/>
                <w:lang w:val="en-US" w:eastAsia="zh-CN"/>
              </w:rPr>
              <w:t>18</w:t>
            </w:r>
          </w:p>
        </w:tc>
        <w:tc>
          <w:tcPr>
            <w:tcW w:w="3047" w:type="pct"/>
            <w:vAlign w:val="center"/>
          </w:tcPr>
          <w:p>
            <w:pPr>
              <w:spacing w:line="360" w:lineRule="auto"/>
              <w:outlineLvl w:val="0"/>
              <w:rPr>
                <w:rFonts w:ascii="宋体" w:hAnsi="宋体" w:cs="宋体"/>
                <w:bCs/>
                <w:sz w:val="24"/>
              </w:rPr>
            </w:pPr>
            <w:r>
              <w:rPr>
                <w:rFonts w:hint="eastAsia" w:ascii="新宋体" w:hAnsi="新宋体" w:eastAsia="新宋体" w:cs="新宋体"/>
                <w:b/>
                <w:bCs/>
                <w:color w:val="333333"/>
                <w:sz w:val="24"/>
                <w:highlight w:val="none"/>
              </w:rPr>
              <w:t>智能化管理。</w:t>
            </w:r>
            <w:r>
              <w:rPr>
                <w:rFonts w:hint="eastAsia" w:ascii="新宋体" w:hAnsi="新宋体" w:eastAsia="新宋体" w:cs="新宋体"/>
                <w:color w:val="333333"/>
                <w:sz w:val="24"/>
                <w:highlight w:val="none"/>
              </w:rPr>
              <w:t>投</w:t>
            </w:r>
            <w:r>
              <w:rPr>
                <w:rFonts w:hint="eastAsia" w:ascii="宋体" w:hAnsi="宋体" w:cs="宋体"/>
                <w:bCs/>
                <w:sz w:val="24"/>
                <w:highlight w:val="none"/>
              </w:rPr>
              <w:t>标人配有智能化系统</w:t>
            </w:r>
            <w:r>
              <w:rPr>
                <w:rFonts w:hint="eastAsia" w:ascii="宋体" w:hAnsi="宋体" w:cs="宋体"/>
                <w:bCs/>
                <w:sz w:val="24"/>
                <w:highlight w:val="none"/>
                <w:lang w:eastAsia="zh-CN"/>
              </w:rPr>
              <w:t>，包括但不限于</w:t>
            </w:r>
            <w:r>
              <w:rPr>
                <w:rFonts w:hint="eastAsia" w:ascii="宋体" w:hAnsi="宋体" w:cs="宋体"/>
                <w:bCs/>
                <w:sz w:val="24"/>
                <w:highlight w:val="none"/>
              </w:rPr>
              <w:t>安防监控、报修管理、物业巡检、访客预约等信息化管理系统，提供</w:t>
            </w:r>
            <w:r>
              <w:rPr>
                <w:rFonts w:hint="eastAsia" w:ascii="宋体" w:hAnsi="宋体" w:cs="宋体"/>
                <w:bCs/>
                <w:sz w:val="24"/>
                <w:highlight w:val="none"/>
                <w:lang w:eastAsia="zh-CN"/>
              </w:rPr>
              <w:t>界面截图。</w:t>
            </w:r>
            <w:r>
              <w:rPr>
                <w:rFonts w:hint="eastAsia" w:ascii="宋体" w:hAnsi="宋体" w:cs="宋体"/>
                <w:bCs/>
                <w:sz w:val="24"/>
                <w:highlight w:val="none"/>
              </w:rPr>
              <w:t>（符合的每项内容得1分，否则不得分）。本项共</w:t>
            </w:r>
            <w:r>
              <w:rPr>
                <w:rFonts w:hint="eastAsia" w:ascii="宋体" w:hAnsi="宋体" w:cs="宋体"/>
                <w:bCs/>
                <w:sz w:val="24"/>
                <w:highlight w:val="none"/>
                <w:lang w:val="en-US" w:eastAsia="zh-CN"/>
              </w:rPr>
              <w:t>4</w:t>
            </w:r>
            <w:r>
              <w:rPr>
                <w:rFonts w:hint="eastAsia" w:ascii="宋体" w:hAnsi="宋体" w:cs="宋体"/>
                <w:bCs/>
                <w:sz w:val="24"/>
                <w:highlight w:val="none"/>
              </w:rPr>
              <w:t>分。</w:t>
            </w:r>
          </w:p>
        </w:tc>
        <w:tc>
          <w:tcPr>
            <w:tcW w:w="402" w:type="pct"/>
            <w:vAlign w:val="center"/>
          </w:tcPr>
          <w:p>
            <w:pPr>
              <w:jc w:val="center"/>
              <w:rPr>
                <w:rFonts w:hint="eastAsia" w:ascii="宋体" w:hAnsi="宋体" w:eastAsia="宋体" w:cs="宋体"/>
                <w:color w:val="000000"/>
                <w:sz w:val="24"/>
                <w:lang w:eastAsia="zh-CN"/>
              </w:rPr>
            </w:pPr>
            <w:r>
              <w:rPr>
                <w:rFonts w:hint="eastAsia" w:ascii="宋体" w:hAnsi="宋体" w:cs="宋体"/>
                <w:bCs/>
                <w:sz w:val="24"/>
                <w:lang w:val="en-US" w:eastAsia="zh-CN"/>
              </w:rPr>
              <w:t>4</w:t>
            </w:r>
          </w:p>
        </w:tc>
        <w:tc>
          <w:tcPr>
            <w:tcW w:w="487" w:type="pct"/>
            <w:vAlign w:val="center"/>
          </w:tcPr>
          <w:p>
            <w:pPr>
              <w:jc w:val="center"/>
              <w:rPr>
                <w:rFonts w:ascii="宋体" w:hAnsi="宋体" w:cs="宋体"/>
                <w:color w:val="000000"/>
                <w:sz w:val="24"/>
              </w:rPr>
            </w:pPr>
            <w:r>
              <w:rPr>
                <w:rFonts w:hint="eastAsia" w:ascii="宋体" w:hAnsi="宋体" w:cs="宋体"/>
                <w:bCs/>
                <w:sz w:val="24"/>
              </w:rPr>
              <w:t>客观分</w:t>
            </w:r>
          </w:p>
        </w:tc>
        <w:tc>
          <w:tcPr>
            <w:tcW w:w="632" w:type="pct"/>
            <w:vAlign w:val="center"/>
          </w:tcPr>
          <w:p>
            <w:pPr>
              <w:jc w:val="center"/>
              <w:rPr>
                <w:rFonts w:ascii="宋体" w:hAnsi="宋体" w:cs="宋体"/>
                <w:bCs/>
                <w:sz w:val="24"/>
                <w:szCs w:val="22"/>
              </w:rPr>
            </w:pPr>
            <w:r>
              <w:rPr>
                <w:rFonts w:hint="eastAsia" w:ascii="宋体" w:hAnsi="宋体" w:cs="宋体"/>
                <w:bCs/>
                <w:sz w:val="24"/>
                <w:szCs w:val="22"/>
              </w:rPr>
              <w:t>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vAlign w:val="center"/>
          </w:tcPr>
          <w:p>
            <w:pPr>
              <w:jc w:val="center"/>
              <w:rPr>
                <w:rFonts w:hint="default" w:ascii="宋体" w:hAnsi="宋体" w:cs="宋体"/>
                <w:bCs/>
                <w:sz w:val="24"/>
                <w:lang w:val="en-US" w:eastAsia="zh-CN"/>
              </w:rPr>
            </w:pPr>
            <w:r>
              <w:rPr>
                <w:rFonts w:hint="eastAsia" w:ascii="宋体" w:hAnsi="宋体" w:cs="宋体"/>
                <w:bCs/>
                <w:sz w:val="24"/>
                <w:lang w:val="en-US" w:eastAsia="zh-CN"/>
              </w:rPr>
              <w:t>19</w:t>
            </w:r>
          </w:p>
        </w:tc>
        <w:tc>
          <w:tcPr>
            <w:tcW w:w="3047" w:type="pct"/>
            <w:vAlign w:val="center"/>
          </w:tcPr>
          <w:p>
            <w:pPr>
              <w:spacing w:line="360" w:lineRule="auto"/>
              <w:outlineLvl w:val="0"/>
              <w:rPr>
                <w:rFonts w:hint="eastAsia" w:ascii="新宋体" w:hAnsi="新宋体" w:eastAsia="新宋体" w:cs="新宋体"/>
                <w:b/>
                <w:bCs/>
                <w:color w:val="333333"/>
                <w:sz w:val="24"/>
                <w:highlight w:val="none"/>
              </w:rPr>
            </w:pPr>
            <w:r>
              <w:rPr>
                <w:rFonts w:hint="eastAsia" w:ascii="宋体" w:hAnsi="宋体" w:cs="宋体"/>
                <w:bCs/>
                <w:sz w:val="24"/>
                <w:highlight w:val="none"/>
                <w:lang w:eastAsia="zh-CN"/>
              </w:rPr>
              <w:t>投标人</w:t>
            </w:r>
            <w:r>
              <w:rPr>
                <w:rFonts w:hint="eastAsia" w:ascii="宋体" w:hAnsi="宋体" w:eastAsia="宋体" w:cs="宋体"/>
                <w:bCs/>
                <w:sz w:val="24"/>
                <w:highlight w:val="none"/>
              </w:rPr>
              <w:t>通过对项目的了解，根据现状提出建议，建议合理可行的每条</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分，共</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分。</w:t>
            </w:r>
          </w:p>
        </w:tc>
        <w:tc>
          <w:tcPr>
            <w:tcW w:w="402" w:type="pct"/>
            <w:vAlign w:val="center"/>
          </w:tcPr>
          <w:p>
            <w:pPr>
              <w:jc w:val="center"/>
              <w:rPr>
                <w:rFonts w:hint="default" w:ascii="宋体" w:hAnsi="宋体" w:cs="宋体"/>
                <w:bCs/>
                <w:sz w:val="24"/>
                <w:lang w:val="en-US" w:eastAsia="zh-CN"/>
              </w:rPr>
            </w:pPr>
            <w:r>
              <w:rPr>
                <w:rFonts w:hint="eastAsia" w:ascii="宋体" w:hAnsi="宋体" w:cs="宋体"/>
                <w:bCs/>
                <w:sz w:val="24"/>
                <w:lang w:val="en-US" w:eastAsia="zh-CN"/>
              </w:rPr>
              <w:t>2</w:t>
            </w:r>
          </w:p>
        </w:tc>
        <w:tc>
          <w:tcPr>
            <w:tcW w:w="487" w:type="pct"/>
            <w:vAlign w:val="center"/>
          </w:tcPr>
          <w:p>
            <w:pPr>
              <w:jc w:val="center"/>
              <w:rPr>
                <w:rFonts w:hint="eastAsia" w:ascii="宋体" w:hAnsi="宋体" w:eastAsia="宋体" w:cs="宋体"/>
                <w:bCs/>
                <w:sz w:val="24"/>
                <w:lang w:eastAsia="zh-CN"/>
              </w:rPr>
            </w:pPr>
            <w:r>
              <w:rPr>
                <w:rFonts w:hint="eastAsia" w:ascii="宋体" w:hAnsi="宋体" w:cs="宋体"/>
                <w:bCs/>
                <w:sz w:val="24"/>
                <w:lang w:eastAsia="zh-CN"/>
              </w:rPr>
              <w:t>主观分</w:t>
            </w:r>
          </w:p>
        </w:tc>
        <w:tc>
          <w:tcPr>
            <w:tcW w:w="632" w:type="pct"/>
            <w:vAlign w:val="center"/>
          </w:tcPr>
          <w:p>
            <w:pPr>
              <w:jc w:val="center"/>
              <w:rPr>
                <w:rFonts w:hint="eastAsia" w:ascii="宋体" w:hAnsi="宋体" w:eastAsia="宋体" w:cs="宋体"/>
                <w:bCs/>
                <w:sz w:val="24"/>
                <w:szCs w:val="22"/>
                <w:lang w:eastAsia="zh-CN"/>
              </w:rPr>
            </w:pPr>
            <w:r>
              <w:rPr>
                <w:rFonts w:hint="eastAsia" w:ascii="宋体" w:hAnsi="宋体" w:cs="宋体"/>
                <w:bCs/>
                <w:sz w:val="24"/>
                <w:szCs w:val="22"/>
                <w:lang w:eastAsia="zh-CN"/>
              </w:rPr>
              <w:t>相关建议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31" w:type="pct"/>
            <w:vAlign w:val="center"/>
          </w:tcPr>
          <w:p>
            <w:pPr>
              <w:jc w:val="center"/>
              <w:rPr>
                <w:rFonts w:hint="default" w:ascii="宋体" w:hAnsi="宋体" w:eastAsia="宋体" w:cs="宋体"/>
                <w:bCs/>
                <w:sz w:val="24"/>
                <w:lang w:val="en-US" w:eastAsia="zh-CN"/>
              </w:rPr>
            </w:pPr>
            <w:r>
              <w:rPr>
                <w:rFonts w:hint="eastAsia" w:ascii="宋体" w:hAnsi="宋体" w:cs="宋体"/>
                <w:bCs/>
                <w:sz w:val="24"/>
                <w:lang w:val="en-US" w:eastAsia="zh-CN"/>
              </w:rPr>
              <w:t>20</w:t>
            </w:r>
          </w:p>
        </w:tc>
        <w:tc>
          <w:tcPr>
            <w:tcW w:w="3047" w:type="pct"/>
            <w:vAlign w:val="center"/>
          </w:tcPr>
          <w:p>
            <w:pPr>
              <w:spacing w:line="360" w:lineRule="auto"/>
              <w:outlineLvl w:val="0"/>
              <w:rPr>
                <w:rFonts w:ascii="宋体" w:hAnsi="宋体" w:cs="宋体"/>
                <w:bCs/>
                <w:sz w:val="24"/>
                <w:szCs w:val="22"/>
                <w:highlight w:val="none"/>
              </w:rPr>
            </w:pPr>
            <w:r>
              <w:rPr>
                <w:rFonts w:hint="eastAsia" w:ascii="宋体" w:hAnsi="宋体" w:cs="宋体"/>
                <w:bCs/>
                <w:sz w:val="24"/>
                <w:highlight w:val="none"/>
              </w:rPr>
              <w:t>投标人具有有效期内的质量管理体系认证、职业健康管理体系认证证书、环境管理体系认证证书</w:t>
            </w:r>
            <w:r>
              <w:rPr>
                <w:rFonts w:hint="eastAsia" w:ascii="宋体" w:hAnsi="宋体" w:cs="宋体"/>
                <w:bCs/>
                <w:sz w:val="24"/>
                <w:highlight w:val="none"/>
                <w:lang w:eastAsia="zh-CN"/>
              </w:rPr>
              <w:t>，</w:t>
            </w:r>
            <w:r>
              <w:rPr>
                <w:rFonts w:hint="eastAsia" w:ascii="宋体" w:hAnsi="宋体" w:cs="宋体"/>
                <w:bCs/>
                <w:sz w:val="24"/>
                <w:highlight w:val="none"/>
              </w:rPr>
              <w:t>提供相关证书，每项得1分，共</w:t>
            </w:r>
            <w:r>
              <w:rPr>
                <w:rFonts w:hint="eastAsia" w:ascii="宋体" w:hAnsi="宋体" w:cs="宋体"/>
                <w:bCs/>
                <w:sz w:val="24"/>
                <w:highlight w:val="none"/>
                <w:lang w:val="en-US" w:eastAsia="zh-CN"/>
              </w:rPr>
              <w:t>3</w:t>
            </w:r>
            <w:r>
              <w:rPr>
                <w:rFonts w:hint="eastAsia" w:ascii="宋体" w:hAnsi="宋体" w:cs="宋体"/>
                <w:bCs/>
                <w:sz w:val="24"/>
                <w:highlight w:val="none"/>
              </w:rPr>
              <w:t>分。</w:t>
            </w:r>
          </w:p>
        </w:tc>
        <w:tc>
          <w:tcPr>
            <w:tcW w:w="402" w:type="pct"/>
            <w:vAlign w:val="center"/>
          </w:tcPr>
          <w:p>
            <w:pPr>
              <w:jc w:val="center"/>
              <w:rPr>
                <w:rFonts w:hint="eastAsia" w:ascii="宋体" w:hAnsi="宋体" w:eastAsia="宋体" w:cs="宋体"/>
                <w:bCs/>
                <w:sz w:val="24"/>
                <w:szCs w:val="22"/>
                <w:highlight w:val="none"/>
                <w:lang w:eastAsia="zh-CN"/>
              </w:rPr>
            </w:pPr>
            <w:r>
              <w:rPr>
                <w:rFonts w:hint="eastAsia" w:ascii="宋体" w:hAnsi="宋体" w:cs="宋体"/>
                <w:bCs/>
                <w:sz w:val="24"/>
                <w:highlight w:val="none"/>
                <w:lang w:val="en-US" w:eastAsia="zh-CN"/>
              </w:rPr>
              <w:t>3</w:t>
            </w:r>
          </w:p>
        </w:tc>
        <w:tc>
          <w:tcPr>
            <w:tcW w:w="487" w:type="pct"/>
            <w:vAlign w:val="center"/>
          </w:tcPr>
          <w:p>
            <w:pPr>
              <w:jc w:val="center"/>
              <w:rPr>
                <w:rFonts w:ascii="宋体" w:hAnsi="宋体" w:cs="宋体"/>
                <w:bCs/>
                <w:sz w:val="24"/>
                <w:szCs w:val="22"/>
              </w:rPr>
            </w:pPr>
            <w:r>
              <w:rPr>
                <w:rFonts w:hint="eastAsia" w:ascii="宋体" w:hAnsi="宋体" w:cs="宋体"/>
                <w:bCs/>
                <w:sz w:val="24"/>
              </w:rPr>
              <w:t>客观分</w:t>
            </w:r>
          </w:p>
        </w:tc>
        <w:tc>
          <w:tcPr>
            <w:tcW w:w="632" w:type="pct"/>
            <w:vAlign w:val="center"/>
          </w:tcPr>
          <w:p>
            <w:pPr>
              <w:jc w:val="center"/>
              <w:rPr>
                <w:rFonts w:ascii="宋体" w:hAnsi="宋体" w:cs="宋体"/>
                <w:bCs/>
                <w:sz w:val="24"/>
                <w:szCs w:val="22"/>
              </w:rPr>
            </w:pPr>
            <w:r>
              <w:rPr>
                <w:rFonts w:hint="eastAsia" w:ascii="宋体" w:hAnsi="宋体" w:cs="宋体"/>
                <w:bCs/>
                <w:sz w:val="24"/>
                <w:szCs w:val="22"/>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1" w:type="pct"/>
            <w:vAlign w:val="center"/>
          </w:tcPr>
          <w:p>
            <w:pPr>
              <w:jc w:val="center"/>
              <w:rPr>
                <w:rFonts w:hint="default" w:ascii="宋体" w:hAnsi="宋体" w:eastAsia="宋体" w:cs="宋体"/>
                <w:bCs/>
                <w:sz w:val="24"/>
                <w:lang w:val="en-US" w:eastAsia="zh-CN"/>
              </w:rPr>
            </w:pPr>
            <w:r>
              <w:rPr>
                <w:rFonts w:hint="eastAsia" w:ascii="宋体" w:hAnsi="宋体" w:cs="宋体"/>
                <w:bCs/>
                <w:sz w:val="24"/>
                <w:lang w:val="en-US" w:eastAsia="zh-CN"/>
              </w:rPr>
              <w:t>21</w:t>
            </w:r>
          </w:p>
        </w:tc>
        <w:tc>
          <w:tcPr>
            <w:tcW w:w="3047" w:type="pct"/>
            <w:vAlign w:val="center"/>
          </w:tcPr>
          <w:p>
            <w:pPr>
              <w:spacing w:line="360" w:lineRule="auto"/>
              <w:outlineLvl w:val="0"/>
              <w:rPr>
                <w:rFonts w:ascii="宋体" w:hAnsi="宋体" w:cs="宋体"/>
                <w:bCs/>
                <w:sz w:val="24"/>
                <w:szCs w:val="22"/>
              </w:rPr>
            </w:pPr>
            <w:r>
              <w:rPr>
                <w:rFonts w:hint="eastAsia" w:ascii="宋体" w:hAnsi="宋体" w:cs="宋体"/>
                <w:bCs/>
                <w:sz w:val="24"/>
                <w:szCs w:val="22"/>
              </w:rPr>
              <w:t>投标人自2020年1月1日至开标时间止</w:t>
            </w:r>
            <w:r>
              <w:rPr>
                <w:rFonts w:hint="eastAsia" w:ascii="宋体" w:hAnsi="宋体" w:cs="宋体"/>
                <w:bCs/>
                <w:sz w:val="24"/>
                <w:szCs w:val="22"/>
                <w:highlight w:val="none"/>
              </w:rPr>
              <w:t>具有类似物业服务项目业绩（至</w:t>
            </w:r>
            <w:r>
              <w:rPr>
                <w:rFonts w:hint="eastAsia" w:ascii="宋体" w:hAnsi="宋体" w:cs="宋体"/>
                <w:bCs/>
                <w:sz w:val="24"/>
                <w:szCs w:val="22"/>
              </w:rPr>
              <w:t>少同时包含保洁、保安服务），且服务过程中获得业主好评的每个业绩得0.5分，需同时提供①合同、②业主单位盖章的表扬信或验收单或其他证明材料，共</w:t>
            </w:r>
            <w:r>
              <w:rPr>
                <w:rFonts w:hint="eastAsia" w:ascii="宋体" w:hAnsi="宋体" w:cs="宋体"/>
                <w:bCs/>
                <w:sz w:val="24"/>
                <w:szCs w:val="22"/>
                <w:lang w:val="en-US" w:eastAsia="zh-CN"/>
              </w:rPr>
              <w:t>2</w:t>
            </w:r>
            <w:r>
              <w:rPr>
                <w:rFonts w:hint="eastAsia" w:ascii="宋体" w:hAnsi="宋体" w:cs="宋体"/>
                <w:bCs/>
                <w:sz w:val="24"/>
                <w:szCs w:val="22"/>
              </w:rPr>
              <w:t>分。</w:t>
            </w:r>
          </w:p>
        </w:tc>
        <w:tc>
          <w:tcPr>
            <w:tcW w:w="402" w:type="pct"/>
            <w:vAlign w:val="center"/>
          </w:tcPr>
          <w:p>
            <w:pPr>
              <w:jc w:val="center"/>
              <w:rPr>
                <w:rFonts w:hint="eastAsia" w:ascii="宋体" w:hAnsi="宋体" w:eastAsia="宋体" w:cs="宋体"/>
                <w:bCs/>
                <w:sz w:val="24"/>
                <w:szCs w:val="22"/>
                <w:lang w:eastAsia="zh-CN"/>
              </w:rPr>
            </w:pPr>
            <w:r>
              <w:rPr>
                <w:rFonts w:hint="eastAsia" w:ascii="宋体" w:hAnsi="宋体" w:cs="宋体"/>
                <w:bCs/>
                <w:sz w:val="24"/>
                <w:lang w:val="en-US" w:eastAsia="zh-CN"/>
              </w:rPr>
              <w:t>2</w:t>
            </w:r>
          </w:p>
        </w:tc>
        <w:tc>
          <w:tcPr>
            <w:tcW w:w="487" w:type="pct"/>
            <w:vAlign w:val="center"/>
          </w:tcPr>
          <w:p>
            <w:pPr>
              <w:jc w:val="center"/>
              <w:rPr>
                <w:rFonts w:ascii="宋体" w:hAnsi="宋体" w:cs="宋体"/>
                <w:bCs/>
                <w:sz w:val="24"/>
                <w:szCs w:val="22"/>
              </w:rPr>
            </w:pPr>
            <w:r>
              <w:rPr>
                <w:rFonts w:hint="eastAsia" w:ascii="宋体" w:hAnsi="宋体" w:cs="宋体"/>
                <w:bCs/>
                <w:sz w:val="24"/>
              </w:rPr>
              <w:t>客观分</w:t>
            </w:r>
          </w:p>
        </w:tc>
        <w:tc>
          <w:tcPr>
            <w:tcW w:w="632" w:type="pct"/>
            <w:vAlign w:val="center"/>
          </w:tcPr>
          <w:p>
            <w:pPr>
              <w:jc w:val="center"/>
              <w:rPr>
                <w:rFonts w:ascii="宋体" w:hAnsi="宋体" w:cs="宋体"/>
                <w:bCs/>
                <w:sz w:val="24"/>
                <w:szCs w:val="22"/>
              </w:rPr>
            </w:pPr>
            <w:r>
              <w:rPr>
                <w:rFonts w:hint="eastAsia" w:ascii="宋体" w:hAnsi="宋体" w:cs="宋体"/>
                <w:bCs/>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vAlign w:val="center"/>
          </w:tcPr>
          <w:p>
            <w:pPr>
              <w:jc w:val="center"/>
              <w:rPr>
                <w:rFonts w:hint="default" w:ascii="宋体" w:hAnsi="宋体" w:eastAsia="宋体" w:cs="宋体"/>
                <w:bCs/>
                <w:sz w:val="24"/>
                <w:lang w:val="en-US" w:eastAsia="zh-CN"/>
              </w:rPr>
            </w:pPr>
            <w:r>
              <w:rPr>
                <w:rFonts w:hint="eastAsia" w:ascii="宋体" w:hAnsi="宋体" w:cs="宋体"/>
                <w:bCs/>
                <w:sz w:val="24"/>
                <w:lang w:val="en-US" w:eastAsia="zh-CN"/>
              </w:rPr>
              <w:t>22</w:t>
            </w:r>
          </w:p>
        </w:tc>
        <w:tc>
          <w:tcPr>
            <w:tcW w:w="3047" w:type="pct"/>
          </w:tcPr>
          <w:p>
            <w:pPr>
              <w:spacing w:line="360" w:lineRule="auto"/>
              <w:outlineLvl w:val="0"/>
              <w:rPr>
                <w:rFonts w:ascii="宋体" w:hAnsi="宋体" w:cs="宋体"/>
                <w:bCs/>
                <w:sz w:val="24"/>
              </w:rPr>
            </w:pPr>
            <w:r>
              <w:rPr>
                <w:rFonts w:hint="eastAsia" w:ascii="宋体" w:hAnsi="宋体" w:cs="宋体"/>
                <w:bCs/>
                <w:sz w:val="24"/>
              </w:rPr>
              <w:t>有效投标报价的最低价作为评标基准价，其最低报价为满分；按［投标报价得分=（评标基准价/投标报价）*</w:t>
            </w:r>
            <w:r>
              <w:rPr>
                <w:rFonts w:hint="eastAsia" w:ascii="宋体" w:hAnsi="宋体" w:cs="宋体"/>
                <w:bCs/>
                <w:sz w:val="24"/>
                <w:lang w:val="en-US" w:eastAsia="zh-CN"/>
              </w:rPr>
              <w:t>25</w:t>
            </w:r>
            <w:r>
              <w:rPr>
                <w:rFonts w:hint="eastAsia" w:ascii="宋体" w:hAnsi="宋体" w:cs="宋体"/>
                <w:bCs/>
                <w:sz w:val="24"/>
              </w:rPr>
              <w:t>］的计算公式计算。</w:t>
            </w:r>
          </w:p>
          <w:p>
            <w:pPr>
              <w:spacing w:line="360" w:lineRule="auto"/>
              <w:outlineLvl w:val="0"/>
              <w:rPr>
                <w:rFonts w:ascii="宋体" w:hAnsi="宋体" w:cs="宋体"/>
                <w:bCs/>
                <w:sz w:val="24"/>
              </w:rPr>
            </w:pPr>
            <w:r>
              <w:rPr>
                <w:rFonts w:hint="eastAsia" w:ascii="宋体" w:hAnsi="宋体" w:cs="宋体"/>
                <w:bCs/>
                <w:sz w:val="24"/>
              </w:rPr>
              <w:t>评标过程中，不得去掉报价中的最高报价和最低报价。</w:t>
            </w:r>
          </w:p>
          <w:p>
            <w:pPr>
              <w:spacing w:line="360" w:lineRule="auto"/>
              <w:outlineLvl w:val="0"/>
              <w:rPr>
                <w:rFonts w:ascii="宋体" w:hAnsi="宋体" w:cs="宋体"/>
                <w:bCs/>
                <w:sz w:val="24"/>
              </w:rPr>
            </w:pPr>
            <w:r>
              <w:rPr>
                <w:rFonts w:hint="eastAsia" w:ascii="宋体" w:hAnsi="宋体" w:cs="宋体"/>
                <w:bCs/>
                <w:sz w:val="24"/>
              </w:rPr>
              <w:t>因落实政府采购政策需要进行价格调整的，以调整后的价格计算评标基准价和投标报价。</w:t>
            </w:r>
          </w:p>
        </w:tc>
        <w:tc>
          <w:tcPr>
            <w:tcW w:w="402" w:type="pct"/>
            <w:vAlign w:val="center"/>
          </w:tcPr>
          <w:p>
            <w:pPr>
              <w:spacing w:line="360" w:lineRule="auto"/>
              <w:ind w:firstLine="120" w:firstLineChars="50"/>
              <w:jc w:val="center"/>
              <w:outlineLvl w:val="0"/>
              <w:rPr>
                <w:rFonts w:hint="default" w:ascii="宋体" w:hAnsi="宋体" w:eastAsia="宋体" w:cs="宋体"/>
                <w:bCs/>
                <w:sz w:val="24"/>
                <w:szCs w:val="22"/>
                <w:lang w:val="en-US" w:eastAsia="zh-CN"/>
              </w:rPr>
            </w:pPr>
            <w:r>
              <w:rPr>
                <w:rFonts w:hint="eastAsia" w:ascii="宋体" w:hAnsi="宋体" w:cs="宋体"/>
                <w:bCs/>
                <w:sz w:val="24"/>
                <w:lang w:val="en-US" w:eastAsia="zh-CN"/>
              </w:rPr>
              <w:t>25</w:t>
            </w:r>
          </w:p>
        </w:tc>
        <w:tc>
          <w:tcPr>
            <w:tcW w:w="487" w:type="pct"/>
            <w:vAlign w:val="center"/>
          </w:tcPr>
          <w:p>
            <w:pPr>
              <w:spacing w:line="360" w:lineRule="auto"/>
              <w:ind w:firstLine="120" w:firstLineChars="50"/>
              <w:jc w:val="center"/>
              <w:outlineLvl w:val="0"/>
              <w:rPr>
                <w:rFonts w:ascii="宋体" w:hAnsi="宋体" w:cs="宋体"/>
                <w:bCs/>
                <w:sz w:val="24"/>
                <w:szCs w:val="22"/>
              </w:rPr>
            </w:pPr>
            <w:r>
              <w:rPr>
                <w:rFonts w:hint="eastAsia" w:ascii="宋体" w:hAnsi="宋体" w:cs="宋体"/>
                <w:bCs/>
                <w:sz w:val="24"/>
              </w:rPr>
              <w:t>/</w:t>
            </w:r>
          </w:p>
        </w:tc>
        <w:tc>
          <w:tcPr>
            <w:tcW w:w="632" w:type="pct"/>
            <w:vAlign w:val="center"/>
          </w:tcPr>
          <w:p>
            <w:pPr>
              <w:jc w:val="center"/>
              <w:rPr>
                <w:rFonts w:ascii="宋体" w:hAnsi="宋体" w:cs="宋体"/>
                <w:bCs/>
                <w:sz w:val="24"/>
                <w:szCs w:val="22"/>
              </w:rPr>
            </w:pPr>
            <w:r>
              <w:rPr>
                <w:rFonts w:hint="eastAsia" w:ascii="宋体" w:hAnsi="宋体" w:cs="宋体"/>
                <w:bCs/>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7"/>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4.2.15</w:t>
      </w:r>
      <w:r>
        <w:rPr>
          <w:rFonts w:hint="eastAsia" w:asciiTheme="minorEastAsia" w:hAnsiTheme="minorEastAsia" w:eastAsiaTheme="minorEastAsia"/>
          <w:color w:val="auto"/>
          <w:sz w:val="24"/>
          <w:highlight w:val="none"/>
          <w:lang w:val="en-US" w:eastAsia="zh-CN"/>
        </w:rPr>
        <w:t>供应商IP、MAC、设备硬件信息一致；</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w:t>
      </w:r>
      <w:r>
        <w:rPr>
          <w:rFonts w:hint="eastAsia" w:ascii="宋体" w:hAnsi="宋体" w:cs="宋体"/>
          <w:kern w:val="0"/>
          <w:sz w:val="24"/>
        </w:rPr>
        <w:t>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9" w:name="第五部分"/>
      <w:bookmarkStart w:id="400"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7"/>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71" w:left="1417"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01" w:name="_Toc20421"/>
      <w:bookmarkStart w:id="402" w:name="_Toc28855"/>
      <w:bookmarkStart w:id="403" w:name="_Toc19273"/>
      <w:bookmarkStart w:id="404" w:name="_Toc22967"/>
      <w:bookmarkStart w:id="405" w:name="_Toc15367"/>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6" w:name="_Toc22185"/>
      <w:bookmarkStart w:id="407" w:name="_Toc6773"/>
      <w:bookmarkStart w:id="408" w:name="_Toc6311"/>
      <w:bookmarkStart w:id="409" w:name="_Toc2918"/>
      <w:bookmarkStart w:id="410" w:name="_Toc18585"/>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11" w:name="_Toc4929"/>
      <w:bookmarkStart w:id="412" w:name="_Toc5635"/>
      <w:bookmarkStart w:id="413" w:name="_Toc13918"/>
      <w:bookmarkStart w:id="414" w:name="_Toc21124"/>
      <w:bookmarkStart w:id="415"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11"/>
      <w:bookmarkEnd w:id="412"/>
      <w:bookmarkEnd w:id="413"/>
      <w:bookmarkEnd w:id="414"/>
      <w:bookmarkEnd w:id="415"/>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6" w:name="_Toc14993"/>
      <w:bookmarkStart w:id="417" w:name="_Toc26916"/>
      <w:bookmarkStart w:id="418" w:name="_Toc30506"/>
      <w:bookmarkStart w:id="419" w:name="_Toc30158"/>
      <w:bookmarkStart w:id="420"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7"/>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6"/>
    <w:bookmarkEnd w:id="417"/>
    <w:bookmarkEnd w:id="418"/>
    <w:bookmarkEnd w:id="419"/>
    <w:bookmarkEnd w:id="420"/>
    <w:p>
      <w:pPr>
        <w:pStyle w:val="957"/>
        <w:spacing w:before="0" w:beforeAutospacing="0" w:after="0" w:afterAutospacing="0" w:line="360" w:lineRule="auto"/>
        <w:ind w:firstLine="480"/>
        <w:rPr>
          <w:b/>
        </w:rPr>
      </w:pPr>
      <w:bookmarkStart w:id="421" w:name="_Toc10340"/>
      <w:bookmarkStart w:id="422" w:name="_Toc1814"/>
      <w:bookmarkStart w:id="423" w:name="_Toc22618"/>
      <w:bookmarkStart w:id="424" w:name="_Toc3625"/>
      <w:bookmarkStart w:id="425" w:name="_Toc8772"/>
      <w:bookmarkStart w:id="426" w:name="_Toc11108"/>
      <w:bookmarkStart w:id="427" w:name="_Toc31421"/>
      <w:bookmarkStart w:id="428" w:name="_Toc4760"/>
      <w:r>
        <w:rPr>
          <w:rFonts w:hint="eastAsia"/>
          <w:b/>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1.4.1履约保证金的</w:t>
      </w:r>
      <w:r>
        <w:rPr>
          <w:rFonts w:hint="eastAsia" w:ascii="宋体" w:hAnsi="宋体" w:cs="宋体"/>
          <w:kern w:val="0"/>
          <w:sz w:val="24"/>
        </w:rPr>
        <w:t>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7"/>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9" w:name="_Toc2375"/>
      <w:bookmarkStart w:id="430" w:name="_Toc5698"/>
      <w:bookmarkStart w:id="431" w:name="_Toc8586"/>
      <w:bookmarkStart w:id="432" w:name="_Toc3079"/>
      <w:bookmarkStart w:id="433"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7"/>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4" w:name="_Toc32454"/>
      <w:bookmarkStart w:id="435" w:name="_Toc18683"/>
      <w:bookmarkStart w:id="436" w:name="_Toc9497"/>
      <w:bookmarkStart w:id="437" w:name="_Toc30329"/>
      <w:bookmarkStart w:id="438"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pPr>
        <w:spacing w:line="560" w:lineRule="exact"/>
        <w:ind w:firstLine="482" w:firstLineChars="200"/>
        <w:outlineLvl w:val="0"/>
        <w:rPr>
          <w:rFonts w:ascii="宋体" w:hAnsi="宋体" w:cs="宋体"/>
          <w:b/>
          <w:sz w:val="24"/>
        </w:rPr>
      </w:pPr>
      <w:bookmarkStart w:id="439" w:name="_Toc16021"/>
      <w:bookmarkStart w:id="440" w:name="_Toc15583"/>
      <w:bookmarkStart w:id="441" w:name="_Toc28375"/>
      <w:r>
        <w:rPr>
          <w:rFonts w:hint="eastAsia" w:ascii="宋体" w:hAnsi="宋体" w:cs="宋体"/>
          <w:b/>
          <w:sz w:val="24"/>
        </w:rPr>
        <w:t>1.9合同争议的解决</w:t>
      </w:r>
      <w:bookmarkEnd w:id="439"/>
      <w:bookmarkEnd w:id="440"/>
      <w:bookmarkEnd w:id="441"/>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42" w:name="_Toc15322"/>
      <w:bookmarkStart w:id="443" w:name="_Toc11173"/>
      <w:bookmarkStart w:id="444" w:name="_Toc7245"/>
      <w:r>
        <w:rPr>
          <w:rFonts w:hint="eastAsia" w:ascii="宋体" w:hAnsi="宋体" w:cs="宋体"/>
          <w:b/>
          <w:sz w:val="24"/>
        </w:rPr>
        <w:t>2.0 合同生效</w:t>
      </w:r>
      <w:bookmarkEnd w:id="442"/>
      <w:bookmarkEnd w:id="443"/>
      <w:bookmarkEnd w:id="444"/>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5" w:name="_Toc19680"/>
      <w:bookmarkStart w:id="446" w:name="_Toc31297"/>
      <w:bookmarkStart w:id="447" w:name="_Toc14021"/>
      <w:bookmarkStart w:id="448" w:name="_Toc5228"/>
      <w:bookmarkStart w:id="449" w:name="_Toc25079"/>
      <w:r>
        <w:rPr>
          <w:rFonts w:ascii="宋体" w:hAnsi="宋体"/>
          <w:b/>
          <w:sz w:val="24"/>
        </w:rPr>
        <w:t>2.1 定义</w:t>
      </w:r>
      <w:bookmarkEnd w:id="445"/>
      <w:bookmarkEnd w:id="446"/>
      <w:bookmarkEnd w:id="447"/>
      <w:bookmarkEnd w:id="448"/>
      <w:bookmarkEnd w:id="449"/>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50" w:name="_Toc16752"/>
      <w:bookmarkStart w:id="451" w:name="_Toc19539"/>
      <w:bookmarkStart w:id="452" w:name="_Toc3769"/>
      <w:bookmarkStart w:id="453" w:name="_Toc23289"/>
      <w:bookmarkStart w:id="454" w:name="_Toc31402"/>
      <w:r>
        <w:rPr>
          <w:rFonts w:ascii="宋体" w:hAnsi="宋体"/>
          <w:b/>
          <w:sz w:val="24"/>
        </w:rPr>
        <w:t>2.2 技术规范</w:t>
      </w:r>
      <w:bookmarkEnd w:id="450"/>
      <w:bookmarkEnd w:id="451"/>
      <w:bookmarkEnd w:id="452"/>
      <w:bookmarkEnd w:id="453"/>
      <w:bookmarkEnd w:id="454"/>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5" w:name="_Toc12412"/>
      <w:bookmarkStart w:id="456" w:name="_Toc4133"/>
      <w:bookmarkStart w:id="457" w:name="_Toc9161"/>
      <w:bookmarkStart w:id="458" w:name="_Toc13673"/>
      <w:bookmarkStart w:id="459" w:name="_Toc27945"/>
      <w:r>
        <w:rPr>
          <w:rFonts w:ascii="宋体" w:hAnsi="宋体"/>
          <w:b/>
          <w:sz w:val="24"/>
        </w:rPr>
        <w:t>2.3 知识产权</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60" w:name="_Toc31233"/>
      <w:bookmarkStart w:id="461" w:name="_Toc22011"/>
      <w:bookmarkStart w:id="462" w:name="_Toc15447"/>
      <w:bookmarkStart w:id="463" w:name="_Toc32670"/>
      <w:bookmarkStart w:id="464" w:name="_Toc26555"/>
      <w:r>
        <w:rPr>
          <w:rFonts w:ascii="宋体" w:hAnsi="宋体"/>
          <w:b/>
          <w:sz w:val="24"/>
        </w:rPr>
        <w:t>2.5 结算方式和付款条件</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5" w:name="_Toc30507"/>
      <w:bookmarkStart w:id="466" w:name="_Toc13467"/>
      <w:bookmarkStart w:id="467" w:name="_Toc16163"/>
      <w:bookmarkStart w:id="468" w:name="_Toc18990"/>
      <w:bookmarkStart w:id="469" w:name="_Toc13154"/>
      <w:r>
        <w:rPr>
          <w:rFonts w:ascii="宋体" w:hAnsi="宋体"/>
          <w:b/>
          <w:sz w:val="24"/>
        </w:rPr>
        <w:t>2.6 技术资料和保密义务</w:t>
      </w:r>
      <w:bookmarkEnd w:id="465"/>
      <w:bookmarkEnd w:id="466"/>
      <w:bookmarkEnd w:id="467"/>
      <w:bookmarkEnd w:id="468"/>
      <w:bookmarkEnd w:id="469"/>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70" w:name="_Toc19069"/>
      <w:r>
        <w:rPr>
          <w:rFonts w:ascii="宋体" w:hAnsi="宋体"/>
          <w:b/>
          <w:sz w:val="24"/>
        </w:rPr>
        <w:t xml:space="preserve">2.7 </w:t>
      </w:r>
      <w:r>
        <w:rPr>
          <w:rFonts w:hint="eastAsia" w:ascii="宋体" w:hAnsi="宋体"/>
          <w:b/>
          <w:sz w:val="24"/>
        </w:rPr>
        <w:t>质量保证</w:t>
      </w:r>
      <w:bookmarkEnd w:id="470"/>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71" w:name="_Toc22267"/>
      <w:r>
        <w:rPr>
          <w:rFonts w:ascii="宋体" w:hAnsi="宋体"/>
          <w:b/>
          <w:sz w:val="24"/>
        </w:rPr>
        <w:t xml:space="preserve">2.8 </w:t>
      </w:r>
      <w:r>
        <w:rPr>
          <w:rFonts w:hint="eastAsia" w:ascii="宋体" w:hAnsi="宋体"/>
          <w:b/>
          <w:sz w:val="24"/>
        </w:rPr>
        <w:t>延迟履行</w:t>
      </w:r>
      <w:bookmarkEnd w:id="471"/>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72" w:name="_Toc10611"/>
      <w:r>
        <w:rPr>
          <w:rFonts w:ascii="宋体" w:hAnsi="宋体"/>
          <w:b/>
          <w:sz w:val="24"/>
        </w:rPr>
        <w:t xml:space="preserve">2.9 </w:t>
      </w:r>
      <w:r>
        <w:rPr>
          <w:rFonts w:hint="eastAsia" w:ascii="宋体" w:hAnsi="宋体"/>
          <w:b/>
          <w:sz w:val="24"/>
        </w:rPr>
        <w:t>合同变更</w:t>
      </w:r>
      <w:bookmarkEnd w:id="472"/>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3" w:name="_Toc42"/>
      <w:bookmarkStart w:id="474" w:name="_Toc23368"/>
      <w:bookmarkStart w:id="475" w:name="_Toc10663"/>
      <w:bookmarkStart w:id="476" w:name="_Toc21830"/>
      <w:bookmarkStart w:id="477" w:name="_Toc26689"/>
      <w:r>
        <w:rPr>
          <w:rFonts w:ascii="宋体" w:hAnsi="宋体"/>
          <w:b/>
          <w:sz w:val="24"/>
        </w:rPr>
        <w:t>2.10 合同转让和分包</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8" w:name="_Toc25571"/>
      <w:bookmarkStart w:id="479" w:name="_Toc4720"/>
      <w:bookmarkStart w:id="480" w:name="_Toc26633"/>
      <w:bookmarkStart w:id="481" w:name="_Toc32494"/>
      <w:bookmarkStart w:id="482" w:name="_Toc14371"/>
      <w:r>
        <w:rPr>
          <w:rFonts w:ascii="宋体" w:hAnsi="宋体"/>
          <w:b/>
          <w:sz w:val="24"/>
        </w:rPr>
        <w:t>2.11 不可抗力</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3" w:name="_Toc25783"/>
      <w:bookmarkStart w:id="484" w:name="_Toc24465"/>
      <w:bookmarkStart w:id="485" w:name="_Toc23854"/>
      <w:bookmarkStart w:id="486" w:name="_Toc14115"/>
      <w:bookmarkStart w:id="487" w:name="_Toc3638"/>
      <w:r>
        <w:rPr>
          <w:rFonts w:ascii="宋体" w:hAnsi="宋体"/>
          <w:b/>
          <w:sz w:val="24"/>
        </w:rPr>
        <w:t>2.12 税费</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8" w:name="_Toc26883"/>
      <w:bookmarkStart w:id="489" w:name="_Toc25525"/>
      <w:bookmarkStart w:id="490" w:name="_Toc30105"/>
      <w:bookmarkStart w:id="491" w:name="_Toc14814"/>
      <w:bookmarkStart w:id="492" w:name="_Toc7315"/>
      <w:r>
        <w:rPr>
          <w:rFonts w:ascii="宋体" w:hAnsi="宋体"/>
          <w:b/>
          <w:sz w:val="24"/>
        </w:rPr>
        <w:t>2.13 乙方破产</w:t>
      </w:r>
      <w:bookmarkEnd w:id="488"/>
      <w:bookmarkEnd w:id="489"/>
      <w:bookmarkEnd w:id="490"/>
      <w:bookmarkEnd w:id="491"/>
      <w:bookmarkEnd w:id="492"/>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3" w:name="_Toc2016"/>
      <w:bookmarkStart w:id="494" w:name="_Toc1123"/>
      <w:bookmarkStart w:id="495" w:name="_Toc23323"/>
      <w:r>
        <w:rPr>
          <w:rFonts w:ascii="宋体" w:hAnsi="宋体"/>
          <w:b/>
          <w:sz w:val="24"/>
        </w:rPr>
        <w:t>2.14 合同中止、终止</w:t>
      </w:r>
      <w:bookmarkEnd w:id="493"/>
      <w:bookmarkEnd w:id="494"/>
      <w:bookmarkEnd w:id="495"/>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6" w:name="_Toc17363"/>
      <w:bookmarkStart w:id="497" w:name="_Toc14525"/>
      <w:bookmarkStart w:id="498" w:name="_Toc1969"/>
      <w:r>
        <w:rPr>
          <w:rFonts w:ascii="宋体" w:hAnsi="宋体"/>
          <w:b/>
          <w:sz w:val="24"/>
        </w:rPr>
        <w:t>2.15 检验和验收</w:t>
      </w:r>
      <w:bookmarkEnd w:id="496"/>
      <w:bookmarkEnd w:id="497"/>
      <w:bookmarkEnd w:id="498"/>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9" w:name="_Toc2308"/>
      <w:bookmarkStart w:id="500" w:name="_Toc12666"/>
      <w:bookmarkStart w:id="501" w:name="_Toc25198"/>
      <w:bookmarkStart w:id="502" w:name="_Toc9808"/>
      <w:bookmarkStart w:id="503" w:name="_Toc31892"/>
      <w:r>
        <w:rPr>
          <w:rFonts w:ascii="宋体" w:hAnsi="宋体"/>
          <w:b/>
          <w:sz w:val="24"/>
        </w:rPr>
        <w:t>2.16 通知和送达</w:t>
      </w:r>
      <w:bookmarkEnd w:id="499"/>
      <w:bookmarkEnd w:id="500"/>
      <w:bookmarkEnd w:id="501"/>
      <w:bookmarkEnd w:id="502"/>
      <w:bookmarkEnd w:id="503"/>
    </w:p>
    <w:p>
      <w:pPr>
        <w:spacing w:line="560" w:lineRule="exact"/>
        <w:ind w:firstLine="480" w:firstLineChars="200"/>
        <w:rPr>
          <w:rFonts w:ascii="宋体" w:hAnsi="宋体"/>
          <w:sz w:val="24"/>
        </w:rPr>
      </w:pPr>
      <w:bookmarkStart w:id="504" w:name="_Toc27674"/>
      <w:bookmarkStart w:id="50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4"/>
      <w:bookmarkEnd w:id="505"/>
    </w:p>
    <w:p>
      <w:pPr>
        <w:spacing w:line="560" w:lineRule="exact"/>
        <w:ind w:firstLine="482" w:firstLineChars="200"/>
        <w:outlineLvl w:val="0"/>
        <w:rPr>
          <w:rFonts w:ascii="宋体" w:hAnsi="宋体"/>
          <w:b/>
          <w:sz w:val="24"/>
        </w:rPr>
      </w:pPr>
      <w:bookmarkStart w:id="506" w:name="_Toc28906"/>
      <w:bookmarkStart w:id="507" w:name="_Toc12254"/>
      <w:bookmarkStart w:id="508" w:name="_Toc5063"/>
      <w:bookmarkStart w:id="509" w:name="_Toc20808"/>
      <w:bookmarkStart w:id="510"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6"/>
      <w:bookmarkEnd w:id="507"/>
      <w:bookmarkEnd w:id="508"/>
      <w:bookmarkEnd w:id="509"/>
      <w:bookmarkEnd w:id="510"/>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11" w:name="_Toc30599"/>
      <w:bookmarkStart w:id="512" w:name="_Toc4355"/>
      <w:bookmarkStart w:id="513" w:name="_Toc18540"/>
      <w:r>
        <w:rPr>
          <w:rFonts w:hint="eastAsia" w:ascii="宋体" w:hAnsi="宋体" w:cs="宋体"/>
          <w:b/>
          <w:sz w:val="24"/>
        </w:rPr>
        <w:t>2.18 计量单位</w:t>
      </w:r>
      <w:bookmarkEnd w:id="511"/>
      <w:bookmarkEnd w:id="512"/>
      <w:bookmarkEnd w:id="51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4" w:name="_Toc331685784"/>
      <w:r>
        <w:rPr>
          <w:rFonts w:hint="eastAsia" w:ascii="宋体" w:hAnsi="宋体" w:cs="宋体"/>
          <w:b/>
          <w:sz w:val="24"/>
        </w:rPr>
        <w:t xml:space="preserve"> </w:t>
      </w:r>
      <w:bookmarkEnd w:id="514"/>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26"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26"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pPr>
              <w:spacing w:line="360" w:lineRule="auto"/>
              <w:rPr>
                <w:rFonts w:ascii="宋体" w:hAnsi="宋体" w:cs="宋体"/>
                <w:sz w:val="24"/>
              </w:rPr>
            </w:pPr>
            <w:r>
              <w:rPr>
                <w:rFonts w:hint="eastAsia" w:ascii="宋体" w:hAnsi="宋体" w:cs="宋体"/>
                <w:snapToGrid w:val="0"/>
                <w:kern w:val="0"/>
                <w:sz w:val="24"/>
                <w:highlight w:val="none"/>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26"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426" w:type="pct"/>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napToGrid w:val="0"/>
                <w:kern w:val="0"/>
                <w:sz w:val="24"/>
                <w:highlight w:val="none"/>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426" w:type="pct"/>
            <w:vAlign w:val="center"/>
          </w:tcPr>
          <w:p>
            <w:pPr>
              <w:spacing w:line="360" w:lineRule="auto"/>
              <w:rPr>
                <w:rFonts w:ascii="宋体" w:hAnsi="宋体" w:eastAsia="宋体" w:cs="宋体"/>
                <w:kern w:val="2"/>
                <w:sz w:val="24"/>
                <w:szCs w:val="24"/>
                <w:highlight w:val="none"/>
                <w:lang w:val="en-US" w:eastAsia="zh-CN" w:bidi="ar-SA"/>
              </w:rPr>
            </w:pPr>
            <w:r>
              <w:rPr>
                <w:rFonts w:hint="eastAsia" w:ascii="宋体" w:hAnsi="宋体" w:cs="宋体"/>
                <w:sz w:val="24"/>
              </w:rPr>
              <w:t>承包服务期为两年，自2025年1月1日至2026年12月31日。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426" w:type="pct"/>
            <w:vAlign w:val="center"/>
          </w:tcPr>
          <w:p>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4426" w:type="pct"/>
            <w:vAlign w:val="center"/>
          </w:tcPr>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4426" w:type="pct"/>
            <w:vAlign w:val="center"/>
          </w:tcPr>
          <w:p>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26"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26"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26" w:type="pct"/>
            <w:vAlign w:val="center"/>
          </w:tcPr>
          <w:p>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26" w:type="pct"/>
            <w:vAlign w:val="center"/>
          </w:tcPr>
          <w:p>
            <w:pPr>
              <w:spacing w:line="360" w:lineRule="auto"/>
              <w:ind w:left="-420" w:leftChars="-200" w:right="-420" w:rightChars="-200"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26"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ascii="宋体" w:hAnsi="宋体" w:cs="宋体"/>
                <w:sz w:val="24"/>
                <w:highlight w:val="none"/>
              </w:rPr>
            </w:pPr>
            <w:r>
              <w:rPr>
                <w:rFonts w:hint="eastAsia" w:ascii="宋体" w:hAnsi="宋体" w:cs="宋体"/>
                <w:snapToGrid w:val="0"/>
                <w:kern w:val="0"/>
                <w:sz w:val="24"/>
                <w:highlight w:val="none"/>
              </w:rPr>
              <w:t>物业服务费用自乙方实际服务之日起算，在合同签订后5个工作日内支付当年合同金额的25%作为预付款，第二次付款时间为当年7月10日前支付合同总价的25%，第三次付款时间为当年10月10日前支付合同总价的25%，剩余物业服务费甲方按有关规定考核后，原则上于当年12月25日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26" w:type="pct"/>
            <w:vAlign w:val="center"/>
          </w:tcPr>
          <w:p>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26" w:type="pct"/>
            <w:vAlign w:val="center"/>
          </w:tcPr>
          <w:p>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服务考核办法及招标文件中记载的采购需求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26" w:type="pct"/>
          </w:tcPr>
          <w:p>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both"/>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color w:val="auto"/>
          <w:sz w:val="24"/>
          <w:lang w:val="en-US" w:eastAsia="zh-CN"/>
        </w:rPr>
        <w:t>、杭</w:t>
      </w:r>
      <w:r>
        <w:rPr>
          <w:rFonts w:hint="eastAsia" w:ascii="宋体" w:hAnsi="宋体" w:cs="宋体"/>
          <w:sz w:val="24"/>
          <w:lang w:val="en-US" w:eastAsia="zh-CN"/>
        </w:rPr>
        <w:t>州市公共资源交易中心临安分中心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（项目名称）【招标编号：（采购编号）】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both"/>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pPr>
        <w:widowControl/>
        <w:spacing w:line="360" w:lineRule="auto"/>
        <w:ind w:firstLine="482" w:firstLineChars="200"/>
        <w:jc w:val="left"/>
        <w:rPr>
          <w:rFonts w:ascii="宋体" w:hAnsi="宋体" w:cs="宋体"/>
          <w:b/>
          <w:sz w:val="24"/>
        </w:rPr>
      </w:pPr>
      <w:r>
        <w:rPr>
          <w:rFonts w:hint="eastAsia" w:ascii="宋体" w:hAnsi="宋体" w:cs="宋体"/>
          <w:b/>
          <w:color w:val="auto"/>
          <w:sz w:val="24"/>
        </w:rPr>
        <w:t>[以联合体形式投标的，提供联合协议（附件5）；本项目</w:t>
      </w:r>
      <w:r>
        <w:rPr>
          <w:rFonts w:hint="eastAsia" w:ascii="宋体" w:hAnsi="宋体" w:cs="宋体"/>
          <w:b/>
          <w:sz w:val="24"/>
        </w:rPr>
        <w:t>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w:t>
      </w:r>
      <w:r>
        <w:rPr>
          <w:rFonts w:hint="eastAsia" w:ascii="宋体" w:hAnsi="宋体" w:cs="宋体"/>
          <w:sz w:val="24"/>
        </w:rPr>
        <w:t>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5" w:name="_Hlk101257010"/>
      <w:r>
        <w:rPr>
          <w:rFonts w:hint="eastAsia" w:ascii="宋体" w:hAnsi="宋体" w:cs="宋体"/>
          <w:color w:val="auto"/>
          <w:sz w:val="24"/>
        </w:rPr>
        <w:t>（如果有)</w:t>
      </w:r>
      <w:bookmarkEnd w:id="51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7"/>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pStyle w:val="5"/>
        <w:rPr>
          <w:rFonts w:ascii="宋体" w:hAnsi="宋体" w:cs="宋体"/>
          <w:b/>
          <w:kern w:val="0"/>
          <w:sz w:val="32"/>
          <w:szCs w:val="32"/>
          <w:lang w:val="zh-CN"/>
        </w:rPr>
      </w:pPr>
    </w:p>
    <w:p>
      <w:pPr>
        <w:pStyle w:val="4"/>
        <w:rPr>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w:t>
      </w:r>
      <w:r>
        <w:rPr>
          <w:rFonts w:hint="eastAsia" w:ascii="宋体" w:hAnsi="宋体" w:cs="宋体"/>
          <w:b/>
          <w:color w:val="auto"/>
          <w:kern w:val="0"/>
          <w:sz w:val="32"/>
          <w:szCs w:val="32"/>
        </w:rPr>
        <w:t>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w:t>
      </w:r>
      <w:r>
        <w:rPr>
          <w:rFonts w:hint="eastAsia" w:ascii="宋体" w:hAnsi="宋体" w:cs="宋体"/>
          <w:kern w:val="0"/>
          <w:sz w:val="24"/>
          <w:lang w:val="zh-CN"/>
        </w:rPr>
        <w:t>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w:t>
      </w:r>
      <w:r>
        <w:rPr>
          <w:rFonts w:hint="eastAsia" w:ascii="宋体" w:hAnsi="宋体" w:cs="宋体"/>
          <w:sz w:val="24"/>
        </w:rPr>
        <w:t>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1"/>
        <w:gridCol w:w="1761"/>
        <w:gridCol w:w="2141"/>
        <w:gridCol w:w="2825"/>
        <w:gridCol w:w="2042"/>
        <w:gridCol w:w="167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021"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761"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141"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825"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042" w:type="dxa"/>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eastAsia="zh-CN"/>
              </w:rPr>
              <w:t>人数</w:t>
            </w:r>
          </w:p>
        </w:tc>
        <w:tc>
          <w:tcPr>
            <w:tcW w:w="1673" w:type="dxa"/>
          </w:tcPr>
          <w:p>
            <w:pPr>
              <w:spacing w:line="360" w:lineRule="auto"/>
              <w:jc w:val="center"/>
              <w:rPr>
                <w:rFonts w:ascii="宋体" w:hAnsi="宋体" w:cs="宋体"/>
                <w:b/>
                <w:sz w:val="24"/>
              </w:rPr>
            </w:pPr>
          </w:p>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报价</w:t>
            </w:r>
          </w:p>
        </w:tc>
        <w:tc>
          <w:tcPr>
            <w:tcW w:w="1854"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21"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青山湖科技城法庭物业</w:t>
            </w:r>
          </w:p>
        </w:tc>
        <w:tc>
          <w:tcPr>
            <w:tcW w:w="1761" w:type="dxa"/>
            <w:vAlign w:val="center"/>
          </w:tcPr>
          <w:p>
            <w:pPr>
              <w:snapToGrid w:val="0"/>
              <w:spacing w:line="360" w:lineRule="auto"/>
              <w:jc w:val="center"/>
              <w:rPr>
                <w:rFonts w:ascii="宋体" w:hAnsi="宋体" w:cs="宋体"/>
                <w:color w:val="auto"/>
                <w:sz w:val="24"/>
                <w:highlight w:val="none"/>
              </w:rPr>
            </w:pPr>
          </w:p>
        </w:tc>
        <w:tc>
          <w:tcPr>
            <w:tcW w:w="2141" w:type="dxa"/>
            <w:vAlign w:val="center"/>
          </w:tcPr>
          <w:p>
            <w:pPr>
              <w:snapToGrid w:val="0"/>
              <w:spacing w:line="360" w:lineRule="auto"/>
              <w:jc w:val="center"/>
              <w:rPr>
                <w:rFonts w:ascii="宋体" w:hAnsi="宋体" w:cs="宋体"/>
                <w:color w:val="auto"/>
                <w:sz w:val="24"/>
                <w:highlight w:val="none"/>
              </w:rPr>
            </w:pPr>
          </w:p>
        </w:tc>
        <w:tc>
          <w:tcPr>
            <w:tcW w:w="2825" w:type="dxa"/>
            <w:vAlign w:val="center"/>
          </w:tcPr>
          <w:p>
            <w:pPr>
              <w:snapToGrid w:val="0"/>
              <w:spacing w:line="240" w:lineRule="auto"/>
              <w:jc w:val="left"/>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b w:val="0"/>
                <w:bCs w:val="0"/>
                <w:snapToGrid/>
                <w:color w:val="auto"/>
                <w:kern w:val="2"/>
                <w:sz w:val="24"/>
                <w:szCs w:val="24"/>
              </w:rPr>
              <w:t>承包服务期为两年，自2025年1月1日至2026年12月31</w:t>
            </w:r>
            <w:r>
              <w:rPr>
                <w:rFonts w:hint="eastAsia" w:asciiTheme="minorEastAsia" w:hAnsiTheme="minorEastAsia" w:eastAsiaTheme="minorEastAsia"/>
                <w:b w:val="0"/>
                <w:bCs w:val="0"/>
                <w:snapToGrid/>
                <w:color w:val="auto"/>
                <w:kern w:val="2"/>
                <w:sz w:val="24"/>
                <w:szCs w:val="24"/>
                <w:lang w:eastAsia="zh-CN"/>
              </w:rPr>
              <w:t>。</w:t>
            </w:r>
          </w:p>
        </w:tc>
        <w:tc>
          <w:tcPr>
            <w:tcW w:w="2042" w:type="dxa"/>
            <w:vAlign w:val="center"/>
          </w:tcPr>
          <w:p>
            <w:pPr>
              <w:spacing w:line="360" w:lineRule="auto"/>
              <w:jc w:val="center"/>
              <w:rPr>
                <w:rFonts w:ascii="宋体" w:hAnsi="宋体" w:cs="宋体"/>
                <w:color w:val="auto"/>
                <w:sz w:val="24"/>
                <w:highlight w:val="none"/>
              </w:rPr>
            </w:pPr>
          </w:p>
        </w:tc>
        <w:tc>
          <w:tcPr>
            <w:tcW w:w="1673" w:type="dxa"/>
          </w:tcPr>
          <w:p>
            <w:pPr>
              <w:spacing w:line="360" w:lineRule="auto"/>
              <w:jc w:val="center"/>
              <w:rPr>
                <w:rFonts w:ascii="宋体" w:hAnsi="宋体" w:cs="宋体"/>
                <w:color w:val="auto"/>
                <w:sz w:val="24"/>
                <w:highlight w:val="none"/>
              </w:rPr>
            </w:pPr>
            <w:bookmarkStart w:id="525" w:name="_GoBack"/>
            <w:bookmarkEnd w:id="525"/>
          </w:p>
        </w:tc>
        <w:tc>
          <w:tcPr>
            <w:tcW w:w="185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21"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院机关及其余派出法庭物业</w:t>
            </w:r>
          </w:p>
        </w:tc>
        <w:tc>
          <w:tcPr>
            <w:tcW w:w="1761" w:type="dxa"/>
            <w:vAlign w:val="center"/>
          </w:tcPr>
          <w:p>
            <w:pPr>
              <w:snapToGrid w:val="0"/>
              <w:spacing w:line="360" w:lineRule="auto"/>
              <w:jc w:val="center"/>
              <w:rPr>
                <w:rFonts w:ascii="宋体" w:hAnsi="宋体" w:cs="宋体"/>
                <w:color w:val="auto"/>
                <w:sz w:val="24"/>
                <w:highlight w:val="none"/>
              </w:rPr>
            </w:pPr>
          </w:p>
        </w:tc>
        <w:tc>
          <w:tcPr>
            <w:tcW w:w="2141" w:type="dxa"/>
            <w:vAlign w:val="center"/>
          </w:tcPr>
          <w:p>
            <w:pPr>
              <w:snapToGrid w:val="0"/>
              <w:spacing w:line="360" w:lineRule="auto"/>
              <w:jc w:val="center"/>
              <w:rPr>
                <w:rFonts w:ascii="宋体" w:hAnsi="宋体" w:cs="宋体"/>
                <w:color w:val="auto"/>
                <w:sz w:val="24"/>
                <w:highlight w:val="none"/>
              </w:rPr>
            </w:pPr>
          </w:p>
        </w:tc>
        <w:tc>
          <w:tcPr>
            <w:tcW w:w="2825" w:type="dxa"/>
            <w:vAlign w:val="center"/>
          </w:tcPr>
          <w:p>
            <w:pPr>
              <w:snapToGrid w:val="0"/>
              <w:spacing w:line="240" w:lineRule="auto"/>
              <w:jc w:val="left"/>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b w:val="0"/>
                <w:bCs w:val="0"/>
                <w:snapToGrid/>
                <w:color w:val="auto"/>
                <w:kern w:val="2"/>
                <w:sz w:val="24"/>
                <w:szCs w:val="24"/>
              </w:rPr>
              <w:t>承包服务期为两年，自2025年1月1日至2026年12月31日</w:t>
            </w:r>
            <w:r>
              <w:rPr>
                <w:rFonts w:hint="eastAsia" w:asciiTheme="minorEastAsia" w:hAnsiTheme="minorEastAsia" w:eastAsiaTheme="minorEastAsia"/>
                <w:b w:val="0"/>
                <w:bCs w:val="0"/>
                <w:snapToGrid/>
                <w:color w:val="auto"/>
                <w:kern w:val="2"/>
                <w:sz w:val="24"/>
                <w:szCs w:val="24"/>
                <w:lang w:eastAsia="zh-CN"/>
              </w:rPr>
              <w:t>。</w:t>
            </w:r>
          </w:p>
        </w:tc>
        <w:tc>
          <w:tcPr>
            <w:tcW w:w="2042" w:type="dxa"/>
            <w:vAlign w:val="center"/>
          </w:tcPr>
          <w:p>
            <w:pPr>
              <w:spacing w:line="360" w:lineRule="auto"/>
              <w:jc w:val="center"/>
              <w:rPr>
                <w:rFonts w:ascii="宋体" w:hAnsi="宋体" w:cs="宋体"/>
                <w:color w:val="auto"/>
                <w:sz w:val="24"/>
                <w:highlight w:val="none"/>
              </w:rPr>
            </w:pPr>
          </w:p>
        </w:tc>
        <w:tc>
          <w:tcPr>
            <w:tcW w:w="1673" w:type="dxa"/>
          </w:tcPr>
          <w:p>
            <w:pPr>
              <w:spacing w:line="360" w:lineRule="auto"/>
              <w:jc w:val="center"/>
              <w:rPr>
                <w:rFonts w:ascii="宋体" w:hAnsi="宋体" w:cs="宋体"/>
                <w:color w:val="auto"/>
                <w:sz w:val="24"/>
                <w:highlight w:val="none"/>
              </w:rPr>
            </w:pPr>
          </w:p>
        </w:tc>
        <w:tc>
          <w:tcPr>
            <w:tcW w:w="185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2021"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761" w:type="dxa"/>
            <w:vAlign w:val="center"/>
          </w:tcPr>
          <w:p>
            <w:pPr>
              <w:snapToGrid w:val="0"/>
              <w:spacing w:line="360" w:lineRule="auto"/>
              <w:jc w:val="center"/>
              <w:rPr>
                <w:rFonts w:ascii="宋体" w:hAnsi="宋体" w:cs="宋体"/>
                <w:color w:val="auto"/>
                <w:sz w:val="24"/>
                <w:highlight w:val="none"/>
              </w:rPr>
            </w:pPr>
          </w:p>
        </w:tc>
        <w:tc>
          <w:tcPr>
            <w:tcW w:w="2141" w:type="dxa"/>
            <w:vAlign w:val="center"/>
          </w:tcPr>
          <w:p>
            <w:pPr>
              <w:snapToGrid w:val="0"/>
              <w:spacing w:line="360" w:lineRule="auto"/>
              <w:jc w:val="center"/>
              <w:rPr>
                <w:rFonts w:ascii="宋体" w:hAnsi="宋体" w:cs="宋体"/>
                <w:color w:val="auto"/>
                <w:sz w:val="24"/>
                <w:highlight w:val="none"/>
              </w:rPr>
            </w:pPr>
          </w:p>
        </w:tc>
        <w:tc>
          <w:tcPr>
            <w:tcW w:w="2825" w:type="dxa"/>
            <w:vAlign w:val="center"/>
          </w:tcPr>
          <w:p>
            <w:pPr>
              <w:snapToGrid w:val="0"/>
              <w:spacing w:line="360" w:lineRule="auto"/>
              <w:jc w:val="center"/>
              <w:rPr>
                <w:rFonts w:ascii="宋体" w:hAnsi="宋体" w:cs="宋体"/>
                <w:color w:val="auto"/>
                <w:sz w:val="24"/>
                <w:highlight w:val="none"/>
              </w:rPr>
            </w:pPr>
          </w:p>
        </w:tc>
        <w:tc>
          <w:tcPr>
            <w:tcW w:w="2042" w:type="dxa"/>
            <w:vAlign w:val="center"/>
          </w:tcPr>
          <w:p>
            <w:pPr>
              <w:spacing w:line="360" w:lineRule="auto"/>
              <w:jc w:val="center"/>
              <w:rPr>
                <w:rFonts w:ascii="宋体" w:hAnsi="宋体" w:cs="宋体"/>
                <w:color w:val="auto"/>
                <w:sz w:val="24"/>
                <w:highlight w:val="none"/>
              </w:rPr>
            </w:pPr>
          </w:p>
        </w:tc>
        <w:tc>
          <w:tcPr>
            <w:tcW w:w="1673" w:type="dxa"/>
          </w:tcPr>
          <w:p>
            <w:pPr>
              <w:spacing w:line="360" w:lineRule="auto"/>
              <w:jc w:val="center"/>
              <w:rPr>
                <w:rFonts w:ascii="宋体" w:hAnsi="宋体" w:cs="宋体"/>
                <w:color w:val="auto"/>
                <w:sz w:val="24"/>
                <w:highlight w:val="none"/>
              </w:rPr>
            </w:pPr>
          </w:p>
        </w:tc>
        <w:tc>
          <w:tcPr>
            <w:tcW w:w="185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2021" w:type="dxa"/>
            <w:vAlign w:val="center"/>
          </w:tcPr>
          <w:p>
            <w:pPr>
              <w:snapToGrid w:val="0"/>
              <w:spacing w:line="360" w:lineRule="auto"/>
              <w:jc w:val="center"/>
              <w:rPr>
                <w:rFonts w:ascii="宋体" w:hAnsi="宋体" w:cs="宋体"/>
                <w:color w:val="auto"/>
                <w:sz w:val="24"/>
                <w:highlight w:val="none"/>
              </w:rPr>
            </w:pPr>
          </w:p>
        </w:tc>
        <w:tc>
          <w:tcPr>
            <w:tcW w:w="1761" w:type="dxa"/>
            <w:vAlign w:val="center"/>
          </w:tcPr>
          <w:p>
            <w:pPr>
              <w:snapToGrid w:val="0"/>
              <w:spacing w:line="360" w:lineRule="auto"/>
              <w:jc w:val="center"/>
              <w:rPr>
                <w:rFonts w:ascii="宋体" w:hAnsi="宋体" w:cs="宋体"/>
                <w:color w:val="auto"/>
                <w:sz w:val="24"/>
                <w:highlight w:val="none"/>
              </w:rPr>
            </w:pPr>
          </w:p>
        </w:tc>
        <w:tc>
          <w:tcPr>
            <w:tcW w:w="2141" w:type="dxa"/>
            <w:vAlign w:val="center"/>
          </w:tcPr>
          <w:p>
            <w:pPr>
              <w:snapToGrid w:val="0"/>
              <w:spacing w:line="360" w:lineRule="auto"/>
              <w:jc w:val="center"/>
              <w:rPr>
                <w:rFonts w:ascii="宋体" w:hAnsi="宋体" w:cs="宋体"/>
                <w:color w:val="auto"/>
                <w:sz w:val="24"/>
                <w:highlight w:val="none"/>
              </w:rPr>
            </w:pPr>
          </w:p>
        </w:tc>
        <w:tc>
          <w:tcPr>
            <w:tcW w:w="2825" w:type="dxa"/>
            <w:vAlign w:val="center"/>
          </w:tcPr>
          <w:p>
            <w:pPr>
              <w:snapToGrid w:val="0"/>
              <w:spacing w:line="360" w:lineRule="auto"/>
              <w:jc w:val="center"/>
              <w:rPr>
                <w:rFonts w:ascii="宋体" w:hAnsi="宋体" w:cs="宋体"/>
                <w:color w:val="auto"/>
                <w:sz w:val="24"/>
                <w:highlight w:val="none"/>
              </w:rPr>
            </w:pPr>
          </w:p>
        </w:tc>
        <w:tc>
          <w:tcPr>
            <w:tcW w:w="2042" w:type="dxa"/>
            <w:vAlign w:val="center"/>
          </w:tcPr>
          <w:p>
            <w:pPr>
              <w:spacing w:line="360" w:lineRule="auto"/>
              <w:jc w:val="center"/>
              <w:rPr>
                <w:rFonts w:ascii="宋体" w:hAnsi="宋体" w:cs="宋体"/>
                <w:color w:val="auto"/>
                <w:sz w:val="24"/>
                <w:highlight w:val="none"/>
              </w:rPr>
            </w:pPr>
          </w:p>
        </w:tc>
        <w:tc>
          <w:tcPr>
            <w:tcW w:w="1673" w:type="dxa"/>
          </w:tcPr>
          <w:p>
            <w:pPr>
              <w:spacing w:line="360" w:lineRule="auto"/>
              <w:jc w:val="center"/>
              <w:rPr>
                <w:rFonts w:ascii="宋体" w:hAnsi="宋体" w:cs="宋体"/>
                <w:color w:val="auto"/>
                <w:sz w:val="24"/>
                <w:highlight w:val="none"/>
              </w:rPr>
            </w:pPr>
          </w:p>
        </w:tc>
        <w:tc>
          <w:tcPr>
            <w:tcW w:w="1854"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0"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394"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40"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394"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bCs/>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napToGrid w:val="0"/>
        <w:spacing w:line="360" w:lineRule="auto"/>
        <w:ind w:firstLine="480" w:firstLineChars="200"/>
        <w:jc w:val="left"/>
        <w:rPr>
          <w:rFonts w:ascii="宋体" w:hAnsi="宋体" w:cs="宋体"/>
          <w:color w:val="auto"/>
          <w:kern w:val="0"/>
          <w:sz w:val="24"/>
          <w:lang w:val="zh-CN"/>
        </w:rPr>
      </w:pP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6"/>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w:t>
      </w:r>
      <w:r>
        <w:rPr>
          <w:rFonts w:hint="eastAsia" w:ascii="宋体" w:hAnsi="宋体" w:cs="宋体"/>
          <w:color w:val="auto"/>
          <w:sz w:val="24"/>
        </w:rPr>
        <w:t>，根据《财政部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lang w:val="en-US" w:eastAsia="zh-CN"/>
        </w:rPr>
        <w:t>杭州市公共资源交易中心临安分中心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w:t>
      </w:r>
      <w:r>
        <w:rPr>
          <w:rFonts w:hint="eastAsia" w:ascii="宋体" w:hAnsi="宋体" w:cs="宋体"/>
          <w:sz w:val="24"/>
        </w:rPr>
        <w:t xml:space="preserve">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w:t>
      </w:r>
      <w:r>
        <w:rPr>
          <w:rFonts w:hint="eastAsia" w:ascii="宋体" w:hAnsi="宋体" w:cs="宋体"/>
          <w:color w:val="auto"/>
          <w:kern w:val="0"/>
          <w:sz w:val="24"/>
          <w:lang w:val="zh-CN"/>
        </w:rPr>
        <w:t>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7"/>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本公司（联合体</w:t>
      </w:r>
      <w:r>
        <w:rPr>
          <w:rFonts w:hint="eastAsia" w:ascii="宋体" w:hAnsi="宋体" w:cs="宋体"/>
          <w:color w:val="auto"/>
          <w:sz w:val="24"/>
        </w:rPr>
        <w:t xml:space="preserve">）郑重声明，根据《政府采购促进中小企业发展管理办法》（财库﹝2020﹞46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sz w:val="24"/>
          <w:u w:val="single"/>
          <w:lang w:val="en-US" w:eastAsia="zh-CN"/>
        </w:rPr>
        <w:t>物业服务</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物业管理</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ascii="宋体" w:hAnsi="宋体" w:eastAsia="宋体" w:cs="宋体"/>
          <w:lang w:val="en-US"/>
        </w:rPr>
      </w:pPr>
    </w:p>
    <w:p>
      <w:pPr>
        <w:spacing w:line="360" w:lineRule="auto"/>
        <w:ind w:right="420"/>
        <w:rPr>
          <w:rFonts w:ascii="宋体" w:hAnsi="宋体" w:cs="宋体"/>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cs="仿宋_GB2312" w:asciiTheme="minorEastAsia" w:hAnsiTheme="minorEastAsia" w:eastAsiaTheme="minorEastAsia"/>
          <w:b/>
          <w:sz w:val="32"/>
          <w:szCs w:val="32"/>
        </w:rPr>
      </w:pPr>
    </w:p>
    <w:p>
      <w:pPr>
        <w:pStyle w:val="5"/>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pPr>
        <w:pStyle w:val="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w:t>
      </w:r>
      <w:r>
        <w:rPr>
          <w:rFonts w:hint="eastAsia" w:asciiTheme="minorEastAsia" w:hAnsiTheme="minorEastAsia" w:eastAsiaTheme="minorEastAsia" w:cstheme="minorEastAsia"/>
          <w:color w:val="auto"/>
          <w:sz w:val="24"/>
          <w:szCs w:val="24"/>
          <w:highlight w:val="none"/>
          <w:lang w:eastAsia="zh-CN"/>
        </w:rPr>
        <w:t>（如未填写，视同“无”）</w:t>
      </w:r>
      <w:r>
        <w:rPr>
          <w:rFonts w:hint="eastAsia" w:asciiTheme="minorEastAsia" w:hAnsiTheme="minorEastAsia" w:eastAsiaTheme="minorEastAsia" w:cstheme="minorEastAsia"/>
          <w:sz w:val="24"/>
          <w:szCs w:val="24"/>
        </w:rPr>
        <w:t xml:space="preserve">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（如未填写，视同“无”）</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autoSpaceDE w:val="0"/>
        <w:autoSpaceDN w:val="0"/>
        <w:jc w:val="center"/>
        <w:rPr>
          <w:rFonts w:ascii="宋体" w:hAnsi="宋体" w:cs="宋体"/>
          <w:b/>
          <w:spacing w:val="6"/>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36110187"/>
    <w:bookmarkStart w:id="522" w:name="_Toc91899912"/>
    <w:bookmarkStart w:id="523" w:name="_Toc131845147"/>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570"/>
    <w:rsid w:val="019F7441"/>
    <w:rsid w:val="01B37585"/>
    <w:rsid w:val="01D55165"/>
    <w:rsid w:val="01DF24FF"/>
    <w:rsid w:val="01DF6BF8"/>
    <w:rsid w:val="01EC2C57"/>
    <w:rsid w:val="025F0711"/>
    <w:rsid w:val="026B2E25"/>
    <w:rsid w:val="02824D4D"/>
    <w:rsid w:val="02BC1F0C"/>
    <w:rsid w:val="02DC4B10"/>
    <w:rsid w:val="02DD76CE"/>
    <w:rsid w:val="02E438A7"/>
    <w:rsid w:val="02F36323"/>
    <w:rsid w:val="02F5619C"/>
    <w:rsid w:val="0326446A"/>
    <w:rsid w:val="032D5555"/>
    <w:rsid w:val="03520547"/>
    <w:rsid w:val="036634D2"/>
    <w:rsid w:val="03DD35E4"/>
    <w:rsid w:val="04076900"/>
    <w:rsid w:val="041A5A3B"/>
    <w:rsid w:val="042311BA"/>
    <w:rsid w:val="042B157A"/>
    <w:rsid w:val="048F763B"/>
    <w:rsid w:val="049F330E"/>
    <w:rsid w:val="04AA775C"/>
    <w:rsid w:val="04AF1889"/>
    <w:rsid w:val="04F66F48"/>
    <w:rsid w:val="05251E14"/>
    <w:rsid w:val="05A01BE8"/>
    <w:rsid w:val="05A16594"/>
    <w:rsid w:val="05A7762D"/>
    <w:rsid w:val="05AD6256"/>
    <w:rsid w:val="060E5941"/>
    <w:rsid w:val="06110FAF"/>
    <w:rsid w:val="06493CA7"/>
    <w:rsid w:val="065A6178"/>
    <w:rsid w:val="066F1CF3"/>
    <w:rsid w:val="06930BB8"/>
    <w:rsid w:val="06954E0B"/>
    <w:rsid w:val="06DB3BA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F02D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20331"/>
    <w:rsid w:val="0D827401"/>
    <w:rsid w:val="0D84094E"/>
    <w:rsid w:val="0D8A00E9"/>
    <w:rsid w:val="0D8D589E"/>
    <w:rsid w:val="0DA01C73"/>
    <w:rsid w:val="0DD63300"/>
    <w:rsid w:val="0DF50604"/>
    <w:rsid w:val="0DF702FE"/>
    <w:rsid w:val="0E060E51"/>
    <w:rsid w:val="0E5604B2"/>
    <w:rsid w:val="0E6D5D79"/>
    <w:rsid w:val="0E9D0089"/>
    <w:rsid w:val="0EB803EE"/>
    <w:rsid w:val="0EC102FD"/>
    <w:rsid w:val="0EF94D4B"/>
    <w:rsid w:val="0F4958DC"/>
    <w:rsid w:val="0F515DF7"/>
    <w:rsid w:val="0F596BA8"/>
    <w:rsid w:val="0F6248D2"/>
    <w:rsid w:val="0F693536"/>
    <w:rsid w:val="0F7A1F38"/>
    <w:rsid w:val="0F7B0511"/>
    <w:rsid w:val="0F7B76D9"/>
    <w:rsid w:val="0F816ACD"/>
    <w:rsid w:val="0F9832DB"/>
    <w:rsid w:val="0FBF3FD2"/>
    <w:rsid w:val="0FBF7FF3"/>
    <w:rsid w:val="10646583"/>
    <w:rsid w:val="107D4B15"/>
    <w:rsid w:val="108A3C80"/>
    <w:rsid w:val="10C26171"/>
    <w:rsid w:val="10DB060B"/>
    <w:rsid w:val="10DD2414"/>
    <w:rsid w:val="10E71658"/>
    <w:rsid w:val="10F33360"/>
    <w:rsid w:val="10FC16EA"/>
    <w:rsid w:val="110F1D40"/>
    <w:rsid w:val="11266F33"/>
    <w:rsid w:val="118963A1"/>
    <w:rsid w:val="11C6522A"/>
    <w:rsid w:val="11E104CC"/>
    <w:rsid w:val="11E20309"/>
    <w:rsid w:val="12255233"/>
    <w:rsid w:val="12336844"/>
    <w:rsid w:val="12394056"/>
    <w:rsid w:val="12530213"/>
    <w:rsid w:val="127723A9"/>
    <w:rsid w:val="12862074"/>
    <w:rsid w:val="12883966"/>
    <w:rsid w:val="129E45B4"/>
    <w:rsid w:val="12D81596"/>
    <w:rsid w:val="13072A44"/>
    <w:rsid w:val="13162311"/>
    <w:rsid w:val="133C458C"/>
    <w:rsid w:val="135F4BE2"/>
    <w:rsid w:val="139B1A0A"/>
    <w:rsid w:val="139D25C7"/>
    <w:rsid w:val="13BF3CE4"/>
    <w:rsid w:val="141008D8"/>
    <w:rsid w:val="14125FE6"/>
    <w:rsid w:val="146D271E"/>
    <w:rsid w:val="14982588"/>
    <w:rsid w:val="149A5AD9"/>
    <w:rsid w:val="14A7619D"/>
    <w:rsid w:val="14DC2C81"/>
    <w:rsid w:val="14FD4F95"/>
    <w:rsid w:val="150536C3"/>
    <w:rsid w:val="150C1963"/>
    <w:rsid w:val="151447A0"/>
    <w:rsid w:val="154A6454"/>
    <w:rsid w:val="156E5FBF"/>
    <w:rsid w:val="15745C85"/>
    <w:rsid w:val="15762120"/>
    <w:rsid w:val="16A310AE"/>
    <w:rsid w:val="16A8729C"/>
    <w:rsid w:val="16B33777"/>
    <w:rsid w:val="16BC70A7"/>
    <w:rsid w:val="16C6339E"/>
    <w:rsid w:val="172F2D79"/>
    <w:rsid w:val="17557BEF"/>
    <w:rsid w:val="17C83416"/>
    <w:rsid w:val="17D349C1"/>
    <w:rsid w:val="17D912BE"/>
    <w:rsid w:val="1830729E"/>
    <w:rsid w:val="184E2965"/>
    <w:rsid w:val="1870062C"/>
    <w:rsid w:val="18817102"/>
    <w:rsid w:val="18830A15"/>
    <w:rsid w:val="18852B28"/>
    <w:rsid w:val="188B5321"/>
    <w:rsid w:val="1893162A"/>
    <w:rsid w:val="18B80CF7"/>
    <w:rsid w:val="19932372"/>
    <w:rsid w:val="19A20DD5"/>
    <w:rsid w:val="19AE03F1"/>
    <w:rsid w:val="1A071A03"/>
    <w:rsid w:val="1A1F16AE"/>
    <w:rsid w:val="1A3B5C77"/>
    <w:rsid w:val="1A671C65"/>
    <w:rsid w:val="1A797E1E"/>
    <w:rsid w:val="1A984BAD"/>
    <w:rsid w:val="1AB8220E"/>
    <w:rsid w:val="1AE4166C"/>
    <w:rsid w:val="1AF06CFB"/>
    <w:rsid w:val="1AF11B8D"/>
    <w:rsid w:val="1B11359C"/>
    <w:rsid w:val="1B2A271F"/>
    <w:rsid w:val="1B3713BB"/>
    <w:rsid w:val="1B530544"/>
    <w:rsid w:val="1B713184"/>
    <w:rsid w:val="1B936E1F"/>
    <w:rsid w:val="1BA209CF"/>
    <w:rsid w:val="1BB4777D"/>
    <w:rsid w:val="1BD75AB8"/>
    <w:rsid w:val="1C0459C2"/>
    <w:rsid w:val="1C1B3B4A"/>
    <w:rsid w:val="1C88086E"/>
    <w:rsid w:val="1D266CE1"/>
    <w:rsid w:val="1D3963AF"/>
    <w:rsid w:val="1D4147A3"/>
    <w:rsid w:val="1D6A673C"/>
    <w:rsid w:val="1D8923C1"/>
    <w:rsid w:val="1D9247AE"/>
    <w:rsid w:val="1DB567EC"/>
    <w:rsid w:val="1DF51A98"/>
    <w:rsid w:val="1E3D060F"/>
    <w:rsid w:val="1E3E167C"/>
    <w:rsid w:val="1E3F7D2E"/>
    <w:rsid w:val="1E4134E4"/>
    <w:rsid w:val="1E5062B3"/>
    <w:rsid w:val="1E523514"/>
    <w:rsid w:val="1E714A66"/>
    <w:rsid w:val="1E802593"/>
    <w:rsid w:val="1E8B6156"/>
    <w:rsid w:val="1EA703CC"/>
    <w:rsid w:val="1EB7330C"/>
    <w:rsid w:val="1F0A0FF3"/>
    <w:rsid w:val="1F5771FF"/>
    <w:rsid w:val="1F763EEF"/>
    <w:rsid w:val="1FD52DD5"/>
    <w:rsid w:val="1FE868A9"/>
    <w:rsid w:val="20034907"/>
    <w:rsid w:val="20173E4B"/>
    <w:rsid w:val="204E48BC"/>
    <w:rsid w:val="208921B3"/>
    <w:rsid w:val="20973DEB"/>
    <w:rsid w:val="20B26522"/>
    <w:rsid w:val="20B44310"/>
    <w:rsid w:val="21013E4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558D5"/>
    <w:rsid w:val="23B908A4"/>
    <w:rsid w:val="23DA3322"/>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3471B"/>
    <w:rsid w:val="27044A29"/>
    <w:rsid w:val="271D34C8"/>
    <w:rsid w:val="275A03B9"/>
    <w:rsid w:val="276142BF"/>
    <w:rsid w:val="27783712"/>
    <w:rsid w:val="27907362"/>
    <w:rsid w:val="28333E1D"/>
    <w:rsid w:val="28454BD6"/>
    <w:rsid w:val="28455253"/>
    <w:rsid w:val="28551971"/>
    <w:rsid w:val="285B1C53"/>
    <w:rsid w:val="289F7086"/>
    <w:rsid w:val="28C32028"/>
    <w:rsid w:val="28C455E2"/>
    <w:rsid w:val="28CC490F"/>
    <w:rsid w:val="28DE40AA"/>
    <w:rsid w:val="291A499A"/>
    <w:rsid w:val="29345E77"/>
    <w:rsid w:val="294C65AD"/>
    <w:rsid w:val="29806583"/>
    <w:rsid w:val="298B3C4C"/>
    <w:rsid w:val="29D940FF"/>
    <w:rsid w:val="29F26D24"/>
    <w:rsid w:val="2A15033F"/>
    <w:rsid w:val="2A1662C1"/>
    <w:rsid w:val="2A1C7367"/>
    <w:rsid w:val="2A2815FA"/>
    <w:rsid w:val="2A5404CE"/>
    <w:rsid w:val="2A6D6092"/>
    <w:rsid w:val="2A7D76B4"/>
    <w:rsid w:val="2A857AAA"/>
    <w:rsid w:val="2B37596F"/>
    <w:rsid w:val="2B437463"/>
    <w:rsid w:val="2B7807EE"/>
    <w:rsid w:val="2BA50BF7"/>
    <w:rsid w:val="2BBF00EC"/>
    <w:rsid w:val="2BC37CFD"/>
    <w:rsid w:val="2BD5237F"/>
    <w:rsid w:val="2BE536CE"/>
    <w:rsid w:val="2BE758D9"/>
    <w:rsid w:val="2C09049E"/>
    <w:rsid w:val="2C0A653C"/>
    <w:rsid w:val="2C191F85"/>
    <w:rsid w:val="2CBF15AB"/>
    <w:rsid w:val="2CE82D6F"/>
    <w:rsid w:val="2CEA17B4"/>
    <w:rsid w:val="2D243C02"/>
    <w:rsid w:val="2D343236"/>
    <w:rsid w:val="2D3A7F6B"/>
    <w:rsid w:val="2D576B8F"/>
    <w:rsid w:val="2DD15014"/>
    <w:rsid w:val="2DF72DE4"/>
    <w:rsid w:val="2E0220AF"/>
    <w:rsid w:val="2E4B082A"/>
    <w:rsid w:val="2E5D4E86"/>
    <w:rsid w:val="2E5D790B"/>
    <w:rsid w:val="2E9A3C18"/>
    <w:rsid w:val="2EBB0FEE"/>
    <w:rsid w:val="2EC63002"/>
    <w:rsid w:val="2F0A6B38"/>
    <w:rsid w:val="2F281B95"/>
    <w:rsid w:val="2F946CCB"/>
    <w:rsid w:val="2FD25781"/>
    <w:rsid w:val="2FDC745C"/>
    <w:rsid w:val="2FFD7934"/>
    <w:rsid w:val="30733ACD"/>
    <w:rsid w:val="308C3862"/>
    <w:rsid w:val="309379D8"/>
    <w:rsid w:val="30A270F7"/>
    <w:rsid w:val="30DF1478"/>
    <w:rsid w:val="30EC586F"/>
    <w:rsid w:val="314550B7"/>
    <w:rsid w:val="319C6071"/>
    <w:rsid w:val="31A31D56"/>
    <w:rsid w:val="31AC537E"/>
    <w:rsid w:val="31E3679B"/>
    <w:rsid w:val="31E732FD"/>
    <w:rsid w:val="32517576"/>
    <w:rsid w:val="32BE5C2C"/>
    <w:rsid w:val="32FB6478"/>
    <w:rsid w:val="33263B3F"/>
    <w:rsid w:val="336963EB"/>
    <w:rsid w:val="336C4AF6"/>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E3B92"/>
    <w:rsid w:val="363A3B40"/>
    <w:rsid w:val="365302AE"/>
    <w:rsid w:val="36607A0A"/>
    <w:rsid w:val="366E227C"/>
    <w:rsid w:val="366F2E0D"/>
    <w:rsid w:val="367B6A5C"/>
    <w:rsid w:val="36891D0C"/>
    <w:rsid w:val="36A74ADA"/>
    <w:rsid w:val="36AD60D5"/>
    <w:rsid w:val="36B224F9"/>
    <w:rsid w:val="36EC0CC9"/>
    <w:rsid w:val="371D3D90"/>
    <w:rsid w:val="37217005"/>
    <w:rsid w:val="373F410B"/>
    <w:rsid w:val="37D52C2E"/>
    <w:rsid w:val="37EE7094"/>
    <w:rsid w:val="38296C89"/>
    <w:rsid w:val="383002EB"/>
    <w:rsid w:val="38586797"/>
    <w:rsid w:val="38BC0149"/>
    <w:rsid w:val="38D87D1C"/>
    <w:rsid w:val="39636459"/>
    <w:rsid w:val="396B7F6C"/>
    <w:rsid w:val="398C3E50"/>
    <w:rsid w:val="39B417A9"/>
    <w:rsid w:val="39FC5695"/>
    <w:rsid w:val="3A006D8E"/>
    <w:rsid w:val="3A3651E5"/>
    <w:rsid w:val="3A704527"/>
    <w:rsid w:val="3A744481"/>
    <w:rsid w:val="3A8C7BEF"/>
    <w:rsid w:val="3A906246"/>
    <w:rsid w:val="3ABB4BD2"/>
    <w:rsid w:val="3B2349B7"/>
    <w:rsid w:val="3B616CFF"/>
    <w:rsid w:val="3B6259F6"/>
    <w:rsid w:val="3B756FF3"/>
    <w:rsid w:val="3B976654"/>
    <w:rsid w:val="3BC01EFC"/>
    <w:rsid w:val="3BCA786A"/>
    <w:rsid w:val="3BD31E2F"/>
    <w:rsid w:val="3BF15831"/>
    <w:rsid w:val="3C0B5CA8"/>
    <w:rsid w:val="3C105946"/>
    <w:rsid w:val="3C471448"/>
    <w:rsid w:val="3C5F759A"/>
    <w:rsid w:val="3C6C525A"/>
    <w:rsid w:val="3C8B0E7D"/>
    <w:rsid w:val="3CCE23CB"/>
    <w:rsid w:val="3CD17D17"/>
    <w:rsid w:val="3CD42A8D"/>
    <w:rsid w:val="3D3C7F39"/>
    <w:rsid w:val="3D440F09"/>
    <w:rsid w:val="3D4504A0"/>
    <w:rsid w:val="3D8734BB"/>
    <w:rsid w:val="3D9A11D4"/>
    <w:rsid w:val="3DA16D89"/>
    <w:rsid w:val="3DA364BE"/>
    <w:rsid w:val="3DD776A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A572A"/>
    <w:rsid w:val="418F0D2A"/>
    <w:rsid w:val="41B844FD"/>
    <w:rsid w:val="41D01505"/>
    <w:rsid w:val="42474939"/>
    <w:rsid w:val="424A618B"/>
    <w:rsid w:val="424C3C57"/>
    <w:rsid w:val="42613FF3"/>
    <w:rsid w:val="42660D96"/>
    <w:rsid w:val="428667D2"/>
    <w:rsid w:val="42CD1CE0"/>
    <w:rsid w:val="42E1381E"/>
    <w:rsid w:val="42ED6459"/>
    <w:rsid w:val="42FE58DD"/>
    <w:rsid w:val="430C4502"/>
    <w:rsid w:val="43174B3D"/>
    <w:rsid w:val="434B790E"/>
    <w:rsid w:val="4360274F"/>
    <w:rsid w:val="43977AB6"/>
    <w:rsid w:val="43A3342B"/>
    <w:rsid w:val="43C77C27"/>
    <w:rsid w:val="43DE09EE"/>
    <w:rsid w:val="44002FAD"/>
    <w:rsid w:val="449101DD"/>
    <w:rsid w:val="44DE1391"/>
    <w:rsid w:val="451B225C"/>
    <w:rsid w:val="45223503"/>
    <w:rsid w:val="452410C9"/>
    <w:rsid w:val="45317DFB"/>
    <w:rsid w:val="456D3CE4"/>
    <w:rsid w:val="45744F9D"/>
    <w:rsid w:val="4579042C"/>
    <w:rsid w:val="457F0571"/>
    <w:rsid w:val="45851176"/>
    <w:rsid w:val="45C63B94"/>
    <w:rsid w:val="45EF6D18"/>
    <w:rsid w:val="45F3316A"/>
    <w:rsid w:val="460E7DA5"/>
    <w:rsid w:val="46422483"/>
    <w:rsid w:val="4659254A"/>
    <w:rsid w:val="465B0637"/>
    <w:rsid w:val="465E3F0D"/>
    <w:rsid w:val="466A16E6"/>
    <w:rsid w:val="46893F2B"/>
    <w:rsid w:val="46C4686E"/>
    <w:rsid w:val="47432CE9"/>
    <w:rsid w:val="477B778F"/>
    <w:rsid w:val="478203EC"/>
    <w:rsid w:val="47B025FA"/>
    <w:rsid w:val="4809698F"/>
    <w:rsid w:val="4811697D"/>
    <w:rsid w:val="487A3E25"/>
    <w:rsid w:val="488B5503"/>
    <w:rsid w:val="48937E21"/>
    <w:rsid w:val="489A0361"/>
    <w:rsid w:val="48B94FF3"/>
    <w:rsid w:val="48BF3556"/>
    <w:rsid w:val="48E37AAB"/>
    <w:rsid w:val="48F527FF"/>
    <w:rsid w:val="48FD4B4C"/>
    <w:rsid w:val="490A68E0"/>
    <w:rsid w:val="491055FE"/>
    <w:rsid w:val="495F5B3E"/>
    <w:rsid w:val="496F77D7"/>
    <w:rsid w:val="497654FD"/>
    <w:rsid w:val="498814D2"/>
    <w:rsid w:val="49B64211"/>
    <w:rsid w:val="49E56AF9"/>
    <w:rsid w:val="49F6167F"/>
    <w:rsid w:val="4A05129D"/>
    <w:rsid w:val="4A064FA0"/>
    <w:rsid w:val="4A16615C"/>
    <w:rsid w:val="4A4424D7"/>
    <w:rsid w:val="4A7D0732"/>
    <w:rsid w:val="4AB82D0F"/>
    <w:rsid w:val="4AEB7664"/>
    <w:rsid w:val="4AFD7C19"/>
    <w:rsid w:val="4B0567D1"/>
    <w:rsid w:val="4B153C4A"/>
    <w:rsid w:val="4B236AAE"/>
    <w:rsid w:val="4B2E0C42"/>
    <w:rsid w:val="4B707271"/>
    <w:rsid w:val="4B9739F7"/>
    <w:rsid w:val="4B984BED"/>
    <w:rsid w:val="4BB571AC"/>
    <w:rsid w:val="4BEC38B4"/>
    <w:rsid w:val="4BEE2503"/>
    <w:rsid w:val="4C245A30"/>
    <w:rsid w:val="4CB6685F"/>
    <w:rsid w:val="4CC367FE"/>
    <w:rsid w:val="4D077F3C"/>
    <w:rsid w:val="4D123355"/>
    <w:rsid w:val="4D17251D"/>
    <w:rsid w:val="4D2A3B31"/>
    <w:rsid w:val="4D312C52"/>
    <w:rsid w:val="4D905305"/>
    <w:rsid w:val="4D964A72"/>
    <w:rsid w:val="4D9C1254"/>
    <w:rsid w:val="4E793892"/>
    <w:rsid w:val="4E800872"/>
    <w:rsid w:val="4EC569ED"/>
    <w:rsid w:val="4ED50EA1"/>
    <w:rsid w:val="4EEC050C"/>
    <w:rsid w:val="4F104EC3"/>
    <w:rsid w:val="4F38076B"/>
    <w:rsid w:val="4F47354A"/>
    <w:rsid w:val="4F911C54"/>
    <w:rsid w:val="4FCB0679"/>
    <w:rsid w:val="4FE625E0"/>
    <w:rsid w:val="501775B1"/>
    <w:rsid w:val="5021480F"/>
    <w:rsid w:val="5078392F"/>
    <w:rsid w:val="50962ECB"/>
    <w:rsid w:val="50A42E38"/>
    <w:rsid w:val="50A4577F"/>
    <w:rsid w:val="50B73D1F"/>
    <w:rsid w:val="50BD5BC9"/>
    <w:rsid w:val="50C11EEE"/>
    <w:rsid w:val="50E97CFC"/>
    <w:rsid w:val="50FA4028"/>
    <w:rsid w:val="510D65B7"/>
    <w:rsid w:val="511157AB"/>
    <w:rsid w:val="51403FF6"/>
    <w:rsid w:val="5142540C"/>
    <w:rsid w:val="51861E1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85EF5"/>
    <w:rsid w:val="53544462"/>
    <w:rsid w:val="5397158E"/>
    <w:rsid w:val="53DF3326"/>
    <w:rsid w:val="54013861"/>
    <w:rsid w:val="5419795D"/>
    <w:rsid w:val="54487265"/>
    <w:rsid w:val="544D6070"/>
    <w:rsid w:val="54605E1E"/>
    <w:rsid w:val="54A12B2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212F6"/>
    <w:rsid w:val="566B6D1E"/>
    <w:rsid w:val="56704021"/>
    <w:rsid w:val="56A452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30F1E"/>
    <w:rsid w:val="5894085C"/>
    <w:rsid w:val="58AE4F0C"/>
    <w:rsid w:val="58B85899"/>
    <w:rsid w:val="58D26624"/>
    <w:rsid w:val="58D71906"/>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049B0"/>
    <w:rsid w:val="5B2E1A1D"/>
    <w:rsid w:val="5B5B672B"/>
    <w:rsid w:val="5B6E1E33"/>
    <w:rsid w:val="5B843A1C"/>
    <w:rsid w:val="5B873E3F"/>
    <w:rsid w:val="5C02690E"/>
    <w:rsid w:val="5C196DA7"/>
    <w:rsid w:val="5C2A048C"/>
    <w:rsid w:val="5C80234E"/>
    <w:rsid w:val="5C8A680C"/>
    <w:rsid w:val="5C984B5B"/>
    <w:rsid w:val="5CA8234F"/>
    <w:rsid w:val="5CEE09F5"/>
    <w:rsid w:val="5D0C4701"/>
    <w:rsid w:val="5D0F0395"/>
    <w:rsid w:val="5D221076"/>
    <w:rsid w:val="5D397964"/>
    <w:rsid w:val="5D5A391C"/>
    <w:rsid w:val="5D5F10C0"/>
    <w:rsid w:val="5D891B7B"/>
    <w:rsid w:val="5DAD38EE"/>
    <w:rsid w:val="5DAF3F72"/>
    <w:rsid w:val="5E006862"/>
    <w:rsid w:val="5E0207B9"/>
    <w:rsid w:val="5E1834A1"/>
    <w:rsid w:val="5E261785"/>
    <w:rsid w:val="5E2B395D"/>
    <w:rsid w:val="5E4A7017"/>
    <w:rsid w:val="5E530938"/>
    <w:rsid w:val="5E552BBA"/>
    <w:rsid w:val="5E611C10"/>
    <w:rsid w:val="5E7A0F3F"/>
    <w:rsid w:val="5ECE2522"/>
    <w:rsid w:val="5EFC7377"/>
    <w:rsid w:val="5F06174D"/>
    <w:rsid w:val="5F096A07"/>
    <w:rsid w:val="5F287496"/>
    <w:rsid w:val="5F3A3602"/>
    <w:rsid w:val="5F45733B"/>
    <w:rsid w:val="5F6277C6"/>
    <w:rsid w:val="5F6D0B1D"/>
    <w:rsid w:val="5F8D0B82"/>
    <w:rsid w:val="5FCC5339"/>
    <w:rsid w:val="5FE34A5B"/>
    <w:rsid w:val="5FFE1E36"/>
    <w:rsid w:val="601872FD"/>
    <w:rsid w:val="60232584"/>
    <w:rsid w:val="60341B57"/>
    <w:rsid w:val="607330CE"/>
    <w:rsid w:val="60825176"/>
    <w:rsid w:val="60870850"/>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5762A"/>
    <w:rsid w:val="63711FED"/>
    <w:rsid w:val="6383749A"/>
    <w:rsid w:val="63880DDC"/>
    <w:rsid w:val="638D750D"/>
    <w:rsid w:val="63AC6CC0"/>
    <w:rsid w:val="64055776"/>
    <w:rsid w:val="641C2A22"/>
    <w:rsid w:val="64240056"/>
    <w:rsid w:val="643E143A"/>
    <w:rsid w:val="64491666"/>
    <w:rsid w:val="646264AD"/>
    <w:rsid w:val="648B6EEF"/>
    <w:rsid w:val="64C158BF"/>
    <w:rsid w:val="64CE2EAA"/>
    <w:rsid w:val="653C3090"/>
    <w:rsid w:val="65854376"/>
    <w:rsid w:val="658767BE"/>
    <w:rsid w:val="65892531"/>
    <w:rsid w:val="658A612E"/>
    <w:rsid w:val="65CA39A1"/>
    <w:rsid w:val="66195831"/>
    <w:rsid w:val="662E75B1"/>
    <w:rsid w:val="66342C2E"/>
    <w:rsid w:val="663E784C"/>
    <w:rsid w:val="668B6A45"/>
    <w:rsid w:val="67011F07"/>
    <w:rsid w:val="672F3F24"/>
    <w:rsid w:val="672F7ACC"/>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16083B"/>
    <w:rsid w:val="6A2406C8"/>
    <w:rsid w:val="6AAF6119"/>
    <w:rsid w:val="6ADA491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620DC"/>
    <w:rsid w:val="6E8335BD"/>
    <w:rsid w:val="6E8E12EF"/>
    <w:rsid w:val="6E972936"/>
    <w:rsid w:val="6ED446C5"/>
    <w:rsid w:val="6F2A7D94"/>
    <w:rsid w:val="6F5554E2"/>
    <w:rsid w:val="6F8331F1"/>
    <w:rsid w:val="6FAE1A09"/>
    <w:rsid w:val="6FD75BF8"/>
    <w:rsid w:val="70367EC0"/>
    <w:rsid w:val="707723D0"/>
    <w:rsid w:val="70906C1B"/>
    <w:rsid w:val="70F5661B"/>
    <w:rsid w:val="710E448D"/>
    <w:rsid w:val="71360107"/>
    <w:rsid w:val="713B688E"/>
    <w:rsid w:val="71D43752"/>
    <w:rsid w:val="71F1796A"/>
    <w:rsid w:val="7209442D"/>
    <w:rsid w:val="72154626"/>
    <w:rsid w:val="72262B5D"/>
    <w:rsid w:val="72283FF7"/>
    <w:rsid w:val="722D54CF"/>
    <w:rsid w:val="722E7212"/>
    <w:rsid w:val="723A0474"/>
    <w:rsid w:val="725923E4"/>
    <w:rsid w:val="72864BF7"/>
    <w:rsid w:val="729023FC"/>
    <w:rsid w:val="731F6F81"/>
    <w:rsid w:val="739F6E9D"/>
    <w:rsid w:val="73A86EFF"/>
    <w:rsid w:val="73C0646E"/>
    <w:rsid w:val="742222F5"/>
    <w:rsid w:val="742B1C13"/>
    <w:rsid w:val="74476126"/>
    <w:rsid w:val="74706664"/>
    <w:rsid w:val="747F3682"/>
    <w:rsid w:val="749C4185"/>
    <w:rsid w:val="74BA2F44"/>
    <w:rsid w:val="75067759"/>
    <w:rsid w:val="752E6DCD"/>
    <w:rsid w:val="7551380D"/>
    <w:rsid w:val="75600BE5"/>
    <w:rsid w:val="7564475C"/>
    <w:rsid w:val="7583797F"/>
    <w:rsid w:val="759A4888"/>
    <w:rsid w:val="75D20F1D"/>
    <w:rsid w:val="75DA2C18"/>
    <w:rsid w:val="75F54412"/>
    <w:rsid w:val="75FC1B91"/>
    <w:rsid w:val="761D08E0"/>
    <w:rsid w:val="7655748D"/>
    <w:rsid w:val="765D347C"/>
    <w:rsid w:val="76826699"/>
    <w:rsid w:val="76C87133"/>
    <w:rsid w:val="76CD08D5"/>
    <w:rsid w:val="76DB4B92"/>
    <w:rsid w:val="77052AA4"/>
    <w:rsid w:val="77136511"/>
    <w:rsid w:val="77340A39"/>
    <w:rsid w:val="77351FD0"/>
    <w:rsid w:val="77472422"/>
    <w:rsid w:val="775B25F0"/>
    <w:rsid w:val="777F31F2"/>
    <w:rsid w:val="77D1700D"/>
    <w:rsid w:val="77EC04CC"/>
    <w:rsid w:val="78276B6E"/>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300FA"/>
    <w:rsid w:val="79F850CE"/>
    <w:rsid w:val="79FD443C"/>
    <w:rsid w:val="7A1D1975"/>
    <w:rsid w:val="7A3E5150"/>
    <w:rsid w:val="7A4670D6"/>
    <w:rsid w:val="7A534B63"/>
    <w:rsid w:val="7A615382"/>
    <w:rsid w:val="7A67303B"/>
    <w:rsid w:val="7AAB1D04"/>
    <w:rsid w:val="7AB85523"/>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9047B"/>
    <w:rsid w:val="7D6E6D43"/>
    <w:rsid w:val="7DB42B99"/>
    <w:rsid w:val="7DB57A34"/>
    <w:rsid w:val="7DE60973"/>
    <w:rsid w:val="7DEF0916"/>
    <w:rsid w:val="7E1E5218"/>
    <w:rsid w:val="7E9A4E1F"/>
    <w:rsid w:val="7EA7723A"/>
    <w:rsid w:val="7EF56FBB"/>
    <w:rsid w:val="7F0768EB"/>
    <w:rsid w:val="7F143BEC"/>
    <w:rsid w:val="7F715AF2"/>
    <w:rsid w:val="7F886E69"/>
    <w:rsid w:val="7FA47620"/>
    <w:rsid w:val="7FBA5DFE"/>
    <w:rsid w:val="7FFD1F6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8"/>
    <w:qFormat/>
    <w:uiPriority w:val="0"/>
    <w:pPr>
      <w:adjustRightInd/>
      <w:spacing w:after="120" w:line="240" w:lineRule="auto"/>
      <w:ind w:left="420" w:leftChars="200" w:firstLine="210"/>
    </w:pPr>
    <w:rPr>
      <w:sz w:val="21"/>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4">
    <w:name w:val="Body Text First Indent"/>
    <w:basedOn w:val="5"/>
    <w:next w:val="1"/>
    <w:link w:val="318"/>
    <w:qFormat/>
    <w:uiPriority w:val="0"/>
    <w:pPr>
      <w:ind w:firstLine="420"/>
    </w:pPr>
    <w:rPr>
      <w:rFonts w:hAnsi="Calibri" w:cs="Times New Roman"/>
      <w:snapToGrid/>
      <w:szCs w:val="20"/>
    </w:rPr>
  </w:style>
  <w:style w:type="paragraph" w:styleId="5">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199"/>
    <w:qFormat/>
    <w:uiPriority w:val="0"/>
    <w:pPr>
      <w:shd w:val="clear" w:color="auto" w:fill="000080"/>
    </w:pPr>
  </w:style>
  <w:style w:type="paragraph" w:styleId="23">
    <w:name w:val="annotation text"/>
    <w:basedOn w:val="1"/>
    <w:link w:val="341"/>
    <w:qFormat/>
    <w:uiPriority w:val="99"/>
    <w:pPr>
      <w:jc w:val="left"/>
    </w:pPr>
  </w:style>
  <w:style w:type="paragraph" w:styleId="24">
    <w:name w:val="Salutation"/>
    <w:basedOn w:val="1"/>
    <w:next w:val="1"/>
    <w:link w:val="295"/>
    <w:qFormat/>
    <w:uiPriority w:val="0"/>
    <w:rPr>
      <w:rFonts w:ascii="仿宋_GB2312" w:eastAsia="仿宋_GB2312"/>
      <w:sz w:val="28"/>
      <w:szCs w:val="20"/>
    </w:rPr>
  </w:style>
  <w:style w:type="paragraph" w:styleId="25">
    <w:name w:val="Body Text 3"/>
    <w:basedOn w:val="1"/>
    <w:link w:val="327"/>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2"/>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5"/>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9"/>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2"/>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0"/>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0"/>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6"/>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1"/>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4"/>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0"/>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3"/>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10"/>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5"/>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3"/>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4"/>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9"/>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0"/>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1"/>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0"/>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6"/>
    <w:qFormat/>
    <w:uiPriority w:val="0"/>
    <w:pPr>
      <w:tabs>
        <w:tab w:val="left" w:pos="840"/>
      </w:tabs>
      <w:adjustRightInd/>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0"/>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1"/>
    <w:next w:val="1"/>
    <w:qFormat/>
    <w:uiPriority w:val="0"/>
    <w:pPr>
      <w:tabs>
        <w:tab w:val="left" w:pos="1080"/>
      </w:tabs>
      <w:ind w:left="1080" w:hanging="1080"/>
    </w:pPr>
  </w:style>
  <w:style w:type="paragraph" w:customStyle="1" w:styleId="894">
    <w:name w:val="数字标题1"/>
    <w:basedOn w:val="6"/>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41</TotalTime>
  <ScaleCrop>false</ScaleCrop>
  <LinksUpToDate>false</LinksUpToDate>
  <CharactersWithSpaces>37980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ying</cp:lastModifiedBy>
  <cp:lastPrinted>2021-12-27T03:06:00Z</cp:lastPrinted>
  <dcterms:modified xsi:type="dcterms:W3CDTF">2025-01-03T02:59:04Z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