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杭州市临安区中医院</w:t>
      </w:r>
      <w:r>
        <w:rPr>
          <w:rFonts w:hint="eastAsia" w:ascii="宋体" w:hAnsi="宋体" w:cs="宋体"/>
          <w:color w:val="auto"/>
          <w:sz w:val="48"/>
          <w:szCs w:val="48"/>
          <w:highlight w:val="none"/>
          <w:lang w:val="en-US" w:eastAsia="zh-CN"/>
        </w:rPr>
        <w:t>2024-2027年</w:t>
      </w:r>
      <w:r>
        <w:rPr>
          <w:rFonts w:hint="eastAsia" w:ascii="宋体" w:hAnsi="宋体" w:cs="宋体"/>
          <w:color w:val="auto"/>
          <w:sz w:val="48"/>
          <w:szCs w:val="48"/>
          <w:highlight w:val="none"/>
          <w:lang w:eastAsia="zh-CN"/>
        </w:rPr>
        <w:t>物业服务采购项目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eastAsia="宋体" w:cs="宋体"/>
          <w:sz w:val="30"/>
          <w:szCs w:val="30"/>
        </w:rPr>
        <w:t>（</w:t>
      </w:r>
      <w:r>
        <w:rPr>
          <w:rFonts w:hint="eastAsia" w:ascii="宋体" w:hAnsi="宋体" w:eastAsia="宋体" w:cs="宋体"/>
          <w:sz w:val="30"/>
          <w:szCs w:val="30"/>
          <w:lang w:val="en-US" w:eastAsia="zh-CN"/>
        </w:rPr>
        <w:t>LZC-GK-</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"https://pay.zcygov.cn/purchaseplan_front/" \l "/plan/list/view?id=1000000000014338879&amp;_app_=zcy.procurement" \t "https://www.zcygov.cn/delegation-order/_procurement_/order/_blank"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临[2024]2306</w:t>
      </w:r>
      <w:r>
        <w:rPr>
          <w:rFonts w:hint="eastAsia" w:ascii="宋体" w:hAnsi="宋体" w:eastAsia="宋体" w:cs="宋体"/>
          <w:sz w:val="30"/>
          <w:szCs w:val="30"/>
          <w:lang w:val="en-US" w:eastAsia="zh-CN"/>
        </w:rPr>
        <w:fldChar w:fldCharType="end"/>
      </w:r>
      <w:r>
        <w:rPr>
          <w:rFonts w:hint="eastAsia" w:ascii="宋体" w:hAnsi="宋体" w:eastAsia="宋体" w:cs="宋体"/>
          <w:sz w:val="30"/>
          <w:szCs w:val="30"/>
        </w:rPr>
        <w:t>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杭州市临安区中医院</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杭州市公</w:t>
      </w:r>
      <w:r>
        <w:rPr>
          <w:rFonts w:hint="eastAsia" w:ascii="宋体" w:hAnsi="宋体" w:cs="宋体"/>
          <w:bCs/>
          <w:color w:val="auto"/>
          <w:sz w:val="32"/>
          <w:szCs w:val="32"/>
          <w:lang w:eastAsia="zh-CN"/>
        </w:rPr>
        <w:t>共资源交易中心临安分中心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r>
        <w:rPr>
          <w:rFonts w:hint="eastAsia" w:ascii="宋体" w:hAnsi="宋体" w:cs="宋体"/>
          <w:bCs/>
          <w:color w:val="auto"/>
          <w:sz w:val="32"/>
          <w:szCs w:val="32"/>
          <w:lang w:eastAsia="zh-CN"/>
        </w:rPr>
        <w:t>十二</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lang w:eastAsia="zh-CN"/>
        </w:rPr>
        <w:t>杭州市临安区中医院2024-2027年物业服务采购项目</w:t>
      </w:r>
      <w:r>
        <w:rPr>
          <w:rFonts w:hint="eastAsia" w:ascii="宋体" w:hAnsi="宋体" w:cs="宋体"/>
          <w:sz w:val="24"/>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w:t>
      </w:r>
      <w:r>
        <w:rPr>
          <w:rStyle w:val="76"/>
          <w:rFonts w:hint="eastAsia" w:ascii="宋体" w:hAnsi="宋体" w:eastAsia="宋体" w:cs="宋体"/>
          <w:snapToGrid/>
          <w:kern w:val="2"/>
          <w:sz w:val="24"/>
          <w:szCs w:val="24"/>
          <w:highlight w:val="none"/>
          <w:u w:val="single"/>
        </w:rPr>
        <w:t>202</w:t>
      </w:r>
      <w:r>
        <w:rPr>
          <w:rStyle w:val="76"/>
          <w:rFonts w:hint="eastAsia" w:ascii="宋体" w:hAnsi="宋体" w:cs="宋体"/>
          <w:snapToGrid/>
          <w:kern w:val="2"/>
          <w:sz w:val="24"/>
          <w:szCs w:val="24"/>
          <w:highlight w:val="none"/>
          <w:u w:val="single"/>
          <w:lang w:val="en-US" w:eastAsia="zh-CN"/>
        </w:rPr>
        <w:t>4</w:t>
      </w:r>
      <w:r>
        <w:rPr>
          <w:rStyle w:val="76"/>
          <w:rFonts w:hint="eastAsia" w:ascii="宋体" w:hAnsi="宋体" w:eastAsia="宋体" w:cs="宋体"/>
          <w:snapToGrid/>
          <w:kern w:val="2"/>
          <w:sz w:val="24"/>
          <w:szCs w:val="24"/>
          <w:highlight w:val="none"/>
          <w:u w:val="single"/>
        </w:rPr>
        <w:t>年</w:t>
      </w:r>
      <w:r>
        <w:rPr>
          <w:rStyle w:val="76"/>
          <w:rFonts w:hint="eastAsia" w:ascii="宋体" w:hAnsi="宋体" w:cs="宋体"/>
          <w:snapToGrid/>
          <w:kern w:val="2"/>
          <w:sz w:val="24"/>
          <w:szCs w:val="24"/>
          <w:highlight w:val="none"/>
          <w:u w:val="single"/>
          <w:lang w:val="en-US" w:eastAsia="zh-CN"/>
        </w:rPr>
        <w:t>10</w:t>
      </w:r>
      <w:r>
        <w:rPr>
          <w:rStyle w:val="76"/>
          <w:rFonts w:hint="eastAsia" w:ascii="宋体" w:hAnsi="宋体" w:eastAsia="宋体" w:cs="宋体"/>
          <w:snapToGrid/>
          <w:kern w:val="2"/>
          <w:sz w:val="24"/>
          <w:szCs w:val="24"/>
          <w:highlight w:val="none"/>
          <w:u w:val="single"/>
        </w:rPr>
        <w:t>月</w:t>
      </w:r>
      <w:r>
        <w:rPr>
          <w:rStyle w:val="76"/>
          <w:rFonts w:hint="eastAsia" w:ascii="宋体" w:hAnsi="宋体" w:cs="宋体"/>
          <w:snapToGrid/>
          <w:kern w:val="2"/>
          <w:sz w:val="24"/>
          <w:szCs w:val="24"/>
          <w:highlight w:val="none"/>
          <w:u w:val="single"/>
          <w:lang w:val="en-US" w:eastAsia="zh-CN"/>
        </w:rPr>
        <w:t>9</w:t>
      </w:r>
      <w:r>
        <w:rPr>
          <w:rStyle w:val="76"/>
          <w:rFonts w:hint="eastAsia" w:ascii="宋体" w:hAnsi="宋体" w:eastAsia="宋体" w:cs="宋体"/>
          <w:snapToGrid/>
          <w:kern w:val="2"/>
          <w:sz w:val="24"/>
          <w:szCs w:val="24"/>
          <w:highlight w:val="none"/>
          <w:u w:val="single"/>
        </w:rPr>
        <w:t>日</w:t>
      </w:r>
      <w:r>
        <w:rPr>
          <w:rStyle w:val="76"/>
          <w:rFonts w:hint="eastAsia" w:ascii="宋体" w:hAnsi="宋体" w:cs="宋体"/>
          <w:snapToGrid/>
          <w:kern w:val="2"/>
          <w:sz w:val="24"/>
          <w:szCs w:val="24"/>
          <w:highlight w:val="none"/>
          <w:u w:val="single"/>
          <w:lang w:val="en-US" w:eastAsia="zh-CN"/>
        </w:rPr>
        <w:t>13</w:t>
      </w:r>
      <w:r>
        <w:rPr>
          <w:rStyle w:val="76"/>
          <w:rFonts w:hint="eastAsia" w:ascii="宋体" w:hAnsi="宋体" w:eastAsia="宋体" w:cs="宋体"/>
          <w:snapToGrid/>
          <w:kern w:val="2"/>
          <w:sz w:val="24"/>
          <w:szCs w:val="24"/>
          <w:highlight w:val="none"/>
          <w:u w:val="single"/>
        </w:rPr>
        <w:t>点</w:t>
      </w:r>
      <w:r>
        <w:rPr>
          <w:rStyle w:val="76"/>
          <w:rFonts w:hint="eastAsia" w:ascii="宋体" w:hAnsi="宋体" w:cs="宋体"/>
          <w:snapToGrid/>
          <w:kern w:val="2"/>
          <w:sz w:val="24"/>
          <w:szCs w:val="24"/>
          <w:highlight w:val="none"/>
          <w:u w:val="single"/>
          <w:lang w:val="en-US" w:eastAsia="zh-CN"/>
        </w:rPr>
        <w:t>30</w:t>
      </w:r>
      <w:r>
        <w:rPr>
          <w:rStyle w:val="76"/>
          <w:rFonts w:hint="eastAsia" w:ascii="宋体" w:hAnsi="宋体" w:eastAsia="宋体" w:cs="宋体"/>
          <w:snapToGrid/>
          <w:kern w:val="2"/>
          <w:sz w:val="24"/>
          <w:szCs w:val="24"/>
          <w:highlight w:val="none"/>
          <w:u w:val="single"/>
        </w:rPr>
        <w:t>分</w:t>
      </w:r>
      <w:r>
        <w:rPr>
          <w:rStyle w:val="76"/>
          <w:rFonts w:hint="eastAsia" w:ascii="宋体" w:hAnsi="宋体" w:eastAsia="宋体" w:cs="宋体"/>
          <w:bCs/>
          <w:snapToGrid/>
          <w:kern w:val="2"/>
          <w:sz w:val="24"/>
          <w:szCs w:val="24"/>
          <w:highlight w:val="none"/>
          <w:u w:val="singl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b w:val="0"/>
          <w:bCs/>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val="en-US" w:eastAsia="zh-CN"/>
        </w:rPr>
        <w:t>LZC-GK-</w:t>
      </w:r>
      <w:r>
        <w:rPr>
          <w:rFonts w:hint="eastAsia" w:ascii="宋体" w:hAnsi="宋体" w:cs="宋体"/>
          <w:b w:val="0"/>
          <w:bCs/>
          <w:sz w:val="24"/>
          <w:lang w:val="en-US" w:eastAsia="zh-CN"/>
        </w:rPr>
        <w:fldChar w:fldCharType="begin"/>
      </w:r>
      <w:r>
        <w:rPr>
          <w:rFonts w:hint="eastAsia" w:ascii="宋体" w:hAnsi="宋体" w:cs="宋体"/>
          <w:b w:val="0"/>
          <w:bCs/>
          <w:sz w:val="24"/>
          <w:lang w:val="en-US" w:eastAsia="zh-CN"/>
        </w:rPr>
        <w:instrText xml:space="preserve"> HYPERLINK "https://pay.zcygov.cn/purchaseplan_front/" \l "/plan/list/view?id=1000000000014338879&amp;_app_=zcy.procurement" \t "https://www.zcygov.cn/delegation-order/_procurement_/order/_blank" </w:instrText>
      </w:r>
      <w:r>
        <w:rPr>
          <w:rFonts w:hint="eastAsia" w:ascii="宋体" w:hAnsi="宋体" w:cs="宋体"/>
          <w:b w:val="0"/>
          <w:bCs/>
          <w:sz w:val="24"/>
          <w:lang w:val="en-US" w:eastAsia="zh-CN"/>
        </w:rPr>
        <w:fldChar w:fldCharType="separate"/>
      </w:r>
      <w:r>
        <w:rPr>
          <w:rFonts w:hint="eastAsia" w:ascii="宋体" w:hAnsi="宋体" w:cs="宋体"/>
          <w:b w:val="0"/>
          <w:bCs/>
          <w:sz w:val="24"/>
          <w:lang w:val="en-US" w:eastAsia="zh-CN"/>
        </w:rPr>
        <w:t>临[2024]2306</w:t>
      </w:r>
      <w:r>
        <w:rPr>
          <w:rFonts w:hint="eastAsia" w:ascii="宋体" w:hAnsi="宋体" w:cs="宋体"/>
          <w:b w:val="0"/>
          <w:bCs/>
          <w:sz w:val="24"/>
          <w:lang w:val="en-US" w:eastAsia="zh-CN"/>
        </w:rPr>
        <w:fldChar w:fldCharType="end"/>
      </w:r>
      <w:r>
        <w:rPr>
          <w:rFonts w:hint="eastAsia" w:ascii="宋体" w:hAnsi="宋体" w:cs="宋体"/>
          <w:b w:val="0"/>
          <w:bCs/>
          <w:sz w:val="24"/>
          <w:lang w:val="en-US" w:eastAsia="zh-CN"/>
        </w:rPr>
        <w:t>号</w:t>
      </w:r>
    </w:p>
    <w:p>
      <w:pPr>
        <w:spacing w:line="360" w:lineRule="auto"/>
        <w:rPr>
          <w:rFonts w:ascii="宋体" w:hAnsi="宋体" w:cs="宋体"/>
          <w:b w:val="0"/>
          <w:bCs/>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lang w:eastAsia="zh-CN"/>
        </w:rPr>
        <w:t>杭州市临安区中医院2024-202</w:t>
      </w:r>
      <w:r>
        <w:rPr>
          <w:rFonts w:hint="eastAsia" w:ascii="宋体" w:hAnsi="宋体" w:cs="宋体"/>
          <w:b w:val="0"/>
          <w:bCs/>
          <w:sz w:val="24"/>
          <w:lang w:val="en-US" w:eastAsia="zh-CN"/>
        </w:rPr>
        <w:t>7</w:t>
      </w:r>
      <w:r>
        <w:rPr>
          <w:rFonts w:hint="eastAsia" w:ascii="宋体" w:hAnsi="宋体" w:cs="宋体"/>
          <w:b w:val="0"/>
          <w:bCs/>
          <w:sz w:val="24"/>
          <w:lang w:eastAsia="zh-CN"/>
        </w:rPr>
        <w:t>年物业服务采购项目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20660000</w:t>
      </w:r>
      <w:r>
        <w:rPr>
          <w:rFonts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20660000</w:t>
      </w:r>
      <w:r>
        <w:rPr>
          <w:rFonts w:ascii="宋体" w:hAnsi="宋体" w:cs="宋体"/>
          <w:sz w:val="24"/>
        </w:rPr>
        <w:t xml:space="preserve"> </w:t>
      </w:r>
    </w:p>
    <w:p>
      <w:pPr>
        <w:pStyle w:val="8"/>
        <w:spacing w:line="360" w:lineRule="auto"/>
        <w:ind w:firstLine="480"/>
        <w:rPr>
          <w:rFonts w:hAnsi="宋体" w:cs="宋体"/>
          <w:bCs/>
          <w:snapToGrid/>
          <w:color w:val="auto"/>
          <w:kern w:val="2"/>
          <w:sz w:val="24"/>
          <w:szCs w:val="24"/>
          <w:highlight w:val="none"/>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具体以招标文件第三部</w:t>
      </w:r>
      <w:r>
        <w:rPr>
          <w:rFonts w:hint="eastAsia" w:asciiTheme="minorEastAsia" w:hAnsiTheme="minorEastAsia" w:eastAsiaTheme="minorEastAsia"/>
          <w:snapToGrid/>
          <w:color w:val="auto"/>
          <w:kern w:val="2"/>
          <w:sz w:val="24"/>
          <w:szCs w:val="24"/>
          <w:highlight w:val="none"/>
        </w:rPr>
        <w:t>分采购需求为准，供应商可点击本公告下方“浏览采购文件”查看采购需求。</w:t>
      </w:r>
    </w:p>
    <w:p>
      <w:pPr>
        <w:pStyle w:val="128"/>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
          <w:highlight w:val="none"/>
          <w:lang w:eastAsia="zh-CN"/>
        </w:rPr>
        <w:t>合同签订后三年。</w:t>
      </w:r>
      <w:r>
        <w:rPr>
          <w:rFonts w:ascii="宋体" w:hAnsi="宋体" w:cs="宋体"/>
          <w:highlight w:val="none"/>
        </w:rPr>
        <w:t xml:space="preserve"> </w:t>
      </w:r>
    </w:p>
    <w:p>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rPr>
        <w:t>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称：杭州市临安区</w:t>
      </w:r>
      <w:r>
        <w:rPr>
          <w:rFonts w:hint="eastAsia" w:ascii="宋体" w:hAnsi="宋体" w:cs="宋体"/>
          <w:color w:val="auto"/>
          <w:sz w:val="24"/>
          <w:highlight w:val="none"/>
          <w:lang w:eastAsia="zh-CN"/>
        </w:rPr>
        <w:t>中</w:t>
      </w:r>
      <w:r>
        <w:rPr>
          <w:rFonts w:hint="eastAsia" w:ascii="宋体" w:hAnsi="宋体" w:cs="宋体"/>
          <w:color w:val="auto"/>
          <w:sz w:val="24"/>
          <w:highlight w:val="none"/>
        </w:rPr>
        <w:t xml:space="preserve">医院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址：临安区</w:t>
      </w:r>
      <w:r>
        <w:rPr>
          <w:rFonts w:hint="eastAsia" w:ascii="宋体" w:hAnsi="宋体" w:cs="宋体"/>
          <w:color w:val="auto"/>
          <w:sz w:val="24"/>
          <w:highlight w:val="none"/>
          <w:lang w:eastAsia="zh-CN"/>
        </w:rPr>
        <w:t>锦北街道</w:t>
      </w:r>
      <w:r>
        <w:rPr>
          <w:rFonts w:hint="eastAsia" w:ascii="宋体" w:hAnsi="宋体" w:cs="宋体"/>
          <w:color w:val="auto"/>
          <w:sz w:val="24"/>
          <w:highlight w:val="none"/>
        </w:rPr>
        <w:t xml:space="preserve">溪水北路288号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 吴燕</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 0571-63732552</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质疑联系人：蔡湘军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质疑联系方式：18072887020</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邵旭峰</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0571-89540588</w:t>
      </w:r>
    </w:p>
    <w:p>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杨颖</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质疑联系方式：0571-</w:t>
      </w:r>
      <w:r>
        <w:rPr>
          <w:rFonts w:hint="eastAsia" w:ascii="宋体" w:hAnsi="宋体" w:cs="宋体"/>
          <w:sz w:val="24"/>
          <w:lang w:val="en-US" w:eastAsia="zh-CN"/>
        </w:rPr>
        <w:t>89540611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hint="eastAsia"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称：杭州市临安区财政局政府采购监管科、浙江省政府采购行政裁决服务中心（杭州）</w:t>
      </w:r>
    </w:p>
    <w:p>
      <w:pPr>
        <w:spacing w:line="360" w:lineRule="auto"/>
        <w:ind w:firstLine="48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址：杭州市上城区四季青街道新业路市民之家G03办公室（快递仅限ems或顺丰）</w:t>
      </w:r>
    </w:p>
    <w:p>
      <w:pPr>
        <w:spacing w:line="360" w:lineRule="auto"/>
        <w:ind w:firstLine="480"/>
        <w:rPr>
          <w:rFonts w:hint="eastAsia"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真：0571-89541600</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：朱女士、王女士</w:t>
      </w:r>
    </w:p>
    <w:p>
      <w:pPr>
        <w:spacing w:line="360" w:lineRule="auto"/>
        <w:ind w:firstLine="480"/>
        <w:rPr>
          <w:rFonts w:hint="eastAsia" w:ascii="宋体" w:hAnsi="宋体" w:cs="宋体"/>
          <w:sz w:val="24"/>
          <w:lang w:val="en-US" w:eastAsia="zh-CN"/>
        </w:rPr>
      </w:pPr>
      <w:r>
        <w:rPr>
          <w:rFonts w:hint="eastAsia" w:ascii="宋体" w:hAnsi="宋体" w:cs="宋体"/>
          <w:sz w:val="24"/>
        </w:rPr>
        <w:t xml:space="preserve">监督投诉电话：0571-85252453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hint="eastAsia" w:ascii="宋体" w:hAnsi="宋体" w:eastAsia="宋体" w:cs="宋体"/>
          <w:b/>
          <w:sz w:val="36"/>
          <w:szCs w:val="20"/>
          <w:lang w:eastAsia="zh-CN"/>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物业服务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 xml:space="preserve">物业管理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w:t>
            </w:r>
            <w:r>
              <w:rPr>
                <w:rFonts w:hint="eastAsia" w:ascii="宋体" w:hAnsi="宋体" w:cs="宋体"/>
                <w:color w:val="auto"/>
                <w:sz w:val="24"/>
                <w:highlight w:val="none"/>
              </w:rPr>
              <w:t>体、非关键性的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eastAsia="zh-CN"/>
              </w:rPr>
              <w:t>空调滤网清洗保洁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pPr>
              <w:spacing w:line="360" w:lineRule="auto"/>
              <w:rPr>
                <w:rFonts w:ascii="宋体" w:hAnsi="宋体" w:cs="宋体"/>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highlight w:val="none"/>
              </w:rPr>
            </w:pPr>
            <w:r>
              <w:rPr>
                <w:rFonts w:hint="eastAsia" w:ascii="宋体" w:hAnsi="宋体" w:cs="宋体"/>
                <w:sz w:val="24"/>
                <w:highlight w:val="none"/>
              </w:rPr>
              <w:t>(1)开标前答疑会：不组织。</w:t>
            </w:r>
          </w:p>
          <w:p>
            <w:pPr>
              <w:spacing w:line="360" w:lineRule="auto"/>
              <w:rPr>
                <w:rFonts w:hint="eastAsia" w:ascii="宋体" w:hAnsi="宋体" w:cs="宋体"/>
                <w:sz w:val="24"/>
                <w:highlight w:val="none"/>
              </w:rPr>
            </w:pPr>
            <w:r>
              <w:rPr>
                <w:rFonts w:hint="eastAsia" w:ascii="宋体" w:hAnsi="宋体" w:cs="宋体"/>
                <w:sz w:val="24"/>
                <w:highlight w:val="none"/>
              </w:rPr>
              <w:t>(2)现场踏勘：不统一组织，请潜在投标人自行联系采购人进行现场踏勘。</w:t>
            </w:r>
          </w:p>
          <w:p>
            <w:pPr>
              <w:spacing w:line="360" w:lineRule="auto"/>
              <w:rPr>
                <w:rFonts w:ascii="宋体" w:hAnsi="宋体" w:cs="宋体"/>
                <w:sz w:val="24"/>
                <w:szCs w:val="20"/>
                <w:highlight w:val="none"/>
              </w:rPr>
            </w:pPr>
            <w:r>
              <w:rPr>
                <w:rFonts w:hint="eastAsia" w:ascii="宋体" w:hAnsi="宋体" w:cs="宋体"/>
                <w:sz w:val="24"/>
                <w:highlight w:val="none"/>
              </w:rPr>
              <w:t>(3)采购人联系方式：联系人</w:t>
            </w:r>
            <w:r>
              <w:rPr>
                <w:rFonts w:hint="eastAsia" w:ascii="宋体" w:hAnsi="宋体" w:cs="宋体"/>
                <w:sz w:val="24"/>
                <w:highlight w:val="none"/>
                <w:lang w:eastAsia="zh-CN"/>
              </w:rPr>
              <w:t>：</w:t>
            </w:r>
            <w:r>
              <w:rPr>
                <w:rFonts w:hint="eastAsia" w:ascii="宋体" w:hAnsi="宋体" w:cs="宋体"/>
                <w:sz w:val="24"/>
                <w:highlight w:val="none"/>
                <w:lang w:val="en-US" w:eastAsia="zh-CN"/>
              </w:rPr>
              <w:t>吴燕</w:t>
            </w:r>
            <w:r>
              <w:rPr>
                <w:rFonts w:hint="eastAsia" w:ascii="宋体" w:hAnsi="宋体" w:cs="宋体"/>
                <w:sz w:val="24"/>
                <w:highlight w:val="none"/>
                <w:lang w:eastAsia="zh-CN"/>
              </w:rPr>
              <w:t xml:space="preserve"> </w:t>
            </w:r>
            <w:r>
              <w:rPr>
                <w:rFonts w:hint="eastAsia" w:ascii="宋体" w:hAnsi="宋体" w:cs="宋体"/>
                <w:sz w:val="24"/>
                <w:highlight w:val="none"/>
              </w:rPr>
              <w:t>联系电话</w:t>
            </w:r>
            <w:r>
              <w:rPr>
                <w:rFonts w:hint="eastAsia" w:ascii="宋体" w:hAnsi="宋体" w:cs="宋体"/>
                <w:sz w:val="24"/>
                <w:highlight w:val="none"/>
                <w:lang w:eastAsia="zh-CN"/>
              </w:rPr>
              <w:t>：0571-63732552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w:t>
            </w:r>
            <w:r>
              <w:rPr>
                <w:rFonts w:hint="eastAsia" w:ascii="宋体" w:hAnsi="宋体" w:cs="宋体"/>
                <w:color w:val="auto"/>
                <w:kern w:val="0"/>
                <w:sz w:val="24"/>
                <w:highlight w:val="none"/>
              </w:rPr>
              <w:t>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kern w:val="0"/>
                <w:sz w:val="24"/>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lang w:val="zh-CN"/>
              </w:rPr>
              <w:t>认证证书，对获得证书的产品实施政府优先采购或强制采购；其中，对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pPr>
              <w:snapToGrid w:val="0"/>
              <w:spacing w:line="360" w:lineRule="auto"/>
              <w:rPr>
                <w:rFonts w:ascii="宋体" w:hAnsi="宋体" w:cs="宋体"/>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89540588</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color w:val="auto"/>
                <w:kern w:val="0"/>
                <w:sz w:val="24"/>
                <w:highlight w:val="none"/>
              </w:rPr>
              <w:t>本项目评审报告推荐的中标候选人数量：</w:t>
            </w:r>
            <w:r>
              <w:rPr>
                <w:rFonts w:hint="eastAsia" w:cs="Arial" w:asciiTheme="minorEastAsia" w:hAnsiTheme="minorEastAsia" w:eastAsiaTheme="minorEastAsia"/>
                <w:b/>
                <w:bCs/>
                <w:color w:val="auto"/>
                <w:kern w:val="0"/>
                <w:sz w:val="24"/>
                <w:highlight w:val="none"/>
                <w:u w:val="single"/>
              </w:rPr>
              <w:t xml:space="preserve"> 1 </w:t>
            </w:r>
            <w:r>
              <w:rPr>
                <w:rFonts w:hint="eastAsia" w:cs="Arial" w:asciiTheme="minorEastAsia" w:hAnsiTheme="minorEastAsia" w:eastAsiaTheme="minorEastAsia"/>
                <w:color w:val="auto"/>
                <w:kern w:val="0"/>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highlight w:val="none"/>
        </w:rPr>
        <w:t>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w:t>
      </w:r>
      <w:r>
        <w:rPr>
          <w:rFonts w:hint="eastAsia" w:ascii="宋体" w:hAnsi="宋体" w:cs="宋体"/>
          <w:sz w:val="24"/>
        </w:rPr>
        <w:t>业之间存在直接控股、管理关系的，不享受价格扣除优惠政策。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11.1.1符合</w:t>
      </w:r>
      <w:r>
        <w:rPr>
          <w:rFonts w:hint="eastAsia" w:ascii="宋体" w:hAnsi="宋体" w:cs="宋体"/>
          <w:color w:val="auto"/>
          <w:sz w:val="24"/>
        </w:rPr>
        <w:t>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r>
        <w:rPr>
          <w:rFonts w:hint="eastAsia" w:ascii="宋体" w:hAnsi="宋体" w:cs="宋体"/>
        </w:rPr>
        <w:t>17.4在投标截止时间起至投标有效期届满，供应商投标文件不可撤销。</w:t>
      </w:r>
    </w:p>
    <w:p>
      <w:pPr>
        <w:pStyle w:val="128"/>
        <w:spacing w:before="0"/>
        <w:ind w:firstLine="1928" w:firstLineChars="600"/>
        <w:rPr>
          <w:rFonts w:hint="eastAsia"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482" w:firstLineChars="200"/>
        <w:contextualSpacing/>
        <w:rPr>
          <w:rFonts w:ascii="宋体" w:hAnsi="宋体" w:cs="宋体"/>
          <w:b/>
          <w:sz w:val="24"/>
        </w:rPr>
      </w:pPr>
      <w:r>
        <w:rPr>
          <w:rFonts w:hint="eastAsia" w:ascii="宋体" w:hAnsi="宋体" w:cs="宋体"/>
          <w:b/>
          <w:sz w:val="24"/>
          <w:lang w:val="en-US" w:eastAsia="zh-CN"/>
        </w:rPr>
        <w:t>18.4开标记录开启后，请将附件8《政府采购活动现场确认声明书》填写完整发送至邮箱：3692652350@qq.com。</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firstLineChars="20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8"/>
        <w:snapToGrid w:val="0"/>
        <w:spacing w:before="0"/>
        <w:ind w:firstLine="480" w:firstLineChars="200"/>
        <w:rPr>
          <w:rFonts w:hint="eastAsia" w:ascii="宋体" w:hAnsi="宋体" w:cs="宋体"/>
          <w:b w:val="0"/>
          <w:bCs/>
          <w:szCs w:val="24"/>
        </w:rPr>
      </w:pPr>
      <w:r>
        <w:rPr>
          <w:rFonts w:hint="eastAsia" w:ascii="宋体" w:hAnsi="宋体" w:cs="宋体"/>
          <w:b w:val="0"/>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073093"/>
      <w:bookmarkEnd w:id="16"/>
      <w:bookmarkStart w:id="17" w:name="_Hlt74714665"/>
      <w:bookmarkEnd w:id="17"/>
      <w:bookmarkStart w:id="18" w:name="_Hlt74707468"/>
      <w:bookmarkEnd w:id="18"/>
      <w:bookmarkStart w:id="19" w:name="_Hlt74730295"/>
      <w:bookmarkEnd w:id="19"/>
      <w:bookmarkStart w:id="20" w:name="_Hlt75236101"/>
      <w:bookmarkEnd w:id="20"/>
      <w:bookmarkStart w:id="21" w:name="_Hlt68072998"/>
      <w:bookmarkEnd w:id="21"/>
      <w:bookmarkStart w:id="22" w:name="_Hlt68057669"/>
      <w:bookmarkEnd w:id="22"/>
      <w:bookmarkStart w:id="23" w:name="_Hlt74729768"/>
      <w:bookmarkEnd w:id="23"/>
      <w:bookmarkStart w:id="24" w:name="_Hlt75236011"/>
      <w:bookmarkEnd w:id="24"/>
      <w:bookmarkStart w:id="25" w:name="_Hlt75236290"/>
      <w:bookmarkEnd w:id="25"/>
      <w:bookmarkStart w:id="26" w:name="_Hlt6840382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keepNext w:val="0"/>
        <w:keepLines w:val="0"/>
        <w:pageBreakBefore w:val="0"/>
        <w:widowControl/>
        <w:numPr>
          <w:ilvl w:val="0"/>
          <w:numId w:val="0"/>
        </w:numPr>
        <w:kinsoku/>
        <w:wordWrap/>
        <w:overflowPunct/>
        <w:topLinePunct w:val="0"/>
        <w:bidi w:val="0"/>
        <w:adjustRightInd w:val="0"/>
        <w:spacing w:line="360" w:lineRule="auto"/>
        <w:ind w:firstLine="482" w:firstLineChars="200"/>
        <w:textAlignment w:val="baseline"/>
        <w:rPr>
          <w:rFonts w:ascii="宋体" w:hAnsi="宋体" w:cs="宋体"/>
          <w:b/>
          <w:color w:val="000000" w:themeColor="text1"/>
          <w:kern w:val="0"/>
          <w:sz w:val="24"/>
          <w:u w:color="000000"/>
          <w14:textFill>
            <w14:solidFill>
              <w14:schemeClr w14:val="tx1"/>
            </w14:solidFill>
          </w14:textFill>
        </w:rPr>
      </w:pPr>
      <w:r>
        <w:rPr>
          <w:rFonts w:hint="eastAsia" w:ascii="宋体" w:hAnsi="宋体" w:cs="宋体"/>
          <w:b/>
          <w:color w:val="000000" w:themeColor="text1"/>
          <w:kern w:val="0"/>
          <w:sz w:val="24"/>
          <w:u w:color="000000"/>
          <w:lang w:eastAsia="zh-CN"/>
          <w14:textFill>
            <w14:solidFill>
              <w14:schemeClr w14:val="tx1"/>
            </w14:solidFill>
          </w14:textFill>
        </w:rPr>
        <w:t>一、</w:t>
      </w:r>
      <w:r>
        <w:rPr>
          <w:rFonts w:hint="eastAsia" w:ascii="宋体" w:hAnsi="宋体" w:cs="宋体"/>
          <w:b/>
          <w:color w:val="000000" w:themeColor="text1"/>
          <w:kern w:val="0"/>
          <w:sz w:val="24"/>
          <w:u w:color="000000"/>
          <w14:textFill>
            <w14:solidFill>
              <w14:schemeClr w14:val="tx1"/>
            </w14:solidFill>
          </w14:textFill>
        </w:rPr>
        <w:t>项目概况</w:t>
      </w:r>
      <w:r>
        <w:rPr>
          <w:rFonts w:hint="eastAsia" w:ascii="宋体" w:hAnsi="宋体" w:cs="宋体"/>
          <w:b/>
          <w:bCs/>
          <w:color w:val="000000" w:themeColor="text1"/>
          <w:kern w:val="0"/>
          <w:sz w:val="24"/>
          <w:u w:color="000000"/>
          <w14:textFill>
            <w14:solidFill>
              <w14:schemeClr w14:val="tx1"/>
            </w14:solidFill>
          </w14:textFill>
        </w:rPr>
        <w:t>、服务期、</w:t>
      </w:r>
      <w:r>
        <w:rPr>
          <w:rFonts w:hint="eastAsia" w:ascii="宋体" w:hAnsi="宋体" w:cs="宋体"/>
          <w:b/>
          <w:color w:val="000000" w:themeColor="text1"/>
          <w:kern w:val="0"/>
          <w:sz w:val="24"/>
          <w:u w:color="000000"/>
          <w14:textFill>
            <w14:solidFill>
              <w14:schemeClr w14:val="tx1"/>
            </w14:solidFill>
          </w14:textFill>
        </w:rPr>
        <w:t>服务内容与要求</w:t>
      </w:r>
    </w:p>
    <w:p>
      <w:pPr>
        <w:keepNext w:val="0"/>
        <w:keepLines w:val="0"/>
        <w:pageBreakBefore w:val="0"/>
        <w:widowControl/>
        <w:kinsoku/>
        <w:wordWrap/>
        <w:overflowPunct/>
        <w:topLinePunct w:val="0"/>
        <w:bidi w:val="0"/>
        <w:adjustRightInd w:val="0"/>
        <w:spacing w:line="360" w:lineRule="auto"/>
        <w:ind w:firstLine="482"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
          <w:sz w:val="24"/>
        </w:rPr>
        <w:t>（一）项目基本情况：</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bCs/>
          <w:sz w:val="24"/>
        </w:rPr>
        <w:t>杭州市临安区中医院是一家三级乙等中医医院。</w:t>
      </w:r>
      <w:r>
        <w:rPr>
          <w:rFonts w:hint="eastAsia" w:ascii="宋体" w:hAnsi="宋体" w:cs="宋体"/>
          <w:sz w:val="24"/>
        </w:rPr>
        <w:t>医院占地面积约55亩，建筑面积约85000平方米。目前正在三甲创建准备中，现实际开放床位492张，日均门诊量约2500人次。服务范围还包括康养北楼，北楼建筑面积10819平方</w:t>
      </w:r>
      <w:r>
        <w:rPr>
          <w:rFonts w:hint="eastAsia" w:ascii="宋体" w:hAnsi="宋体" w:cs="宋体"/>
          <w:sz w:val="24"/>
          <w:lang w:val="en-US" w:eastAsia="zh-CN"/>
        </w:rPr>
        <w:t>米</w:t>
      </w:r>
      <w:r>
        <w:rPr>
          <w:rFonts w:hint="eastAsia" w:ascii="宋体" w:hAnsi="宋体" w:cs="宋体"/>
          <w:sz w:val="24"/>
        </w:rPr>
        <w:t>。</w:t>
      </w:r>
    </w:p>
    <w:p>
      <w:pPr>
        <w:keepNext w:val="0"/>
        <w:keepLines w:val="0"/>
        <w:pageBreakBefore w:val="0"/>
        <w:kinsoku/>
        <w:wordWrap/>
        <w:overflowPunct/>
        <w:topLinePunct w:val="0"/>
        <w:bidi w:val="0"/>
        <w:adjustRightInd w:val="0"/>
        <w:spacing w:line="360" w:lineRule="auto"/>
        <w:ind w:firstLine="482" w:firstLineChars="200"/>
        <w:rPr>
          <w:rFonts w:hint="eastAsia" w:ascii="宋体" w:hAnsi="宋体" w:cs="宋体"/>
          <w:b/>
          <w:bCs/>
          <w:sz w:val="24"/>
        </w:rPr>
      </w:pPr>
      <w:r>
        <w:rPr>
          <w:rFonts w:hint="eastAsia" w:ascii="宋体" w:hAnsi="宋体" w:cs="宋体"/>
          <w:b/>
          <w:bCs/>
          <w:sz w:val="24"/>
        </w:rPr>
        <w:t>(二）服务期：</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b/>
          <w:bCs/>
          <w:sz w:val="24"/>
        </w:rPr>
      </w:pPr>
      <w:r>
        <w:rPr>
          <w:rFonts w:hint="eastAsia" w:ascii="宋体" w:hAnsi="宋体" w:cs="宋体"/>
          <w:sz w:val="24"/>
        </w:rPr>
        <w:t>服务期限为自合同签订之日</w:t>
      </w:r>
      <w:r>
        <w:rPr>
          <w:rFonts w:hint="eastAsia" w:ascii="宋体" w:hAnsi="宋体" w:cs="宋体"/>
          <w:b w:val="0"/>
          <w:bCs w:val="0"/>
          <w:sz w:val="24"/>
        </w:rPr>
        <w:t>起三年。</w:t>
      </w:r>
      <w:r>
        <w:rPr>
          <w:rFonts w:hint="eastAsia" w:ascii="宋体" w:hAnsi="宋体" w:cs="宋体"/>
          <w:sz w:val="24"/>
        </w:rPr>
        <w:t>合同采取逐年签订方式。合同期内，供应商能严格履行合同，通过采购人的考核，符合相关规定的，可以续签合同，总服务期限不超过3年。</w:t>
      </w:r>
    </w:p>
    <w:p>
      <w:pPr>
        <w:pStyle w:val="128"/>
        <w:keepNext w:val="0"/>
        <w:keepLines w:val="0"/>
        <w:pageBreakBefore w:val="0"/>
        <w:kinsoku/>
        <w:wordWrap/>
        <w:overflowPunct/>
        <w:topLinePunct w:val="0"/>
        <w:bidi w:val="0"/>
        <w:adjustRightInd w:val="0"/>
        <w:snapToGrid w:val="0"/>
        <w:spacing w:before="0" w:line="500" w:lineRule="exact"/>
        <w:ind w:firstLine="482" w:firstLineChars="200"/>
        <w:rPr>
          <w:rFonts w:ascii="宋体" w:hAnsi="宋体" w:cs="宋体"/>
          <w:b/>
          <w:szCs w:val="24"/>
        </w:rPr>
      </w:pPr>
      <w:r>
        <w:rPr>
          <w:rFonts w:hint="eastAsia" w:ascii="宋体" w:hAnsi="宋体" w:cs="宋体"/>
          <w:b/>
          <w:bCs/>
        </w:rPr>
        <w:t>（三）</w:t>
      </w:r>
      <w:r>
        <w:rPr>
          <w:rFonts w:hint="eastAsia" w:ascii="宋体" w:hAnsi="宋体" w:cs="宋体"/>
          <w:b/>
          <w:szCs w:val="24"/>
        </w:rPr>
        <w:t>服务内容及要求:</w:t>
      </w:r>
    </w:p>
    <w:p>
      <w:pPr>
        <w:pStyle w:val="128"/>
        <w:keepNext w:val="0"/>
        <w:keepLines w:val="0"/>
        <w:pageBreakBefore w:val="0"/>
        <w:kinsoku/>
        <w:wordWrap/>
        <w:overflowPunct/>
        <w:topLinePunct w:val="0"/>
        <w:bidi w:val="0"/>
        <w:adjustRightInd w:val="0"/>
        <w:snapToGrid w:val="0"/>
        <w:spacing w:before="0" w:line="500" w:lineRule="exact"/>
        <w:ind w:firstLine="480" w:firstLineChars="200"/>
        <w:rPr>
          <w:rFonts w:ascii="宋体" w:hAnsi="宋体" w:cs="宋体"/>
          <w:color w:val="000000"/>
          <w:szCs w:val="24"/>
        </w:rPr>
      </w:pPr>
      <w:r>
        <w:rPr>
          <w:rFonts w:hint="eastAsia" w:ascii="宋体" w:hAnsi="宋体" w:cs="宋体"/>
          <w:szCs w:val="24"/>
        </w:rPr>
        <w:t>服务内容</w:t>
      </w:r>
      <w:r>
        <w:rPr>
          <w:rFonts w:hint="eastAsia" w:ascii="宋体" w:hAnsi="宋体" w:cs="宋体"/>
          <w:color w:val="000000"/>
          <w:szCs w:val="24"/>
        </w:rPr>
        <w:t>包括保洁服务、勤务运送、陪护等内容。</w:t>
      </w:r>
    </w:p>
    <w:p>
      <w:pPr>
        <w:keepNext w:val="0"/>
        <w:keepLines w:val="0"/>
        <w:pageBreakBefore w:val="0"/>
        <w:tabs>
          <w:tab w:val="left" w:pos="360"/>
          <w:tab w:val="left" w:pos="540"/>
          <w:tab w:val="left" w:pos="720"/>
          <w:tab w:val="left" w:pos="900"/>
        </w:tabs>
        <w:kinsoku/>
        <w:wordWrap/>
        <w:overflowPunct/>
        <w:topLinePunct w:val="0"/>
        <w:autoSpaceDE w:val="0"/>
        <w:autoSpaceDN w:val="0"/>
        <w:bidi w:val="0"/>
        <w:adjustRightInd w:val="0"/>
        <w:spacing w:line="360" w:lineRule="auto"/>
        <w:ind w:firstLine="480" w:firstLineChars="200"/>
        <w:rPr>
          <w:rFonts w:ascii="宋体" w:hAnsi="宋体" w:cs="宋体"/>
          <w:sz w:val="24"/>
        </w:rPr>
      </w:pPr>
      <w:r>
        <w:rPr>
          <w:rFonts w:hint="eastAsia" w:ascii="宋体" w:hAnsi="宋体" w:cs="宋体"/>
          <w:b w:val="0"/>
          <w:bCs w:val="0"/>
          <w:i w:val="0"/>
          <w:iCs w:val="0"/>
          <w:sz w:val="24"/>
        </w:rPr>
        <w:t>1.医院保洁勤务陪护综合服务范围：医院保洁范围：门诊楼、医技楼、住院楼、中医楼、行政楼、康养北楼、露台、走廊、外围、地下室廊道；所有区域的清洁、垃圾清运、窗帘床帘拆装、污水处理等。包括完成保洁合同所需的设备投入，</w:t>
      </w:r>
      <w:r>
        <w:rPr>
          <w:rFonts w:hint="eastAsia" w:ascii="宋体" w:hAnsi="宋体" w:cs="宋体"/>
          <w:bCs/>
          <w:sz w:val="24"/>
        </w:rPr>
        <w:t>以及除医用以外的各类垃圾袋和易耗工具、物料</w:t>
      </w:r>
      <w:r>
        <w:rPr>
          <w:rFonts w:hint="eastAsia" w:ascii="宋体" w:hAnsi="宋体" w:cs="宋体"/>
          <w:sz w:val="24"/>
        </w:rPr>
        <w:t>。医院运送范围:全院运送工作。医院陪护服务范围:住院部。具体以招标文件采购需求为准。</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ascii="宋体" w:hAnsi="宋体"/>
          <w:b w:val="0"/>
          <w:bCs w:val="0"/>
          <w:color w:val="000000"/>
          <w:sz w:val="24"/>
        </w:rPr>
        <w:t>2</w:t>
      </w:r>
      <w:r>
        <w:rPr>
          <w:rFonts w:hint="eastAsia" w:ascii="宋体" w:hAnsi="宋体"/>
          <w:b w:val="0"/>
          <w:bCs w:val="0"/>
          <w:color w:val="000000"/>
          <w:sz w:val="24"/>
        </w:rPr>
        <w:t>.</w:t>
      </w:r>
      <w:r>
        <w:rPr>
          <w:rFonts w:hint="eastAsia" w:ascii="宋体" w:hAnsi="宋体" w:cs="宋体"/>
          <w:sz w:val="24"/>
        </w:rPr>
        <w:t>日常</w:t>
      </w:r>
      <w:r>
        <w:rPr>
          <w:rFonts w:hint="eastAsia" w:ascii="宋体" w:hAnsi="宋体" w:cs="宋体"/>
          <w:color w:val="000000"/>
          <w:sz w:val="24"/>
        </w:rPr>
        <w:t>保</w:t>
      </w:r>
      <w:r>
        <w:rPr>
          <w:rFonts w:ascii="宋体" w:hAnsi="宋体"/>
          <w:color w:val="000000"/>
          <w:sz w:val="24"/>
        </w:rPr>
        <w:t>洁时间：</w:t>
      </w:r>
      <w:r>
        <w:rPr>
          <w:rFonts w:hint="eastAsia" w:ascii="宋体" w:hAnsi="宋体"/>
          <w:b/>
          <w:bCs/>
          <w:color w:val="000000"/>
          <w:sz w:val="24"/>
        </w:rPr>
        <w:t>病区、血液净化中心</w:t>
      </w:r>
      <w:r>
        <w:rPr>
          <w:rFonts w:hint="eastAsia" w:ascii="宋体" w:hAnsi="宋体"/>
          <w:color w:val="000000"/>
          <w:sz w:val="24"/>
        </w:rPr>
        <w:t>：按医院上班时间上午提前2小时，下午下班推迟半小时；</w:t>
      </w:r>
      <w:r>
        <w:rPr>
          <w:rFonts w:hint="eastAsia" w:ascii="宋体" w:hAnsi="宋体"/>
          <w:b/>
          <w:bCs/>
          <w:color w:val="000000"/>
          <w:sz w:val="24"/>
        </w:rPr>
        <w:t>行政楼、</w:t>
      </w:r>
      <w:r>
        <w:rPr>
          <w:rFonts w:hint="eastAsia" w:ascii="宋体" w:hAnsi="宋体" w:cs="宋体"/>
          <w:b/>
          <w:bCs/>
          <w:color w:val="000000"/>
          <w:sz w:val="24"/>
        </w:rPr>
        <w:t>医技楼</w:t>
      </w:r>
      <w:r>
        <w:rPr>
          <w:rFonts w:hint="eastAsia" w:ascii="宋体" w:hAnsi="宋体" w:cs="宋体"/>
          <w:b/>
          <w:bCs/>
          <w:color w:val="000000"/>
        </w:rPr>
        <w:t>、</w:t>
      </w:r>
      <w:r>
        <w:rPr>
          <w:rFonts w:hint="eastAsia" w:ascii="宋体" w:hAnsi="宋体"/>
          <w:b/>
          <w:bCs/>
          <w:color w:val="000000"/>
          <w:sz w:val="24"/>
        </w:rPr>
        <w:t>中医楼、门诊楼等区域</w:t>
      </w:r>
      <w:r>
        <w:rPr>
          <w:rFonts w:hint="eastAsia" w:ascii="宋体" w:hAnsi="宋体"/>
          <w:color w:val="000000"/>
          <w:sz w:val="24"/>
        </w:rPr>
        <w:t>：按医院上班时间上午提前半小时，下午下班推迟15分钟；</w:t>
      </w:r>
      <w:r>
        <w:rPr>
          <w:rFonts w:hint="eastAsia" w:ascii="宋体" w:hAnsi="宋体"/>
          <w:b/>
          <w:bCs/>
          <w:color w:val="000000"/>
          <w:sz w:val="24"/>
        </w:rPr>
        <w:t>外围</w:t>
      </w:r>
      <w:r>
        <w:rPr>
          <w:rFonts w:hint="eastAsia" w:ascii="宋体" w:hAnsi="宋体"/>
          <w:color w:val="000000"/>
          <w:sz w:val="24"/>
        </w:rPr>
        <w:t>:按医院上班时间上午提前1小时，下午下班推迟15分钟。</w:t>
      </w:r>
      <w:r>
        <w:rPr>
          <w:rFonts w:hint="eastAsia" w:ascii="宋体" w:hAnsi="宋体"/>
          <w:b/>
          <w:bCs/>
          <w:color w:val="000000"/>
          <w:sz w:val="24"/>
        </w:rPr>
        <w:t>特殊科室:</w:t>
      </w:r>
      <w:r>
        <w:rPr>
          <w:rFonts w:hint="eastAsia" w:ascii="宋体" w:hAnsi="宋体" w:cs="宋体"/>
          <w:sz w:val="24"/>
        </w:rPr>
        <w:t>急诊、ICU、手术室、发热门诊24小时上班。</w:t>
      </w:r>
      <w:r>
        <w:rPr>
          <w:rFonts w:hint="eastAsia" w:ascii="宋体" w:hAnsi="宋体" w:cs="宋体"/>
          <w:b/>
          <w:bCs/>
          <w:sz w:val="24"/>
        </w:rPr>
        <w:t>病区、门诊公共区域、病区楼道:</w:t>
      </w:r>
      <w:r>
        <w:rPr>
          <w:rFonts w:hint="eastAsia" w:ascii="宋体" w:hAnsi="宋体" w:cs="宋体"/>
          <w:sz w:val="24"/>
        </w:rPr>
        <w:t>中午11:00-14:00，晚上17:00—21:00必须安排人员巡逻二次以上。</w:t>
      </w:r>
    </w:p>
    <w:p>
      <w:pPr>
        <w:pStyle w:val="2"/>
        <w:keepNext w:val="0"/>
        <w:keepLines w:val="0"/>
        <w:pageBreakBefore w:val="0"/>
        <w:kinsoku/>
        <w:wordWrap/>
        <w:overflowPunct/>
        <w:topLinePunct w:val="0"/>
        <w:bidi w:val="0"/>
        <w:adjustRightInd w:val="0"/>
        <w:ind w:firstLine="480" w:firstLineChars="200"/>
        <w:rPr>
          <w:sz w:val="24"/>
        </w:rPr>
      </w:pPr>
      <w:r>
        <w:rPr>
          <w:rFonts w:hint="eastAsia" w:ascii="宋体" w:hAnsi="宋体"/>
          <w:color w:val="000000"/>
          <w:sz w:val="24"/>
        </w:rPr>
        <w:t>运送工作</w:t>
      </w:r>
      <w:r>
        <w:rPr>
          <w:rFonts w:ascii="宋体" w:hAnsi="宋体"/>
          <w:color w:val="000000"/>
          <w:sz w:val="24"/>
        </w:rPr>
        <w:t>时间</w:t>
      </w:r>
      <w:r>
        <w:rPr>
          <w:rFonts w:hint="eastAsia" w:ascii="宋体" w:hAnsi="宋体"/>
          <w:color w:val="000000"/>
          <w:sz w:val="24"/>
        </w:rPr>
        <w:t>:全院运送24小时。 陪护工作时间:病区</w:t>
      </w:r>
      <w:r>
        <w:rPr>
          <w:rFonts w:hint="eastAsia" w:ascii="宋体" w:hAnsi="宋体" w:cs="宋体"/>
          <w:color w:val="000000"/>
          <w:sz w:val="24"/>
        </w:rPr>
        <w:t>陪护24小时。</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b w:val="0"/>
          <w:bCs w:val="0"/>
          <w:sz w:val="24"/>
        </w:rPr>
        <w:t>3.日</w:t>
      </w:r>
      <w:r>
        <w:rPr>
          <w:rFonts w:hint="eastAsia" w:ascii="宋体" w:hAnsi="宋体" w:cs="宋体"/>
          <w:sz w:val="24"/>
        </w:rPr>
        <w:t>常保洁基本要求</w:t>
      </w:r>
    </w:p>
    <w:p>
      <w:pPr>
        <w:keepNext w:val="0"/>
        <w:keepLines w:val="0"/>
        <w:pageBreakBefore w:val="0"/>
        <w:kinsoku/>
        <w:wordWrap/>
        <w:overflowPunct/>
        <w:topLinePunct w:val="0"/>
        <w:bidi w:val="0"/>
        <w:adjustRightInd w:val="0"/>
        <w:spacing w:line="360" w:lineRule="auto"/>
        <w:ind w:firstLine="482" w:firstLineChars="200"/>
        <w:rPr>
          <w:rFonts w:ascii="宋体" w:hAnsi="宋体" w:cs="宋体"/>
          <w:sz w:val="24"/>
        </w:rPr>
      </w:pPr>
      <w:r>
        <w:rPr>
          <w:rFonts w:hint="eastAsia" w:ascii="宋体" w:hAnsi="宋体" w:cs="宋体"/>
          <w:b/>
          <w:bCs/>
          <w:sz w:val="24"/>
        </w:rPr>
        <w:t>（1）</w:t>
      </w:r>
      <w:r>
        <w:rPr>
          <w:rFonts w:hint="eastAsia" w:ascii="宋体" w:hAnsi="宋体" w:cs="宋体"/>
          <w:b/>
          <w:bCs/>
          <w:color w:val="auto"/>
          <w:sz w:val="24"/>
        </w:rPr>
        <w:t>门诊各科诊室</w:t>
      </w:r>
      <w:r>
        <w:rPr>
          <w:rFonts w:hint="eastAsia" w:ascii="宋体" w:hAnsi="宋体" w:cs="宋体"/>
          <w:color w:val="auto"/>
          <w:sz w:val="24"/>
        </w:rPr>
        <w:t>：</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拖地、倒垃圾常规每天二次(上午、下午)，采用湿式清扫，保持地面、环境清洁，干燥。</w:t>
      </w:r>
    </w:p>
    <w:p>
      <w:pPr>
        <w:keepNext w:val="0"/>
        <w:keepLines w:val="0"/>
        <w:pageBreakBefore w:val="0"/>
        <w:kinsoku/>
        <w:wordWrap/>
        <w:overflowPunct/>
        <w:topLinePunct w:val="0"/>
        <w:bidi w:val="0"/>
        <w:adjustRightInd w:val="0"/>
        <w:spacing w:line="360" w:lineRule="auto"/>
        <w:ind w:left="239" w:leftChars="114"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、桌面、椅子、诊察床(床档)、柜子表面、水槽、搁脚発、污物桶等每天擦拭一次，保持清洁无污渍。</w:t>
      </w:r>
    </w:p>
    <w:p>
      <w:pPr>
        <w:keepNext w:val="0"/>
        <w:keepLines w:val="0"/>
        <w:pageBreakBefore w:val="0"/>
        <w:kinsoku/>
        <w:wordWrap/>
        <w:overflowPunct/>
        <w:topLinePunct w:val="0"/>
        <w:bidi w:val="0"/>
        <w:adjustRightInd w:val="0"/>
        <w:spacing w:line="360" w:lineRule="auto"/>
        <w:ind w:left="239" w:leftChars="114"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、每日清洁门、窗、地。每月清洁电风扇、灯管等无积灰，每季度清洁玻璃，保持窗户干净。</w:t>
      </w:r>
    </w:p>
    <w:p>
      <w:pPr>
        <w:keepNext w:val="0"/>
        <w:keepLines w:val="0"/>
        <w:pageBreakBefore w:val="0"/>
        <w:kinsoku/>
        <w:wordWrap/>
        <w:overflowPunct/>
        <w:topLinePunct w:val="0"/>
        <w:bidi w:val="0"/>
        <w:adjustRightInd w:val="0"/>
        <w:spacing w:line="360" w:lineRule="auto"/>
        <w:ind w:left="239" w:leftChars="114"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、清洗窗帘每年一次、床帘每年二次并安装（特殊科室频率是每月）。</w:t>
      </w:r>
    </w:p>
    <w:p>
      <w:pPr>
        <w:keepNext w:val="0"/>
        <w:keepLines w:val="0"/>
        <w:pageBreakBefore w:val="0"/>
        <w:kinsoku/>
        <w:wordWrap/>
        <w:overflowPunct/>
        <w:topLinePunct w:val="0"/>
        <w:bidi w:val="0"/>
        <w:adjustRightInd w:val="0"/>
        <w:spacing w:line="360" w:lineRule="auto"/>
        <w:ind w:firstLine="720" w:firstLineChars="3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、做好各种清洗物品清点和洗后验收清点工作并签名。</w:t>
      </w:r>
    </w:p>
    <w:p>
      <w:pPr>
        <w:keepNext w:val="0"/>
        <w:keepLines w:val="0"/>
        <w:pageBreakBefore w:val="0"/>
        <w:kinsoku/>
        <w:wordWrap/>
        <w:overflowPunct/>
        <w:topLinePunct w:val="0"/>
        <w:bidi w:val="0"/>
        <w:adjustRightInd w:val="0"/>
        <w:spacing w:line="360" w:lineRule="auto"/>
        <w:ind w:firstLine="720" w:firstLineChars="3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、按护士长要求完成一些力所能及的指令性卫生工作。</w:t>
      </w:r>
    </w:p>
    <w:p>
      <w:pPr>
        <w:keepNext w:val="0"/>
        <w:keepLines w:val="0"/>
        <w:pageBreakBefore w:val="0"/>
        <w:kinsoku/>
        <w:wordWrap/>
        <w:overflowPunct/>
        <w:topLinePunct w:val="0"/>
        <w:bidi w:val="0"/>
        <w:adjustRightInd w:val="0"/>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b/>
          <w:bCs/>
          <w:color w:val="auto"/>
          <w:sz w:val="24"/>
        </w:rPr>
        <w:t>病区卫生工作</w:t>
      </w:r>
      <w:r>
        <w:rPr>
          <w:rFonts w:hint="eastAsia" w:ascii="宋体" w:hAnsi="宋体" w:cs="宋体"/>
          <w:color w:val="auto"/>
          <w:sz w:val="24"/>
        </w:rPr>
        <w:t>：</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、保持开水房、开水器、热水瓶、微波炉清洁。消除开水房地面积水，防止滑倒。</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、各楼层走廊通道、电梯厅、示意牌光亮清洁无尘。安全通道，楼梯清洁无垃圾，扶手、画框、栏杆、灯罩、烟道通风口无灰尘。</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湿式清扫地面，先拖后扫(走廊、各病室、阳台、卫生间、医生办公室、护士站等)，每日两次，必要时随时清洁。地面无垃圾、无污迹、水渍，有防滑措施与警示牌。保持各诊室、治疗室、护理站、医生办公室、医护值班室各种台面、地面、椅子等洁净无尘。</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卫生间整体明亮洁净，每2小时巡视保洁，无异味。卫生间门、墙面、厕所清洁无污垢，地面保持干燥，防止滑倒。小便池无黄迹，无污垢，无烟头。蹲坑、坐坑内外清洁，无粪迹，无污垢黄迹。纸篓内外表干净，污物量不超过2/3。</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、病区平车、轮椅等的清洁卫生每月清洁一次，各室玻璃窗每季度清洁一次。特殊科室空调滤网每月清洗一次。</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 xml:space="preserve"> 及时倾倒各类生活垃圾，按要求收集生活垃圾和医用垃圾，垃圾桶保持清洁无污垢。</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7 \* GB3 </w:instrText>
      </w:r>
      <w:r>
        <w:rPr>
          <w:rFonts w:hint="eastAsia" w:ascii="宋体" w:hAnsi="宋体" w:cs="宋体"/>
          <w:sz w:val="24"/>
        </w:rPr>
        <w:fldChar w:fldCharType="separate"/>
      </w:r>
      <w:r>
        <w:rPr>
          <w:rFonts w:hint="eastAsia" w:ascii="宋体" w:hAnsi="宋体" w:cs="宋体"/>
          <w:sz w:val="24"/>
        </w:rPr>
        <w:t>⑦</w:t>
      </w:r>
      <w:r>
        <w:rPr>
          <w:rFonts w:hint="eastAsia" w:ascii="宋体" w:hAnsi="宋体" w:cs="宋体"/>
          <w:sz w:val="24"/>
        </w:rPr>
        <w:fldChar w:fldCharType="end"/>
      </w:r>
      <w:r>
        <w:rPr>
          <w:rFonts w:hint="eastAsia" w:ascii="宋体" w:hAnsi="宋体" w:cs="宋体"/>
          <w:sz w:val="24"/>
        </w:rPr>
        <w:t>、保持污洗间干净无积水。各类工具规范放置。</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8 \* GB3 </w:instrText>
      </w:r>
      <w:r>
        <w:rPr>
          <w:rFonts w:hint="eastAsia" w:ascii="宋体" w:hAnsi="宋体" w:cs="宋体"/>
          <w:sz w:val="24"/>
        </w:rPr>
        <w:fldChar w:fldCharType="separate"/>
      </w:r>
      <w:r>
        <w:rPr>
          <w:rFonts w:hint="eastAsia" w:ascii="宋体" w:hAnsi="宋体" w:cs="宋体"/>
          <w:sz w:val="24"/>
        </w:rPr>
        <w:t>⑧</w:t>
      </w:r>
      <w:r>
        <w:rPr>
          <w:rFonts w:hint="eastAsia" w:ascii="宋体" w:hAnsi="宋体" w:cs="宋体"/>
          <w:sz w:val="24"/>
        </w:rPr>
        <w:fldChar w:fldCharType="end"/>
      </w:r>
      <w:r>
        <w:rPr>
          <w:rFonts w:hint="eastAsia" w:ascii="宋体" w:hAnsi="宋体" w:cs="宋体"/>
          <w:sz w:val="24"/>
        </w:rPr>
        <w:t>、按护长要求完成一些力所能及的指令性卫生工作。</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9 \* GB3 </w:instrText>
      </w:r>
      <w:r>
        <w:rPr>
          <w:rFonts w:hint="eastAsia" w:ascii="宋体" w:hAnsi="宋体" w:cs="宋体"/>
          <w:sz w:val="24"/>
        </w:rPr>
        <w:fldChar w:fldCharType="separate"/>
      </w:r>
      <w:r>
        <w:rPr>
          <w:rFonts w:hint="eastAsia" w:ascii="宋体" w:hAnsi="宋体" w:cs="宋体"/>
          <w:sz w:val="24"/>
        </w:rPr>
        <w:t>⑨</w:t>
      </w:r>
      <w:r>
        <w:rPr>
          <w:rFonts w:hint="eastAsia" w:ascii="宋体" w:hAnsi="宋体" w:cs="宋体"/>
          <w:sz w:val="24"/>
        </w:rPr>
        <w:fldChar w:fldCharType="end"/>
      </w:r>
      <w:r>
        <w:rPr>
          <w:rFonts w:hint="eastAsia" w:ascii="宋体" w:hAnsi="宋体" w:cs="宋体"/>
          <w:sz w:val="24"/>
        </w:rPr>
        <w:t>、做好病区污染医用织物与病号服的送洗清点和洗后验收并签名。</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10 \* GB3 </w:instrText>
      </w:r>
      <w:r>
        <w:rPr>
          <w:rFonts w:hint="eastAsia" w:ascii="宋体" w:hAnsi="宋体" w:cs="宋体"/>
          <w:sz w:val="24"/>
        </w:rPr>
        <w:fldChar w:fldCharType="separate"/>
      </w:r>
      <w:r>
        <w:rPr>
          <w:rFonts w:hint="eastAsia" w:ascii="宋体" w:hAnsi="宋体" w:cs="宋体"/>
          <w:sz w:val="24"/>
        </w:rPr>
        <w:t>⑩</w:t>
      </w:r>
      <w:r>
        <w:rPr>
          <w:rFonts w:hint="eastAsia" w:ascii="宋体" w:hAnsi="宋体" w:cs="宋体"/>
          <w:sz w:val="24"/>
        </w:rPr>
        <w:fldChar w:fldCharType="end"/>
      </w:r>
      <w:r>
        <w:rPr>
          <w:rFonts w:hint="eastAsia" w:ascii="宋体" w:hAnsi="宋体" w:cs="宋体"/>
          <w:sz w:val="24"/>
        </w:rPr>
        <w:t>、保持病区宣传栏、门玻璃窗内外洁净光亮、无乱贴乱画、广告、堆放杂物、乱挂衣物。</w:t>
      </w:r>
    </w:p>
    <w:p>
      <w:pPr>
        <w:keepNext w:val="0"/>
        <w:keepLines w:val="0"/>
        <w:pageBreakBefore w:val="0"/>
        <w:kinsoku/>
        <w:wordWrap/>
        <w:overflowPunct/>
        <w:topLinePunct w:val="0"/>
        <w:bidi w:val="0"/>
        <w:adjustRightInd w:val="0"/>
        <w:spacing w:line="360" w:lineRule="auto"/>
        <w:ind w:firstLine="482" w:firstLineChars="200"/>
        <w:rPr>
          <w:rFonts w:ascii="宋体" w:hAnsi="宋体" w:cs="宋体"/>
          <w:b/>
          <w:bCs/>
          <w:sz w:val="24"/>
        </w:rPr>
      </w:pPr>
      <w:r>
        <w:rPr>
          <w:rFonts w:hint="eastAsia" w:ascii="宋体" w:hAnsi="宋体" w:cs="宋体"/>
          <w:b/>
          <w:bCs/>
          <w:sz w:val="24"/>
        </w:rPr>
        <w:t>（3）</w:t>
      </w:r>
      <w:r>
        <w:rPr>
          <w:rFonts w:hint="eastAsia" w:ascii="宋体" w:hAnsi="宋体" w:cs="宋体"/>
          <w:b/>
          <w:bCs/>
          <w:color w:val="auto"/>
          <w:sz w:val="24"/>
        </w:rPr>
        <w:t>病房清洁卫生标准</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病房要求</w:t>
      </w:r>
      <w:r>
        <w:rPr>
          <w:rFonts w:hint="eastAsia" w:ascii="宋体" w:hAnsi="宋体" w:cs="宋体"/>
          <w:b/>
          <w:bCs/>
          <w:sz w:val="24"/>
        </w:rPr>
        <w:t>:</w:t>
      </w:r>
      <w:r>
        <w:rPr>
          <w:rFonts w:hint="eastAsia" w:ascii="宋体" w:hAnsi="宋体" w:cs="宋体"/>
          <w:sz w:val="24"/>
        </w:rPr>
        <w:t>保持病房安静、整洁、舒适、安全。</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、病房内墙面、桌面，床档清洁、无尘。地面无垃圾、无污迹，保持干净。</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病人出院后须按院感要求对床单位及相关设施、设备、物品等进行终末清洁、消毒。出院病人终末消毒必须在病人出院后1小时内完成。病床干净、床档无积灰，保持床单位的整洁。一床一巾，一卫一巾，一房一拖，不可混用。按院感要求做好清洁消毒工作。</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、病室窗帘、床帘:干净、整洁、无污迹，悬挂符合标准。布质窗帘一年清洗一次；普通科室床帘半年清洗一次，特殊区域，如急诊科、ICU、产房等按照医院院感要求每月清洗床帘一次。</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、柜内无积灰，抽屉内外干净无污迹。</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、垃圾桶内外清洁，垃圾袋按标准套放。</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、墙面、风口无积灰。</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7 \* GB3 </w:instrText>
      </w:r>
      <w:r>
        <w:rPr>
          <w:rFonts w:hint="eastAsia" w:ascii="宋体" w:hAnsi="宋体" w:cs="宋体"/>
          <w:sz w:val="24"/>
        </w:rPr>
        <w:fldChar w:fldCharType="separate"/>
      </w:r>
      <w:r>
        <w:rPr>
          <w:rFonts w:hint="eastAsia" w:ascii="宋体" w:hAnsi="宋体" w:cs="宋体"/>
          <w:sz w:val="24"/>
        </w:rPr>
        <w:t>⑦</w:t>
      </w:r>
      <w:r>
        <w:rPr>
          <w:rFonts w:hint="eastAsia" w:ascii="宋体" w:hAnsi="宋体" w:cs="宋体"/>
          <w:sz w:val="24"/>
        </w:rPr>
        <w:fldChar w:fldCharType="end"/>
      </w:r>
      <w:r>
        <w:rPr>
          <w:rFonts w:hint="eastAsia" w:ascii="宋体" w:hAnsi="宋体" w:cs="宋体"/>
          <w:sz w:val="24"/>
        </w:rPr>
        <w:t>、病房四角无蛛网尘埃。</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8 \* GB3 </w:instrText>
      </w:r>
      <w:r>
        <w:rPr>
          <w:rFonts w:hint="eastAsia" w:ascii="宋体" w:hAnsi="宋体" w:cs="宋体"/>
          <w:sz w:val="24"/>
        </w:rPr>
        <w:fldChar w:fldCharType="separate"/>
      </w:r>
      <w:r>
        <w:rPr>
          <w:rFonts w:hint="eastAsia" w:ascii="宋体" w:hAnsi="宋体" w:cs="宋体"/>
          <w:sz w:val="24"/>
        </w:rPr>
        <w:t>⑧</w:t>
      </w:r>
      <w:r>
        <w:rPr>
          <w:rFonts w:hint="eastAsia" w:ascii="宋体" w:hAnsi="宋体" w:cs="宋体"/>
          <w:sz w:val="24"/>
        </w:rPr>
        <w:fldChar w:fldCharType="end"/>
      </w:r>
      <w:r>
        <w:rPr>
          <w:rFonts w:hint="eastAsia" w:ascii="宋体" w:hAnsi="宋体" w:cs="宋体"/>
          <w:sz w:val="24"/>
        </w:rPr>
        <w:t>、玻璃窗清洁光亮、窗台、窗轨清洁无尘。</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9 \* GB3 </w:instrText>
      </w:r>
      <w:r>
        <w:rPr>
          <w:rFonts w:hint="eastAsia" w:ascii="宋体" w:hAnsi="宋体" w:cs="宋体"/>
          <w:sz w:val="24"/>
        </w:rPr>
        <w:fldChar w:fldCharType="separate"/>
      </w:r>
      <w:r>
        <w:rPr>
          <w:rFonts w:hint="eastAsia" w:ascii="宋体" w:hAnsi="宋体" w:cs="宋体"/>
          <w:sz w:val="24"/>
        </w:rPr>
        <w:t>⑨</w:t>
      </w:r>
      <w:r>
        <w:rPr>
          <w:rFonts w:hint="eastAsia" w:ascii="宋体" w:hAnsi="宋体" w:cs="宋体"/>
          <w:sz w:val="24"/>
        </w:rPr>
        <w:fldChar w:fldCharType="end"/>
      </w:r>
      <w:r>
        <w:rPr>
          <w:rFonts w:hint="eastAsia" w:ascii="宋体" w:hAnsi="宋体" w:cs="宋体"/>
          <w:sz w:val="24"/>
        </w:rPr>
        <w:t>、病房内、外无乱挂衣物。地面保持洁净光亮、整洁。</w:t>
      </w:r>
    </w:p>
    <w:p>
      <w:pPr>
        <w:keepNext w:val="0"/>
        <w:keepLines w:val="0"/>
        <w:pageBreakBefore w:val="0"/>
        <w:kinsoku/>
        <w:wordWrap/>
        <w:overflowPunct/>
        <w:topLinePunct w:val="0"/>
        <w:bidi w:val="0"/>
        <w:adjustRightInd w:val="0"/>
        <w:spacing w:line="360" w:lineRule="auto"/>
        <w:ind w:firstLine="482" w:firstLineChars="200"/>
        <w:rPr>
          <w:rFonts w:ascii="宋体" w:hAnsi="宋体" w:cs="宋体"/>
          <w:b/>
          <w:bCs/>
          <w:sz w:val="24"/>
        </w:rPr>
      </w:pPr>
      <w:r>
        <w:rPr>
          <w:rFonts w:hint="eastAsia" w:ascii="宋体" w:hAnsi="宋体" w:cs="宋体"/>
          <w:b/>
          <w:bCs/>
          <w:sz w:val="24"/>
        </w:rPr>
        <w:t>(4)</w:t>
      </w:r>
      <w:r>
        <w:rPr>
          <w:rFonts w:hint="eastAsia" w:ascii="宋体" w:hAnsi="宋体" w:cs="宋体"/>
          <w:b/>
          <w:bCs/>
          <w:color w:val="auto"/>
          <w:sz w:val="24"/>
          <w:lang w:val="en-US" w:eastAsia="zh-CN"/>
        </w:rPr>
        <w:t>洗手间</w:t>
      </w:r>
      <w:r>
        <w:rPr>
          <w:rFonts w:hint="eastAsia" w:ascii="宋体" w:hAnsi="宋体" w:cs="宋体"/>
          <w:b/>
          <w:bCs/>
          <w:color w:val="auto"/>
          <w:sz w:val="24"/>
        </w:rPr>
        <w:t>要求:</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 整洁明亮，天花板无积灰、蜘蛛网。墙面、墙身面砖清洁光亮，无污迹。地面洁净、干燥、无垃圾、水渍与脚印。无异味，保持地漏盖上盖无缺失。有防滑措施。</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、镜面清晰明亮无积尘、水迹及污渍。</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、洗手池台面干净，台盆内无积垢。下水口清洁，通畅，无污垢堵塞。管路螺纹缝隙中无积灰。水龙头光亮洁净无污垢。毛巾架光亮无水迹。</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、镜面清晰，明亮。不锈钢面清洁，明亮，无污迹。定期养护不锈钢。</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、蹲坑，坐坑内外清洁，无粪迹，无污垢黄迹。</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、纸篓内外表干净，污物量不超过2/3。污物桶内、外保持清净，垃圾袋按标准套放。</w:t>
      </w:r>
    </w:p>
    <w:p>
      <w:pPr>
        <w:keepNext w:val="0"/>
        <w:keepLines w:val="0"/>
        <w:pageBreakBefore w:val="0"/>
        <w:kinsoku/>
        <w:wordWrap/>
        <w:overflowPunct/>
        <w:topLinePunct w:val="0"/>
        <w:bidi w:val="0"/>
        <w:adjustRightInd w:val="0"/>
        <w:spacing w:line="360" w:lineRule="auto"/>
        <w:ind w:firstLine="482" w:firstLineChars="200"/>
        <w:rPr>
          <w:rFonts w:ascii="宋体" w:hAnsi="宋体" w:cs="宋体"/>
          <w:b/>
          <w:bCs/>
          <w:sz w:val="24"/>
        </w:rPr>
      </w:pPr>
      <w:r>
        <w:rPr>
          <w:rFonts w:hint="eastAsia" w:ascii="宋体" w:hAnsi="宋体" w:cs="宋体"/>
          <w:b/>
          <w:bCs/>
          <w:sz w:val="24"/>
        </w:rPr>
        <w:t>(5)公区环境保洁、专项保洁服务</w:t>
      </w:r>
    </w:p>
    <w:p>
      <w:pPr>
        <w:keepNext w:val="0"/>
        <w:keepLines w:val="0"/>
        <w:pageBreakBefore w:val="0"/>
        <w:kinsoku/>
        <w:wordWrap/>
        <w:overflowPunct/>
        <w:topLinePunct w:val="0"/>
        <w:bidi w:val="0"/>
        <w:adjustRightInd w:val="0"/>
        <w:spacing w:line="360" w:lineRule="auto"/>
        <w:ind w:firstLine="482" w:firstLineChars="200"/>
        <w:rPr>
          <w:rFonts w:ascii="宋体" w:hAnsi="宋体" w:cs="宋体"/>
          <w:b/>
          <w:bCs/>
          <w:sz w:val="24"/>
        </w:rPr>
      </w:pPr>
      <w:r>
        <w:rPr>
          <w:rFonts w:hint="eastAsia" w:ascii="宋体" w:hAnsi="宋体" w:cs="宋体"/>
          <w:b/>
          <w:bCs/>
          <w:sz w:val="24"/>
        </w:rPr>
        <w:t>1）内容：</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大楼内的楼梯、大厅、走廊、屋顶天台、吊顶、平台、雨棚、电梯厅、电梯间、卫生间、会议室、接待室、办公区域、公共活动场所的台（地）面、明沟、墙面、门、窗、灯具、果壳箱等设施和器皿等所有公共部位设施，规划内的道路、生活垃圾房等所有公共场地及设施和门前三包"区域的日常保洁保养以及按生活垃圾分类要求运送、医疗垃圾运送、废弃物清理和协助专业公司灭“四害”等院区所有环境卫生保洁。</w:t>
      </w:r>
    </w:p>
    <w:p>
      <w:pPr>
        <w:keepNext w:val="0"/>
        <w:keepLines w:val="0"/>
        <w:pageBreakBefore w:val="0"/>
        <w:kinsoku/>
        <w:wordWrap/>
        <w:overflowPunct/>
        <w:topLinePunct w:val="0"/>
        <w:bidi w:val="0"/>
        <w:adjustRightInd w:val="0"/>
        <w:spacing w:line="360" w:lineRule="auto"/>
        <w:ind w:firstLine="482" w:firstLineChars="200"/>
        <w:rPr>
          <w:rFonts w:ascii="宋体" w:hAnsi="宋体" w:cs="宋体"/>
          <w:b/>
          <w:bCs/>
          <w:sz w:val="24"/>
        </w:rPr>
      </w:pPr>
      <w:r>
        <w:rPr>
          <w:rFonts w:hint="eastAsia" w:ascii="宋体" w:hAnsi="宋体" w:cs="宋体"/>
          <w:b/>
          <w:bCs/>
          <w:sz w:val="24"/>
        </w:rPr>
        <w:t>具体如下：</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A.公共区域日常服务内容：地面、扶手、门窗玻璃、门及门窗框及有关附体，沙发、桌子、各类宣传牌、橱窗及有关附体，天花板、栏杆、楼梯区域等，及时清除各种垃圾等杂物，无积灰、印迹、污渍。PVC地面定期进行抛光、补蜡、全面保养打蜡。</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B.全院室内高度2.5米内的玻璃每半年擦拭一次。</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C.办公区域、会议室等特定区域保洁服务内容：地面、大厅石材墙面、天花板、门窗玻璃、门及门窗框、墙壁附体，灯具、垃圾桶、PVC地面等公用设施表面，电梯及卫生间，办公室内储衣柜和桌椅表面等严格按要求做好清洁、清运，无积灰、印迹、污渍。桌面简单整理等，随时保持清洁。确保地面、桌面、玻璃面整洁干净。白色墙面及顶面如有污渍等应及时清除。</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D.顶篷等边缘区域服务内容：屋顶屋面、沟槽、地面、雨篷及边角区域，各种附体的表面清洁。</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E.水电和设备等设施类服务内容：一般机器表面清洁（有特殊规定的设备除外）。特殊科室空调过滤网清洗按院感要求每月一次。卫生间浴帘每季度清洗一次。</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 xml:space="preserve">F.窗帘服务内容：保持窗帘表面清洁，普通窗帘根据窗帘清洁情况定时拆装，布质窗帘一年清洗一次；床帘一年清洗二次。 </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G.电梯服务内容：保持电梯轿厢内外无果壳、纸屑等杂物，无污渍、无灰尘、手印、鞋印，表面光亮可映出人影。每天对轿厢内外用油布擦拭二次，每周用不锈钢油对轿厢内外进行轻抹保养一次。</w:t>
      </w:r>
    </w:p>
    <w:p>
      <w:pPr>
        <w:pStyle w:val="128"/>
        <w:keepNext w:val="0"/>
        <w:keepLines w:val="0"/>
        <w:pageBreakBefore w:val="0"/>
        <w:kinsoku/>
        <w:wordWrap/>
        <w:overflowPunct/>
        <w:topLinePunct w:val="0"/>
        <w:bidi w:val="0"/>
        <w:adjustRightInd w:val="0"/>
        <w:snapToGrid w:val="0"/>
        <w:spacing w:before="0" w:line="500" w:lineRule="exact"/>
        <w:ind w:firstLine="480" w:firstLineChars="200"/>
        <w:rPr>
          <w:rFonts w:ascii="宋体" w:hAnsi="宋体" w:cs="宋体"/>
          <w:b/>
          <w:color w:val="000000"/>
          <w:szCs w:val="24"/>
        </w:rPr>
      </w:pPr>
      <w:r>
        <w:rPr>
          <w:rFonts w:hint="eastAsia" w:ascii="宋体" w:hAnsi="宋体" w:cs="宋体"/>
          <w:szCs w:val="24"/>
        </w:rPr>
        <w:t>H.医疗/生活垃圾清运服务内容：及时、正确按垃圾分类要求进行生活垃圾收集、转运，医疗垃圾收集、转运符合院感要求。配合垃圾集置点相关工作，垃圾存量不超过3/4且做到日产日清，定期清洗，每周消毒一次，无明显积水，无蚊蝇飞舞。垃圾清运工具应保持清洁无破损，清运过程中不得产生二次污染。各类垃圾运到规定的地方，其中公共区、卫生间无堆积垃圾。</w:t>
      </w:r>
      <w:r>
        <w:rPr>
          <w:rFonts w:ascii="宋体" w:hAnsi="宋体" w:cs="宋体"/>
          <w:b/>
          <w:color w:val="000000"/>
          <w:szCs w:val="24"/>
        </w:rPr>
        <w:t>医疗垃圾房位置在地下室，中标人必须安排专人在指定时间里从地下</w:t>
      </w:r>
      <w:r>
        <w:rPr>
          <w:rFonts w:hint="eastAsia" w:ascii="宋体" w:hAnsi="宋体" w:cs="宋体"/>
          <w:b/>
          <w:color w:val="000000"/>
          <w:szCs w:val="24"/>
        </w:rPr>
        <w:t>医废暂存间</w:t>
      </w:r>
      <w:r>
        <w:rPr>
          <w:rFonts w:ascii="宋体" w:hAnsi="宋体" w:cs="宋体"/>
          <w:b/>
          <w:color w:val="000000"/>
          <w:szCs w:val="24"/>
        </w:rPr>
        <w:t>运送至地面的</w:t>
      </w:r>
      <w:r>
        <w:rPr>
          <w:rFonts w:hint="eastAsia" w:ascii="宋体" w:hAnsi="宋体" w:cs="宋体"/>
          <w:b/>
          <w:color w:val="000000"/>
          <w:szCs w:val="24"/>
        </w:rPr>
        <w:t>转存间</w:t>
      </w:r>
      <w:r>
        <w:rPr>
          <w:rFonts w:ascii="宋体" w:hAnsi="宋体" w:cs="宋体"/>
          <w:b/>
          <w:color w:val="000000"/>
          <w:szCs w:val="24"/>
        </w:rPr>
        <w:t>。</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I.集中清洗服务内容：操作人员严格按消毒规范操作，并做好个人职业防护；洗涤用品做到账物相符，接收和发送做好登记；洁、污装填箱严格区分，每日做到清洁、消毒；对院内拖布、小方巾等织物清洗符合院感要求；加强消防、安全意识，及时排除隐患；加强节约用水意识、用电安全意识；下班前认真检查水、门及门窗是否关闭。</w:t>
      </w:r>
    </w:p>
    <w:p>
      <w:pPr>
        <w:keepNext w:val="0"/>
        <w:keepLines w:val="0"/>
        <w:pageBreakBefore w:val="0"/>
        <w:kinsoku/>
        <w:wordWrap/>
        <w:overflowPunct/>
        <w:topLinePunct w:val="0"/>
        <w:bidi w:val="0"/>
        <w:adjustRightInd w:val="0"/>
        <w:spacing w:line="360" w:lineRule="auto"/>
        <w:ind w:firstLine="482" w:firstLineChars="200"/>
        <w:rPr>
          <w:rFonts w:ascii="宋体" w:hAnsi="宋体" w:cs="宋体"/>
          <w:b/>
          <w:bCs/>
          <w:sz w:val="24"/>
        </w:rPr>
      </w:pPr>
      <w:r>
        <w:rPr>
          <w:rFonts w:hint="eastAsia" w:ascii="宋体" w:hAnsi="宋体" w:cs="宋体"/>
          <w:b/>
          <w:bCs/>
          <w:sz w:val="24"/>
        </w:rPr>
        <w:t>2）公区环境保洁、专项保洁服务要求</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A.负责服务范围内环境清洁卫生，服务区域内地面无烟蒂，第一遍的卫生保洁需在上班前半小时完成，加强巡视，随时保持洁净。</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B.及时收集生活垃圾和医疗垃圾，并送到院内指定地点。</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C.按时巡视，院内各区域要做到干净、整洁，无蜘蛛丝，无异味。</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D.为避免尘土飞扬，按地面清洁标准、规范方法进行处理。</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E.要求对清洁工具每天进行清洗消毒，避免用手洗，以防止交叉感染。</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F.为防止交叉感染，对不同区域的清洁工具按院感要求实行严格分类摆放和使用，用颜色、字标等方式进行区分。</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G.做好大楼内PVC地面/橡胶以及其它各种材质地板、墙面的养护。特殊科室要求地面机洗、打蜡保养至少半年一次。</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H.要求中标人对医院的项目管理配置专用的扫地机、洗地机、自动洗地吸水机、抛光机、吸水洗尘机、地坪/地毯吹干机、真空吸尘机等。</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I.中标人提供保洁用的清洁剂、洗涤剂和地面保护材料，并符合医院院感科的要求，并且要求提供优质的产品。</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J.所使用的清洁车辆必须是先进的全方位清洁手推车。</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K.报价金额中应包含符合生活垃圾规范的生活垃圾袋，符合院感要求“一床一巾”各种规格小方巾及集中清洗所需一切保洁相关消耗品，如拖把头、地巾等。</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L.要求对环境保洁进行科学的划分，并且强调计划性。</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M.围墙内的道路、停车场和门前“三包”及所有公共区域的地面，无有形垃圾和建筑垃圾、无堆积杂物、无积水和淤泥、无阻塞；花坛内无杂物等。做到每日清扫两次，巡回保洁。阴沟、暗沟里无杂物，每月清理一次。</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N.院内各处门帘做好统一管理，发现门帘破损及时报修。做好地垫清洁管理，破损及时反馈更换。</w:t>
      </w:r>
    </w:p>
    <w:p>
      <w:pPr>
        <w:keepNext w:val="0"/>
        <w:keepLines w:val="0"/>
        <w:pageBreakBefore w:val="0"/>
        <w:kinsoku/>
        <w:wordWrap/>
        <w:overflowPunct/>
        <w:topLinePunct w:val="0"/>
        <w:bidi w:val="0"/>
        <w:adjustRightInd w:val="0"/>
        <w:spacing w:line="360" w:lineRule="auto"/>
        <w:ind w:firstLine="480" w:firstLineChars="200"/>
        <w:rPr>
          <w:rFonts w:ascii="宋体" w:hAnsi="宋体" w:cs="宋体"/>
          <w:sz w:val="24"/>
        </w:rPr>
      </w:pPr>
      <w:r>
        <w:rPr>
          <w:rFonts w:hint="eastAsia" w:ascii="宋体" w:hAnsi="宋体" w:cs="宋体"/>
          <w:sz w:val="24"/>
        </w:rPr>
        <w:t>O.未列入的且为正常保洁工作以及突发性事件造成的保洁工作的项目、区域均包括在本次采购范围内，中标人不得因此拒绝提供保洁服务（保洁用品包括全院符合院感要求“一床一巾”各种规格小方巾、集中清洗各种地巾及符合上级部门要求的生活垃圾袋等所需费用全部包括在服务费中）。</w:t>
      </w:r>
    </w:p>
    <w:p>
      <w:pPr>
        <w:pStyle w:val="128"/>
        <w:keepNext w:val="0"/>
        <w:keepLines w:val="0"/>
        <w:pageBreakBefore w:val="0"/>
        <w:kinsoku/>
        <w:wordWrap/>
        <w:overflowPunct/>
        <w:topLinePunct w:val="0"/>
        <w:bidi w:val="0"/>
        <w:adjustRightInd w:val="0"/>
        <w:snapToGrid w:val="0"/>
        <w:spacing w:before="0" w:line="500" w:lineRule="exact"/>
        <w:ind w:firstLine="482" w:firstLineChars="200"/>
        <w:rPr>
          <w:rFonts w:ascii="宋体" w:hAnsi="宋体" w:cs="宋体"/>
          <w:color w:val="000000"/>
          <w:szCs w:val="24"/>
        </w:rPr>
      </w:pPr>
      <w:r>
        <w:rPr>
          <w:rFonts w:hint="eastAsia" w:ascii="宋体" w:hAnsi="宋体" w:cs="宋体"/>
          <w:b/>
          <w:bCs/>
          <w:color w:val="000000"/>
          <w:szCs w:val="24"/>
        </w:rPr>
        <w:t>3</w:t>
      </w:r>
      <w:r>
        <w:rPr>
          <w:rFonts w:ascii="宋体" w:hAnsi="宋体" w:cs="宋体"/>
          <w:b/>
          <w:bCs/>
          <w:color w:val="000000"/>
          <w:szCs w:val="24"/>
        </w:rPr>
        <w:t>）被服收发</w:t>
      </w:r>
      <w:r>
        <w:rPr>
          <w:rFonts w:ascii="宋体" w:hAnsi="宋体" w:cs="宋体"/>
          <w:color w:val="000000"/>
          <w:szCs w:val="24"/>
        </w:rPr>
        <w:t>：到各科收集需</w:t>
      </w:r>
      <w:r>
        <w:rPr>
          <w:rFonts w:hint="eastAsia" w:ascii="宋体" w:hAnsi="宋体" w:cs="宋体"/>
          <w:color w:val="000000"/>
          <w:szCs w:val="24"/>
        </w:rPr>
        <w:t>清</w:t>
      </w:r>
      <w:r>
        <w:rPr>
          <w:rFonts w:ascii="宋体" w:hAnsi="宋体" w:cs="宋体"/>
          <w:color w:val="000000"/>
          <w:szCs w:val="24"/>
        </w:rPr>
        <w:t>洗与发放清洗好的工作服等，做好科室与洗涤承包商的交接清点登记手续，监管洗涤承包商清洗质量。</w:t>
      </w:r>
    </w:p>
    <w:p>
      <w:pPr>
        <w:pStyle w:val="128"/>
        <w:keepNext w:val="0"/>
        <w:keepLines w:val="0"/>
        <w:pageBreakBefore w:val="0"/>
        <w:kinsoku/>
        <w:wordWrap/>
        <w:overflowPunct/>
        <w:topLinePunct w:val="0"/>
        <w:bidi w:val="0"/>
        <w:adjustRightInd w:val="0"/>
        <w:snapToGrid w:val="0"/>
        <w:spacing w:before="0" w:line="500" w:lineRule="exact"/>
        <w:ind w:firstLine="482" w:firstLineChars="200"/>
        <w:rPr>
          <w:rFonts w:ascii="宋体" w:hAnsi="宋体" w:cs="宋体"/>
          <w:color w:val="000000"/>
          <w:szCs w:val="24"/>
        </w:rPr>
      </w:pPr>
      <w:r>
        <w:rPr>
          <w:rFonts w:hint="eastAsia" w:ascii="宋体" w:hAnsi="宋体" w:cs="宋体"/>
          <w:b/>
          <w:bCs/>
          <w:color w:val="000000"/>
          <w:szCs w:val="24"/>
        </w:rPr>
        <w:t>4</w:t>
      </w:r>
      <w:r>
        <w:rPr>
          <w:rFonts w:ascii="宋体" w:hAnsi="宋体" w:cs="宋体"/>
          <w:b/>
          <w:bCs/>
          <w:color w:val="000000"/>
          <w:szCs w:val="24"/>
        </w:rPr>
        <w:t>）污水处理</w:t>
      </w:r>
      <w:r>
        <w:rPr>
          <w:rFonts w:ascii="宋体" w:hAnsi="宋体" w:cs="宋体"/>
          <w:color w:val="000000"/>
          <w:szCs w:val="24"/>
        </w:rPr>
        <w:t>：负责污水处理站24小时正常运行，做好维护、监测、记录，按设计要求排放，定期清理沉积池垃圾物</w:t>
      </w:r>
      <w:r>
        <w:rPr>
          <w:rFonts w:hint="eastAsia" w:ascii="宋体" w:hAnsi="宋体" w:cs="宋体"/>
          <w:color w:val="000000"/>
          <w:szCs w:val="24"/>
        </w:rPr>
        <w:t>，污水处理合格</w:t>
      </w:r>
      <w:r>
        <w:rPr>
          <w:rFonts w:ascii="宋体" w:hAnsi="宋体" w:cs="宋体"/>
          <w:color w:val="000000"/>
          <w:szCs w:val="24"/>
        </w:rPr>
        <w:t>。</w:t>
      </w:r>
    </w:p>
    <w:p>
      <w:pPr>
        <w:pStyle w:val="128"/>
        <w:keepNext w:val="0"/>
        <w:keepLines w:val="0"/>
        <w:pageBreakBefore w:val="0"/>
        <w:kinsoku/>
        <w:wordWrap/>
        <w:overflowPunct/>
        <w:topLinePunct w:val="0"/>
        <w:bidi w:val="0"/>
        <w:adjustRightInd w:val="0"/>
        <w:snapToGrid w:val="0"/>
        <w:spacing w:before="0" w:line="500" w:lineRule="exact"/>
        <w:ind w:firstLine="482" w:firstLineChars="200"/>
        <w:rPr>
          <w:rFonts w:ascii="宋体" w:hAnsi="宋体" w:cs="宋体"/>
          <w:b/>
          <w:szCs w:val="24"/>
        </w:rPr>
      </w:pPr>
      <w:r>
        <w:rPr>
          <w:rFonts w:hint="eastAsia" w:ascii="宋体" w:hAnsi="宋体" w:cs="宋体"/>
          <w:b/>
          <w:bCs/>
          <w:color w:val="000000"/>
          <w:szCs w:val="24"/>
        </w:rPr>
        <w:t>4.</w:t>
      </w:r>
      <w:r>
        <w:rPr>
          <w:rFonts w:hint="eastAsia" w:ascii="宋体" w:hAnsi="宋体" w:cs="宋体"/>
          <w:b/>
          <w:szCs w:val="24"/>
        </w:rPr>
        <w:t>病房及相关区域保洁具体工作要求</w:t>
      </w:r>
    </w:p>
    <w:p>
      <w:pPr>
        <w:spacing w:line="360" w:lineRule="auto"/>
        <w:rPr>
          <w:rFonts w:ascii="宋体" w:hAnsi="宋体" w:cs="宋体"/>
          <w:sz w:val="24"/>
        </w:rPr>
      </w:pPr>
      <w:r>
        <w:rPr>
          <w:rFonts w:hint="eastAsia" w:ascii="宋体" w:hAnsi="宋体" w:cs="宋体"/>
          <w:sz w:val="24"/>
        </w:rPr>
        <w:t>（1）保洁药剂要求：</w:t>
      </w:r>
    </w:p>
    <w:tbl>
      <w:tblPr>
        <w:tblStyle w:val="62"/>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00" w:type="pct"/>
            <w:tcBorders>
              <w:tl2br w:val="nil"/>
              <w:tr2bl w:val="nil"/>
            </w:tcBorders>
            <w:vAlign w:val="center"/>
          </w:tcPr>
          <w:p>
            <w:pPr>
              <w:widowControl/>
              <w:jc w:val="center"/>
              <w:rPr>
                <w:rFonts w:ascii="宋体" w:hAnsi="宋体" w:cs="宋体"/>
                <w:bCs/>
                <w:kern w:val="0"/>
                <w:sz w:val="24"/>
              </w:rPr>
            </w:pPr>
            <w:r>
              <w:rPr>
                <w:rFonts w:hint="eastAsia" w:ascii="宋体" w:hAnsi="宋体" w:cs="宋体"/>
                <w:bCs/>
                <w:kern w:val="0"/>
                <w:sz w:val="24"/>
              </w:rPr>
              <w:t>产品名称及规格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全能消毒清洁剂（地面用）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消毒杀菌清洁药剂（桌面和台面）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专业全能清洁剂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铁光不绣钢剂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浓缩波璃清洁剂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洁厕剂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除垢剂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地拖牵尘剂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金属洁蜡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墙纸清洁剂（除圆珠笔油、重油渍）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起蜡水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封地剂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地坪保养喷蜡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特级耐用面蜡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面蜡(PVC专用）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空气清新剂-除异味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强碱皂化洗衣剂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石材磨光剂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石材处理剂</w:t>
            </w:r>
          </w:p>
        </w:tc>
      </w:tr>
    </w:tbl>
    <w:p>
      <w:pPr>
        <w:pStyle w:val="3"/>
        <w:ind w:firstLine="0" w:firstLineChars="0"/>
        <w:rPr>
          <w:rFonts w:ascii="宋体" w:hAnsi="宋体" w:cs="宋体"/>
          <w:sz w:val="24"/>
          <w:szCs w:val="24"/>
        </w:rPr>
      </w:pPr>
    </w:p>
    <w:p>
      <w:pPr>
        <w:rPr>
          <w:rFonts w:ascii="宋体" w:hAnsi="宋体" w:cs="宋体"/>
          <w:sz w:val="24"/>
        </w:rPr>
      </w:pPr>
      <w:r>
        <w:rPr>
          <w:rFonts w:hint="eastAsia" w:ascii="宋体" w:hAnsi="宋体" w:cs="宋体"/>
          <w:sz w:val="24"/>
        </w:rPr>
        <w:t>（2）保洁设备要求：</w:t>
      </w:r>
    </w:p>
    <w:tbl>
      <w:tblPr>
        <w:tblStyle w:val="62"/>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1"/>
        <w:gridCol w:w="13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保洁车 （其中放置在公共区域的保洁车须上锁）</w:t>
            </w:r>
          </w:p>
        </w:tc>
        <w:tc>
          <w:tcPr>
            <w:tcW w:w="718" w:type="pct"/>
            <w:tcBorders>
              <w:tl2br w:val="nil"/>
              <w:tr2bl w:val="nil"/>
            </w:tcBorders>
            <w:vAlign w:val="bottom"/>
          </w:tcPr>
          <w:p>
            <w:pPr>
              <w:widowControl/>
              <w:ind w:firstLine="240" w:firstLineChars="100"/>
              <w:jc w:val="center"/>
              <w:rPr>
                <w:rFonts w:ascii="宋体" w:hAnsi="宋体" w:cs="宋体"/>
                <w:kern w:val="0"/>
                <w:sz w:val="24"/>
              </w:rPr>
            </w:pPr>
            <w:r>
              <w:rPr>
                <w:rFonts w:hint="eastAsia" w:ascii="宋体" w:hAnsi="宋体" w:cs="宋体"/>
                <w:kern w:val="0"/>
                <w:sz w:val="24"/>
              </w:rPr>
              <w:t>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多功能擦地机</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晶硬镜面处理机</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全自动洗地机</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手推式洗地机</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驾驶式洗地机</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高速抛光机</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吸水吸尘两用机</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吸尘器</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驾驶式垃圾转置车</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小型洗衣机</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81" w:type="pc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门诊专用保洁车</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1" w:type="pct"/>
            <w:tcBorders>
              <w:tl2br w:val="nil"/>
              <w:tr2bl w:val="nil"/>
            </w:tcBorders>
            <w:vAlign w:val="center"/>
          </w:tcPr>
          <w:p>
            <w:pPr>
              <w:jc w:val="center"/>
              <w:rPr>
                <w:rFonts w:ascii="宋体" w:hAnsi="宋体" w:cs="宋体"/>
                <w:kern w:val="0"/>
                <w:sz w:val="24"/>
              </w:rPr>
            </w:pPr>
            <w:r>
              <w:rPr>
                <w:rFonts w:hint="eastAsia" w:ascii="宋体" w:hAnsi="宋体" w:cs="宋体"/>
                <w:kern w:val="0"/>
                <w:sz w:val="24"/>
              </w:rPr>
              <w:t>高压水枪</w:t>
            </w:r>
          </w:p>
        </w:tc>
        <w:tc>
          <w:tcPr>
            <w:tcW w:w="718" w:type="pct"/>
            <w:tcBorders>
              <w:tl2br w:val="nil"/>
              <w:tr2bl w:val="nil"/>
            </w:tcBorders>
            <w:vAlign w:val="bottom"/>
          </w:tcPr>
          <w:p>
            <w:pPr>
              <w:widowControl/>
              <w:jc w:val="center"/>
              <w:rPr>
                <w:rFonts w:ascii="宋体" w:hAnsi="宋体" w:cs="宋体"/>
                <w:kern w:val="0"/>
                <w:sz w:val="24"/>
              </w:rPr>
            </w:pPr>
            <w:r>
              <w:rPr>
                <w:rFonts w:hint="eastAsia" w:ascii="宋体" w:hAnsi="宋体" w:cs="宋体"/>
                <w:kern w:val="0"/>
                <w:sz w:val="24"/>
              </w:rPr>
              <w:t>2</w:t>
            </w:r>
          </w:p>
        </w:tc>
      </w:tr>
    </w:tbl>
    <w:p>
      <w:pPr>
        <w:rPr>
          <w:rFonts w:ascii="宋体" w:hAnsi="宋体" w:cs="宋体"/>
          <w:sz w:val="24"/>
        </w:rPr>
      </w:pPr>
    </w:p>
    <w:p>
      <w:pPr>
        <w:rPr>
          <w:rFonts w:ascii="宋体" w:hAnsi="宋体" w:cs="宋体"/>
          <w:sz w:val="24"/>
        </w:rPr>
      </w:pPr>
      <w:r>
        <w:rPr>
          <w:rFonts w:hint="eastAsia" w:ascii="宋体" w:hAnsi="宋体" w:cs="宋体"/>
          <w:sz w:val="24"/>
        </w:rPr>
        <w:t>（3）</w:t>
      </w:r>
      <w:r>
        <w:rPr>
          <w:rFonts w:hint="eastAsia" w:ascii="宋体" w:hAnsi="宋体" w:cs="宋体"/>
          <w:bCs/>
          <w:sz w:val="24"/>
        </w:rPr>
        <w:t>日常保洁项目要求：</w:t>
      </w:r>
    </w:p>
    <w:p>
      <w:pPr>
        <w:pStyle w:val="128"/>
        <w:snapToGrid w:val="0"/>
        <w:spacing w:before="0" w:line="500" w:lineRule="exact"/>
        <w:ind w:firstLine="0" w:firstLineChars="0"/>
        <w:rPr>
          <w:rFonts w:ascii="宋体" w:hAnsi="宋体" w:cs="宋体"/>
          <w:color w:val="000000"/>
          <w:szCs w:val="24"/>
        </w:rPr>
      </w:pPr>
      <w:r>
        <w:rPr>
          <w:rFonts w:hint="eastAsia" w:ascii="宋体" w:hAnsi="宋体" w:cs="宋体"/>
          <w:color w:val="000000"/>
          <w:szCs w:val="24"/>
        </w:rPr>
        <w:t>区域：门诊/急诊室/供应室/医技科室等</w:t>
      </w:r>
    </w:p>
    <w:tbl>
      <w:tblPr>
        <w:tblStyle w:val="62"/>
        <w:tblW w:w="50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6362"/>
        <w:gridCol w:w="24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12" w:space="0"/>
              <w:left w:val="single" w:color="auto" w:sz="12" w:space="0"/>
              <w:bottom w:val="single" w:color="auto" w:sz="6" w:space="0"/>
              <w:right w:val="single" w:color="auto" w:sz="6" w:space="0"/>
            </w:tcBorders>
            <w:shd w:val="clear" w:color="auto" w:fill="auto"/>
          </w:tcPr>
          <w:p>
            <w:pPr>
              <w:spacing w:line="360" w:lineRule="exact"/>
              <w:jc w:val="center"/>
              <w:rPr>
                <w:rFonts w:ascii="宋体" w:hAnsi="宋体"/>
                <w:b/>
                <w:bCs/>
                <w:sz w:val="24"/>
              </w:rPr>
            </w:pPr>
            <w:r>
              <w:rPr>
                <w:rFonts w:hint="eastAsia" w:ascii="宋体" w:hAnsi="宋体" w:cs="宋体"/>
                <w:b/>
                <w:bCs/>
                <w:sz w:val="24"/>
              </w:rPr>
              <w:t>序号</w:t>
            </w:r>
          </w:p>
        </w:tc>
        <w:tc>
          <w:tcPr>
            <w:tcW w:w="3412" w:type="pct"/>
            <w:tcBorders>
              <w:top w:val="single" w:color="auto" w:sz="12" w:space="0"/>
              <w:left w:val="single" w:color="auto" w:sz="6" w:space="0"/>
              <w:bottom w:val="single" w:color="auto" w:sz="6" w:space="0"/>
              <w:right w:val="single" w:color="auto" w:sz="6" w:space="0"/>
            </w:tcBorders>
            <w:shd w:val="clear" w:color="auto" w:fill="auto"/>
          </w:tcPr>
          <w:p>
            <w:pPr>
              <w:spacing w:line="360" w:lineRule="exact"/>
              <w:jc w:val="center"/>
              <w:rPr>
                <w:rFonts w:ascii="宋体" w:hAnsi="宋体"/>
                <w:b/>
                <w:bCs/>
                <w:sz w:val="24"/>
              </w:rPr>
            </w:pPr>
            <w:r>
              <w:rPr>
                <w:rFonts w:hint="eastAsia" w:ascii="宋体" w:hAnsi="宋体" w:cs="宋体"/>
                <w:b/>
                <w:bCs/>
                <w:sz w:val="24"/>
              </w:rPr>
              <w:t>工作内容</w:t>
            </w:r>
          </w:p>
        </w:tc>
        <w:tc>
          <w:tcPr>
            <w:tcW w:w="1320" w:type="pct"/>
            <w:tcBorders>
              <w:top w:val="single" w:color="auto" w:sz="12" w:space="0"/>
              <w:left w:val="single" w:color="auto" w:sz="6" w:space="0"/>
              <w:bottom w:val="single" w:color="auto" w:sz="6" w:space="0"/>
              <w:right w:val="single" w:color="auto" w:sz="12" w:space="0"/>
            </w:tcBorders>
            <w:shd w:val="clear" w:color="auto" w:fill="auto"/>
          </w:tcPr>
          <w:p>
            <w:pPr>
              <w:spacing w:line="360" w:lineRule="exact"/>
              <w:jc w:val="center"/>
              <w:rPr>
                <w:rFonts w:ascii="宋体" w:hAnsi="宋体"/>
                <w:b/>
                <w:bCs/>
                <w:sz w:val="24"/>
              </w:rPr>
            </w:pPr>
            <w:r>
              <w:rPr>
                <w:rFonts w:hint="eastAsia" w:ascii="宋体" w:hAnsi="宋体" w:cs="宋体"/>
                <w:b/>
                <w:bCs/>
                <w:sz w:val="24"/>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收集区域内垃圾、更换垃圾袋</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区域内地面扫尘（无扬尘干扫）</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3</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区域内地面湿拖（进行地面消毒、清洁）</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4</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区域内洗手池、水池、水龙头、皂盒的清洗、擦拭</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p>
            <w:pPr>
              <w:spacing w:line="360" w:lineRule="exact"/>
              <w:jc w:val="center"/>
              <w:rPr>
                <w:rFonts w:ascii="宋体" w:hAnsi="宋体"/>
                <w:sz w:val="24"/>
              </w:rPr>
            </w:pPr>
            <w:r>
              <w:rPr>
                <w:rFonts w:hint="eastAsia" w:ascii="宋体" w:hAnsi="宋体" w:cs="宋体"/>
                <w:sz w:val="24"/>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5</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卫生间（含镜子、水龙头、洗手池、台面、马桶、地面）的冲洗、擦拭、消毒</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p>
            <w:pPr>
              <w:spacing w:line="360" w:lineRule="exact"/>
              <w:jc w:val="center"/>
              <w:rPr>
                <w:rFonts w:ascii="宋体" w:hAnsi="宋体"/>
                <w:sz w:val="24"/>
              </w:rPr>
            </w:pPr>
            <w:r>
              <w:rPr>
                <w:rFonts w:hint="eastAsia" w:ascii="宋体" w:hAnsi="宋体" w:cs="宋体"/>
                <w:sz w:val="24"/>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6</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区域内家具（桌椅、橱柜等）、办公用品、台面擦拭</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7</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区域内电脑、电话、仪器（含各种医用器材）、低处电器表面清洗或擦拭</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8</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区域内窗台、阳台、把手、扶手、栏杆、花盆、开关盒、接线盒、各类低处标牌、垃圾桶擦拭</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9</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开水器、冰箱（如有）等电器外表面清洁消毒</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10</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地面机洗</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11</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门、门框、玻璃、窗框、低处窗框、通风口擦拭</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12</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低处墙面除尘、落地瓷砖、踢脚板、地角、低处管道擦拭</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13</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非医疗不锈钢物体表面闪钢保养</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14</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高处除尘</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15</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灯具、音响、烟感、监视器、风口、管道、空调（吊顶内的除外）、排气扇、风扇等高处设备擦拭清洁</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16</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高处标牌、壁挂物擦拭</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17</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打蜡处理或保养</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每半年1次以上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18</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窗帘、床帘拆换送洗（污染时随时拆换）；石材、灯具清洁</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每季度1次以上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19</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平车上布类整理、更换，床上用品拆换</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20</w:t>
            </w:r>
          </w:p>
        </w:tc>
        <w:tc>
          <w:tcPr>
            <w:tcW w:w="3412"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巡视保洁</w:t>
            </w:r>
          </w:p>
        </w:tc>
        <w:tc>
          <w:tcPr>
            <w:tcW w:w="1320"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21</w:t>
            </w:r>
          </w:p>
        </w:tc>
        <w:tc>
          <w:tcPr>
            <w:tcW w:w="3412"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区域内重点办公室整体保洁，频次：每日1次以上。</w:t>
            </w:r>
          </w:p>
        </w:tc>
        <w:tc>
          <w:tcPr>
            <w:tcW w:w="1320" w:type="pct"/>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区域内重点办公室整体保洁，频次：每日1次以上。</w:t>
            </w:r>
          </w:p>
        </w:tc>
      </w:tr>
    </w:tbl>
    <w:p>
      <w:pPr>
        <w:adjustRightInd/>
        <w:spacing w:beforeAutospacing="1" w:after="120"/>
        <w:rPr>
          <w:rFonts w:ascii="宋体" w:hAnsi="宋体"/>
          <w:sz w:val="24"/>
        </w:rPr>
      </w:pPr>
      <w:r>
        <w:rPr>
          <w:rFonts w:hint="eastAsia" w:ascii="宋体" w:hAnsi="宋体" w:cs="宋体"/>
          <w:sz w:val="24"/>
        </w:rPr>
        <w:t>区域：手术室</w:t>
      </w:r>
    </w:p>
    <w:tbl>
      <w:tblPr>
        <w:tblStyle w:val="62"/>
        <w:tblW w:w="5034" w:type="pct"/>
        <w:tblInd w:w="-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6302"/>
        <w:gridCol w:w="2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12" w:space="0"/>
              <w:left w:val="single" w:color="auto" w:sz="12" w:space="0"/>
              <w:bottom w:val="single" w:color="auto" w:sz="6" w:space="0"/>
              <w:right w:val="single" w:color="auto" w:sz="6" w:space="0"/>
            </w:tcBorders>
            <w:shd w:val="clear" w:color="auto" w:fill="auto"/>
          </w:tcPr>
          <w:p>
            <w:pPr>
              <w:spacing w:line="360" w:lineRule="exact"/>
              <w:jc w:val="center"/>
              <w:rPr>
                <w:rFonts w:ascii="宋体" w:hAnsi="宋体"/>
                <w:sz w:val="24"/>
              </w:rPr>
            </w:pPr>
            <w:r>
              <w:rPr>
                <w:rFonts w:hint="eastAsia" w:ascii="宋体" w:hAnsi="宋体" w:cs="宋体"/>
                <w:sz w:val="24"/>
              </w:rPr>
              <w:t>序号</w:t>
            </w:r>
          </w:p>
        </w:tc>
        <w:tc>
          <w:tcPr>
            <w:tcW w:w="3368" w:type="pct"/>
            <w:tcBorders>
              <w:top w:val="single" w:color="auto" w:sz="12" w:space="0"/>
              <w:left w:val="single" w:color="auto" w:sz="6" w:space="0"/>
              <w:bottom w:val="single" w:color="auto" w:sz="6" w:space="0"/>
              <w:right w:val="single" w:color="auto" w:sz="6" w:space="0"/>
            </w:tcBorders>
            <w:shd w:val="clear" w:color="auto" w:fill="auto"/>
          </w:tcPr>
          <w:p>
            <w:pPr>
              <w:spacing w:line="360" w:lineRule="exact"/>
              <w:jc w:val="center"/>
              <w:rPr>
                <w:rFonts w:ascii="宋体" w:hAnsi="宋体"/>
                <w:sz w:val="24"/>
              </w:rPr>
            </w:pPr>
            <w:r>
              <w:rPr>
                <w:rFonts w:hint="eastAsia" w:ascii="宋体" w:hAnsi="宋体" w:cs="宋体"/>
                <w:sz w:val="24"/>
              </w:rPr>
              <w:t>工作内容</w:t>
            </w:r>
          </w:p>
        </w:tc>
        <w:tc>
          <w:tcPr>
            <w:tcW w:w="1365" w:type="pct"/>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收集区域内垃圾、更换垃圾袋</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区域内地面湿拖（进行地面消毒、清洁）</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3</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区域内洗手池、水池、水龙头、皂盒、隔拦处清洗、擦拭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p>
            <w:pPr>
              <w:spacing w:line="360" w:lineRule="exact"/>
              <w:jc w:val="center"/>
              <w:rPr>
                <w:rFonts w:ascii="宋体" w:hAnsi="宋体"/>
                <w:sz w:val="24"/>
              </w:rPr>
            </w:pPr>
            <w:r>
              <w:rPr>
                <w:rFonts w:hint="eastAsia" w:ascii="宋体" w:hAnsi="宋体" w:cs="宋体"/>
                <w:sz w:val="24"/>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4</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卫生间（含镜子、水龙头、脸盆、台面、毛巾架、马桶、沐浴器、地面）冲洗、擦拭、消毒</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 xml:space="preserve">每日2次以上 </w:t>
            </w:r>
          </w:p>
          <w:p>
            <w:pPr>
              <w:spacing w:line="360" w:lineRule="exact"/>
              <w:jc w:val="center"/>
              <w:rPr>
                <w:rFonts w:ascii="宋体" w:hAnsi="宋体"/>
                <w:sz w:val="24"/>
              </w:rPr>
            </w:pPr>
            <w:r>
              <w:rPr>
                <w:rFonts w:hint="eastAsia" w:ascii="宋体" w:hAnsi="宋体" w:cs="宋体"/>
                <w:sz w:val="24"/>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5</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区域内家具（桌椅、橱柜等）、办公用品、台面擦拭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6</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区域内电脑、电话、仪器（含各种医用器材、无影灯）、低处电器表面清洗、擦拭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7</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区域内窗台、阳台、把手、扶手、栏杆、开关盒、接线盒、各类低处标牌、垃圾桶擦拭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8</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开水机、空气消毒机、空调设备外表面的清洁与消毒</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9</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门、门框、玻璃、窗框、高处标牌、壁挂物擦拭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10</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低处墙面除尘、落地瓷砖、踢脚板、地角、低处管道擦拭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11</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库房的打扫</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12</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各类平车轮椅车轮上油、去污，保证正常运行</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13</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高处除尘</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14</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灯具、音响、烟感、监视器、风口、管道、空调（吊顶内的除外）、排气扇、风扇等高处设备擦洗</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15</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窗帘、床帘拆换送洗（污染时随时拆换）</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16</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非医疗不锈钢物体表面闪钢保养</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17</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地面机洗、打蜡处理或保养；石材、灯具清洁</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每半年1次以上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18</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拖鞋清洗</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19</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术后整理、清洁、消毒</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20</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平车上布类整理、更换，手术台上用品拆换</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21</w:t>
            </w:r>
          </w:p>
        </w:tc>
        <w:tc>
          <w:tcPr>
            <w:tcW w:w="3368"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巡视保洁</w:t>
            </w:r>
          </w:p>
        </w:tc>
        <w:tc>
          <w:tcPr>
            <w:tcW w:w="1365" w:type="pct"/>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 时</w:t>
            </w:r>
          </w:p>
        </w:tc>
      </w:tr>
    </w:tbl>
    <w:p>
      <w:pPr>
        <w:spacing w:line="360" w:lineRule="exact"/>
        <w:jc w:val="left"/>
        <w:rPr>
          <w:rFonts w:ascii="宋体" w:hAnsi="宋体" w:cs="宋体"/>
          <w:sz w:val="24"/>
        </w:rPr>
      </w:pPr>
    </w:p>
    <w:p>
      <w:pPr>
        <w:spacing w:line="360" w:lineRule="exact"/>
        <w:jc w:val="left"/>
        <w:rPr>
          <w:rFonts w:ascii="宋体" w:hAnsi="宋体"/>
          <w:sz w:val="24"/>
        </w:rPr>
      </w:pPr>
      <w:r>
        <w:rPr>
          <w:rFonts w:hint="eastAsia" w:ascii="宋体" w:hAnsi="宋体" w:cs="宋体"/>
          <w:sz w:val="24"/>
        </w:rPr>
        <w:t>区域：病区病房</w:t>
      </w:r>
    </w:p>
    <w:tbl>
      <w:tblPr>
        <w:tblStyle w:val="62"/>
        <w:tblW w:w="5034" w:type="pct"/>
        <w:tblInd w:w="-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6302"/>
        <w:gridCol w:w="2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12" w:space="0"/>
              <w:left w:val="single" w:color="auto" w:sz="12" w:space="0"/>
              <w:bottom w:val="single" w:color="auto" w:sz="6" w:space="0"/>
              <w:right w:val="single" w:color="auto" w:sz="6" w:space="0"/>
            </w:tcBorders>
            <w:shd w:val="clear" w:color="auto" w:fill="auto"/>
          </w:tcPr>
          <w:p>
            <w:pPr>
              <w:spacing w:line="360" w:lineRule="exact"/>
              <w:jc w:val="center"/>
              <w:rPr>
                <w:rFonts w:ascii="宋体" w:hAnsi="宋体"/>
                <w:sz w:val="24"/>
              </w:rPr>
            </w:pPr>
            <w:r>
              <w:rPr>
                <w:rFonts w:hint="eastAsia" w:ascii="宋体" w:hAnsi="宋体" w:cs="宋体"/>
                <w:sz w:val="24"/>
              </w:rPr>
              <w:t>序号</w:t>
            </w:r>
          </w:p>
        </w:tc>
        <w:tc>
          <w:tcPr>
            <w:tcW w:w="3368" w:type="pct"/>
            <w:tcBorders>
              <w:top w:val="single" w:color="auto" w:sz="12" w:space="0"/>
              <w:left w:val="single" w:color="auto" w:sz="6" w:space="0"/>
              <w:bottom w:val="single" w:color="auto" w:sz="6" w:space="0"/>
              <w:right w:val="single" w:color="auto" w:sz="6" w:space="0"/>
            </w:tcBorders>
            <w:shd w:val="clear" w:color="auto" w:fill="auto"/>
          </w:tcPr>
          <w:p>
            <w:pPr>
              <w:spacing w:line="360" w:lineRule="exact"/>
              <w:jc w:val="center"/>
              <w:rPr>
                <w:rFonts w:ascii="宋体" w:hAnsi="宋体"/>
                <w:sz w:val="24"/>
              </w:rPr>
            </w:pPr>
            <w:r>
              <w:rPr>
                <w:rFonts w:hint="eastAsia" w:ascii="宋体" w:hAnsi="宋体" w:cs="宋体"/>
                <w:sz w:val="24"/>
              </w:rPr>
              <w:t>工作内容</w:t>
            </w:r>
          </w:p>
        </w:tc>
        <w:tc>
          <w:tcPr>
            <w:tcW w:w="1365" w:type="pct"/>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收集区域内垃圾、更换垃圾袋</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区域内地面湿拖（进行地面消毒、清洁）</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3</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区域内洗手池、水池、水龙头、皂盒、隔拦处清洗、擦拭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p>
            <w:pPr>
              <w:spacing w:line="360" w:lineRule="exact"/>
              <w:jc w:val="center"/>
              <w:rPr>
                <w:rFonts w:ascii="宋体" w:hAnsi="宋体"/>
                <w:sz w:val="24"/>
              </w:rPr>
            </w:pPr>
            <w:r>
              <w:rPr>
                <w:rFonts w:hint="eastAsia" w:ascii="宋体" w:hAnsi="宋体" w:cs="宋体"/>
                <w:sz w:val="24"/>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4</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卫生间（含镜子、水龙头、脸盆、台面、毛巾架、马桶、沐浴器、地面）冲洗、擦拭、消毒</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 xml:space="preserve">每日2次以上 </w:t>
            </w:r>
          </w:p>
          <w:p>
            <w:pPr>
              <w:spacing w:line="360" w:lineRule="exact"/>
              <w:jc w:val="center"/>
              <w:rPr>
                <w:rFonts w:ascii="宋体" w:hAnsi="宋体"/>
                <w:sz w:val="24"/>
              </w:rPr>
            </w:pPr>
            <w:r>
              <w:rPr>
                <w:rFonts w:hint="eastAsia" w:ascii="宋体" w:hAnsi="宋体" w:cs="宋体"/>
                <w:sz w:val="24"/>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5</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区域内家具（桌椅、橱柜等）、办公用品、台面擦拭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6</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区域内电脑、电话、仪器（含各种医用器材、无影灯）、低处电器表面清洗、擦拭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7</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区域内窗台、阳台、把手、扶手、栏杆、开关盒、接线盒、各类低处标牌、垃圾桶擦拭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8</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开水机、空气消毒机、空调设备外表面的清洁与消毒</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9</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门、门框、玻璃、窗框、高处标牌、壁挂物擦拭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10</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低处墙面除尘、落地瓷砖、踢脚板、地角、低处管道擦拭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11</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库房的打扫</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12</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各类平车轮椅车轮上油、去污，保证正常运行</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13</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高处除尘</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14</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灯具、音响、烟感、监视器、风口、管道、空调（吊顶内的除外）、排气扇、风扇等高处设备擦洗</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15</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窗帘、床帘拆换送洗（污染时随时拆换）</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16</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非医疗不锈钢物体表面闪钢保养</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17</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床头设备带用抹布擦拭干净</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18</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房顶、输液轨道、顶灯、罩，用干净抹布擦净</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19</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开关、插座、空调开关用干净抹布抹净</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20</w:t>
            </w:r>
          </w:p>
        </w:tc>
        <w:tc>
          <w:tcPr>
            <w:tcW w:w="3368" w:type="pct"/>
            <w:tcBorders>
              <w:top w:val="single" w:color="auto" w:sz="6" w:space="0"/>
              <w:left w:val="single" w:color="auto" w:sz="6" w:space="0"/>
              <w:bottom w:val="single" w:color="auto" w:sz="6" w:space="0"/>
              <w:right w:val="single" w:color="auto" w:sz="6" w:space="0"/>
            </w:tcBorders>
            <w:shd w:val="clear" w:color="auto" w:fill="auto"/>
            <w:vAlign w:val="center"/>
          </w:tcPr>
          <w:p>
            <w:pPr>
              <w:rPr>
                <w:rFonts w:ascii="宋体" w:hAnsi="宋体"/>
                <w:sz w:val="24"/>
              </w:rPr>
            </w:pPr>
            <w:r>
              <w:rPr>
                <w:rFonts w:hint="eastAsia" w:ascii="宋体" w:hAnsi="宋体" w:cs="宋体"/>
                <w:sz w:val="24"/>
              </w:rPr>
              <w:t>床头柜、床、床头板，用抹布逐层擦拭，对污迹处用清洁剂擦拭</w:t>
            </w:r>
          </w:p>
        </w:tc>
        <w:tc>
          <w:tcPr>
            <w:tcW w:w="136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 w:type="pct"/>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21</w:t>
            </w:r>
          </w:p>
        </w:tc>
        <w:tc>
          <w:tcPr>
            <w:tcW w:w="3368"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巡视保洁</w:t>
            </w:r>
          </w:p>
        </w:tc>
        <w:tc>
          <w:tcPr>
            <w:tcW w:w="1365" w:type="pct"/>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 时</w:t>
            </w:r>
          </w:p>
        </w:tc>
      </w:tr>
    </w:tbl>
    <w:p>
      <w:pPr>
        <w:spacing w:line="360" w:lineRule="exact"/>
        <w:jc w:val="left"/>
        <w:rPr>
          <w:rFonts w:ascii="宋体" w:hAnsi="宋体" w:cs="宋体"/>
          <w:sz w:val="24"/>
        </w:rPr>
      </w:pPr>
    </w:p>
    <w:p>
      <w:pPr>
        <w:spacing w:line="360" w:lineRule="exact"/>
        <w:jc w:val="left"/>
        <w:rPr>
          <w:rFonts w:ascii="宋体" w:hAnsi="宋体"/>
          <w:sz w:val="24"/>
        </w:rPr>
      </w:pPr>
      <w:r>
        <w:rPr>
          <w:rFonts w:hint="eastAsia" w:ascii="宋体" w:hAnsi="宋体" w:cs="宋体"/>
          <w:sz w:val="24"/>
        </w:rPr>
        <w:t>区域：室内公共区域</w:t>
      </w:r>
    </w:p>
    <w:tbl>
      <w:tblPr>
        <w:tblStyle w:val="62"/>
        <w:tblW w:w="5069" w:type="pct"/>
        <w:tblInd w:w="-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5"/>
        <w:gridCol w:w="6099"/>
        <w:gridCol w:w="2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序号</w:t>
            </w:r>
          </w:p>
        </w:tc>
        <w:tc>
          <w:tcPr>
            <w:tcW w:w="3237" w:type="pct"/>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工作内容</w:t>
            </w:r>
          </w:p>
        </w:tc>
        <w:tc>
          <w:tcPr>
            <w:tcW w:w="1498" w:type="pct"/>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收集区域内垃圾、更换垃圾袋</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区域内地面扫尘并地面湿拖（进行地面消毒、清洁）</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3</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区域内洗手池、水池、水龙头、皂盒的清洗、擦拭</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4</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卫生间（含镜子、水龙头、脸盆、台面、马桶、地面）、开水间冲洗、擦拭、消毒</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5</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区域内把手、栏杆、花瓶、花盆、开关盒、接线盒、</w:t>
            </w:r>
          </w:p>
          <w:p>
            <w:pPr>
              <w:spacing w:line="360" w:lineRule="exact"/>
              <w:jc w:val="left"/>
              <w:rPr>
                <w:rFonts w:ascii="宋体" w:hAnsi="宋体"/>
                <w:sz w:val="24"/>
              </w:rPr>
            </w:pPr>
            <w:r>
              <w:rPr>
                <w:rFonts w:hint="eastAsia" w:ascii="宋体" w:hAnsi="宋体" w:cs="宋体"/>
                <w:sz w:val="24"/>
              </w:rPr>
              <w:t>各类低处标牌、垃圾桶擦拭</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6</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公共座椅的清洁擦拭</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7</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玻璃清洁</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8</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非医疗不锈钢物体表面闪钢保养</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9</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高处标牌、壁挂物擦拭</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10</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高处除尘</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11</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灯具、音响、烟感、监视器、风口、管道、空调（吊顶内的除外）、排气扇、风扇等高处设备擦洗</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12</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各材质地面的保养</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13</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地毯、踏垫保持地毯干净、松软、无污渍斑点</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每日清扫，每周吸尘清洁，每周局部使用清洁剂清洁，每月一次用清洁剂清洗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14</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大厅内玻璃除尘、清洗，无尘，光亮；窗帘拆换送洗（污染时随时拆换）；</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每季度全面清尘一次以上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15</w:t>
            </w:r>
          </w:p>
        </w:tc>
        <w:tc>
          <w:tcPr>
            <w:tcW w:w="3237"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石材、灯具清洁</w:t>
            </w:r>
          </w:p>
        </w:tc>
        <w:tc>
          <w:tcPr>
            <w:tcW w:w="149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每季度一次以上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16</w:t>
            </w:r>
          </w:p>
        </w:tc>
        <w:tc>
          <w:tcPr>
            <w:tcW w:w="3237"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巡逻保洁</w:t>
            </w:r>
          </w:p>
        </w:tc>
        <w:tc>
          <w:tcPr>
            <w:tcW w:w="1498" w:type="pct"/>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 时</w:t>
            </w:r>
          </w:p>
        </w:tc>
      </w:tr>
    </w:tbl>
    <w:p>
      <w:pPr>
        <w:spacing w:line="360" w:lineRule="exact"/>
        <w:jc w:val="center"/>
        <w:rPr>
          <w:rFonts w:ascii="宋体" w:hAnsi="宋体"/>
          <w:sz w:val="24"/>
        </w:rPr>
      </w:pPr>
    </w:p>
    <w:p>
      <w:pPr>
        <w:spacing w:line="360" w:lineRule="exact"/>
        <w:rPr>
          <w:rFonts w:ascii="宋体" w:hAnsi="宋体"/>
          <w:sz w:val="24"/>
        </w:rPr>
      </w:pPr>
      <w:r>
        <w:rPr>
          <w:rFonts w:hint="eastAsia" w:ascii="宋体" w:hAnsi="宋体" w:cs="宋体"/>
          <w:sz w:val="24"/>
        </w:rPr>
        <w:t>区域：</w:t>
      </w:r>
      <w:r>
        <w:rPr>
          <w:rFonts w:hint="eastAsia" w:ascii="宋体" w:hAnsi="宋体" w:cs="宋体"/>
          <w:color w:val="auto"/>
          <w:sz w:val="24"/>
        </w:rPr>
        <w:t>室外公共区域</w:t>
      </w:r>
    </w:p>
    <w:tbl>
      <w:tblPr>
        <w:tblStyle w:val="62"/>
        <w:tblW w:w="5078" w:type="pct"/>
        <w:tblInd w:w="-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5903"/>
        <w:gridCol w:w="30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序号</w:t>
            </w:r>
          </w:p>
        </w:tc>
        <w:tc>
          <w:tcPr>
            <w:tcW w:w="3128" w:type="pct"/>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工作内容</w:t>
            </w:r>
          </w:p>
        </w:tc>
        <w:tc>
          <w:tcPr>
            <w:tcW w:w="1608" w:type="pct"/>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sz w:val="24"/>
              </w:rPr>
              <w:t>1</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收集区域内垃圾、更换垃圾袋</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sz w:val="24"/>
              </w:rPr>
              <w:t>2</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区域内垃圾桶刷洗</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sz w:val="24"/>
              </w:rPr>
              <w:t>3</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外墙及外露管道（二米以下）除尘，无积灰、污渍</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sz w:val="24"/>
              </w:rPr>
              <w:t>4</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外墙金属嵌条、广告牌、宣传栏、灯箱、标志牌除尘无积灰、污渍</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sz w:val="24"/>
              </w:rPr>
              <w:t>5</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室外绿地清扫，无垃圾、无杂物</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每日清洁5次以上，随时清扫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sz w:val="24"/>
              </w:rPr>
              <w:t>6</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屋顶、下水道及周边清扫、收集垃圾、刷洗、清洁堵塞物</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每日清扫，雨雪天气、台风季节重点清扫，保持屋面平台下水道通畅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sz w:val="24"/>
              </w:rPr>
              <w:t>7</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范围内的道路、停车场和门前“三包”及所有公共区域的地面，无垃圾、无杂物，无积水和淤泥、无阻塞等</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每日清扫5次，随时清扫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sz w:val="24"/>
              </w:rPr>
              <w:t>8</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玻璃清洁</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sz w:val="24"/>
              </w:rPr>
              <w:t>9</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各出入口地面清扫、收集垃圾、水力冲洗</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10</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道路清扫、收集垃圾、水力冲洗</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11</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明沟、暗沟彻底清理，如有堵塞情况，及时上报</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12</w:t>
            </w:r>
          </w:p>
        </w:tc>
        <w:tc>
          <w:tcPr>
            <w:tcW w:w="3128"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公共座椅保洁</w:t>
            </w:r>
          </w:p>
        </w:tc>
        <w:tc>
          <w:tcPr>
            <w:tcW w:w="1608"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3" w:type="pct"/>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13</w:t>
            </w:r>
          </w:p>
        </w:tc>
        <w:tc>
          <w:tcPr>
            <w:tcW w:w="3128"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巡逻保洁</w:t>
            </w:r>
          </w:p>
        </w:tc>
        <w:tc>
          <w:tcPr>
            <w:tcW w:w="1608" w:type="pct"/>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随时</w:t>
            </w:r>
          </w:p>
        </w:tc>
      </w:tr>
    </w:tbl>
    <w:p>
      <w:pPr>
        <w:spacing w:line="360" w:lineRule="exact"/>
        <w:rPr>
          <w:rFonts w:ascii="宋体" w:hAnsi="宋体"/>
          <w:sz w:val="24"/>
        </w:rPr>
      </w:pPr>
    </w:p>
    <w:p>
      <w:pPr>
        <w:spacing w:line="360" w:lineRule="exact"/>
        <w:rPr>
          <w:rFonts w:ascii="宋体" w:hAnsi="宋体"/>
          <w:sz w:val="24"/>
        </w:rPr>
      </w:pPr>
      <w:r>
        <w:rPr>
          <w:rFonts w:hint="eastAsia" w:ascii="宋体" w:hAnsi="宋体" w:cs="宋体"/>
          <w:sz w:val="24"/>
        </w:rPr>
        <w:t>区域：电梯</w:t>
      </w:r>
    </w:p>
    <w:tbl>
      <w:tblPr>
        <w:tblStyle w:val="62"/>
        <w:tblW w:w="5113" w:type="pct"/>
        <w:tblInd w:w="-1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5666"/>
        <w:gridCol w:w="33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61" w:type="pct"/>
            <w:tcBorders>
              <w:top w:val="single" w:color="auto" w:sz="12" w:space="0"/>
              <w:left w:val="single" w:color="auto" w:sz="12" w:space="0"/>
              <w:bottom w:val="single" w:color="auto" w:sz="6" w:space="0"/>
              <w:right w:val="single" w:color="auto" w:sz="6" w:space="0"/>
            </w:tcBorders>
            <w:shd w:val="clear" w:color="auto" w:fill="auto"/>
          </w:tcPr>
          <w:p>
            <w:pPr>
              <w:spacing w:line="360" w:lineRule="exact"/>
              <w:jc w:val="center"/>
              <w:rPr>
                <w:rFonts w:ascii="宋体" w:hAnsi="宋体"/>
                <w:sz w:val="24"/>
              </w:rPr>
            </w:pPr>
            <w:r>
              <w:rPr>
                <w:rFonts w:hint="eastAsia" w:ascii="宋体" w:hAnsi="宋体" w:cs="宋体"/>
                <w:sz w:val="24"/>
              </w:rPr>
              <w:t>序号</w:t>
            </w:r>
          </w:p>
        </w:tc>
        <w:tc>
          <w:tcPr>
            <w:tcW w:w="2981" w:type="pct"/>
            <w:tcBorders>
              <w:top w:val="single" w:color="auto" w:sz="12" w:space="0"/>
              <w:left w:val="single" w:color="auto" w:sz="6" w:space="0"/>
              <w:bottom w:val="single" w:color="auto" w:sz="6" w:space="0"/>
              <w:right w:val="single" w:color="auto" w:sz="6" w:space="0"/>
            </w:tcBorders>
            <w:shd w:val="clear" w:color="auto" w:fill="auto"/>
          </w:tcPr>
          <w:p>
            <w:pPr>
              <w:spacing w:line="360" w:lineRule="exact"/>
              <w:jc w:val="center"/>
              <w:rPr>
                <w:rFonts w:ascii="宋体" w:hAnsi="宋体"/>
                <w:sz w:val="24"/>
              </w:rPr>
            </w:pPr>
            <w:r>
              <w:rPr>
                <w:rFonts w:hint="eastAsia" w:ascii="宋体" w:hAnsi="宋体" w:cs="宋体"/>
                <w:sz w:val="24"/>
              </w:rPr>
              <w:t>工作内容</w:t>
            </w:r>
          </w:p>
        </w:tc>
        <w:tc>
          <w:tcPr>
            <w:tcW w:w="1756" w:type="pct"/>
            <w:tcBorders>
              <w:top w:val="single" w:color="auto" w:sz="12" w:space="0"/>
              <w:left w:val="single" w:color="auto" w:sz="6" w:space="0"/>
              <w:bottom w:val="single" w:color="auto" w:sz="6" w:space="0"/>
              <w:right w:val="single" w:color="auto" w:sz="12" w:space="0"/>
            </w:tcBorders>
            <w:shd w:val="clear" w:color="auto" w:fill="auto"/>
          </w:tcPr>
          <w:p>
            <w:pPr>
              <w:spacing w:line="360" w:lineRule="exact"/>
              <w:jc w:val="center"/>
              <w:rPr>
                <w:rFonts w:ascii="宋体" w:hAnsi="宋体"/>
                <w:sz w:val="24"/>
              </w:rPr>
            </w:pPr>
            <w:r>
              <w:rPr>
                <w:rFonts w:hint="eastAsia" w:ascii="宋体" w:hAnsi="宋体" w:cs="宋体"/>
                <w:sz w:val="24"/>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w:t>
            </w:r>
          </w:p>
        </w:tc>
        <w:tc>
          <w:tcPr>
            <w:tcW w:w="2981" w:type="pct"/>
            <w:tcBorders>
              <w:top w:val="single" w:color="auto" w:sz="6" w:space="0"/>
              <w:left w:val="single" w:color="auto" w:sz="6" w:space="0"/>
              <w:bottom w:val="single" w:color="auto" w:sz="6" w:space="0"/>
              <w:right w:val="single" w:color="auto" w:sz="6" w:space="0"/>
            </w:tcBorders>
            <w:shd w:val="clear" w:color="auto" w:fill="auto"/>
          </w:tcPr>
          <w:p>
            <w:pPr>
              <w:spacing w:line="360" w:lineRule="exact"/>
              <w:jc w:val="left"/>
              <w:rPr>
                <w:rFonts w:ascii="宋体" w:hAnsi="宋体"/>
                <w:sz w:val="24"/>
              </w:rPr>
            </w:pPr>
            <w:r>
              <w:rPr>
                <w:rFonts w:hint="eastAsia" w:ascii="宋体" w:hAnsi="宋体" w:cs="宋体"/>
                <w:sz w:val="24"/>
              </w:rPr>
              <w:t>轿厢内外用不锈钢油轻抹保养</w:t>
            </w:r>
          </w:p>
        </w:tc>
        <w:tc>
          <w:tcPr>
            <w:tcW w:w="1756"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每天一次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w:t>
            </w:r>
          </w:p>
        </w:tc>
        <w:tc>
          <w:tcPr>
            <w:tcW w:w="2981" w:type="pct"/>
            <w:tcBorders>
              <w:top w:val="single" w:color="auto" w:sz="6" w:space="0"/>
              <w:left w:val="single" w:color="auto" w:sz="6" w:space="0"/>
              <w:bottom w:val="single" w:color="auto" w:sz="6" w:space="0"/>
              <w:right w:val="single" w:color="auto" w:sz="6" w:space="0"/>
            </w:tcBorders>
            <w:shd w:val="clear" w:color="auto" w:fill="auto"/>
          </w:tcPr>
          <w:p>
            <w:pPr>
              <w:spacing w:line="360" w:lineRule="exact"/>
              <w:jc w:val="left"/>
              <w:rPr>
                <w:rFonts w:ascii="宋体" w:hAnsi="宋体"/>
                <w:sz w:val="24"/>
              </w:rPr>
            </w:pPr>
            <w:r>
              <w:rPr>
                <w:rFonts w:hint="eastAsia" w:ascii="宋体" w:hAnsi="宋体" w:cs="宋体"/>
                <w:sz w:val="24"/>
              </w:rPr>
              <w:t>轿厢内外油布擦拭</w:t>
            </w:r>
          </w:p>
        </w:tc>
        <w:tc>
          <w:tcPr>
            <w:tcW w:w="1756"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3</w:t>
            </w:r>
          </w:p>
        </w:tc>
        <w:tc>
          <w:tcPr>
            <w:tcW w:w="298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地面除尘、清洗，无灰尘、垃圾及污渍</w:t>
            </w:r>
          </w:p>
        </w:tc>
        <w:tc>
          <w:tcPr>
            <w:tcW w:w="1756"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每日吸尘2次以上，</w:t>
            </w:r>
          </w:p>
          <w:p>
            <w:pPr>
              <w:spacing w:line="360" w:lineRule="exact"/>
              <w:jc w:val="center"/>
              <w:rPr>
                <w:rFonts w:ascii="宋体" w:hAnsi="宋体"/>
                <w:sz w:val="24"/>
              </w:rPr>
            </w:pPr>
            <w:r>
              <w:rPr>
                <w:rFonts w:hint="eastAsia" w:ascii="宋体" w:hAnsi="宋体" w:cs="宋体"/>
                <w:sz w:val="24"/>
              </w:rPr>
              <w:t>每月清洗1次以上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4</w:t>
            </w:r>
          </w:p>
        </w:tc>
        <w:tc>
          <w:tcPr>
            <w:tcW w:w="298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墙面，木质（除尘）、铝合金（上保护剂）、镜面清洁，无灰尘及手印，光亮</w:t>
            </w:r>
          </w:p>
        </w:tc>
        <w:tc>
          <w:tcPr>
            <w:tcW w:w="1756"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每日保洁，每周清洁、上光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5</w:t>
            </w:r>
          </w:p>
        </w:tc>
        <w:tc>
          <w:tcPr>
            <w:tcW w:w="298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门（内外）抹净（上保护剂），无灰尘及手印，光亮</w:t>
            </w:r>
          </w:p>
        </w:tc>
        <w:tc>
          <w:tcPr>
            <w:tcW w:w="1756"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循环保洁，每周清洁、上光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6</w:t>
            </w:r>
          </w:p>
        </w:tc>
        <w:tc>
          <w:tcPr>
            <w:tcW w:w="298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门槽清除垃圾、杂物，无灰尘及垃圾，光亮</w:t>
            </w:r>
          </w:p>
        </w:tc>
        <w:tc>
          <w:tcPr>
            <w:tcW w:w="1756"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每日及时清除，每周清洁、上光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7</w:t>
            </w:r>
          </w:p>
        </w:tc>
        <w:tc>
          <w:tcPr>
            <w:tcW w:w="2981"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指示牌和按钮除尘，无灰尘、无手印</w:t>
            </w:r>
          </w:p>
        </w:tc>
        <w:tc>
          <w:tcPr>
            <w:tcW w:w="1756"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8</w:t>
            </w:r>
          </w:p>
        </w:tc>
        <w:tc>
          <w:tcPr>
            <w:tcW w:w="2981" w:type="pct"/>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exact"/>
              <w:jc w:val="left"/>
              <w:rPr>
                <w:rFonts w:ascii="宋体" w:hAnsi="宋体"/>
                <w:sz w:val="24"/>
              </w:rPr>
            </w:pPr>
            <w:r>
              <w:rPr>
                <w:rFonts w:hint="eastAsia" w:ascii="宋体" w:hAnsi="宋体" w:cs="宋体"/>
                <w:sz w:val="24"/>
              </w:rPr>
              <w:t>灯片和风口除尘无灰尘</w:t>
            </w:r>
          </w:p>
        </w:tc>
        <w:tc>
          <w:tcPr>
            <w:tcW w:w="1756" w:type="pct"/>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每日清抹1次以上</w:t>
            </w:r>
          </w:p>
        </w:tc>
      </w:tr>
    </w:tbl>
    <w:p>
      <w:pPr>
        <w:spacing w:line="360" w:lineRule="exact"/>
        <w:jc w:val="center"/>
        <w:rPr>
          <w:rFonts w:ascii="宋体" w:hAnsi="宋体"/>
          <w:sz w:val="24"/>
        </w:rPr>
      </w:pPr>
    </w:p>
    <w:p>
      <w:pPr>
        <w:spacing w:line="360" w:lineRule="exact"/>
        <w:rPr>
          <w:rFonts w:ascii="宋体" w:hAnsi="宋体"/>
          <w:sz w:val="24"/>
        </w:rPr>
      </w:pPr>
      <w:r>
        <w:rPr>
          <w:rFonts w:hint="eastAsia" w:ascii="宋体" w:hAnsi="宋体" w:cs="宋体"/>
          <w:sz w:val="24"/>
        </w:rPr>
        <w:t>区域：其他</w:t>
      </w:r>
    </w:p>
    <w:tbl>
      <w:tblPr>
        <w:tblStyle w:val="62"/>
        <w:tblW w:w="5130" w:type="pct"/>
        <w:tblInd w:w="-15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4162"/>
        <w:gridCol w:w="48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261" w:type="pct"/>
            <w:tcBorders>
              <w:top w:val="single" w:color="auto" w:sz="12" w:space="0"/>
              <w:left w:val="single" w:color="auto" w:sz="12" w:space="0"/>
              <w:bottom w:val="single" w:color="auto" w:sz="6" w:space="0"/>
              <w:right w:val="single" w:color="auto" w:sz="6" w:space="0"/>
            </w:tcBorders>
            <w:shd w:val="clear" w:color="auto" w:fill="auto"/>
          </w:tcPr>
          <w:p>
            <w:pPr>
              <w:spacing w:line="360" w:lineRule="exact"/>
              <w:jc w:val="center"/>
              <w:rPr>
                <w:rFonts w:ascii="宋体" w:hAnsi="宋体"/>
                <w:sz w:val="24"/>
              </w:rPr>
            </w:pPr>
            <w:r>
              <w:rPr>
                <w:rFonts w:hint="eastAsia" w:ascii="宋体" w:hAnsi="宋体" w:cs="宋体"/>
                <w:sz w:val="24"/>
              </w:rPr>
              <w:t>序号</w:t>
            </w:r>
          </w:p>
        </w:tc>
        <w:tc>
          <w:tcPr>
            <w:tcW w:w="2183" w:type="pct"/>
            <w:tcBorders>
              <w:top w:val="single" w:color="auto" w:sz="12" w:space="0"/>
              <w:left w:val="single" w:color="auto" w:sz="6" w:space="0"/>
              <w:bottom w:val="single" w:color="auto" w:sz="6" w:space="0"/>
              <w:right w:val="single" w:color="auto" w:sz="6" w:space="0"/>
            </w:tcBorders>
            <w:shd w:val="clear" w:color="auto" w:fill="auto"/>
          </w:tcPr>
          <w:p>
            <w:pPr>
              <w:spacing w:line="360" w:lineRule="exact"/>
              <w:jc w:val="center"/>
              <w:rPr>
                <w:rFonts w:ascii="宋体" w:hAnsi="宋体"/>
                <w:sz w:val="24"/>
              </w:rPr>
            </w:pPr>
            <w:r>
              <w:rPr>
                <w:rFonts w:hint="eastAsia" w:ascii="宋体" w:hAnsi="宋体" w:cs="宋体"/>
                <w:sz w:val="24"/>
              </w:rPr>
              <w:t>工作内容</w:t>
            </w:r>
          </w:p>
        </w:tc>
        <w:tc>
          <w:tcPr>
            <w:tcW w:w="2555" w:type="pct"/>
            <w:tcBorders>
              <w:top w:val="single" w:color="auto" w:sz="12" w:space="0"/>
              <w:left w:val="single" w:color="auto" w:sz="6" w:space="0"/>
              <w:bottom w:val="single" w:color="auto" w:sz="6" w:space="0"/>
              <w:right w:val="single" w:color="auto" w:sz="12" w:space="0"/>
            </w:tcBorders>
            <w:shd w:val="clear" w:color="auto" w:fill="auto"/>
          </w:tcPr>
          <w:p>
            <w:pPr>
              <w:spacing w:line="360" w:lineRule="exact"/>
              <w:jc w:val="center"/>
              <w:rPr>
                <w:rFonts w:ascii="宋体" w:hAnsi="宋体"/>
                <w:sz w:val="24"/>
              </w:rPr>
            </w:pPr>
            <w:r>
              <w:rPr>
                <w:rFonts w:hint="eastAsia" w:ascii="宋体" w:hAnsi="宋体" w:cs="宋体"/>
                <w:sz w:val="24"/>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1</w:t>
            </w:r>
          </w:p>
        </w:tc>
        <w:tc>
          <w:tcPr>
            <w:tcW w:w="2183"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墙面清洁</w:t>
            </w:r>
          </w:p>
        </w:tc>
        <w:tc>
          <w:tcPr>
            <w:tcW w:w="2555" w:type="pct"/>
            <w:tcBorders>
              <w:top w:val="single" w:color="auto" w:sz="6" w:space="0"/>
              <w:left w:val="single" w:color="auto" w:sz="6" w:space="0"/>
              <w:bottom w:val="single" w:color="auto" w:sz="6" w:space="0"/>
              <w:right w:val="single" w:color="auto" w:sz="12" w:space="0"/>
            </w:tcBorders>
            <w:shd w:val="clear" w:color="auto" w:fill="auto"/>
          </w:tcPr>
          <w:p>
            <w:pPr>
              <w:spacing w:line="360" w:lineRule="exact"/>
              <w:jc w:val="center"/>
              <w:rPr>
                <w:rFonts w:ascii="宋体" w:hAnsi="宋体"/>
                <w:sz w:val="24"/>
              </w:rPr>
            </w:pPr>
            <w:r>
              <w:rPr>
                <w:rFonts w:hint="eastAsia" w:ascii="宋体" w:hAnsi="宋体"/>
                <w:sz w:val="24"/>
              </w:rPr>
              <w:t>每月一次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2</w:t>
            </w:r>
          </w:p>
        </w:tc>
        <w:tc>
          <w:tcPr>
            <w:tcW w:w="2183"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不锈钢物品</w:t>
            </w:r>
          </w:p>
        </w:tc>
        <w:tc>
          <w:tcPr>
            <w:tcW w:w="2555" w:type="pct"/>
            <w:tcBorders>
              <w:top w:val="single" w:color="auto" w:sz="6" w:space="0"/>
              <w:left w:val="single" w:color="auto" w:sz="6" w:space="0"/>
              <w:bottom w:val="single" w:color="auto" w:sz="6" w:space="0"/>
              <w:right w:val="single" w:color="auto" w:sz="12" w:space="0"/>
            </w:tcBorders>
            <w:shd w:val="clear" w:color="auto" w:fill="auto"/>
          </w:tcPr>
          <w:p>
            <w:pPr>
              <w:spacing w:line="360" w:lineRule="exact"/>
              <w:jc w:val="center"/>
              <w:rPr>
                <w:rFonts w:ascii="宋体" w:hAnsi="宋体"/>
                <w:sz w:val="24"/>
              </w:rPr>
            </w:pPr>
            <w:r>
              <w:rPr>
                <w:rFonts w:hint="eastAsia" w:ascii="宋体" w:hAnsi="宋体" w:cs="宋体"/>
                <w:sz w:val="24"/>
              </w:rPr>
              <w:t>每周用不锈钢油保养一次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3</w:t>
            </w:r>
          </w:p>
        </w:tc>
        <w:tc>
          <w:tcPr>
            <w:tcW w:w="2183"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档案室除尘、抹净</w:t>
            </w:r>
          </w:p>
        </w:tc>
        <w:tc>
          <w:tcPr>
            <w:tcW w:w="255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每周清洁1次以上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4</w:t>
            </w:r>
          </w:p>
        </w:tc>
        <w:tc>
          <w:tcPr>
            <w:tcW w:w="2183"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废品和杂物清理</w:t>
            </w:r>
          </w:p>
        </w:tc>
        <w:tc>
          <w:tcPr>
            <w:tcW w:w="255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每日清理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5</w:t>
            </w:r>
          </w:p>
        </w:tc>
        <w:tc>
          <w:tcPr>
            <w:tcW w:w="2183"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垃圾收集及暂存点保洁</w:t>
            </w:r>
          </w:p>
        </w:tc>
        <w:tc>
          <w:tcPr>
            <w:tcW w:w="255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ind w:firstLine="480" w:firstLineChars="200"/>
              <w:jc w:val="left"/>
              <w:rPr>
                <w:rFonts w:ascii="宋体" w:hAnsi="宋体"/>
                <w:sz w:val="24"/>
              </w:rPr>
            </w:pPr>
            <w:r>
              <w:rPr>
                <w:rFonts w:hint="eastAsia" w:ascii="宋体" w:hAnsi="宋体" w:cs="宋体"/>
                <w:sz w:val="24"/>
              </w:rPr>
              <w:t>医院内部垃圾存放区域垃圾存量不超过三分之二且做到日产日清，每天清洗、消毒1次，每周全面清洗消毒1次。</w:t>
            </w:r>
          </w:p>
          <w:p>
            <w:pPr>
              <w:spacing w:line="360" w:lineRule="exact"/>
              <w:ind w:firstLine="480"/>
              <w:jc w:val="left"/>
              <w:rPr>
                <w:rFonts w:ascii="宋体" w:hAnsi="宋体"/>
                <w:sz w:val="24"/>
              </w:rPr>
            </w:pPr>
            <w:r>
              <w:rPr>
                <w:rFonts w:hint="eastAsia" w:ascii="宋体" w:hAnsi="宋体" w:cs="宋体"/>
                <w:sz w:val="24"/>
              </w:rPr>
              <w:t>清洁工具每天进行清洗消毒，避免用手洗；垃圾桶保持清洁，随时清洗。</w:t>
            </w:r>
          </w:p>
          <w:p>
            <w:pPr>
              <w:spacing w:line="360" w:lineRule="exact"/>
              <w:jc w:val="center"/>
              <w:rPr>
                <w:rFonts w:ascii="宋体" w:hAnsi="宋体"/>
                <w:sz w:val="24"/>
              </w:rPr>
            </w:pPr>
            <w:r>
              <w:rPr>
                <w:rFonts w:hint="eastAsia" w:ascii="宋体" w:hAnsi="宋体" w:cs="宋体"/>
                <w:sz w:val="24"/>
              </w:rPr>
              <w:t>每天对垃圾的收集情况进行及时登记，以备检查；按照上级部门规定做好生活垃圾分类工作。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6</w:t>
            </w:r>
          </w:p>
        </w:tc>
        <w:tc>
          <w:tcPr>
            <w:tcW w:w="2183"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上级部门和重要嘉宾参观或检查，根据采购人要求进行突击性服务。</w:t>
            </w:r>
          </w:p>
        </w:tc>
        <w:tc>
          <w:tcPr>
            <w:tcW w:w="255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按采购人要求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7</w:t>
            </w:r>
          </w:p>
        </w:tc>
        <w:tc>
          <w:tcPr>
            <w:tcW w:w="2183"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如遇火警、水管爆裂、台风袭击、突发传染病等突发事件，要组织突击小组配合采购人搞好特殊保洁工作。</w:t>
            </w:r>
          </w:p>
        </w:tc>
        <w:tc>
          <w:tcPr>
            <w:tcW w:w="255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按采购人要求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261" w:type="pct"/>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8</w:t>
            </w:r>
          </w:p>
        </w:tc>
        <w:tc>
          <w:tcPr>
            <w:tcW w:w="2183"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ascii="宋体" w:hAnsi="宋体"/>
                <w:sz w:val="24"/>
              </w:rPr>
            </w:pPr>
            <w:r>
              <w:rPr>
                <w:rFonts w:hint="eastAsia" w:ascii="宋体" w:hAnsi="宋体" w:cs="宋体"/>
                <w:sz w:val="24"/>
              </w:rPr>
              <w:t>维护承包范围内院容、院貌的整洁，劝阻病人及家属在病房窗外或公共通道晾挂衣服、杂物；冷暖气开放时，劝阻病人自觉关闭窗户。</w:t>
            </w:r>
          </w:p>
        </w:tc>
        <w:tc>
          <w:tcPr>
            <w:tcW w:w="2555"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jc w:val="center"/>
              <w:rPr>
                <w:rFonts w:ascii="宋体" w:hAnsi="宋体"/>
                <w:sz w:val="24"/>
              </w:rPr>
            </w:pPr>
            <w:r>
              <w:rPr>
                <w:rFonts w:hint="eastAsia" w:ascii="宋体" w:hAnsi="宋体" w:cs="宋体"/>
                <w:sz w:val="24"/>
              </w:rPr>
              <w:t>按采购人要求</w:t>
            </w:r>
          </w:p>
        </w:tc>
      </w:tr>
    </w:tbl>
    <w:p>
      <w:pPr>
        <w:widowControl/>
        <w:adjustRightInd/>
        <w:jc w:val="left"/>
        <w:rPr>
          <w:rFonts w:ascii="宋体" w:hAnsi="宋体" w:cs="宋体"/>
          <w:b/>
          <w:color w:val="000000"/>
        </w:rPr>
      </w:pPr>
    </w:p>
    <w:p>
      <w:pPr>
        <w:pStyle w:val="128"/>
        <w:keepNext w:val="0"/>
        <w:keepLines w:val="0"/>
        <w:pageBreakBefore w:val="0"/>
        <w:kinsoku/>
        <w:wordWrap/>
        <w:overflowPunct/>
        <w:topLinePunct w:val="0"/>
        <w:autoSpaceDE/>
        <w:autoSpaceDN/>
        <w:bidi w:val="0"/>
        <w:snapToGrid w:val="0"/>
        <w:spacing w:before="0" w:line="500" w:lineRule="exact"/>
        <w:ind w:firstLine="482" w:firstLineChars="200"/>
        <w:textAlignment w:val="auto"/>
        <w:rPr>
          <w:rFonts w:ascii="宋体" w:hAnsi="宋体" w:cs="宋体"/>
          <w:b/>
          <w:color w:val="000000"/>
          <w:szCs w:val="24"/>
        </w:rPr>
      </w:pPr>
      <w:r>
        <w:rPr>
          <w:rFonts w:hint="eastAsia" w:ascii="宋体" w:hAnsi="宋体" w:cs="宋体"/>
          <w:b/>
          <w:color w:val="000000"/>
          <w:szCs w:val="24"/>
        </w:rPr>
        <w:t>5</w:t>
      </w:r>
      <w:r>
        <w:rPr>
          <w:rFonts w:ascii="宋体" w:hAnsi="宋体" w:cs="宋体"/>
          <w:b/>
          <w:color w:val="000000"/>
          <w:szCs w:val="24"/>
        </w:rPr>
        <w:t>、勤务中心工作</w:t>
      </w:r>
      <w:r>
        <w:rPr>
          <w:rFonts w:hint="eastAsia" w:ascii="宋体" w:hAnsi="宋体" w:cs="宋体"/>
          <w:b/>
          <w:color w:val="000000"/>
          <w:szCs w:val="24"/>
        </w:rPr>
        <w:t>内容</w:t>
      </w:r>
      <w:r>
        <w:rPr>
          <w:rFonts w:ascii="宋体" w:hAnsi="宋体" w:cs="宋体"/>
          <w:b/>
          <w:color w:val="000000"/>
          <w:szCs w:val="24"/>
        </w:rPr>
        <w:t>与要求</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勤务中心工作包括但不仅限于：勤务运送、搬运药物、搬运材料等工作。</w:t>
      </w:r>
      <w:r>
        <w:rPr>
          <w:rFonts w:ascii="宋体" w:hAnsi="宋体" w:cs="宋体"/>
          <w:color w:val="000000"/>
          <w:szCs w:val="24"/>
        </w:rPr>
        <w:t>服从所属科主任、护士长的工作安排。</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bCs/>
          <w:color w:val="000000"/>
          <w:szCs w:val="24"/>
        </w:rPr>
      </w:pPr>
      <w:r>
        <w:rPr>
          <w:rFonts w:hint="eastAsia" w:ascii="宋体" w:hAnsi="宋体" w:cs="宋体"/>
          <w:color w:val="000000"/>
          <w:szCs w:val="24"/>
        </w:rPr>
        <w:t>（1）</w:t>
      </w:r>
      <w:r>
        <w:rPr>
          <w:rFonts w:ascii="宋体" w:hAnsi="宋体" w:cs="宋体"/>
          <w:bCs/>
          <w:color w:val="000000"/>
          <w:szCs w:val="24"/>
        </w:rPr>
        <w:t>勤务中心工作</w:t>
      </w:r>
      <w:r>
        <w:rPr>
          <w:rFonts w:hint="eastAsia" w:ascii="宋体" w:hAnsi="宋体" w:cs="宋体"/>
          <w:bCs/>
          <w:color w:val="000000"/>
          <w:szCs w:val="24"/>
        </w:rPr>
        <w:t>内容:</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A.按时、及时安全的护送各类需要护送的病人到达目的地并接回，正确评估患者的行为能力，必要时使用平车，轮椅并正确使用、不依赖家属。</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B.准确、及时收送各类标本、检查单及预约、会诊单、通知单、急诊或抢救等，标本需专用箱或试管架运送，各类签名完整、清晰。</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C.协助科室运送有关医疗仪器，药房药品、耗材、仓库物资。</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D.按要求完全各项临时性任务。</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E.负责推床、轮椅等整洁和日常维护工作。</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F.保证筒装氧气的及时供应。</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G.负责部分无菌包的运送工作。</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（2）服务要求：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A.设立24小时的调度工作人员，相关人员配置手机。</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B.医院负责提供运送相关工具，中标人需合理调配并负责管理与保养。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C.运送准确率99%以上。</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E.运送及时率95%以上，尤其夜间急诊送药时间必须在20分钟以内。</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F.配送医疗事故差错率0。</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G.运送满意度90%以上。</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H.安全运送病人，保持病人身上管道不松脱、病人不跌倒、不碰撞等。</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I.运输工具每天按规范进行消毒。</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J.在甲方护理专业人员的指导下，定时组织对勤务运送人员的技能和服务培训，保障病人安全和提升服务水准。</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K.勤务运送管理人员经常性听取临床对勤务运送工作的意见和建议，及进改进；发现投诉及时处理；发现标本运送不及时或错误应及时报告并处理纠正。</w:t>
      </w:r>
    </w:p>
    <w:p>
      <w:pPr>
        <w:pStyle w:val="128"/>
        <w:keepNext w:val="0"/>
        <w:keepLines w:val="0"/>
        <w:pageBreakBefore w:val="0"/>
        <w:kinsoku/>
        <w:wordWrap/>
        <w:overflowPunct/>
        <w:topLinePunct w:val="0"/>
        <w:autoSpaceDE/>
        <w:autoSpaceDN/>
        <w:bidi w:val="0"/>
        <w:snapToGrid w:val="0"/>
        <w:spacing w:before="0" w:line="500" w:lineRule="exact"/>
        <w:ind w:firstLine="482" w:firstLineChars="200"/>
        <w:textAlignment w:val="auto"/>
        <w:rPr>
          <w:rFonts w:ascii="宋体" w:hAnsi="宋体" w:cs="宋体"/>
          <w:b/>
          <w:color w:val="000000"/>
          <w:szCs w:val="24"/>
        </w:rPr>
      </w:pPr>
      <w:r>
        <w:rPr>
          <w:rFonts w:hint="eastAsia" w:ascii="宋体" w:hAnsi="宋体" w:cs="宋体"/>
          <w:b/>
          <w:color w:val="000000"/>
          <w:szCs w:val="24"/>
        </w:rPr>
        <w:t>6</w:t>
      </w:r>
      <w:r>
        <w:rPr>
          <w:rFonts w:ascii="宋体" w:hAnsi="宋体" w:cs="宋体"/>
          <w:b/>
          <w:color w:val="000000"/>
          <w:szCs w:val="24"/>
        </w:rPr>
        <w:t>、陪护的范围与要求</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1）陪护工作人员必须思想品德端正、身体健康无疾病、无不良行为、无违法犯罪纪录、具有护理证，严格遵守院方的有关规章制度。如有违反制度的行为，采购人有权对中标人做出相应经济处罚，如有违法行为，依据法律程序处理。在合同期限内，中标人应当将新聘用人员的各类证件复印件交采购人备案，工作人员应做到统一服装、佩证上岗，文明用语，不得影响医院形象及整体利益。</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（2）</w:t>
      </w:r>
      <w:r>
        <w:rPr>
          <w:rFonts w:ascii="宋体" w:hAnsi="宋体" w:cs="宋体"/>
          <w:color w:val="000000"/>
          <w:szCs w:val="24"/>
        </w:rPr>
        <w:t>住院病人有需要的提供陪护、照料，以病人安全为本；</w:t>
      </w:r>
      <w:r>
        <w:rPr>
          <w:rFonts w:hint="eastAsia" w:ascii="宋体" w:hAnsi="宋体" w:cs="宋体"/>
          <w:color w:val="000000"/>
          <w:szCs w:val="24"/>
        </w:rPr>
        <w:t>应严格遵守劳动纪律，24小时陪护。</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（3）</w:t>
      </w:r>
      <w:r>
        <w:rPr>
          <w:rFonts w:ascii="宋体" w:hAnsi="宋体" w:cs="宋体"/>
          <w:color w:val="000000"/>
          <w:szCs w:val="24"/>
        </w:rPr>
        <w:t>遵守医院住院相关规章制度，文明服务，协助医务人员做好住院病人的日常生活护理；帮助病人按时取药；为病人打水、打饭、倾倒大小便等。帮助病人洗漱、大小便、更换衣服。定时为病人翻身、按摩。如遇特殊情况及时与医务人员及家属联系。</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（4）</w:t>
      </w:r>
      <w:r>
        <w:rPr>
          <w:rFonts w:ascii="宋体" w:hAnsi="宋体" w:cs="宋体"/>
          <w:color w:val="000000"/>
          <w:szCs w:val="24"/>
        </w:rPr>
        <w:t>陪护中心由</w:t>
      </w:r>
      <w:r>
        <w:rPr>
          <w:rFonts w:hint="eastAsia" w:ascii="宋体" w:hAnsi="宋体" w:cs="宋体"/>
          <w:color w:val="000000"/>
          <w:szCs w:val="24"/>
        </w:rPr>
        <w:t>中标人</w:t>
      </w:r>
      <w:r>
        <w:rPr>
          <w:rFonts w:ascii="宋体" w:hAnsi="宋体" w:cs="宋体"/>
          <w:color w:val="000000"/>
          <w:szCs w:val="24"/>
        </w:rPr>
        <w:t>制定陪护规范与服务收费标准，自负盈亏，因陪护原因引起的纠纷责任与费用全由</w:t>
      </w:r>
      <w:r>
        <w:rPr>
          <w:rFonts w:hint="eastAsia" w:ascii="宋体" w:hAnsi="宋体" w:cs="宋体"/>
          <w:color w:val="000000"/>
          <w:szCs w:val="24"/>
        </w:rPr>
        <w:t>中标人</w:t>
      </w:r>
      <w:r>
        <w:rPr>
          <w:rFonts w:ascii="宋体" w:hAnsi="宋体" w:cs="宋体"/>
          <w:color w:val="000000"/>
          <w:szCs w:val="24"/>
        </w:rPr>
        <w:t>承担。</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（5）病人陪护业务及人员管理由中标人统一管理与负责，价格调整根据市场要求、物价因素，须采购人同意后公示价目表。</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(6）中标人派往采购人的工作人员需进行岗前技术、服务、安全等职业培训。乙方应加强员工安全教育，对员工工伤事故等各类意外负责，对因员工不负责或工作不到位，造成病人伤害、财务损失及影响病人诊治等事件负责。因陪护行为引起的纠纷及事故由乙方全权负责。</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（7）采购人有权对中标人工作人员的工作进行检查与监督。有权提议中标人解聘不合格的工作人员，如中标人拒绝不执行，采购人有权按不合格员工人数，按实际发生的费用减付。</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（8）采购人由临时性、重要性任务、中标人应全力配合完成。</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（9）采购人提供给中标人工作间一间，水电费中标人应按月支付。中标人需节约用水，爱护公物，杜绝浪费，管理好各类服务工具及设施。</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sz w:val="24"/>
        </w:rPr>
      </w:pPr>
      <w:r>
        <w:rPr>
          <w:rFonts w:hint="eastAsia" w:ascii="宋体" w:hAnsi="宋体" w:cs="宋体"/>
          <w:b/>
          <w:bCs/>
          <w:color w:val="000000"/>
          <w:sz w:val="24"/>
        </w:rPr>
        <w:t>7.</w:t>
      </w:r>
      <w:r>
        <w:rPr>
          <w:rFonts w:hint="eastAsia" w:ascii="宋体" w:hAnsi="宋体" w:cs="宋体"/>
          <w:b/>
          <w:bCs/>
          <w:sz w:val="24"/>
        </w:rPr>
        <w:t>会议、小搬家活动服务内容及要求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根据院方需要提供会议、庆典、节日、学术等活动的日常服务，包括协助布置会场、绿化（盆景）摆设和悬挂灯笼等装饰品、横幅悬挂、搬运器材、桌椅、水果、鲜花、会后清场等工作。会议期间全过程值班，包括及时倒送茶水、洗消茶杯，满足会议服务需求。制定完备的会务服务工作流程、细则及服务工作计划并严格执行，保证各项会议的正常进行。会务接待及服务人员应仪表端庄、举止文明、知晓相关礼仪。</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lang w:val="en-US" w:eastAsia="zh-CN"/>
        </w:rPr>
        <w:t>8.</w:t>
      </w:r>
      <w:r>
        <w:rPr>
          <w:rFonts w:hint="eastAsia" w:ascii="宋体" w:hAnsi="宋体" w:cs="宋体"/>
          <w:b/>
          <w:color w:val="000000"/>
          <w:sz w:val="24"/>
        </w:rPr>
        <w:t>废品回收的</w:t>
      </w:r>
      <w:r>
        <w:rPr>
          <w:rFonts w:ascii="宋体" w:hAnsi="宋体" w:cs="宋体"/>
          <w:b/>
          <w:color w:val="000000"/>
          <w:sz w:val="24"/>
        </w:rPr>
        <w:t>范围与要求</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1）废品回收要求：医用垃圾和生活垃圾分开放置，由专人到病房及各科统一回收，各种用物放置符合院方要求。医院内所产生的废品各类生活产生的可回收物（如：报纸、纸板箱、塑料瓶等物品）均由中标人交由正规公司进行回收，如发现有流失现象，要追查中标人法律责任。</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（2）医疗垃圾严格按相关规定执行严禁私自外卖，如有发现将追究法律责任。</w:t>
      </w:r>
    </w:p>
    <w:p>
      <w:pPr>
        <w:pStyle w:val="128"/>
        <w:keepNext w:val="0"/>
        <w:keepLines w:val="0"/>
        <w:pageBreakBefore w:val="0"/>
        <w:kinsoku/>
        <w:wordWrap/>
        <w:overflowPunct/>
        <w:topLinePunct w:val="0"/>
        <w:autoSpaceDE/>
        <w:autoSpaceDN/>
        <w:bidi w:val="0"/>
        <w:snapToGrid w:val="0"/>
        <w:spacing w:before="0" w:line="500" w:lineRule="exact"/>
        <w:ind w:firstLine="482" w:firstLineChars="200"/>
        <w:textAlignment w:val="auto"/>
        <w:rPr>
          <w:rFonts w:ascii="宋体" w:hAnsi="宋体" w:cs="宋体"/>
          <w:b/>
          <w:color w:val="000000"/>
          <w:szCs w:val="24"/>
        </w:rPr>
      </w:pPr>
      <w:r>
        <w:rPr>
          <w:rFonts w:hint="eastAsia" w:ascii="宋体" w:hAnsi="宋体" w:cs="宋体"/>
          <w:b/>
          <w:color w:val="000000"/>
          <w:szCs w:val="24"/>
          <w:lang w:eastAsia="zh-CN"/>
        </w:rPr>
        <w:t>二、</w:t>
      </w:r>
      <w:r>
        <w:rPr>
          <w:rFonts w:hint="eastAsia" w:ascii="宋体" w:hAnsi="宋体" w:cs="宋体"/>
          <w:b/>
          <w:color w:val="000000"/>
          <w:szCs w:val="24"/>
        </w:rPr>
        <w:t>从业人员要求、</w:t>
      </w:r>
      <w:r>
        <w:rPr>
          <w:rFonts w:ascii="宋体" w:hAnsi="宋体" w:cs="宋体"/>
          <w:b/>
          <w:color w:val="000000"/>
          <w:szCs w:val="24"/>
        </w:rPr>
        <w:t>人员配置</w:t>
      </w:r>
      <w:r>
        <w:rPr>
          <w:rFonts w:hint="eastAsia" w:ascii="宋体" w:hAnsi="宋体" w:cs="宋体"/>
          <w:b/>
          <w:color w:val="000000"/>
          <w:szCs w:val="24"/>
        </w:rPr>
        <w:t>、培训等</w:t>
      </w:r>
      <w:r>
        <w:rPr>
          <w:rFonts w:ascii="宋体" w:hAnsi="宋体" w:cs="宋体"/>
          <w:b/>
          <w:color w:val="000000"/>
          <w:szCs w:val="24"/>
        </w:rPr>
        <w:t>相关工作</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b/>
          <w:color w:val="000000"/>
          <w:szCs w:val="24"/>
        </w:rPr>
      </w:pPr>
      <w:r>
        <w:rPr>
          <w:rFonts w:hint="eastAsia" w:ascii="宋体" w:hAnsi="宋体" w:cs="宋体"/>
          <w:szCs w:val="24"/>
        </w:rPr>
        <w:t>1.</w:t>
      </w:r>
      <w:r>
        <w:rPr>
          <w:rFonts w:hint="eastAsia" w:ascii="宋体" w:hAnsi="宋体" w:cs="宋体"/>
          <w:b/>
          <w:color w:val="000000"/>
          <w:szCs w:val="24"/>
        </w:rPr>
        <w:t>本项目经理要求：学历要求大专及以上，年龄为 5</w:t>
      </w:r>
      <w:r>
        <w:rPr>
          <w:rFonts w:ascii="宋体" w:hAnsi="宋体" w:cs="宋体"/>
          <w:b/>
          <w:color w:val="000000"/>
          <w:szCs w:val="24"/>
        </w:rPr>
        <w:t>5</w:t>
      </w:r>
      <w:r>
        <w:rPr>
          <w:rFonts w:hint="eastAsia" w:ascii="宋体" w:hAnsi="宋体" w:cs="宋体"/>
          <w:b/>
          <w:color w:val="000000"/>
          <w:szCs w:val="24"/>
        </w:rPr>
        <w:t xml:space="preserve"> 岁（含）以下，从事类似项目管理工作 5 年及以上，</w:t>
      </w:r>
      <w:r>
        <w:rPr>
          <w:rStyle w:val="962"/>
          <w:rFonts w:hint="eastAsia" w:ascii="宋体" w:hAnsi="宋体" w:cs="宋体"/>
          <w:b/>
        </w:rPr>
        <w:t>综合管理、协调能力强，认真负责，有三乙及以上医院主管服务经验，</w:t>
      </w:r>
      <w:r>
        <w:rPr>
          <w:rFonts w:hint="eastAsia" w:ascii="宋体" w:hAnsi="宋体" w:cs="宋体"/>
          <w:b/>
          <w:color w:val="000000"/>
          <w:szCs w:val="24"/>
        </w:rPr>
        <w:t>每个月的到岗率必须在 95%及以上。更换管理人员需要经院方同意，提供管理人员绩效考核制度。</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sz w:val="24"/>
        </w:rPr>
      </w:pPr>
      <w:r>
        <w:rPr>
          <w:rFonts w:hint="eastAsia" w:ascii="宋体" w:hAnsi="宋体" w:cs="宋体"/>
          <w:b/>
          <w:color w:val="000000"/>
          <w:sz w:val="24"/>
        </w:rPr>
        <w:t>2.员工要求:</w:t>
      </w:r>
      <w:r>
        <w:rPr>
          <w:rFonts w:hint="eastAsia" w:ascii="宋体" w:hAnsi="宋体" w:cs="宋体"/>
          <w:sz w:val="24"/>
        </w:rPr>
        <w:t>所有服务人员必须遵守国家的法律、法规及采购人的各项规章制度，具有良好素养和上岗资质，政治清白，无不良记录及嗜好，爱岗敬业、工作勤快，礼貌待人、和蔼处事，相貌端正、着装统一，身材适中、身体健康（无传染性疾病），小学及以上文化，保洁、运送人员62周岁以上的不超过10%。</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3.中标人有岗前培训机构，服务人员100%经过岗前技术、服务、安全等职业培训合格才上岗，规范行为，提高素质。</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4.</w:t>
      </w:r>
      <w:r>
        <w:rPr>
          <w:rFonts w:ascii="宋体" w:hAnsi="宋体" w:cs="宋体"/>
          <w:color w:val="000000"/>
          <w:szCs w:val="24"/>
        </w:rPr>
        <w:t>员工着装规范，佩带胸卡，持证上岗，文明、诚信服务。</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5.中标人应给所属员工缴纳相关保险；</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6.采购人有权根据现场实际需要调整岗位设置，对中标人保洁、勤务工作有检查、监督权。中标人派遣的保洁员或勤务员未能达到采购人要求，且屡次教育不改的或确实不能胜任当前工作的，采购人有权调换人员，若中标人拒不整改，采购人有权按照不合格保洁人员数，每月每人减付相应保洁费。</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7.中标人需按提交的响应文件要求，履行配足本项目约定的人员数量，其中管理人员必须常驻医院，全权代表中标人与采购人保持密切联系并保证完成本项目的勤务与保洁服务工作。如保洁、勤务人员调动频繁，影响医院卫生工作时，采购人有权按照检查结果扣除相关保洁费用。</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 xml:space="preserve">8.中标人员工有违反医院规章制度或法律法规造成不良影响，由此产生的损失及消除影响产生的费用，由中标人全部承担。 </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9.中标人应遵循安全生产规定，负责员工的安全生产教育，作业中所属人员如损坏院方财物，由中标人负责照价赔偿；中标人员工在勤务与保洁过程中所发生的人身事故，责任与费用全由中标人承担，与采购人无关。</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bCs/>
          <w:color w:val="000000"/>
          <w:szCs w:val="24"/>
        </w:rPr>
      </w:pPr>
      <w:r>
        <w:rPr>
          <w:rFonts w:hint="eastAsia" w:ascii="宋体" w:hAnsi="宋体"/>
          <w:bCs/>
          <w:color w:val="000000"/>
          <w:szCs w:val="24"/>
        </w:rPr>
        <w:t>10. 服从医院的工作安排，接受医院的监督和检查。为了方便临床工作，主任、护士长有权要求更换工作态度不好、工作能力差的保洁员。</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000000"/>
          <w:sz w:val="24"/>
        </w:rPr>
      </w:pPr>
      <w:r>
        <w:rPr>
          <w:rFonts w:hint="eastAsia" w:ascii="宋体" w:hAnsi="宋体"/>
          <w:bCs/>
          <w:color w:val="000000"/>
          <w:sz w:val="24"/>
        </w:rPr>
        <w:t>11.不断提高员工的素质。要求定期对保洁员进行培训，同时对保洁员工作进行考核 ，提高工作质量。</w:t>
      </w:r>
    </w:p>
    <w:p>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宋体" w:hAnsi="宋体"/>
          <w:bCs/>
          <w:color w:val="000000"/>
          <w:sz w:val="24"/>
        </w:rPr>
      </w:pPr>
      <w:r>
        <w:rPr>
          <w:rFonts w:hint="eastAsia" w:ascii="宋体" w:hAnsi="宋体"/>
          <w:bCs/>
          <w:color w:val="000000"/>
          <w:sz w:val="24"/>
        </w:rPr>
        <w:t>12.重点抓好预防交叉感染工作。消毒隔离，按照医院感染要求进行，保洁员要经常参加感染知识培训及学习基本的操作规程，不断提高对医院感染的认识。</w:t>
      </w:r>
    </w:p>
    <w:p>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宋体" w:hAnsi="宋体"/>
          <w:bCs/>
          <w:color w:val="000000"/>
          <w:sz w:val="24"/>
        </w:rPr>
      </w:pPr>
      <w:r>
        <w:rPr>
          <w:rFonts w:hint="eastAsia" w:ascii="宋体" w:hAnsi="宋体"/>
          <w:bCs/>
          <w:color w:val="000000"/>
          <w:sz w:val="24"/>
        </w:rPr>
        <w:t>13.每天要保证有足够的保洁员为临床科室工作，服从临床科室工作安排，热情服务，不得恶意顶撞科室工作人员。</w:t>
      </w:r>
    </w:p>
    <w:p>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宋体" w:hAnsi="宋体"/>
          <w:bCs/>
          <w:color w:val="000000"/>
          <w:sz w:val="24"/>
        </w:rPr>
      </w:pPr>
      <w:r>
        <w:rPr>
          <w:rFonts w:hint="eastAsia" w:ascii="宋体" w:hAnsi="宋体"/>
          <w:bCs/>
          <w:color w:val="000000"/>
          <w:sz w:val="24"/>
        </w:rPr>
        <w:t>14.中标人要安排专门的管理人员，每天对医院进行巡查，经常与临床科室沟通，及时解决临床科室提出的问题。</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15.工作职责及质量要求：在甲方后勤保障中心的督查和乙方管理人员的管理下，乙方人员须根据各自的岗位工作职责和要求，按时保质保量完成各项工作。具体按《保洁服务细化要求》和各岗位职责要求实行。未尽事宜，由乙方尽力配合甲方要求实施。</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16.服务期限内，如因新开放的保洁服务区域须增加服务人员的，由采购人通过一定程序认可后按相应人员中标单价增减。超出报价清单范围内岗位人员的，由双方另行协商</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17.如遇大型检查、重大公共卫生事件等突发应急情况的，须积极配合院方做好相关服务工作。</w:t>
      </w:r>
    </w:p>
    <w:p>
      <w:pPr>
        <w:pStyle w:val="128"/>
        <w:keepNext w:val="0"/>
        <w:keepLines w:val="0"/>
        <w:pageBreakBefore w:val="0"/>
        <w:kinsoku/>
        <w:wordWrap/>
        <w:overflowPunct/>
        <w:topLinePunct w:val="0"/>
        <w:autoSpaceDE/>
        <w:autoSpaceDN/>
        <w:bidi w:val="0"/>
        <w:snapToGrid w:val="0"/>
        <w:spacing w:before="0" w:line="500" w:lineRule="exact"/>
        <w:ind w:firstLine="482" w:firstLineChars="200"/>
        <w:textAlignment w:val="auto"/>
        <w:rPr>
          <w:rFonts w:ascii="宋体" w:hAnsi="宋体" w:cs="宋体"/>
          <w:b/>
          <w:color w:val="000000"/>
          <w:szCs w:val="24"/>
        </w:rPr>
      </w:pPr>
      <w:r>
        <w:rPr>
          <w:rFonts w:hint="eastAsia" w:ascii="宋体" w:hAnsi="宋体" w:cs="宋体"/>
          <w:b/>
          <w:color w:val="000000"/>
          <w:szCs w:val="24"/>
          <w:lang w:eastAsia="zh-CN"/>
        </w:rPr>
        <w:t>三、</w:t>
      </w:r>
      <w:r>
        <w:rPr>
          <w:rFonts w:hint="eastAsia" w:ascii="宋体" w:hAnsi="宋体" w:cs="宋体"/>
          <w:b/>
          <w:color w:val="000000"/>
          <w:szCs w:val="24"/>
        </w:rPr>
        <w:t>其他要求</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1、服务期限：合同</w:t>
      </w:r>
      <w:r>
        <w:rPr>
          <w:rFonts w:hint="eastAsia" w:ascii="宋体" w:hAnsi="宋体"/>
          <w:bCs/>
          <w:color w:val="000000"/>
          <w:sz w:val="24"/>
          <w:lang w:val="en-US" w:eastAsia="zh-CN"/>
        </w:rPr>
        <w:t>总的</w:t>
      </w:r>
      <w:r>
        <w:rPr>
          <w:rFonts w:hint="eastAsia" w:ascii="宋体" w:hAnsi="宋体" w:cs="宋体"/>
          <w:color w:val="000000"/>
          <w:szCs w:val="24"/>
        </w:rPr>
        <w:t>服务期限</w:t>
      </w:r>
      <w:r>
        <w:rPr>
          <w:rFonts w:hint="eastAsia" w:ascii="宋体" w:hAnsi="宋体" w:cs="宋体"/>
          <w:color w:val="000000"/>
          <w:szCs w:val="24"/>
          <w:lang w:val="en-US" w:eastAsia="zh-CN"/>
        </w:rPr>
        <w:t>为3</w:t>
      </w:r>
      <w:r>
        <w:rPr>
          <w:rFonts w:hint="eastAsia" w:ascii="宋体" w:hAnsi="宋体" w:cs="宋体"/>
          <w:color w:val="000000"/>
          <w:szCs w:val="24"/>
        </w:rPr>
        <w:t>年</w:t>
      </w:r>
      <w:r>
        <w:rPr>
          <w:rFonts w:hint="eastAsia" w:ascii="宋体" w:hAnsi="宋体" w:cs="宋体"/>
          <w:color w:val="000000"/>
          <w:szCs w:val="24"/>
          <w:lang w:eastAsia="zh-CN"/>
        </w:rPr>
        <w:t>，</w:t>
      </w:r>
      <w:r>
        <w:rPr>
          <w:rFonts w:hint="eastAsia" w:ascii="宋体" w:hAnsi="宋体" w:cs="宋体"/>
          <w:color w:val="000000"/>
          <w:szCs w:val="24"/>
          <w:lang w:val="en-US" w:eastAsia="zh-CN"/>
        </w:rPr>
        <w:t>一年一签</w:t>
      </w:r>
      <w:r>
        <w:rPr>
          <w:rFonts w:hint="eastAsia" w:ascii="宋体" w:hAnsi="宋体" w:cs="宋体"/>
          <w:color w:val="000000"/>
          <w:szCs w:val="24"/>
          <w:lang w:eastAsia="zh-CN"/>
        </w:rPr>
        <w:t>，</w:t>
      </w:r>
      <w:r>
        <w:rPr>
          <w:rFonts w:hint="eastAsia" w:ascii="宋体" w:hAnsi="宋体" w:cs="宋体"/>
          <w:color w:val="000000"/>
          <w:szCs w:val="24"/>
        </w:rPr>
        <w:t>履约期间采购人对中标人考核优秀的，按自愿原则，可续签合同，</w:t>
      </w:r>
      <w:r>
        <w:rPr>
          <w:rFonts w:hint="eastAsia" w:ascii="宋体" w:hAnsi="宋体" w:cs="宋体"/>
          <w:color w:val="000000"/>
          <w:szCs w:val="24"/>
          <w:lang w:val="en-US" w:eastAsia="zh-CN"/>
        </w:rPr>
        <w:t>最长</w:t>
      </w:r>
      <w:r>
        <w:rPr>
          <w:rFonts w:hint="eastAsia" w:ascii="宋体" w:hAnsi="宋体" w:cs="宋体"/>
          <w:color w:val="000000"/>
          <w:szCs w:val="24"/>
        </w:rPr>
        <w:t>不超过3</w:t>
      </w:r>
      <w:r>
        <w:rPr>
          <w:rFonts w:hint="eastAsia" w:ascii="宋体" w:hAnsi="宋体" w:cs="宋体"/>
          <w:color w:val="000000"/>
          <w:szCs w:val="24"/>
          <w:lang w:val="en-US" w:eastAsia="zh-CN"/>
        </w:rPr>
        <w:t>年</w:t>
      </w:r>
      <w:r>
        <w:rPr>
          <w:rFonts w:hint="eastAsia" w:ascii="宋体" w:hAnsi="宋体" w:cs="宋体"/>
          <w:color w:val="000000"/>
          <w:szCs w:val="24"/>
        </w:rPr>
        <w:t>。</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2、服务质量：达到采购人要求及国家相关标准。</w:t>
      </w:r>
    </w:p>
    <w:p>
      <w:pPr>
        <w:pStyle w:val="128"/>
        <w:keepNext w:val="0"/>
        <w:keepLines w:val="0"/>
        <w:pageBreakBefore w:val="0"/>
        <w:kinsoku/>
        <w:wordWrap/>
        <w:overflowPunct/>
        <w:topLinePunct w:val="0"/>
        <w:autoSpaceDE/>
        <w:autoSpaceDN/>
        <w:bidi w:val="0"/>
        <w:snapToGrid w:val="0"/>
        <w:spacing w:before="0" w:line="500" w:lineRule="exact"/>
        <w:ind w:firstLine="480" w:firstLineChars="200"/>
        <w:textAlignment w:val="auto"/>
        <w:rPr>
          <w:rFonts w:ascii="宋体" w:hAnsi="宋体" w:cs="宋体"/>
          <w:color w:val="000000"/>
          <w:szCs w:val="24"/>
        </w:rPr>
      </w:pPr>
      <w:r>
        <w:rPr>
          <w:rFonts w:hint="eastAsia" w:ascii="宋体" w:hAnsi="宋体" w:cs="宋体"/>
          <w:color w:val="000000"/>
          <w:szCs w:val="24"/>
        </w:rPr>
        <w:t>3、协助采购人管理责任区域内的消防、防盗和劝烟禁烟工作；协助采购人完成院内会务工作、院内小搬家及院外</w:t>
      </w:r>
      <w:r>
        <w:rPr>
          <w:rFonts w:hint="eastAsia" w:ascii="宋体" w:hAnsi="宋体" w:cs="宋体"/>
          <w:color w:val="000000"/>
          <w:szCs w:val="24"/>
          <w:lang w:val="en-US" w:eastAsia="zh-CN"/>
        </w:rPr>
        <w:t>租赁</w:t>
      </w:r>
      <w:r>
        <w:rPr>
          <w:rFonts w:hint="eastAsia" w:ascii="宋体" w:hAnsi="宋体" w:cs="宋体"/>
          <w:color w:val="000000"/>
          <w:szCs w:val="24"/>
        </w:rPr>
        <w:t>套房的保洁。</w:t>
      </w:r>
    </w:p>
    <w:p>
      <w:pPr>
        <w:keepNext w:val="0"/>
        <w:keepLines w:val="0"/>
        <w:pageBreakBefore w:val="0"/>
        <w:shd w:val="clear" w:color="auto" w:fill="FFFFFF"/>
        <w:kinsoku/>
        <w:wordWrap/>
        <w:overflowPunct/>
        <w:topLinePunct w:val="0"/>
        <w:autoSpaceDE/>
        <w:autoSpaceDN/>
        <w:bidi w:val="0"/>
        <w:spacing w:line="500" w:lineRule="exact"/>
        <w:ind w:firstLine="480" w:firstLineChars="200"/>
        <w:textAlignment w:val="auto"/>
        <w:rPr>
          <w:rFonts w:ascii="宋体" w:hAnsi="宋体" w:cs="仿宋"/>
          <w:color w:val="000000"/>
          <w:sz w:val="24"/>
        </w:rPr>
      </w:pPr>
      <w:r>
        <w:rPr>
          <w:rFonts w:hint="eastAsia" w:ascii="宋体" w:hAnsi="宋体" w:cs="宋体"/>
          <w:color w:val="000000"/>
          <w:kern w:val="0"/>
          <w:sz w:val="24"/>
        </w:rPr>
        <w:t>4、医院只提供水电、固定的垃圾桶、医疗垃圾袋、清洁用品库房及院内上班时物业人员的防护口罩、一次性手套。其他所有项目及费用由中标人</w:t>
      </w:r>
      <w:r>
        <w:rPr>
          <w:rFonts w:hint="eastAsia" w:ascii="宋体" w:hAnsi="宋体"/>
          <w:bCs/>
          <w:color w:val="000000"/>
          <w:sz w:val="24"/>
        </w:rPr>
        <w:t>承担。中标人</w:t>
      </w:r>
      <w:r>
        <w:rPr>
          <w:rFonts w:hint="eastAsia" w:ascii="宋体" w:hAnsi="宋体" w:cs="仿宋"/>
          <w:color w:val="000000"/>
          <w:sz w:val="24"/>
        </w:rPr>
        <w:t>必须按照采购人所在地垃圾分类标准执行。</w:t>
      </w:r>
    </w:p>
    <w:p>
      <w:pPr>
        <w:keepNext w:val="0"/>
        <w:keepLines w:val="0"/>
        <w:pageBreakBefore w:val="0"/>
        <w:kinsoku/>
        <w:wordWrap/>
        <w:overflowPunct/>
        <w:topLinePunct w:val="0"/>
        <w:autoSpaceDE/>
        <w:autoSpaceDN/>
        <w:bidi w:val="0"/>
        <w:spacing w:line="500" w:lineRule="exact"/>
        <w:ind w:firstLine="480" w:firstLineChars="200"/>
        <w:jc w:val="left"/>
        <w:textAlignment w:val="auto"/>
        <w:rPr>
          <w:rFonts w:hint="eastAsia" w:ascii="宋体" w:hAnsi="宋体"/>
          <w:bCs/>
          <w:color w:val="000000"/>
          <w:sz w:val="24"/>
        </w:rPr>
      </w:pPr>
      <w:r>
        <w:rPr>
          <w:rFonts w:hint="eastAsia" w:ascii="宋体" w:hAnsi="宋体"/>
          <w:bCs/>
          <w:color w:val="000000"/>
          <w:sz w:val="24"/>
        </w:rPr>
        <w:t>5、中标人不按照合约规定工作，不符合医院要求，医院有权提出异议甚至终止合同。</w:t>
      </w:r>
      <w:bookmarkStart w:id="28" w:name="OLE_LINK2"/>
    </w:p>
    <w:p>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宋体" w:hAnsi="宋体" w:cs="仿宋"/>
          <w:color w:val="000000"/>
          <w:sz w:val="24"/>
        </w:rPr>
      </w:pPr>
      <w:r>
        <w:rPr>
          <w:rFonts w:hint="eastAsia" w:ascii="宋体" w:hAnsi="宋体" w:cs="仿宋"/>
          <w:color w:val="000000"/>
          <w:sz w:val="24"/>
        </w:rPr>
        <w:t>6、医院将提供中标人管理办公用房、员工休息室、仓库用房，在服务期限内提供给中标人免费使用。</w:t>
      </w:r>
    </w:p>
    <w:p>
      <w:pPr>
        <w:keepNext w:val="0"/>
        <w:keepLines w:val="0"/>
        <w:pageBreakBefore w:val="0"/>
        <w:shd w:val="clear" w:color="auto" w:fill="FFFFFF"/>
        <w:kinsoku/>
        <w:wordWrap/>
        <w:overflowPunct/>
        <w:topLinePunct w:val="0"/>
        <w:autoSpaceDE/>
        <w:autoSpaceDN/>
        <w:bidi w:val="0"/>
        <w:spacing w:line="500" w:lineRule="exact"/>
        <w:ind w:firstLine="480" w:firstLineChars="200"/>
        <w:textAlignment w:val="auto"/>
        <w:rPr>
          <w:rFonts w:ascii="宋体" w:hAnsi="宋体" w:cs="仿宋"/>
          <w:color w:val="000000"/>
          <w:sz w:val="24"/>
        </w:rPr>
      </w:pPr>
      <w:r>
        <w:rPr>
          <w:rFonts w:hint="eastAsia" w:ascii="宋体" w:hAnsi="宋体" w:cs="仿宋"/>
          <w:color w:val="000000"/>
          <w:sz w:val="24"/>
        </w:rPr>
        <w:t>7、中标人配置并承担项目相关人员的装备（包括对讲机以及对讲机公共频道占用费及维修费用等）费用。</w:t>
      </w:r>
    </w:p>
    <w:p>
      <w:pPr>
        <w:keepNext w:val="0"/>
        <w:keepLines w:val="0"/>
        <w:pageBreakBefore w:val="0"/>
        <w:shd w:val="clear" w:color="auto" w:fill="FFFFFF"/>
        <w:kinsoku/>
        <w:wordWrap/>
        <w:overflowPunct/>
        <w:topLinePunct w:val="0"/>
        <w:autoSpaceDE/>
        <w:autoSpaceDN/>
        <w:bidi w:val="0"/>
        <w:spacing w:line="500" w:lineRule="exact"/>
        <w:ind w:firstLine="480" w:firstLineChars="200"/>
        <w:textAlignment w:val="auto"/>
        <w:rPr>
          <w:rFonts w:ascii="宋体" w:hAnsi="宋体" w:cs="仿宋"/>
          <w:color w:val="000000"/>
          <w:sz w:val="24"/>
        </w:rPr>
      </w:pPr>
      <w:r>
        <w:rPr>
          <w:rFonts w:hint="eastAsia" w:ascii="宋体" w:hAnsi="宋体" w:cs="仿宋"/>
          <w:color w:val="000000"/>
          <w:sz w:val="24"/>
        </w:rPr>
        <w:t>8、中标人自备电脑、考勤设备和打印机等办公设备和耗材；中标人自行负责桌椅等办公家私和员工更衣柜。</w:t>
      </w:r>
    </w:p>
    <w:p>
      <w:pPr>
        <w:keepNext w:val="0"/>
        <w:keepLines w:val="0"/>
        <w:pageBreakBefore w:val="0"/>
        <w:shd w:val="clear" w:color="auto" w:fill="FFFFFF"/>
        <w:kinsoku/>
        <w:wordWrap/>
        <w:overflowPunct/>
        <w:topLinePunct w:val="0"/>
        <w:autoSpaceDE/>
        <w:autoSpaceDN/>
        <w:bidi w:val="0"/>
        <w:spacing w:line="500" w:lineRule="exact"/>
        <w:ind w:firstLine="480" w:firstLineChars="200"/>
        <w:textAlignment w:val="auto"/>
        <w:rPr>
          <w:rFonts w:ascii="宋体" w:hAnsi="宋体" w:cs="仿宋"/>
          <w:color w:val="000000"/>
          <w:sz w:val="24"/>
        </w:rPr>
      </w:pPr>
      <w:r>
        <w:rPr>
          <w:rFonts w:hint="eastAsia" w:ascii="宋体" w:hAnsi="宋体" w:cs="仿宋"/>
          <w:color w:val="000000"/>
          <w:sz w:val="24"/>
        </w:rPr>
        <w:t>9、中标人自行负责各岗位员工的统一工作服装，费用和制作均由中标人负担。</w:t>
      </w:r>
    </w:p>
    <w:p>
      <w:pPr>
        <w:keepNext w:val="0"/>
        <w:keepLines w:val="0"/>
        <w:pageBreakBefore w:val="0"/>
        <w:shd w:val="clear" w:color="auto" w:fill="FFFFFF"/>
        <w:kinsoku/>
        <w:wordWrap/>
        <w:overflowPunct/>
        <w:topLinePunct w:val="0"/>
        <w:autoSpaceDE/>
        <w:autoSpaceDN/>
        <w:bidi w:val="0"/>
        <w:spacing w:line="500" w:lineRule="exact"/>
        <w:ind w:firstLine="480" w:firstLineChars="200"/>
        <w:textAlignment w:val="auto"/>
        <w:rPr>
          <w:rFonts w:ascii="宋体" w:hAnsi="宋体" w:cs="仿宋"/>
          <w:color w:val="000000"/>
          <w:sz w:val="24"/>
        </w:rPr>
      </w:pPr>
      <w:r>
        <w:rPr>
          <w:rFonts w:hint="eastAsia" w:ascii="宋体" w:hAnsi="宋体" w:cs="仿宋"/>
          <w:color w:val="000000"/>
          <w:sz w:val="24"/>
        </w:rPr>
        <w:t>10、未经医院同意，中标人不得在合同期限内将本项目的管理权转包或发包。</w:t>
      </w:r>
    </w:p>
    <w:p>
      <w:pPr>
        <w:keepNext w:val="0"/>
        <w:keepLines w:val="0"/>
        <w:pageBreakBefore w:val="0"/>
        <w:shd w:val="clear" w:color="auto" w:fill="FFFFFF"/>
        <w:kinsoku/>
        <w:wordWrap/>
        <w:overflowPunct/>
        <w:topLinePunct w:val="0"/>
        <w:autoSpaceDE/>
        <w:autoSpaceDN/>
        <w:bidi w:val="0"/>
        <w:spacing w:line="500" w:lineRule="exact"/>
        <w:ind w:firstLine="480" w:firstLineChars="200"/>
        <w:textAlignment w:val="auto"/>
        <w:rPr>
          <w:rFonts w:ascii="宋体" w:hAnsi="宋体" w:cs="仿宋"/>
          <w:color w:val="000000"/>
          <w:sz w:val="24"/>
        </w:rPr>
      </w:pPr>
      <w:r>
        <w:rPr>
          <w:rFonts w:hint="eastAsia" w:ascii="宋体" w:hAnsi="宋体" w:cs="仿宋"/>
          <w:color w:val="000000"/>
          <w:sz w:val="24"/>
        </w:rPr>
        <w:t>11、中标人须严格按照标准化的操作程序、完善的培训体系和质量控制体系完成本项目服务，以保证整个服务系统安全、高效、有序和有计划地运转。</w:t>
      </w:r>
    </w:p>
    <w:p>
      <w:pPr>
        <w:keepNext w:val="0"/>
        <w:keepLines w:val="0"/>
        <w:pageBreakBefore w:val="0"/>
        <w:shd w:val="clear" w:color="auto" w:fill="FFFFFF"/>
        <w:kinsoku/>
        <w:wordWrap/>
        <w:overflowPunct/>
        <w:topLinePunct w:val="0"/>
        <w:autoSpaceDE/>
        <w:autoSpaceDN/>
        <w:bidi w:val="0"/>
        <w:spacing w:line="500" w:lineRule="exact"/>
        <w:ind w:firstLine="480" w:firstLineChars="200"/>
        <w:textAlignment w:val="auto"/>
        <w:rPr>
          <w:rFonts w:ascii="宋体" w:hAnsi="宋体" w:cs="仿宋"/>
          <w:color w:val="000000"/>
          <w:sz w:val="24"/>
        </w:rPr>
      </w:pPr>
      <w:r>
        <w:rPr>
          <w:rFonts w:hint="eastAsia" w:ascii="宋体" w:hAnsi="宋体" w:cs="仿宋"/>
          <w:color w:val="000000"/>
          <w:sz w:val="24"/>
        </w:rPr>
        <w:t>12、中标人有责任配合医院接受上级领导部门的监督、检查，提供必须的资料。</w:t>
      </w:r>
    </w:p>
    <w:p>
      <w:pPr>
        <w:keepNext w:val="0"/>
        <w:keepLines w:val="0"/>
        <w:pageBreakBefore w:val="0"/>
        <w:shd w:val="clear" w:color="auto" w:fill="FFFFFF"/>
        <w:kinsoku/>
        <w:wordWrap/>
        <w:overflowPunct/>
        <w:topLinePunct w:val="0"/>
        <w:autoSpaceDE/>
        <w:autoSpaceDN/>
        <w:bidi w:val="0"/>
        <w:spacing w:line="500" w:lineRule="exact"/>
        <w:ind w:firstLine="480" w:firstLineChars="200"/>
        <w:textAlignment w:val="auto"/>
        <w:rPr>
          <w:rFonts w:ascii="宋体" w:hAnsi="宋体" w:cs="仿宋"/>
          <w:color w:val="000000"/>
          <w:sz w:val="24"/>
        </w:rPr>
      </w:pPr>
      <w:r>
        <w:rPr>
          <w:rFonts w:hint="eastAsia" w:ascii="宋体" w:hAnsi="宋体" w:cs="仿宋"/>
          <w:color w:val="000000"/>
          <w:sz w:val="24"/>
        </w:rPr>
        <w:t>13、中标人自行负责其招聘员工的一切工资、福利；如发生工伤、疾病乃至死亡的一切责任及费用由中标人全部负责；中标人应严格遵守国家有关的法律、法规及行业标准。所有员工入院服务时都必须体检，并且合格的才能上岗（费用由中标方负责）。</w:t>
      </w:r>
    </w:p>
    <w:p>
      <w:pPr>
        <w:keepNext w:val="0"/>
        <w:keepLines w:val="0"/>
        <w:pageBreakBefore w:val="0"/>
        <w:shd w:val="clear" w:color="auto" w:fill="FFFFFF"/>
        <w:kinsoku/>
        <w:wordWrap/>
        <w:overflowPunct/>
        <w:topLinePunct w:val="0"/>
        <w:autoSpaceDE/>
        <w:autoSpaceDN/>
        <w:bidi w:val="0"/>
        <w:spacing w:line="500" w:lineRule="exact"/>
        <w:ind w:firstLine="480" w:firstLineChars="200"/>
        <w:textAlignment w:val="auto"/>
        <w:rPr>
          <w:rFonts w:ascii="宋体" w:hAnsi="宋体" w:cs="仿宋"/>
          <w:color w:val="000000"/>
          <w:sz w:val="24"/>
        </w:rPr>
      </w:pPr>
      <w:r>
        <w:rPr>
          <w:rFonts w:hint="eastAsia" w:ascii="宋体" w:hAnsi="宋体" w:cs="仿宋"/>
          <w:color w:val="000000"/>
          <w:sz w:val="24"/>
        </w:rPr>
        <w:t>14、采购人不接受投标方任何因遗漏报价而发生的费用追加，因投标方违反《劳动法》等法律法规而造成院方的连带责任和损失全部由中标方承担。</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s="仿宋"/>
          <w:color w:val="000000"/>
          <w:szCs w:val="24"/>
        </w:rPr>
      </w:pPr>
      <w:r>
        <w:rPr>
          <w:rFonts w:hint="eastAsia" w:ascii="宋体" w:hAnsi="宋体" w:cs="仿宋"/>
          <w:color w:val="000000"/>
          <w:sz w:val="24"/>
        </w:rPr>
        <w:t>15、中标方须认真履行职责，严格按服务协议中的质量保证体系做好院内的承包服务工作。确保在岗在位，各尽其职，保证符合各项服务基本频次要求和各项质量标准。</w:t>
      </w:r>
      <w:bookmarkEnd w:id="28"/>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s="仿宋"/>
          <w:color w:val="000000"/>
          <w:sz w:val="24"/>
        </w:rPr>
      </w:pPr>
      <w:r>
        <w:rPr>
          <w:rFonts w:hint="eastAsia" w:ascii="宋体" w:hAnsi="宋体" w:cs="仿宋"/>
          <w:color w:val="000000"/>
          <w:sz w:val="24"/>
        </w:rPr>
        <w:t>16、如因中标方或其员工在提供本项目服务过程中的过失行为或疏忽给采购人（包括但不限于采购人管理人员、被管理人员、医护人员、职工及病人与家属）所造成的任何法律认定的责任（包括合理的律师费），均由中标单位承担。</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s="仿宋"/>
          <w:color w:val="000000"/>
          <w:sz w:val="24"/>
        </w:rPr>
      </w:pPr>
      <w:r>
        <w:rPr>
          <w:rFonts w:hint="eastAsia" w:ascii="宋体" w:hAnsi="宋体" w:cs="仿宋"/>
          <w:color w:val="000000"/>
          <w:sz w:val="24"/>
        </w:rPr>
        <w:t>17、中标人所有承诺项目在中标后必须执行，如不执行或执行不到位，按月度保洁费用的10%扣除，直至更换到位。</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cs="仿宋"/>
          <w:b/>
          <w:bCs/>
          <w:color w:val="000000"/>
          <w:sz w:val="24"/>
        </w:rPr>
      </w:pPr>
      <w:r>
        <w:rPr>
          <w:rFonts w:hint="eastAsia" w:ascii="宋体" w:hAnsi="宋体" w:cs="仿宋"/>
          <w:b/>
          <w:bCs/>
          <w:color w:val="000000"/>
          <w:sz w:val="24"/>
          <w:lang w:eastAsia="zh-CN"/>
        </w:rPr>
        <w:t>四、</w:t>
      </w:r>
      <w:r>
        <w:rPr>
          <w:rFonts w:hint="eastAsia" w:ascii="宋体" w:hAnsi="宋体" w:cs="仿宋"/>
          <w:b/>
          <w:bCs/>
          <w:color w:val="000000"/>
          <w:sz w:val="24"/>
        </w:rPr>
        <w:t>考核机制和付款方式：</w:t>
      </w:r>
    </w:p>
    <w:p>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宋体" w:hAnsi="宋体" w:cs="仿宋"/>
          <w:color w:val="000000"/>
          <w:sz w:val="24"/>
        </w:rPr>
      </w:pPr>
      <w:r>
        <w:rPr>
          <w:rFonts w:hint="eastAsia" w:ascii="宋体" w:hAnsi="宋体" w:cs="仿宋"/>
          <w:color w:val="000000"/>
          <w:sz w:val="24"/>
        </w:rPr>
        <w:t>按采购人的招标文件及其它有关规定、技术标准执行，通过随机检查、每月定期检查和年度考核三种方式评定物业管理质量。</w:t>
      </w:r>
    </w:p>
    <w:p>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宋体" w:hAnsi="宋体" w:cs="仿宋"/>
          <w:color w:val="000000"/>
          <w:sz w:val="24"/>
        </w:rPr>
      </w:pPr>
      <w:r>
        <w:rPr>
          <w:rFonts w:hint="eastAsia" w:ascii="宋体" w:hAnsi="宋体" w:cs="仿宋"/>
          <w:color w:val="000000"/>
          <w:sz w:val="24"/>
        </w:rPr>
        <w:t>检查考核由采购人等有关部门人员参加，对物业管理质量进行综合考核评定，按照双方约定的考核办法，由医院爱卫会、物资采购管理中心卫生专管员及各病区护士长对工作质量、服务态度、培训质量等进行定期全面检查、考核。平均85分为合格分；如低于合格分每分给予扣款500元。</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cs="仿宋"/>
          <w:b/>
          <w:bCs/>
          <w:color w:val="000000"/>
          <w:sz w:val="24"/>
        </w:rPr>
      </w:pPr>
      <w:r>
        <w:rPr>
          <w:rFonts w:hint="eastAsia" w:ascii="宋体" w:hAnsi="宋体" w:cs="仿宋"/>
          <w:b/>
          <w:bCs/>
          <w:color w:val="000000"/>
          <w:sz w:val="24"/>
        </w:rPr>
        <w:t>付款方式：</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仿宋"/>
          <w:color w:val="000000"/>
          <w:sz w:val="24"/>
          <w:highlight w:val="none"/>
        </w:rPr>
      </w:pPr>
      <w:r>
        <w:rPr>
          <w:rFonts w:hint="eastAsia" w:ascii="宋体" w:hAnsi="宋体" w:cs="仿宋"/>
          <w:color w:val="000000"/>
          <w:sz w:val="24"/>
          <w:highlight w:val="none"/>
        </w:rPr>
        <w:t>按月支付，</w:t>
      </w:r>
      <w:r>
        <w:rPr>
          <w:rFonts w:hint="eastAsia" w:ascii="宋体" w:hAnsi="宋体" w:cs="仿宋"/>
          <w:color w:val="000000"/>
          <w:sz w:val="24"/>
          <w:highlight w:val="none"/>
          <w:lang w:val="en-US" w:eastAsia="zh-CN"/>
        </w:rPr>
        <w:t>中标</w:t>
      </w:r>
      <w:r>
        <w:rPr>
          <w:rFonts w:hint="eastAsia" w:ascii="宋体" w:hAnsi="宋体" w:cs="仿宋"/>
          <w:color w:val="000000"/>
          <w:sz w:val="24"/>
          <w:highlight w:val="none"/>
        </w:rPr>
        <w:t>方于每月5号前向</w:t>
      </w:r>
      <w:r>
        <w:rPr>
          <w:rFonts w:hint="eastAsia" w:ascii="宋体" w:hAnsi="宋体" w:cs="仿宋"/>
          <w:color w:val="000000"/>
          <w:sz w:val="24"/>
          <w:highlight w:val="none"/>
          <w:lang w:val="en-US" w:eastAsia="zh-CN"/>
        </w:rPr>
        <w:t>采购人</w:t>
      </w:r>
      <w:r>
        <w:rPr>
          <w:rFonts w:hint="eastAsia" w:ascii="宋体" w:hAnsi="宋体" w:cs="仿宋"/>
          <w:color w:val="000000"/>
          <w:sz w:val="24"/>
          <w:highlight w:val="none"/>
        </w:rPr>
        <w:t>提交上个月的费用清单，经</w:t>
      </w:r>
      <w:r>
        <w:rPr>
          <w:rFonts w:hint="eastAsia" w:ascii="宋体" w:hAnsi="宋体" w:cs="仿宋"/>
          <w:color w:val="000000"/>
          <w:sz w:val="24"/>
          <w:highlight w:val="none"/>
          <w:lang w:val="en-US" w:eastAsia="zh-CN"/>
        </w:rPr>
        <w:t>采购人</w:t>
      </w:r>
      <w:r>
        <w:rPr>
          <w:rFonts w:hint="eastAsia" w:ascii="宋体" w:hAnsi="宋体" w:cs="仿宋"/>
          <w:color w:val="000000"/>
          <w:sz w:val="24"/>
          <w:highlight w:val="none"/>
        </w:rPr>
        <w:t>审核后，将上月服务费用</w:t>
      </w:r>
      <w:r>
        <w:rPr>
          <w:rFonts w:hint="eastAsia" w:ascii="宋体" w:hAnsi="宋体" w:cs="仿宋"/>
          <w:color w:val="000000"/>
          <w:sz w:val="24"/>
          <w:highlight w:val="none"/>
          <w:lang w:eastAsia="zh-CN"/>
        </w:rPr>
        <w:t>的</w:t>
      </w:r>
      <w:r>
        <w:rPr>
          <w:rFonts w:hint="eastAsia" w:ascii="宋体" w:hAnsi="宋体" w:cs="仿宋"/>
          <w:color w:val="000000"/>
          <w:sz w:val="24"/>
          <w:highlight w:val="none"/>
        </w:rPr>
        <w:t>95%转入</w:t>
      </w:r>
      <w:r>
        <w:rPr>
          <w:rFonts w:hint="eastAsia" w:ascii="宋体" w:hAnsi="宋体" w:cs="仿宋"/>
          <w:color w:val="000000"/>
          <w:sz w:val="24"/>
          <w:highlight w:val="none"/>
          <w:lang w:val="en-US" w:eastAsia="zh-CN"/>
        </w:rPr>
        <w:t>中标</w:t>
      </w:r>
      <w:r>
        <w:rPr>
          <w:rFonts w:hint="eastAsia" w:ascii="宋体" w:hAnsi="宋体" w:cs="仿宋"/>
          <w:color w:val="000000"/>
          <w:sz w:val="24"/>
          <w:highlight w:val="none"/>
        </w:rPr>
        <w:t>方帐户，余5%作为考核费用，经</w:t>
      </w:r>
      <w:r>
        <w:rPr>
          <w:rFonts w:hint="eastAsia" w:ascii="宋体" w:hAnsi="宋体" w:cs="仿宋"/>
          <w:color w:val="000000"/>
          <w:sz w:val="24"/>
          <w:highlight w:val="none"/>
          <w:lang w:val="en-US" w:eastAsia="zh-CN"/>
        </w:rPr>
        <w:t>采购人</w:t>
      </w:r>
      <w:r>
        <w:rPr>
          <w:rFonts w:hint="eastAsia" w:ascii="宋体" w:hAnsi="宋体" w:cs="仿宋"/>
          <w:color w:val="000000"/>
          <w:sz w:val="24"/>
          <w:highlight w:val="none"/>
        </w:rPr>
        <w:t>考核合格后的第二个月支付给</w:t>
      </w:r>
      <w:r>
        <w:rPr>
          <w:rFonts w:hint="eastAsia" w:ascii="宋体" w:hAnsi="宋体" w:cs="仿宋"/>
          <w:color w:val="000000"/>
          <w:sz w:val="24"/>
          <w:highlight w:val="none"/>
          <w:lang w:val="en-US" w:eastAsia="zh-CN"/>
        </w:rPr>
        <w:t>中标方</w:t>
      </w:r>
      <w:r>
        <w:rPr>
          <w:rFonts w:hint="eastAsia" w:ascii="宋体" w:hAnsi="宋体" w:cs="仿宋"/>
          <w:color w:val="000000"/>
          <w:sz w:val="24"/>
          <w:highlight w:val="none"/>
        </w:rPr>
        <w:t>。费用均不计息。</w:t>
      </w:r>
    </w:p>
    <w:p>
      <w:pPr>
        <w:keepNext w:val="0"/>
        <w:keepLines w:val="0"/>
        <w:pageBreakBefore w:val="0"/>
        <w:kinsoku/>
        <w:wordWrap/>
        <w:overflowPunct/>
        <w:topLinePunct w:val="0"/>
        <w:autoSpaceDE/>
        <w:autoSpaceDN/>
        <w:bidi w:val="0"/>
        <w:spacing w:line="440" w:lineRule="exact"/>
        <w:ind w:firstLine="480" w:firstLineChars="200"/>
        <w:jc w:val="left"/>
        <w:textAlignment w:val="auto"/>
        <w:rPr>
          <w:highlight w:val="none"/>
        </w:rPr>
      </w:pPr>
      <w:r>
        <w:rPr>
          <w:rFonts w:hint="eastAsia" w:ascii="宋体" w:hAnsi="宋体" w:cs="仿宋"/>
          <w:color w:val="000000"/>
          <w:sz w:val="24"/>
          <w:highlight w:val="none"/>
        </w:rPr>
        <w:t>考核内容及合格分数由采购人最终确定，承包方应予以接受，否则招标方有权无偿清退承包方。</w:t>
      </w:r>
    </w:p>
    <w:p>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cs="仿宋"/>
          <w:b/>
          <w:bCs/>
          <w:color w:val="000000"/>
          <w:sz w:val="24"/>
        </w:rPr>
      </w:pPr>
      <w:r>
        <w:rPr>
          <w:rFonts w:hint="eastAsia" w:ascii="宋体" w:hAnsi="宋体" w:cs="仿宋"/>
          <w:b/>
          <w:bCs/>
          <w:color w:val="000000"/>
          <w:sz w:val="24"/>
          <w:lang w:eastAsia="zh-CN"/>
        </w:rPr>
        <w:t>五</w:t>
      </w:r>
      <w:r>
        <w:rPr>
          <w:rFonts w:hint="eastAsia" w:ascii="宋体" w:hAnsi="宋体" w:cs="仿宋"/>
          <w:b/>
          <w:bCs/>
          <w:color w:val="000000"/>
          <w:sz w:val="24"/>
        </w:rPr>
        <w:t>、管理服务费用报价要求</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仿宋"/>
          <w:color w:val="000000"/>
          <w:sz w:val="24"/>
        </w:rPr>
      </w:pPr>
      <w:r>
        <w:rPr>
          <w:rFonts w:hint="eastAsia" w:ascii="宋体" w:hAnsi="宋体" w:cs="仿宋"/>
          <w:color w:val="000000"/>
          <w:sz w:val="24"/>
        </w:rPr>
        <w:t>1、中标人应考虑企业自身实力、经验及项目实施过程中的各种因素，根据采购要求，详细说明所能提供的各项具体服务内容，自主确定报价，实行总价包干。</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仿宋"/>
          <w:color w:val="000000"/>
          <w:sz w:val="24"/>
        </w:rPr>
      </w:pPr>
      <w:r>
        <w:rPr>
          <w:rFonts w:hint="eastAsia" w:ascii="宋体" w:hAnsi="宋体" w:cs="仿宋"/>
          <w:color w:val="000000"/>
          <w:sz w:val="24"/>
        </w:rPr>
        <w:t>2、中标人的报价应包括为本项目提供正常服务所必需的全部费用包括物料费、人员费、交通费、设备和设施费、劳保福利、管理费、各类专业保险费、物业服务日常维修工具器材、教育培训费、设备之费用、招标代理费、居住费、油耗费、折旧费、修理费、工器具材料费（即：作业工具、设备、保洁用品运营能耗由中标人自行解决，医疗垃圾袋、消毒药剂由院方提供）、安全文明生产装备费、企业应缴税金和应得利润、应急任务等完成合同所需的一切本身和不可或缺的所有工作开支、政策性文件规定及合同包含的所有风险、责任等一切税金和费用。属于完成本次项目所必需的但投标人未列入报价的费用将被视为投标人优惠，采购人均不予支付。</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仿宋"/>
          <w:b/>
          <w:color w:val="000000"/>
          <w:sz w:val="24"/>
          <w:highlight w:val="none"/>
          <w:lang w:eastAsia="zh-CN"/>
        </w:rPr>
      </w:pPr>
      <w:r>
        <w:rPr>
          <w:rFonts w:hint="eastAsia" w:ascii="宋体" w:hAnsi="宋体" w:cs="仿宋"/>
          <w:b/>
          <w:color w:val="000000"/>
          <w:sz w:val="24"/>
          <w:highlight w:val="none"/>
        </w:rPr>
        <w:t>▲3、</w:t>
      </w:r>
      <w:r>
        <w:rPr>
          <w:rFonts w:hint="eastAsia" w:ascii="宋体" w:hAnsi="宋体" w:cs="仿宋"/>
          <w:b/>
          <w:color w:val="000000"/>
          <w:sz w:val="24"/>
          <w:highlight w:val="none"/>
          <w:lang w:eastAsia="zh-CN"/>
        </w:rPr>
        <w:t>供应商需承诺：</w:t>
      </w:r>
      <w:r>
        <w:rPr>
          <w:rFonts w:hint="eastAsia" w:ascii="宋体" w:hAnsi="宋体" w:cs="仿宋"/>
          <w:b/>
          <w:color w:val="000000"/>
          <w:sz w:val="24"/>
          <w:highlight w:val="none"/>
        </w:rPr>
        <w:t>陪护市场由</w:t>
      </w:r>
      <w:r>
        <w:rPr>
          <w:rFonts w:hint="eastAsia" w:ascii="宋体" w:hAnsi="宋体" w:cs="仿宋"/>
          <w:b/>
          <w:color w:val="000000"/>
          <w:sz w:val="24"/>
          <w:highlight w:val="none"/>
          <w:lang w:eastAsia="zh-CN"/>
        </w:rPr>
        <w:t>供应商</w:t>
      </w:r>
      <w:r>
        <w:rPr>
          <w:rFonts w:hint="eastAsia" w:ascii="宋体" w:hAnsi="宋体" w:cs="仿宋"/>
          <w:b/>
          <w:color w:val="000000"/>
          <w:sz w:val="24"/>
          <w:highlight w:val="none"/>
        </w:rPr>
        <w:t>按陪护相关管理规定实施管理，陪护费医院不参与收费，但需监管，</w:t>
      </w:r>
      <w:r>
        <w:rPr>
          <w:rFonts w:hint="eastAsia" w:ascii="宋体" w:hAnsi="宋体" w:cs="仿宋"/>
          <w:b/>
          <w:color w:val="000000"/>
          <w:sz w:val="24"/>
          <w:highlight w:val="none"/>
          <w:lang w:eastAsia="zh-CN"/>
        </w:rPr>
        <w:t>管理</w:t>
      </w:r>
      <w:r>
        <w:rPr>
          <w:rFonts w:hint="eastAsia" w:ascii="宋体" w:hAnsi="宋体" w:cs="仿宋"/>
          <w:b/>
          <w:color w:val="000000"/>
          <w:sz w:val="24"/>
          <w:highlight w:val="none"/>
        </w:rPr>
        <w:t>费用</w:t>
      </w:r>
      <w:r>
        <w:rPr>
          <w:rFonts w:hint="eastAsia" w:ascii="宋体" w:hAnsi="宋体" w:cs="仿宋"/>
          <w:b/>
          <w:color w:val="000000"/>
          <w:sz w:val="24"/>
          <w:highlight w:val="none"/>
          <w:lang w:eastAsia="zh-CN"/>
        </w:rPr>
        <w:t>包含在报价</w:t>
      </w:r>
      <w:r>
        <w:rPr>
          <w:rFonts w:hint="eastAsia" w:ascii="宋体" w:hAnsi="宋体" w:cs="仿宋"/>
          <w:b/>
          <w:color w:val="000000"/>
          <w:sz w:val="24"/>
          <w:highlight w:val="none"/>
        </w:rPr>
        <w:t>内。废品回收由</w:t>
      </w:r>
      <w:r>
        <w:rPr>
          <w:rFonts w:hint="eastAsia" w:ascii="宋体" w:hAnsi="宋体" w:cs="仿宋"/>
          <w:b/>
          <w:color w:val="000000"/>
          <w:sz w:val="24"/>
          <w:highlight w:val="none"/>
          <w:lang w:eastAsia="zh-CN"/>
        </w:rPr>
        <w:t>供应商</w:t>
      </w:r>
      <w:r>
        <w:rPr>
          <w:rFonts w:hint="eastAsia" w:ascii="宋体" w:hAnsi="宋体" w:cs="仿宋"/>
          <w:b/>
          <w:color w:val="000000"/>
          <w:sz w:val="24"/>
          <w:highlight w:val="none"/>
        </w:rPr>
        <w:t>负责，须交由正规公司按相关规定处理，如遇上级文件另行规定的按规定执行，费用</w:t>
      </w:r>
      <w:r>
        <w:rPr>
          <w:rFonts w:hint="eastAsia" w:ascii="宋体" w:hAnsi="宋体" w:cs="仿宋"/>
          <w:b/>
          <w:color w:val="000000"/>
          <w:sz w:val="24"/>
          <w:highlight w:val="none"/>
          <w:lang w:eastAsia="zh-CN"/>
        </w:rPr>
        <w:t>包含在报价内</w:t>
      </w:r>
      <w:r>
        <w:rPr>
          <w:rFonts w:hint="eastAsia" w:ascii="宋体" w:hAnsi="宋体" w:cs="仿宋"/>
          <w:b/>
          <w:color w:val="000000"/>
          <w:sz w:val="24"/>
          <w:highlight w:val="none"/>
        </w:rPr>
        <w:t>。</w:t>
      </w:r>
      <w:r>
        <w:rPr>
          <w:rFonts w:hint="eastAsia" w:ascii="宋体" w:hAnsi="宋体" w:cs="仿宋"/>
          <w:b/>
          <w:color w:val="000000"/>
          <w:sz w:val="24"/>
          <w:highlight w:val="none"/>
          <w:lang w:eastAsia="zh-CN"/>
        </w:rPr>
        <w:t>（</w:t>
      </w:r>
      <w:r>
        <w:rPr>
          <w:rFonts w:hint="eastAsia" w:ascii="宋体" w:hAnsi="宋体" w:cs="仿宋"/>
          <w:b/>
          <w:color w:val="000000"/>
          <w:sz w:val="24"/>
          <w:highlight w:val="none"/>
          <w:lang w:val="en-US" w:eastAsia="zh-CN"/>
        </w:rPr>
        <w:t xml:space="preserve"> </w:t>
      </w:r>
      <w:r>
        <w:rPr>
          <w:rFonts w:hint="eastAsia" w:ascii="宋体" w:hAnsi="宋体" w:cs="仿宋"/>
          <w:b/>
          <w:color w:val="000000"/>
          <w:sz w:val="24"/>
          <w:highlight w:val="none"/>
          <w:lang w:eastAsia="zh-CN"/>
        </w:rPr>
        <w:t>需在商务技术文件中提供相应承诺，否则投标无效。）</w:t>
      </w:r>
    </w:p>
    <w:p>
      <w:pPr>
        <w:keepNext w:val="0"/>
        <w:keepLines w:val="0"/>
        <w:pageBreakBefore w:val="0"/>
        <w:kinsoku/>
        <w:wordWrap/>
        <w:overflowPunct/>
        <w:topLinePunct w:val="0"/>
        <w:autoSpaceDE/>
        <w:autoSpaceDN/>
        <w:bidi w:val="0"/>
        <w:spacing w:line="500" w:lineRule="exact"/>
        <w:ind w:firstLine="480" w:firstLineChars="200"/>
        <w:textAlignment w:val="auto"/>
        <w:rPr>
          <w:rFonts w:hAnsi="宋体"/>
          <w:b/>
          <w:color w:val="000000"/>
          <w:sz w:val="36"/>
          <w:szCs w:val="36"/>
        </w:rPr>
      </w:pPr>
      <w:r>
        <w:rPr>
          <w:rFonts w:hint="eastAsia" w:ascii="宋体" w:hAnsi="宋体" w:cs="仿宋"/>
          <w:color w:val="000000"/>
          <w:sz w:val="24"/>
        </w:rPr>
        <w:t>4、中标人作为劳动用工的主体，负责劳动用工的所有事宜，劳动用工的所有责任和风险（如劳资纠纷等）由中标人负责。</w:t>
      </w:r>
    </w:p>
    <w:p>
      <w:pPr>
        <w:pStyle w:val="34"/>
        <w:snapToGrid w:val="0"/>
        <w:spacing w:beforeLines="0" w:afterLines="0" w:line="440" w:lineRule="exact"/>
        <w:outlineLvl w:val="0"/>
        <w:rPr>
          <w:rFonts w:hint="eastAsia" w:hAnsi="宋体"/>
          <w:b/>
          <w:color w:val="000000"/>
        </w:rPr>
      </w:pPr>
    </w:p>
    <w:p>
      <w:pPr>
        <w:pStyle w:val="34"/>
        <w:snapToGrid w:val="0"/>
        <w:spacing w:beforeLines="0" w:afterLines="0" w:line="440" w:lineRule="exact"/>
        <w:outlineLvl w:val="0"/>
        <w:rPr>
          <w:rFonts w:hAnsi="宋体"/>
          <w:b/>
          <w:color w:val="000000"/>
          <w:sz w:val="28"/>
          <w:szCs w:val="28"/>
        </w:rPr>
      </w:pPr>
      <w:r>
        <w:rPr>
          <w:rFonts w:hint="eastAsia" w:hAnsi="宋体"/>
          <w:b/>
          <w:color w:val="000000"/>
          <w:sz w:val="28"/>
          <w:szCs w:val="28"/>
        </w:rPr>
        <w:t>人员配置要求附件:</w:t>
      </w:r>
    </w:p>
    <w:tbl>
      <w:tblPr>
        <w:tblStyle w:val="919"/>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027"/>
        <w:gridCol w:w="2889"/>
        <w:gridCol w:w="1038"/>
        <w:gridCol w:w="56"/>
        <w:gridCol w:w="137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85" w:type="dxa"/>
            <w:gridSpan w:val="7"/>
            <w:noWrap/>
            <w:vAlign w:val="center"/>
          </w:tcPr>
          <w:p>
            <w:pPr>
              <w:pStyle w:val="34"/>
              <w:snapToGrid w:val="0"/>
              <w:spacing w:beforeLines="0" w:afterLines="0" w:line="440" w:lineRule="exact"/>
              <w:ind w:firstLine="1968" w:firstLineChars="700"/>
              <w:outlineLvl w:val="0"/>
              <w:rPr>
                <w:rFonts w:hAnsi="宋体" w:cs="宋体"/>
                <w:b/>
                <w:bCs/>
                <w:sz w:val="28"/>
                <w:szCs w:val="28"/>
              </w:rPr>
            </w:pPr>
            <w:r>
              <w:rPr>
                <w:rFonts w:hint="eastAsia" w:hAnsi="宋体" w:cs="宋体"/>
                <w:b/>
                <w:bCs/>
                <w:sz w:val="28"/>
                <w:szCs w:val="28"/>
              </w:rPr>
              <w:t>临安区中医院物业服务人员岗位参考配置表</w:t>
            </w:r>
          </w:p>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noWrap/>
            <w:vAlign w:val="center"/>
          </w:tcPr>
          <w:p>
            <w:pPr>
              <w:widowControl/>
              <w:jc w:val="center"/>
              <w:rPr>
                <w:rFonts w:ascii="宋体" w:hAnsi="宋体" w:cs="宋体"/>
                <w:szCs w:val="21"/>
              </w:rPr>
            </w:pPr>
            <w:r>
              <w:rPr>
                <w:rFonts w:hint="eastAsia" w:ascii="宋体" w:hAnsi="宋体" w:cs="宋体"/>
                <w:b/>
                <w:bCs/>
                <w:kern w:val="0"/>
                <w:szCs w:val="21"/>
              </w:rPr>
              <w:t>门诊楼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序号</w:t>
            </w:r>
          </w:p>
        </w:tc>
        <w:tc>
          <w:tcPr>
            <w:tcW w:w="1027" w:type="dxa"/>
            <w:vAlign w:val="center"/>
          </w:tcPr>
          <w:p>
            <w:pPr>
              <w:widowControl/>
              <w:jc w:val="center"/>
              <w:rPr>
                <w:rFonts w:ascii="宋体" w:hAnsi="宋体" w:cs="宋体"/>
                <w:szCs w:val="21"/>
              </w:rPr>
            </w:pPr>
            <w:r>
              <w:rPr>
                <w:rFonts w:hint="eastAsia" w:ascii="宋体" w:hAnsi="宋体" w:cs="宋体"/>
                <w:kern w:val="0"/>
                <w:szCs w:val="21"/>
              </w:rPr>
              <w:t>楼层</w:t>
            </w:r>
          </w:p>
        </w:tc>
        <w:tc>
          <w:tcPr>
            <w:tcW w:w="2889" w:type="dxa"/>
            <w:vAlign w:val="center"/>
          </w:tcPr>
          <w:p>
            <w:pPr>
              <w:widowControl/>
              <w:jc w:val="center"/>
              <w:rPr>
                <w:rFonts w:ascii="宋体" w:hAnsi="宋体" w:cs="宋体"/>
                <w:szCs w:val="21"/>
              </w:rPr>
            </w:pPr>
            <w:r>
              <w:rPr>
                <w:rFonts w:hint="eastAsia" w:ascii="宋体" w:hAnsi="宋体" w:cs="宋体"/>
                <w:kern w:val="0"/>
                <w:szCs w:val="21"/>
              </w:rPr>
              <w:t>范围</w:t>
            </w:r>
          </w:p>
        </w:tc>
        <w:tc>
          <w:tcPr>
            <w:tcW w:w="1038" w:type="dxa"/>
            <w:vAlign w:val="center"/>
          </w:tcPr>
          <w:p>
            <w:pPr>
              <w:widowControl/>
              <w:jc w:val="center"/>
              <w:rPr>
                <w:rFonts w:ascii="宋体" w:hAnsi="宋体" w:cs="宋体"/>
                <w:szCs w:val="21"/>
              </w:rPr>
            </w:pPr>
            <w:r>
              <w:rPr>
                <w:rFonts w:hint="eastAsia" w:ascii="宋体" w:hAnsi="宋体" w:cs="宋体"/>
                <w:kern w:val="0"/>
                <w:szCs w:val="21"/>
              </w:rPr>
              <w:t>工作内容</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拟定配置</w:t>
            </w:r>
          </w:p>
        </w:tc>
        <w:tc>
          <w:tcPr>
            <w:tcW w:w="2159" w:type="dxa"/>
            <w:vAlign w:val="center"/>
          </w:tcPr>
          <w:p>
            <w:pPr>
              <w:widowControl/>
              <w:jc w:val="center"/>
              <w:rPr>
                <w:rFonts w:ascii="宋体" w:hAnsi="宋体" w:cs="宋体"/>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46" w:type="dxa"/>
            <w:vMerge w:val="restart"/>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一层</w:t>
            </w:r>
          </w:p>
        </w:tc>
        <w:tc>
          <w:tcPr>
            <w:tcW w:w="2889" w:type="dxa"/>
            <w:vAlign w:val="center"/>
          </w:tcPr>
          <w:p>
            <w:pPr>
              <w:widowControl/>
              <w:jc w:val="center"/>
              <w:rPr>
                <w:rFonts w:ascii="宋体" w:hAnsi="宋体" w:cs="宋体"/>
                <w:szCs w:val="21"/>
              </w:rPr>
            </w:pPr>
            <w:r>
              <w:rPr>
                <w:rFonts w:hint="eastAsia" w:ascii="宋体" w:hAnsi="宋体" w:cs="宋体"/>
                <w:kern w:val="0"/>
                <w:szCs w:val="21"/>
              </w:rPr>
              <w:t>大厅</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西药房内</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Merge w:val="restart"/>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Merge w:val="restart"/>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中药房内</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Merge w:val="continue"/>
            <w:vAlign w:val="center"/>
          </w:tcPr>
          <w:p>
            <w:pPr>
              <w:widowControl/>
              <w:jc w:val="left"/>
              <w:rPr>
                <w:rFonts w:ascii="宋体" w:hAnsi="宋体" w:cs="宋体"/>
                <w:szCs w:val="21"/>
              </w:rPr>
            </w:pPr>
          </w:p>
        </w:tc>
        <w:tc>
          <w:tcPr>
            <w:tcW w:w="2159" w:type="dxa"/>
            <w:vMerge w:val="continue"/>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公卫+过道＋儿科+夜门诊</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46" w:type="dxa"/>
            <w:vMerge w:val="restart"/>
            <w:vAlign w:val="center"/>
          </w:tcPr>
          <w:p>
            <w:pPr>
              <w:widowControl/>
              <w:jc w:val="center"/>
              <w:rPr>
                <w:rFonts w:ascii="宋体" w:hAnsi="宋体" w:cs="宋体"/>
                <w:szCs w:val="21"/>
              </w:rPr>
            </w:pPr>
            <w:r>
              <w:rPr>
                <w:rFonts w:hint="eastAsia" w:ascii="宋体" w:hAnsi="宋体" w:cs="宋体"/>
                <w:kern w:val="0"/>
                <w:szCs w:val="21"/>
              </w:rPr>
              <w:t>2</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二层</w:t>
            </w:r>
          </w:p>
        </w:tc>
        <w:tc>
          <w:tcPr>
            <w:tcW w:w="2889" w:type="dxa"/>
            <w:noWrap/>
            <w:vAlign w:val="center"/>
          </w:tcPr>
          <w:p>
            <w:pPr>
              <w:widowControl/>
              <w:jc w:val="center"/>
              <w:rPr>
                <w:rFonts w:ascii="宋体" w:hAnsi="宋体" w:cs="宋体"/>
                <w:szCs w:val="21"/>
              </w:rPr>
            </w:pPr>
            <w:r>
              <w:rPr>
                <w:rFonts w:hint="eastAsia" w:ascii="宋体" w:hAnsi="宋体" w:cs="宋体"/>
                <w:kern w:val="0"/>
                <w:szCs w:val="21"/>
              </w:rPr>
              <w:t>外科</w:t>
            </w:r>
          </w:p>
        </w:tc>
        <w:tc>
          <w:tcPr>
            <w:tcW w:w="1038" w:type="dxa"/>
            <w:noWrap/>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Merge w:val="restart"/>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内科</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Merge w:val="continue"/>
            <w:vAlign w:val="center"/>
          </w:tcPr>
          <w:p>
            <w:pPr>
              <w:widowControl/>
              <w:jc w:val="left"/>
              <w:rPr>
                <w:rFonts w:ascii="宋体" w:hAnsi="宋体" w:cs="宋体"/>
                <w:szCs w:val="21"/>
              </w:rPr>
            </w:pP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公卫+过道+推拿</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restart"/>
            <w:vAlign w:val="center"/>
          </w:tcPr>
          <w:p>
            <w:pPr>
              <w:widowControl/>
              <w:jc w:val="center"/>
              <w:rPr>
                <w:rFonts w:ascii="宋体" w:hAnsi="宋体" w:cs="宋体"/>
                <w:szCs w:val="21"/>
              </w:rPr>
            </w:pPr>
            <w:r>
              <w:rPr>
                <w:rFonts w:hint="eastAsia" w:ascii="宋体" w:hAnsi="宋体" w:cs="宋体"/>
                <w:kern w:val="0"/>
                <w:szCs w:val="21"/>
              </w:rPr>
              <w:t>3</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三层</w:t>
            </w:r>
          </w:p>
        </w:tc>
        <w:tc>
          <w:tcPr>
            <w:tcW w:w="2889" w:type="dxa"/>
            <w:vAlign w:val="center"/>
          </w:tcPr>
          <w:p>
            <w:pPr>
              <w:widowControl/>
              <w:jc w:val="center"/>
              <w:rPr>
                <w:rFonts w:ascii="宋体" w:hAnsi="宋体" w:cs="宋体"/>
                <w:szCs w:val="21"/>
              </w:rPr>
            </w:pPr>
            <w:r>
              <w:rPr>
                <w:rFonts w:hint="eastAsia" w:ascii="宋体" w:hAnsi="宋体" w:cs="宋体"/>
                <w:kern w:val="0"/>
                <w:szCs w:val="21"/>
              </w:rPr>
              <w:t>妇产科诊室</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Merge w:val="restart"/>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口腔+名医馆</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Merge w:val="continue"/>
            <w:vAlign w:val="center"/>
          </w:tcPr>
          <w:p>
            <w:pPr>
              <w:widowControl/>
              <w:jc w:val="left"/>
              <w:rPr>
                <w:rFonts w:ascii="宋体" w:hAnsi="宋体" w:cs="宋体"/>
                <w:szCs w:val="21"/>
              </w:rPr>
            </w:pP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公卫+过道</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restart"/>
            <w:vAlign w:val="center"/>
          </w:tcPr>
          <w:p>
            <w:pPr>
              <w:widowControl/>
              <w:jc w:val="center"/>
              <w:rPr>
                <w:rFonts w:ascii="宋体" w:hAnsi="宋体" w:cs="宋体"/>
                <w:szCs w:val="21"/>
              </w:rPr>
            </w:pPr>
            <w:r>
              <w:rPr>
                <w:rFonts w:hint="eastAsia" w:ascii="宋体" w:hAnsi="宋体" w:cs="宋体"/>
                <w:kern w:val="0"/>
                <w:szCs w:val="21"/>
              </w:rPr>
              <w:t>4</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四层</w:t>
            </w:r>
          </w:p>
        </w:tc>
        <w:tc>
          <w:tcPr>
            <w:tcW w:w="2889" w:type="dxa"/>
            <w:vAlign w:val="center"/>
          </w:tcPr>
          <w:p>
            <w:pPr>
              <w:widowControl/>
              <w:jc w:val="center"/>
              <w:rPr>
                <w:rFonts w:ascii="宋体" w:hAnsi="宋体" w:cs="宋体"/>
                <w:szCs w:val="21"/>
              </w:rPr>
            </w:pPr>
            <w:r>
              <w:rPr>
                <w:rFonts w:hint="eastAsia" w:ascii="宋体" w:hAnsi="宋体" w:cs="宋体"/>
                <w:kern w:val="0"/>
                <w:szCs w:val="21"/>
              </w:rPr>
              <w:t>门诊手术</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日间手术室保洁，门诊楼厕所保洁(要求中午循环保洁)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眼科+耳鼻喉科</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公卫+过道</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ind w:firstLine="420" w:firstLineChars="200"/>
              <w:jc w:val="left"/>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　</w:t>
            </w:r>
          </w:p>
        </w:tc>
        <w:tc>
          <w:tcPr>
            <w:tcW w:w="1027" w:type="dxa"/>
            <w:vAlign w:val="center"/>
          </w:tcPr>
          <w:p>
            <w:pPr>
              <w:widowControl/>
              <w:jc w:val="center"/>
              <w:rPr>
                <w:rFonts w:ascii="宋体" w:hAnsi="宋体" w:cs="宋体"/>
                <w:szCs w:val="21"/>
              </w:rPr>
            </w:pPr>
            <w:r>
              <w:rPr>
                <w:rFonts w:hint="eastAsia" w:ascii="宋体" w:hAnsi="宋体" w:cs="宋体"/>
                <w:kern w:val="0"/>
                <w:szCs w:val="21"/>
              </w:rPr>
              <w:t>　</w:t>
            </w:r>
          </w:p>
        </w:tc>
        <w:tc>
          <w:tcPr>
            <w:tcW w:w="2889" w:type="dxa"/>
            <w:vAlign w:val="center"/>
          </w:tcPr>
          <w:p>
            <w:pPr>
              <w:widowControl/>
              <w:jc w:val="center"/>
              <w:rPr>
                <w:rFonts w:ascii="宋体" w:hAnsi="宋体" w:cs="宋体"/>
                <w:szCs w:val="21"/>
              </w:rPr>
            </w:pPr>
            <w:r>
              <w:rPr>
                <w:rFonts w:hint="eastAsia" w:ascii="宋体" w:hAnsi="宋体" w:cs="宋体"/>
                <w:kern w:val="0"/>
                <w:szCs w:val="21"/>
              </w:rPr>
              <w:t>　</w:t>
            </w:r>
          </w:p>
        </w:tc>
        <w:tc>
          <w:tcPr>
            <w:tcW w:w="1038" w:type="dxa"/>
            <w:vAlign w:val="center"/>
          </w:tcPr>
          <w:p>
            <w:pPr>
              <w:widowControl/>
              <w:jc w:val="center"/>
              <w:rPr>
                <w:rFonts w:ascii="宋体" w:hAnsi="宋体" w:cs="宋体"/>
                <w:szCs w:val="21"/>
              </w:rPr>
            </w:pPr>
            <w:r>
              <w:rPr>
                <w:rFonts w:hint="eastAsia" w:ascii="宋体" w:hAnsi="宋体" w:cs="宋体"/>
                <w:kern w:val="0"/>
                <w:szCs w:val="21"/>
              </w:rPr>
              <w:t>合计</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10</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kern w:val="0"/>
                <w:szCs w:val="21"/>
              </w:rPr>
              <w:t>医技楼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序号</w:t>
            </w:r>
          </w:p>
        </w:tc>
        <w:tc>
          <w:tcPr>
            <w:tcW w:w="1027" w:type="dxa"/>
            <w:vAlign w:val="center"/>
          </w:tcPr>
          <w:p>
            <w:pPr>
              <w:widowControl/>
              <w:jc w:val="center"/>
              <w:rPr>
                <w:rFonts w:ascii="宋体" w:hAnsi="宋体" w:cs="宋体"/>
                <w:szCs w:val="21"/>
              </w:rPr>
            </w:pPr>
            <w:r>
              <w:rPr>
                <w:rFonts w:hint="eastAsia" w:ascii="宋体" w:hAnsi="宋体" w:cs="宋体"/>
                <w:kern w:val="0"/>
                <w:szCs w:val="21"/>
              </w:rPr>
              <w:t>楼层</w:t>
            </w:r>
          </w:p>
        </w:tc>
        <w:tc>
          <w:tcPr>
            <w:tcW w:w="2889" w:type="dxa"/>
            <w:vAlign w:val="center"/>
          </w:tcPr>
          <w:p>
            <w:pPr>
              <w:widowControl/>
              <w:jc w:val="center"/>
              <w:rPr>
                <w:rFonts w:ascii="宋体" w:hAnsi="宋体" w:cs="宋体"/>
                <w:szCs w:val="21"/>
              </w:rPr>
            </w:pPr>
            <w:r>
              <w:rPr>
                <w:rFonts w:hint="eastAsia" w:ascii="宋体" w:hAnsi="宋体" w:cs="宋体"/>
                <w:kern w:val="0"/>
                <w:szCs w:val="21"/>
              </w:rPr>
              <w:t>范围</w:t>
            </w:r>
          </w:p>
        </w:tc>
        <w:tc>
          <w:tcPr>
            <w:tcW w:w="1038" w:type="dxa"/>
            <w:vAlign w:val="center"/>
          </w:tcPr>
          <w:p>
            <w:pPr>
              <w:widowControl/>
              <w:jc w:val="center"/>
              <w:rPr>
                <w:rFonts w:ascii="宋体" w:hAnsi="宋体" w:cs="宋体"/>
                <w:szCs w:val="21"/>
              </w:rPr>
            </w:pPr>
            <w:r>
              <w:rPr>
                <w:rFonts w:hint="eastAsia" w:ascii="宋体" w:hAnsi="宋体" w:cs="宋体"/>
                <w:kern w:val="0"/>
                <w:szCs w:val="21"/>
              </w:rPr>
              <w:t>工作内容</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拟定配置</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46" w:type="dxa"/>
            <w:vMerge w:val="restart"/>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一层</w:t>
            </w:r>
          </w:p>
        </w:tc>
        <w:tc>
          <w:tcPr>
            <w:tcW w:w="2889" w:type="dxa"/>
            <w:vMerge w:val="restart"/>
            <w:vAlign w:val="center"/>
          </w:tcPr>
          <w:p>
            <w:pPr>
              <w:widowControl/>
              <w:jc w:val="center"/>
              <w:rPr>
                <w:rFonts w:ascii="宋体" w:hAnsi="宋体" w:cs="宋体"/>
                <w:szCs w:val="21"/>
              </w:rPr>
            </w:pPr>
            <w:r>
              <w:rPr>
                <w:rFonts w:hint="eastAsia" w:ascii="宋体" w:hAnsi="宋体" w:cs="宋体"/>
                <w:kern w:val="0"/>
                <w:szCs w:val="21"/>
              </w:rPr>
              <w:t>急诊</w:t>
            </w:r>
          </w:p>
        </w:tc>
        <w:tc>
          <w:tcPr>
            <w:tcW w:w="1038" w:type="dxa"/>
            <w:vAlign w:val="center"/>
          </w:tcPr>
          <w:p>
            <w:pPr>
              <w:widowControl/>
              <w:jc w:val="center"/>
              <w:rPr>
                <w:rFonts w:ascii="宋体" w:hAnsi="宋体" w:cs="宋体"/>
                <w:szCs w:val="21"/>
              </w:rPr>
            </w:pPr>
            <w:r>
              <w:rPr>
                <w:rFonts w:hint="eastAsia" w:ascii="宋体" w:hAnsi="宋体" w:cs="宋体"/>
                <w:kern w:val="0"/>
                <w:szCs w:val="21"/>
              </w:rPr>
              <w:t>白班保洁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Merge w:val="continue"/>
            <w:vAlign w:val="center"/>
          </w:tcPr>
          <w:p>
            <w:pPr>
              <w:widowControl/>
              <w:jc w:val="left"/>
              <w:rPr>
                <w:rFonts w:ascii="宋体" w:hAnsi="宋体" w:cs="宋体"/>
                <w:szCs w:val="21"/>
              </w:rPr>
            </w:pPr>
          </w:p>
        </w:tc>
        <w:tc>
          <w:tcPr>
            <w:tcW w:w="1038" w:type="dxa"/>
            <w:vAlign w:val="center"/>
          </w:tcPr>
          <w:p>
            <w:pPr>
              <w:widowControl/>
              <w:jc w:val="center"/>
              <w:rPr>
                <w:rFonts w:ascii="宋体" w:hAnsi="宋体" w:cs="宋体"/>
                <w:szCs w:val="21"/>
              </w:rPr>
            </w:pPr>
            <w:r>
              <w:rPr>
                <w:rFonts w:hint="eastAsia" w:ascii="宋体" w:hAnsi="宋体" w:cs="宋体"/>
                <w:kern w:val="0"/>
                <w:szCs w:val="21"/>
              </w:rPr>
              <w:t>中班保洁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需值夜班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Merge w:val="continue"/>
            <w:vAlign w:val="center"/>
          </w:tcPr>
          <w:p>
            <w:pPr>
              <w:widowControl/>
              <w:jc w:val="left"/>
              <w:rPr>
                <w:rFonts w:ascii="宋体" w:hAnsi="宋体" w:cs="宋体"/>
                <w:szCs w:val="21"/>
              </w:rPr>
            </w:pPr>
          </w:p>
        </w:tc>
        <w:tc>
          <w:tcPr>
            <w:tcW w:w="1038" w:type="dxa"/>
            <w:vAlign w:val="center"/>
          </w:tcPr>
          <w:p>
            <w:pPr>
              <w:widowControl/>
              <w:jc w:val="center"/>
              <w:rPr>
                <w:rFonts w:ascii="宋体" w:hAnsi="宋体" w:cs="宋体"/>
                <w:szCs w:val="21"/>
              </w:rPr>
            </w:pPr>
            <w:r>
              <w:rPr>
                <w:rFonts w:hint="eastAsia" w:ascii="宋体" w:hAnsi="宋体" w:cs="宋体"/>
                <w:kern w:val="0"/>
                <w:szCs w:val="21"/>
              </w:rPr>
              <w:t>夜间保洁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0</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发热门诊肠道门诊</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需值夜班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放射科及出入院门厅+DSA机房</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restart"/>
            <w:vAlign w:val="center"/>
          </w:tcPr>
          <w:p>
            <w:pPr>
              <w:widowControl/>
              <w:jc w:val="center"/>
              <w:rPr>
                <w:rFonts w:ascii="宋体" w:hAnsi="宋体" w:cs="宋体"/>
                <w:szCs w:val="21"/>
              </w:rPr>
            </w:pPr>
            <w:r>
              <w:rPr>
                <w:rFonts w:hint="eastAsia" w:ascii="宋体" w:hAnsi="宋体" w:cs="宋体"/>
                <w:kern w:val="0"/>
                <w:szCs w:val="21"/>
              </w:rPr>
              <w:t>2</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二层</w:t>
            </w:r>
          </w:p>
        </w:tc>
        <w:tc>
          <w:tcPr>
            <w:tcW w:w="2889" w:type="dxa"/>
            <w:noWrap/>
            <w:vAlign w:val="center"/>
          </w:tcPr>
          <w:p>
            <w:pPr>
              <w:widowControl/>
              <w:jc w:val="center"/>
              <w:rPr>
                <w:rFonts w:ascii="宋体" w:hAnsi="宋体" w:cs="宋体"/>
                <w:szCs w:val="21"/>
              </w:rPr>
            </w:pPr>
            <w:r>
              <w:rPr>
                <w:rFonts w:hint="eastAsia" w:ascii="宋体" w:hAnsi="宋体" w:cs="宋体"/>
                <w:kern w:val="0"/>
                <w:szCs w:val="21"/>
              </w:rPr>
              <w:t>内镜中心</w:t>
            </w:r>
          </w:p>
        </w:tc>
        <w:tc>
          <w:tcPr>
            <w:tcW w:w="1038" w:type="dxa"/>
            <w:noWrap/>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电生理中心</w:t>
            </w:r>
          </w:p>
        </w:tc>
        <w:tc>
          <w:tcPr>
            <w:tcW w:w="1038" w:type="dxa"/>
            <w:vMerge w:val="restart"/>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Merge w:val="restart"/>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超声中心</w:t>
            </w:r>
          </w:p>
        </w:tc>
        <w:tc>
          <w:tcPr>
            <w:tcW w:w="1038" w:type="dxa"/>
            <w:vMerge w:val="continue"/>
            <w:vAlign w:val="center"/>
          </w:tcPr>
          <w:p>
            <w:pPr>
              <w:widowControl/>
              <w:jc w:val="center"/>
              <w:rPr>
                <w:rFonts w:ascii="宋体" w:hAnsi="宋体" w:cs="宋体"/>
                <w:szCs w:val="21"/>
              </w:rPr>
            </w:pPr>
          </w:p>
        </w:tc>
        <w:tc>
          <w:tcPr>
            <w:tcW w:w="1426" w:type="dxa"/>
            <w:gridSpan w:val="2"/>
            <w:vMerge w:val="continue"/>
            <w:vAlign w:val="center"/>
          </w:tcPr>
          <w:p>
            <w:pPr>
              <w:widowControl/>
              <w:jc w:val="left"/>
              <w:rPr>
                <w:rFonts w:ascii="宋体" w:hAnsi="宋体" w:cs="宋体"/>
                <w:szCs w:val="21"/>
              </w:rPr>
            </w:pP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Merge w:val="restart"/>
            <w:vAlign w:val="center"/>
          </w:tcPr>
          <w:p>
            <w:pPr>
              <w:widowControl/>
              <w:jc w:val="center"/>
              <w:rPr>
                <w:rFonts w:ascii="宋体" w:hAnsi="宋体" w:cs="宋体"/>
                <w:szCs w:val="21"/>
              </w:rPr>
            </w:pPr>
            <w:r>
              <w:rPr>
                <w:rFonts w:hint="eastAsia" w:ascii="宋体" w:hAnsi="宋体" w:cs="宋体"/>
                <w:kern w:val="0"/>
                <w:szCs w:val="21"/>
              </w:rPr>
              <w:t>检验科+电梯厅</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Merge w:val="continue"/>
            <w:vAlign w:val="center"/>
          </w:tcPr>
          <w:p>
            <w:pPr>
              <w:widowControl/>
              <w:jc w:val="left"/>
              <w:rPr>
                <w:rFonts w:ascii="宋体" w:hAnsi="宋体" w:cs="宋体"/>
                <w:szCs w:val="21"/>
              </w:rPr>
            </w:pPr>
          </w:p>
        </w:tc>
        <w:tc>
          <w:tcPr>
            <w:tcW w:w="1038" w:type="dxa"/>
            <w:vAlign w:val="center"/>
          </w:tcPr>
          <w:p>
            <w:pPr>
              <w:widowControl/>
              <w:jc w:val="center"/>
              <w:rPr>
                <w:rFonts w:ascii="宋体" w:hAnsi="宋体" w:cs="宋体"/>
                <w:szCs w:val="21"/>
              </w:rPr>
            </w:pPr>
            <w:r>
              <w:rPr>
                <w:rFonts w:hint="eastAsia" w:ascii="宋体" w:hAnsi="宋体" w:cs="宋体"/>
                <w:kern w:val="0"/>
                <w:szCs w:val="21"/>
              </w:rPr>
              <w:t>夜间保洁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0</w:t>
            </w:r>
          </w:p>
        </w:tc>
        <w:tc>
          <w:tcPr>
            <w:tcW w:w="2159" w:type="dxa"/>
            <w:vAlign w:val="center"/>
          </w:tcPr>
          <w:p>
            <w:pPr>
              <w:widowControl/>
              <w:jc w:val="center"/>
              <w:rPr>
                <w:rFonts w:ascii="宋体" w:hAnsi="宋体" w:cs="宋体"/>
                <w:szCs w:val="21"/>
              </w:rPr>
            </w:pPr>
            <w:r>
              <w:rPr>
                <w:rFonts w:hint="eastAsia" w:ascii="宋体" w:hAnsi="宋体" w:cs="宋体"/>
                <w:kern w:val="0"/>
                <w:szCs w:val="21"/>
              </w:rPr>
              <w:t>夜间不配，现阶段暂不配置，具体配置时间根据采购人通知，供应商应将此部分费用考虑在内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restart"/>
            <w:vAlign w:val="center"/>
          </w:tcPr>
          <w:p>
            <w:pPr>
              <w:widowControl/>
              <w:jc w:val="center"/>
              <w:rPr>
                <w:rFonts w:ascii="宋体" w:hAnsi="宋体" w:cs="宋体"/>
                <w:szCs w:val="21"/>
              </w:rPr>
            </w:pPr>
            <w:r>
              <w:rPr>
                <w:rFonts w:hint="eastAsia" w:ascii="宋体" w:hAnsi="宋体" w:cs="宋体"/>
                <w:kern w:val="0"/>
                <w:szCs w:val="21"/>
              </w:rPr>
              <w:t>3</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三层</w:t>
            </w:r>
          </w:p>
        </w:tc>
        <w:tc>
          <w:tcPr>
            <w:tcW w:w="2889" w:type="dxa"/>
            <w:vAlign w:val="center"/>
          </w:tcPr>
          <w:p>
            <w:pPr>
              <w:widowControl/>
              <w:jc w:val="center"/>
              <w:rPr>
                <w:rFonts w:ascii="宋体" w:hAnsi="宋体" w:cs="宋体"/>
                <w:szCs w:val="21"/>
              </w:rPr>
            </w:pPr>
            <w:r>
              <w:rPr>
                <w:rFonts w:hint="eastAsia" w:ascii="宋体" w:hAnsi="宋体" w:cs="宋体"/>
                <w:kern w:val="0"/>
                <w:szCs w:val="21"/>
              </w:rPr>
              <w:t>血透室</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2+1</w:t>
            </w:r>
          </w:p>
        </w:tc>
        <w:tc>
          <w:tcPr>
            <w:tcW w:w="2159" w:type="dxa"/>
            <w:vAlign w:val="center"/>
          </w:tcPr>
          <w:p>
            <w:pPr>
              <w:widowControl/>
              <w:rPr>
                <w:rFonts w:ascii="宋体" w:hAnsi="宋体" w:cs="宋体"/>
                <w:szCs w:val="21"/>
              </w:rPr>
            </w:pPr>
            <w:r>
              <w:rPr>
                <w:rFonts w:hint="eastAsia" w:ascii="宋体" w:hAnsi="宋体" w:cs="宋体"/>
                <w:kern w:val="0"/>
                <w:szCs w:val="21"/>
              </w:rPr>
              <w:t>目前2人做，按实际需求付款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病理、设备科、病案室</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供应室</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restart"/>
            <w:vAlign w:val="center"/>
          </w:tcPr>
          <w:p>
            <w:pPr>
              <w:widowControl/>
              <w:jc w:val="center"/>
              <w:rPr>
                <w:rFonts w:ascii="宋体" w:hAnsi="宋体" w:cs="宋体"/>
                <w:szCs w:val="21"/>
              </w:rPr>
            </w:pPr>
            <w:r>
              <w:rPr>
                <w:rFonts w:hint="eastAsia" w:ascii="宋体" w:hAnsi="宋体" w:cs="宋体"/>
                <w:kern w:val="0"/>
                <w:szCs w:val="21"/>
              </w:rPr>
              <w:t>4</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四层</w:t>
            </w:r>
          </w:p>
        </w:tc>
        <w:tc>
          <w:tcPr>
            <w:tcW w:w="2889" w:type="dxa"/>
            <w:vMerge w:val="restart"/>
            <w:vAlign w:val="center"/>
          </w:tcPr>
          <w:p>
            <w:pPr>
              <w:widowControl/>
              <w:jc w:val="center"/>
              <w:rPr>
                <w:rFonts w:ascii="宋体" w:hAnsi="宋体" w:cs="宋体"/>
                <w:szCs w:val="21"/>
              </w:rPr>
            </w:pPr>
            <w:r>
              <w:rPr>
                <w:rFonts w:hint="eastAsia" w:ascii="宋体" w:hAnsi="宋体" w:cs="宋体"/>
                <w:kern w:val="0"/>
                <w:szCs w:val="21"/>
              </w:rPr>
              <w:t>重症监护室</w:t>
            </w:r>
          </w:p>
        </w:tc>
        <w:tc>
          <w:tcPr>
            <w:tcW w:w="1038" w:type="dxa"/>
            <w:vAlign w:val="center"/>
          </w:tcPr>
          <w:p>
            <w:pPr>
              <w:widowControl/>
              <w:jc w:val="center"/>
              <w:rPr>
                <w:rFonts w:ascii="宋体" w:hAnsi="宋体" w:cs="宋体"/>
                <w:szCs w:val="21"/>
              </w:rPr>
            </w:pPr>
            <w:r>
              <w:rPr>
                <w:rFonts w:hint="eastAsia" w:ascii="宋体" w:hAnsi="宋体" w:cs="宋体"/>
                <w:kern w:val="0"/>
                <w:szCs w:val="21"/>
              </w:rPr>
              <w:t>护工3</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3</w:t>
            </w:r>
          </w:p>
        </w:tc>
        <w:tc>
          <w:tcPr>
            <w:tcW w:w="2159" w:type="dxa"/>
            <w:vAlign w:val="center"/>
          </w:tcPr>
          <w:p>
            <w:pPr>
              <w:widowControl/>
              <w:jc w:val="center"/>
              <w:rPr>
                <w:rFonts w:ascii="宋体" w:hAnsi="宋体" w:cs="宋体"/>
                <w:szCs w:val="21"/>
              </w:rPr>
            </w:pPr>
            <w:r>
              <w:rPr>
                <w:rFonts w:hint="eastAsia" w:ascii="宋体" w:hAnsi="宋体" w:cs="宋体"/>
                <w:kern w:val="0"/>
                <w:szCs w:val="21"/>
              </w:rPr>
              <w:t>护工24小时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Merge w:val="continue"/>
            <w:vAlign w:val="center"/>
          </w:tcPr>
          <w:p>
            <w:pPr>
              <w:widowControl/>
              <w:jc w:val="left"/>
              <w:rPr>
                <w:rFonts w:ascii="宋体" w:hAnsi="宋体" w:cs="宋体"/>
                <w:szCs w:val="21"/>
              </w:rPr>
            </w:pP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left"/>
              <w:rPr>
                <w:rFonts w:ascii="宋体" w:hAnsi="宋体" w:cs="宋体"/>
                <w:szCs w:val="21"/>
              </w:rPr>
            </w:pP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手术室</w:t>
            </w:r>
          </w:p>
        </w:tc>
        <w:tc>
          <w:tcPr>
            <w:tcW w:w="1038" w:type="dxa"/>
            <w:vAlign w:val="center"/>
          </w:tcPr>
          <w:p>
            <w:pPr>
              <w:widowControl/>
              <w:jc w:val="center"/>
              <w:rPr>
                <w:rFonts w:ascii="宋体" w:hAnsi="宋体" w:cs="宋体"/>
                <w:kern w:val="0"/>
                <w:szCs w:val="21"/>
              </w:rPr>
            </w:pPr>
            <w:r>
              <w:rPr>
                <w:rFonts w:hint="eastAsia" w:ascii="宋体" w:hAnsi="宋体" w:cs="宋体"/>
                <w:kern w:val="0"/>
                <w:szCs w:val="21"/>
              </w:rPr>
              <w:t>保洁</w:t>
            </w:r>
          </w:p>
          <w:p>
            <w:pPr>
              <w:widowControl/>
              <w:jc w:val="center"/>
              <w:rPr>
                <w:rFonts w:ascii="宋体" w:hAnsi="宋体" w:cs="宋体"/>
                <w:kern w:val="0"/>
                <w:szCs w:val="21"/>
              </w:rPr>
            </w:pPr>
            <w:r>
              <w:rPr>
                <w:rFonts w:hint="eastAsia" w:ascii="宋体" w:hAnsi="宋体" w:cs="宋体"/>
                <w:kern w:val="0"/>
                <w:szCs w:val="21"/>
              </w:rPr>
              <w:t>加运送</w:t>
            </w:r>
          </w:p>
          <w:p>
            <w:pPr>
              <w:widowControl/>
              <w:jc w:val="center"/>
              <w:rPr>
                <w:rFonts w:ascii="宋体" w:hAnsi="宋体" w:cs="宋体"/>
                <w:szCs w:val="21"/>
              </w:rPr>
            </w:pPr>
            <w:r>
              <w:rPr>
                <w:rFonts w:hint="eastAsia" w:ascii="宋体" w:hAnsi="宋体" w:cs="宋体"/>
                <w:kern w:val="0"/>
                <w:szCs w:val="21"/>
              </w:rPr>
              <w:t>4个</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3+1</w:t>
            </w:r>
          </w:p>
        </w:tc>
        <w:tc>
          <w:tcPr>
            <w:tcW w:w="2159" w:type="dxa"/>
            <w:vAlign w:val="center"/>
          </w:tcPr>
          <w:p>
            <w:pPr>
              <w:widowControl/>
              <w:jc w:val="center"/>
              <w:rPr>
                <w:rFonts w:ascii="宋体" w:hAnsi="宋体" w:cs="宋体"/>
                <w:kern w:val="0"/>
                <w:szCs w:val="21"/>
              </w:rPr>
            </w:pPr>
            <w:r>
              <w:rPr>
                <w:rFonts w:hint="eastAsia" w:ascii="宋体" w:hAnsi="宋体" w:cs="宋体"/>
                <w:kern w:val="0"/>
                <w:szCs w:val="21"/>
              </w:rPr>
              <w:t>运送24小时，目前3人做，按实际需求付款</w:t>
            </w:r>
          </w:p>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46" w:type="dxa"/>
            <w:vMerge w:val="restart"/>
            <w:vAlign w:val="center"/>
          </w:tcPr>
          <w:p>
            <w:pPr>
              <w:widowControl/>
              <w:jc w:val="center"/>
              <w:rPr>
                <w:rFonts w:ascii="宋体" w:hAnsi="宋体" w:cs="宋体"/>
                <w:kern w:val="0"/>
                <w:szCs w:val="21"/>
              </w:rPr>
            </w:pPr>
            <w:r>
              <w:rPr>
                <w:rFonts w:hint="eastAsia" w:ascii="宋体" w:hAnsi="宋体" w:cs="宋体"/>
                <w:kern w:val="0"/>
                <w:szCs w:val="21"/>
              </w:rPr>
              <w:t>5</w:t>
            </w:r>
          </w:p>
          <w:p>
            <w:pPr>
              <w:widowControl/>
              <w:jc w:val="center"/>
              <w:rPr>
                <w:rFonts w:ascii="宋体" w:hAnsi="宋体" w:cs="宋体"/>
                <w:szCs w:val="21"/>
              </w:rPr>
            </w:pPr>
            <w:r>
              <w:rPr>
                <w:rFonts w:hint="eastAsia" w:ascii="宋体" w:hAnsi="宋体" w:cs="宋体"/>
                <w:kern w:val="0"/>
                <w:szCs w:val="21"/>
              </w:rPr>
              <w:t>　</w:t>
            </w:r>
          </w:p>
        </w:tc>
        <w:tc>
          <w:tcPr>
            <w:tcW w:w="1027" w:type="dxa"/>
            <w:vMerge w:val="restart"/>
            <w:vAlign w:val="center"/>
          </w:tcPr>
          <w:p>
            <w:pPr>
              <w:widowControl/>
              <w:jc w:val="center"/>
              <w:rPr>
                <w:rFonts w:ascii="宋体" w:hAnsi="宋体" w:cs="宋体"/>
                <w:kern w:val="0"/>
                <w:szCs w:val="21"/>
              </w:rPr>
            </w:pPr>
            <w:r>
              <w:rPr>
                <w:rFonts w:hint="eastAsia" w:ascii="宋体" w:hAnsi="宋体" w:cs="宋体"/>
                <w:kern w:val="0"/>
                <w:szCs w:val="21"/>
              </w:rPr>
              <w:t>五层</w:t>
            </w:r>
          </w:p>
          <w:p>
            <w:pPr>
              <w:widowControl/>
              <w:jc w:val="center"/>
              <w:rPr>
                <w:rFonts w:ascii="宋体" w:hAnsi="宋体" w:cs="宋体"/>
                <w:szCs w:val="21"/>
              </w:rPr>
            </w:pPr>
            <w:r>
              <w:rPr>
                <w:rFonts w:hint="eastAsia" w:ascii="宋体" w:hAnsi="宋体" w:cs="宋体"/>
                <w:kern w:val="0"/>
                <w:szCs w:val="21"/>
              </w:rPr>
              <w:t>　</w:t>
            </w:r>
          </w:p>
        </w:tc>
        <w:tc>
          <w:tcPr>
            <w:tcW w:w="2889" w:type="dxa"/>
            <w:vAlign w:val="center"/>
          </w:tcPr>
          <w:p>
            <w:pPr>
              <w:widowControl/>
              <w:jc w:val="center"/>
              <w:rPr>
                <w:rFonts w:ascii="宋体" w:hAnsi="宋体" w:cs="宋体"/>
                <w:szCs w:val="21"/>
              </w:rPr>
            </w:pPr>
            <w:r>
              <w:rPr>
                <w:rFonts w:hint="eastAsia" w:ascii="宋体" w:hAnsi="宋体" w:cs="宋体"/>
                <w:kern w:val="0"/>
                <w:szCs w:val="21"/>
              </w:rPr>
              <w:t>手术室</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保洁加发放员1个</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Merge w:val="continue"/>
            <w:vAlign w:val="center"/>
          </w:tcPr>
          <w:p>
            <w:pPr>
              <w:widowControl/>
              <w:jc w:val="center"/>
              <w:rPr>
                <w:rFonts w:ascii="宋体" w:hAnsi="宋体" w:cs="宋体"/>
                <w:szCs w:val="21"/>
              </w:rPr>
            </w:pPr>
          </w:p>
        </w:tc>
        <w:tc>
          <w:tcPr>
            <w:tcW w:w="1027" w:type="dxa"/>
            <w:vMerge w:val="continue"/>
            <w:vAlign w:val="center"/>
          </w:tcPr>
          <w:p>
            <w:pPr>
              <w:widowControl/>
              <w:jc w:val="center"/>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静配室、信息科办及病区药房</w:t>
            </w:r>
          </w:p>
        </w:tc>
        <w:tc>
          <w:tcPr>
            <w:tcW w:w="1038" w:type="dxa"/>
            <w:vAlign w:val="center"/>
          </w:tcPr>
          <w:p>
            <w:pPr>
              <w:widowControl/>
              <w:jc w:val="center"/>
              <w:rPr>
                <w:rFonts w:ascii="宋体" w:hAnsi="宋体" w:cs="宋体"/>
                <w:szCs w:val="21"/>
              </w:rPr>
            </w:pPr>
            <w:r>
              <w:rPr>
                <w:rFonts w:hint="eastAsia" w:ascii="宋体" w:hAnsi="宋体" w:cs="宋体"/>
                <w:kern w:val="0"/>
                <w:szCs w:val="21"/>
              </w:rPr>
              <w:t>保洁</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p>
        </w:tc>
        <w:tc>
          <w:tcPr>
            <w:tcW w:w="1027" w:type="dxa"/>
            <w:vAlign w:val="center"/>
          </w:tcPr>
          <w:p>
            <w:pPr>
              <w:widowControl/>
              <w:jc w:val="center"/>
              <w:rPr>
                <w:rFonts w:ascii="宋体" w:hAnsi="宋体" w:cs="宋体"/>
                <w:szCs w:val="21"/>
              </w:rPr>
            </w:pPr>
          </w:p>
        </w:tc>
        <w:tc>
          <w:tcPr>
            <w:tcW w:w="2889" w:type="dxa"/>
            <w:vAlign w:val="center"/>
          </w:tcPr>
          <w:p>
            <w:pPr>
              <w:widowControl/>
              <w:jc w:val="center"/>
              <w:rPr>
                <w:rFonts w:ascii="宋体" w:hAnsi="宋体" w:cs="宋体"/>
                <w:szCs w:val="21"/>
              </w:rPr>
            </w:pPr>
          </w:p>
        </w:tc>
        <w:tc>
          <w:tcPr>
            <w:tcW w:w="1038" w:type="dxa"/>
            <w:vAlign w:val="center"/>
          </w:tcPr>
          <w:p>
            <w:pPr>
              <w:widowControl/>
              <w:jc w:val="center"/>
              <w:rPr>
                <w:rFonts w:ascii="宋体" w:hAnsi="宋体" w:cs="宋体"/>
                <w:szCs w:val="21"/>
              </w:rPr>
            </w:pPr>
            <w:r>
              <w:rPr>
                <w:rFonts w:hint="eastAsia" w:ascii="宋体" w:hAnsi="宋体" w:cs="宋体"/>
                <w:kern w:val="0"/>
                <w:szCs w:val="21"/>
              </w:rPr>
              <w:t>合计人数</w:t>
            </w:r>
          </w:p>
        </w:tc>
        <w:tc>
          <w:tcPr>
            <w:tcW w:w="1426" w:type="dxa"/>
            <w:gridSpan w:val="2"/>
            <w:vAlign w:val="center"/>
          </w:tcPr>
          <w:p>
            <w:pPr>
              <w:widowControl/>
              <w:jc w:val="center"/>
              <w:rPr>
                <w:rFonts w:ascii="宋体" w:hAnsi="宋体" w:cs="宋体"/>
                <w:szCs w:val="21"/>
              </w:rPr>
            </w:pPr>
            <w:r>
              <w:rPr>
                <w:rFonts w:hint="eastAsia" w:ascii="宋体" w:hAnsi="宋体" w:cs="宋体"/>
                <w:kern w:val="0"/>
                <w:szCs w:val="21"/>
              </w:rPr>
              <w:t>23.5</w:t>
            </w:r>
          </w:p>
        </w:tc>
        <w:tc>
          <w:tcPr>
            <w:tcW w:w="2159" w:type="dxa"/>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kern w:val="0"/>
                <w:szCs w:val="21"/>
              </w:rPr>
              <w:t>中医馆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序号</w:t>
            </w:r>
          </w:p>
        </w:tc>
        <w:tc>
          <w:tcPr>
            <w:tcW w:w="1027" w:type="dxa"/>
            <w:vAlign w:val="center"/>
          </w:tcPr>
          <w:p>
            <w:pPr>
              <w:widowControl/>
              <w:jc w:val="center"/>
              <w:rPr>
                <w:rFonts w:ascii="宋体" w:hAnsi="宋体" w:cs="宋体"/>
                <w:szCs w:val="21"/>
              </w:rPr>
            </w:pPr>
            <w:r>
              <w:rPr>
                <w:rFonts w:hint="eastAsia" w:ascii="宋体" w:hAnsi="宋体" w:cs="宋体"/>
                <w:kern w:val="0"/>
                <w:szCs w:val="21"/>
              </w:rPr>
              <w:t>楼层</w:t>
            </w:r>
          </w:p>
        </w:tc>
        <w:tc>
          <w:tcPr>
            <w:tcW w:w="2889" w:type="dxa"/>
            <w:vAlign w:val="center"/>
          </w:tcPr>
          <w:p>
            <w:pPr>
              <w:widowControl/>
              <w:jc w:val="center"/>
              <w:rPr>
                <w:rFonts w:ascii="宋体" w:hAnsi="宋体" w:cs="宋体"/>
                <w:szCs w:val="21"/>
              </w:rPr>
            </w:pPr>
            <w:r>
              <w:rPr>
                <w:rFonts w:hint="eastAsia" w:ascii="宋体" w:hAnsi="宋体" w:cs="宋体"/>
                <w:kern w:val="0"/>
                <w:szCs w:val="21"/>
              </w:rPr>
              <w:t>范围</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工作内容</w:t>
            </w:r>
          </w:p>
        </w:tc>
        <w:tc>
          <w:tcPr>
            <w:tcW w:w="1370" w:type="dxa"/>
            <w:vAlign w:val="center"/>
          </w:tcPr>
          <w:p>
            <w:pPr>
              <w:widowControl/>
              <w:jc w:val="center"/>
              <w:rPr>
                <w:rFonts w:ascii="宋体" w:hAnsi="宋体" w:cs="宋体"/>
                <w:szCs w:val="21"/>
              </w:rPr>
            </w:pPr>
            <w:r>
              <w:rPr>
                <w:rFonts w:hint="eastAsia" w:ascii="宋体" w:hAnsi="宋体" w:cs="宋体"/>
                <w:kern w:val="0"/>
                <w:szCs w:val="21"/>
              </w:rPr>
              <w:t>拟定配置</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Align w:val="center"/>
          </w:tcPr>
          <w:p>
            <w:pPr>
              <w:widowControl/>
              <w:jc w:val="center"/>
              <w:rPr>
                <w:rFonts w:ascii="宋体" w:hAnsi="宋体" w:cs="宋体"/>
                <w:szCs w:val="21"/>
              </w:rPr>
            </w:pPr>
            <w:r>
              <w:rPr>
                <w:rFonts w:hint="eastAsia" w:ascii="宋体" w:hAnsi="宋体" w:cs="宋体"/>
                <w:kern w:val="0"/>
                <w:szCs w:val="21"/>
              </w:rPr>
              <w:t>一层</w:t>
            </w:r>
          </w:p>
        </w:tc>
        <w:tc>
          <w:tcPr>
            <w:tcW w:w="2889" w:type="dxa"/>
            <w:vAlign w:val="center"/>
          </w:tcPr>
          <w:p>
            <w:pPr>
              <w:widowControl/>
              <w:jc w:val="center"/>
              <w:rPr>
                <w:rFonts w:ascii="宋体" w:hAnsi="宋体" w:cs="宋体"/>
                <w:szCs w:val="21"/>
              </w:rPr>
            </w:pPr>
            <w:r>
              <w:rPr>
                <w:rFonts w:hint="eastAsia" w:ascii="宋体" w:hAnsi="宋体" w:cs="宋体"/>
                <w:kern w:val="0"/>
                <w:szCs w:val="21"/>
              </w:rPr>
              <w:t>中医推拿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2</w:t>
            </w:r>
          </w:p>
        </w:tc>
        <w:tc>
          <w:tcPr>
            <w:tcW w:w="1027" w:type="dxa"/>
            <w:vAlign w:val="center"/>
          </w:tcPr>
          <w:p>
            <w:pPr>
              <w:widowControl/>
              <w:jc w:val="center"/>
              <w:rPr>
                <w:rFonts w:ascii="宋体" w:hAnsi="宋体" w:cs="宋体"/>
                <w:szCs w:val="21"/>
              </w:rPr>
            </w:pPr>
            <w:r>
              <w:rPr>
                <w:rFonts w:hint="eastAsia" w:ascii="宋体" w:hAnsi="宋体" w:cs="宋体"/>
                <w:kern w:val="0"/>
                <w:szCs w:val="21"/>
              </w:rPr>
              <w:t>二层</w:t>
            </w:r>
          </w:p>
        </w:tc>
        <w:tc>
          <w:tcPr>
            <w:tcW w:w="2889" w:type="dxa"/>
            <w:vAlign w:val="center"/>
          </w:tcPr>
          <w:p>
            <w:pPr>
              <w:widowControl/>
              <w:jc w:val="center"/>
              <w:rPr>
                <w:rFonts w:ascii="宋体" w:hAnsi="宋体" w:cs="宋体"/>
                <w:szCs w:val="21"/>
              </w:rPr>
            </w:pPr>
            <w:r>
              <w:rPr>
                <w:rFonts w:hint="eastAsia" w:ascii="宋体" w:hAnsi="宋体" w:cs="宋体"/>
                <w:kern w:val="0"/>
                <w:szCs w:val="21"/>
              </w:rPr>
              <w:t>针灸</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3</w:t>
            </w:r>
          </w:p>
        </w:tc>
        <w:tc>
          <w:tcPr>
            <w:tcW w:w="1027" w:type="dxa"/>
            <w:vAlign w:val="center"/>
          </w:tcPr>
          <w:p>
            <w:pPr>
              <w:widowControl/>
              <w:jc w:val="center"/>
              <w:rPr>
                <w:rFonts w:ascii="宋体" w:hAnsi="宋体" w:cs="宋体"/>
                <w:szCs w:val="21"/>
              </w:rPr>
            </w:pPr>
            <w:r>
              <w:rPr>
                <w:rFonts w:hint="eastAsia" w:ascii="宋体" w:hAnsi="宋体" w:cs="宋体"/>
                <w:kern w:val="0"/>
                <w:szCs w:val="21"/>
              </w:rPr>
              <w:t>三层</w:t>
            </w:r>
          </w:p>
        </w:tc>
        <w:tc>
          <w:tcPr>
            <w:tcW w:w="2889" w:type="dxa"/>
            <w:vAlign w:val="center"/>
          </w:tcPr>
          <w:p>
            <w:pPr>
              <w:widowControl/>
              <w:jc w:val="center"/>
              <w:rPr>
                <w:rFonts w:ascii="宋体" w:hAnsi="宋体" w:cs="宋体"/>
                <w:szCs w:val="21"/>
              </w:rPr>
            </w:pPr>
            <w:r>
              <w:rPr>
                <w:rFonts w:hint="eastAsia" w:ascii="宋体" w:hAnsi="宋体" w:cs="宋体"/>
                <w:kern w:val="0"/>
                <w:szCs w:val="21"/>
              </w:rPr>
              <w:t>中医门诊</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4</w:t>
            </w:r>
          </w:p>
        </w:tc>
        <w:tc>
          <w:tcPr>
            <w:tcW w:w="1027" w:type="dxa"/>
            <w:vAlign w:val="center"/>
          </w:tcPr>
          <w:p>
            <w:pPr>
              <w:widowControl/>
              <w:jc w:val="center"/>
              <w:rPr>
                <w:rFonts w:ascii="宋体" w:hAnsi="宋体" w:cs="宋体"/>
                <w:szCs w:val="21"/>
              </w:rPr>
            </w:pPr>
            <w:r>
              <w:rPr>
                <w:rFonts w:hint="eastAsia" w:ascii="宋体" w:hAnsi="宋体" w:cs="宋体"/>
                <w:kern w:val="0"/>
                <w:szCs w:val="21"/>
              </w:rPr>
              <w:t>四层</w:t>
            </w:r>
          </w:p>
        </w:tc>
        <w:tc>
          <w:tcPr>
            <w:tcW w:w="2889" w:type="dxa"/>
            <w:vAlign w:val="center"/>
          </w:tcPr>
          <w:p>
            <w:pPr>
              <w:widowControl/>
              <w:jc w:val="center"/>
              <w:rPr>
                <w:rFonts w:ascii="宋体" w:hAnsi="宋体" w:cs="宋体"/>
                <w:szCs w:val="21"/>
              </w:rPr>
            </w:pPr>
            <w:r>
              <w:rPr>
                <w:rFonts w:hint="eastAsia" w:ascii="宋体" w:hAnsi="宋体" w:cs="宋体"/>
                <w:kern w:val="0"/>
                <w:szCs w:val="21"/>
              </w:rPr>
              <w:t>报告厅</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　</w:t>
            </w:r>
          </w:p>
        </w:tc>
        <w:tc>
          <w:tcPr>
            <w:tcW w:w="1027" w:type="dxa"/>
            <w:vAlign w:val="center"/>
          </w:tcPr>
          <w:p>
            <w:pPr>
              <w:widowControl/>
              <w:jc w:val="center"/>
              <w:rPr>
                <w:rFonts w:ascii="宋体" w:hAnsi="宋体" w:cs="宋体"/>
                <w:szCs w:val="21"/>
              </w:rPr>
            </w:pPr>
            <w:r>
              <w:rPr>
                <w:rFonts w:hint="eastAsia" w:ascii="宋体" w:hAnsi="宋体" w:cs="宋体"/>
                <w:kern w:val="0"/>
                <w:szCs w:val="21"/>
              </w:rPr>
              <w:t>　</w:t>
            </w:r>
          </w:p>
        </w:tc>
        <w:tc>
          <w:tcPr>
            <w:tcW w:w="2889" w:type="dxa"/>
            <w:vAlign w:val="center"/>
          </w:tcPr>
          <w:p>
            <w:pPr>
              <w:widowControl/>
              <w:jc w:val="center"/>
              <w:rPr>
                <w:rFonts w:ascii="宋体" w:hAnsi="宋体" w:cs="宋体"/>
                <w:szCs w:val="21"/>
              </w:rPr>
            </w:pPr>
            <w:r>
              <w:rPr>
                <w:rFonts w:hint="eastAsia" w:ascii="宋体" w:hAnsi="宋体" w:cs="宋体"/>
                <w:kern w:val="0"/>
                <w:szCs w:val="21"/>
              </w:rPr>
              <w:t>　</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合计人数</w:t>
            </w:r>
          </w:p>
        </w:tc>
        <w:tc>
          <w:tcPr>
            <w:tcW w:w="1370" w:type="dxa"/>
            <w:vAlign w:val="center"/>
          </w:tcPr>
          <w:p>
            <w:pPr>
              <w:widowControl/>
              <w:jc w:val="center"/>
              <w:rPr>
                <w:rFonts w:ascii="宋体" w:hAnsi="宋体" w:cs="宋体"/>
                <w:szCs w:val="21"/>
              </w:rPr>
            </w:pPr>
            <w:r>
              <w:rPr>
                <w:rFonts w:hint="eastAsia" w:ascii="宋体" w:hAnsi="宋体" w:cs="宋体"/>
                <w:kern w:val="0"/>
                <w:szCs w:val="21"/>
              </w:rPr>
              <w:t>2.5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kern w:val="0"/>
                <w:szCs w:val="21"/>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序号</w:t>
            </w:r>
          </w:p>
        </w:tc>
        <w:tc>
          <w:tcPr>
            <w:tcW w:w="1027" w:type="dxa"/>
            <w:vAlign w:val="center"/>
          </w:tcPr>
          <w:p>
            <w:pPr>
              <w:widowControl/>
              <w:jc w:val="center"/>
              <w:rPr>
                <w:rFonts w:ascii="宋体" w:hAnsi="宋体" w:cs="宋体"/>
                <w:szCs w:val="21"/>
              </w:rPr>
            </w:pPr>
            <w:r>
              <w:rPr>
                <w:rFonts w:hint="eastAsia" w:ascii="宋体" w:hAnsi="宋体" w:cs="宋体"/>
                <w:kern w:val="0"/>
                <w:szCs w:val="21"/>
              </w:rPr>
              <w:t>楼层</w:t>
            </w:r>
          </w:p>
        </w:tc>
        <w:tc>
          <w:tcPr>
            <w:tcW w:w="2889" w:type="dxa"/>
            <w:vAlign w:val="center"/>
          </w:tcPr>
          <w:p>
            <w:pPr>
              <w:widowControl/>
              <w:jc w:val="center"/>
              <w:rPr>
                <w:rFonts w:ascii="宋体" w:hAnsi="宋体" w:cs="宋体"/>
                <w:szCs w:val="21"/>
              </w:rPr>
            </w:pPr>
            <w:r>
              <w:rPr>
                <w:rFonts w:hint="eastAsia" w:ascii="宋体" w:hAnsi="宋体" w:cs="宋体"/>
                <w:kern w:val="0"/>
                <w:szCs w:val="21"/>
              </w:rPr>
              <w:t>范围</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工作内容</w:t>
            </w:r>
          </w:p>
        </w:tc>
        <w:tc>
          <w:tcPr>
            <w:tcW w:w="1370" w:type="dxa"/>
            <w:vAlign w:val="center"/>
          </w:tcPr>
          <w:p>
            <w:pPr>
              <w:widowControl/>
              <w:jc w:val="center"/>
              <w:rPr>
                <w:rFonts w:ascii="宋体" w:hAnsi="宋体" w:cs="宋体"/>
                <w:szCs w:val="21"/>
              </w:rPr>
            </w:pPr>
            <w:r>
              <w:rPr>
                <w:rFonts w:hint="eastAsia" w:ascii="宋体" w:hAnsi="宋体" w:cs="宋体"/>
                <w:kern w:val="0"/>
                <w:szCs w:val="21"/>
              </w:rPr>
              <w:t>拟定配置</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Align w:val="center"/>
          </w:tcPr>
          <w:p>
            <w:pPr>
              <w:widowControl/>
              <w:jc w:val="center"/>
              <w:rPr>
                <w:rFonts w:ascii="宋体" w:hAnsi="宋体" w:cs="宋体"/>
                <w:szCs w:val="21"/>
              </w:rPr>
            </w:pPr>
            <w:r>
              <w:rPr>
                <w:rFonts w:hint="eastAsia" w:ascii="宋体" w:hAnsi="宋体" w:cs="宋体"/>
                <w:kern w:val="0"/>
                <w:szCs w:val="21"/>
              </w:rPr>
              <w:t>一层</w:t>
            </w:r>
          </w:p>
        </w:tc>
        <w:tc>
          <w:tcPr>
            <w:tcW w:w="2889" w:type="dxa"/>
            <w:vAlign w:val="center"/>
          </w:tcPr>
          <w:p>
            <w:pPr>
              <w:widowControl/>
              <w:jc w:val="center"/>
              <w:rPr>
                <w:rFonts w:ascii="宋体" w:hAnsi="宋体" w:cs="宋体"/>
                <w:szCs w:val="21"/>
              </w:rPr>
            </w:pPr>
            <w:r>
              <w:rPr>
                <w:rFonts w:hint="eastAsia" w:ascii="宋体" w:hAnsi="宋体" w:cs="宋体"/>
                <w:kern w:val="0"/>
                <w:szCs w:val="21"/>
              </w:rPr>
              <w:t>医美中心+电梯厅</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2</w:t>
            </w:r>
          </w:p>
        </w:tc>
        <w:tc>
          <w:tcPr>
            <w:tcW w:w="1027" w:type="dxa"/>
            <w:vAlign w:val="center"/>
          </w:tcPr>
          <w:p>
            <w:pPr>
              <w:widowControl/>
              <w:jc w:val="center"/>
              <w:rPr>
                <w:rFonts w:ascii="宋体" w:hAnsi="宋体" w:cs="宋体"/>
                <w:szCs w:val="21"/>
              </w:rPr>
            </w:pPr>
            <w:r>
              <w:rPr>
                <w:rFonts w:hint="eastAsia" w:ascii="宋体" w:hAnsi="宋体" w:cs="宋体"/>
                <w:kern w:val="0"/>
                <w:szCs w:val="21"/>
              </w:rPr>
              <w:t>二层</w:t>
            </w:r>
          </w:p>
        </w:tc>
        <w:tc>
          <w:tcPr>
            <w:tcW w:w="2889" w:type="dxa"/>
            <w:vAlign w:val="center"/>
          </w:tcPr>
          <w:p>
            <w:pPr>
              <w:widowControl/>
              <w:jc w:val="center"/>
              <w:rPr>
                <w:rFonts w:ascii="宋体" w:hAnsi="宋体" w:cs="宋体"/>
                <w:szCs w:val="21"/>
              </w:rPr>
            </w:pPr>
            <w:r>
              <w:rPr>
                <w:rFonts w:hint="eastAsia" w:ascii="宋体" w:hAnsi="宋体" w:cs="宋体"/>
                <w:kern w:val="0"/>
                <w:szCs w:val="21"/>
              </w:rPr>
              <w:t>治未病中心+心理门诊+颈肩腰腿疼</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3</w:t>
            </w:r>
          </w:p>
        </w:tc>
        <w:tc>
          <w:tcPr>
            <w:tcW w:w="1027" w:type="dxa"/>
            <w:vAlign w:val="center"/>
          </w:tcPr>
          <w:p>
            <w:pPr>
              <w:widowControl/>
              <w:jc w:val="center"/>
              <w:rPr>
                <w:rFonts w:ascii="宋体" w:hAnsi="宋体" w:cs="宋体"/>
                <w:szCs w:val="21"/>
              </w:rPr>
            </w:pPr>
            <w:r>
              <w:rPr>
                <w:rFonts w:hint="eastAsia" w:ascii="宋体" w:hAnsi="宋体" w:cs="宋体"/>
                <w:kern w:val="0"/>
                <w:szCs w:val="21"/>
              </w:rPr>
              <w:t>三层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男性科、皮肤、盆底</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4</w:t>
            </w:r>
          </w:p>
        </w:tc>
        <w:tc>
          <w:tcPr>
            <w:tcW w:w="1027" w:type="dxa"/>
            <w:vAlign w:val="center"/>
          </w:tcPr>
          <w:p>
            <w:pPr>
              <w:widowControl/>
              <w:jc w:val="center"/>
              <w:rPr>
                <w:rFonts w:ascii="宋体" w:hAnsi="宋体" w:cs="宋体"/>
                <w:szCs w:val="21"/>
              </w:rPr>
            </w:pPr>
            <w:r>
              <w:rPr>
                <w:rFonts w:hint="eastAsia" w:ascii="宋体" w:hAnsi="宋体" w:cs="宋体"/>
                <w:kern w:val="0"/>
                <w:szCs w:val="21"/>
              </w:rPr>
              <w:t>四层</w:t>
            </w:r>
          </w:p>
        </w:tc>
        <w:tc>
          <w:tcPr>
            <w:tcW w:w="2889" w:type="dxa"/>
            <w:vAlign w:val="center"/>
          </w:tcPr>
          <w:p>
            <w:pPr>
              <w:widowControl/>
              <w:jc w:val="center"/>
              <w:rPr>
                <w:rFonts w:ascii="宋体" w:hAnsi="宋体" w:cs="宋体"/>
                <w:szCs w:val="21"/>
              </w:rPr>
            </w:pPr>
            <w:r>
              <w:rPr>
                <w:rFonts w:hint="eastAsia" w:ascii="宋体" w:hAnsi="宋体" w:cs="宋体"/>
                <w:kern w:val="0"/>
                <w:szCs w:val="21"/>
              </w:rPr>
              <w:t>行政4楼各办公室</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5</w:t>
            </w:r>
          </w:p>
        </w:tc>
        <w:tc>
          <w:tcPr>
            <w:tcW w:w="1027" w:type="dxa"/>
            <w:vAlign w:val="center"/>
          </w:tcPr>
          <w:p>
            <w:pPr>
              <w:widowControl/>
              <w:jc w:val="center"/>
              <w:rPr>
                <w:rFonts w:ascii="宋体" w:hAnsi="宋体" w:cs="宋体"/>
                <w:szCs w:val="21"/>
              </w:rPr>
            </w:pPr>
            <w:r>
              <w:rPr>
                <w:rFonts w:hint="eastAsia" w:ascii="宋体" w:hAnsi="宋体" w:cs="宋体"/>
                <w:kern w:val="0"/>
                <w:szCs w:val="21"/>
              </w:rPr>
              <w:t>五层</w:t>
            </w:r>
          </w:p>
        </w:tc>
        <w:tc>
          <w:tcPr>
            <w:tcW w:w="2889" w:type="dxa"/>
            <w:vAlign w:val="center"/>
          </w:tcPr>
          <w:p>
            <w:pPr>
              <w:widowControl/>
              <w:jc w:val="center"/>
              <w:rPr>
                <w:rFonts w:ascii="宋体" w:hAnsi="宋体" w:cs="宋体"/>
                <w:szCs w:val="21"/>
              </w:rPr>
            </w:pPr>
            <w:r>
              <w:rPr>
                <w:rFonts w:hint="eastAsia" w:ascii="宋体" w:hAnsi="宋体" w:cs="宋体"/>
                <w:kern w:val="0"/>
                <w:szCs w:val="21"/>
              </w:rPr>
              <w:t>行政5楼各办公室</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6</w:t>
            </w:r>
          </w:p>
        </w:tc>
        <w:tc>
          <w:tcPr>
            <w:tcW w:w="1027" w:type="dxa"/>
            <w:vAlign w:val="center"/>
          </w:tcPr>
          <w:p>
            <w:pPr>
              <w:widowControl/>
              <w:jc w:val="center"/>
              <w:rPr>
                <w:rFonts w:ascii="宋体" w:hAnsi="宋体" w:cs="宋体"/>
                <w:szCs w:val="21"/>
              </w:rPr>
            </w:pPr>
            <w:r>
              <w:rPr>
                <w:rFonts w:hint="eastAsia" w:ascii="宋体" w:hAnsi="宋体" w:cs="宋体"/>
                <w:kern w:val="0"/>
                <w:szCs w:val="21"/>
              </w:rPr>
              <w:t>六层</w:t>
            </w:r>
          </w:p>
        </w:tc>
        <w:tc>
          <w:tcPr>
            <w:tcW w:w="2889" w:type="dxa"/>
            <w:vAlign w:val="center"/>
          </w:tcPr>
          <w:p>
            <w:pPr>
              <w:widowControl/>
              <w:jc w:val="center"/>
              <w:rPr>
                <w:rFonts w:ascii="宋体" w:hAnsi="宋体" w:cs="宋体"/>
                <w:szCs w:val="21"/>
              </w:rPr>
            </w:pPr>
            <w:r>
              <w:rPr>
                <w:rFonts w:hint="eastAsia" w:ascii="宋体" w:hAnsi="宋体" w:cs="宋体"/>
                <w:kern w:val="0"/>
                <w:szCs w:val="21"/>
              </w:rPr>
              <w:t>行政6楼办公室+宿舍+总务办</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7</w:t>
            </w:r>
          </w:p>
        </w:tc>
        <w:tc>
          <w:tcPr>
            <w:tcW w:w="1027" w:type="dxa"/>
            <w:vAlign w:val="center"/>
          </w:tcPr>
          <w:p>
            <w:pPr>
              <w:widowControl/>
              <w:jc w:val="center"/>
              <w:rPr>
                <w:rFonts w:ascii="宋体" w:hAnsi="宋体" w:cs="宋体"/>
                <w:szCs w:val="21"/>
              </w:rPr>
            </w:pPr>
            <w:r>
              <w:rPr>
                <w:rFonts w:hint="eastAsia" w:ascii="宋体" w:hAnsi="宋体" w:cs="宋体"/>
                <w:kern w:val="0"/>
                <w:szCs w:val="21"/>
              </w:rPr>
              <w:t>七层</w:t>
            </w:r>
          </w:p>
        </w:tc>
        <w:tc>
          <w:tcPr>
            <w:tcW w:w="2889" w:type="dxa"/>
            <w:vAlign w:val="center"/>
          </w:tcPr>
          <w:p>
            <w:pPr>
              <w:widowControl/>
              <w:jc w:val="center"/>
              <w:rPr>
                <w:rFonts w:ascii="宋体" w:hAnsi="宋体" w:cs="宋体"/>
                <w:szCs w:val="21"/>
              </w:rPr>
            </w:pPr>
            <w:r>
              <w:rPr>
                <w:rFonts w:hint="eastAsia" w:ascii="宋体" w:hAnsi="宋体" w:cs="宋体"/>
                <w:kern w:val="0"/>
                <w:szCs w:val="21"/>
              </w:rPr>
              <w:t>技能中心+办公室</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　</w:t>
            </w:r>
          </w:p>
        </w:tc>
        <w:tc>
          <w:tcPr>
            <w:tcW w:w="1027" w:type="dxa"/>
            <w:vAlign w:val="center"/>
          </w:tcPr>
          <w:p>
            <w:pPr>
              <w:widowControl/>
              <w:jc w:val="center"/>
              <w:rPr>
                <w:rFonts w:ascii="宋体" w:hAnsi="宋体" w:cs="宋体"/>
                <w:szCs w:val="21"/>
              </w:rPr>
            </w:pPr>
            <w:r>
              <w:rPr>
                <w:rFonts w:hint="eastAsia" w:ascii="宋体" w:hAnsi="宋体" w:cs="宋体"/>
                <w:kern w:val="0"/>
                <w:szCs w:val="21"/>
              </w:rPr>
              <w:t>　</w:t>
            </w:r>
          </w:p>
        </w:tc>
        <w:tc>
          <w:tcPr>
            <w:tcW w:w="2889" w:type="dxa"/>
            <w:vAlign w:val="center"/>
          </w:tcPr>
          <w:p>
            <w:pPr>
              <w:widowControl/>
              <w:jc w:val="center"/>
              <w:rPr>
                <w:rFonts w:ascii="宋体" w:hAnsi="宋体" w:cs="宋体"/>
                <w:szCs w:val="21"/>
              </w:rPr>
            </w:pPr>
            <w:r>
              <w:rPr>
                <w:rFonts w:hint="eastAsia" w:ascii="宋体" w:hAnsi="宋体" w:cs="宋体"/>
                <w:kern w:val="0"/>
                <w:szCs w:val="21"/>
              </w:rPr>
              <w:t>　</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合计人数</w:t>
            </w:r>
          </w:p>
        </w:tc>
        <w:tc>
          <w:tcPr>
            <w:tcW w:w="1370" w:type="dxa"/>
            <w:vAlign w:val="center"/>
          </w:tcPr>
          <w:p>
            <w:pPr>
              <w:widowControl/>
              <w:jc w:val="center"/>
              <w:rPr>
                <w:rFonts w:ascii="宋体" w:hAnsi="宋体" w:cs="宋体"/>
                <w:szCs w:val="21"/>
              </w:rPr>
            </w:pPr>
            <w:r>
              <w:rPr>
                <w:rFonts w:hint="eastAsia" w:ascii="宋体" w:hAnsi="宋体" w:cs="宋体"/>
                <w:kern w:val="0"/>
                <w:szCs w:val="21"/>
              </w:rPr>
              <w:t>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kern w:val="0"/>
                <w:szCs w:val="21"/>
              </w:rPr>
              <w:t>住院楼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序号</w:t>
            </w:r>
          </w:p>
        </w:tc>
        <w:tc>
          <w:tcPr>
            <w:tcW w:w="1027" w:type="dxa"/>
            <w:vAlign w:val="center"/>
          </w:tcPr>
          <w:p>
            <w:pPr>
              <w:widowControl/>
              <w:jc w:val="center"/>
              <w:rPr>
                <w:rFonts w:ascii="宋体" w:hAnsi="宋体" w:cs="宋体"/>
                <w:szCs w:val="21"/>
              </w:rPr>
            </w:pPr>
            <w:r>
              <w:rPr>
                <w:rFonts w:hint="eastAsia" w:ascii="宋体" w:hAnsi="宋体" w:cs="宋体"/>
                <w:kern w:val="0"/>
                <w:szCs w:val="21"/>
              </w:rPr>
              <w:t>楼层</w:t>
            </w:r>
          </w:p>
        </w:tc>
        <w:tc>
          <w:tcPr>
            <w:tcW w:w="2889" w:type="dxa"/>
            <w:vAlign w:val="center"/>
          </w:tcPr>
          <w:p>
            <w:pPr>
              <w:widowControl/>
              <w:jc w:val="center"/>
              <w:rPr>
                <w:rFonts w:ascii="宋体" w:hAnsi="宋体" w:cs="宋体"/>
                <w:szCs w:val="21"/>
              </w:rPr>
            </w:pPr>
            <w:r>
              <w:rPr>
                <w:rFonts w:hint="eastAsia" w:ascii="宋体" w:hAnsi="宋体" w:cs="宋体"/>
                <w:kern w:val="0"/>
                <w:szCs w:val="21"/>
              </w:rPr>
              <w:t>范围</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工作内容</w:t>
            </w:r>
          </w:p>
        </w:tc>
        <w:tc>
          <w:tcPr>
            <w:tcW w:w="1370" w:type="dxa"/>
            <w:vAlign w:val="center"/>
          </w:tcPr>
          <w:p>
            <w:pPr>
              <w:widowControl/>
              <w:jc w:val="center"/>
              <w:rPr>
                <w:rFonts w:ascii="宋体" w:hAnsi="宋体" w:cs="宋体"/>
                <w:szCs w:val="21"/>
              </w:rPr>
            </w:pPr>
            <w:r>
              <w:rPr>
                <w:rFonts w:hint="eastAsia" w:ascii="宋体" w:hAnsi="宋体" w:cs="宋体"/>
                <w:kern w:val="0"/>
                <w:szCs w:val="21"/>
              </w:rPr>
              <w:t>拟定配置</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Align w:val="center"/>
          </w:tcPr>
          <w:p>
            <w:pPr>
              <w:widowControl/>
              <w:jc w:val="center"/>
              <w:rPr>
                <w:rFonts w:ascii="宋体" w:hAnsi="宋体" w:cs="宋体"/>
                <w:szCs w:val="21"/>
              </w:rPr>
            </w:pPr>
            <w:r>
              <w:rPr>
                <w:rFonts w:hint="eastAsia" w:ascii="宋体" w:hAnsi="宋体" w:cs="宋体"/>
                <w:kern w:val="0"/>
                <w:szCs w:val="21"/>
              </w:rPr>
              <w:t>六层</w:t>
            </w:r>
          </w:p>
        </w:tc>
        <w:tc>
          <w:tcPr>
            <w:tcW w:w="2889" w:type="dxa"/>
            <w:vAlign w:val="center"/>
          </w:tcPr>
          <w:p>
            <w:pPr>
              <w:widowControl/>
              <w:jc w:val="center"/>
              <w:rPr>
                <w:rFonts w:ascii="宋体" w:hAnsi="宋体" w:cs="宋体"/>
                <w:szCs w:val="21"/>
              </w:rPr>
            </w:pPr>
            <w:r>
              <w:rPr>
                <w:rFonts w:hint="eastAsia" w:ascii="宋体" w:hAnsi="宋体" w:cs="宋体"/>
                <w:kern w:val="0"/>
                <w:szCs w:val="21"/>
              </w:rPr>
              <w:t>产科</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2</w:t>
            </w:r>
          </w:p>
        </w:tc>
        <w:tc>
          <w:tcPr>
            <w:tcW w:w="1027" w:type="dxa"/>
            <w:vAlign w:val="center"/>
          </w:tcPr>
          <w:p>
            <w:pPr>
              <w:widowControl/>
              <w:jc w:val="center"/>
              <w:rPr>
                <w:rFonts w:ascii="宋体" w:hAnsi="宋体" w:cs="宋体"/>
                <w:szCs w:val="21"/>
              </w:rPr>
            </w:pPr>
            <w:r>
              <w:rPr>
                <w:rFonts w:hint="eastAsia" w:ascii="宋体" w:hAnsi="宋体" w:cs="宋体"/>
                <w:kern w:val="0"/>
                <w:szCs w:val="21"/>
              </w:rPr>
              <w:t>七层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病房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3</w:t>
            </w:r>
          </w:p>
        </w:tc>
        <w:tc>
          <w:tcPr>
            <w:tcW w:w="1027" w:type="dxa"/>
            <w:vAlign w:val="center"/>
          </w:tcPr>
          <w:p>
            <w:pPr>
              <w:widowControl/>
              <w:jc w:val="center"/>
              <w:rPr>
                <w:rFonts w:ascii="宋体" w:hAnsi="宋体" w:cs="宋体"/>
                <w:szCs w:val="21"/>
              </w:rPr>
            </w:pPr>
            <w:r>
              <w:rPr>
                <w:rFonts w:hint="eastAsia" w:ascii="宋体" w:hAnsi="宋体" w:cs="宋体"/>
                <w:kern w:val="0"/>
                <w:szCs w:val="21"/>
              </w:rPr>
              <w:t>八层</w:t>
            </w:r>
          </w:p>
        </w:tc>
        <w:tc>
          <w:tcPr>
            <w:tcW w:w="2889" w:type="dxa"/>
            <w:vAlign w:val="center"/>
          </w:tcPr>
          <w:p>
            <w:pPr>
              <w:widowControl/>
              <w:jc w:val="center"/>
              <w:rPr>
                <w:rFonts w:ascii="宋体" w:hAnsi="宋体" w:cs="宋体"/>
                <w:szCs w:val="21"/>
              </w:rPr>
            </w:pPr>
            <w:r>
              <w:rPr>
                <w:rFonts w:hint="eastAsia" w:ascii="宋体" w:hAnsi="宋体" w:cs="宋体"/>
                <w:kern w:val="0"/>
                <w:szCs w:val="21"/>
              </w:rPr>
              <w:t>康复科</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4</w:t>
            </w:r>
          </w:p>
        </w:tc>
        <w:tc>
          <w:tcPr>
            <w:tcW w:w="1027" w:type="dxa"/>
            <w:vAlign w:val="center"/>
          </w:tcPr>
          <w:p>
            <w:pPr>
              <w:widowControl/>
              <w:jc w:val="center"/>
              <w:rPr>
                <w:rFonts w:ascii="宋体" w:hAnsi="宋体" w:cs="宋体"/>
                <w:szCs w:val="21"/>
              </w:rPr>
            </w:pPr>
            <w:r>
              <w:rPr>
                <w:rFonts w:hint="eastAsia" w:ascii="宋体" w:hAnsi="宋体" w:cs="宋体"/>
                <w:kern w:val="0"/>
                <w:szCs w:val="21"/>
              </w:rPr>
              <w:t>九层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病房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5</w:t>
            </w:r>
          </w:p>
        </w:tc>
        <w:tc>
          <w:tcPr>
            <w:tcW w:w="1027" w:type="dxa"/>
            <w:vAlign w:val="center"/>
          </w:tcPr>
          <w:p>
            <w:pPr>
              <w:widowControl/>
              <w:jc w:val="center"/>
              <w:rPr>
                <w:rFonts w:ascii="宋体" w:hAnsi="宋体" w:cs="宋体"/>
                <w:szCs w:val="21"/>
              </w:rPr>
            </w:pPr>
            <w:r>
              <w:rPr>
                <w:rFonts w:hint="eastAsia" w:ascii="宋体" w:hAnsi="宋体" w:cs="宋体"/>
                <w:kern w:val="0"/>
                <w:szCs w:val="21"/>
              </w:rPr>
              <w:t>十层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病房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6</w:t>
            </w:r>
          </w:p>
        </w:tc>
        <w:tc>
          <w:tcPr>
            <w:tcW w:w="1027" w:type="dxa"/>
            <w:vAlign w:val="center"/>
          </w:tcPr>
          <w:p>
            <w:pPr>
              <w:widowControl/>
              <w:jc w:val="center"/>
              <w:rPr>
                <w:rFonts w:ascii="宋体" w:hAnsi="宋体" w:cs="宋体"/>
                <w:szCs w:val="21"/>
              </w:rPr>
            </w:pPr>
            <w:r>
              <w:rPr>
                <w:rFonts w:hint="eastAsia" w:ascii="宋体" w:hAnsi="宋体" w:cs="宋体"/>
                <w:kern w:val="0"/>
                <w:szCs w:val="21"/>
              </w:rPr>
              <w:t>十一层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病房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7</w:t>
            </w:r>
          </w:p>
        </w:tc>
        <w:tc>
          <w:tcPr>
            <w:tcW w:w="1027" w:type="dxa"/>
            <w:vAlign w:val="center"/>
          </w:tcPr>
          <w:p>
            <w:pPr>
              <w:widowControl/>
              <w:jc w:val="center"/>
              <w:rPr>
                <w:rFonts w:ascii="宋体" w:hAnsi="宋体" w:cs="宋体"/>
                <w:szCs w:val="21"/>
              </w:rPr>
            </w:pPr>
            <w:r>
              <w:rPr>
                <w:rFonts w:hint="eastAsia" w:ascii="宋体" w:hAnsi="宋体" w:cs="宋体"/>
                <w:kern w:val="0"/>
                <w:szCs w:val="21"/>
              </w:rPr>
              <w:t>十二层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病房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8</w:t>
            </w:r>
          </w:p>
        </w:tc>
        <w:tc>
          <w:tcPr>
            <w:tcW w:w="1027" w:type="dxa"/>
            <w:vAlign w:val="center"/>
          </w:tcPr>
          <w:p>
            <w:pPr>
              <w:widowControl/>
              <w:jc w:val="center"/>
              <w:rPr>
                <w:rFonts w:ascii="宋体" w:hAnsi="宋体" w:cs="宋体"/>
                <w:szCs w:val="21"/>
              </w:rPr>
            </w:pPr>
            <w:r>
              <w:rPr>
                <w:rFonts w:hint="eastAsia" w:ascii="宋体" w:hAnsi="宋体" w:cs="宋体"/>
                <w:kern w:val="0"/>
                <w:szCs w:val="21"/>
              </w:rPr>
              <w:t>十三层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病房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9</w:t>
            </w:r>
          </w:p>
        </w:tc>
        <w:tc>
          <w:tcPr>
            <w:tcW w:w="1027" w:type="dxa"/>
            <w:vAlign w:val="center"/>
          </w:tcPr>
          <w:p>
            <w:pPr>
              <w:widowControl/>
              <w:jc w:val="center"/>
              <w:rPr>
                <w:rFonts w:ascii="宋体" w:hAnsi="宋体" w:cs="宋体"/>
                <w:szCs w:val="21"/>
              </w:rPr>
            </w:pPr>
            <w:r>
              <w:rPr>
                <w:rFonts w:hint="eastAsia" w:ascii="宋体" w:hAnsi="宋体" w:cs="宋体"/>
                <w:kern w:val="0"/>
                <w:szCs w:val="21"/>
              </w:rPr>
              <w:t>十四层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病房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10</w:t>
            </w:r>
          </w:p>
        </w:tc>
        <w:tc>
          <w:tcPr>
            <w:tcW w:w="1027" w:type="dxa"/>
            <w:vAlign w:val="center"/>
          </w:tcPr>
          <w:p>
            <w:pPr>
              <w:widowControl/>
              <w:jc w:val="center"/>
              <w:rPr>
                <w:rFonts w:ascii="宋体" w:hAnsi="宋体" w:cs="宋体"/>
                <w:szCs w:val="21"/>
              </w:rPr>
            </w:pPr>
            <w:r>
              <w:rPr>
                <w:rFonts w:hint="eastAsia" w:ascii="宋体" w:hAnsi="宋体" w:cs="宋体"/>
                <w:kern w:val="0"/>
                <w:szCs w:val="21"/>
              </w:rPr>
              <w:t>十五层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病房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11</w:t>
            </w:r>
          </w:p>
        </w:tc>
        <w:tc>
          <w:tcPr>
            <w:tcW w:w="1027" w:type="dxa"/>
            <w:vAlign w:val="center"/>
          </w:tcPr>
          <w:p>
            <w:pPr>
              <w:widowControl/>
              <w:jc w:val="center"/>
              <w:rPr>
                <w:rFonts w:ascii="宋体" w:hAnsi="宋体" w:cs="宋体"/>
                <w:szCs w:val="21"/>
              </w:rPr>
            </w:pPr>
            <w:r>
              <w:rPr>
                <w:rFonts w:hint="eastAsia" w:ascii="宋体" w:hAnsi="宋体" w:cs="宋体"/>
                <w:kern w:val="0"/>
                <w:szCs w:val="21"/>
              </w:rPr>
              <w:t>十六层</w:t>
            </w:r>
          </w:p>
        </w:tc>
        <w:tc>
          <w:tcPr>
            <w:tcW w:w="2889" w:type="dxa"/>
            <w:vAlign w:val="center"/>
          </w:tcPr>
          <w:p>
            <w:pPr>
              <w:widowControl/>
              <w:jc w:val="center"/>
              <w:rPr>
                <w:rFonts w:ascii="宋体" w:hAnsi="宋体" w:cs="宋体"/>
                <w:szCs w:val="21"/>
              </w:rPr>
            </w:pPr>
            <w:r>
              <w:rPr>
                <w:rFonts w:hint="eastAsia" w:ascii="宋体" w:hAnsi="宋体" w:cs="宋体"/>
                <w:kern w:val="0"/>
                <w:szCs w:val="21"/>
              </w:rPr>
              <w:t>病房</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根据实际开科后付款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　</w:t>
            </w:r>
          </w:p>
        </w:tc>
        <w:tc>
          <w:tcPr>
            <w:tcW w:w="1027" w:type="dxa"/>
            <w:vAlign w:val="center"/>
          </w:tcPr>
          <w:p>
            <w:pPr>
              <w:widowControl/>
              <w:jc w:val="center"/>
              <w:rPr>
                <w:rFonts w:ascii="宋体" w:hAnsi="宋体" w:cs="宋体"/>
                <w:szCs w:val="21"/>
              </w:rPr>
            </w:pPr>
            <w:r>
              <w:rPr>
                <w:rFonts w:hint="eastAsia" w:ascii="宋体" w:hAnsi="宋体" w:cs="宋体"/>
                <w:kern w:val="0"/>
                <w:szCs w:val="21"/>
              </w:rPr>
              <w:t>　</w:t>
            </w:r>
          </w:p>
        </w:tc>
        <w:tc>
          <w:tcPr>
            <w:tcW w:w="2889" w:type="dxa"/>
            <w:vAlign w:val="center"/>
          </w:tcPr>
          <w:p>
            <w:pPr>
              <w:widowControl/>
              <w:jc w:val="center"/>
              <w:rPr>
                <w:rFonts w:ascii="宋体" w:hAnsi="宋体" w:cs="宋体"/>
                <w:szCs w:val="21"/>
              </w:rPr>
            </w:pPr>
            <w:r>
              <w:rPr>
                <w:rFonts w:hint="eastAsia" w:ascii="宋体" w:hAnsi="宋体" w:cs="宋体"/>
                <w:kern w:val="0"/>
                <w:szCs w:val="21"/>
              </w:rPr>
              <w:t>中班及夜班巡查</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　</w:t>
            </w:r>
          </w:p>
        </w:tc>
        <w:tc>
          <w:tcPr>
            <w:tcW w:w="1027" w:type="dxa"/>
            <w:vAlign w:val="center"/>
          </w:tcPr>
          <w:p>
            <w:pPr>
              <w:widowControl/>
              <w:jc w:val="center"/>
              <w:rPr>
                <w:rFonts w:ascii="宋体" w:hAnsi="宋体" w:cs="宋体"/>
                <w:szCs w:val="21"/>
              </w:rPr>
            </w:pPr>
            <w:r>
              <w:rPr>
                <w:rFonts w:hint="eastAsia" w:ascii="宋体" w:hAnsi="宋体" w:cs="宋体"/>
                <w:kern w:val="0"/>
                <w:szCs w:val="21"/>
              </w:rPr>
              <w:t>　</w:t>
            </w:r>
          </w:p>
        </w:tc>
        <w:tc>
          <w:tcPr>
            <w:tcW w:w="2889" w:type="dxa"/>
            <w:vAlign w:val="center"/>
          </w:tcPr>
          <w:p>
            <w:pPr>
              <w:widowControl/>
              <w:jc w:val="center"/>
              <w:rPr>
                <w:rFonts w:ascii="宋体" w:hAnsi="宋体" w:cs="宋体"/>
                <w:szCs w:val="21"/>
              </w:rPr>
            </w:pPr>
            <w:r>
              <w:rPr>
                <w:rFonts w:hint="eastAsia" w:ascii="宋体" w:hAnsi="宋体" w:cs="宋体"/>
                <w:kern w:val="0"/>
                <w:szCs w:val="21"/>
              </w:rPr>
              <w:t>　</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合计人数</w:t>
            </w:r>
          </w:p>
        </w:tc>
        <w:tc>
          <w:tcPr>
            <w:tcW w:w="1370" w:type="dxa"/>
            <w:vAlign w:val="center"/>
          </w:tcPr>
          <w:p>
            <w:pPr>
              <w:widowControl/>
              <w:jc w:val="center"/>
              <w:rPr>
                <w:rFonts w:ascii="宋体" w:hAnsi="宋体" w:cs="宋体"/>
                <w:szCs w:val="21"/>
              </w:rPr>
            </w:pPr>
            <w:r>
              <w:rPr>
                <w:rFonts w:hint="eastAsia" w:ascii="宋体" w:hAnsi="宋体" w:cs="宋体"/>
                <w:kern w:val="0"/>
                <w:szCs w:val="21"/>
              </w:rPr>
              <w:t>23</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kern w:val="0"/>
                <w:szCs w:val="21"/>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序号</w:t>
            </w:r>
          </w:p>
        </w:tc>
        <w:tc>
          <w:tcPr>
            <w:tcW w:w="1027" w:type="dxa"/>
            <w:vAlign w:val="center"/>
          </w:tcPr>
          <w:p>
            <w:pPr>
              <w:widowControl/>
              <w:jc w:val="center"/>
              <w:rPr>
                <w:rFonts w:ascii="宋体" w:hAnsi="宋体" w:cs="宋体"/>
                <w:szCs w:val="21"/>
              </w:rPr>
            </w:pPr>
            <w:r>
              <w:rPr>
                <w:rFonts w:hint="eastAsia" w:ascii="宋体" w:hAnsi="宋体" w:cs="宋体"/>
                <w:kern w:val="0"/>
                <w:szCs w:val="21"/>
              </w:rPr>
              <w:t>名称</w:t>
            </w:r>
          </w:p>
        </w:tc>
        <w:tc>
          <w:tcPr>
            <w:tcW w:w="2889" w:type="dxa"/>
            <w:vAlign w:val="center"/>
          </w:tcPr>
          <w:p>
            <w:pPr>
              <w:widowControl/>
              <w:jc w:val="center"/>
              <w:rPr>
                <w:rFonts w:ascii="宋体" w:hAnsi="宋体" w:cs="宋体"/>
                <w:szCs w:val="21"/>
              </w:rPr>
            </w:pPr>
            <w:r>
              <w:rPr>
                <w:rFonts w:hint="eastAsia" w:ascii="宋体" w:hAnsi="宋体" w:cs="宋体"/>
                <w:kern w:val="0"/>
                <w:szCs w:val="21"/>
              </w:rPr>
              <w:t>岗位</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区域</w:t>
            </w:r>
          </w:p>
        </w:tc>
        <w:tc>
          <w:tcPr>
            <w:tcW w:w="1370" w:type="dxa"/>
            <w:vAlign w:val="center"/>
          </w:tcPr>
          <w:p>
            <w:pPr>
              <w:widowControl/>
              <w:jc w:val="center"/>
              <w:rPr>
                <w:rFonts w:ascii="宋体" w:hAnsi="宋体" w:cs="宋体"/>
                <w:szCs w:val="21"/>
              </w:rPr>
            </w:pPr>
            <w:r>
              <w:rPr>
                <w:rFonts w:hint="eastAsia" w:ascii="宋体" w:hAnsi="宋体" w:cs="宋体"/>
                <w:kern w:val="0"/>
                <w:szCs w:val="21"/>
              </w:rPr>
              <w:t>拟定配置</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管理员</w:t>
            </w:r>
          </w:p>
        </w:tc>
        <w:tc>
          <w:tcPr>
            <w:tcW w:w="2889" w:type="dxa"/>
            <w:vAlign w:val="center"/>
          </w:tcPr>
          <w:p>
            <w:pPr>
              <w:widowControl/>
              <w:jc w:val="center"/>
              <w:rPr>
                <w:rFonts w:ascii="宋体" w:hAnsi="宋体" w:cs="宋体"/>
                <w:szCs w:val="21"/>
              </w:rPr>
            </w:pPr>
            <w:r>
              <w:rPr>
                <w:rFonts w:hint="eastAsia" w:ascii="宋体" w:hAnsi="宋体" w:cs="宋体"/>
                <w:kern w:val="0"/>
                <w:szCs w:val="21"/>
              </w:rPr>
              <w:t>项目经理</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全院</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2</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保洁主管</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全院</w:t>
            </w:r>
          </w:p>
        </w:tc>
        <w:tc>
          <w:tcPr>
            <w:tcW w:w="1370" w:type="dxa"/>
            <w:vAlign w:val="center"/>
          </w:tcPr>
          <w:p>
            <w:pPr>
              <w:widowControl/>
              <w:jc w:val="center"/>
              <w:rPr>
                <w:rFonts w:ascii="宋体" w:hAnsi="宋体" w:cs="宋体"/>
                <w:szCs w:val="21"/>
              </w:rPr>
            </w:pPr>
            <w:r>
              <w:rPr>
                <w:rFonts w:hint="eastAsia" w:ascii="宋体" w:hAnsi="宋体" w:cs="宋体"/>
                <w:kern w:val="0"/>
                <w:szCs w:val="21"/>
              </w:rPr>
              <w:t>3</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3</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运送主管</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全院</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　</w:t>
            </w:r>
          </w:p>
        </w:tc>
        <w:tc>
          <w:tcPr>
            <w:tcW w:w="1027" w:type="dxa"/>
            <w:vAlign w:val="center"/>
          </w:tcPr>
          <w:p>
            <w:pPr>
              <w:widowControl/>
              <w:jc w:val="center"/>
              <w:rPr>
                <w:rFonts w:ascii="宋体" w:hAnsi="宋体" w:cs="宋体"/>
                <w:szCs w:val="21"/>
              </w:rPr>
            </w:pPr>
            <w:r>
              <w:rPr>
                <w:rFonts w:hint="eastAsia" w:ascii="宋体" w:hAnsi="宋体" w:cs="宋体"/>
                <w:kern w:val="0"/>
                <w:szCs w:val="21"/>
              </w:rPr>
              <w:t>　</w:t>
            </w:r>
          </w:p>
        </w:tc>
        <w:tc>
          <w:tcPr>
            <w:tcW w:w="2889" w:type="dxa"/>
            <w:vAlign w:val="center"/>
          </w:tcPr>
          <w:p>
            <w:pPr>
              <w:widowControl/>
              <w:jc w:val="center"/>
              <w:rPr>
                <w:rFonts w:ascii="宋体" w:hAnsi="宋体" w:cs="宋体"/>
                <w:szCs w:val="21"/>
              </w:rPr>
            </w:pPr>
            <w:r>
              <w:rPr>
                <w:rFonts w:hint="eastAsia" w:ascii="宋体" w:hAnsi="宋体" w:cs="宋体"/>
                <w:kern w:val="0"/>
                <w:szCs w:val="21"/>
              </w:rPr>
              <w:t>　</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合计人数</w:t>
            </w:r>
          </w:p>
        </w:tc>
        <w:tc>
          <w:tcPr>
            <w:tcW w:w="1370" w:type="dxa"/>
            <w:vAlign w:val="center"/>
          </w:tcPr>
          <w:p>
            <w:pPr>
              <w:widowControl/>
              <w:jc w:val="center"/>
              <w:rPr>
                <w:rFonts w:ascii="宋体" w:hAnsi="宋体" w:cs="宋体"/>
                <w:szCs w:val="21"/>
              </w:rPr>
            </w:pPr>
            <w:r>
              <w:rPr>
                <w:rFonts w:hint="eastAsia" w:ascii="宋体" w:hAnsi="宋体" w:cs="宋体"/>
                <w:kern w:val="0"/>
                <w:szCs w:val="21"/>
              </w:rPr>
              <w:t>5</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kern w:val="0"/>
                <w:szCs w:val="21"/>
              </w:rPr>
              <w:t>勤杂配置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Merge w:val="restart"/>
            <w:vAlign w:val="center"/>
          </w:tcPr>
          <w:p>
            <w:pPr>
              <w:widowControl/>
              <w:jc w:val="center"/>
              <w:rPr>
                <w:rFonts w:ascii="宋体" w:hAnsi="宋体" w:cs="宋体"/>
                <w:szCs w:val="21"/>
              </w:rPr>
            </w:pPr>
            <w:r>
              <w:rPr>
                <w:rFonts w:hint="eastAsia" w:ascii="宋体" w:hAnsi="宋体" w:cs="宋体"/>
                <w:kern w:val="0"/>
                <w:szCs w:val="21"/>
              </w:rPr>
              <w:t>勤杂配置</w:t>
            </w:r>
          </w:p>
        </w:tc>
        <w:tc>
          <w:tcPr>
            <w:tcW w:w="2889" w:type="dxa"/>
            <w:vAlign w:val="center"/>
          </w:tcPr>
          <w:p>
            <w:pPr>
              <w:widowControl/>
              <w:jc w:val="center"/>
              <w:rPr>
                <w:rFonts w:ascii="宋体" w:hAnsi="宋体" w:cs="宋体"/>
                <w:szCs w:val="21"/>
              </w:rPr>
            </w:pPr>
            <w:r>
              <w:rPr>
                <w:rFonts w:hint="eastAsia" w:ascii="宋体" w:hAnsi="宋体" w:cs="宋体"/>
                <w:kern w:val="0"/>
                <w:szCs w:val="21"/>
              </w:rPr>
              <w:t>会务员+搬家</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全院小搬家</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2</w:t>
            </w:r>
          </w:p>
        </w:tc>
        <w:tc>
          <w:tcPr>
            <w:tcW w:w="1027" w:type="dxa"/>
            <w:vMerge w:val="continue"/>
            <w:vAlign w:val="center"/>
          </w:tcPr>
          <w:p>
            <w:pPr>
              <w:widowControl/>
              <w:jc w:val="center"/>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楼道工</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全院楼梯</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3</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地下室保洁</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地下室过道</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4</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外围保洁</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外围道路清洁</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5</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专项保洁</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洗地、打蜡、擦玻璃、不锈钢保养、电梯清洁消毒、高空作业</w:t>
            </w:r>
          </w:p>
        </w:tc>
        <w:tc>
          <w:tcPr>
            <w:tcW w:w="1370" w:type="dxa"/>
            <w:vAlign w:val="center"/>
          </w:tcPr>
          <w:p>
            <w:pPr>
              <w:widowControl/>
              <w:jc w:val="center"/>
              <w:rPr>
                <w:rFonts w:ascii="宋体" w:hAnsi="宋体" w:cs="宋体"/>
                <w:szCs w:val="21"/>
              </w:rPr>
            </w:pPr>
            <w:r>
              <w:rPr>
                <w:rFonts w:hint="eastAsia" w:ascii="宋体" w:hAnsi="宋体" w:cs="宋体"/>
                <w:kern w:val="0"/>
                <w:szCs w:val="21"/>
              </w:rPr>
              <w:t>8</w:t>
            </w:r>
          </w:p>
        </w:tc>
        <w:tc>
          <w:tcPr>
            <w:tcW w:w="2159" w:type="dxa"/>
            <w:vMerge w:val="restart"/>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6</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勤杂1</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员工替休</w:t>
            </w:r>
          </w:p>
        </w:tc>
        <w:tc>
          <w:tcPr>
            <w:tcW w:w="1370" w:type="dxa"/>
            <w:vAlign w:val="center"/>
          </w:tcPr>
          <w:p>
            <w:pPr>
              <w:widowControl/>
              <w:jc w:val="center"/>
              <w:rPr>
                <w:rFonts w:ascii="宋体" w:hAnsi="宋体" w:cs="宋体"/>
                <w:szCs w:val="21"/>
              </w:rPr>
            </w:pPr>
            <w:r>
              <w:rPr>
                <w:rFonts w:hint="eastAsia" w:ascii="宋体" w:hAnsi="宋体" w:cs="宋体"/>
                <w:kern w:val="0"/>
                <w:szCs w:val="21"/>
              </w:rPr>
              <w:t>6</w:t>
            </w:r>
          </w:p>
        </w:tc>
        <w:tc>
          <w:tcPr>
            <w:tcW w:w="2159" w:type="dxa"/>
            <w:vMerge w:val="continue"/>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7</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勤杂2</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食堂垃圾、煎药室药渣收集</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8</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勤杂3</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地下室中药库+煎药室保洁、煎药房送药</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9</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勤杂4</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报纸收发、污水管理、运送瓶氧</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10</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被服收发</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全院被服收发清点</w:t>
            </w:r>
          </w:p>
        </w:tc>
        <w:tc>
          <w:tcPr>
            <w:tcW w:w="1370" w:type="dxa"/>
            <w:vAlign w:val="center"/>
          </w:tcPr>
          <w:p>
            <w:pPr>
              <w:widowControl/>
              <w:jc w:val="center"/>
              <w:rPr>
                <w:rFonts w:ascii="宋体" w:hAnsi="宋体" w:cs="宋体"/>
                <w:szCs w:val="21"/>
              </w:rPr>
            </w:pPr>
            <w:r>
              <w:rPr>
                <w:rFonts w:hint="eastAsia" w:ascii="宋体" w:hAnsi="宋体" w:cs="宋体"/>
                <w:kern w:val="0"/>
                <w:szCs w:val="21"/>
              </w:rPr>
              <w:t>2</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11</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集中清洗</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毛巾、地巾消毒清洗</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12</w:t>
            </w:r>
          </w:p>
        </w:tc>
        <w:tc>
          <w:tcPr>
            <w:tcW w:w="1027" w:type="dxa"/>
            <w:vMerge w:val="continue"/>
            <w:vAlign w:val="center"/>
          </w:tcPr>
          <w:p>
            <w:pPr>
              <w:widowControl/>
              <w:jc w:val="left"/>
              <w:rPr>
                <w:rFonts w:ascii="宋体" w:hAnsi="宋体" w:cs="宋体"/>
                <w:szCs w:val="21"/>
              </w:rPr>
            </w:pPr>
          </w:p>
        </w:tc>
        <w:tc>
          <w:tcPr>
            <w:tcW w:w="2889" w:type="dxa"/>
            <w:noWrap/>
            <w:vAlign w:val="center"/>
          </w:tcPr>
          <w:p>
            <w:pPr>
              <w:widowControl/>
              <w:jc w:val="center"/>
              <w:rPr>
                <w:rFonts w:ascii="宋体" w:hAnsi="宋体" w:cs="宋体"/>
                <w:szCs w:val="21"/>
              </w:rPr>
            </w:pPr>
            <w:r>
              <w:rPr>
                <w:rFonts w:hint="eastAsia" w:ascii="宋体" w:hAnsi="宋体" w:cs="宋体"/>
                <w:kern w:val="0"/>
                <w:szCs w:val="21"/>
              </w:rPr>
              <w:t>生活、医疗垃圾</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垃圾收集（含可回收物）、暂存、登记</w:t>
            </w:r>
          </w:p>
        </w:tc>
        <w:tc>
          <w:tcPr>
            <w:tcW w:w="1370" w:type="dxa"/>
            <w:vAlign w:val="center"/>
          </w:tcPr>
          <w:p>
            <w:pPr>
              <w:widowControl/>
              <w:jc w:val="center"/>
              <w:rPr>
                <w:rFonts w:ascii="宋体" w:hAnsi="宋体" w:cs="宋体"/>
                <w:szCs w:val="21"/>
              </w:rPr>
            </w:pPr>
            <w:r>
              <w:rPr>
                <w:rFonts w:hint="eastAsia" w:ascii="宋体" w:hAnsi="宋体" w:cs="宋体"/>
                <w:kern w:val="0"/>
                <w:szCs w:val="21"/>
              </w:rPr>
              <w:t>3</w:t>
            </w:r>
          </w:p>
        </w:tc>
        <w:tc>
          <w:tcPr>
            <w:tcW w:w="2159" w:type="dxa"/>
            <w:noWrap/>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　</w:t>
            </w:r>
          </w:p>
        </w:tc>
        <w:tc>
          <w:tcPr>
            <w:tcW w:w="1027" w:type="dxa"/>
            <w:vAlign w:val="center"/>
          </w:tcPr>
          <w:p>
            <w:pPr>
              <w:widowControl/>
              <w:jc w:val="center"/>
              <w:rPr>
                <w:rFonts w:ascii="宋体" w:hAnsi="宋体" w:cs="宋体"/>
                <w:szCs w:val="21"/>
              </w:rPr>
            </w:pPr>
            <w:r>
              <w:rPr>
                <w:rFonts w:hint="eastAsia" w:ascii="宋体" w:hAnsi="宋体" w:cs="宋体"/>
                <w:kern w:val="0"/>
                <w:szCs w:val="21"/>
              </w:rPr>
              <w:t>　</w:t>
            </w:r>
          </w:p>
        </w:tc>
        <w:tc>
          <w:tcPr>
            <w:tcW w:w="2889" w:type="dxa"/>
            <w:vAlign w:val="center"/>
          </w:tcPr>
          <w:p>
            <w:pPr>
              <w:widowControl/>
              <w:jc w:val="center"/>
              <w:rPr>
                <w:rFonts w:ascii="宋体" w:hAnsi="宋体" w:cs="宋体"/>
                <w:szCs w:val="21"/>
              </w:rPr>
            </w:pPr>
            <w:r>
              <w:rPr>
                <w:rFonts w:hint="eastAsia" w:ascii="宋体" w:hAnsi="宋体" w:cs="宋体"/>
                <w:kern w:val="0"/>
                <w:szCs w:val="21"/>
              </w:rPr>
              <w:t>　</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合计人数</w:t>
            </w:r>
          </w:p>
        </w:tc>
        <w:tc>
          <w:tcPr>
            <w:tcW w:w="1370" w:type="dxa"/>
            <w:vAlign w:val="center"/>
          </w:tcPr>
          <w:p>
            <w:pPr>
              <w:widowControl/>
              <w:jc w:val="center"/>
              <w:rPr>
                <w:rFonts w:ascii="宋体" w:hAnsi="宋体" w:cs="宋体"/>
                <w:szCs w:val="21"/>
              </w:rPr>
            </w:pPr>
            <w:r>
              <w:rPr>
                <w:rFonts w:hint="eastAsia" w:ascii="宋体" w:hAnsi="宋体" w:cs="宋体"/>
                <w:szCs w:val="21"/>
              </w:rPr>
              <w:t>30</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kern w:val="0"/>
                <w:szCs w:val="21"/>
              </w:rPr>
              <w:t>运送中心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Merge w:val="restart"/>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勤务运送</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全院运送</w:t>
            </w:r>
          </w:p>
        </w:tc>
        <w:tc>
          <w:tcPr>
            <w:tcW w:w="1370" w:type="dxa"/>
            <w:vAlign w:val="center"/>
          </w:tcPr>
          <w:p>
            <w:pPr>
              <w:widowControl/>
              <w:jc w:val="center"/>
              <w:rPr>
                <w:rFonts w:ascii="宋体" w:hAnsi="宋体" w:cs="宋体"/>
                <w:szCs w:val="21"/>
              </w:rPr>
            </w:pPr>
            <w:r>
              <w:rPr>
                <w:rFonts w:hint="eastAsia" w:ascii="宋体" w:hAnsi="宋体" w:cs="宋体"/>
                <w:kern w:val="0"/>
                <w:szCs w:val="21"/>
              </w:rPr>
              <w:t>18+3</w:t>
            </w:r>
          </w:p>
        </w:tc>
        <w:tc>
          <w:tcPr>
            <w:tcW w:w="2159" w:type="dxa"/>
            <w:vAlign w:val="center"/>
          </w:tcPr>
          <w:p>
            <w:pPr>
              <w:widowControl/>
              <w:jc w:val="center"/>
              <w:rPr>
                <w:rFonts w:ascii="宋体" w:hAnsi="宋体" w:cs="宋体"/>
                <w:szCs w:val="21"/>
              </w:rPr>
            </w:pPr>
            <w:r>
              <w:rPr>
                <w:rFonts w:hint="eastAsia" w:ascii="宋体" w:hAnsi="宋体" w:cs="宋体"/>
                <w:kern w:val="0"/>
                <w:szCs w:val="21"/>
              </w:rPr>
              <w:t>24小时需值班，16楼勤务1人(根据实际开科后付款)+急诊和产科1人+门诊运送1人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2</w:t>
            </w:r>
          </w:p>
        </w:tc>
        <w:tc>
          <w:tcPr>
            <w:tcW w:w="1027" w:type="dxa"/>
            <w:vMerge w:val="continue"/>
            <w:vAlign w:val="center"/>
          </w:tcPr>
          <w:p>
            <w:pPr>
              <w:widowControl/>
              <w:jc w:val="left"/>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搬运材料</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搬运耗材仓库及总务仓库货品</w:t>
            </w:r>
          </w:p>
        </w:tc>
        <w:tc>
          <w:tcPr>
            <w:tcW w:w="1370" w:type="dxa"/>
            <w:vAlign w:val="center"/>
          </w:tcPr>
          <w:p>
            <w:pPr>
              <w:widowControl/>
              <w:jc w:val="center"/>
              <w:rPr>
                <w:rFonts w:ascii="宋体" w:hAnsi="宋体" w:cs="宋体"/>
                <w:szCs w:val="21"/>
              </w:rPr>
            </w:pPr>
            <w:r>
              <w:rPr>
                <w:rFonts w:hint="eastAsia" w:ascii="宋体" w:hAnsi="宋体" w:cs="宋体"/>
                <w:kern w:val="0"/>
                <w:szCs w:val="21"/>
              </w:rPr>
              <w:t>1</w:t>
            </w:r>
          </w:p>
        </w:tc>
        <w:tc>
          <w:tcPr>
            <w:tcW w:w="2159" w:type="dxa"/>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　</w:t>
            </w:r>
          </w:p>
        </w:tc>
        <w:tc>
          <w:tcPr>
            <w:tcW w:w="1027" w:type="dxa"/>
            <w:vAlign w:val="center"/>
          </w:tcPr>
          <w:p>
            <w:pPr>
              <w:widowControl/>
              <w:jc w:val="center"/>
              <w:rPr>
                <w:rFonts w:ascii="宋体" w:hAnsi="宋体" w:cs="宋体"/>
                <w:szCs w:val="21"/>
              </w:rPr>
            </w:pPr>
            <w:r>
              <w:rPr>
                <w:rFonts w:hint="eastAsia" w:ascii="宋体" w:hAnsi="宋体" w:cs="宋体"/>
                <w:kern w:val="0"/>
                <w:szCs w:val="21"/>
              </w:rPr>
              <w:t>　</w:t>
            </w:r>
          </w:p>
        </w:tc>
        <w:tc>
          <w:tcPr>
            <w:tcW w:w="2889" w:type="dxa"/>
            <w:noWrap/>
            <w:vAlign w:val="center"/>
          </w:tcPr>
          <w:p>
            <w:pPr>
              <w:widowControl/>
              <w:jc w:val="center"/>
              <w:rPr>
                <w:rFonts w:ascii="宋体" w:hAnsi="宋体" w:cs="宋体"/>
                <w:szCs w:val="21"/>
              </w:rPr>
            </w:pPr>
            <w:r>
              <w:rPr>
                <w:rFonts w:hint="eastAsia" w:ascii="宋体" w:hAnsi="宋体" w:cs="宋体"/>
                <w:kern w:val="0"/>
                <w:szCs w:val="21"/>
              </w:rPr>
              <w:t>　</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合计</w:t>
            </w:r>
          </w:p>
        </w:tc>
        <w:tc>
          <w:tcPr>
            <w:tcW w:w="1370" w:type="dxa"/>
            <w:vAlign w:val="center"/>
          </w:tcPr>
          <w:p>
            <w:pPr>
              <w:widowControl/>
              <w:jc w:val="center"/>
              <w:rPr>
                <w:rFonts w:ascii="宋体" w:hAnsi="宋体" w:cs="宋体"/>
                <w:szCs w:val="21"/>
              </w:rPr>
            </w:pPr>
            <w:r>
              <w:rPr>
                <w:rFonts w:hint="eastAsia" w:ascii="宋体" w:hAnsi="宋体" w:cs="宋体"/>
                <w:kern w:val="0"/>
                <w:szCs w:val="21"/>
              </w:rPr>
              <w:t>22</w:t>
            </w:r>
          </w:p>
        </w:tc>
        <w:tc>
          <w:tcPr>
            <w:tcW w:w="2159" w:type="dxa"/>
            <w:noWrap/>
            <w:vAlign w:val="center"/>
          </w:tcPr>
          <w:p>
            <w:pPr>
              <w:widowControl/>
              <w:jc w:val="center"/>
              <w:rPr>
                <w:rFonts w:ascii="宋体" w:hAnsi="宋体" w:cs="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kern w:val="0"/>
                <w:szCs w:val="21"/>
              </w:rPr>
              <w:t>新增区域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Align w:val="center"/>
          </w:tcPr>
          <w:p>
            <w:pPr>
              <w:widowControl/>
              <w:jc w:val="center"/>
              <w:rPr>
                <w:rFonts w:ascii="宋体" w:hAnsi="宋体" w:cs="宋体"/>
                <w:szCs w:val="21"/>
              </w:rPr>
            </w:pPr>
          </w:p>
        </w:tc>
        <w:tc>
          <w:tcPr>
            <w:tcW w:w="2889" w:type="dxa"/>
            <w:vAlign w:val="center"/>
          </w:tcPr>
          <w:p>
            <w:pPr>
              <w:widowControl/>
              <w:jc w:val="center"/>
              <w:rPr>
                <w:rFonts w:ascii="宋体" w:hAnsi="宋体" w:cs="宋体"/>
                <w:szCs w:val="21"/>
              </w:rPr>
            </w:pPr>
            <w:r>
              <w:rPr>
                <w:rFonts w:hint="eastAsia" w:ascii="宋体" w:hAnsi="宋体" w:cs="宋体"/>
                <w:kern w:val="0"/>
                <w:szCs w:val="21"/>
              </w:rPr>
              <w:t>120急救站</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保洁</w:t>
            </w:r>
          </w:p>
        </w:tc>
        <w:tc>
          <w:tcPr>
            <w:tcW w:w="1370" w:type="dxa"/>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p>
        </w:tc>
        <w:tc>
          <w:tcPr>
            <w:tcW w:w="1027" w:type="dxa"/>
            <w:noWrap/>
            <w:vAlign w:val="center"/>
          </w:tcPr>
          <w:p>
            <w:pPr>
              <w:widowControl/>
              <w:jc w:val="center"/>
              <w:rPr>
                <w:rFonts w:ascii="宋体" w:hAnsi="宋体" w:cs="宋体"/>
                <w:szCs w:val="21"/>
              </w:rPr>
            </w:pPr>
          </w:p>
        </w:tc>
        <w:tc>
          <w:tcPr>
            <w:tcW w:w="2889" w:type="dxa"/>
            <w:noWrap/>
            <w:vAlign w:val="center"/>
          </w:tcPr>
          <w:p>
            <w:pPr>
              <w:widowControl/>
              <w:jc w:val="center"/>
              <w:rPr>
                <w:rFonts w:ascii="宋体" w:hAnsi="宋体" w:cs="宋体"/>
                <w:szCs w:val="21"/>
              </w:rPr>
            </w:pPr>
          </w:p>
        </w:tc>
        <w:tc>
          <w:tcPr>
            <w:tcW w:w="1094" w:type="dxa"/>
            <w:gridSpan w:val="2"/>
            <w:noWrap/>
            <w:vAlign w:val="center"/>
          </w:tcPr>
          <w:p>
            <w:pPr>
              <w:widowControl/>
              <w:jc w:val="center"/>
              <w:rPr>
                <w:rFonts w:ascii="宋体" w:hAnsi="宋体" w:cs="宋体"/>
                <w:szCs w:val="21"/>
              </w:rPr>
            </w:pPr>
            <w:r>
              <w:rPr>
                <w:rFonts w:hint="eastAsia" w:ascii="宋体" w:hAnsi="宋体" w:cs="宋体"/>
                <w:kern w:val="0"/>
                <w:szCs w:val="21"/>
              </w:rPr>
              <w:t>合计人数</w:t>
            </w:r>
          </w:p>
        </w:tc>
        <w:tc>
          <w:tcPr>
            <w:tcW w:w="1370" w:type="dxa"/>
            <w:noWrap/>
            <w:vAlign w:val="center"/>
          </w:tcPr>
          <w:p>
            <w:pPr>
              <w:widowControl/>
              <w:jc w:val="center"/>
              <w:rPr>
                <w:rFonts w:ascii="宋体" w:hAnsi="宋体" w:cs="宋体"/>
                <w:szCs w:val="21"/>
              </w:rPr>
            </w:pPr>
            <w:r>
              <w:rPr>
                <w:rFonts w:hint="eastAsia" w:ascii="宋体" w:hAnsi="宋体" w:cs="宋体"/>
                <w:kern w:val="0"/>
                <w:szCs w:val="21"/>
              </w:rPr>
              <w:t>0.5</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56" w:type="dxa"/>
            <w:gridSpan w:val="5"/>
            <w:vAlign w:val="center"/>
          </w:tcPr>
          <w:p>
            <w:pPr>
              <w:widowControl/>
              <w:jc w:val="center"/>
              <w:rPr>
                <w:rFonts w:ascii="宋体" w:hAnsi="宋体" w:cs="宋体"/>
                <w:szCs w:val="21"/>
              </w:rPr>
            </w:pPr>
            <w:r>
              <w:rPr>
                <w:rFonts w:hint="eastAsia" w:ascii="宋体" w:hAnsi="宋体" w:cs="宋体"/>
                <w:kern w:val="0"/>
                <w:szCs w:val="21"/>
              </w:rPr>
              <w:t>主院区总计</w:t>
            </w:r>
          </w:p>
        </w:tc>
        <w:tc>
          <w:tcPr>
            <w:tcW w:w="3529" w:type="dxa"/>
            <w:gridSpan w:val="2"/>
            <w:noWrap/>
            <w:vAlign w:val="center"/>
          </w:tcPr>
          <w:p>
            <w:pPr>
              <w:widowControl/>
              <w:jc w:val="center"/>
              <w:rPr>
                <w:rFonts w:ascii="宋体" w:hAnsi="宋体" w:cs="宋体"/>
                <w:szCs w:val="21"/>
              </w:rPr>
            </w:pPr>
            <w:r>
              <w:rPr>
                <w:rFonts w:hint="eastAsia" w:ascii="宋体" w:hAnsi="宋体" w:cs="宋体"/>
                <w:kern w:val="0"/>
                <w:szCs w:val="21"/>
              </w:rPr>
              <w:t>121.5人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ind w:firstLine="2168" w:firstLineChars="900"/>
              <w:rPr>
                <w:rFonts w:ascii="宋体" w:hAnsi="宋体" w:cs="宋体"/>
                <w:szCs w:val="21"/>
              </w:rPr>
            </w:pPr>
            <w:r>
              <w:rPr>
                <w:rFonts w:hint="eastAsia" w:ascii="宋体" w:hAnsi="宋体" w:cs="宋体"/>
                <w:b/>
                <w:bCs/>
                <w:sz w:val="24"/>
              </w:rPr>
              <w:t>康养北楼物业</w:t>
            </w:r>
            <w:r>
              <w:rPr>
                <w:rFonts w:hint="eastAsia" w:ascii="宋体" w:hAnsi="宋体" w:cs="宋体"/>
                <w:b/>
                <w:bCs/>
                <w:kern w:val="0"/>
                <w:sz w:val="24"/>
              </w:rPr>
              <w:t>服务人员岗位参考配置表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序号</w:t>
            </w:r>
          </w:p>
        </w:tc>
        <w:tc>
          <w:tcPr>
            <w:tcW w:w="1027" w:type="dxa"/>
            <w:vAlign w:val="center"/>
          </w:tcPr>
          <w:p>
            <w:pPr>
              <w:widowControl/>
              <w:jc w:val="center"/>
              <w:rPr>
                <w:rFonts w:ascii="宋体" w:hAnsi="宋体" w:cs="宋体"/>
                <w:szCs w:val="21"/>
              </w:rPr>
            </w:pPr>
            <w:r>
              <w:rPr>
                <w:rFonts w:hint="eastAsia" w:ascii="宋体" w:hAnsi="宋体" w:cs="宋体"/>
                <w:kern w:val="0"/>
                <w:szCs w:val="21"/>
              </w:rPr>
              <w:t>名称</w:t>
            </w:r>
          </w:p>
        </w:tc>
        <w:tc>
          <w:tcPr>
            <w:tcW w:w="2889" w:type="dxa"/>
            <w:vAlign w:val="center"/>
          </w:tcPr>
          <w:p>
            <w:pPr>
              <w:widowControl/>
              <w:jc w:val="center"/>
              <w:rPr>
                <w:rFonts w:ascii="宋体" w:hAnsi="宋体" w:cs="宋体"/>
                <w:szCs w:val="21"/>
              </w:rPr>
            </w:pPr>
            <w:r>
              <w:rPr>
                <w:rFonts w:hint="eastAsia" w:ascii="宋体" w:hAnsi="宋体" w:cs="宋体"/>
                <w:kern w:val="0"/>
                <w:szCs w:val="21"/>
              </w:rPr>
              <w:t>岗位</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区域</w:t>
            </w:r>
          </w:p>
        </w:tc>
        <w:tc>
          <w:tcPr>
            <w:tcW w:w="1370" w:type="dxa"/>
            <w:vAlign w:val="center"/>
          </w:tcPr>
          <w:p>
            <w:pPr>
              <w:widowControl/>
              <w:jc w:val="center"/>
              <w:rPr>
                <w:rFonts w:ascii="宋体" w:hAnsi="宋体" w:cs="宋体"/>
                <w:szCs w:val="21"/>
              </w:rPr>
            </w:pPr>
            <w:r>
              <w:rPr>
                <w:rFonts w:hint="eastAsia" w:ascii="宋体" w:hAnsi="宋体" w:cs="宋体"/>
                <w:kern w:val="0"/>
                <w:szCs w:val="21"/>
              </w:rPr>
              <w:t>拟定配置</w:t>
            </w:r>
          </w:p>
        </w:tc>
        <w:tc>
          <w:tcPr>
            <w:tcW w:w="2159" w:type="dxa"/>
            <w:vAlign w:val="center"/>
          </w:tcPr>
          <w:p>
            <w:pPr>
              <w:widowControl/>
              <w:jc w:val="center"/>
              <w:rPr>
                <w:rFonts w:ascii="宋体" w:hAnsi="宋体" w:cs="宋体"/>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w:t>
            </w:r>
          </w:p>
        </w:tc>
        <w:tc>
          <w:tcPr>
            <w:tcW w:w="1027" w:type="dxa"/>
            <w:noWrap/>
            <w:vAlign w:val="center"/>
          </w:tcPr>
          <w:p>
            <w:pPr>
              <w:widowControl/>
              <w:jc w:val="center"/>
              <w:rPr>
                <w:rFonts w:ascii="宋体" w:hAnsi="宋体" w:cs="宋体"/>
                <w:szCs w:val="21"/>
              </w:rPr>
            </w:pPr>
            <w:r>
              <w:rPr>
                <w:rFonts w:hint="eastAsia" w:ascii="宋体" w:hAnsi="宋体" w:cs="宋体"/>
                <w:szCs w:val="21"/>
              </w:rPr>
              <w:t>一楼</w:t>
            </w:r>
          </w:p>
        </w:tc>
        <w:tc>
          <w:tcPr>
            <w:tcW w:w="2889" w:type="dxa"/>
            <w:noWrap/>
          </w:tcPr>
          <w:p>
            <w:pPr>
              <w:ind w:firstLine="420" w:firstLineChars="200"/>
              <w:rPr>
                <w:rFonts w:ascii="宋体" w:hAnsi="宋体" w:cs="宋体"/>
                <w:szCs w:val="21"/>
              </w:rPr>
            </w:pPr>
            <w:r>
              <w:rPr>
                <w:rFonts w:hint="eastAsia" w:ascii="宋体" w:hAnsi="宋体" w:cs="宋体"/>
                <w:szCs w:val="21"/>
              </w:rPr>
              <w:t>体检中心</w:t>
            </w:r>
          </w:p>
        </w:tc>
        <w:tc>
          <w:tcPr>
            <w:tcW w:w="1094" w:type="dxa"/>
            <w:gridSpan w:val="2"/>
            <w:noWrap/>
            <w:vAlign w:val="center"/>
          </w:tcPr>
          <w:p>
            <w:pPr>
              <w:widowControl/>
              <w:jc w:val="center"/>
              <w:rPr>
                <w:rFonts w:ascii="宋体" w:hAnsi="宋体" w:cs="宋体"/>
                <w:szCs w:val="21"/>
              </w:rPr>
            </w:pPr>
            <w:r>
              <w:rPr>
                <w:rFonts w:hint="eastAsia" w:ascii="宋体" w:hAnsi="宋体" w:cs="宋体"/>
                <w:szCs w:val="21"/>
              </w:rPr>
              <w:t>保洁</w:t>
            </w:r>
          </w:p>
        </w:tc>
        <w:tc>
          <w:tcPr>
            <w:tcW w:w="1370" w:type="dxa"/>
            <w:noWrap/>
          </w:tcPr>
          <w:p>
            <w:pPr>
              <w:ind w:firstLine="420" w:firstLineChars="200"/>
              <w:rPr>
                <w:rFonts w:ascii="宋体" w:hAnsi="宋体" w:cs="宋体"/>
                <w:szCs w:val="21"/>
              </w:rPr>
            </w:pPr>
            <w:r>
              <w:rPr>
                <w:rFonts w:hint="eastAsia" w:ascii="宋体" w:hAnsi="宋体" w:cs="宋体"/>
                <w:szCs w:val="21"/>
              </w:rPr>
              <w:t>2</w:t>
            </w:r>
          </w:p>
        </w:tc>
        <w:tc>
          <w:tcPr>
            <w:tcW w:w="2159" w:type="dxa"/>
            <w:vMerge w:val="restart"/>
            <w:noWrap/>
            <w:vAlign w:val="center"/>
          </w:tcPr>
          <w:p>
            <w:pPr>
              <w:widowControl/>
              <w:jc w:val="center"/>
              <w:rPr>
                <w:rFonts w:ascii="宋体" w:hAnsi="宋体" w:cs="宋体"/>
                <w:szCs w:val="21"/>
              </w:rPr>
            </w:pPr>
            <w:r>
              <w:rPr>
                <w:rFonts w:hint="eastAsia" w:ascii="宋体" w:hAnsi="宋体" w:cs="宋体"/>
                <w:kern w:val="0"/>
                <w:szCs w:val="21"/>
              </w:rPr>
              <w:t>根据实际开科后付款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2</w:t>
            </w:r>
          </w:p>
        </w:tc>
        <w:tc>
          <w:tcPr>
            <w:tcW w:w="1027" w:type="dxa"/>
            <w:noWrap/>
            <w:vAlign w:val="center"/>
          </w:tcPr>
          <w:p>
            <w:pPr>
              <w:widowControl/>
              <w:jc w:val="center"/>
              <w:rPr>
                <w:rFonts w:ascii="宋体" w:hAnsi="宋体" w:cs="宋体"/>
                <w:szCs w:val="21"/>
              </w:rPr>
            </w:pPr>
            <w:r>
              <w:rPr>
                <w:rFonts w:hint="eastAsia" w:ascii="宋体" w:hAnsi="宋体" w:cs="宋体"/>
                <w:szCs w:val="21"/>
              </w:rPr>
              <w:t>二楼</w:t>
            </w:r>
          </w:p>
        </w:tc>
        <w:tc>
          <w:tcPr>
            <w:tcW w:w="2889" w:type="dxa"/>
            <w:noWrap/>
          </w:tcPr>
          <w:p>
            <w:pPr>
              <w:ind w:firstLine="420" w:firstLineChars="200"/>
              <w:rPr>
                <w:rFonts w:ascii="宋体" w:hAnsi="宋体" w:cs="宋体"/>
                <w:szCs w:val="21"/>
              </w:rPr>
            </w:pPr>
            <w:r>
              <w:rPr>
                <w:rFonts w:hint="eastAsia" w:ascii="宋体" w:hAnsi="宋体" w:cs="宋体"/>
                <w:szCs w:val="21"/>
              </w:rPr>
              <w:t>体检中心</w:t>
            </w:r>
          </w:p>
        </w:tc>
        <w:tc>
          <w:tcPr>
            <w:tcW w:w="1094" w:type="dxa"/>
            <w:gridSpan w:val="2"/>
            <w:noWrap/>
            <w:vAlign w:val="center"/>
          </w:tcPr>
          <w:p>
            <w:pPr>
              <w:widowControl/>
              <w:jc w:val="center"/>
              <w:rPr>
                <w:rFonts w:ascii="宋体" w:hAnsi="宋体" w:cs="宋体"/>
                <w:szCs w:val="21"/>
              </w:rPr>
            </w:pPr>
            <w:r>
              <w:rPr>
                <w:rFonts w:hint="eastAsia" w:ascii="宋体" w:hAnsi="宋体" w:cs="宋体"/>
                <w:szCs w:val="21"/>
              </w:rPr>
              <w:t>保洁</w:t>
            </w:r>
          </w:p>
        </w:tc>
        <w:tc>
          <w:tcPr>
            <w:tcW w:w="1370" w:type="dxa"/>
            <w:noWrap/>
          </w:tcPr>
          <w:p>
            <w:pPr>
              <w:ind w:firstLine="420" w:firstLineChars="200"/>
              <w:rPr>
                <w:rFonts w:ascii="宋体" w:hAnsi="宋体" w:cs="宋体"/>
                <w:szCs w:val="21"/>
              </w:rPr>
            </w:pPr>
            <w:r>
              <w:rPr>
                <w:rFonts w:hint="eastAsia" w:ascii="宋体" w:hAnsi="宋体" w:cs="宋体"/>
                <w:szCs w:val="21"/>
              </w:rPr>
              <w:t>2</w:t>
            </w:r>
          </w:p>
        </w:tc>
        <w:tc>
          <w:tcPr>
            <w:tcW w:w="2159" w:type="dxa"/>
            <w:vMerge w:val="continue"/>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3</w:t>
            </w:r>
          </w:p>
        </w:tc>
        <w:tc>
          <w:tcPr>
            <w:tcW w:w="1027" w:type="dxa"/>
            <w:noWrap/>
            <w:vAlign w:val="center"/>
          </w:tcPr>
          <w:p>
            <w:pPr>
              <w:widowControl/>
              <w:jc w:val="center"/>
              <w:rPr>
                <w:rFonts w:ascii="宋体" w:hAnsi="宋体" w:cs="宋体"/>
                <w:szCs w:val="21"/>
              </w:rPr>
            </w:pPr>
            <w:r>
              <w:rPr>
                <w:rFonts w:hint="eastAsia" w:ascii="宋体" w:hAnsi="宋体" w:cs="宋体"/>
                <w:szCs w:val="21"/>
              </w:rPr>
              <w:t>三楼</w:t>
            </w:r>
          </w:p>
        </w:tc>
        <w:tc>
          <w:tcPr>
            <w:tcW w:w="2889" w:type="dxa"/>
            <w:noWrap/>
          </w:tcPr>
          <w:p>
            <w:pPr>
              <w:ind w:firstLine="420" w:firstLineChars="200"/>
              <w:rPr>
                <w:rFonts w:ascii="宋体" w:hAnsi="宋体" w:cs="宋体"/>
                <w:szCs w:val="21"/>
              </w:rPr>
            </w:pPr>
            <w:r>
              <w:rPr>
                <w:rFonts w:hint="eastAsia" w:ascii="宋体" w:hAnsi="宋体" w:cs="宋体"/>
                <w:szCs w:val="21"/>
              </w:rPr>
              <w:t>康复室</w:t>
            </w:r>
          </w:p>
        </w:tc>
        <w:tc>
          <w:tcPr>
            <w:tcW w:w="1094" w:type="dxa"/>
            <w:gridSpan w:val="2"/>
            <w:noWrap/>
            <w:vAlign w:val="center"/>
          </w:tcPr>
          <w:p>
            <w:pPr>
              <w:widowControl/>
              <w:jc w:val="center"/>
              <w:rPr>
                <w:rFonts w:ascii="宋体" w:hAnsi="宋体" w:cs="宋体"/>
                <w:szCs w:val="21"/>
              </w:rPr>
            </w:pPr>
            <w:r>
              <w:rPr>
                <w:rFonts w:hint="eastAsia" w:ascii="宋体" w:hAnsi="宋体" w:cs="宋体"/>
                <w:szCs w:val="21"/>
              </w:rPr>
              <w:t>保洁</w:t>
            </w:r>
          </w:p>
        </w:tc>
        <w:tc>
          <w:tcPr>
            <w:tcW w:w="1370" w:type="dxa"/>
            <w:noWrap/>
          </w:tcPr>
          <w:p>
            <w:pPr>
              <w:ind w:firstLine="420" w:firstLineChars="200"/>
              <w:rPr>
                <w:rFonts w:ascii="宋体" w:hAnsi="宋体" w:cs="宋体"/>
                <w:szCs w:val="21"/>
              </w:rPr>
            </w:pPr>
            <w:r>
              <w:rPr>
                <w:rFonts w:hint="eastAsia" w:ascii="宋体" w:hAnsi="宋体" w:cs="宋体"/>
                <w:szCs w:val="21"/>
              </w:rPr>
              <w:t>1.5</w:t>
            </w:r>
          </w:p>
        </w:tc>
        <w:tc>
          <w:tcPr>
            <w:tcW w:w="2159" w:type="dxa"/>
            <w:vMerge w:val="continue"/>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4</w:t>
            </w:r>
          </w:p>
        </w:tc>
        <w:tc>
          <w:tcPr>
            <w:tcW w:w="1027" w:type="dxa"/>
            <w:noWrap/>
            <w:vAlign w:val="center"/>
          </w:tcPr>
          <w:p>
            <w:pPr>
              <w:widowControl/>
              <w:jc w:val="center"/>
              <w:rPr>
                <w:rFonts w:ascii="宋体" w:hAnsi="宋体" w:cs="宋体"/>
                <w:szCs w:val="21"/>
              </w:rPr>
            </w:pPr>
            <w:r>
              <w:rPr>
                <w:rFonts w:hint="eastAsia" w:ascii="宋体" w:hAnsi="宋体" w:cs="宋体"/>
                <w:szCs w:val="21"/>
              </w:rPr>
              <w:t>四楼</w:t>
            </w:r>
          </w:p>
        </w:tc>
        <w:tc>
          <w:tcPr>
            <w:tcW w:w="2889" w:type="dxa"/>
            <w:noWrap/>
          </w:tcPr>
          <w:p>
            <w:pPr>
              <w:ind w:firstLine="420" w:firstLineChars="200"/>
              <w:rPr>
                <w:rFonts w:ascii="宋体" w:hAnsi="宋体" w:cs="宋体"/>
                <w:szCs w:val="21"/>
              </w:rPr>
            </w:pPr>
            <w:r>
              <w:rPr>
                <w:rFonts w:hint="eastAsia" w:ascii="宋体" w:hAnsi="宋体" w:cs="宋体"/>
                <w:szCs w:val="21"/>
              </w:rPr>
              <w:t>病房</w:t>
            </w:r>
          </w:p>
        </w:tc>
        <w:tc>
          <w:tcPr>
            <w:tcW w:w="1094" w:type="dxa"/>
            <w:gridSpan w:val="2"/>
            <w:noWrap/>
            <w:vAlign w:val="center"/>
          </w:tcPr>
          <w:p>
            <w:pPr>
              <w:widowControl/>
              <w:jc w:val="center"/>
              <w:rPr>
                <w:rFonts w:ascii="宋体" w:hAnsi="宋体" w:cs="宋体"/>
                <w:szCs w:val="21"/>
              </w:rPr>
            </w:pPr>
            <w:r>
              <w:rPr>
                <w:rFonts w:hint="eastAsia" w:ascii="宋体" w:hAnsi="宋体" w:cs="宋体"/>
                <w:szCs w:val="21"/>
              </w:rPr>
              <w:t>保洁</w:t>
            </w:r>
          </w:p>
        </w:tc>
        <w:tc>
          <w:tcPr>
            <w:tcW w:w="1370" w:type="dxa"/>
            <w:noWrap/>
          </w:tcPr>
          <w:p>
            <w:pPr>
              <w:ind w:firstLine="420" w:firstLineChars="200"/>
              <w:rPr>
                <w:rFonts w:ascii="宋体" w:hAnsi="宋体" w:cs="宋体"/>
                <w:szCs w:val="21"/>
              </w:rPr>
            </w:pPr>
            <w:r>
              <w:rPr>
                <w:rFonts w:hint="eastAsia" w:ascii="宋体" w:hAnsi="宋体" w:cs="宋体"/>
                <w:szCs w:val="21"/>
              </w:rPr>
              <w:t>1.5</w:t>
            </w:r>
          </w:p>
        </w:tc>
        <w:tc>
          <w:tcPr>
            <w:tcW w:w="2159" w:type="dxa"/>
            <w:vMerge w:val="continue"/>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5</w:t>
            </w:r>
          </w:p>
        </w:tc>
        <w:tc>
          <w:tcPr>
            <w:tcW w:w="1027" w:type="dxa"/>
            <w:noWrap/>
            <w:vAlign w:val="center"/>
          </w:tcPr>
          <w:p>
            <w:pPr>
              <w:widowControl/>
              <w:jc w:val="center"/>
              <w:rPr>
                <w:rFonts w:ascii="宋体" w:hAnsi="宋体" w:cs="宋体"/>
                <w:szCs w:val="21"/>
              </w:rPr>
            </w:pPr>
            <w:r>
              <w:rPr>
                <w:rFonts w:hint="eastAsia" w:ascii="宋体" w:hAnsi="宋体" w:cs="宋体"/>
                <w:szCs w:val="21"/>
              </w:rPr>
              <w:t>五楼</w:t>
            </w:r>
          </w:p>
        </w:tc>
        <w:tc>
          <w:tcPr>
            <w:tcW w:w="2889" w:type="dxa"/>
            <w:noWrap/>
          </w:tcPr>
          <w:p>
            <w:pPr>
              <w:ind w:firstLine="420" w:firstLineChars="200"/>
              <w:rPr>
                <w:rFonts w:ascii="宋体" w:hAnsi="宋体" w:cs="宋体"/>
                <w:szCs w:val="21"/>
              </w:rPr>
            </w:pPr>
            <w:r>
              <w:rPr>
                <w:rFonts w:hint="eastAsia" w:ascii="宋体" w:hAnsi="宋体" w:cs="宋体"/>
                <w:szCs w:val="21"/>
              </w:rPr>
              <w:t>病房</w:t>
            </w:r>
          </w:p>
        </w:tc>
        <w:tc>
          <w:tcPr>
            <w:tcW w:w="1094" w:type="dxa"/>
            <w:gridSpan w:val="2"/>
            <w:noWrap/>
            <w:vAlign w:val="center"/>
          </w:tcPr>
          <w:p>
            <w:pPr>
              <w:widowControl/>
              <w:jc w:val="center"/>
              <w:rPr>
                <w:rFonts w:ascii="宋体" w:hAnsi="宋体" w:cs="宋体"/>
                <w:szCs w:val="21"/>
              </w:rPr>
            </w:pPr>
            <w:r>
              <w:rPr>
                <w:rFonts w:hint="eastAsia" w:ascii="宋体" w:hAnsi="宋体" w:cs="宋体"/>
                <w:szCs w:val="21"/>
              </w:rPr>
              <w:t>保洁</w:t>
            </w:r>
          </w:p>
        </w:tc>
        <w:tc>
          <w:tcPr>
            <w:tcW w:w="1370" w:type="dxa"/>
            <w:noWrap/>
          </w:tcPr>
          <w:p>
            <w:pPr>
              <w:ind w:firstLine="420" w:firstLineChars="200"/>
              <w:rPr>
                <w:rFonts w:ascii="宋体" w:hAnsi="宋体" w:cs="宋体"/>
                <w:szCs w:val="21"/>
              </w:rPr>
            </w:pPr>
            <w:r>
              <w:rPr>
                <w:rFonts w:hint="eastAsia" w:ascii="宋体" w:hAnsi="宋体" w:cs="宋体"/>
                <w:szCs w:val="21"/>
              </w:rPr>
              <w:t>1.5</w:t>
            </w:r>
          </w:p>
        </w:tc>
        <w:tc>
          <w:tcPr>
            <w:tcW w:w="2159" w:type="dxa"/>
            <w:vMerge w:val="continue"/>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6</w:t>
            </w:r>
          </w:p>
        </w:tc>
        <w:tc>
          <w:tcPr>
            <w:tcW w:w="1027" w:type="dxa"/>
            <w:noWrap/>
            <w:vAlign w:val="center"/>
          </w:tcPr>
          <w:p>
            <w:pPr>
              <w:widowControl/>
              <w:jc w:val="center"/>
              <w:rPr>
                <w:rFonts w:ascii="宋体" w:hAnsi="宋体" w:cs="宋体"/>
                <w:szCs w:val="21"/>
              </w:rPr>
            </w:pPr>
            <w:r>
              <w:rPr>
                <w:rFonts w:hint="eastAsia" w:ascii="宋体" w:hAnsi="宋体" w:cs="宋体"/>
                <w:szCs w:val="21"/>
              </w:rPr>
              <w:t>六楼</w:t>
            </w:r>
          </w:p>
        </w:tc>
        <w:tc>
          <w:tcPr>
            <w:tcW w:w="2889" w:type="dxa"/>
            <w:noWrap/>
          </w:tcPr>
          <w:p>
            <w:pPr>
              <w:ind w:firstLine="420" w:firstLineChars="200"/>
              <w:rPr>
                <w:rFonts w:ascii="宋体" w:hAnsi="宋体" w:cs="宋体"/>
                <w:szCs w:val="21"/>
              </w:rPr>
            </w:pPr>
            <w:r>
              <w:rPr>
                <w:rFonts w:hint="eastAsia" w:ascii="宋体" w:hAnsi="宋体" w:cs="宋体"/>
                <w:szCs w:val="21"/>
              </w:rPr>
              <w:t>病房</w:t>
            </w:r>
          </w:p>
        </w:tc>
        <w:tc>
          <w:tcPr>
            <w:tcW w:w="1094" w:type="dxa"/>
            <w:gridSpan w:val="2"/>
            <w:noWrap/>
            <w:vAlign w:val="center"/>
          </w:tcPr>
          <w:p>
            <w:pPr>
              <w:widowControl/>
              <w:jc w:val="center"/>
              <w:rPr>
                <w:rFonts w:ascii="宋体" w:hAnsi="宋体" w:cs="宋体"/>
                <w:szCs w:val="21"/>
              </w:rPr>
            </w:pPr>
            <w:r>
              <w:rPr>
                <w:rFonts w:hint="eastAsia" w:ascii="宋体" w:hAnsi="宋体" w:cs="宋体"/>
                <w:szCs w:val="21"/>
              </w:rPr>
              <w:t>保洁</w:t>
            </w:r>
          </w:p>
        </w:tc>
        <w:tc>
          <w:tcPr>
            <w:tcW w:w="1370" w:type="dxa"/>
            <w:noWrap/>
          </w:tcPr>
          <w:p>
            <w:pPr>
              <w:ind w:firstLine="420" w:firstLineChars="200"/>
              <w:rPr>
                <w:rFonts w:ascii="宋体" w:hAnsi="宋体" w:cs="宋体"/>
                <w:szCs w:val="21"/>
              </w:rPr>
            </w:pPr>
            <w:r>
              <w:rPr>
                <w:rFonts w:hint="eastAsia" w:ascii="宋体" w:hAnsi="宋体" w:cs="宋体"/>
                <w:szCs w:val="21"/>
              </w:rPr>
              <w:t>1.5</w:t>
            </w:r>
          </w:p>
        </w:tc>
        <w:tc>
          <w:tcPr>
            <w:tcW w:w="2159" w:type="dxa"/>
            <w:vMerge w:val="continue"/>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p>
        </w:tc>
        <w:tc>
          <w:tcPr>
            <w:tcW w:w="1027" w:type="dxa"/>
            <w:noWrap/>
            <w:vAlign w:val="center"/>
          </w:tcPr>
          <w:p>
            <w:pPr>
              <w:widowControl/>
              <w:jc w:val="center"/>
              <w:rPr>
                <w:rFonts w:ascii="宋体" w:hAnsi="宋体" w:cs="宋体"/>
                <w:szCs w:val="21"/>
              </w:rPr>
            </w:pPr>
          </w:p>
        </w:tc>
        <w:tc>
          <w:tcPr>
            <w:tcW w:w="2889" w:type="dxa"/>
            <w:noWrap/>
          </w:tcPr>
          <w:p>
            <w:pPr>
              <w:ind w:firstLine="420" w:firstLineChars="200"/>
              <w:rPr>
                <w:rFonts w:ascii="宋体" w:hAnsi="宋体" w:cs="宋体"/>
                <w:szCs w:val="21"/>
              </w:rPr>
            </w:pPr>
          </w:p>
        </w:tc>
        <w:tc>
          <w:tcPr>
            <w:tcW w:w="1094" w:type="dxa"/>
            <w:gridSpan w:val="2"/>
            <w:noWrap/>
            <w:vAlign w:val="center"/>
          </w:tcPr>
          <w:p>
            <w:pPr>
              <w:widowControl/>
              <w:jc w:val="center"/>
              <w:rPr>
                <w:rFonts w:ascii="宋体" w:hAnsi="宋体" w:cs="宋体"/>
                <w:szCs w:val="21"/>
              </w:rPr>
            </w:pPr>
            <w:r>
              <w:rPr>
                <w:rFonts w:hint="eastAsia" w:ascii="宋体" w:hAnsi="宋体" w:cs="宋体"/>
                <w:kern w:val="0"/>
                <w:szCs w:val="21"/>
              </w:rPr>
              <w:t>合计人数</w:t>
            </w:r>
          </w:p>
        </w:tc>
        <w:tc>
          <w:tcPr>
            <w:tcW w:w="1370" w:type="dxa"/>
            <w:noWrap/>
          </w:tcPr>
          <w:p>
            <w:pPr>
              <w:ind w:firstLine="420" w:firstLineChars="200"/>
              <w:rPr>
                <w:rFonts w:ascii="宋体" w:hAnsi="宋体" w:cs="宋体"/>
                <w:szCs w:val="21"/>
              </w:rPr>
            </w:pPr>
            <w:r>
              <w:rPr>
                <w:rFonts w:hint="eastAsia" w:ascii="宋体" w:hAnsi="宋体" w:cs="宋体"/>
                <w:szCs w:val="21"/>
              </w:rPr>
              <w:t>10</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kern w:val="0"/>
                <w:szCs w:val="21"/>
              </w:rPr>
              <w:t>勤杂配置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序号</w:t>
            </w:r>
          </w:p>
        </w:tc>
        <w:tc>
          <w:tcPr>
            <w:tcW w:w="1027" w:type="dxa"/>
            <w:vAlign w:val="center"/>
          </w:tcPr>
          <w:p>
            <w:pPr>
              <w:widowControl/>
              <w:jc w:val="center"/>
              <w:rPr>
                <w:rFonts w:ascii="宋体" w:hAnsi="宋体" w:cs="宋体"/>
                <w:szCs w:val="21"/>
              </w:rPr>
            </w:pPr>
            <w:r>
              <w:rPr>
                <w:rFonts w:hint="eastAsia" w:ascii="宋体" w:hAnsi="宋体" w:cs="宋体"/>
                <w:kern w:val="0"/>
                <w:szCs w:val="21"/>
              </w:rPr>
              <w:t>名称</w:t>
            </w:r>
          </w:p>
        </w:tc>
        <w:tc>
          <w:tcPr>
            <w:tcW w:w="2889" w:type="dxa"/>
            <w:vAlign w:val="center"/>
          </w:tcPr>
          <w:p>
            <w:pPr>
              <w:widowControl/>
              <w:jc w:val="center"/>
              <w:rPr>
                <w:rFonts w:ascii="宋体" w:hAnsi="宋体" w:cs="宋体"/>
                <w:szCs w:val="21"/>
              </w:rPr>
            </w:pPr>
            <w:r>
              <w:rPr>
                <w:rFonts w:hint="eastAsia" w:ascii="宋体" w:hAnsi="宋体" w:cs="宋体"/>
                <w:kern w:val="0"/>
                <w:szCs w:val="21"/>
              </w:rPr>
              <w:t>岗位</w:t>
            </w:r>
          </w:p>
        </w:tc>
        <w:tc>
          <w:tcPr>
            <w:tcW w:w="1094" w:type="dxa"/>
            <w:gridSpan w:val="2"/>
            <w:vAlign w:val="center"/>
          </w:tcPr>
          <w:p>
            <w:pPr>
              <w:widowControl/>
              <w:jc w:val="center"/>
              <w:rPr>
                <w:rFonts w:ascii="宋体" w:hAnsi="宋体" w:cs="宋体"/>
                <w:szCs w:val="21"/>
              </w:rPr>
            </w:pPr>
            <w:r>
              <w:rPr>
                <w:rFonts w:hint="eastAsia" w:ascii="宋体" w:hAnsi="宋体" w:cs="宋体"/>
                <w:kern w:val="0"/>
                <w:szCs w:val="21"/>
              </w:rPr>
              <w:t>区域</w:t>
            </w:r>
          </w:p>
        </w:tc>
        <w:tc>
          <w:tcPr>
            <w:tcW w:w="1370" w:type="dxa"/>
            <w:vAlign w:val="center"/>
          </w:tcPr>
          <w:p>
            <w:pPr>
              <w:widowControl/>
              <w:jc w:val="center"/>
              <w:rPr>
                <w:rFonts w:ascii="宋体" w:hAnsi="宋体" w:cs="宋体"/>
                <w:szCs w:val="21"/>
              </w:rPr>
            </w:pPr>
            <w:r>
              <w:rPr>
                <w:rFonts w:hint="eastAsia" w:ascii="宋体" w:hAnsi="宋体" w:cs="宋体"/>
                <w:kern w:val="0"/>
                <w:szCs w:val="21"/>
              </w:rPr>
              <w:t>拟定配置</w:t>
            </w:r>
          </w:p>
        </w:tc>
        <w:tc>
          <w:tcPr>
            <w:tcW w:w="2159" w:type="dxa"/>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1</w:t>
            </w:r>
          </w:p>
        </w:tc>
        <w:tc>
          <w:tcPr>
            <w:tcW w:w="1027" w:type="dxa"/>
            <w:vMerge w:val="restart"/>
            <w:noWrap/>
            <w:vAlign w:val="center"/>
          </w:tcPr>
          <w:p>
            <w:pPr>
              <w:widowControl/>
              <w:jc w:val="center"/>
              <w:rPr>
                <w:rFonts w:ascii="宋体" w:hAnsi="宋体" w:cs="宋体"/>
                <w:szCs w:val="21"/>
              </w:rPr>
            </w:pPr>
            <w:r>
              <w:rPr>
                <w:rFonts w:hint="eastAsia" w:ascii="宋体" w:hAnsi="宋体" w:cs="宋体"/>
                <w:kern w:val="0"/>
                <w:szCs w:val="21"/>
              </w:rPr>
              <w:t>勤杂  配置</w:t>
            </w:r>
          </w:p>
        </w:tc>
        <w:tc>
          <w:tcPr>
            <w:tcW w:w="2889" w:type="dxa"/>
            <w:noWrap/>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医废、生活垃圾、被服收发、楼道</w:t>
            </w:r>
          </w:p>
        </w:tc>
        <w:tc>
          <w:tcPr>
            <w:tcW w:w="1094" w:type="dxa"/>
            <w:gridSpan w:val="2"/>
            <w:noWrap/>
            <w:vAlign w:val="center"/>
          </w:tcPr>
          <w:p>
            <w:pPr>
              <w:widowControl/>
              <w:rPr>
                <w:rFonts w:ascii="宋体" w:hAnsi="宋体" w:cs="宋体"/>
                <w:szCs w:val="21"/>
              </w:rPr>
            </w:pPr>
            <w:r>
              <w:rPr>
                <w:rFonts w:hint="eastAsia" w:ascii="宋体" w:hAnsi="宋体" w:cs="宋体"/>
                <w:kern w:val="0"/>
                <w:szCs w:val="21"/>
              </w:rPr>
              <w:t>被服收发清点、垃圾收集（含可回收物）、暂存、登记、楼道清扫</w:t>
            </w:r>
          </w:p>
        </w:tc>
        <w:tc>
          <w:tcPr>
            <w:tcW w:w="1370" w:type="dxa"/>
            <w:noWrap/>
          </w:tcPr>
          <w:p>
            <w:pPr>
              <w:ind w:left="874" w:leftChars="416"/>
              <w:rPr>
                <w:rFonts w:ascii="宋体" w:hAnsi="宋体" w:cs="宋体"/>
                <w:szCs w:val="21"/>
              </w:rPr>
            </w:pPr>
          </w:p>
          <w:p>
            <w:pPr>
              <w:ind w:left="874" w:leftChars="416"/>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kern w:val="0"/>
                <w:szCs w:val="21"/>
              </w:rPr>
              <w:t>1.5</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kern w:val="0"/>
                <w:szCs w:val="21"/>
              </w:rPr>
              <w:t>2</w:t>
            </w:r>
          </w:p>
        </w:tc>
        <w:tc>
          <w:tcPr>
            <w:tcW w:w="1027" w:type="dxa"/>
            <w:vMerge w:val="continue"/>
            <w:noWrap/>
            <w:vAlign w:val="center"/>
          </w:tcPr>
          <w:p>
            <w:pPr>
              <w:widowControl/>
              <w:jc w:val="center"/>
              <w:rPr>
                <w:rFonts w:ascii="宋体" w:hAnsi="宋体" w:cs="宋体"/>
                <w:szCs w:val="21"/>
              </w:rPr>
            </w:pPr>
          </w:p>
        </w:tc>
        <w:tc>
          <w:tcPr>
            <w:tcW w:w="2889" w:type="dxa"/>
            <w:noWrap/>
          </w:tcPr>
          <w:p>
            <w:pPr>
              <w:ind w:firstLine="630" w:firstLineChars="300"/>
              <w:rPr>
                <w:rFonts w:ascii="宋体" w:hAnsi="宋体" w:cs="宋体"/>
                <w:kern w:val="0"/>
                <w:szCs w:val="21"/>
              </w:rPr>
            </w:pPr>
          </w:p>
          <w:p>
            <w:pPr>
              <w:ind w:firstLine="630" w:firstLineChars="300"/>
              <w:rPr>
                <w:rFonts w:ascii="宋体" w:hAnsi="宋体" w:cs="宋体"/>
                <w:kern w:val="0"/>
                <w:szCs w:val="21"/>
              </w:rPr>
            </w:pPr>
          </w:p>
          <w:p>
            <w:pPr>
              <w:ind w:firstLine="630" w:firstLineChars="300"/>
              <w:rPr>
                <w:rFonts w:ascii="宋体" w:hAnsi="宋体" w:cs="宋体"/>
                <w:szCs w:val="21"/>
              </w:rPr>
            </w:pPr>
            <w:r>
              <w:rPr>
                <w:rFonts w:hint="eastAsia" w:ascii="宋体" w:hAnsi="宋体" w:cs="宋体"/>
                <w:kern w:val="0"/>
                <w:szCs w:val="21"/>
              </w:rPr>
              <w:t>专项保洁</w:t>
            </w:r>
          </w:p>
        </w:tc>
        <w:tc>
          <w:tcPr>
            <w:tcW w:w="1094" w:type="dxa"/>
            <w:gridSpan w:val="2"/>
            <w:noWrap/>
            <w:vAlign w:val="center"/>
          </w:tcPr>
          <w:p>
            <w:pPr>
              <w:widowControl/>
              <w:jc w:val="center"/>
              <w:rPr>
                <w:rFonts w:ascii="宋体" w:hAnsi="宋体" w:cs="宋体"/>
                <w:szCs w:val="21"/>
              </w:rPr>
            </w:pPr>
            <w:r>
              <w:rPr>
                <w:rFonts w:hint="eastAsia" w:ascii="宋体" w:hAnsi="宋体" w:cs="宋体"/>
                <w:szCs w:val="21"/>
              </w:rPr>
              <w:t>洗地、打蜡、擦玻璃、不锈钢保养、电梯清洁消毒、高空作业</w:t>
            </w:r>
          </w:p>
        </w:tc>
        <w:tc>
          <w:tcPr>
            <w:tcW w:w="1370" w:type="dxa"/>
            <w:noWrap/>
          </w:tcPr>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1.5</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color w:val="000000"/>
                <w:kern w:val="0"/>
                <w:szCs w:val="21"/>
              </w:rPr>
              <w:t>3</w:t>
            </w:r>
          </w:p>
        </w:tc>
        <w:tc>
          <w:tcPr>
            <w:tcW w:w="1027" w:type="dxa"/>
            <w:vMerge w:val="continue"/>
            <w:vAlign w:val="center"/>
          </w:tcPr>
          <w:p>
            <w:pPr>
              <w:widowControl/>
              <w:jc w:val="center"/>
              <w:rPr>
                <w:rFonts w:ascii="宋体" w:hAnsi="宋体" w:cs="宋体"/>
                <w:szCs w:val="21"/>
              </w:rPr>
            </w:pPr>
          </w:p>
        </w:tc>
        <w:tc>
          <w:tcPr>
            <w:tcW w:w="2889" w:type="dxa"/>
            <w:noWrap/>
          </w:tcPr>
          <w:p>
            <w:pPr>
              <w:ind w:firstLine="630" w:firstLineChars="300"/>
              <w:rPr>
                <w:rFonts w:ascii="宋体" w:hAnsi="宋体" w:cs="宋体"/>
                <w:szCs w:val="21"/>
              </w:rPr>
            </w:pPr>
          </w:p>
          <w:p>
            <w:pPr>
              <w:ind w:firstLine="840" w:firstLineChars="400"/>
              <w:rPr>
                <w:rFonts w:ascii="宋体" w:hAnsi="宋体" w:cs="宋体"/>
                <w:szCs w:val="21"/>
              </w:rPr>
            </w:pPr>
            <w:r>
              <w:rPr>
                <w:rFonts w:hint="eastAsia" w:ascii="宋体" w:hAnsi="宋体" w:cs="宋体"/>
                <w:szCs w:val="21"/>
              </w:rPr>
              <w:t>勤杂</w:t>
            </w:r>
          </w:p>
        </w:tc>
        <w:tc>
          <w:tcPr>
            <w:tcW w:w="1094" w:type="dxa"/>
            <w:gridSpan w:val="2"/>
            <w:vAlign w:val="center"/>
          </w:tcPr>
          <w:p>
            <w:pPr>
              <w:widowControl/>
              <w:jc w:val="center"/>
              <w:rPr>
                <w:rFonts w:ascii="宋体" w:hAnsi="宋体" w:cs="宋体"/>
                <w:szCs w:val="21"/>
              </w:rPr>
            </w:pPr>
            <w:r>
              <w:rPr>
                <w:rFonts w:hint="eastAsia" w:ascii="宋体" w:hAnsi="宋体" w:cs="宋体"/>
                <w:szCs w:val="21"/>
              </w:rPr>
              <w:t>报纸收发、运送瓶氧、污水管理、</w:t>
            </w:r>
          </w:p>
          <w:p>
            <w:pPr>
              <w:widowControl/>
              <w:jc w:val="center"/>
              <w:rPr>
                <w:rFonts w:ascii="宋体" w:hAnsi="宋体" w:cs="宋体"/>
                <w:szCs w:val="21"/>
              </w:rPr>
            </w:pPr>
            <w:r>
              <w:rPr>
                <w:rFonts w:hint="eastAsia" w:ascii="宋体" w:hAnsi="宋体" w:cs="宋体"/>
                <w:color w:val="000000"/>
                <w:kern w:val="0"/>
                <w:szCs w:val="21"/>
              </w:rPr>
              <w:t>员工替休</w:t>
            </w:r>
          </w:p>
        </w:tc>
        <w:tc>
          <w:tcPr>
            <w:tcW w:w="1370" w:type="dxa"/>
          </w:tcPr>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1.5</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color w:val="000000"/>
                <w:kern w:val="0"/>
                <w:szCs w:val="21"/>
              </w:rPr>
              <w:t>4</w:t>
            </w:r>
          </w:p>
        </w:tc>
        <w:tc>
          <w:tcPr>
            <w:tcW w:w="1027" w:type="dxa"/>
            <w:vMerge w:val="continue"/>
            <w:vAlign w:val="center"/>
          </w:tcPr>
          <w:p>
            <w:pPr>
              <w:widowControl/>
              <w:jc w:val="center"/>
              <w:rPr>
                <w:rFonts w:ascii="宋体" w:hAnsi="宋体" w:cs="宋体"/>
                <w:szCs w:val="21"/>
              </w:rPr>
            </w:pPr>
          </w:p>
        </w:tc>
        <w:tc>
          <w:tcPr>
            <w:tcW w:w="2889" w:type="dxa"/>
            <w:noWrap/>
          </w:tcPr>
          <w:p>
            <w:pPr>
              <w:ind w:firstLine="630" w:firstLineChars="300"/>
              <w:rPr>
                <w:rFonts w:ascii="宋体" w:hAnsi="宋体" w:cs="宋体"/>
                <w:szCs w:val="21"/>
              </w:rPr>
            </w:pPr>
            <w:r>
              <w:rPr>
                <w:rFonts w:hint="eastAsia" w:ascii="宋体" w:hAnsi="宋体" w:cs="宋体"/>
                <w:szCs w:val="21"/>
              </w:rPr>
              <w:t>外围保洁</w:t>
            </w:r>
          </w:p>
        </w:tc>
        <w:tc>
          <w:tcPr>
            <w:tcW w:w="1094" w:type="dxa"/>
            <w:gridSpan w:val="2"/>
            <w:vAlign w:val="center"/>
          </w:tcPr>
          <w:p>
            <w:pPr>
              <w:widowControl/>
              <w:jc w:val="center"/>
              <w:rPr>
                <w:rFonts w:ascii="宋体" w:hAnsi="宋体" w:cs="宋体"/>
                <w:szCs w:val="21"/>
              </w:rPr>
            </w:pPr>
            <w:r>
              <w:rPr>
                <w:rFonts w:hint="eastAsia" w:ascii="宋体" w:hAnsi="宋体" w:cs="宋体"/>
                <w:color w:val="000000"/>
                <w:kern w:val="0"/>
                <w:szCs w:val="21"/>
              </w:rPr>
              <w:t>外围道路</w:t>
            </w:r>
          </w:p>
        </w:tc>
        <w:tc>
          <w:tcPr>
            <w:tcW w:w="1370" w:type="dxa"/>
          </w:tcPr>
          <w:p>
            <w:pPr>
              <w:ind w:firstLine="420" w:firstLineChars="200"/>
              <w:rPr>
                <w:rFonts w:ascii="宋体" w:hAnsi="宋体" w:cs="宋体"/>
                <w:szCs w:val="21"/>
              </w:rPr>
            </w:pPr>
            <w:r>
              <w:rPr>
                <w:rFonts w:hint="eastAsia" w:ascii="宋体" w:hAnsi="宋体" w:cs="宋体"/>
                <w:szCs w:val="21"/>
              </w:rPr>
              <w:t>1</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p>
        </w:tc>
        <w:tc>
          <w:tcPr>
            <w:tcW w:w="1027" w:type="dxa"/>
            <w:vAlign w:val="center"/>
          </w:tcPr>
          <w:p>
            <w:pPr>
              <w:widowControl/>
              <w:jc w:val="center"/>
              <w:rPr>
                <w:rFonts w:ascii="宋体" w:hAnsi="宋体" w:cs="宋体"/>
                <w:szCs w:val="21"/>
              </w:rPr>
            </w:pPr>
          </w:p>
        </w:tc>
        <w:tc>
          <w:tcPr>
            <w:tcW w:w="2889" w:type="dxa"/>
            <w:noWrap/>
          </w:tcPr>
          <w:p>
            <w:pPr>
              <w:ind w:firstLine="630" w:firstLineChars="300"/>
              <w:rPr>
                <w:rFonts w:ascii="宋体" w:hAnsi="宋体" w:cs="宋体"/>
                <w:szCs w:val="21"/>
              </w:rPr>
            </w:pPr>
          </w:p>
        </w:tc>
        <w:tc>
          <w:tcPr>
            <w:tcW w:w="1094" w:type="dxa"/>
            <w:gridSpan w:val="2"/>
            <w:vAlign w:val="center"/>
          </w:tcPr>
          <w:p>
            <w:pPr>
              <w:widowControl/>
              <w:jc w:val="center"/>
              <w:rPr>
                <w:rFonts w:ascii="宋体" w:hAnsi="宋体" w:cs="宋体"/>
                <w:szCs w:val="21"/>
              </w:rPr>
            </w:pPr>
            <w:r>
              <w:rPr>
                <w:rFonts w:hint="eastAsia" w:ascii="宋体" w:hAnsi="宋体" w:cs="宋体"/>
                <w:color w:val="000000"/>
                <w:kern w:val="0"/>
                <w:szCs w:val="21"/>
              </w:rPr>
              <w:t>合计人数</w:t>
            </w:r>
          </w:p>
        </w:tc>
        <w:tc>
          <w:tcPr>
            <w:tcW w:w="1370" w:type="dxa"/>
          </w:tcPr>
          <w:p>
            <w:pPr>
              <w:ind w:firstLine="420" w:firstLineChars="200"/>
              <w:rPr>
                <w:rFonts w:ascii="宋体" w:hAnsi="宋体" w:cs="宋体"/>
                <w:szCs w:val="21"/>
              </w:rPr>
            </w:pPr>
            <w:r>
              <w:rPr>
                <w:rFonts w:hint="eastAsia" w:ascii="宋体" w:hAnsi="宋体" w:cs="宋体"/>
                <w:szCs w:val="21"/>
              </w:rPr>
              <w:t>5.5</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color w:val="000000"/>
                <w:kern w:val="0"/>
                <w:szCs w:val="21"/>
              </w:rPr>
              <w:t>运送中心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color w:val="000000"/>
                <w:kern w:val="0"/>
                <w:szCs w:val="21"/>
              </w:rPr>
              <w:t>序号</w:t>
            </w:r>
          </w:p>
        </w:tc>
        <w:tc>
          <w:tcPr>
            <w:tcW w:w="1027" w:type="dxa"/>
            <w:vAlign w:val="center"/>
          </w:tcPr>
          <w:p>
            <w:pPr>
              <w:widowControl/>
              <w:jc w:val="center"/>
              <w:rPr>
                <w:rFonts w:ascii="宋体" w:hAnsi="宋体" w:cs="宋体"/>
                <w:szCs w:val="21"/>
              </w:rPr>
            </w:pPr>
            <w:r>
              <w:rPr>
                <w:rFonts w:hint="eastAsia" w:ascii="宋体" w:hAnsi="宋体" w:cs="宋体"/>
                <w:color w:val="000000"/>
                <w:kern w:val="0"/>
                <w:szCs w:val="21"/>
              </w:rPr>
              <w:t>名称</w:t>
            </w:r>
          </w:p>
        </w:tc>
        <w:tc>
          <w:tcPr>
            <w:tcW w:w="2889" w:type="dxa"/>
            <w:noWrap/>
            <w:vAlign w:val="center"/>
          </w:tcPr>
          <w:p>
            <w:pPr>
              <w:widowControl/>
              <w:jc w:val="center"/>
              <w:rPr>
                <w:rFonts w:ascii="宋体" w:hAnsi="宋体" w:cs="宋体"/>
                <w:szCs w:val="21"/>
              </w:rPr>
            </w:pPr>
            <w:r>
              <w:rPr>
                <w:rFonts w:hint="eastAsia" w:ascii="宋体" w:hAnsi="宋体" w:cs="宋体"/>
                <w:color w:val="000000"/>
                <w:kern w:val="0"/>
                <w:szCs w:val="21"/>
              </w:rPr>
              <w:t>岗位</w:t>
            </w:r>
          </w:p>
        </w:tc>
        <w:tc>
          <w:tcPr>
            <w:tcW w:w="1094" w:type="dxa"/>
            <w:gridSpan w:val="2"/>
            <w:vAlign w:val="center"/>
          </w:tcPr>
          <w:p>
            <w:pPr>
              <w:widowControl/>
              <w:jc w:val="center"/>
              <w:rPr>
                <w:rFonts w:ascii="宋体" w:hAnsi="宋体" w:cs="宋体"/>
                <w:szCs w:val="21"/>
              </w:rPr>
            </w:pPr>
            <w:r>
              <w:rPr>
                <w:rFonts w:hint="eastAsia" w:ascii="宋体" w:hAnsi="宋体" w:cs="宋体"/>
                <w:color w:val="000000"/>
                <w:kern w:val="0"/>
                <w:szCs w:val="21"/>
              </w:rPr>
              <w:t>区域</w:t>
            </w:r>
          </w:p>
        </w:tc>
        <w:tc>
          <w:tcPr>
            <w:tcW w:w="1370" w:type="dxa"/>
            <w:vAlign w:val="center"/>
          </w:tcPr>
          <w:p>
            <w:pPr>
              <w:widowControl/>
              <w:jc w:val="center"/>
              <w:rPr>
                <w:rFonts w:ascii="宋体" w:hAnsi="宋体" w:cs="宋体"/>
                <w:szCs w:val="21"/>
              </w:rPr>
            </w:pPr>
            <w:r>
              <w:rPr>
                <w:rFonts w:hint="eastAsia" w:ascii="宋体" w:hAnsi="宋体" w:cs="宋体"/>
                <w:color w:val="000000"/>
                <w:kern w:val="0"/>
                <w:szCs w:val="21"/>
              </w:rPr>
              <w:t>拟定配置</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r>
              <w:rPr>
                <w:rFonts w:hint="eastAsia" w:ascii="宋体" w:hAnsi="宋体" w:cs="宋体"/>
                <w:color w:val="000000"/>
                <w:kern w:val="0"/>
                <w:szCs w:val="21"/>
              </w:rPr>
              <w:t>1</w:t>
            </w:r>
          </w:p>
        </w:tc>
        <w:tc>
          <w:tcPr>
            <w:tcW w:w="1027" w:type="dxa"/>
            <w:vMerge w:val="restart"/>
            <w:vAlign w:val="center"/>
          </w:tcPr>
          <w:p>
            <w:pPr>
              <w:widowControl/>
              <w:jc w:val="center"/>
              <w:rPr>
                <w:rFonts w:ascii="宋体" w:hAnsi="宋体" w:cs="宋体"/>
                <w:szCs w:val="21"/>
              </w:rPr>
            </w:pPr>
          </w:p>
        </w:tc>
        <w:tc>
          <w:tcPr>
            <w:tcW w:w="2889" w:type="dxa"/>
            <w:noWrap/>
            <w:vAlign w:val="center"/>
          </w:tcPr>
          <w:p>
            <w:pPr>
              <w:widowControl/>
              <w:jc w:val="center"/>
              <w:rPr>
                <w:rFonts w:ascii="宋体" w:hAnsi="宋体" w:cs="宋体"/>
                <w:szCs w:val="21"/>
              </w:rPr>
            </w:pPr>
            <w:r>
              <w:rPr>
                <w:rFonts w:hint="eastAsia" w:ascii="宋体" w:hAnsi="宋体" w:cs="宋体"/>
                <w:color w:val="000000"/>
                <w:kern w:val="0"/>
                <w:szCs w:val="21"/>
              </w:rPr>
              <w:t>勤务运送</w:t>
            </w:r>
          </w:p>
        </w:tc>
        <w:tc>
          <w:tcPr>
            <w:tcW w:w="1094" w:type="dxa"/>
            <w:gridSpan w:val="2"/>
            <w:vAlign w:val="center"/>
          </w:tcPr>
          <w:p>
            <w:pPr>
              <w:widowControl/>
              <w:jc w:val="center"/>
              <w:rPr>
                <w:rFonts w:ascii="宋体" w:hAnsi="宋体" w:cs="宋体"/>
                <w:szCs w:val="21"/>
              </w:rPr>
            </w:pPr>
            <w:r>
              <w:rPr>
                <w:rFonts w:hint="eastAsia" w:ascii="宋体" w:hAnsi="宋体" w:cs="宋体"/>
                <w:color w:val="000000"/>
                <w:kern w:val="0"/>
                <w:szCs w:val="21"/>
              </w:rPr>
              <w:t>1-6楼运送</w:t>
            </w:r>
          </w:p>
        </w:tc>
        <w:tc>
          <w:tcPr>
            <w:tcW w:w="1370" w:type="dxa"/>
            <w:vMerge w:val="restart"/>
            <w:vAlign w:val="center"/>
          </w:tcPr>
          <w:p>
            <w:pPr>
              <w:widowControl/>
              <w:jc w:val="center"/>
              <w:rPr>
                <w:rFonts w:ascii="宋体" w:hAnsi="宋体" w:cs="宋体"/>
                <w:szCs w:val="21"/>
              </w:rPr>
            </w:pPr>
            <w:r>
              <w:rPr>
                <w:rFonts w:hint="eastAsia" w:ascii="宋体" w:hAnsi="宋体" w:cs="宋体"/>
                <w:color w:val="000000"/>
                <w:kern w:val="0"/>
                <w:szCs w:val="21"/>
              </w:rPr>
              <w:t>2</w:t>
            </w:r>
          </w:p>
        </w:tc>
        <w:tc>
          <w:tcPr>
            <w:tcW w:w="2159" w:type="dxa"/>
            <w:vMerge w:val="restart"/>
            <w:noWrap/>
            <w:vAlign w:val="center"/>
          </w:tcPr>
          <w:p>
            <w:pPr>
              <w:widowControl/>
              <w:jc w:val="center"/>
              <w:rPr>
                <w:rFonts w:ascii="宋体" w:hAnsi="宋体" w:cs="宋体"/>
                <w:szCs w:val="21"/>
              </w:rPr>
            </w:pPr>
            <w:r>
              <w:rPr>
                <w:rFonts w:hint="eastAsia" w:ascii="宋体" w:hAnsi="宋体" w:cs="宋体"/>
                <w:szCs w:val="21"/>
              </w:rPr>
              <w:t>体检中心、住院部运送(包括病人、标本、中西医药物、耗材运送)</w:t>
            </w:r>
          </w:p>
          <w:p>
            <w:pPr>
              <w:widowControl/>
              <w:jc w:val="center"/>
              <w:rPr>
                <w:rFonts w:ascii="宋体" w:hAnsi="宋体" w:cs="宋体"/>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46" w:type="dxa"/>
            <w:vAlign w:val="center"/>
          </w:tcPr>
          <w:p>
            <w:pPr>
              <w:widowControl/>
              <w:jc w:val="center"/>
              <w:rPr>
                <w:rFonts w:ascii="宋体" w:hAnsi="宋体" w:cs="宋体"/>
                <w:szCs w:val="21"/>
              </w:rPr>
            </w:pPr>
            <w:r>
              <w:rPr>
                <w:rFonts w:hint="eastAsia" w:ascii="宋体" w:hAnsi="宋体" w:cs="宋体"/>
                <w:color w:val="000000"/>
                <w:kern w:val="0"/>
                <w:szCs w:val="21"/>
              </w:rPr>
              <w:t>2</w:t>
            </w:r>
          </w:p>
        </w:tc>
        <w:tc>
          <w:tcPr>
            <w:tcW w:w="1027" w:type="dxa"/>
            <w:vMerge w:val="continue"/>
            <w:vAlign w:val="center"/>
          </w:tcPr>
          <w:p>
            <w:pPr>
              <w:widowControl/>
              <w:jc w:val="center"/>
              <w:rPr>
                <w:rFonts w:ascii="宋体" w:hAnsi="宋体" w:cs="宋体"/>
                <w:szCs w:val="21"/>
              </w:rPr>
            </w:pPr>
          </w:p>
        </w:tc>
        <w:tc>
          <w:tcPr>
            <w:tcW w:w="2889" w:type="dxa"/>
            <w:noWrap/>
            <w:vAlign w:val="center"/>
          </w:tcPr>
          <w:p>
            <w:pPr>
              <w:widowControl/>
              <w:jc w:val="center"/>
              <w:rPr>
                <w:rFonts w:ascii="宋体" w:hAnsi="宋体" w:cs="宋体"/>
                <w:szCs w:val="21"/>
              </w:rPr>
            </w:pPr>
            <w:r>
              <w:rPr>
                <w:rFonts w:hint="eastAsia" w:ascii="宋体" w:hAnsi="宋体" w:cs="宋体"/>
                <w:color w:val="000000"/>
                <w:kern w:val="0"/>
                <w:szCs w:val="21"/>
              </w:rPr>
              <w:t>搬运材料</w:t>
            </w:r>
          </w:p>
        </w:tc>
        <w:tc>
          <w:tcPr>
            <w:tcW w:w="1094" w:type="dxa"/>
            <w:gridSpan w:val="2"/>
            <w:noWrap/>
            <w:vAlign w:val="center"/>
          </w:tcPr>
          <w:p>
            <w:pPr>
              <w:widowControl/>
              <w:jc w:val="center"/>
              <w:rPr>
                <w:rFonts w:ascii="宋体" w:hAnsi="宋体" w:cs="宋体"/>
                <w:szCs w:val="21"/>
              </w:rPr>
            </w:pPr>
            <w:r>
              <w:rPr>
                <w:rFonts w:hint="eastAsia" w:ascii="宋体" w:hAnsi="宋体" w:cs="宋体"/>
                <w:color w:val="000000"/>
                <w:kern w:val="0"/>
                <w:szCs w:val="21"/>
              </w:rPr>
              <w:t>搬运耗材仓库及总务仓库货品</w:t>
            </w:r>
          </w:p>
        </w:tc>
        <w:tc>
          <w:tcPr>
            <w:tcW w:w="1370" w:type="dxa"/>
            <w:vMerge w:val="continue"/>
            <w:noWrap/>
            <w:vAlign w:val="center"/>
          </w:tcPr>
          <w:p>
            <w:pPr>
              <w:widowControl/>
              <w:jc w:val="center"/>
              <w:rPr>
                <w:rFonts w:ascii="宋体" w:hAnsi="宋体" w:cs="宋体"/>
                <w:szCs w:val="21"/>
              </w:rPr>
            </w:pPr>
          </w:p>
        </w:tc>
        <w:tc>
          <w:tcPr>
            <w:tcW w:w="2159" w:type="dxa"/>
            <w:vMerge w:val="continue"/>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p>
        </w:tc>
        <w:tc>
          <w:tcPr>
            <w:tcW w:w="1027" w:type="dxa"/>
            <w:vAlign w:val="center"/>
          </w:tcPr>
          <w:p>
            <w:pPr>
              <w:widowControl/>
              <w:jc w:val="center"/>
              <w:rPr>
                <w:rFonts w:ascii="宋体" w:hAnsi="宋体" w:cs="宋体"/>
                <w:szCs w:val="21"/>
              </w:rPr>
            </w:pPr>
          </w:p>
        </w:tc>
        <w:tc>
          <w:tcPr>
            <w:tcW w:w="2889" w:type="dxa"/>
            <w:noWrap/>
            <w:vAlign w:val="center"/>
          </w:tcPr>
          <w:p>
            <w:pPr>
              <w:widowControl/>
              <w:jc w:val="center"/>
              <w:rPr>
                <w:rFonts w:ascii="宋体" w:hAnsi="宋体" w:cs="宋体"/>
                <w:szCs w:val="21"/>
              </w:rPr>
            </w:pPr>
          </w:p>
        </w:tc>
        <w:tc>
          <w:tcPr>
            <w:tcW w:w="1094" w:type="dxa"/>
            <w:gridSpan w:val="2"/>
            <w:vAlign w:val="center"/>
          </w:tcPr>
          <w:p>
            <w:pPr>
              <w:widowControl/>
              <w:jc w:val="center"/>
              <w:rPr>
                <w:rFonts w:ascii="宋体" w:hAnsi="宋体" w:cs="宋体"/>
                <w:szCs w:val="21"/>
              </w:rPr>
            </w:pPr>
            <w:r>
              <w:rPr>
                <w:rFonts w:hint="eastAsia" w:ascii="宋体" w:hAnsi="宋体" w:cs="宋体"/>
                <w:color w:val="000000"/>
                <w:kern w:val="0"/>
                <w:szCs w:val="21"/>
              </w:rPr>
              <w:t>合计人数</w:t>
            </w:r>
          </w:p>
        </w:tc>
        <w:tc>
          <w:tcPr>
            <w:tcW w:w="1370" w:type="dxa"/>
            <w:vAlign w:val="center"/>
          </w:tcPr>
          <w:p>
            <w:pPr>
              <w:widowControl/>
              <w:jc w:val="center"/>
              <w:rPr>
                <w:rFonts w:ascii="宋体" w:hAnsi="宋体" w:cs="宋体"/>
                <w:szCs w:val="21"/>
              </w:rPr>
            </w:pPr>
            <w:r>
              <w:rPr>
                <w:rFonts w:hint="eastAsia" w:ascii="宋体" w:hAnsi="宋体" w:cs="宋体"/>
                <w:color w:val="000000"/>
                <w:kern w:val="0"/>
                <w:szCs w:val="21"/>
              </w:rPr>
              <w:t>2</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5" w:type="dxa"/>
            <w:gridSpan w:val="7"/>
            <w:vAlign w:val="center"/>
          </w:tcPr>
          <w:p>
            <w:pPr>
              <w:widowControl/>
              <w:jc w:val="center"/>
              <w:rPr>
                <w:rFonts w:ascii="宋体" w:hAnsi="宋体" w:cs="宋体"/>
                <w:szCs w:val="21"/>
              </w:rPr>
            </w:pPr>
            <w:r>
              <w:rPr>
                <w:rFonts w:hint="eastAsia" w:ascii="宋体" w:hAnsi="宋体" w:cs="宋体"/>
                <w:b/>
                <w:bCs/>
                <w:color w:val="000000"/>
                <w:kern w:val="0"/>
                <w:szCs w:val="21"/>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p>
        </w:tc>
        <w:tc>
          <w:tcPr>
            <w:tcW w:w="1027" w:type="dxa"/>
            <w:vAlign w:val="center"/>
          </w:tcPr>
          <w:p>
            <w:pPr>
              <w:widowControl/>
              <w:jc w:val="center"/>
              <w:rPr>
                <w:rFonts w:ascii="宋体" w:hAnsi="宋体" w:cs="宋体"/>
                <w:szCs w:val="21"/>
              </w:rPr>
            </w:pPr>
            <w:r>
              <w:rPr>
                <w:rFonts w:hint="eastAsia" w:ascii="宋体" w:hAnsi="宋体" w:cs="宋体"/>
                <w:color w:val="000000"/>
                <w:kern w:val="0"/>
                <w:szCs w:val="21"/>
              </w:rPr>
              <w:t>管理员</w:t>
            </w:r>
          </w:p>
        </w:tc>
        <w:tc>
          <w:tcPr>
            <w:tcW w:w="2889" w:type="dxa"/>
            <w:noWrap/>
          </w:tcPr>
          <w:p>
            <w:pPr>
              <w:ind w:firstLine="420" w:firstLineChars="200"/>
              <w:rPr>
                <w:rFonts w:ascii="宋体" w:hAnsi="宋体" w:cs="宋体"/>
                <w:szCs w:val="21"/>
              </w:rPr>
            </w:pPr>
            <w:r>
              <w:rPr>
                <w:rFonts w:hint="eastAsia" w:ascii="宋体" w:hAnsi="宋体" w:cs="宋体"/>
                <w:color w:val="000000"/>
                <w:kern w:val="0"/>
                <w:szCs w:val="21"/>
                <w:lang w:eastAsia="zh-CN"/>
              </w:rPr>
              <w:t>保洁</w:t>
            </w:r>
            <w:r>
              <w:rPr>
                <w:rFonts w:hint="eastAsia" w:ascii="宋体" w:hAnsi="宋体" w:cs="宋体"/>
                <w:color w:val="000000"/>
                <w:kern w:val="0"/>
                <w:szCs w:val="21"/>
              </w:rPr>
              <w:t>主管</w:t>
            </w:r>
          </w:p>
        </w:tc>
        <w:tc>
          <w:tcPr>
            <w:tcW w:w="1094" w:type="dxa"/>
            <w:gridSpan w:val="2"/>
            <w:noWrap/>
            <w:vAlign w:val="center"/>
          </w:tcPr>
          <w:p>
            <w:pPr>
              <w:widowControl/>
              <w:jc w:val="center"/>
              <w:rPr>
                <w:rFonts w:ascii="宋体" w:hAnsi="宋体" w:cs="宋体"/>
                <w:szCs w:val="21"/>
              </w:rPr>
            </w:pPr>
            <w:r>
              <w:rPr>
                <w:rFonts w:hint="eastAsia" w:ascii="宋体" w:hAnsi="宋体" w:cs="宋体"/>
                <w:color w:val="000000"/>
                <w:kern w:val="0"/>
                <w:szCs w:val="21"/>
              </w:rPr>
              <w:t>全院</w:t>
            </w:r>
          </w:p>
        </w:tc>
        <w:tc>
          <w:tcPr>
            <w:tcW w:w="1370" w:type="dxa"/>
            <w:noWrap/>
            <w:vAlign w:val="center"/>
          </w:tcPr>
          <w:p>
            <w:pPr>
              <w:widowControl/>
              <w:jc w:val="center"/>
              <w:rPr>
                <w:rFonts w:ascii="宋体" w:hAnsi="宋体" w:cs="宋体"/>
                <w:szCs w:val="21"/>
              </w:rPr>
            </w:pPr>
            <w:r>
              <w:rPr>
                <w:rFonts w:hint="eastAsia" w:ascii="宋体" w:hAnsi="宋体" w:cs="宋体"/>
                <w:color w:val="000000"/>
                <w:kern w:val="0"/>
                <w:szCs w:val="21"/>
              </w:rPr>
              <w:t>1</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6" w:type="dxa"/>
            <w:vAlign w:val="center"/>
          </w:tcPr>
          <w:p>
            <w:pPr>
              <w:widowControl/>
              <w:jc w:val="center"/>
              <w:rPr>
                <w:rFonts w:ascii="宋体" w:hAnsi="宋体" w:cs="宋体"/>
                <w:szCs w:val="21"/>
              </w:rPr>
            </w:pPr>
          </w:p>
        </w:tc>
        <w:tc>
          <w:tcPr>
            <w:tcW w:w="1027" w:type="dxa"/>
            <w:noWrap/>
            <w:vAlign w:val="center"/>
          </w:tcPr>
          <w:p>
            <w:pPr>
              <w:widowControl/>
              <w:jc w:val="center"/>
              <w:rPr>
                <w:rFonts w:ascii="宋体" w:hAnsi="宋体" w:cs="宋体"/>
                <w:szCs w:val="21"/>
              </w:rPr>
            </w:pPr>
          </w:p>
        </w:tc>
        <w:tc>
          <w:tcPr>
            <w:tcW w:w="2889" w:type="dxa"/>
            <w:noWrap/>
            <w:vAlign w:val="center"/>
          </w:tcPr>
          <w:p>
            <w:pPr>
              <w:widowControl/>
              <w:jc w:val="center"/>
              <w:rPr>
                <w:rFonts w:ascii="宋体" w:hAnsi="宋体" w:cs="宋体"/>
                <w:szCs w:val="21"/>
              </w:rPr>
            </w:pPr>
          </w:p>
        </w:tc>
        <w:tc>
          <w:tcPr>
            <w:tcW w:w="1094" w:type="dxa"/>
            <w:gridSpan w:val="2"/>
            <w:noWrap/>
            <w:vAlign w:val="center"/>
          </w:tcPr>
          <w:p>
            <w:pPr>
              <w:widowControl/>
              <w:jc w:val="center"/>
              <w:rPr>
                <w:rFonts w:ascii="宋体" w:hAnsi="宋体" w:cs="宋体"/>
                <w:szCs w:val="21"/>
              </w:rPr>
            </w:pPr>
            <w:r>
              <w:rPr>
                <w:rFonts w:hint="eastAsia" w:ascii="宋体" w:hAnsi="宋体" w:cs="宋体"/>
                <w:color w:val="000000"/>
                <w:kern w:val="0"/>
                <w:szCs w:val="21"/>
              </w:rPr>
              <w:t>合计人数</w:t>
            </w:r>
          </w:p>
        </w:tc>
        <w:tc>
          <w:tcPr>
            <w:tcW w:w="1370" w:type="dxa"/>
            <w:noWrap/>
            <w:vAlign w:val="center"/>
          </w:tcPr>
          <w:p>
            <w:pPr>
              <w:widowControl/>
              <w:jc w:val="center"/>
              <w:rPr>
                <w:rFonts w:ascii="宋体" w:hAnsi="宋体" w:cs="宋体"/>
                <w:szCs w:val="21"/>
              </w:rPr>
            </w:pPr>
            <w:r>
              <w:rPr>
                <w:rFonts w:hint="eastAsia" w:ascii="宋体" w:hAnsi="宋体" w:cs="宋体"/>
                <w:color w:val="000000"/>
                <w:kern w:val="0"/>
                <w:szCs w:val="21"/>
              </w:rPr>
              <w:t>1</w:t>
            </w:r>
          </w:p>
        </w:tc>
        <w:tc>
          <w:tcPr>
            <w:tcW w:w="2159"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56" w:type="dxa"/>
            <w:gridSpan w:val="5"/>
            <w:vAlign w:val="center"/>
          </w:tcPr>
          <w:p>
            <w:pPr>
              <w:widowControl/>
              <w:jc w:val="center"/>
              <w:rPr>
                <w:rFonts w:ascii="宋体" w:hAnsi="宋体" w:cs="宋体"/>
                <w:szCs w:val="21"/>
              </w:rPr>
            </w:pPr>
            <w:r>
              <w:rPr>
                <w:rFonts w:hint="eastAsia" w:ascii="宋体" w:hAnsi="宋体" w:cs="宋体"/>
                <w:color w:val="000000"/>
                <w:kern w:val="0"/>
                <w:szCs w:val="21"/>
              </w:rPr>
              <w:t>康养北楼总计</w:t>
            </w:r>
          </w:p>
        </w:tc>
        <w:tc>
          <w:tcPr>
            <w:tcW w:w="3529" w:type="dxa"/>
            <w:gridSpan w:val="2"/>
            <w:vAlign w:val="center"/>
          </w:tcPr>
          <w:p>
            <w:pPr>
              <w:widowControl/>
              <w:jc w:val="center"/>
              <w:rPr>
                <w:rFonts w:ascii="宋体" w:hAnsi="宋体" w:cs="宋体"/>
                <w:szCs w:val="21"/>
              </w:rPr>
            </w:pPr>
            <w:r>
              <w:rPr>
                <w:rFonts w:hint="eastAsia" w:ascii="宋体" w:hAnsi="宋体" w:cs="宋体"/>
                <w:color w:val="000000"/>
                <w:kern w:val="0"/>
                <w:szCs w:val="21"/>
              </w:rPr>
              <w:t>18.5人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56" w:type="dxa"/>
            <w:gridSpan w:val="5"/>
            <w:vAlign w:val="center"/>
          </w:tcPr>
          <w:p>
            <w:pPr>
              <w:widowControl/>
              <w:jc w:val="center"/>
              <w:rPr>
                <w:rFonts w:ascii="宋体" w:hAnsi="宋体" w:cs="宋体"/>
                <w:szCs w:val="21"/>
              </w:rPr>
            </w:pPr>
            <w:r>
              <w:rPr>
                <w:rFonts w:hint="eastAsia" w:ascii="宋体" w:hAnsi="宋体" w:cs="宋体"/>
                <w:color w:val="000000"/>
                <w:kern w:val="0"/>
                <w:szCs w:val="21"/>
              </w:rPr>
              <w:t>总合计</w:t>
            </w:r>
          </w:p>
        </w:tc>
        <w:tc>
          <w:tcPr>
            <w:tcW w:w="3529" w:type="dxa"/>
            <w:gridSpan w:val="2"/>
            <w:noWrap/>
            <w:vAlign w:val="center"/>
          </w:tcPr>
          <w:p>
            <w:pPr>
              <w:widowControl/>
              <w:jc w:val="center"/>
              <w:rPr>
                <w:rFonts w:ascii="宋体" w:hAnsi="宋体" w:cs="宋体"/>
                <w:szCs w:val="21"/>
              </w:rPr>
            </w:pPr>
            <w:r>
              <w:rPr>
                <w:rFonts w:hint="eastAsia" w:ascii="宋体" w:hAnsi="宋体" w:cs="宋体"/>
                <w:color w:val="000000"/>
                <w:kern w:val="0"/>
                <w:szCs w:val="21"/>
              </w:rPr>
              <w:t>140人</w:t>
            </w:r>
          </w:p>
        </w:tc>
      </w:tr>
    </w:tbl>
    <w:p>
      <w:pPr>
        <w:rPr>
          <w:rFonts w:ascii="宋体" w:hAnsi="宋体" w:cs="宋体"/>
          <w:b/>
          <w:color w:val="000000"/>
          <w:sz w:val="24"/>
        </w:rPr>
      </w:pPr>
    </w:p>
    <w:p>
      <w:pPr>
        <w:rPr>
          <w:rFonts w:ascii="宋体" w:hAnsi="宋体" w:cs="宋体"/>
          <w:b/>
          <w:color w:val="000000"/>
          <w:sz w:val="24"/>
        </w:rPr>
      </w:pPr>
      <w:r>
        <w:rPr>
          <w:rFonts w:hint="eastAsia" w:ascii="宋体" w:hAnsi="宋体" w:cs="宋体"/>
          <w:b/>
          <w:color w:val="000000"/>
          <w:sz w:val="24"/>
        </w:rPr>
        <w:t>注：1.保洁人员可以根据实际需要相应核减。</w:t>
      </w:r>
    </w:p>
    <w:p>
      <w:pPr>
        <w:pStyle w:val="44"/>
        <w:ind w:firstLine="482" w:firstLineChars="200"/>
        <w:rPr>
          <w:rFonts w:ascii="宋体" w:hAnsi="宋体" w:eastAsia="宋体" w:cs="宋体"/>
          <w:b/>
          <w:color w:val="000000"/>
          <w:kern w:val="2"/>
          <w:sz w:val="24"/>
          <w:szCs w:val="24"/>
          <w:lang w:eastAsia="zh-CN"/>
        </w:rPr>
      </w:pPr>
      <w:r>
        <w:rPr>
          <w:rFonts w:hint="eastAsia" w:ascii="宋体" w:hAnsi="宋体" w:eastAsia="宋体" w:cs="宋体"/>
          <w:b/>
          <w:color w:val="000000"/>
          <w:kern w:val="2"/>
          <w:sz w:val="24"/>
          <w:szCs w:val="24"/>
          <w:lang w:eastAsia="zh-CN"/>
        </w:rPr>
        <w:t>2.以上配置人员必须到岗到位。</w:t>
      </w:r>
    </w:p>
    <w:p>
      <w:pPr>
        <w:pStyle w:val="44"/>
        <w:ind w:left="840"/>
        <w:rPr>
          <w:rFonts w:ascii="宋体" w:hAnsi="宋体" w:eastAsia="宋体" w:cs="宋体"/>
          <w:b/>
          <w:bCs/>
          <w:sz w:val="24"/>
          <w:szCs w:val="24"/>
          <w:lang w:eastAsia="zh-CN"/>
        </w:rPr>
      </w:pPr>
    </w:p>
    <w:p>
      <w:pPr>
        <w:pStyle w:val="44"/>
        <w:ind w:left="630" w:leftChars="300"/>
        <w:rPr>
          <w:rFonts w:ascii="宋体" w:hAnsi="宋体" w:cs="宋体"/>
          <w:b/>
          <w:bCs/>
          <w:sz w:val="21"/>
          <w:szCs w:val="21"/>
          <w:lang w:eastAsia="zh-CN"/>
        </w:rPr>
      </w:pPr>
    </w:p>
    <w:p>
      <w:pPr>
        <w:pStyle w:val="44"/>
        <w:ind w:left="630" w:leftChars="300"/>
        <w:rPr>
          <w:rFonts w:ascii="宋体" w:hAnsi="宋体" w:cs="宋体"/>
          <w:b/>
          <w:bCs/>
          <w:sz w:val="21"/>
          <w:szCs w:val="21"/>
          <w:lang w:eastAsia="zh-CN"/>
        </w:rPr>
      </w:pPr>
    </w:p>
    <w:p>
      <w:pPr>
        <w:pStyle w:val="44"/>
        <w:ind w:left="0"/>
        <w:rPr>
          <w:rFonts w:ascii="宋体" w:hAnsi="宋体" w:cs="宋体"/>
          <w:b/>
          <w:bCs/>
          <w:sz w:val="21"/>
          <w:szCs w:val="21"/>
          <w:lang w:eastAsia="zh-CN"/>
        </w:rPr>
      </w:pPr>
    </w:p>
    <w:p>
      <w:pPr>
        <w:pStyle w:val="44"/>
        <w:ind w:left="0"/>
        <w:rPr>
          <w:rFonts w:ascii="宋体" w:hAnsi="宋体" w:cs="宋体"/>
          <w:b/>
          <w:bCs/>
          <w:sz w:val="21"/>
          <w:szCs w:val="21"/>
          <w:lang w:eastAsia="zh-CN"/>
        </w:rPr>
      </w:pPr>
    </w:p>
    <w:p>
      <w:pPr>
        <w:pStyle w:val="44"/>
        <w:ind w:left="0"/>
        <w:rPr>
          <w:rFonts w:ascii="宋体" w:hAnsi="宋体" w:cs="宋体"/>
          <w:b/>
          <w:bCs/>
          <w:sz w:val="21"/>
          <w:szCs w:val="21"/>
          <w:lang w:eastAsia="zh-CN"/>
        </w:rPr>
      </w:pPr>
    </w:p>
    <w:p>
      <w:pPr>
        <w:spacing w:line="320" w:lineRule="exact"/>
        <w:rPr>
          <w:rFonts w:ascii="宋体" w:hAnsi="宋体" w:cs="宋体"/>
          <w:b/>
          <w:bCs/>
          <w:sz w:val="24"/>
        </w:rPr>
      </w:pPr>
    </w:p>
    <w:p>
      <w:pPr>
        <w:spacing w:line="320" w:lineRule="exact"/>
        <w:rPr>
          <w:rFonts w:ascii="宋体" w:hAnsi="宋体" w:cs="宋体"/>
          <w:b/>
          <w:bCs/>
          <w:sz w:val="24"/>
        </w:rPr>
      </w:pPr>
    </w:p>
    <w:p>
      <w:pPr>
        <w:spacing w:line="320" w:lineRule="exact"/>
        <w:rPr>
          <w:rFonts w:ascii="宋体" w:hAnsi="宋体" w:cs="宋体"/>
          <w:b/>
          <w:bCs/>
          <w:sz w:val="24"/>
        </w:rPr>
      </w:pPr>
    </w:p>
    <w:p>
      <w:pPr>
        <w:spacing w:line="320" w:lineRule="exact"/>
        <w:rPr>
          <w:rFonts w:ascii="宋体" w:hAnsi="宋体" w:cs="宋体"/>
          <w:b/>
          <w:bCs/>
          <w:sz w:val="24"/>
        </w:rPr>
      </w:pPr>
    </w:p>
    <w:p>
      <w:pPr>
        <w:spacing w:line="320" w:lineRule="exact"/>
        <w:rPr>
          <w:rFonts w:ascii="宋体" w:hAnsi="宋体" w:cs="宋体"/>
          <w:b/>
          <w:bCs/>
          <w:sz w:val="24"/>
        </w:rPr>
      </w:pPr>
    </w:p>
    <w:p>
      <w:pPr>
        <w:spacing w:line="320" w:lineRule="exact"/>
        <w:rPr>
          <w:rFonts w:ascii="宋体" w:hAnsi="宋体" w:cs="宋体"/>
          <w:b/>
          <w:bCs/>
          <w:sz w:val="24"/>
        </w:rPr>
      </w:pPr>
    </w:p>
    <w:p>
      <w:pPr>
        <w:spacing w:line="320" w:lineRule="exact"/>
        <w:rPr>
          <w:rFonts w:ascii="宋体" w:hAnsi="宋体" w:cs="宋体"/>
          <w:b/>
          <w:bCs/>
          <w:sz w:val="24"/>
        </w:rPr>
      </w:pPr>
    </w:p>
    <w:p>
      <w:pPr>
        <w:spacing w:line="320" w:lineRule="exact"/>
        <w:rPr>
          <w:rFonts w:ascii="宋体" w:hAnsi="宋体" w:cs="宋体"/>
          <w:b/>
          <w:bCs/>
          <w:sz w:val="24"/>
        </w:rPr>
      </w:pPr>
    </w:p>
    <w:p>
      <w:pPr>
        <w:pStyle w:val="2"/>
        <w:rPr>
          <w:rFonts w:ascii="宋体" w:hAnsi="宋体" w:cs="宋体"/>
          <w:b/>
          <w:bCs/>
          <w:sz w:val="24"/>
        </w:rPr>
      </w:pPr>
    </w:p>
    <w:p>
      <w:pPr>
        <w:pStyle w:val="3"/>
      </w:pPr>
    </w:p>
    <w:p>
      <w:pPr>
        <w:spacing w:line="320" w:lineRule="exact"/>
        <w:rPr>
          <w:rFonts w:ascii="宋体" w:hAnsi="宋体" w:cs="宋体"/>
          <w:b/>
          <w:bCs/>
          <w:sz w:val="24"/>
        </w:rPr>
      </w:pPr>
    </w:p>
    <w:p>
      <w:pPr>
        <w:spacing w:line="320" w:lineRule="exact"/>
        <w:rPr>
          <w:rFonts w:ascii="宋体" w:hAnsi="宋体" w:cs="宋体"/>
          <w:b/>
          <w:bCs/>
          <w:sz w:val="24"/>
        </w:rPr>
      </w:pPr>
    </w:p>
    <w:p>
      <w:pPr>
        <w:spacing w:line="320" w:lineRule="exact"/>
        <w:rPr>
          <w:rFonts w:ascii="宋体" w:hAnsi="宋体" w:cs="宋体"/>
          <w:b/>
          <w:bCs/>
          <w:sz w:val="24"/>
        </w:rPr>
      </w:pPr>
    </w:p>
    <w:p>
      <w:pPr>
        <w:spacing w:line="320" w:lineRule="exact"/>
        <w:rPr>
          <w:rFonts w:ascii="宋体" w:hAnsi="宋体" w:cs="宋体"/>
          <w:b/>
          <w:bCs/>
          <w:sz w:val="24"/>
        </w:rPr>
      </w:pPr>
      <w:r>
        <w:rPr>
          <w:rFonts w:hint="eastAsia" w:ascii="宋体" w:hAnsi="宋体" w:cs="宋体"/>
          <w:b/>
          <w:bCs/>
          <w:sz w:val="24"/>
          <w:lang w:eastAsia="zh-CN"/>
        </w:rPr>
        <w:t>附件</w:t>
      </w:r>
      <w:r>
        <w:rPr>
          <w:rFonts w:hint="eastAsia" w:ascii="宋体" w:hAnsi="宋体" w:cs="宋体"/>
          <w:b/>
          <w:bCs/>
          <w:sz w:val="24"/>
          <w:lang w:val="en-US" w:eastAsia="zh-CN"/>
        </w:rPr>
        <w:t xml:space="preserve">1    </w:t>
      </w:r>
      <w:r>
        <w:rPr>
          <w:rFonts w:hint="eastAsia" w:ascii="宋体" w:hAnsi="宋体" w:cs="宋体"/>
          <w:b/>
          <w:bCs/>
          <w:sz w:val="24"/>
        </w:rPr>
        <w:t>物业服务质量考核表</w:t>
      </w:r>
    </w:p>
    <w:p/>
    <w:tbl>
      <w:tblPr>
        <w:tblStyle w:val="62"/>
        <w:tblpPr w:leftFromText="180" w:rightFromText="180" w:vertAnchor="text" w:horzAnchor="page" w:tblpX="1945" w:tblpY="164"/>
        <w:tblOverlap w:val="never"/>
        <w:tblW w:w="8190" w:type="dxa"/>
        <w:tblInd w:w="0" w:type="dxa"/>
        <w:tblLayout w:type="fixed"/>
        <w:tblCellMar>
          <w:top w:w="0" w:type="dxa"/>
          <w:left w:w="108" w:type="dxa"/>
          <w:bottom w:w="0" w:type="dxa"/>
          <w:right w:w="108" w:type="dxa"/>
        </w:tblCellMar>
      </w:tblPr>
      <w:tblGrid>
        <w:gridCol w:w="1266"/>
        <w:gridCol w:w="510"/>
        <w:gridCol w:w="45"/>
        <w:gridCol w:w="540"/>
        <w:gridCol w:w="2940"/>
        <w:gridCol w:w="720"/>
        <w:gridCol w:w="1314"/>
        <w:gridCol w:w="855"/>
      </w:tblGrid>
      <w:tr>
        <w:tblPrEx>
          <w:tblCellMar>
            <w:top w:w="0" w:type="dxa"/>
            <w:left w:w="108" w:type="dxa"/>
            <w:bottom w:w="0" w:type="dxa"/>
            <w:right w:w="108" w:type="dxa"/>
          </w:tblCellMar>
        </w:tblPrEx>
        <w:trPr>
          <w:trHeight w:val="390" w:hRule="atLeast"/>
        </w:trPr>
        <w:tc>
          <w:tcPr>
            <w:tcW w:w="8190" w:type="dxa"/>
            <w:gridSpan w:val="8"/>
            <w:tcBorders>
              <w:top w:val="nil"/>
              <w:left w:val="nil"/>
              <w:bottom w:val="nil"/>
              <w:right w:val="nil"/>
            </w:tcBorders>
            <w:noWrap/>
            <w:vAlign w:val="bottom"/>
          </w:tcPr>
          <w:p>
            <w:pPr>
              <w:pStyle w:val="34"/>
              <w:snapToGrid w:val="0"/>
              <w:spacing w:beforeLines="0" w:afterLines="0" w:line="440" w:lineRule="exact"/>
              <w:outlineLvl w:val="0"/>
              <w:rPr>
                <w:rFonts w:hAnsi="宋体" w:cs="宋体"/>
                <w:color w:val="000000"/>
                <w:kern w:val="0"/>
              </w:rPr>
            </w:pPr>
            <w:r>
              <w:rPr>
                <w:rFonts w:hint="eastAsia" w:hAnsi="宋体" w:cs="宋体"/>
                <w:b/>
                <w:bCs/>
              </w:rPr>
              <w:t>附件1          杭州市临安区</w:t>
            </w:r>
            <w:r>
              <w:rPr>
                <w:rFonts w:hint="eastAsia" w:hAnsi="宋体" w:cs="宋体"/>
                <w:b/>
                <w:color w:val="000000"/>
              </w:rPr>
              <w:t>中医院保洁工作质量考评表</w:t>
            </w:r>
            <w:r>
              <w:rPr>
                <w:rFonts w:hint="eastAsia" w:hAnsi="宋体" w:cs="宋体"/>
                <w:color w:val="000000"/>
                <w:kern w:val="0"/>
              </w:rPr>
              <w:t>(病区护士长)</w:t>
            </w:r>
          </w:p>
          <w:p>
            <w:pPr>
              <w:pStyle w:val="34"/>
              <w:snapToGrid w:val="0"/>
              <w:spacing w:beforeLines="0" w:afterLines="0" w:line="440" w:lineRule="exact"/>
              <w:outlineLvl w:val="0"/>
              <w:rPr>
                <w:rFonts w:hAnsi="宋体" w:cs="宋体"/>
                <w:color w:val="000000"/>
              </w:rPr>
            </w:pPr>
            <w:r>
              <w:rPr>
                <w:rFonts w:hint="eastAsia" w:hAnsi="宋体" w:cs="宋体"/>
                <w:color w:val="000000"/>
                <w:kern w:val="0"/>
              </w:rPr>
              <w:t xml:space="preserve"> 科室          评分者      日期      得分</w:t>
            </w:r>
          </w:p>
        </w:tc>
      </w:tr>
      <w:tr>
        <w:tblPrEx>
          <w:tblCellMar>
            <w:top w:w="0" w:type="dxa"/>
            <w:left w:w="108" w:type="dxa"/>
            <w:bottom w:w="0" w:type="dxa"/>
            <w:right w:w="108" w:type="dxa"/>
          </w:tblCellMar>
        </w:tblPrEx>
        <w:trPr>
          <w:trHeight w:val="285" w:hRule="atLeast"/>
        </w:trPr>
        <w:tc>
          <w:tcPr>
            <w:tcW w:w="126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评价内容</w:t>
            </w:r>
          </w:p>
        </w:tc>
        <w:tc>
          <w:tcPr>
            <w:tcW w:w="1095"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应得分</w:t>
            </w:r>
          </w:p>
        </w:tc>
        <w:tc>
          <w:tcPr>
            <w:tcW w:w="294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评价标准</w:t>
            </w:r>
          </w:p>
        </w:tc>
        <w:tc>
          <w:tcPr>
            <w:tcW w:w="72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扣分</w:t>
            </w:r>
          </w:p>
        </w:tc>
        <w:tc>
          <w:tcPr>
            <w:tcW w:w="1314"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扣分理由</w:t>
            </w:r>
          </w:p>
        </w:tc>
        <w:tc>
          <w:tcPr>
            <w:tcW w:w="85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trHeight w:val="90" w:hRule="atLeast"/>
        </w:trPr>
        <w:tc>
          <w:tcPr>
            <w:tcW w:w="126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劳动纪律</w:t>
            </w:r>
          </w:p>
        </w:tc>
        <w:tc>
          <w:tcPr>
            <w:tcW w:w="1095"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1、上班不迟到、早退     2、工作时间在岗在位，无工作需要不窜岗闲聊      3、工作时间二人分工明确，保证一人在病区，护士呼叫及时应答</w:t>
            </w:r>
          </w:p>
        </w:tc>
        <w:tc>
          <w:tcPr>
            <w:tcW w:w="72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600" w:hRule="atLeast"/>
        </w:trPr>
        <w:tc>
          <w:tcPr>
            <w:tcW w:w="126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服务态度</w:t>
            </w:r>
          </w:p>
        </w:tc>
        <w:tc>
          <w:tcPr>
            <w:tcW w:w="1095"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1、服务主动热情 、无投诉、纠纷</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735" w:hRule="atLeast"/>
        </w:trPr>
        <w:tc>
          <w:tcPr>
            <w:tcW w:w="1266" w:type="dxa"/>
            <w:vMerge w:val="restart"/>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工作质量</w:t>
            </w:r>
          </w:p>
        </w:tc>
        <w:tc>
          <w:tcPr>
            <w:tcW w:w="555" w:type="dxa"/>
            <w:gridSpan w:val="2"/>
            <w:vMerge w:val="restart"/>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90</w:t>
            </w:r>
          </w:p>
        </w:tc>
        <w:tc>
          <w:tcPr>
            <w:tcW w:w="5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20</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1、病区墙面无灰尘              2、顶面无蜘蛛网，吊扇，日光灯、空调无积灰                                                  3、玻璃窗透明干净，窗台无污渍，镜子干净无污渍</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51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20</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1、病房地面干净 无积水、无瓜皮果壳，不发黑，无粘滞感                                     2、床头柜下面、各角落、楼梯扶手等清洁</w:t>
            </w:r>
          </w:p>
        </w:tc>
        <w:tc>
          <w:tcPr>
            <w:tcW w:w="72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51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20</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 xml:space="preserve">病房床单位（床档、床垫等）、床头柜、电视柜、壁橱、无灰尘及污渍，内外清洁，符合终末处置要求 </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85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10</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卫生间（包括大、小）干净、无垢无异味，冲洗及时，地面无积水，</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570"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垃圾桶、痰盂及时更换，保持干净无异味</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42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生活垃圾、医用垃圾分开处置，抹布、拖把处理符合消毒隔离要求，严格执行湿式清扫的要求</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85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标本送检及护理人员交代的工作完成及时无差错</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36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库房整洁、物品堆放齐整</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870" w:hRule="atLeast"/>
        </w:trPr>
        <w:tc>
          <w:tcPr>
            <w:tcW w:w="8190"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本病区当前最需要解决的问题是：</w:t>
            </w:r>
          </w:p>
        </w:tc>
      </w:tr>
      <w:tr>
        <w:tblPrEx>
          <w:tblCellMar>
            <w:top w:w="0" w:type="dxa"/>
            <w:left w:w="108" w:type="dxa"/>
            <w:bottom w:w="0" w:type="dxa"/>
            <w:right w:w="108" w:type="dxa"/>
          </w:tblCellMar>
        </w:tblPrEx>
        <w:trPr>
          <w:trHeight w:val="390" w:hRule="atLeast"/>
        </w:trPr>
        <w:tc>
          <w:tcPr>
            <w:tcW w:w="8190" w:type="dxa"/>
            <w:gridSpan w:val="8"/>
            <w:tcBorders>
              <w:top w:val="nil"/>
              <w:left w:val="nil"/>
              <w:bottom w:val="nil"/>
              <w:right w:val="nil"/>
            </w:tcBorders>
            <w:noWrap/>
            <w:vAlign w:val="bottom"/>
          </w:tcPr>
          <w:p>
            <w:pPr>
              <w:pStyle w:val="34"/>
              <w:snapToGrid w:val="0"/>
              <w:spacing w:beforeLines="0" w:afterLines="0" w:line="440" w:lineRule="exact"/>
              <w:outlineLvl w:val="0"/>
              <w:rPr>
                <w:rFonts w:hint="eastAsia" w:hAnsi="宋体" w:cs="宋体"/>
                <w:b/>
                <w:bCs/>
              </w:rPr>
            </w:pPr>
          </w:p>
          <w:p>
            <w:pPr>
              <w:pStyle w:val="34"/>
              <w:snapToGrid w:val="0"/>
              <w:spacing w:beforeLines="0" w:afterLines="0" w:line="440" w:lineRule="exact"/>
              <w:outlineLvl w:val="0"/>
              <w:rPr>
                <w:rFonts w:hint="eastAsia" w:hAnsi="宋体" w:cs="宋体"/>
                <w:b/>
                <w:bCs/>
              </w:rPr>
            </w:pPr>
          </w:p>
          <w:p>
            <w:pPr>
              <w:pStyle w:val="34"/>
              <w:snapToGrid w:val="0"/>
              <w:spacing w:beforeLines="0" w:afterLines="0" w:line="440" w:lineRule="exact"/>
              <w:outlineLvl w:val="0"/>
              <w:rPr>
                <w:rFonts w:hAnsi="宋体" w:cs="宋体"/>
                <w:color w:val="000000"/>
                <w:kern w:val="0"/>
              </w:rPr>
            </w:pPr>
            <w:r>
              <w:rPr>
                <w:rFonts w:hint="eastAsia" w:hAnsi="宋体" w:cs="宋体"/>
                <w:b/>
                <w:bCs/>
              </w:rPr>
              <w:t>附件2          杭州市临安</w:t>
            </w:r>
            <w:r>
              <w:rPr>
                <w:rFonts w:hint="eastAsia" w:hAnsi="宋体" w:cs="宋体"/>
                <w:b/>
                <w:color w:val="000000"/>
              </w:rPr>
              <w:t>中医院保洁工作质量考评表</w:t>
            </w:r>
            <w:r>
              <w:rPr>
                <w:rFonts w:hint="eastAsia" w:hAnsi="宋体" w:cs="宋体"/>
                <w:color w:val="000000"/>
                <w:kern w:val="0"/>
              </w:rPr>
              <w:t>(门诊护士长)</w:t>
            </w:r>
          </w:p>
          <w:p>
            <w:pPr>
              <w:pStyle w:val="34"/>
              <w:snapToGrid w:val="0"/>
              <w:spacing w:beforeLines="0" w:afterLines="0" w:line="440" w:lineRule="exact"/>
              <w:outlineLvl w:val="0"/>
              <w:rPr>
                <w:rFonts w:hAnsi="宋体" w:cs="宋体"/>
                <w:color w:val="000000"/>
              </w:rPr>
            </w:pPr>
            <w:r>
              <w:rPr>
                <w:rFonts w:hint="eastAsia" w:hAnsi="宋体" w:cs="宋体"/>
                <w:color w:val="000000"/>
                <w:kern w:val="0"/>
              </w:rPr>
              <w:t xml:space="preserve"> 科室          评分者      日期      得分</w:t>
            </w:r>
          </w:p>
        </w:tc>
      </w:tr>
      <w:tr>
        <w:tblPrEx>
          <w:tblCellMar>
            <w:top w:w="0" w:type="dxa"/>
            <w:left w:w="108" w:type="dxa"/>
            <w:bottom w:w="0" w:type="dxa"/>
            <w:right w:w="108" w:type="dxa"/>
          </w:tblCellMar>
        </w:tblPrEx>
        <w:trPr>
          <w:trHeight w:val="285" w:hRule="atLeast"/>
        </w:trPr>
        <w:tc>
          <w:tcPr>
            <w:tcW w:w="126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评价内容</w:t>
            </w:r>
          </w:p>
        </w:tc>
        <w:tc>
          <w:tcPr>
            <w:tcW w:w="1095"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应得分</w:t>
            </w:r>
          </w:p>
        </w:tc>
        <w:tc>
          <w:tcPr>
            <w:tcW w:w="294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评价标准</w:t>
            </w:r>
          </w:p>
        </w:tc>
        <w:tc>
          <w:tcPr>
            <w:tcW w:w="72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扣分</w:t>
            </w:r>
          </w:p>
        </w:tc>
        <w:tc>
          <w:tcPr>
            <w:tcW w:w="1314"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扣分理由</w:t>
            </w:r>
          </w:p>
        </w:tc>
        <w:tc>
          <w:tcPr>
            <w:tcW w:w="85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得分</w:t>
            </w:r>
          </w:p>
        </w:tc>
      </w:tr>
      <w:tr>
        <w:trPr>
          <w:trHeight w:val="90" w:hRule="atLeast"/>
        </w:trPr>
        <w:tc>
          <w:tcPr>
            <w:tcW w:w="126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劳动纪律</w:t>
            </w:r>
          </w:p>
        </w:tc>
        <w:tc>
          <w:tcPr>
            <w:tcW w:w="1095"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1、上班不迟到、早退     2、工作时间在岗在位，无工作需要不窜岗闲聊      3、</w:t>
            </w:r>
            <w:r>
              <w:rPr>
                <w:rFonts w:hint="eastAsia" w:ascii="宋体" w:hAnsi="宋体" w:cs="宋体"/>
                <w:sz w:val="24"/>
              </w:rPr>
              <w:t>新员工完成岗前培训后上岗</w:t>
            </w:r>
          </w:p>
        </w:tc>
        <w:tc>
          <w:tcPr>
            <w:tcW w:w="72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600" w:hRule="atLeast"/>
        </w:trPr>
        <w:tc>
          <w:tcPr>
            <w:tcW w:w="126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服务态度</w:t>
            </w:r>
          </w:p>
        </w:tc>
        <w:tc>
          <w:tcPr>
            <w:tcW w:w="1095"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1、服务主动热情 、无投诉、纠纷</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070" w:hRule="atLeast"/>
        </w:trPr>
        <w:tc>
          <w:tcPr>
            <w:tcW w:w="1266" w:type="dxa"/>
            <w:vMerge w:val="restart"/>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工作质量</w:t>
            </w:r>
          </w:p>
        </w:tc>
        <w:tc>
          <w:tcPr>
            <w:tcW w:w="510" w:type="dxa"/>
            <w:vMerge w:val="restart"/>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90</w:t>
            </w:r>
          </w:p>
        </w:tc>
        <w:tc>
          <w:tcPr>
            <w:tcW w:w="585"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20</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sz w:val="24"/>
              </w:rPr>
              <w:t>每日拖地二次，30分钟巡扫一次，地面整洁，无烟蒂杂物</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51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85"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20</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1、</w:t>
            </w:r>
            <w:r>
              <w:rPr>
                <w:rFonts w:hint="eastAsia" w:ascii="宋体" w:hAnsi="宋体" w:cs="宋体"/>
                <w:sz w:val="24"/>
              </w:rPr>
              <w:t>诊室桌面每日擦拭无积灰，窗台无积灰，天花板无蜘蛛网</w:t>
            </w:r>
            <w:r>
              <w:rPr>
                <w:rFonts w:hint="eastAsia" w:ascii="宋体" w:hAnsi="宋体" w:cs="宋体"/>
                <w:color w:val="000000"/>
                <w:kern w:val="0"/>
                <w:sz w:val="24"/>
              </w:rPr>
              <w:t xml:space="preserve">                                 2、</w:t>
            </w:r>
            <w:r>
              <w:rPr>
                <w:rFonts w:hint="eastAsia" w:ascii="宋体" w:hAnsi="宋体" w:cs="宋体"/>
                <w:sz w:val="24"/>
              </w:rPr>
              <w:t>候诊椅整齐清洁，及时开关门窗、空调等注意节能</w:t>
            </w:r>
          </w:p>
        </w:tc>
        <w:tc>
          <w:tcPr>
            <w:tcW w:w="72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20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85"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20</w:t>
            </w:r>
          </w:p>
        </w:tc>
        <w:tc>
          <w:tcPr>
            <w:tcW w:w="2940" w:type="dxa"/>
            <w:tcBorders>
              <w:top w:val="single" w:color="000000" w:sz="4" w:space="0"/>
              <w:left w:val="single" w:color="000000" w:sz="4" w:space="0"/>
              <w:bottom w:val="single" w:color="000000" w:sz="4" w:space="0"/>
              <w:right w:val="single" w:color="000000" w:sz="4" w:space="0"/>
            </w:tcBorders>
          </w:tcPr>
          <w:p>
            <w:pPr>
              <w:pStyle w:val="2"/>
              <w:rPr>
                <w:rFonts w:ascii="宋体" w:hAnsi="宋体" w:cs="宋体"/>
                <w:sz w:val="24"/>
              </w:rPr>
            </w:pPr>
          </w:p>
          <w:p>
            <w:pPr>
              <w:pStyle w:val="2"/>
              <w:rPr>
                <w:rFonts w:ascii="宋体" w:hAnsi="宋体" w:cs="宋体"/>
                <w:sz w:val="24"/>
              </w:rPr>
            </w:pPr>
            <w:r>
              <w:rPr>
                <w:rFonts w:hint="eastAsia" w:ascii="宋体" w:hAnsi="宋体" w:cs="宋体"/>
                <w:sz w:val="24"/>
              </w:rPr>
              <w:t>拖把、毛巾分色使用，符合消毒隔离规范</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163"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85"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10</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sz w:val="24"/>
              </w:rPr>
            </w:pPr>
            <w:r>
              <w:rPr>
                <w:rFonts w:hint="eastAsia" w:ascii="宋体" w:hAnsi="宋体" w:cs="宋体"/>
                <w:sz w:val="24"/>
              </w:rPr>
              <w:t>洗手瓷盆、便池、镜面、厕所清洁无异味，地面干燥，防滑垫清洁</w:t>
            </w:r>
          </w:p>
          <w:p>
            <w:pPr>
              <w:widowControl/>
              <w:jc w:val="left"/>
              <w:textAlignment w:val="top"/>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570"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85"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sz w:val="24"/>
              </w:rPr>
              <w:t>垃圾收集及时，规定地点存放，垃圾桶清洁</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74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85"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sz w:val="24"/>
              </w:rPr>
              <w:t>饮水机清洁，自助机每天2次清洁消毒</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85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85"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sz w:val="24"/>
              </w:rPr>
              <w:t>楼梯清洁干燥，扶手无积灰</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365" w:hRule="atLeast"/>
        </w:trPr>
        <w:tc>
          <w:tcPr>
            <w:tcW w:w="1266"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10"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585"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5</w:t>
            </w:r>
          </w:p>
        </w:tc>
        <w:tc>
          <w:tcPr>
            <w:tcW w:w="29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sz w:val="24"/>
              </w:rPr>
              <w:t>玻璃、不锈钢清洁，空调滤网按院感科要求规范清洁</w:t>
            </w:r>
          </w:p>
        </w:tc>
        <w:tc>
          <w:tcPr>
            <w:tcW w:w="720"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31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320" w:hRule="atLeast"/>
        </w:trPr>
        <w:tc>
          <w:tcPr>
            <w:tcW w:w="8190"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r>
              <w:rPr>
                <w:rFonts w:hint="eastAsia" w:ascii="宋体" w:hAnsi="宋体" w:cs="宋体"/>
                <w:color w:val="000000"/>
                <w:kern w:val="0"/>
                <w:sz w:val="24"/>
              </w:rPr>
              <w:t>本病区当前最需要解决的问题是：</w:t>
            </w:r>
          </w:p>
        </w:tc>
      </w:tr>
    </w:tbl>
    <w:p>
      <w:pPr>
        <w:pStyle w:val="2"/>
      </w:pPr>
    </w:p>
    <w:p>
      <w:pPr>
        <w:pStyle w:val="3"/>
        <w:ind w:firstLine="241"/>
      </w:pPr>
      <w:r>
        <w:rPr>
          <w:rFonts w:hint="eastAsia" w:ascii="宋体" w:hAnsi="宋体" w:cs="宋体"/>
          <w:b/>
          <w:bCs/>
          <w:color w:val="000000"/>
          <w:kern w:val="0"/>
          <w:sz w:val="24"/>
          <w:szCs w:val="24"/>
        </w:rPr>
        <w:t>附件3</w:t>
      </w:r>
    </w:p>
    <w:tbl>
      <w:tblPr>
        <w:tblStyle w:val="62"/>
        <w:tblpPr w:leftFromText="180" w:rightFromText="180" w:vertAnchor="text" w:horzAnchor="page" w:tblpX="1860" w:tblpY="221"/>
        <w:tblOverlap w:val="never"/>
        <w:tblW w:w="8451" w:type="dxa"/>
        <w:tblInd w:w="0" w:type="dxa"/>
        <w:tblLayout w:type="autofit"/>
        <w:tblCellMar>
          <w:top w:w="0" w:type="dxa"/>
          <w:left w:w="108" w:type="dxa"/>
          <w:bottom w:w="0" w:type="dxa"/>
          <w:right w:w="108" w:type="dxa"/>
        </w:tblCellMar>
      </w:tblPr>
      <w:tblGrid>
        <w:gridCol w:w="912"/>
        <w:gridCol w:w="495"/>
        <w:gridCol w:w="3765"/>
        <w:gridCol w:w="1062"/>
        <w:gridCol w:w="2217"/>
      </w:tblGrid>
      <w:tr>
        <w:tblPrEx>
          <w:tblCellMar>
            <w:top w:w="0" w:type="dxa"/>
            <w:left w:w="108" w:type="dxa"/>
            <w:bottom w:w="0" w:type="dxa"/>
            <w:right w:w="108" w:type="dxa"/>
          </w:tblCellMar>
        </w:tblPrEx>
        <w:trPr>
          <w:trHeight w:val="452" w:hRule="atLeast"/>
        </w:trPr>
        <w:tc>
          <w:tcPr>
            <w:tcW w:w="8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 xml:space="preserve">        杭州市临安区中医院保洁服务项目考评表（全院）</w:t>
            </w:r>
            <w:r>
              <w:rPr>
                <w:rFonts w:hint="eastAsia" w:ascii="宋体" w:hAnsi="宋体" w:cs="宋体"/>
                <w:color w:val="000000"/>
                <w:kern w:val="0"/>
                <w:sz w:val="24"/>
              </w:rPr>
              <w:t>(物资采购管理中心)</w:t>
            </w:r>
          </w:p>
        </w:tc>
      </w:tr>
      <w:tr>
        <w:tblPrEx>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检查区域</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检查内容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扣分（0.5-1分/处）</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存在问题</w:t>
            </w:r>
          </w:p>
        </w:tc>
      </w:tr>
      <w:tr>
        <w:tblPrEx>
          <w:tblCellMar>
            <w:top w:w="0" w:type="dxa"/>
            <w:left w:w="108" w:type="dxa"/>
            <w:bottom w:w="0" w:type="dxa"/>
            <w:right w:w="108" w:type="dxa"/>
          </w:tblCellMar>
        </w:tblPrEx>
        <w:trPr>
          <w:trHeight w:val="70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 xml:space="preserve">室内   </w:t>
            </w:r>
          </w:p>
          <w:p>
            <w:pPr>
              <w:widowControl/>
              <w:jc w:val="center"/>
              <w:textAlignment w:val="center"/>
              <w:rPr>
                <w:rFonts w:ascii="宋体" w:hAnsi="宋体" w:cs="宋体"/>
                <w:color w:val="000000"/>
                <w:sz w:val="24"/>
              </w:rPr>
            </w:pPr>
            <w:r>
              <w:rPr>
                <w:rFonts w:hint="eastAsia" w:ascii="宋体" w:hAnsi="宋体" w:cs="宋体"/>
                <w:color w:val="000000"/>
                <w:kern w:val="0"/>
                <w:sz w:val="24"/>
              </w:rPr>
              <w:t>卫生</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地面垃圾、积水、呕吐物、排泄物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设备带、床档、门框（百叶）、窗台、标识标牌积灰</w:t>
            </w:r>
          </w:p>
        </w:tc>
        <w:tc>
          <w:tcPr>
            <w:tcW w:w="1035" w:type="dxa"/>
            <w:tcBorders>
              <w:top w:val="nil"/>
              <w:left w:val="nil"/>
              <w:bottom w:val="nil"/>
              <w:right w:val="nil"/>
            </w:tcBorders>
            <w:shd w:val="clear" w:color="auto" w:fill="auto"/>
            <w:noWrap/>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墙角、贴脚边、开关积垢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墙角、天花板积蜘蛛网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空调出风口积灰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72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处置室水池积垢、地面积水、物品杂乱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70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电梯门、轿厢不洁、楼道口烟蒂、杂物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电脑主机箱、护士站吧台、物流桶、垃圾柜、标本盒积灰积垢</w:t>
            </w:r>
          </w:p>
        </w:tc>
        <w:tc>
          <w:tcPr>
            <w:tcW w:w="1035" w:type="dxa"/>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厕所</w:t>
            </w:r>
          </w:p>
          <w:p>
            <w:pPr>
              <w:widowControl/>
              <w:jc w:val="center"/>
              <w:textAlignment w:val="center"/>
              <w:rPr>
                <w:rFonts w:ascii="宋体" w:hAnsi="宋体" w:cs="宋体"/>
                <w:color w:val="000000"/>
                <w:sz w:val="24"/>
              </w:rPr>
            </w:pPr>
            <w:r>
              <w:rPr>
                <w:rFonts w:hint="eastAsia" w:ascii="宋体" w:hAnsi="宋体" w:cs="宋体"/>
                <w:color w:val="000000"/>
                <w:kern w:val="0"/>
                <w:sz w:val="24"/>
              </w:rPr>
              <w:t>卫生</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地面积水、积垢、防滑垫不洁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36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台盆、水龙头、镜面积垢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坐便器、浴室瓷砖积垢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73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垃圾桶不洁、更换不及时、有异味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随意放置拖把、粘贴纸张未清除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70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院感                 相关            工作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毛巾、拖把未分色使用、消毒和放置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06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地面血液、体液、排泄物处理不符院感要求，不注意手卫生，不知晓针刺伤处置流程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45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终末处理不符院感要求；消毒液配置不正确；不知晓隔离标识，隔离病人的保洁方法不正确，自我防护不正确。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14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生活垃圾</w:t>
            </w:r>
          </w:p>
          <w:p>
            <w:pPr>
              <w:widowControl/>
              <w:jc w:val="center"/>
              <w:textAlignment w:val="center"/>
              <w:rPr>
                <w:rFonts w:ascii="宋体" w:hAnsi="宋体" w:cs="宋体"/>
                <w:color w:val="000000"/>
                <w:sz w:val="24"/>
              </w:rPr>
            </w:pPr>
            <w:r>
              <w:rPr>
                <w:rFonts w:hint="eastAsia" w:ascii="宋体" w:hAnsi="宋体" w:cs="宋体"/>
                <w:color w:val="000000"/>
                <w:kern w:val="0"/>
                <w:sz w:val="24"/>
              </w:rPr>
              <w:t>管理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生活垃圾分类管理制度落实不到位，垃圾桶有污渍，生活垃圾分类投放不正确，与垃圾回收单位交接不规范。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72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外环           境卫生</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路面、通道、楼道有垃圾、污渍、痰迹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扶手、宣传栏、玻璃门窗、窗台积灰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座椅不洁、防滑措施不到位，有小广告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屋顶落水口堵塞、绿化带杂物、树叶多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108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仪表               及服务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未穿工作衣、未佩戴工牌，穿拖鞋、响底鞋、大声喧哗、吵架、语言不文明</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迟到、早退、串岗、扎堆聊天；有吸烟行为或遇到吸烟行为未能及时劝阻。</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接到投诉核实情况确实存在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45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制度流程</w:t>
            </w:r>
          </w:p>
          <w:p>
            <w:pPr>
              <w:widowControl/>
              <w:jc w:val="center"/>
              <w:textAlignment w:val="center"/>
              <w:rPr>
                <w:rFonts w:ascii="宋体" w:hAnsi="宋体" w:cs="宋体"/>
                <w:color w:val="000000"/>
                <w:sz w:val="24"/>
              </w:rPr>
            </w:pPr>
            <w:r>
              <w:rPr>
                <w:rFonts w:hint="eastAsia" w:ascii="宋体" w:hAnsi="宋体" w:cs="宋体"/>
                <w:color w:val="000000"/>
                <w:kern w:val="0"/>
                <w:sz w:val="24"/>
              </w:rPr>
              <w:t>人员配置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保洁人员的配置不符合院方要求；公司考核奖罚机制和制度不健全，岗位职责不明确，工作流程不合理。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8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学习</w:t>
            </w:r>
          </w:p>
          <w:p>
            <w:pPr>
              <w:widowControl/>
              <w:jc w:val="center"/>
              <w:textAlignment w:val="center"/>
              <w:rPr>
                <w:rFonts w:ascii="宋体" w:hAnsi="宋体" w:cs="宋体"/>
                <w:color w:val="000000"/>
                <w:sz w:val="24"/>
              </w:rPr>
            </w:pPr>
            <w:r>
              <w:rPr>
                <w:rFonts w:hint="eastAsia" w:ascii="宋体" w:hAnsi="宋体" w:cs="宋体"/>
                <w:color w:val="000000"/>
                <w:kern w:val="0"/>
                <w:sz w:val="24"/>
              </w:rPr>
              <w:t>培训</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员工未完成本岗位相关培训（上岗前培训、手卫生、生活垃圾分类、医疗垃圾处置、消防、院感、心肺复苏、电梯故障等）且未掌握相关知识。</w:t>
            </w:r>
          </w:p>
        </w:tc>
        <w:tc>
          <w:tcPr>
            <w:tcW w:w="1035" w:type="dxa"/>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4"/>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CellMar>
            <w:top w:w="0" w:type="dxa"/>
            <w:left w:w="108" w:type="dxa"/>
            <w:bottom w:w="0" w:type="dxa"/>
            <w:right w:w="108" w:type="dxa"/>
          </w:tblCellMar>
        </w:tblPrEx>
        <w:trPr>
          <w:trHeight w:val="480" w:hRule="atLeast"/>
        </w:trPr>
        <w:tc>
          <w:tcPr>
            <w:tcW w:w="8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总分：100分                                           得分：分</w:t>
            </w:r>
          </w:p>
        </w:tc>
      </w:tr>
      <w:tr>
        <w:tblPrEx>
          <w:tblCellMar>
            <w:top w:w="0" w:type="dxa"/>
            <w:left w:w="108" w:type="dxa"/>
            <w:bottom w:w="0" w:type="dxa"/>
            <w:right w:w="108" w:type="dxa"/>
          </w:tblCellMar>
        </w:tblPrEx>
        <w:trPr>
          <w:trHeight w:val="795" w:hRule="atLeast"/>
        </w:trPr>
        <w:tc>
          <w:tcPr>
            <w:tcW w:w="8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 xml:space="preserve">检查人员：     </w:t>
            </w:r>
          </w:p>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检查日期： </w:t>
            </w:r>
          </w:p>
        </w:tc>
      </w:tr>
    </w:tbl>
    <w:p>
      <w:pPr>
        <w:pStyle w:val="2"/>
      </w:pPr>
    </w:p>
    <w:p>
      <w:pPr>
        <w:pStyle w:val="34"/>
        <w:snapToGrid w:val="0"/>
        <w:spacing w:beforeLines="0" w:afterLines="0" w:line="440" w:lineRule="exact"/>
        <w:outlineLvl w:val="0"/>
        <w:rPr>
          <w:rFonts w:hAnsi="宋体"/>
          <w:b/>
          <w:color w:val="000000"/>
          <w:sz w:val="36"/>
          <w:szCs w:val="36"/>
        </w:rPr>
      </w:pPr>
    </w:p>
    <w:p>
      <w:pPr>
        <w:pStyle w:val="2"/>
        <w:rPr>
          <w:rFonts w:hint="eastAsia" w:ascii="宋体" w:hAnsi="宋体" w:cs="宋体"/>
          <w:b/>
          <w:bCs/>
          <w:sz w:val="24"/>
        </w:rPr>
      </w:pPr>
    </w:p>
    <w:p>
      <w:pPr>
        <w:pStyle w:val="2"/>
      </w:pPr>
      <w:r>
        <w:rPr>
          <w:rFonts w:hint="eastAsia" w:ascii="宋体" w:hAnsi="宋体" w:cs="宋体"/>
          <w:b/>
          <w:bCs/>
          <w:sz w:val="24"/>
        </w:rPr>
        <w:t>附件</w:t>
      </w:r>
      <w:r>
        <w:rPr>
          <w:rFonts w:hint="eastAsia" w:hAnsi="宋体" w:cs="宋体"/>
          <w:b/>
          <w:bCs/>
          <w:sz w:val="24"/>
        </w:rPr>
        <w:t>4</w:t>
      </w:r>
    </w:p>
    <w:tbl>
      <w:tblPr>
        <w:tblStyle w:val="62"/>
        <w:tblpPr w:leftFromText="180" w:rightFromText="180" w:vertAnchor="text" w:horzAnchor="page" w:tblpX="1825" w:tblpY="214"/>
        <w:tblOverlap w:val="never"/>
        <w:tblW w:w="8745" w:type="dxa"/>
        <w:tblInd w:w="0" w:type="dxa"/>
        <w:tblLayout w:type="fixed"/>
        <w:tblCellMar>
          <w:top w:w="0" w:type="dxa"/>
          <w:left w:w="108" w:type="dxa"/>
          <w:bottom w:w="0" w:type="dxa"/>
          <w:right w:w="108" w:type="dxa"/>
        </w:tblCellMar>
      </w:tblPr>
      <w:tblGrid>
        <w:gridCol w:w="1089"/>
        <w:gridCol w:w="1210"/>
        <w:gridCol w:w="2708"/>
        <w:gridCol w:w="726"/>
        <w:gridCol w:w="1947"/>
        <w:gridCol w:w="1065"/>
      </w:tblGrid>
      <w:tr>
        <w:tblPrEx>
          <w:tblCellMar>
            <w:top w:w="0" w:type="dxa"/>
            <w:left w:w="108" w:type="dxa"/>
            <w:bottom w:w="0" w:type="dxa"/>
            <w:right w:w="108" w:type="dxa"/>
          </w:tblCellMar>
        </w:tblPrEx>
        <w:trPr>
          <w:trHeight w:val="701" w:hRule="atLeast"/>
        </w:trPr>
        <w:tc>
          <w:tcPr>
            <w:tcW w:w="8745" w:type="dxa"/>
            <w:gridSpan w:val="6"/>
            <w:tcBorders>
              <w:top w:val="nil"/>
              <w:left w:val="nil"/>
              <w:bottom w:val="single" w:color="000000" w:sz="4" w:space="0"/>
              <w:right w:val="nil"/>
            </w:tcBorders>
            <w:noWrap/>
            <w:vAlign w:val="center"/>
          </w:tcPr>
          <w:p>
            <w:pPr>
              <w:pStyle w:val="34"/>
              <w:snapToGrid w:val="0"/>
              <w:spacing w:beforeLines="0" w:afterLines="0" w:line="440" w:lineRule="exact"/>
              <w:outlineLvl w:val="0"/>
              <w:rPr>
                <w:rFonts w:hAnsi="宋体" w:cs="宋体"/>
                <w:b/>
                <w:color w:val="000000"/>
                <w:kern w:val="0"/>
              </w:rPr>
            </w:pPr>
            <w:r>
              <w:rPr>
                <w:rFonts w:hint="eastAsia" w:hAnsi="宋体" w:cs="宋体"/>
                <w:b/>
                <w:bCs/>
              </w:rPr>
              <w:t>杭州市</w:t>
            </w:r>
            <w:r>
              <w:rPr>
                <w:rFonts w:hint="eastAsia" w:hAnsi="宋体" w:cs="宋体"/>
                <w:b/>
                <w:color w:val="000000"/>
              </w:rPr>
              <w:t>临安区中医院勤务中心（包括陪护）工作质量考核表</w:t>
            </w:r>
            <w:r>
              <w:rPr>
                <w:rFonts w:hint="eastAsia" w:hAnsi="宋体" w:cs="宋体"/>
                <w:bCs/>
                <w:color w:val="000000"/>
              </w:rPr>
              <w:t>(病区护士长)</w:t>
            </w:r>
          </w:p>
          <w:p>
            <w:pPr>
              <w:widowControl/>
              <w:jc w:val="left"/>
              <w:textAlignment w:val="center"/>
              <w:rPr>
                <w:rFonts w:ascii="宋体" w:hAnsi="宋体" w:cs="宋体"/>
                <w:b/>
                <w:color w:val="000000"/>
                <w:kern w:val="0"/>
                <w:sz w:val="24"/>
              </w:rPr>
            </w:pPr>
          </w:p>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 xml:space="preserve">科室            评分者          日期               得分 </w:t>
            </w:r>
          </w:p>
        </w:tc>
      </w:tr>
      <w:tr>
        <w:tblPrEx>
          <w:tblCellMar>
            <w:top w:w="0" w:type="dxa"/>
            <w:left w:w="108" w:type="dxa"/>
            <w:bottom w:w="0" w:type="dxa"/>
            <w:right w:w="108" w:type="dxa"/>
          </w:tblCellMar>
        </w:tblPrEx>
        <w:trPr>
          <w:trHeight w:val="870" w:hRule="atLeast"/>
        </w:trPr>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评价内容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应得分</w:t>
            </w:r>
          </w:p>
        </w:tc>
        <w:tc>
          <w:tcPr>
            <w:tcW w:w="2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评价标准</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扣分</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扣分理由</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trHeight w:val="3218" w:hRule="atLeast"/>
        </w:trPr>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劳动纪律</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708"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ascii="宋体" w:hAnsi="宋体" w:eastAsia="宋体" w:cs="宋体"/>
                <w:color w:val="000000"/>
                <w:kern w:val="0"/>
                <w:sz w:val="24"/>
                <w:lang w:eastAsia="zh-CN"/>
              </w:rPr>
            </w:pPr>
            <w:r>
              <w:rPr>
                <w:rFonts w:hint="eastAsia" w:ascii="宋体" w:hAnsi="宋体" w:cs="宋体"/>
                <w:color w:val="000000"/>
                <w:kern w:val="0"/>
                <w:sz w:val="24"/>
              </w:rPr>
              <w:t>1.上下班不迟到早退一处不符扣2分。</w:t>
            </w:r>
          </w:p>
          <w:p>
            <w:pPr>
              <w:widowControl/>
              <w:jc w:val="center"/>
              <w:textAlignment w:val="top"/>
              <w:rPr>
                <w:rFonts w:hint="eastAsia" w:ascii="宋体" w:hAnsi="宋体" w:eastAsia="宋体" w:cs="宋体"/>
                <w:color w:val="000000"/>
                <w:kern w:val="0"/>
                <w:sz w:val="24"/>
                <w:lang w:eastAsia="zh-CN"/>
              </w:rPr>
            </w:pPr>
            <w:r>
              <w:rPr>
                <w:rFonts w:hint="eastAsia" w:ascii="宋体" w:hAnsi="宋体" w:cs="宋体"/>
                <w:color w:val="000000"/>
                <w:kern w:val="0"/>
                <w:sz w:val="24"/>
              </w:rPr>
              <w:t>2.班长在岗在位，合理分配，协调工作，一处不符扣3分。</w:t>
            </w:r>
          </w:p>
          <w:p>
            <w:pPr>
              <w:widowControl/>
              <w:jc w:val="center"/>
              <w:textAlignment w:val="top"/>
              <w:rPr>
                <w:rFonts w:hint="eastAsia" w:ascii="宋体" w:hAnsi="宋体" w:eastAsia="宋体" w:cs="宋体"/>
                <w:color w:val="000000"/>
                <w:kern w:val="0"/>
                <w:sz w:val="24"/>
                <w:lang w:eastAsia="zh-CN"/>
              </w:rPr>
            </w:pPr>
            <w:r>
              <w:rPr>
                <w:rFonts w:hint="eastAsia" w:ascii="宋体" w:hAnsi="宋体" w:cs="宋体"/>
                <w:color w:val="000000"/>
                <w:kern w:val="0"/>
                <w:sz w:val="24"/>
              </w:rPr>
              <w:t>3.对临床呼叫及时应答，不符扣5分。</w:t>
            </w:r>
          </w:p>
          <w:p>
            <w:pPr>
              <w:widowControl/>
              <w:jc w:val="center"/>
              <w:textAlignment w:val="top"/>
              <w:rPr>
                <w:rFonts w:ascii="宋体" w:hAnsi="宋体" w:cs="宋体"/>
                <w:color w:val="000000"/>
                <w:sz w:val="24"/>
              </w:rPr>
            </w:pPr>
            <w:r>
              <w:rPr>
                <w:rFonts w:hint="eastAsia" w:ascii="宋体" w:hAnsi="宋体" w:cs="宋体"/>
                <w:color w:val="000000"/>
                <w:kern w:val="0"/>
                <w:sz w:val="24"/>
              </w:rPr>
              <w:t>4．服装统一，仪表整洁，一处不符扣2分。</w:t>
            </w:r>
          </w:p>
        </w:tc>
        <w:tc>
          <w:tcPr>
            <w:tcW w:w="72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947"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331" w:hRule="atLeast"/>
        </w:trPr>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服务态度</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708"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服务主动热情 、无投诉、纠纷，一处不符扣5分。</w:t>
            </w:r>
          </w:p>
        </w:tc>
        <w:tc>
          <w:tcPr>
            <w:tcW w:w="726"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947"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301" w:hRule="atLeast"/>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工作质量</w:t>
            </w:r>
          </w:p>
        </w:tc>
        <w:tc>
          <w:tcPr>
            <w:tcW w:w="12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80</w:t>
            </w:r>
          </w:p>
        </w:tc>
        <w:tc>
          <w:tcPr>
            <w:tcW w:w="2708"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标本送检及时、规范，签到、记录及时规范，一处不符扣2分。</w:t>
            </w:r>
          </w:p>
        </w:tc>
        <w:tc>
          <w:tcPr>
            <w:tcW w:w="72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947"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286"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2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708"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物资运送及时、准确，无毁损，一处不符扣5分</w:t>
            </w:r>
          </w:p>
        </w:tc>
        <w:tc>
          <w:tcPr>
            <w:tcW w:w="726"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947"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773"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2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708"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病人会诊单送达、检查单预约、病人检查护送及时、安全、准确、无漏送，一处不符扣5分</w:t>
            </w:r>
          </w:p>
        </w:tc>
        <w:tc>
          <w:tcPr>
            <w:tcW w:w="72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947"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4"/>
              </w:rPr>
            </w:pPr>
          </w:p>
        </w:tc>
      </w:tr>
      <w:tr>
        <w:tblPrEx>
          <w:tblCellMar>
            <w:top w:w="0" w:type="dxa"/>
            <w:left w:w="108" w:type="dxa"/>
            <w:bottom w:w="0" w:type="dxa"/>
            <w:right w:w="108" w:type="dxa"/>
          </w:tblCellMar>
        </w:tblPrEx>
        <w:trPr>
          <w:trHeight w:val="1338" w:hRule="atLeast"/>
        </w:trPr>
        <w:tc>
          <w:tcPr>
            <w:tcW w:w="874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rPr>
            </w:pPr>
            <w:r>
              <w:rPr>
                <w:rFonts w:hint="eastAsia" w:ascii="宋体" w:hAnsi="宋体" w:cs="宋体"/>
                <w:color w:val="000000"/>
                <w:kern w:val="0"/>
                <w:sz w:val="24"/>
              </w:rPr>
              <w:t>本病区当前最需要解决的问题是：</w:t>
            </w:r>
          </w:p>
        </w:tc>
      </w:tr>
    </w:tbl>
    <w:p>
      <w:pPr>
        <w:rPr>
          <w:rFonts w:ascii="宋体" w:hAnsi="宋体" w:cs="宋体"/>
          <w:b/>
          <w:color w:val="000000"/>
          <w:sz w:val="24"/>
        </w:rPr>
      </w:pPr>
    </w:p>
    <w:p>
      <w:pPr>
        <w:widowControl/>
        <w:adjustRightInd/>
        <w:jc w:val="left"/>
        <w:rPr>
          <w:rFonts w:ascii="宋体" w:hAnsi="宋体" w:cs="宋体"/>
          <w:b/>
          <w:color w:val="000000"/>
          <w:sz w:val="24"/>
        </w:rPr>
      </w:pPr>
      <w:r>
        <w:rPr>
          <w:rFonts w:ascii="宋体" w:hAnsi="宋体" w:cs="宋体"/>
          <w:b/>
          <w:color w:val="000000"/>
          <w:sz w:val="24"/>
        </w:rPr>
        <w:br w:type="page"/>
      </w:r>
    </w:p>
    <w:p>
      <w:pPr>
        <w:snapToGrid w:val="0"/>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29" w:name="_Toc184310289"/>
      <w:bookmarkEnd w:id="29"/>
      <w:bookmarkStart w:id="30" w:name="_Toc184313291"/>
      <w:bookmarkEnd w:id="30"/>
      <w:bookmarkStart w:id="31" w:name="_Toc184314447"/>
      <w:bookmarkEnd w:id="31"/>
      <w:bookmarkStart w:id="32" w:name="_Toc184308098"/>
      <w:bookmarkEnd w:id="32"/>
      <w:bookmarkStart w:id="33" w:name="_Toc184314482"/>
      <w:bookmarkEnd w:id="33"/>
      <w:bookmarkStart w:id="34" w:name="_Toc184312119"/>
      <w:bookmarkEnd w:id="34"/>
      <w:bookmarkStart w:id="35" w:name="_Toc184312085"/>
      <w:bookmarkEnd w:id="35"/>
      <w:bookmarkStart w:id="36" w:name="_Toc184312117"/>
      <w:bookmarkEnd w:id="36"/>
      <w:bookmarkStart w:id="37" w:name="_Toc184312106"/>
      <w:bookmarkEnd w:id="37"/>
      <w:bookmarkStart w:id="38" w:name="_Toc184310305"/>
      <w:bookmarkEnd w:id="38"/>
      <w:bookmarkStart w:id="39" w:name="_Toc184314462"/>
      <w:bookmarkEnd w:id="39"/>
      <w:bookmarkStart w:id="40" w:name="_Toc184314413"/>
      <w:bookmarkEnd w:id="40"/>
      <w:bookmarkStart w:id="41" w:name="_Toc184313301"/>
      <w:bookmarkEnd w:id="41"/>
      <w:bookmarkStart w:id="42" w:name="_Toc184313276"/>
      <w:bookmarkEnd w:id="42"/>
      <w:bookmarkStart w:id="43" w:name="_Toc184310297"/>
      <w:bookmarkEnd w:id="43"/>
      <w:bookmarkStart w:id="44" w:name="_Toc184313268"/>
      <w:bookmarkEnd w:id="44"/>
      <w:bookmarkStart w:id="45" w:name="_Toc184308047"/>
      <w:bookmarkEnd w:id="45"/>
      <w:bookmarkStart w:id="46" w:name="_Toc184314449"/>
      <w:bookmarkEnd w:id="46"/>
      <w:bookmarkStart w:id="47" w:name="_Toc184310320"/>
      <w:bookmarkEnd w:id="47"/>
      <w:bookmarkStart w:id="48" w:name="_Toc184313259"/>
      <w:bookmarkEnd w:id="48"/>
      <w:bookmarkStart w:id="49" w:name="_Toc184308036"/>
      <w:bookmarkEnd w:id="49"/>
      <w:bookmarkStart w:id="50" w:name="_Toc184313294"/>
      <w:bookmarkEnd w:id="50"/>
      <w:bookmarkStart w:id="51" w:name="_Toc184314424"/>
      <w:bookmarkEnd w:id="51"/>
      <w:bookmarkStart w:id="52" w:name="_Toc184308096"/>
      <w:bookmarkEnd w:id="52"/>
      <w:bookmarkStart w:id="53" w:name="_Toc184312132"/>
      <w:bookmarkEnd w:id="53"/>
      <w:bookmarkStart w:id="54" w:name="_Toc184313262"/>
      <w:bookmarkEnd w:id="54"/>
      <w:bookmarkStart w:id="55" w:name="_Toc184308085"/>
      <w:bookmarkEnd w:id="55"/>
      <w:bookmarkStart w:id="56" w:name="_Toc184308091"/>
      <w:bookmarkEnd w:id="56"/>
      <w:bookmarkStart w:id="57" w:name="_Toc184313282"/>
      <w:bookmarkEnd w:id="57"/>
      <w:bookmarkStart w:id="58" w:name="_Toc184314452"/>
      <w:bookmarkEnd w:id="58"/>
      <w:bookmarkStart w:id="59" w:name="_Toc184310318"/>
      <w:bookmarkEnd w:id="59"/>
      <w:bookmarkStart w:id="60" w:name="_Toc184312126"/>
      <w:bookmarkEnd w:id="60"/>
      <w:bookmarkStart w:id="61" w:name="_Toc184314479"/>
      <w:bookmarkEnd w:id="61"/>
      <w:bookmarkStart w:id="62" w:name="_Toc184312131"/>
      <w:bookmarkEnd w:id="62"/>
      <w:bookmarkStart w:id="63" w:name="_Toc184313274"/>
      <w:bookmarkEnd w:id="63"/>
      <w:bookmarkStart w:id="64" w:name="_Toc184308079"/>
      <w:bookmarkEnd w:id="64"/>
      <w:bookmarkStart w:id="65" w:name="_Toc184313265"/>
      <w:bookmarkEnd w:id="65"/>
      <w:bookmarkStart w:id="66" w:name="_Toc184314423"/>
      <w:bookmarkEnd w:id="66"/>
      <w:bookmarkStart w:id="67" w:name="_Toc184313238"/>
      <w:bookmarkEnd w:id="67"/>
      <w:bookmarkStart w:id="68" w:name="_Toc184313278"/>
      <w:bookmarkEnd w:id="68"/>
      <w:bookmarkStart w:id="69" w:name="_Toc184312074"/>
      <w:bookmarkEnd w:id="69"/>
      <w:bookmarkStart w:id="70" w:name="_Toc184310324"/>
      <w:bookmarkEnd w:id="70"/>
      <w:bookmarkStart w:id="71" w:name="_Toc184312102"/>
      <w:bookmarkEnd w:id="71"/>
      <w:bookmarkStart w:id="72" w:name="_Toc184308068"/>
      <w:bookmarkEnd w:id="72"/>
      <w:bookmarkStart w:id="73" w:name="_Toc184312079"/>
      <w:bookmarkEnd w:id="73"/>
      <w:bookmarkStart w:id="74" w:name="_Toc184314472"/>
      <w:bookmarkEnd w:id="74"/>
      <w:bookmarkStart w:id="75" w:name="_Toc184308106"/>
      <w:bookmarkEnd w:id="75"/>
      <w:bookmarkStart w:id="76" w:name="_Toc184314414"/>
      <w:bookmarkEnd w:id="76"/>
      <w:bookmarkStart w:id="77" w:name="_Toc184314417"/>
      <w:bookmarkEnd w:id="77"/>
      <w:bookmarkStart w:id="78" w:name="_Toc184313246"/>
      <w:bookmarkEnd w:id="78"/>
      <w:bookmarkStart w:id="79" w:name="_Toc184312097"/>
      <w:bookmarkEnd w:id="79"/>
      <w:bookmarkStart w:id="80" w:name="_Toc184310304"/>
      <w:bookmarkEnd w:id="80"/>
      <w:bookmarkStart w:id="81" w:name="_Toc184313308"/>
      <w:bookmarkEnd w:id="81"/>
      <w:bookmarkStart w:id="82" w:name="_Toc184314415"/>
      <w:bookmarkEnd w:id="82"/>
      <w:bookmarkStart w:id="83" w:name="_Toc184312069"/>
      <w:bookmarkEnd w:id="83"/>
      <w:bookmarkStart w:id="84" w:name="_Toc184310285"/>
      <w:bookmarkEnd w:id="84"/>
      <w:bookmarkStart w:id="85" w:name="_Toc184314429"/>
      <w:bookmarkEnd w:id="85"/>
      <w:bookmarkStart w:id="86" w:name="_Toc184313295"/>
      <w:bookmarkEnd w:id="86"/>
      <w:bookmarkStart w:id="87" w:name="_Toc184313266"/>
      <w:bookmarkEnd w:id="87"/>
      <w:bookmarkStart w:id="88" w:name="_Toc184312094"/>
      <w:bookmarkEnd w:id="88"/>
      <w:bookmarkStart w:id="89" w:name="_Toc184314457"/>
      <w:bookmarkEnd w:id="89"/>
      <w:bookmarkStart w:id="90" w:name="_Toc184312130"/>
      <w:bookmarkEnd w:id="90"/>
      <w:bookmarkStart w:id="91" w:name="_Toc184312073"/>
      <w:bookmarkEnd w:id="91"/>
      <w:bookmarkStart w:id="92" w:name="_Toc184312091"/>
      <w:bookmarkEnd w:id="92"/>
      <w:bookmarkStart w:id="93" w:name="_Toc184314439"/>
      <w:bookmarkEnd w:id="93"/>
      <w:bookmarkStart w:id="94" w:name="_Toc184312112"/>
      <w:bookmarkEnd w:id="94"/>
      <w:bookmarkStart w:id="95" w:name="_Toc184313241"/>
      <w:bookmarkEnd w:id="95"/>
      <w:bookmarkStart w:id="96" w:name="_Toc184312136"/>
      <w:bookmarkEnd w:id="96"/>
      <w:bookmarkStart w:id="97" w:name="_Toc184308048"/>
      <w:bookmarkEnd w:id="97"/>
      <w:bookmarkStart w:id="98" w:name="_Toc184310340"/>
      <w:bookmarkEnd w:id="98"/>
      <w:bookmarkStart w:id="99" w:name="_Toc184310299"/>
      <w:bookmarkEnd w:id="99"/>
      <w:bookmarkStart w:id="100" w:name="_Toc184313248"/>
      <w:bookmarkEnd w:id="100"/>
      <w:bookmarkStart w:id="101" w:name="_Toc184308039"/>
      <w:bookmarkEnd w:id="101"/>
      <w:bookmarkStart w:id="102" w:name="_Toc184312093"/>
      <w:bookmarkEnd w:id="102"/>
      <w:bookmarkStart w:id="103" w:name="_Toc184313281"/>
      <w:bookmarkEnd w:id="103"/>
      <w:bookmarkStart w:id="104" w:name="_Toc184308043"/>
      <w:bookmarkEnd w:id="104"/>
      <w:bookmarkStart w:id="105" w:name="_Toc184310334"/>
      <w:bookmarkEnd w:id="105"/>
      <w:bookmarkStart w:id="106" w:name="_Toc184314477"/>
      <w:bookmarkEnd w:id="106"/>
      <w:bookmarkStart w:id="107" w:name="_Toc184308095"/>
      <w:bookmarkEnd w:id="107"/>
      <w:bookmarkStart w:id="108" w:name="_Toc184310286"/>
      <w:bookmarkEnd w:id="108"/>
      <w:bookmarkStart w:id="109" w:name="_Toc184314460"/>
      <w:bookmarkEnd w:id="109"/>
      <w:bookmarkStart w:id="110" w:name="_Toc184312087"/>
      <w:bookmarkEnd w:id="110"/>
      <w:bookmarkStart w:id="111" w:name="_Toc184312086"/>
      <w:bookmarkEnd w:id="111"/>
      <w:bookmarkStart w:id="112" w:name="_Toc184310323"/>
      <w:bookmarkEnd w:id="112"/>
      <w:bookmarkStart w:id="113" w:name="_Toc184314465"/>
      <w:bookmarkEnd w:id="113"/>
      <w:bookmarkStart w:id="114" w:name="_Toc184312124"/>
      <w:bookmarkEnd w:id="114"/>
      <w:bookmarkStart w:id="115" w:name="_Toc184308055"/>
      <w:bookmarkEnd w:id="115"/>
      <w:bookmarkStart w:id="116" w:name="_Toc184314450"/>
      <w:bookmarkEnd w:id="116"/>
      <w:bookmarkStart w:id="117" w:name="_Toc184308102"/>
      <w:bookmarkEnd w:id="117"/>
      <w:bookmarkStart w:id="118" w:name="_Toc184313244"/>
      <w:bookmarkEnd w:id="118"/>
      <w:bookmarkStart w:id="119" w:name="_Toc184313303"/>
      <w:bookmarkEnd w:id="119"/>
      <w:bookmarkStart w:id="120" w:name="_Toc184313277"/>
      <w:bookmarkEnd w:id="120"/>
      <w:bookmarkStart w:id="121" w:name="_Toc184313287"/>
      <w:bookmarkEnd w:id="121"/>
      <w:bookmarkStart w:id="122" w:name="_Toc184313250"/>
      <w:bookmarkEnd w:id="122"/>
      <w:bookmarkStart w:id="123" w:name="_Toc184313288"/>
      <w:bookmarkEnd w:id="123"/>
      <w:bookmarkStart w:id="124" w:name="_Toc184314444"/>
      <w:bookmarkEnd w:id="124"/>
      <w:bookmarkStart w:id="125" w:name="_Toc184308088"/>
      <w:bookmarkEnd w:id="125"/>
      <w:bookmarkStart w:id="126" w:name="_Toc184310280"/>
      <w:bookmarkEnd w:id="126"/>
      <w:bookmarkStart w:id="127" w:name="_Toc184314470"/>
      <w:bookmarkEnd w:id="127"/>
      <w:bookmarkStart w:id="128" w:name="_Toc184308108"/>
      <w:bookmarkEnd w:id="128"/>
      <w:bookmarkStart w:id="129" w:name="_Toc184310337"/>
      <w:bookmarkEnd w:id="129"/>
      <w:bookmarkStart w:id="130" w:name="_Toc184313279"/>
      <w:bookmarkEnd w:id="130"/>
      <w:bookmarkStart w:id="131" w:name="_Toc184308069"/>
      <w:bookmarkEnd w:id="131"/>
      <w:bookmarkStart w:id="132" w:name="_Toc184310288"/>
      <w:bookmarkEnd w:id="132"/>
      <w:bookmarkStart w:id="133" w:name="_Toc184308107"/>
      <w:bookmarkEnd w:id="133"/>
      <w:bookmarkStart w:id="134" w:name="_Toc184308040"/>
      <w:bookmarkEnd w:id="134"/>
      <w:bookmarkStart w:id="135" w:name="_Toc184310307"/>
      <w:bookmarkEnd w:id="135"/>
      <w:bookmarkStart w:id="136" w:name="_Toc184310325"/>
      <w:bookmarkEnd w:id="136"/>
      <w:bookmarkStart w:id="137" w:name="_Toc184312099"/>
      <w:bookmarkEnd w:id="137"/>
      <w:bookmarkStart w:id="138" w:name="_Toc184312116"/>
      <w:bookmarkEnd w:id="138"/>
      <w:bookmarkStart w:id="139" w:name="_Toc184308100"/>
      <w:bookmarkEnd w:id="139"/>
      <w:bookmarkStart w:id="140" w:name="_Toc184313242"/>
      <w:bookmarkEnd w:id="140"/>
      <w:bookmarkStart w:id="141" w:name="_Toc184312129"/>
      <w:bookmarkEnd w:id="141"/>
      <w:bookmarkStart w:id="142" w:name="_Toc184312109"/>
      <w:bookmarkEnd w:id="142"/>
      <w:bookmarkStart w:id="143" w:name="_Toc184313306"/>
      <w:bookmarkEnd w:id="143"/>
      <w:bookmarkStart w:id="144" w:name="_Toc184308084"/>
      <w:bookmarkEnd w:id="144"/>
      <w:bookmarkStart w:id="145" w:name="_Toc184314418"/>
      <w:bookmarkEnd w:id="145"/>
      <w:bookmarkStart w:id="146" w:name="_Toc184310317"/>
      <w:bookmarkEnd w:id="146"/>
      <w:bookmarkStart w:id="147" w:name="_Toc184312075"/>
      <w:bookmarkEnd w:id="147"/>
      <w:bookmarkStart w:id="148" w:name="_Toc184312068"/>
      <w:bookmarkEnd w:id="148"/>
      <w:bookmarkStart w:id="149" w:name="_Toc184310314"/>
      <w:bookmarkEnd w:id="149"/>
      <w:bookmarkStart w:id="150" w:name="_Toc184312098"/>
      <w:bookmarkEnd w:id="150"/>
      <w:bookmarkStart w:id="151" w:name="_Toc184310312"/>
      <w:bookmarkEnd w:id="151"/>
      <w:bookmarkStart w:id="152" w:name="_Toc184310308"/>
      <w:bookmarkEnd w:id="152"/>
      <w:bookmarkStart w:id="153" w:name="_Toc184314478"/>
      <w:bookmarkEnd w:id="153"/>
      <w:bookmarkStart w:id="154" w:name="_Toc184313298"/>
      <w:bookmarkEnd w:id="154"/>
      <w:bookmarkStart w:id="155" w:name="_Toc184308101"/>
      <w:bookmarkEnd w:id="155"/>
      <w:bookmarkStart w:id="156" w:name="_Toc184312113"/>
      <w:bookmarkEnd w:id="156"/>
      <w:bookmarkStart w:id="157" w:name="_Toc184310272"/>
      <w:bookmarkEnd w:id="157"/>
      <w:bookmarkStart w:id="158" w:name="_Toc184314476"/>
      <w:bookmarkEnd w:id="158"/>
      <w:bookmarkStart w:id="159" w:name="_Toc184314421"/>
      <w:bookmarkEnd w:id="159"/>
      <w:bookmarkStart w:id="160" w:name="_Toc184314445"/>
      <w:bookmarkEnd w:id="160"/>
      <w:bookmarkStart w:id="161" w:name="_Toc184312137"/>
      <w:bookmarkEnd w:id="161"/>
      <w:bookmarkStart w:id="162" w:name="_Toc184312078"/>
      <w:bookmarkEnd w:id="162"/>
      <w:bookmarkStart w:id="163" w:name="_Toc184314453"/>
      <w:bookmarkEnd w:id="163"/>
      <w:bookmarkStart w:id="164" w:name="_Toc184314411"/>
      <w:bookmarkEnd w:id="164"/>
      <w:bookmarkStart w:id="165" w:name="_Toc184314427"/>
      <w:bookmarkEnd w:id="165"/>
      <w:bookmarkStart w:id="166" w:name="_Toc184312090"/>
      <w:bookmarkEnd w:id="166"/>
      <w:bookmarkStart w:id="167" w:name="_Toc184310284"/>
      <w:bookmarkEnd w:id="167"/>
      <w:bookmarkStart w:id="168" w:name="_Toc184310287"/>
      <w:bookmarkEnd w:id="168"/>
      <w:bookmarkStart w:id="169" w:name="_Toc184314454"/>
      <w:bookmarkEnd w:id="169"/>
      <w:bookmarkStart w:id="170" w:name="_Toc184310329"/>
      <w:bookmarkEnd w:id="170"/>
      <w:bookmarkStart w:id="171" w:name="_Toc184314428"/>
      <w:bookmarkEnd w:id="171"/>
      <w:bookmarkStart w:id="172" w:name="_Toc184310302"/>
      <w:bookmarkEnd w:id="172"/>
      <w:bookmarkStart w:id="173" w:name="_Toc184308073"/>
      <w:bookmarkEnd w:id="173"/>
      <w:bookmarkStart w:id="174" w:name="_Toc184313286"/>
      <w:bookmarkEnd w:id="174"/>
      <w:bookmarkStart w:id="175" w:name="_Toc184314446"/>
      <w:bookmarkEnd w:id="175"/>
      <w:bookmarkStart w:id="176" w:name="_Toc184312104"/>
      <w:bookmarkEnd w:id="176"/>
      <w:bookmarkStart w:id="177" w:name="_Toc184308078"/>
      <w:bookmarkEnd w:id="177"/>
      <w:bookmarkStart w:id="178" w:name="_Toc184313293"/>
      <w:bookmarkEnd w:id="178"/>
      <w:bookmarkStart w:id="179" w:name="_Toc184310283"/>
      <w:bookmarkEnd w:id="179"/>
      <w:bookmarkStart w:id="180" w:name="_Toc184313302"/>
      <w:bookmarkEnd w:id="180"/>
      <w:bookmarkStart w:id="181" w:name="_Toc184308077"/>
      <w:bookmarkEnd w:id="181"/>
      <w:bookmarkStart w:id="182" w:name="_Toc184312067"/>
      <w:bookmarkEnd w:id="182"/>
      <w:bookmarkStart w:id="183" w:name="_Toc184312123"/>
      <w:bookmarkEnd w:id="183"/>
      <w:bookmarkStart w:id="184" w:name="_Toc184313290"/>
      <w:bookmarkEnd w:id="184"/>
      <w:bookmarkStart w:id="185" w:name="_Toc184314420"/>
      <w:bookmarkEnd w:id="185"/>
      <w:bookmarkStart w:id="186" w:name="_Toc184310338"/>
      <w:bookmarkEnd w:id="186"/>
      <w:bookmarkStart w:id="187" w:name="_Toc184308104"/>
      <w:bookmarkEnd w:id="187"/>
      <w:bookmarkStart w:id="188" w:name="_Toc184312139"/>
      <w:bookmarkEnd w:id="188"/>
      <w:bookmarkStart w:id="189" w:name="_Toc184313247"/>
      <w:bookmarkEnd w:id="189"/>
      <w:bookmarkStart w:id="190" w:name="_Toc184313280"/>
      <w:bookmarkEnd w:id="190"/>
      <w:bookmarkStart w:id="191" w:name="_Toc184308092"/>
      <w:bookmarkEnd w:id="191"/>
      <w:bookmarkStart w:id="192" w:name="_Toc184314469"/>
      <w:bookmarkEnd w:id="192"/>
      <w:bookmarkStart w:id="193" w:name="_Toc184308074"/>
      <w:bookmarkEnd w:id="193"/>
      <w:bookmarkStart w:id="194" w:name="_Toc184308060"/>
      <w:bookmarkEnd w:id="194"/>
      <w:bookmarkStart w:id="195" w:name="_Toc184312138"/>
      <w:bookmarkEnd w:id="195"/>
      <w:bookmarkStart w:id="196" w:name="_Toc184314437"/>
      <w:bookmarkEnd w:id="196"/>
      <w:bookmarkStart w:id="197" w:name="_Toc184314435"/>
      <w:bookmarkEnd w:id="197"/>
      <w:bookmarkStart w:id="198" w:name="_Toc184312118"/>
      <w:bookmarkEnd w:id="198"/>
      <w:bookmarkStart w:id="199" w:name="_Toc184313296"/>
      <w:bookmarkEnd w:id="199"/>
      <w:bookmarkStart w:id="200" w:name="_Toc184312128"/>
      <w:bookmarkEnd w:id="200"/>
      <w:bookmarkStart w:id="201" w:name="_Toc184313307"/>
      <w:bookmarkEnd w:id="201"/>
      <w:bookmarkStart w:id="202" w:name="_Toc184313253"/>
      <w:bookmarkEnd w:id="202"/>
      <w:bookmarkStart w:id="203" w:name="_Toc184308070"/>
      <w:bookmarkEnd w:id="203"/>
      <w:bookmarkStart w:id="204" w:name="_Toc184314441"/>
      <w:bookmarkEnd w:id="204"/>
      <w:bookmarkStart w:id="205" w:name="_Toc184310294"/>
      <w:bookmarkEnd w:id="205"/>
      <w:bookmarkStart w:id="206" w:name="_Toc184308080"/>
      <w:bookmarkEnd w:id="206"/>
      <w:bookmarkStart w:id="207" w:name="_Toc184310321"/>
      <w:bookmarkEnd w:id="207"/>
      <w:bookmarkStart w:id="208" w:name="_Toc184313263"/>
      <w:bookmarkEnd w:id="208"/>
      <w:bookmarkStart w:id="209" w:name="_Toc184308076"/>
      <w:bookmarkEnd w:id="209"/>
      <w:bookmarkStart w:id="210" w:name="_Toc184310330"/>
      <w:bookmarkEnd w:id="210"/>
      <w:bookmarkStart w:id="211" w:name="_Toc184312122"/>
      <w:bookmarkEnd w:id="211"/>
      <w:bookmarkStart w:id="212" w:name="_Toc184310315"/>
      <w:bookmarkEnd w:id="212"/>
      <w:bookmarkStart w:id="213" w:name="_Toc184313251"/>
      <w:bookmarkEnd w:id="213"/>
      <w:bookmarkStart w:id="214" w:name="_Toc184308072"/>
      <w:bookmarkEnd w:id="214"/>
      <w:bookmarkStart w:id="215" w:name="_Toc184308099"/>
      <w:bookmarkEnd w:id="215"/>
      <w:bookmarkStart w:id="216" w:name="_Toc184314464"/>
      <w:bookmarkEnd w:id="216"/>
      <w:bookmarkStart w:id="217" w:name="_Toc184310319"/>
      <w:bookmarkEnd w:id="217"/>
      <w:bookmarkStart w:id="218" w:name="_Toc184314456"/>
      <w:bookmarkEnd w:id="218"/>
      <w:bookmarkStart w:id="219" w:name="_Toc184310336"/>
      <w:bookmarkEnd w:id="219"/>
      <w:bookmarkStart w:id="220" w:name="_Toc184312125"/>
      <w:bookmarkEnd w:id="220"/>
      <w:bookmarkStart w:id="221" w:name="_Toc184310309"/>
      <w:bookmarkEnd w:id="221"/>
      <w:bookmarkStart w:id="222" w:name="_Toc184312133"/>
      <w:bookmarkEnd w:id="222"/>
      <w:bookmarkStart w:id="223" w:name="_Toc184314436"/>
      <w:bookmarkEnd w:id="223"/>
      <w:bookmarkStart w:id="224" w:name="_Toc184313264"/>
      <w:bookmarkEnd w:id="224"/>
      <w:bookmarkStart w:id="225" w:name="_Toc184314432"/>
      <w:bookmarkEnd w:id="225"/>
      <w:bookmarkStart w:id="226" w:name="_Toc184308051"/>
      <w:bookmarkEnd w:id="226"/>
      <w:bookmarkStart w:id="227" w:name="_Toc184312072"/>
      <w:bookmarkEnd w:id="227"/>
      <w:bookmarkStart w:id="228" w:name="_Toc184310273"/>
      <w:bookmarkEnd w:id="228"/>
      <w:bookmarkStart w:id="229" w:name="_Toc184314481"/>
      <w:bookmarkEnd w:id="229"/>
      <w:bookmarkStart w:id="230" w:name="_Toc184313249"/>
      <w:bookmarkEnd w:id="230"/>
      <w:bookmarkStart w:id="231" w:name="_Toc184313285"/>
      <w:bookmarkEnd w:id="231"/>
      <w:bookmarkStart w:id="232" w:name="_Toc184308058"/>
      <w:bookmarkEnd w:id="232"/>
      <w:bookmarkStart w:id="233" w:name="_Toc184310296"/>
      <w:bookmarkEnd w:id="233"/>
      <w:bookmarkStart w:id="234" w:name="_Toc184308056"/>
      <w:bookmarkEnd w:id="234"/>
      <w:bookmarkStart w:id="235" w:name="_Toc184310322"/>
      <w:bookmarkEnd w:id="235"/>
      <w:bookmarkStart w:id="236" w:name="_Toc184313270"/>
      <w:bookmarkEnd w:id="236"/>
      <w:bookmarkStart w:id="237" w:name="_Toc184314466"/>
      <w:bookmarkEnd w:id="237"/>
      <w:bookmarkStart w:id="238" w:name="_Toc184310303"/>
      <w:bookmarkEnd w:id="238"/>
      <w:bookmarkStart w:id="239" w:name="_Toc184314468"/>
      <w:bookmarkEnd w:id="239"/>
      <w:bookmarkStart w:id="240" w:name="_Toc184313304"/>
      <w:bookmarkEnd w:id="240"/>
      <w:bookmarkStart w:id="241" w:name="_Toc184312095"/>
      <w:bookmarkEnd w:id="241"/>
      <w:bookmarkStart w:id="242" w:name="_Toc184310275"/>
      <w:bookmarkEnd w:id="242"/>
      <w:bookmarkStart w:id="243" w:name="_Toc184310341"/>
      <w:bookmarkEnd w:id="243"/>
      <w:bookmarkStart w:id="244" w:name="_Toc184314419"/>
      <w:bookmarkEnd w:id="244"/>
      <w:bookmarkStart w:id="245" w:name="_Toc184314440"/>
      <w:bookmarkEnd w:id="245"/>
      <w:bookmarkStart w:id="246" w:name="_Toc184312127"/>
      <w:bookmarkEnd w:id="246"/>
      <w:bookmarkStart w:id="247" w:name="_Toc184314438"/>
      <w:bookmarkEnd w:id="247"/>
      <w:bookmarkStart w:id="248" w:name="_Toc184314433"/>
      <w:bookmarkEnd w:id="248"/>
      <w:bookmarkStart w:id="249" w:name="_Toc184312121"/>
      <w:bookmarkEnd w:id="249"/>
      <w:bookmarkStart w:id="250" w:name="_Toc184312082"/>
      <w:bookmarkEnd w:id="250"/>
      <w:bookmarkStart w:id="251" w:name="_Toc184312114"/>
      <w:bookmarkEnd w:id="251"/>
      <w:bookmarkStart w:id="252" w:name="_Toc184314412"/>
      <w:bookmarkEnd w:id="252"/>
      <w:bookmarkStart w:id="253" w:name="_Toc184310331"/>
      <w:bookmarkEnd w:id="253"/>
      <w:bookmarkStart w:id="254" w:name="_Toc184312100"/>
      <w:bookmarkEnd w:id="254"/>
      <w:bookmarkStart w:id="255" w:name="_Toc184313300"/>
      <w:bookmarkEnd w:id="255"/>
      <w:bookmarkStart w:id="256" w:name="_Toc184310276"/>
      <w:bookmarkEnd w:id="256"/>
      <w:bookmarkStart w:id="257" w:name="_Toc184310291"/>
      <w:bookmarkEnd w:id="257"/>
      <w:bookmarkStart w:id="258" w:name="_Toc184314458"/>
      <w:bookmarkEnd w:id="258"/>
      <w:bookmarkStart w:id="259" w:name="_Toc184308103"/>
      <w:bookmarkEnd w:id="259"/>
      <w:bookmarkStart w:id="260" w:name="_Toc184308105"/>
      <w:bookmarkEnd w:id="260"/>
      <w:bookmarkStart w:id="261" w:name="_Toc184310279"/>
      <w:bookmarkEnd w:id="261"/>
      <w:bookmarkStart w:id="262" w:name="_Toc184308061"/>
      <w:bookmarkEnd w:id="262"/>
      <w:bookmarkStart w:id="263" w:name="_Toc184312089"/>
      <w:bookmarkEnd w:id="263"/>
      <w:bookmarkStart w:id="264" w:name="_Toc184308065"/>
      <w:bookmarkEnd w:id="264"/>
      <w:bookmarkStart w:id="265" w:name="_Toc184314459"/>
      <w:bookmarkEnd w:id="265"/>
      <w:bookmarkStart w:id="266" w:name="_Toc184308050"/>
      <w:bookmarkEnd w:id="266"/>
      <w:bookmarkStart w:id="267" w:name="_Toc184308037"/>
      <w:bookmarkEnd w:id="267"/>
      <w:bookmarkStart w:id="268" w:name="_Toc184310282"/>
      <w:bookmarkEnd w:id="268"/>
      <w:bookmarkStart w:id="269" w:name="_Toc184314416"/>
      <w:bookmarkEnd w:id="269"/>
      <w:bookmarkStart w:id="270" w:name="_Toc184313283"/>
      <w:bookmarkEnd w:id="270"/>
      <w:bookmarkStart w:id="271" w:name="_Toc184314434"/>
      <w:bookmarkEnd w:id="271"/>
      <w:bookmarkStart w:id="272" w:name="_Toc184313284"/>
      <w:bookmarkEnd w:id="272"/>
      <w:bookmarkStart w:id="273" w:name="_Toc184313273"/>
      <w:bookmarkEnd w:id="273"/>
      <w:bookmarkStart w:id="274" w:name="_Toc184313292"/>
      <w:bookmarkEnd w:id="274"/>
      <w:bookmarkStart w:id="275" w:name="_Toc184314442"/>
      <w:bookmarkEnd w:id="275"/>
      <w:bookmarkStart w:id="276" w:name="_Toc184313255"/>
      <w:bookmarkEnd w:id="276"/>
      <w:bookmarkStart w:id="277" w:name="_Toc184314461"/>
      <w:bookmarkEnd w:id="277"/>
      <w:bookmarkStart w:id="278" w:name="_Toc184308052"/>
      <w:bookmarkEnd w:id="278"/>
      <w:bookmarkStart w:id="279" w:name="_Toc184308081"/>
      <w:bookmarkEnd w:id="279"/>
      <w:bookmarkStart w:id="280" w:name="_Toc184310339"/>
      <w:bookmarkEnd w:id="280"/>
      <w:bookmarkStart w:id="281" w:name="_Toc184312077"/>
      <w:bookmarkEnd w:id="281"/>
      <w:bookmarkStart w:id="282" w:name="_Toc184310293"/>
      <w:bookmarkEnd w:id="282"/>
      <w:bookmarkStart w:id="283" w:name="_Toc184312084"/>
      <w:bookmarkEnd w:id="283"/>
      <w:bookmarkStart w:id="284" w:name="_Toc184310310"/>
      <w:bookmarkEnd w:id="284"/>
      <w:bookmarkStart w:id="285" w:name="_Toc184308038"/>
      <w:bookmarkEnd w:id="285"/>
      <w:bookmarkStart w:id="286" w:name="_Toc184310295"/>
      <w:bookmarkEnd w:id="286"/>
      <w:bookmarkStart w:id="287" w:name="_Toc184314474"/>
      <w:bookmarkEnd w:id="287"/>
      <w:bookmarkStart w:id="288" w:name="_Toc184308053"/>
      <w:bookmarkEnd w:id="288"/>
      <w:bookmarkStart w:id="289" w:name="_Toc184314443"/>
      <w:bookmarkEnd w:id="289"/>
      <w:bookmarkStart w:id="290" w:name="_Toc184313309"/>
      <w:bookmarkEnd w:id="290"/>
      <w:bookmarkStart w:id="291" w:name="_Toc184310278"/>
      <w:bookmarkEnd w:id="291"/>
      <w:bookmarkStart w:id="292" w:name="_Toc184313252"/>
      <w:bookmarkEnd w:id="292"/>
      <w:bookmarkStart w:id="293" w:name="_Toc184310290"/>
      <w:bookmarkEnd w:id="293"/>
      <w:bookmarkStart w:id="294" w:name="_Toc184313258"/>
      <w:bookmarkEnd w:id="294"/>
      <w:bookmarkStart w:id="295" w:name="_Toc184310301"/>
      <w:bookmarkEnd w:id="295"/>
      <w:bookmarkStart w:id="296" w:name="_Toc184310298"/>
      <w:bookmarkEnd w:id="296"/>
      <w:bookmarkStart w:id="297" w:name="_Toc184308057"/>
      <w:bookmarkEnd w:id="297"/>
      <w:bookmarkStart w:id="298" w:name="_Toc184310306"/>
      <w:bookmarkEnd w:id="298"/>
      <w:bookmarkStart w:id="299" w:name="_Toc184314425"/>
      <w:bookmarkEnd w:id="299"/>
      <w:bookmarkStart w:id="300" w:name="_Toc184313297"/>
      <w:bookmarkEnd w:id="300"/>
      <w:bookmarkStart w:id="301" w:name="_Toc184308064"/>
      <w:bookmarkEnd w:id="301"/>
      <w:bookmarkStart w:id="302" w:name="_Toc184310313"/>
      <w:bookmarkEnd w:id="302"/>
      <w:bookmarkStart w:id="303" w:name="_Toc184313299"/>
      <w:bookmarkEnd w:id="303"/>
      <w:bookmarkStart w:id="304" w:name="_Toc184314410"/>
      <w:bookmarkEnd w:id="304"/>
      <w:bookmarkStart w:id="305" w:name="_Toc184312120"/>
      <w:bookmarkEnd w:id="305"/>
      <w:bookmarkStart w:id="306" w:name="_Toc184313271"/>
      <w:bookmarkEnd w:id="306"/>
      <w:bookmarkStart w:id="307" w:name="_Toc184308042"/>
      <w:bookmarkEnd w:id="307"/>
      <w:bookmarkStart w:id="308" w:name="_Toc184314471"/>
      <w:bookmarkEnd w:id="308"/>
      <w:bookmarkStart w:id="309" w:name="_Toc184308094"/>
      <w:bookmarkEnd w:id="309"/>
      <w:bookmarkStart w:id="310" w:name="_Toc184314451"/>
      <w:bookmarkEnd w:id="310"/>
      <w:bookmarkStart w:id="311" w:name="_Toc184314463"/>
      <w:bookmarkEnd w:id="311"/>
      <w:bookmarkStart w:id="312" w:name="_Toc184313240"/>
      <w:bookmarkEnd w:id="312"/>
      <w:bookmarkStart w:id="313" w:name="_Toc184313257"/>
      <w:bookmarkEnd w:id="313"/>
      <w:bookmarkStart w:id="314" w:name="_Toc184312103"/>
      <w:bookmarkEnd w:id="314"/>
      <w:bookmarkStart w:id="315" w:name="_Toc184313261"/>
      <w:bookmarkEnd w:id="315"/>
      <w:bookmarkStart w:id="316" w:name="_Toc184314455"/>
      <w:bookmarkEnd w:id="316"/>
      <w:bookmarkStart w:id="317" w:name="_Toc184312108"/>
      <w:bookmarkEnd w:id="317"/>
      <w:bookmarkStart w:id="318" w:name="_Toc184308082"/>
      <w:bookmarkEnd w:id="318"/>
      <w:bookmarkStart w:id="319" w:name="_Toc184308087"/>
      <w:bookmarkEnd w:id="319"/>
      <w:bookmarkStart w:id="320" w:name="_Toc184308045"/>
      <w:bookmarkEnd w:id="320"/>
      <w:bookmarkStart w:id="321" w:name="_Toc184310274"/>
      <w:bookmarkEnd w:id="321"/>
      <w:bookmarkStart w:id="322" w:name="_Toc184312107"/>
      <w:bookmarkEnd w:id="322"/>
      <w:bookmarkStart w:id="323" w:name="_Toc184310335"/>
      <w:bookmarkEnd w:id="323"/>
      <w:bookmarkStart w:id="324" w:name="_Toc184308049"/>
      <w:bookmarkEnd w:id="324"/>
      <w:bookmarkStart w:id="325" w:name="_Toc184310328"/>
      <w:bookmarkEnd w:id="325"/>
      <w:bookmarkStart w:id="326" w:name="_Toc184312105"/>
      <w:bookmarkEnd w:id="326"/>
      <w:bookmarkStart w:id="327" w:name="_Toc184313243"/>
      <w:bookmarkEnd w:id="327"/>
      <w:bookmarkStart w:id="328" w:name="_Toc184308097"/>
      <w:bookmarkEnd w:id="328"/>
      <w:bookmarkStart w:id="329" w:name="_Toc184314473"/>
      <w:bookmarkEnd w:id="329"/>
      <w:bookmarkStart w:id="330" w:name="_Toc184310281"/>
      <w:bookmarkEnd w:id="330"/>
      <w:bookmarkStart w:id="331" w:name="_Toc184308041"/>
      <w:bookmarkEnd w:id="331"/>
      <w:bookmarkStart w:id="332" w:name="_Toc184312110"/>
      <w:bookmarkEnd w:id="332"/>
      <w:bookmarkStart w:id="333" w:name="_Toc184312111"/>
      <w:bookmarkEnd w:id="333"/>
      <w:bookmarkStart w:id="334" w:name="_Toc184312083"/>
      <w:bookmarkEnd w:id="334"/>
      <w:bookmarkStart w:id="335" w:name="_Toc184310316"/>
      <w:bookmarkEnd w:id="335"/>
      <w:bookmarkStart w:id="336" w:name="_Toc184312115"/>
      <w:bookmarkEnd w:id="336"/>
      <w:bookmarkStart w:id="337" w:name="_Toc184308067"/>
      <w:bookmarkEnd w:id="337"/>
      <w:bookmarkStart w:id="338" w:name="_Toc184310300"/>
      <w:bookmarkEnd w:id="338"/>
      <w:bookmarkStart w:id="339" w:name="_Toc184308059"/>
      <w:bookmarkEnd w:id="339"/>
      <w:bookmarkStart w:id="340" w:name="_Toc184308093"/>
      <w:bookmarkEnd w:id="340"/>
      <w:bookmarkStart w:id="341" w:name="_Toc184308075"/>
      <w:bookmarkEnd w:id="341"/>
      <w:bookmarkStart w:id="342" w:name="_Toc184312080"/>
      <w:bookmarkEnd w:id="342"/>
      <w:bookmarkStart w:id="343" w:name="_Toc184314480"/>
      <w:bookmarkEnd w:id="343"/>
      <w:bookmarkStart w:id="344" w:name="_Toc184314422"/>
      <w:bookmarkEnd w:id="344"/>
      <w:bookmarkStart w:id="345" w:name="_Toc184310326"/>
      <w:bookmarkEnd w:id="345"/>
      <w:bookmarkStart w:id="346" w:name="_Toc184313289"/>
      <w:bookmarkEnd w:id="346"/>
      <w:bookmarkStart w:id="347" w:name="_Toc184312071"/>
      <w:bookmarkEnd w:id="347"/>
      <w:bookmarkStart w:id="348" w:name="_Toc184310292"/>
      <w:bookmarkEnd w:id="348"/>
      <w:bookmarkStart w:id="349" w:name="_Toc184308089"/>
      <w:bookmarkEnd w:id="349"/>
      <w:bookmarkStart w:id="350" w:name="_Toc184312076"/>
      <w:bookmarkEnd w:id="350"/>
      <w:bookmarkStart w:id="351" w:name="_Toc184310333"/>
      <w:bookmarkEnd w:id="351"/>
      <w:bookmarkStart w:id="352" w:name="_Toc184310343"/>
      <w:bookmarkEnd w:id="352"/>
      <w:bookmarkStart w:id="353" w:name="_Toc184314467"/>
      <w:bookmarkEnd w:id="353"/>
      <w:bookmarkStart w:id="354" w:name="_Toc184312096"/>
      <w:bookmarkEnd w:id="354"/>
      <w:bookmarkStart w:id="355" w:name="_Toc184310277"/>
      <w:bookmarkEnd w:id="355"/>
      <w:bookmarkStart w:id="356" w:name="_Toc184312135"/>
      <w:bookmarkEnd w:id="356"/>
      <w:bookmarkStart w:id="357" w:name="_Toc184308083"/>
      <w:bookmarkEnd w:id="357"/>
      <w:bookmarkStart w:id="358" w:name="_Toc184308054"/>
      <w:bookmarkEnd w:id="358"/>
      <w:bookmarkStart w:id="359" w:name="_Toc184310344"/>
      <w:bookmarkEnd w:id="359"/>
      <w:bookmarkStart w:id="360" w:name="_Toc184313305"/>
      <w:bookmarkEnd w:id="360"/>
      <w:bookmarkStart w:id="361" w:name="_Toc184308062"/>
      <w:bookmarkEnd w:id="361"/>
      <w:bookmarkStart w:id="362" w:name="_Toc184314430"/>
      <w:bookmarkEnd w:id="362"/>
      <w:bookmarkStart w:id="363" w:name="_Toc184314431"/>
      <w:bookmarkEnd w:id="363"/>
      <w:bookmarkStart w:id="364" w:name="_Toc184312088"/>
      <w:bookmarkEnd w:id="364"/>
      <w:bookmarkStart w:id="365" w:name="_Toc184313267"/>
      <w:bookmarkEnd w:id="365"/>
      <w:bookmarkStart w:id="366" w:name="_Toc184312134"/>
      <w:bookmarkEnd w:id="366"/>
      <w:bookmarkStart w:id="367" w:name="_Toc184310342"/>
      <w:bookmarkEnd w:id="367"/>
      <w:bookmarkStart w:id="368" w:name="_Toc184308046"/>
      <w:bookmarkEnd w:id="368"/>
      <w:bookmarkStart w:id="369" w:name="_Toc184308044"/>
      <w:bookmarkEnd w:id="369"/>
      <w:bookmarkStart w:id="370" w:name="_Toc184314426"/>
      <w:bookmarkEnd w:id="370"/>
      <w:bookmarkStart w:id="371" w:name="_Toc184313260"/>
      <w:bookmarkEnd w:id="371"/>
      <w:bookmarkStart w:id="372" w:name="_Toc184312070"/>
      <w:bookmarkEnd w:id="372"/>
      <w:bookmarkStart w:id="373" w:name="_Toc184308071"/>
      <w:bookmarkEnd w:id="373"/>
      <w:bookmarkStart w:id="374" w:name="_Toc184313239"/>
      <w:bookmarkEnd w:id="374"/>
      <w:bookmarkStart w:id="375" w:name="_Toc184310311"/>
      <w:bookmarkEnd w:id="375"/>
      <w:bookmarkStart w:id="376" w:name="_Toc184313272"/>
      <w:bookmarkEnd w:id="376"/>
      <w:bookmarkStart w:id="377" w:name="_Toc184313245"/>
      <w:bookmarkEnd w:id="377"/>
      <w:bookmarkStart w:id="378" w:name="_Toc184312101"/>
      <w:bookmarkEnd w:id="378"/>
      <w:bookmarkStart w:id="379" w:name="_Toc184310327"/>
      <w:bookmarkEnd w:id="379"/>
      <w:bookmarkStart w:id="380" w:name="_Toc184313256"/>
      <w:bookmarkEnd w:id="380"/>
      <w:bookmarkStart w:id="381" w:name="_Toc184314475"/>
      <w:bookmarkEnd w:id="381"/>
      <w:bookmarkStart w:id="382" w:name="_Toc184308090"/>
      <w:bookmarkEnd w:id="382"/>
      <w:bookmarkStart w:id="383" w:name="_Toc184310332"/>
      <w:bookmarkEnd w:id="383"/>
      <w:bookmarkStart w:id="384" w:name="_Toc184313254"/>
      <w:bookmarkEnd w:id="384"/>
      <w:bookmarkStart w:id="385" w:name="_Toc184313269"/>
      <w:bookmarkEnd w:id="385"/>
      <w:bookmarkStart w:id="386" w:name="_Toc184308086"/>
      <w:bookmarkEnd w:id="386"/>
      <w:bookmarkStart w:id="387" w:name="_Toc184314448"/>
      <w:bookmarkEnd w:id="387"/>
      <w:bookmarkStart w:id="388" w:name="_Toc184312081"/>
      <w:bookmarkEnd w:id="388"/>
      <w:bookmarkStart w:id="389" w:name="_Toc184308063"/>
      <w:bookmarkEnd w:id="389"/>
      <w:bookmarkStart w:id="390" w:name="_Toc184308066"/>
      <w:bookmarkEnd w:id="390"/>
      <w:bookmarkStart w:id="391" w:name="_Toc184313310"/>
      <w:bookmarkEnd w:id="391"/>
      <w:bookmarkStart w:id="392" w:name="_Toc184312092"/>
      <w:bookmarkEnd w:id="392"/>
      <w:bookmarkStart w:id="393" w:name="_Toc184313275"/>
      <w:bookmarkEnd w:id="39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Spec="center" w:tblpY="49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5910"/>
        <w:gridCol w:w="617"/>
        <w:gridCol w:w="767"/>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85" w:type="pct"/>
            <w:shd w:val="clear" w:color="auto" w:fill="auto"/>
            <w:vAlign w:val="center"/>
          </w:tcPr>
          <w:p>
            <w:pPr>
              <w:spacing w:line="360" w:lineRule="auto"/>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序号</w:t>
            </w:r>
          </w:p>
        </w:tc>
        <w:tc>
          <w:tcPr>
            <w:tcW w:w="3181" w:type="pct"/>
            <w:shd w:val="clear" w:color="auto" w:fill="auto"/>
            <w:vAlign w:val="center"/>
          </w:tcPr>
          <w:p>
            <w:pPr>
              <w:spacing w:line="360" w:lineRule="auto"/>
              <w:ind w:firstLine="1566" w:firstLineChars="65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评标标准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权重</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主客观属性</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投标文件中评标标准相应的商务技术资料目录</w:t>
            </w:r>
            <w:r>
              <w:rPr>
                <w:rFonts w:hint="eastAsia" w:asciiTheme="minorEastAsia" w:hAnsiTheme="minorEastAsia" w:eastAsiaTheme="minorEastAsia" w:cstheme="minorEastAsia"/>
                <w:b/>
                <w:bCs w:val="0"/>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85"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val="0"/>
                <w:color w:val="auto"/>
                <w:sz w:val="21"/>
                <w:szCs w:val="21"/>
                <w:highlight w:val="none"/>
                <w:lang w:eastAsia="zh-CN"/>
              </w:rPr>
              <w:t>总体服务方案。</w:t>
            </w:r>
            <w:r>
              <w:rPr>
                <w:rFonts w:hint="eastAsia" w:ascii="宋体" w:hAnsi="宋体" w:eastAsia="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通过对本</w:t>
            </w:r>
            <w:r>
              <w:rPr>
                <w:rFonts w:hint="eastAsia" w:ascii="宋体" w:hAnsi="宋体" w:eastAsia="宋体" w:cs="宋体"/>
                <w:b w:val="0"/>
                <w:bCs/>
                <w:color w:val="auto"/>
                <w:sz w:val="21"/>
                <w:szCs w:val="21"/>
                <w:highlight w:val="none"/>
                <w:lang w:eastAsia="zh-CN"/>
              </w:rPr>
              <w:t>项目</w:t>
            </w:r>
            <w:r>
              <w:rPr>
                <w:rFonts w:hint="eastAsia" w:ascii="宋体" w:hAnsi="宋体" w:cs="宋体"/>
                <w:b w:val="0"/>
                <w:bCs/>
                <w:color w:val="auto"/>
                <w:sz w:val="21"/>
                <w:szCs w:val="21"/>
                <w:highlight w:val="none"/>
                <w:lang w:eastAsia="zh-CN"/>
              </w:rPr>
              <w:t>物业</w:t>
            </w:r>
            <w:r>
              <w:rPr>
                <w:rFonts w:hint="eastAsia" w:ascii="宋体" w:hAnsi="宋体" w:eastAsia="宋体" w:cs="宋体"/>
                <w:b w:val="0"/>
                <w:bCs/>
                <w:color w:val="auto"/>
                <w:sz w:val="21"/>
                <w:szCs w:val="21"/>
                <w:highlight w:val="none"/>
                <w:lang w:eastAsia="zh-CN"/>
              </w:rPr>
              <w:t>服务范围</w:t>
            </w:r>
            <w:r>
              <w:rPr>
                <w:rFonts w:hint="eastAsia" w:ascii="宋体" w:hAnsi="宋体" w:eastAsia="宋体" w:cs="宋体"/>
                <w:b w:val="0"/>
                <w:bCs/>
                <w:color w:val="auto"/>
                <w:sz w:val="21"/>
                <w:szCs w:val="21"/>
                <w:highlight w:val="none"/>
              </w:rPr>
              <w:t>、配套设施、周边环境、管理特点等方面进行分析，综合其布局、功能上的特点，提出服务定位、目标，提出有针对性的，切实可行的</w:t>
            </w:r>
            <w:r>
              <w:rPr>
                <w:rFonts w:hint="eastAsia" w:ascii="宋体" w:hAnsi="宋体" w:eastAsia="宋体" w:cs="宋体"/>
                <w:b w:val="0"/>
                <w:bCs/>
                <w:color w:val="auto"/>
                <w:sz w:val="21"/>
                <w:szCs w:val="21"/>
                <w:highlight w:val="none"/>
                <w:lang w:eastAsia="zh-CN"/>
              </w:rPr>
              <w:t>总体服务方案</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方案</w:t>
            </w:r>
            <w:r>
              <w:rPr>
                <w:rFonts w:hint="eastAsia" w:ascii="宋体" w:hAnsi="宋体" w:eastAsia="宋体" w:cs="宋体"/>
                <w:b w:val="0"/>
                <w:bCs/>
                <w:color w:val="auto"/>
                <w:sz w:val="21"/>
                <w:szCs w:val="21"/>
                <w:highlight w:val="none"/>
              </w:rPr>
              <w:t>内容完整</w:t>
            </w:r>
            <w:r>
              <w:rPr>
                <w:rFonts w:hint="eastAsia" w:ascii="宋体" w:hAnsi="宋体" w:eastAsia="宋体" w:cs="宋体"/>
                <w:b w:val="0"/>
                <w:bCs/>
                <w:color w:val="auto"/>
                <w:sz w:val="21"/>
                <w:szCs w:val="21"/>
                <w:highlight w:val="none"/>
                <w:lang w:eastAsia="zh-CN"/>
              </w:rPr>
              <w:t>、定位准确</w:t>
            </w:r>
            <w:r>
              <w:rPr>
                <w:rFonts w:hint="eastAsia" w:ascii="宋体" w:hAnsi="宋体" w:eastAsia="宋体" w:cs="宋体"/>
                <w:b w:val="0"/>
                <w:bCs/>
                <w:color w:val="auto"/>
                <w:sz w:val="21"/>
                <w:szCs w:val="21"/>
                <w:highlight w:val="none"/>
              </w:rPr>
              <w:t>、措施科学、操作性强的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5</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hd w:val="clear" w:color="auto" w:fill="auto"/>
              <w:spacing w:line="360" w:lineRule="auto"/>
              <w:jc w:val="center"/>
              <w:outlineLvl w:val="0"/>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5</w:t>
            </w:r>
          </w:p>
        </w:tc>
        <w:tc>
          <w:tcPr>
            <w:tcW w:w="413" w:type="pct"/>
            <w:shd w:val="clear" w:color="auto" w:fill="auto"/>
            <w:vAlign w:val="center"/>
          </w:tcPr>
          <w:p>
            <w:pPr>
              <w:shd w:val="clear" w:color="auto" w:fill="auto"/>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color w:val="auto"/>
                <w:sz w:val="21"/>
                <w:szCs w:val="21"/>
                <w:highlight w:val="none"/>
                <w:lang w:val="en-US" w:eastAsia="zh-CN"/>
              </w:rPr>
              <w:t>主观分</w:t>
            </w:r>
          </w:p>
        </w:tc>
        <w:tc>
          <w:tcPr>
            <w:tcW w:w="787" w:type="pct"/>
            <w:shd w:val="clear" w:color="auto" w:fill="auto"/>
            <w:vAlign w:val="center"/>
          </w:tcPr>
          <w:p>
            <w:pPr>
              <w:shd w:val="clear" w:color="auto" w:fill="auto"/>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color w:val="auto"/>
                <w:sz w:val="21"/>
                <w:szCs w:val="21"/>
                <w:highlight w:val="none"/>
                <w:lang w:eastAsia="zh-CN"/>
              </w:rPr>
              <w:t>总体服务方案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285"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根据管理范围、内容及管理目标，提供</w:t>
            </w:r>
            <w:r>
              <w:rPr>
                <w:rFonts w:hint="eastAsia" w:asciiTheme="minorEastAsia" w:hAnsiTheme="minorEastAsia" w:eastAsiaTheme="minorEastAsia" w:cstheme="minorEastAsia"/>
                <w:b/>
                <w:bCs/>
                <w:color w:val="auto"/>
                <w:sz w:val="21"/>
                <w:szCs w:val="21"/>
                <w:highlight w:val="none"/>
              </w:rPr>
              <w:t>门诊各科诊室</w:t>
            </w:r>
            <w:r>
              <w:rPr>
                <w:rFonts w:hint="eastAsia" w:ascii="宋体" w:hAnsi="宋体" w:cs="宋体"/>
                <w:b/>
                <w:bCs/>
                <w:sz w:val="21"/>
                <w:szCs w:val="21"/>
                <w:highlight w:val="none"/>
                <w:lang w:eastAsia="zh-CN"/>
              </w:rPr>
              <w:t>保洁</w:t>
            </w:r>
            <w:r>
              <w:rPr>
                <w:rFonts w:hint="eastAsia" w:asciiTheme="minorEastAsia" w:hAnsiTheme="minorEastAsia" w:eastAsiaTheme="minorEastAsia" w:cstheme="minorEastAsia"/>
                <w:b/>
                <w:bCs/>
                <w:color w:val="auto"/>
                <w:sz w:val="21"/>
                <w:szCs w:val="21"/>
                <w:highlight w:val="none"/>
              </w:rPr>
              <w:t>方案</w:t>
            </w:r>
            <w:r>
              <w:rPr>
                <w:rFonts w:hint="eastAsia" w:asciiTheme="minorEastAsia" w:hAnsiTheme="minorEastAsia" w:eastAsiaTheme="minorEastAsia" w:cstheme="minorEastAsia"/>
                <w:color w:val="auto"/>
                <w:sz w:val="21"/>
                <w:szCs w:val="21"/>
                <w:highlight w:val="none"/>
              </w:rPr>
              <w:t>，方案内容完整</w:t>
            </w:r>
            <w:r>
              <w:rPr>
                <w:rFonts w:hint="eastAsia" w:asciiTheme="minorEastAsia" w:hAnsiTheme="minorEastAsia" w:eastAsiaTheme="minorEastAsia" w:cstheme="minorEastAsia"/>
                <w:color w:val="auto"/>
                <w:sz w:val="21"/>
                <w:szCs w:val="21"/>
                <w:highlight w:val="none"/>
                <w:lang w:eastAsia="zh-CN"/>
              </w:rPr>
              <w:t>，科学合理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满足门诊各科诊室日常保洁要求的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门诊各科诊室保洁方案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285"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根据管理范围、内容及管理目标，提供</w:t>
            </w:r>
            <w:r>
              <w:rPr>
                <w:rFonts w:hint="eastAsia" w:asciiTheme="minorEastAsia" w:hAnsiTheme="minorEastAsia" w:eastAsiaTheme="minorEastAsia" w:cstheme="minorEastAsia"/>
                <w:b/>
                <w:bCs/>
                <w:color w:val="auto"/>
                <w:sz w:val="21"/>
                <w:szCs w:val="21"/>
                <w:highlight w:val="none"/>
              </w:rPr>
              <w:t>病区</w:t>
            </w:r>
            <w:r>
              <w:rPr>
                <w:rFonts w:hint="eastAsia" w:asciiTheme="minorEastAsia" w:hAnsiTheme="minorEastAsia" w:eastAsiaTheme="minorEastAsia" w:cstheme="minorEastAsia"/>
                <w:b/>
                <w:bCs/>
                <w:color w:val="auto"/>
                <w:sz w:val="21"/>
                <w:szCs w:val="21"/>
                <w:highlight w:val="none"/>
                <w:lang w:eastAsia="zh-CN"/>
              </w:rPr>
              <w:t>、病房、洗手间</w:t>
            </w:r>
            <w:r>
              <w:rPr>
                <w:rFonts w:hint="eastAsia" w:asciiTheme="minorEastAsia" w:hAnsiTheme="minorEastAsia" w:eastAsiaTheme="minorEastAsia" w:cstheme="minorEastAsia"/>
                <w:b/>
                <w:bCs/>
                <w:color w:val="auto"/>
                <w:sz w:val="21"/>
                <w:szCs w:val="21"/>
                <w:highlight w:val="none"/>
              </w:rPr>
              <w:t>卫生工作</w:t>
            </w:r>
            <w:r>
              <w:rPr>
                <w:rFonts w:hint="eastAsia" w:ascii="宋体" w:hAnsi="宋体" w:eastAsia="宋体" w:cs="宋体"/>
                <w:b/>
                <w:bCs/>
                <w:sz w:val="21"/>
                <w:szCs w:val="21"/>
                <w:highlight w:val="none"/>
                <w:lang w:eastAsia="zh-CN"/>
              </w:rPr>
              <w:t>方</w:t>
            </w:r>
            <w:r>
              <w:rPr>
                <w:rFonts w:hint="eastAsia" w:ascii="宋体" w:hAnsi="宋体" w:eastAsia="宋体" w:cs="宋体"/>
                <w:b/>
                <w:sz w:val="21"/>
                <w:szCs w:val="21"/>
                <w:highlight w:val="none"/>
                <w:lang w:eastAsia="zh-CN"/>
              </w:rPr>
              <w:t>案</w:t>
            </w:r>
            <w:r>
              <w:rPr>
                <w:rFonts w:hint="eastAsia" w:asciiTheme="minorEastAsia" w:hAnsiTheme="minorEastAsia" w:eastAsiaTheme="minorEastAsia" w:cstheme="minorEastAsia"/>
                <w:color w:val="auto"/>
                <w:sz w:val="21"/>
                <w:szCs w:val="21"/>
                <w:highlight w:val="none"/>
              </w:rPr>
              <w:t>，方案内容完整</w:t>
            </w:r>
            <w:r>
              <w:rPr>
                <w:rFonts w:hint="eastAsia" w:asciiTheme="minorEastAsia" w:hAnsiTheme="minorEastAsia" w:eastAsiaTheme="minorEastAsia" w:cstheme="minorEastAsia"/>
                <w:color w:val="auto"/>
                <w:sz w:val="21"/>
                <w:szCs w:val="21"/>
                <w:highlight w:val="none"/>
                <w:lang w:eastAsia="zh-CN"/>
              </w:rPr>
              <w:t>，科学合理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满足病区、病房、洗手间卫生工作要求的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5</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病区</w:t>
            </w:r>
            <w:r>
              <w:rPr>
                <w:rFonts w:hint="eastAsia" w:asciiTheme="minorEastAsia" w:hAnsiTheme="minorEastAsia" w:eastAsiaTheme="minorEastAsia" w:cstheme="minorEastAsia"/>
                <w:color w:val="auto"/>
                <w:sz w:val="21"/>
                <w:szCs w:val="21"/>
                <w:highlight w:val="none"/>
                <w:lang w:eastAsia="zh-CN"/>
              </w:rPr>
              <w:t>、病房、洗手间</w:t>
            </w:r>
            <w:r>
              <w:rPr>
                <w:rFonts w:hint="eastAsia" w:asciiTheme="minorEastAsia" w:hAnsiTheme="minorEastAsia" w:eastAsiaTheme="minorEastAsia" w:cstheme="minorEastAsia"/>
                <w:color w:val="auto"/>
                <w:sz w:val="21"/>
                <w:szCs w:val="21"/>
                <w:highlight w:val="none"/>
              </w:rPr>
              <w:t>卫生工作</w:t>
            </w:r>
            <w:r>
              <w:rPr>
                <w:rFonts w:hint="eastAsia" w:asciiTheme="minorEastAsia" w:hAnsiTheme="minorEastAsia" w:eastAsiaTheme="minorEastAsia" w:cstheme="minorEastAsia"/>
                <w:color w:val="auto"/>
                <w:sz w:val="21"/>
                <w:szCs w:val="21"/>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根据管理范围、内容及管理目标，提供</w:t>
            </w:r>
            <w:r>
              <w:rPr>
                <w:rFonts w:hint="eastAsia" w:asciiTheme="minorEastAsia" w:hAnsiTheme="minorEastAsia" w:eastAsiaTheme="minorEastAsia" w:cstheme="minorEastAsia"/>
                <w:b/>
                <w:bCs/>
                <w:kern w:val="0"/>
                <w:sz w:val="21"/>
                <w:szCs w:val="21"/>
                <w:highlight w:val="none"/>
              </w:rPr>
              <w:t>手术室等</w:t>
            </w:r>
            <w:r>
              <w:rPr>
                <w:rFonts w:hint="eastAsia" w:asciiTheme="minorEastAsia" w:hAnsiTheme="minorEastAsia" w:eastAsiaTheme="minorEastAsia" w:cstheme="minorEastAsia"/>
                <w:b/>
                <w:bCs/>
                <w:kern w:val="0"/>
                <w:sz w:val="21"/>
                <w:szCs w:val="21"/>
                <w:highlight w:val="none"/>
                <w:lang w:val="en-US" w:eastAsia="zh-CN"/>
              </w:rPr>
              <w:t>特殊科室</w:t>
            </w:r>
            <w:r>
              <w:rPr>
                <w:rFonts w:hint="eastAsia" w:ascii="宋体" w:hAnsi="宋体" w:eastAsia="宋体" w:cs="宋体"/>
                <w:b/>
                <w:bCs/>
                <w:sz w:val="21"/>
                <w:szCs w:val="21"/>
                <w:highlight w:val="none"/>
              </w:rPr>
              <w:t>保洁</w:t>
            </w:r>
            <w:r>
              <w:rPr>
                <w:rFonts w:hint="eastAsia" w:ascii="宋体" w:hAnsi="宋体" w:eastAsia="宋体" w:cs="宋体"/>
                <w:b/>
                <w:bCs/>
                <w:sz w:val="21"/>
                <w:szCs w:val="21"/>
                <w:highlight w:val="none"/>
                <w:lang w:eastAsia="zh-CN"/>
              </w:rPr>
              <w:t>方案</w:t>
            </w:r>
            <w:r>
              <w:rPr>
                <w:rFonts w:hint="eastAsia" w:asciiTheme="minorEastAsia" w:hAnsiTheme="minorEastAsia" w:eastAsiaTheme="minorEastAsia" w:cstheme="minorEastAsia"/>
                <w:color w:val="auto"/>
                <w:sz w:val="21"/>
                <w:szCs w:val="21"/>
                <w:highlight w:val="none"/>
              </w:rPr>
              <w:t>，方案内容完整</w:t>
            </w:r>
            <w:r>
              <w:rPr>
                <w:rFonts w:hint="eastAsia" w:asciiTheme="minorEastAsia" w:hAnsiTheme="minorEastAsia" w:eastAsiaTheme="minorEastAsia" w:cstheme="minorEastAsia"/>
                <w:color w:val="auto"/>
                <w:sz w:val="21"/>
                <w:szCs w:val="21"/>
                <w:highlight w:val="none"/>
                <w:lang w:eastAsia="zh-CN"/>
              </w:rPr>
              <w:t>，科学合理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满足手术室等特殊科室日常保洁要求的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手术室等</w:t>
            </w:r>
            <w:r>
              <w:rPr>
                <w:rFonts w:hint="eastAsia" w:asciiTheme="minorEastAsia" w:hAnsiTheme="minorEastAsia" w:eastAsiaTheme="minorEastAsia" w:cstheme="minorEastAsia"/>
                <w:color w:val="auto"/>
                <w:sz w:val="21"/>
                <w:szCs w:val="21"/>
                <w:highlight w:val="none"/>
                <w:lang w:val="en-US" w:eastAsia="zh-CN"/>
              </w:rPr>
              <w:t>特殊科室</w:t>
            </w:r>
            <w:r>
              <w:rPr>
                <w:rFonts w:hint="eastAsia" w:asciiTheme="minorEastAsia" w:hAnsiTheme="minorEastAsia" w:eastAsiaTheme="minorEastAsia" w:cstheme="minorEastAsia"/>
                <w:color w:val="auto"/>
                <w:sz w:val="21"/>
                <w:szCs w:val="21"/>
                <w:highlight w:val="none"/>
              </w:rPr>
              <w:t>保洁</w:t>
            </w:r>
            <w:r>
              <w:rPr>
                <w:rFonts w:hint="eastAsia" w:asciiTheme="minorEastAsia" w:hAnsiTheme="minorEastAsia" w:eastAsiaTheme="minorEastAsia" w:cstheme="minorEastAsia"/>
                <w:color w:val="auto"/>
                <w:sz w:val="21"/>
                <w:szCs w:val="21"/>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根据管理范围、内容及管理目标，提供</w:t>
            </w:r>
            <w:r>
              <w:rPr>
                <w:rFonts w:hint="eastAsia" w:asciiTheme="minorEastAsia" w:hAnsiTheme="minorEastAsia" w:eastAsiaTheme="minorEastAsia" w:cstheme="minorEastAsia"/>
                <w:b/>
                <w:bCs/>
                <w:color w:val="auto"/>
                <w:sz w:val="21"/>
                <w:szCs w:val="21"/>
                <w:highlight w:val="none"/>
              </w:rPr>
              <w:t>公区环境保洁、专项保洁服务</w:t>
            </w:r>
            <w:r>
              <w:rPr>
                <w:rFonts w:hint="eastAsia" w:ascii="宋体" w:hAnsi="宋体" w:eastAsia="宋体" w:cs="宋体"/>
                <w:b/>
                <w:bCs/>
                <w:sz w:val="21"/>
                <w:szCs w:val="21"/>
                <w:highlight w:val="none"/>
                <w:lang w:eastAsia="zh-CN"/>
              </w:rPr>
              <w:t>方</w:t>
            </w:r>
            <w:r>
              <w:rPr>
                <w:rFonts w:hint="eastAsia" w:ascii="宋体" w:hAnsi="宋体" w:eastAsia="宋体" w:cs="宋体"/>
                <w:b/>
                <w:sz w:val="21"/>
                <w:szCs w:val="21"/>
                <w:highlight w:val="none"/>
                <w:lang w:eastAsia="zh-CN"/>
              </w:rPr>
              <w:t>案</w:t>
            </w:r>
            <w:r>
              <w:rPr>
                <w:rFonts w:hint="eastAsia" w:asciiTheme="minorEastAsia" w:hAnsiTheme="minorEastAsia" w:eastAsiaTheme="minorEastAsia" w:cstheme="minorEastAsia"/>
                <w:color w:val="auto"/>
                <w:sz w:val="21"/>
                <w:szCs w:val="21"/>
                <w:highlight w:val="none"/>
              </w:rPr>
              <w:t>，方案内容完整</w:t>
            </w:r>
            <w:r>
              <w:rPr>
                <w:rFonts w:hint="eastAsia" w:asciiTheme="minorEastAsia" w:hAnsiTheme="minorEastAsia" w:eastAsiaTheme="minorEastAsia" w:cstheme="minorEastAsia"/>
                <w:color w:val="auto"/>
                <w:sz w:val="21"/>
                <w:szCs w:val="21"/>
                <w:highlight w:val="none"/>
                <w:lang w:eastAsia="zh-CN"/>
              </w:rPr>
              <w:t>，科学合理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满足公区环境保洁、专项保洁要求的</w:t>
            </w:r>
            <w:r>
              <w:rPr>
                <w:rFonts w:hint="eastAsia" w:asciiTheme="minorEastAsia" w:hAnsiTheme="minorEastAsia" w:eastAsiaTheme="minorEastAsia" w:cstheme="minorEastAsia"/>
                <w:color w:val="auto"/>
                <w:sz w:val="21"/>
                <w:szCs w:val="21"/>
                <w:highlight w:val="none"/>
                <w:lang w:val="en-US" w:eastAsia="zh-CN"/>
              </w:rPr>
              <w:t>视为符合，全部符合得3分，基本符合得2分，部分符合得1分，不符合或没提供不得分。共3分。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公区环境保洁、专项保洁服务</w:t>
            </w:r>
            <w:r>
              <w:rPr>
                <w:rFonts w:hint="eastAsia" w:asciiTheme="minorEastAsia" w:hAnsiTheme="minorEastAsia" w:eastAsiaTheme="minorEastAsia" w:cstheme="minorEastAsia"/>
                <w:color w:val="auto"/>
                <w:sz w:val="21"/>
                <w:szCs w:val="21"/>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根据管理范围、内容及管理目标，提供</w:t>
            </w:r>
            <w:r>
              <w:rPr>
                <w:rFonts w:hint="eastAsia" w:ascii="宋体" w:hAnsi="宋体" w:cs="宋体"/>
                <w:b/>
                <w:sz w:val="21"/>
                <w:szCs w:val="21"/>
                <w:highlight w:val="none"/>
                <w:lang w:eastAsia="zh-CN"/>
              </w:rPr>
              <w:t>陪护中心管理</w:t>
            </w:r>
            <w:r>
              <w:rPr>
                <w:rFonts w:hint="eastAsia" w:ascii="宋体" w:hAnsi="宋体" w:eastAsia="宋体" w:cs="宋体"/>
                <w:b/>
                <w:sz w:val="21"/>
                <w:szCs w:val="21"/>
                <w:highlight w:val="none"/>
                <w:lang w:eastAsia="zh-CN"/>
              </w:rPr>
              <w:t>方案</w:t>
            </w:r>
            <w:r>
              <w:rPr>
                <w:rFonts w:hint="eastAsia" w:asciiTheme="minorEastAsia" w:hAnsiTheme="minorEastAsia" w:eastAsiaTheme="minorEastAsia" w:cstheme="minorEastAsia"/>
                <w:color w:val="auto"/>
                <w:sz w:val="21"/>
                <w:szCs w:val="21"/>
                <w:highlight w:val="none"/>
              </w:rPr>
              <w:t>，方案内容完整</w:t>
            </w:r>
            <w:r>
              <w:rPr>
                <w:rFonts w:hint="eastAsia" w:asciiTheme="minorEastAsia" w:hAnsiTheme="minorEastAsia" w:eastAsiaTheme="minorEastAsia" w:cstheme="minorEastAsia"/>
                <w:color w:val="auto"/>
                <w:sz w:val="21"/>
                <w:szCs w:val="21"/>
                <w:highlight w:val="none"/>
                <w:lang w:eastAsia="zh-CN"/>
              </w:rPr>
              <w:t>，科学合理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满足陪护管理要求的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陪护中心管理方案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根据管理范围、内容及管理目标，提供</w:t>
            </w:r>
            <w:r>
              <w:rPr>
                <w:rFonts w:hint="eastAsia" w:asciiTheme="minorEastAsia" w:hAnsiTheme="minorEastAsia" w:eastAsiaTheme="minorEastAsia" w:cstheme="minorEastAsia"/>
                <w:b/>
                <w:bCs/>
                <w:color w:val="auto"/>
                <w:sz w:val="21"/>
                <w:szCs w:val="21"/>
                <w:highlight w:val="none"/>
              </w:rPr>
              <w:t>会议、小搬家活动服务</w:t>
            </w:r>
            <w:r>
              <w:rPr>
                <w:rFonts w:hint="eastAsia" w:asciiTheme="minorEastAsia" w:hAnsiTheme="minorEastAsia" w:eastAsiaTheme="minorEastAsia" w:cstheme="minorEastAsia"/>
                <w:b/>
                <w:bCs/>
                <w:color w:val="auto"/>
                <w:sz w:val="21"/>
                <w:szCs w:val="21"/>
                <w:highlight w:val="none"/>
                <w:lang w:eastAsia="zh-CN"/>
              </w:rPr>
              <w:t>及废品回收</w:t>
            </w:r>
            <w:r>
              <w:rPr>
                <w:rFonts w:hint="eastAsia" w:ascii="宋体" w:hAnsi="宋体" w:eastAsia="宋体" w:cs="宋体"/>
                <w:b/>
                <w:sz w:val="21"/>
                <w:szCs w:val="21"/>
                <w:highlight w:val="none"/>
                <w:lang w:eastAsia="zh-CN"/>
              </w:rPr>
              <w:t>方案</w:t>
            </w:r>
            <w:r>
              <w:rPr>
                <w:rFonts w:hint="eastAsia" w:asciiTheme="minorEastAsia" w:hAnsiTheme="minorEastAsia" w:eastAsiaTheme="minorEastAsia" w:cstheme="minorEastAsia"/>
                <w:color w:val="auto"/>
                <w:sz w:val="21"/>
                <w:szCs w:val="21"/>
                <w:highlight w:val="none"/>
              </w:rPr>
              <w:t>，方案内容完整</w:t>
            </w:r>
            <w:r>
              <w:rPr>
                <w:rFonts w:hint="eastAsia" w:asciiTheme="minorEastAsia" w:hAnsiTheme="minorEastAsia" w:eastAsiaTheme="minorEastAsia" w:cstheme="minorEastAsia"/>
                <w:color w:val="auto"/>
                <w:sz w:val="21"/>
                <w:szCs w:val="21"/>
                <w:highlight w:val="none"/>
                <w:lang w:eastAsia="zh-CN"/>
              </w:rPr>
              <w:t>，科学合理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满足会议、小搬家活动服务及废品回收要求的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会议、小搬家活动服务</w:t>
            </w:r>
            <w:r>
              <w:rPr>
                <w:rFonts w:hint="eastAsia" w:asciiTheme="minorEastAsia" w:hAnsiTheme="minorEastAsia" w:eastAsiaTheme="minorEastAsia" w:cstheme="minorEastAsia"/>
                <w:color w:val="auto"/>
                <w:sz w:val="21"/>
                <w:szCs w:val="21"/>
                <w:highlight w:val="none"/>
                <w:lang w:eastAsia="zh-CN"/>
              </w:rPr>
              <w:t>及废品回收方案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根据管理范围、内容及管理目标，提供</w:t>
            </w:r>
            <w:r>
              <w:rPr>
                <w:rFonts w:hint="eastAsia" w:ascii="宋体" w:hAnsi="宋体" w:eastAsia="宋体" w:cs="宋体"/>
                <w:b/>
                <w:sz w:val="21"/>
                <w:szCs w:val="21"/>
                <w:highlight w:val="none"/>
              </w:rPr>
              <w:t>各类材质的地面日常保洁</w:t>
            </w:r>
            <w:r>
              <w:rPr>
                <w:rFonts w:hint="eastAsia" w:ascii="宋体" w:hAnsi="宋体" w:eastAsia="宋体" w:cs="宋体"/>
                <w:b/>
                <w:sz w:val="21"/>
                <w:szCs w:val="21"/>
                <w:highlight w:val="none"/>
                <w:lang w:eastAsia="zh-CN"/>
              </w:rPr>
              <w:t>方案</w:t>
            </w:r>
            <w:r>
              <w:rPr>
                <w:rFonts w:hint="eastAsia" w:asciiTheme="minorEastAsia" w:hAnsiTheme="minorEastAsia" w:eastAsiaTheme="minorEastAsia" w:cstheme="minorEastAsia"/>
                <w:color w:val="auto"/>
                <w:sz w:val="21"/>
                <w:szCs w:val="21"/>
                <w:highlight w:val="none"/>
              </w:rPr>
              <w:t>，方案内容完整</w:t>
            </w:r>
            <w:r>
              <w:rPr>
                <w:rFonts w:hint="eastAsia" w:asciiTheme="minorEastAsia" w:hAnsiTheme="minorEastAsia" w:eastAsiaTheme="minorEastAsia" w:cstheme="minorEastAsia"/>
                <w:color w:val="auto"/>
                <w:sz w:val="21"/>
                <w:szCs w:val="21"/>
                <w:highlight w:val="none"/>
                <w:lang w:eastAsia="zh-CN"/>
              </w:rPr>
              <w:t>，科学合理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满足各类材质的地面日常保洁要求的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各类材质的地面日常保洁方案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spacing w:line="360" w:lineRule="auto"/>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根据管理范围、内容及管理目标，提供</w:t>
            </w:r>
            <w:r>
              <w:rPr>
                <w:rFonts w:hint="eastAsia" w:asciiTheme="minorEastAsia" w:hAnsiTheme="minorEastAsia" w:eastAsiaTheme="minorEastAsia" w:cstheme="minorEastAsia"/>
                <w:b/>
                <w:bCs/>
                <w:color w:val="auto"/>
                <w:sz w:val="21"/>
                <w:szCs w:val="21"/>
                <w:highlight w:val="none"/>
                <w:lang w:eastAsia="zh-CN"/>
              </w:rPr>
              <w:t>运送管理</w:t>
            </w:r>
            <w:r>
              <w:rPr>
                <w:rFonts w:hint="eastAsia" w:ascii="宋体" w:hAnsi="宋体" w:eastAsia="宋体" w:cs="宋体"/>
                <w:b/>
                <w:bCs/>
                <w:sz w:val="21"/>
                <w:szCs w:val="21"/>
                <w:highlight w:val="none"/>
                <w:lang w:eastAsia="zh-CN"/>
              </w:rPr>
              <w:t>方案</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方案包含①</w:t>
            </w:r>
            <w:r>
              <w:rPr>
                <w:rFonts w:hint="eastAsia" w:asciiTheme="minorEastAsia" w:hAnsiTheme="minorEastAsia" w:eastAsiaTheme="minorEastAsia" w:cstheme="minorEastAsia"/>
                <w:color w:val="auto"/>
                <w:sz w:val="21"/>
                <w:szCs w:val="21"/>
                <w:highlight w:val="none"/>
                <w:lang w:val="en-US" w:eastAsia="zh-CN"/>
              </w:rPr>
              <w:t>病人运送、②标本、单据、病历资料、检验单运送、③家具、物品、垃圾运送，</w:t>
            </w:r>
            <w:r>
              <w:rPr>
                <w:rFonts w:hint="eastAsia" w:asciiTheme="minorEastAsia" w:hAnsiTheme="minorEastAsia" w:eastAsiaTheme="minorEastAsia" w:cstheme="minorEastAsia"/>
                <w:color w:val="auto"/>
                <w:sz w:val="21"/>
                <w:szCs w:val="21"/>
                <w:highlight w:val="none"/>
              </w:rPr>
              <w:t>方案内容完整</w:t>
            </w:r>
            <w:r>
              <w:rPr>
                <w:rFonts w:hint="eastAsia" w:asciiTheme="minorEastAsia" w:hAnsiTheme="minorEastAsia" w:eastAsiaTheme="minorEastAsia" w:cstheme="minorEastAsia"/>
                <w:color w:val="auto"/>
                <w:sz w:val="21"/>
                <w:szCs w:val="21"/>
                <w:highlight w:val="none"/>
                <w:lang w:eastAsia="zh-CN"/>
              </w:rPr>
              <w:t>，科学合理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满足医院勤务中心工作内容与要求的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eastAsia="zh-CN"/>
              </w:rPr>
              <w:t>运送管理</w:t>
            </w:r>
            <w:r>
              <w:rPr>
                <w:rFonts w:hint="eastAsia" w:ascii="宋体" w:hAnsi="宋体" w:eastAsia="宋体" w:cs="宋体"/>
                <w:b w:val="0"/>
                <w:bCs w:val="0"/>
                <w:sz w:val="21"/>
                <w:szCs w:val="21"/>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spacing w:line="360" w:lineRule="auto"/>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投标人针对本项目特殊性提供</w:t>
            </w:r>
            <w:r>
              <w:rPr>
                <w:rFonts w:hint="eastAsia" w:asciiTheme="minorEastAsia" w:hAnsiTheme="minorEastAsia" w:eastAsiaTheme="minorEastAsia" w:cstheme="minorEastAsia"/>
                <w:b/>
                <w:bCs/>
                <w:color w:val="auto"/>
                <w:sz w:val="21"/>
                <w:szCs w:val="21"/>
                <w:highlight w:val="none"/>
                <w:lang w:val="en-US" w:eastAsia="zh-CN"/>
              </w:rPr>
              <w:t>防止交叉感染方案</w:t>
            </w:r>
            <w:r>
              <w:rPr>
                <w:rFonts w:hint="eastAsia" w:asciiTheme="minorEastAsia" w:hAnsiTheme="minorEastAsia" w:eastAsiaTheme="minorEastAsia" w:cstheme="minorEastAsia"/>
                <w:color w:val="auto"/>
                <w:sz w:val="21"/>
                <w:szCs w:val="21"/>
                <w:highlight w:val="none"/>
                <w:lang w:val="en-US" w:eastAsia="zh-CN"/>
              </w:rPr>
              <w:t>，方案有明确的防止医院交叉感染的措施并具有可操作性</w:t>
            </w:r>
            <w:r>
              <w:rPr>
                <w:rFonts w:hint="eastAsia" w:asciiTheme="minorEastAsia" w:hAnsiTheme="minorEastAsia" w:eastAsiaTheme="minorEastAsia" w:cstheme="minorEastAsia"/>
                <w:color w:val="auto"/>
                <w:sz w:val="21"/>
                <w:szCs w:val="21"/>
                <w:highlight w:val="none"/>
                <w:lang w:eastAsia="zh-CN"/>
              </w:rPr>
              <w:t>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防止交叉感染方案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投标人针对本项目提供</w:t>
            </w:r>
            <w:r>
              <w:rPr>
                <w:rFonts w:hint="eastAsia" w:asciiTheme="minorEastAsia" w:hAnsiTheme="minorEastAsia" w:eastAsiaTheme="minorEastAsia" w:cstheme="minorEastAsia"/>
                <w:b/>
                <w:bCs/>
                <w:color w:val="auto"/>
                <w:sz w:val="21"/>
                <w:szCs w:val="21"/>
                <w:highlight w:val="none"/>
                <w:lang w:val="en-US" w:eastAsia="zh-CN"/>
              </w:rPr>
              <w:t>区域内PVC地板打蜡保养、石材地面修补翻新养护服务方案</w:t>
            </w:r>
            <w:r>
              <w:rPr>
                <w:rFonts w:hint="eastAsia" w:asciiTheme="minorEastAsia" w:hAnsiTheme="minorEastAsia" w:eastAsiaTheme="minorEastAsia" w:cstheme="minorEastAsia"/>
                <w:color w:val="auto"/>
                <w:sz w:val="21"/>
                <w:szCs w:val="21"/>
                <w:highlight w:val="none"/>
                <w:lang w:val="en-US" w:eastAsia="zh-CN"/>
              </w:rPr>
              <w:t>，包括病房、诊室、走廊通道、楼梯、洁净区域、大厅、电梯厅、卫生间等室外地面打蜡保养、石材地面养护，方案科学合理，具有可操作性</w:t>
            </w:r>
            <w:r>
              <w:rPr>
                <w:rFonts w:hint="eastAsia" w:asciiTheme="minorEastAsia" w:hAnsiTheme="minorEastAsia" w:eastAsiaTheme="minorEastAsia" w:cstheme="minorEastAsia"/>
                <w:color w:val="auto"/>
                <w:sz w:val="21"/>
                <w:szCs w:val="21"/>
                <w:highlight w:val="none"/>
                <w:lang w:eastAsia="zh-CN"/>
              </w:rPr>
              <w:t>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区域内PVC地板打蜡保养、石材地面修补翻新养护服务方案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投标人拟投入①保洁设备（列表说明设备名称、规格型号、制造商、数量，并附实物照片），设备配置先进、科学合理且数量充裕</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分。②保洁药剂（列表说明药剂名称、品牌、规格型号），符合院感要求且为质量合格产品</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保洁投入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拟派项目负责人（项目经理）：①具有</w:t>
            </w:r>
            <w:r>
              <w:rPr>
                <w:rFonts w:hint="eastAsia" w:asciiTheme="minorEastAsia" w:hAnsiTheme="minorEastAsia" w:eastAsiaTheme="minorEastAsia" w:cstheme="minorEastAsia"/>
                <w:color w:val="auto"/>
                <w:sz w:val="21"/>
                <w:szCs w:val="21"/>
                <w:highlight w:val="none"/>
                <w:lang w:val="en-US" w:eastAsia="zh-CN"/>
              </w:rPr>
              <w:t>大专</w:t>
            </w:r>
            <w:r>
              <w:rPr>
                <w:rFonts w:hint="eastAsia" w:asciiTheme="minorEastAsia" w:hAnsiTheme="minorEastAsia" w:eastAsiaTheme="minorEastAsia" w:cstheme="minorEastAsia"/>
                <w:color w:val="auto"/>
                <w:sz w:val="21"/>
                <w:szCs w:val="21"/>
                <w:highlight w:val="none"/>
                <w:lang w:eastAsia="zh-CN"/>
              </w:rPr>
              <w:t>及以上文化程度（</w:t>
            </w:r>
            <w:r>
              <w:rPr>
                <w:rFonts w:hint="eastAsia" w:asciiTheme="minorEastAsia" w:hAnsiTheme="minorEastAsia" w:eastAsiaTheme="minorEastAsia" w:cstheme="minorEastAsia"/>
                <w:color w:val="auto"/>
                <w:sz w:val="21"/>
                <w:szCs w:val="21"/>
                <w:highlight w:val="none"/>
                <w:lang w:val="en-US" w:eastAsia="zh-CN"/>
              </w:rPr>
              <w:t>提供学历证书，符合得1分，不符合不得分）</w:t>
            </w:r>
            <w:r>
              <w:rPr>
                <w:rFonts w:hint="eastAsia" w:asciiTheme="minorEastAsia" w:hAnsiTheme="minorEastAsia" w:eastAsiaTheme="minorEastAsia" w:cstheme="minorEastAsia"/>
                <w:color w:val="auto"/>
                <w:sz w:val="21"/>
                <w:szCs w:val="21"/>
                <w:highlight w:val="none"/>
                <w:lang w:eastAsia="zh-CN"/>
              </w:rPr>
              <w:t>；②年龄为</w:t>
            </w:r>
            <w:r>
              <w:rPr>
                <w:rFonts w:hint="eastAsia" w:asciiTheme="minorEastAsia" w:hAnsiTheme="minorEastAsia" w:eastAsiaTheme="minorEastAsia" w:cstheme="minorEastAsia"/>
                <w:color w:val="auto"/>
                <w:sz w:val="21"/>
                <w:szCs w:val="21"/>
                <w:highlight w:val="none"/>
                <w:lang w:val="en-US" w:eastAsia="zh-CN"/>
              </w:rPr>
              <w:t>55岁（含）以下的得1分；</w:t>
            </w:r>
            <w:r>
              <w:rPr>
                <w:rFonts w:hint="eastAsia" w:asciiTheme="minorEastAsia" w:hAnsiTheme="minorEastAsia" w:eastAsiaTheme="minorEastAsia" w:cstheme="minorEastAsia"/>
                <w:color w:val="auto"/>
                <w:sz w:val="21"/>
                <w:szCs w:val="21"/>
                <w:highlight w:val="none"/>
                <w:lang w:eastAsia="zh-CN"/>
              </w:rPr>
              <w:t>③有三乙及以上医院项目经理管理经验，且从业年限五年（含）以上得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分，不足</w:t>
            </w:r>
            <w:r>
              <w:rPr>
                <w:rFonts w:hint="eastAsia" w:asciiTheme="minorEastAsia" w:hAnsiTheme="minorEastAsia" w:eastAsiaTheme="minorEastAsia" w:cstheme="minorEastAsia"/>
                <w:color w:val="auto"/>
                <w:sz w:val="21"/>
                <w:szCs w:val="21"/>
                <w:highlight w:val="none"/>
                <w:lang w:val="en-US" w:eastAsia="zh-CN"/>
              </w:rPr>
              <w:t>五年不得分</w:t>
            </w:r>
            <w:r>
              <w:rPr>
                <w:rFonts w:hint="eastAsia" w:asciiTheme="minorEastAsia" w:hAnsiTheme="minorEastAsia" w:eastAsiaTheme="minorEastAsia" w:cstheme="minorEastAsia"/>
                <w:color w:val="auto"/>
                <w:sz w:val="21"/>
                <w:szCs w:val="21"/>
                <w:highlight w:val="none"/>
                <w:lang w:eastAsia="zh-CN"/>
              </w:rPr>
              <w:t>（需提供服务单位盖章证明文件，格式自拟）。共</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分。</w:t>
            </w:r>
          </w:p>
          <w:p>
            <w:pPr>
              <w:spacing w:line="360" w:lineRule="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以上提供身份证明、相关证书、工作经验证明材料，且同时提供本单位社保证明，否则不得分。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客</w:t>
            </w:r>
            <w:r>
              <w:rPr>
                <w:rFonts w:hint="eastAsia" w:asciiTheme="minorEastAsia" w:hAnsiTheme="minorEastAsia" w:eastAsiaTheme="minorEastAsia" w:cstheme="minorEastAsia"/>
                <w:color w:val="auto"/>
                <w:sz w:val="21"/>
                <w:szCs w:val="21"/>
                <w:highlight w:val="none"/>
              </w:rPr>
              <w:t>观分</w:t>
            </w:r>
          </w:p>
        </w:tc>
        <w:tc>
          <w:tcPr>
            <w:tcW w:w="787" w:type="pct"/>
            <w:vMerge w:val="restar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3181" w:type="pct"/>
            <w:shd w:val="clear" w:color="auto" w:fill="auto"/>
            <w:vAlign w:val="center"/>
          </w:tcPr>
          <w:p>
            <w:pPr>
              <w:spacing w:line="360" w:lineRule="auto"/>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主要管理人员（不含项目负责人）：①保洁主管（</w:t>
            </w:r>
            <w:r>
              <w:rPr>
                <w:rFonts w:hint="eastAsia" w:asciiTheme="minorEastAsia" w:hAnsiTheme="minorEastAsia" w:eastAsiaTheme="minorEastAsia" w:cstheme="minorEastAsia"/>
                <w:color w:val="auto"/>
                <w:sz w:val="21"/>
                <w:szCs w:val="21"/>
                <w:highlight w:val="none"/>
                <w:lang w:val="en-US" w:eastAsia="zh-CN"/>
              </w:rPr>
              <w:t>4人</w:t>
            </w:r>
            <w:r>
              <w:rPr>
                <w:rFonts w:hint="eastAsia" w:asciiTheme="minorEastAsia" w:hAnsiTheme="minorEastAsia" w:eastAsiaTheme="minorEastAsia" w:cstheme="minorEastAsia"/>
                <w:color w:val="auto"/>
                <w:sz w:val="21"/>
                <w:szCs w:val="21"/>
                <w:highlight w:val="none"/>
                <w:lang w:eastAsia="zh-CN"/>
              </w:rPr>
              <w:t>）：在三乙及以上医院从事医院保洁勤务管理经验二年及以上且年龄小于</w:t>
            </w:r>
            <w:r>
              <w:rPr>
                <w:rFonts w:hint="eastAsia" w:asciiTheme="minorEastAsia" w:hAnsiTheme="minorEastAsia" w:eastAsiaTheme="minorEastAsia" w:cstheme="minorEastAsia"/>
                <w:color w:val="auto"/>
                <w:sz w:val="21"/>
                <w:szCs w:val="21"/>
                <w:highlight w:val="none"/>
                <w:lang w:val="en-US" w:eastAsia="zh-CN"/>
              </w:rPr>
              <w:t>50周岁（含）</w:t>
            </w:r>
            <w:r>
              <w:rPr>
                <w:rFonts w:hint="eastAsia" w:asciiTheme="minorEastAsia" w:hAnsiTheme="minorEastAsia" w:eastAsiaTheme="minorEastAsia" w:cstheme="minorEastAsia"/>
                <w:color w:val="auto"/>
                <w:sz w:val="21"/>
                <w:szCs w:val="21"/>
                <w:highlight w:val="none"/>
                <w:lang w:eastAsia="zh-CN"/>
              </w:rPr>
              <w:t>的每人得</w:t>
            </w:r>
            <w:r>
              <w:rPr>
                <w:rFonts w:hint="eastAsia" w:asciiTheme="minorEastAsia" w:hAnsiTheme="minorEastAsia" w:eastAsiaTheme="minorEastAsia" w:cstheme="minorEastAsia"/>
                <w:color w:val="auto"/>
                <w:sz w:val="21"/>
                <w:szCs w:val="21"/>
                <w:highlight w:val="none"/>
                <w:lang w:val="en-US" w:eastAsia="zh-CN"/>
              </w:rPr>
              <w:t>0.5分</w:t>
            </w:r>
            <w:r>
              <w:rPr>
                <w:rFonts w:hint="eastAsia" w:asciiTheme="minorEastAsia" w:hAnsiTheme="minorEastAsia" w:eastAsiaTheme="minorEastAsia" w:cstheme="minorEastAsia"/>
                <w:color w:val="auto"/>
                <w:sz w:val="21"/>
                <w:szCs w:val="21"/>
                <w:highlight w:val="none"/>
                <w:lang w:eastAsia="zh-CN"/>
              </w:rPr>
              <w:t>（需提供服务单位盖章证明文件，格式自拟）。共</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分。②运送主管（</w:t>
            </w:r>
            <w:r>
              <w:rPr>
                <w:rFonts w:hint="eastAsia" w:asciiTheme="minorEastAsia" w:hAnsiTheme="minorEastAsia" w:eastAsiaTheme="minorEastAsia" w:cstheme="minorEastAsia"/>
                <w:color w:val="auto"/>
                <w:sz w:val="21"/>
                <w:szCs w:val="21"/>
                <w:highlight w:val="none"/>
                <w:lang w:val="en-US" w:eastAsia="zh-CN"/>
              </w:rPr>
              <w:t>1人</w:t>
            </w:r>
            <w:r>
              <w:rPr>
                <w:rFonts w:hint="eastAsia" w:asciiTheme="minorEastAsia" w:hAnsiTheme="minorEastAsia" w:eastAsiaTheme="minorEastAsia" w:cstheme="minorEastAsia"/>
                <w:color w:val="auto"/>
                <w:sz w:val="21"/>
                <w:szCs w:val="21"/>
                <w:highlight w:val="none"/>
                <w:lang w:eastAsia="zh-CN"/>
              </w:rPr>
              <w:t>）：在三乙及以上医院从事运送主管经验二年及以上且年龄小于50周岁（含）的得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分（需提供服务单位盖章证明文件，格式自拟）。共</w:t>
            </w:r>
            <w:r>
              <w:rPr>
                <w:rFonts w:hint="eastAsia" w:asciiTheme="minorEastAsia" w:hAnsiTheme="minorEastAsia" w:eastAsiaTheme="minorEastAsia" w:cstheme="minorEastAsia"/>
                <w:color w:val="auto"/>
                <w:sz w:val="21"/>
                <w:szCs w:val="21"/>
                <w:highlight w:val="none"/>
                <w:lang w:val="en-US" w:eastAsia="zh-CN"/>
              </w:rPr>
              <w:t>1分。</w:t>
            </w:r>
          </w:p>
          <w:p>
            <w:pPr>
              <w:spacing w:line="360" w:lineRule="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以上提供身份证明、工作经验证明材料，且同时提供本单位社保证明，否则不得分。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客</w:t>
            </w:r>
            <w:r>
              <w:rPr>
                <w:rFonts w:hint="eastAsia" w:asciiTheme="minorEastAsia" w:hAnsiTheme="minorEastAsia" w:eastAsiaTheme="minorEastAsia" w:cstheme="minorEastAsia"/>
                <w:color w:val="auto"/>
                <w:sz w:val="21"/>
                <w:szCs w:val="21"/>
                <w:highlight w:val="none"/>
              </w:rPr>
              <w:t>观分</w:t>
            </w:r>
          </w:p>
        </w:tc>
        <w:tc>
          <w:tcPr>
            <w:tcW w:w="787" w:type="pct"/>
            <w:vMerge w:val="continue"/>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3181" w:type="pct"/>
            <w:shd w:val="clear" w:color="auto" w:fill="auto"/>
            <w:vAlign w:val="center"/>
          </w:tcPr>
          <w:p>
            <w:pPr>
              <w:spacing w:line="360" w:lineRule="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针对本项目清晰简练地列出主要管理流程，包括组织架构</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运作流程、激励机制、监督机制、自我约束机制、信息反馈渠道及处理机制</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组织架构</w:t>
            </w:r>
            <w:r>
              <w:rPr>
                <w:rFonts w:hint="eastAsia" w:ascii="宋体" w:hAnsi="宋体" w:eastAsia="宋体" w:cs="宋体"/>
                <w:b w:val="0"/>
                <w:bCs/>
                <w:color w:val="auto"/>
                <w:sz w:val="21"/>
                <w:szCs w:val="21"/>
                <w:highlight w:val="none"/>
                <w:lang w:eastAsia="zh-CN"/>
              </w:rPr>
              <w:t>完善，管理流程科学合理，满足本项目实际需求的视为符合，</w:t>
            </w:r>
            <w:r>
              <w:rPr>
                <w:rFonts w:hint="eastAsia" w:ascii="宋体" w:hAnsi="宋体" w:eastAsia="宋体" w:cs="宋体"/>
                <w:b w:val="0"/>
                <w:bCs/>
                <w:color w:val="auto"/>
                <w:sz w:val="21"/>
                <w:szCs w:val="21"/>
                <w:highlight w:val="none"/>
              </w:rPr>
              <w:t>完全符合得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基本符合得</w:t>
            </w:r>
            <w:r>
              <w:rPr>
                <w:rFonts w:hint="eastAsia" w:ascii="宋体" w:hAnsi="宋体" w:eastAsia="宋体" w:cs="宋体"/>
                <w:b w:val="0"/>
                <w:bCs/>
                <w:color w:val="auto"/>
                <w:sz w:val="21"/>
                <w:szCs w:val="21"/>
                <w:highlight w:val="none"/>
                <w:lang w:val="en-US" w:eastAsia="zh-CN"/>
              </w:rPr>
              <w:t>3分，</w:t>
            </w:r>
            <w:r>
              <w:rPr>
                <w:rFonts w:hint="eastAsia" w:ascii="宋体" w:hAnsi="宋体" w:eastAsia="宋体" w:cs="宋体"/>
                <w:b w:val="0"/>
                <w:bCs/>
                <w:color w:val="auto"/>
                <w:sz w:val="21"/>
                <w:szCs w:val="21"/>
                <w:highlight w:val="none"/>
                <w:lang w:eastAsia="zh-CN"/>
              </w:rPr>
              <w:t>部分符合得</w:t>
            </w:r>
            <w:r>
              <w:rPr>
                <w:rFonts w:hint="eastAsia" w:ascii="宋体" w:hAnsi="宋体" w:eastAsia="宋体" w:cs="宋体"/>
                <w:b w:val="0"/>
                <w:bCs/>
                <w:color w:val="auto"/>
                <w:sz w:val="21"/>
                <w:szCs w:val="21"/>
                <w:highlight w:val="none"/>
                <w:lang w:val="en-US" w:eastAsia="zh-CN"/>
              </w:rPr>
              <w:t>1分</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否则</w:t>
            </w:r>
            <w:r>
              <w:rPr>
                <w:rFonts w:hint="eastAsia" w:ascii="宋体" w:hAnsi="宋体" w:eastAsia="宋体" w:cs="宋体"/>
                <w:b w:val="0"/>
                <w:bCs/>
                <w:color w:val="auto"/>
                <w:sz w:val="21"/>
                <w:szCs w:val="21"/>
                <w:highlight w:val="none"/>
              </w:rPr>
              <w:t>不得分</w:t>
            </w:r>
            <w:r>
              <w:rPr>
                <w:rFonts w:hint="eastAsia" w:ascii="宋体" w:hAnsi="宋体" w:eastAsia="宋体" w:cs="宋体"/>
                <w:b w:val="0"/>
                <w:bCs/>
                <w:color w:val="auto"/>
                <w:sz w:val="21"/>
                <w:szCs w:val="21"/>
                <w:highlight w:val="none"/>
                <w:lang w:eastAsia="zh-CN"/>
              </w:rPr>
              <w:t>，共</w:t>
            </w:r>
            <w:r>
              <w:rPr>
                <w:rFonts w:hint="eastAsia" w:ascii="宋体" w:hAnsi="宋体" w:eastAsia="宋体" w:cs="宋体"/>
                <w:b w:val="0"/>
                <w:bCs/>
                <w:color w:val="auto"/>
                <w:sz w:val="21"/>
                <w:szCs w:val="21"/>
                <w:highlight w:val="none"/>
                <w:lang w:val="en-US" w:eastAsia="zh-CN"/>
              </w:rPr>
              <w:t>5分。</w:t>
            </w:r>
          </w:p>
        </w:tc>
        <w:tc>
          <w:tcPr>
            <w:tcW w:w="332" w:type="pct"/>
            <w:shd w:val="clear" w:color="auto" w:fill="auto"/>
            <w:vAlign w:val="center"/>
          </w:tcPr>
          <w:p>
            <w:pPr>
              <w:spacing w:line="360" w:lineRule="auto"/>
              <w:jc w:val="center"/>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w:t>
            </w:r>
          </w:p>
        </w:tc>
        <w:tc>
          <w:tcPr>
            <w:tcW w:w="413" w:type="pct"/>
            <w:shd w:val="clear" w:color="auto" w:fill="auto"/>
            <w:vAlign w:val="center"/>
          </w:tcPr>
          <w:p>
            <w:pPr>
              <w:spacing w:line="360" w:lineRule="auto"/>
              <w:jc w:val="center"/>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主观分</w:t>
            </w:r>
          </w:p>
        </w:tc>
        <w:tc>
          <w:tcPr>
            <w:tcW w:w="787" w:type="pct"/>
            <w:shd w:val="clear" w:color="auto" w:fill="auto"/>
            <w:vAlign w:val="center"/>
          </w:tcPr>
          <w:p>
            <w:pPr>
              <w:spacing w:line="360" w:lineRule="auto"/>
              <w:jc w:val="center"/>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针对本项目有①进场筹备工作和与原履约方交接的工作方案、②选聘及稳定员工队伍的措施，方案内容完整、规范、措施合理且可行，针对性强，能保证项目顺利实施的视为符合，符合得</w:t>
            </w:r>
            <w:r>
              <w:rPr>
                <w:rFonts w:hint="eastAsia" w:asciiTheme="minorEastAsia" w:hAnsiTheme="minorEastAsia" w:eastAsiaTheme="minorEastAsia" w:cstheme="minorEastAsia"/>
                <w:color w:val="auto"/>
                <w:sz w:val="21"/>
                <w:szCs w:val="21"/>
                <w:highlight w:val="none"/>
                <w:lang w:val="en-US" w:eastAsia="zh-CN"/>
              </w:rPr>
              <w:t>3分，基本符合得2分，</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lang w:val="en-US" w:eastAsia="zh-CN"/>
              </w:rPr>
              <w:t>符合</w:t>
            </w:r>
            <w:r>
              <w:rPr>
                <w:rFonts w:hint="eastAsia" w:asciiTheme="minorEastAsia" w:hAnsiTheme="minorEastAsia" w:eastAsiaTheme="minorEastAsia" w:cstheme="minorEastAsia"/>
                <w:color w:val="auto"/>
                <w:sz w:val="21"/>
                <w:szCs w:val="21"/>
                <w:highlight w:val="none"/>
                <w:lang w:eastAsia="zh-CN"/>
              </w:rPr>
              <w:t>得1分，不</w:t>
            </w:r>
            <w:r>
              <w:rPr>
                <w:rFonts w:hint="eastAsia" w:asciiTheme="minorEastAsia" w:hAnsiTheme="minorEastAsia" w:eastAsiaTheme="minorEastAsia" w:cstheme="minorEastAsia"/>
                <w:color w:val="auto"/>
                <w:sz w:val="21"/>
                <w:szCs w:val="21"/>
                <w:highlight w:val="none"/>
                <w:lang w:val="en-US" w:eastAsia="zh-CN"/>
              </w:rPr>
              <w:t>符合或未提供</w:t>
            </w:r>
            <w:r>
              <w:rPr>
                <w:rFonts w:hint="eastAsia" w:asciiTheme="minorEastAsia" w:hAnsiTheme="minorEastAsia" w:eastAsiaTheme="minorEastAsia" w:cstheme="minorEastAsia"/>
                <w:color w:val="auto"/>
                <w:sz w:val="21"/>
                <w:szCs w:val="21"/>
                <w:highlight w:val="none"/>
                <w:lang w:eastAsia="zh-CN"/>
              </w:rPr>
              <w:t>不得分。共</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分。</w:t>
            </w:r>
          </w:p>
        </w:tc>
        <w:tc>
          <w:tcPr>
            <w:tcW w:w="332" w:type="pct"/>
            <w:shd w:val="clear" w:color="auto" w:fill="auto"/>
            <w:vAlign w:val="center"/>
          </w:tcPr>
          <w:p>
            <w:pPr>
              <w:spacing w:line="360" w:lineRule="auto"/>
              <w:ind w:firstLine="210" w:firstLineChars="100"/>
              <w:jc w:val="both"/>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交接方案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针对本项目提供员工岗位和在岗培训方案，</w:t>
            </w:r>
            <w:r>
              <w:rPr>
                <w:rFonts w:hint="eastAsia" w:asciiTheme="minorEastAsia" w:hAnsiTheme="minorEastAsia" w:eastAsiaTheme="minorEastAsia" w:cstheme="minorEastAsia"/>
                <w:color w:val="auto"/>
                <w:sz w:val="21"/>
                <w:szCs w:val="21"/>
                <w:highlight w:val="none"/>
              </w:rPr>
              <w:t>方案内容完整</w:t>
            </w:r>
            <w:r>
              <w:rPr>
                <w:rFonts w:hint="eastAsia" w:asciiTheme="minorEastAsia" w:hAnsiTheme="minorEastAsia" w:eastAsiaTheme="minorEastAsia" w:cstheme="minorEastAsia"/>
                <w:color w:val="auto"/>
                <w:sz w:val="21"/>
                <w:szCs w:val="21"/>
                <w:highlight w:val="none"/>
                <w:lang w:eastAsia="zh-CN"/>
              </w:rPr>
              <w:t>，科学合理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满足要求的</w:t>
            </w:r>
            <w:r>
              <w:rPr>
                <w:rFonts w:hint="eastAsia" w:ascii="宋体" w:hAnsi="宋体" w:eastAsia="宋体" w:cs="宋体"/>
                <w:b w:val="0"/>
                <w:bCs/>
                <w:i w:val="0"/>
                <w:iCs w:val="0"/>
                <w:snapToGrid/>
                <w:color w:val="auto"/>
                <w:kern w:val="0"/>
                <w:sz w:val="21"/>
                <w:szCs w:val="21"/>
                <w:highlight w:val="none"/>
                <w:lang w:val="en-US" w:eastAsia="zh-CN" w:bidi="ar"/>
              </w:rPr>
              <w:t>视为符合，全部符合得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ind w:firstLine="210" w:firstLineChars="100"/>
              <w:jc w:val="both"/>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针对本项目提供配合医院等级评审方案，内容包含医院等级评审相关物业建议及措施，方案内容完整、建议科学合理、措施可行、有助于医院等级评审工作推进的得视为符合，</w:t>
            </w:r>
            <w:r>
              <w:rPr>
                <w:rFonts w:hint="eastAsia" w:ascii="宋体" w:hAnsi="宋体" w:eastAsia="宋体" w:cs="宋体"/>
                <w:b w:val="0"/>
                <w:bCs/>
                <w:i w:val="0"/>
                <w:iCs w:val="0"/>
                <w:snapToGrid/>
                <w:color w:val="auto"/>
                <w:kern w:val="0"/>
                <w:sz w:val="21"/>
                <w:szCs w:val="21"/>
                <w:highlight w:val="none"/>
                <w:lang w:val="en-US" w:eastAsia="zh-CN" w:bidi="ar"/>
              </w:rPr>
              <w:t>全部符合得</w:t>
            </w:r>
            <w:r>
              <w:rPr>
                <w:rFonts w:hint="eastAsia" w:ascii="宋体" w:hAnsi="宋体" w:cs="宋体"/>
                <w:b w:val="0"/>
                <w:bCs/>
                <w:i w:val="0"/>
                <w:iCs w:val="0"/>
                <w:snapToGrid/>
                <w:color w:val="auto"/>
                <w:kern w:val="0"/>
                <w:sz w:val="21"/>
                <w:szCs w:val="21"/>
                <w:highlight w:val="none"/>
                <w:lang w:val="en-US" w:eastAsia="zh-CN" w:bidi="ar"/>
              </w:rPr>
              <w:t>3</w:t>
            </w:r>
            <w:r>
              <w:rPr>
                <w:rFonts w:hint="eastAsia" w:ascii="宋体" w:hAnsi="宋体" w:eastAsia="宋体" w:cs="宋体"/>
                <w:b w:val="0"/>
                <w:bCs/>
                <w:i w:val="0"/>
                <w:iCs w:val="0"/>
                <w:snapToGrid/>
                <w:color w:val="auto"/>
                <w:kern w:val="0"/>
                <w:sz w:val="21"/>
                <w:szCs w:val="21"/>
                <w:highlight w:val="none"/>
                <w:lang w:val="en-US" w:eastAsia="zh-CN" w:bidi="ar"/>
              </w:rPr>
              <w:t>分，基本符合得</w:t>
            </w:r>
            <w:r>
              <w:rPr>
                <w:rFonts w:hint="eastAsia" w:ascii="宋体" w:hAnsi="宋体" w:cs="宋体"/>
                <w:b w:val="0"/>
                <w:bCs/>
                <w:i w:val="0"/>
                <w:iCs w:val="0"/>
                <w:snapToGrid/>
                <w:color w:val="auto"/>
                <w:kern w:val="0"/>
                <w:sz w:val="21"/>
                <w:szCs w:val="21"/>
                <w:highlight w:val="none"/>
                <w:lang w:val="en-US" w:eastAsia="zh-CN" w:bidi="ar"/>
              </w:rPr>
              <w:t>2</w:t>
            </w:r>
            <w:r>
              <w:rPr>
                <w:rFonts w:hint="eastAsia" w:ascii="宋体" w:hAnsi="宋体" w:eastAsia="宋体" w:cs="宋体"/>
                <w:b w:val="0"/>
                <w:bCs/>
                <w:i w:val="0"/>
                <w:iCs w:val="0"/>
                <w:snapToGrid/>
                <w:color w:val="auto"/>
                <w:kern w:val="0"/>
                <w:sz w:val="21"/>
                <w:szCs w:val="21"/>
                <w:highlight w:val="none"/>
                <w:lang w:val="en-US" w:eastAsia="zh-CN" w:bidi="ar"/>
              </w:rPr>
              <w:t>分，部分符合得1分，</w:t>
            </w:r>
            <w:r>
              <w:rPr>
                <w:rFonts w:hint="eastAsia" w:ascii="宋体" w:hAnsi="宋体" w:eastAsia="宋体" w:cs="宋体"/>
                <w:b w:val="0"/>
                <w:bCs/>
                <w:color w:val="auto"/>
                <w:sz w:val="21"/>
                <w:szCs w:val="21"/>
                <w:highlight w:val="none"/>
                <w:lang w:val="en-US" w:eastAsia="zh-CN"/>
              </w:rPr>
              <w:t>不符合或没提供不得分。共</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p>
        </w:tc>
        <w:tc>
          <w:tcPr>
            <w:tcW w:w="332" w:type="pct"/>
            <w:shd w:val="clear" w:color="auto" w:fill="auto"/>
            <w:vAlign w:val="center"/>
          </w:tcPr>
          <w:p>
            <w:pPr>
              <w:spacing w:line="360" w:lineRule="auto"/>
              <w:ind w:firstLine="210" w:firstLineChars="100"/>
              <w:jc w:val="both"/>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等级评审方案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19</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针对采购人突发性事件（自然灾害、突发疫情、临时任务等），投标人的应急人员配备及应急响应时间等情况的，提供①有应对突发事件（包括发生暴雨等灾害性天气及其他突发事件）的应急预案；②有应对暴恐事件、防盗、防火等类型的应急预案；③有应对重大活动等类型的应急预案。根据提供的方案每项内容完整合理、措施有效进行打分，</w:t>
            </w:r>
            <w:r>
              <w:rPr>
                <w:rFonts w:hint="eastAsia" w:asciiTheme="minorEastAsia" w:hAnsiTheme="minorEastAsia" w:eastAsiaTheme="minorEastAsia" w:cstheme="minorEastAsia"/>
                <w:color w:val="auto"/>
                <w:sz w:val="21"/>
                <w:szCs w:val="21"/>
                <w:highlight w:val="none"/>
              </w:rPr>
              <w:t>每项符合得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分，部分符合得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r>
              <w:rPr>
                <w:rFonts w:hint="eastAsia" w:ascii="宋体" w:hAnsi="宋体" w:eastAsia="宋体" w:cs="宋体"/>
                <w:b w:val="0"/>
                <w:bCs/>
                <w:color w:val="auto"/>
                <w:sz w:val="21"/>
                <w:szCs w:val="21"/>
                <w:highlight w:val="none"/>
                <w:lang w:val="en-US" w:eastAsia="zh-CN"/>
              </w:rPr>
              <w:t>不符合或没提供不得分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共</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332" w:type="pct"/>
            <w:shd w:val="clear" w:color="auto" w:fill="auto"/>
            <w:vAlign w:val="center"/>
          </w:tcPr>
          <w:p>
            <w:pPr>
              <w:spacing w:line="360" w:lineRule="auto"/>
              <w:ind w:firstLine="210" w:firstLineChars="100"/>
              <w:jc w:val="both"/>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20</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可对保洁项目进行智慧化管理，具有智慧物业或保洁管理信息化系统，提供拟使用系统名称，系统包含①保洁巡查管理、②后勤平台管理、③垃圾分类管理方面的内容，提供相应的使用界面截图，每满足一项得1分，不满足或没提供不得分。共3分。</w:t>
            </w:r>
          </w:p>
        </w:tc>
        <w:tc>
          <w:tcPr>
            <w:tcW w:w="332" w:type="pct"/>
            <w:shd w:val="clear" w:color="auto" w:fill="auto"/>
            <w:vAlign w:val="center"/>
          </w:tcPr>
          <w:p>
            <w:pPr>
              <w:spacing w:line="360" w:lineRule="auto"/>
              <w:ind w:firstLine="210" w:firstLineChars="100"/>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客</w:t>
            </w:r>
            <w:r>
              <w:rPr>
                <w:rFonts w:hint="eastAsia" w:asciiTheme="minorEastAsia" w:hAnsiTheme="minorEastAsia" w:eastAsiaTheme="minorEastAsia" w:cstheme="minorEastAsia"/>
                <w:color w:val="auto"/>
                <w:sz w:val="21"/>
                <w:szCs w:val="21"/>
                <w:highlight w:val="none"/>
              </w:rPr>
              <w:t>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智慧化管理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85" w:type="pct"/>
            <w:shd w:val="clear" w:color="auto" w:fill="auto"/>
            <w:vAlign w:val="center"/>
          </w:tcPr>
          <w:p>
            <w:pPr>
              <w:spacing w:line="360" w:lineRule="auto"/>
              <w:jc w:val="center"/>
              <w:outlineLvl w:val="0"/>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21</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提供的质量保障方案中①质量管理体系完善，制定内部考核制度；②有专门的机构负责对本项目进行质量监管，针对本项目制定具体质量管理考核细则。以上内容满足项目需要且具有可操作性的</w:t>
            </w:r>
            <w:r>
              <w:rPr>
                <w:rFonts w:hint="eastAsia" w:asciiTheme="minorEastAsia" w:hAnsiTheme="minorEastAsia" w:eastAsiaTheme="minorEastAsia" w:cstheme="minorEastAsia"/>
                <w:color w:val="auto"/>
                <w:sz w:val="21"/>
                <w:szCs w:val="21"/>
                <w:highlight w:val="none"/>
                <w:lang w:eastAsia="zh-CN"/>
              </w:rPr>
              <w:t>视为符合，符合得</w:t>
            </w:r>
            <w:r>
              <w:rPr>
                <w:rFonts w:hint="eastAsia" w:asciiTheme="minorEastAsia" w:hAnsiTheme="minorEastAsia" w:eastAsiaTheme="minorEastAsia" w:cstheme="minorEastAsia"/>
                <w:color w:val="auto"/>
                <w:sz w:val="21"/>
                <w:szCs w:val="21"/>
                <w:highlight w:val="none"/>
                <w:lang w:val="en-US" w:eastAsia="zh-CN"/>
              </w:rPr>
              <w:t>3分，基本符合得2分，</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lang w:val="en-US" w:eastAsia="zh-CN"/>
              </w:rPr>
              <w:t>符合</w:t>
            </w:r>
            <w:r>
              <w:rPr>
                <w:rFonts w:hint="eastAsia" w:asciiTheme="minorEastAsia" w:hAnsiTheme="minorEastAsia" w:eastAsiaTheme="minorEastAsia" w:cstheme="minorEastAsia"/>
                <w:color w:val="auto"/>
                <w:sz w:val="21"/>
                <w:szCs w:val="21"/>
                <w:highlight w:val="none"/>
                <w:lang w:eastAsia="zh-CN"/>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分，不</w:t>
            </w:r>
            <w:r>
              <w:rPr>
                <w:rFonts w:hint="eastAsia" w:asciiTheme="minorEastAsia" w:hAnsiTheme="minorEastAsia" w:eastAsiaTheme="minorEastAsia" w:cstheme="minorEastAsia"/>
                <w:color w:val="auto"/>
                <w:sz w:val="21"/>
                <w:szCs w:val="21"/>
                <w:highlight w:val="none"/>
                <w:lang w:val="en-US" w:eastAsia="zh-CN"/>
              </w:rPr>
              <w:t>符合或未提供</w:t>
            </w:r>
            <w:r>
              <w:rPr>
                <w:rFonts w:hint="eastAsia" w:asciiTheme="minorEastAsia" w:hAnsiTheme="minorEastAsia" w:eastAsiaTheme="minorEastAsia" w:cstheme="minorEastAsia"/>
                <w:color w:val="auto"/>
                <w:sz w:val="21"/>
                <w:szCs w:val="21"/>
                <w:highlight w:val="none"/>
                <w:lang w:eastAsia="zh-CN"/>
              </w:rPr>
              <w:t>不得分。共</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分。</w:t>
            </w:r>
          </w:p>
        </w:tc>
        <w:tc>
          <w:tcPr>
            <w:tcW w:w="332" w:type="pct"/>
            <w:shd w:val="clear" w:color="auto" w:fill="auto"/>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w:t>
            </w:r>
          </w:p>
        </w:tc>
        <w:tc>
          <w:tcPr>
            <w:tcW w:w="3181" w:type="pct"/>
            <w:shd w:val="clear" w:color="auto" w:fill="auto"/>
            <w:vAlign w:val="center"/>
          </w:tcPr>
          <w:p>
            <w:pPr>
              <w:spacing w:line="360" w:lineRule="auto"/>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根据管理范围、内容及管理目标，提供档案管理方案，包含物业档案管理、物业财务管理等，方案内容完整，科学合理，满足要求的视为符合，全部符合得3分，基本符合得2分，部分符合得1分，不符合或没提供不得分。共3分。</w:t>
            </w:r>
          </w:p>
        </w:tc>
        <w:tc>
          <w:tcPr>
            <w:tcW w:w="332"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主</w:t>
            </w:r>
            <w:r>
              <w:rPr>
                <w:rFonts w:hint="eastAsia" w:asciiTheme="minorEastAsia" w:hAnsiTheme="minorEastAsia" w:eastAsiaTheme="minorEastAsia" w:cstheme="minorEastAsia"/>
                <w:color w:val="auto"/>
                <w:sz w:val="21"/>
                <w:szCs w:val="21"/>
                <w:highlight w:val="none"/>
                <w:lang w:val="zh-CN" w:eastAsia="zh-CN"/>
              </w:rPr>
              <w:t>观分</w:t>
            </w:r>
          </w:p>
        </w:tc>
        <w:tc>
          <w:tcPr>
            <w:tcW w:w="787"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档案管理方案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23</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具有有效期内的质量管理体系认证、职业健康管理体系认证证书、环境管理体系认证证书，提供相关证书，每项得1分，共3分。</w:t>
            </w:r>
          </w:p>
        </w:tc>
        <w:tc>
          <w:tcPr>
            <w:tcW w:w="332" w:type="pct"/>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413" w:type="pct"/>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客观分</w:t>
            </w:r>
          </w:p>
        </w:tc>
        <w:tc>
          <w:tcPr>
            <w:tcW w:w="787" w:type="pct"/>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24</w:t>
            </w:r>
          </w:p>
        </w:tc>
        <w:tc>
          <w:tcPr>
            <w:tcW w:w="3181"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自202</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年1月1日至开标时间止具有类似业绩（至少包含保洁服务），且服务过程中获得业主好评的每个业绩得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分，需同时提供</w:t>
            </w:r>
            <w:r>
              <w:rPr>
                <w:rFonts w:hint="eastAsia" w:asciiTheme="minorEastAsia" w:hAnsiTheme="minorEastAsia" w:eastAsiaTheme="minorEastAsia" w:cstheme="minorEastAsia"/>
                <w:color w:val="auto"/>
                <w:sz w:val="21"/>
                <w:szCs w:val="21"/>
                <w:highlight w:val="none"/>
                <w:lang w:eastAsia="zh-CN"/>
              </w:rPr>
              <w:t>①</w:t>
            </w: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z w:val="21"/>
                <w:szCs w:val="21"/>
                <w:highlight w:val="none"/>
                <w:lang w:eastAsia="zh-CN"/>
              </w:rPr>
              <w:t>、②</w:t>
            </w:r>
            <w:r>
              <w:rPr>
                <w:rFonts w:hint="eastAsia" w:asciiTheme="minorEastAsia" w:hAnsiTheme="minorEastAsia" w:eastAsiaTheme="minorEastAsia" w:cstheme="minorEastAsia"/>
                <w:color w:val="auto"/>
                <w:sz w:val="21"/>
                <w:szCs w:val="21"/>
                <w:highlight w:val="none"/>
              </w:rPr>
              <w:t>业主单位盖章的表扬信或验收单或其他证明材料，共2分。</w:t>
            </w:r>
          </w:p>
        </w:tc>
        <w:tc>
          <w:tcPr>
            <w:tcW w:w="332" w:type="pct"/>
            <w:shd w:val="clear" w:color="auto" w:fill="auto"/>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413" w:type="pct"/>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客观分</w:t>
            </w:r>
          </w:p>
        </w:tc>
        <w:tc>
          <w:tcPr>
            <w:tcW w:w="787" w:type="pct"/>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285" w:type="pct"/>
            <w:shd w:val="clear" w:color="auto" w:fill="auto"/>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w:t>
            </w:r>
          </w:p>
        </w:tc>
        <w:tc>
          <w:tcPr>
            <w:tcW w:w="3181" w:type="pct"/>
            <w:shd w:val="clear" w:color="auto" w:fill="auto"/>
          </w:tcPr>
          <w:p>
            <w:pPr>
              <w:spacing w:line="360" w:lineRule="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］的计算公式计算。</w:t>
            </w:r>
          </w:p>
          <w:p>
            <w:pPr>
              <w:widowControl/>
              <w:spacing w:after="225" w:line="315" w:lineRule="atLeas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评标过程中，不得去掉报价中的最高报价和最低报价。</w:t>
            </w:r>
          </w:p>
          <w:p>
            <w:pPr>
              <w:widowControl/>
              <w:spacing w:after="225" w:line="315" w:lineRule="atLeas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因落实政府采购政策需要进行价格调整的，以调整后的价格计算评标基准价和投标报价。</w:t>
            </w:r>
          </w:p>
        </w:tc>
        <w:tc>
          <w:tcPr>
            <w:tcW w:w="332" w:type="pct"/>
            <w:shd w:val="clear" w:color="auto" w:fill="auto"/>
            <w:vAlign w:val="center"/>
          </w:tcPr>
          <w:p>
            <w:pPr>
              <w:spacing w:line="360" w:lineRule="auto"/>
              <w:ind w:firstLine="105" w:firstLineChars="50"/>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413" w:type="pct"/>
            <w:shd w:val="clear" w:color="auto" w:fill="auto"/>
            <w:vAlign w:val="center"/>
          </w:tcPr>
          <w:p>
            <w:pPr>
              <w:spacing w:line="360" w:lineRule="auto"/>
              <w:ind w:firstLine="105" w:firstLineChars="5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787" w:type="pct"/>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6"/>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4.2.15法律、法规、</w:t>
      </w:r>
      <w:r>
        <w:rPr>
          <w:rFonts w:hint="eastAsia" w:ascii="宋体" w:hAnsi="宋体" w:cs="宋体"/>
          <w:kern w:val="0"/>
          <w:sz w:val="24"/>
        </w:rPr>
        <w:t>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6"/>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680" w:right="1417" w:bottom="471" w:left="1417" w:header="851" w:footer="851" w:gutter="0"/>
          <w:cols w:space="720" w:num="1"/>
        </w:sectPr>
      </w:pP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w:t>
      </w:r>
      <w:r>
        <w:rPr>
          <w:rFonts w:ascii="宋体" w:hAnsi="宋体"/>
          <w:sz w:val="24"/>
          <w:lang w:val="zh-CN"/>
        </w:rPr>
        <w:t>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6" w:name="_Toc15367"/>
      <w:bookmarkStart w:id="397" w:name="_Toc19273"/>
      <w:bookmarkStart w:id="398" w:name="_Toc22967"/>
      <w:bookmarkStart w:id="399" w:name="_Toc28855"/>
      <w:bookmarkStart w:id="400" w:name="_Toc20421"/>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1" w:name="_Toc18585"/>
      <w:bookmarkStart w:id="402" w:name="_Toc2918"/>
      <w:bookmarkStart w:id="403" w:name="_Toc6311"/>
      <w:bookmarkStart w:id="404" w:name="_Toc6773"/>
      <w:bookmarkStart w:id="405" w:name="_Toc221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6" w:name="_Toc1386"/>
      <w:bookmarkStart w:id="407" w:name="_Toc21124"/>
      <w:bookmarkStart w:id="408" w:name="_Toc13918"/>
      <w:bookmarkStart w:id="409" w:name="_Toc5635"/>
      <w:bookmarkStart w:id="410"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1" w:name="_Toc26916"/>
      <w:bookmarkStart w:id="412" w:name="_Toc14993"/>
      <w:bookmarkStart w:id="413" w:name="_Toc30506"/>
      <w:bookmarkStart w:id="414" w:name="_Toc30158"/>
      <w:bookmarkStart w:id="415"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6"/>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pPr>
        <w:pStyle w:val="957"/>
        <w:spacing w:before="0" w:beforeAutospacing="0" w:after="0" w:afterAutospacing="0" w:line="360" w:lineRule="auto"/>
        <w:ind w:firstLine="480"/>
        <w:rPr>
          <w:b/>
        </w:rPr>
      </w:pPr>
      <w:bookmarkStart w:id="416" w:name="_Toc10340"/>
      <w:bookmarkStart w:id="417" w:name="_Toc1814"/>
      <w:bookmarkStart w:id="418" w:name="_Toc22618"/>
      <w:bookmarkStart w:id="419" w:name="_Toc3625"/>
      <w:bookmarkStart w:id="420" w:name="_Toc8772"/>
      <w:bookmarkStart w:id="421" w:name="_Toc11108"/>
      <w:bookmarkStart w:id="422" w:name="_Toc31421"/>
      <w:bookmarkStart w:id="423" w:name="_Toc4760"/>
      <w:r>
        <w:rPr>
          <w:rFonts w:hint="eastAsia"/>
          <w:b/>
        </w:rPr>
        <w:t>1.4履约保证金</w:t>
      </w:r>
    </w:p>
    <w:p>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否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1.4.1履约保证金的</w:t>
      </w:r>
      <w:r>
        <w:rPr>
          <w:rFonts w:hint="eastAsia" w:ascii="宋体" w:hAnsi="宋体" w:cs="宋体"/>
          <w:kern w:val="0"/>
          <w:sz w:val="24"/>
        </w:rPr>
        <w:t>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否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4" w:name="_Toc2375"/>
      <w:bookmarkStart w:id="425" w:name="_Toc5698"/>
      <w:bookmarkStart w:id="426" w:name="_Toc8586"/>
      <w:bookmarkStart w:id="427" w:name="_Toc3079"/>
      <w:bookmarkStart w:id="428"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6"/>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9" w:name="_Toc30329"/>
      <w:bookmarkStart w:id="430" w:name="_Toc26807"/>
      <w:bookmarkStart w:id="431" w:name="_Toc9497"/>
      <w:bookmarkStart w:id="432" w:name="_Toc32454"/>
      <w:bookmarkStart w:id="433"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sz w:val="24"/>
        </w:rPr>
      </w:pPr>
      <w:bookmarkStart w:id="434" w:name="_Toc16021"/>
      <w:bookmarkStart w:id="435" w:name="_Toc15583"/>
      <w:bookmarkStart w:id="436" w:name="_Toc28375"/>
      <w:r>
        <w:rPr>
          <w:rFonts w:hint="eastAsia" w:ascii="宋体" w:hAnsi="宋体" w:cs="宋体"/>
          <w:b/>
          <w:sz w:val="24"/>
        </w:rPr>
        <w:t>1.9合同争议的解决</w:t>
      </w:r>
      <w:bookmarkEnd w:id="434"/>
      <w:bookmarkEnd w:id="435"/>
      <w:bookmarkEnd w:id="43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7" w:name="_Toc15322"/>
      <w:bookmarkStart w:id="438" w:name="_Toc11173"/>
      <w:bookmarkStart w:id="439" w:name="_Toc7245"/>
      <w:r>
        <w:rPr>
          <w:rFonts w:hint="eastAsia" w:ascii="宋体" w:hAnsi="宋体" w:cs="宋体"/>
          <w:b/>
          <w:sz w:val="24"/>
        </w:rPr>
        <w:t>2.0 合同生效</w:t>
      </w:r>
      <w:bookmarkEnd w:id="437"/>
      <w:bookmarkEnd w:id="438"/>
      <w:bookmarkEnd w:id="43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0" w:name="_Toc19680"/>
      <w:bookmarkStart w:id="441" w:name="_Toc31297"/>
      <w:bookmarkStart w:id="442" w:name="_Toc14021"/>
      <w:bookmarkStart w:id="443" w:name="_Toc5228"/>
      <w:bookmarkStart w:id="444" w:name="_Toc25079"/>
      <w:r>
        <w:rPr>
          <w:rFonts w:ascii="宋体" w:hAnsi="宋体"/>
          <w:b/>
          <w:sz w:val="24"/>
        </w:rPr>
        <w:t>2.1 定义</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5" w:name="_Toc16752"/>
      <w:bookmarkStart w:id="446" w:name="_Toc19539"/>
      <w:bookmarkStart w:id="447" w:name="_Toc3769"/>
      <w:bookmarkStart w:id="448" w:name="_Toc23289"/>
      <w:bookmarkStart w:id="449" w:name="_Toc31402"/>
      <w:r>
        <w:rPr>
          <w:rFonts w:ascii="宋体" w:hAnsi="宋体"/>
          <w:b/>
          <w:sz w:val="24"/>
        </w:rPr>
        <w:t>2.2 技术规范</w:t>
      </w:r>
      <w:bookmarkEnd w:id="445"/>
      <w:bookmarkEnd w:id="446"/>
      <w:bookmarkEnd w:id="447"/>
      <w:bookmarkEnd w:id="448"/>
      <w:bookmarkEnd w:id="44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0" w:name="_Toc12412"/>
      <w:bookmarkStart w:id="451" w:name="_Toc4133"/>
      <w:bookmarkStart w:id="452" w:name="_Toc9161"/>
      <w:bookmarkStart w:id="453" w:name="_Toc13673"/>
      <w:bookmarkStart w:id="454" w:name="_Toc27945"/>
      <w:r>
        <w:rPr>
          <w:rFonts w:ascii="宋体" w:hAnsi="宋体"/>
          <w:b/>
          <w:sz w:val="24"/>
        </w:rPr>
        <w:t>2.3 知识产权</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5" w:name="_Toc31233"/>
      <w:bookmarkStart w:id="456" w:name="_Toc22011"/>
      <w:bookmarkStart w:id="457" w:name="_Toc15447"/>
      <w:bookmarkStart w:id="458" w:name="_Toc32670"/>
      <w:bookmarkStart w:id="459" w:name="_Toc26555"/>
      <w:r>
        <w:rPr>
          <w:rFonts w:ascii="宋体" w:hAnsi="宋体"/>
          <w:b/>
          <w:sz w:val="24"/>
        </w:rPr>
        <w:t>2.5 结算方式和付款条件</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0" w:name="_Toc30507"/>
      <w:bookmarkStart w:id="461" w:name="_Toc13467"/>
      <w:bookmarkStart w:id="462" w:name="_Toc16163"/>
      <w:bookmarkStart w:id="463" w:name="_Toc18990"/>
      <w:bookmarkStart w:id="464" w:name="_Toc13154"/>
      <w:r>
        <w:rPr>
          <w:rFonts w:ascii="宋体" w:hAnsi="宋体"/>
          <w:b/>
          <w:sz w:val="24"/>
        </w:rPr>
        <w:t>2.6 技术资料和保密义务</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8" w:name="_Toc42"/>
      <w:bookmarkStart w:id="469" w:name="_Toc23368"/>
      <w:bookmarkStart w:id="470" w:name="_Toc10663"/>
      <w:bookmarkStart w:id="471" w:name="_Toc21830"/>
      <w:bookmarkStart w:id="472" w:name="_Toc26689"/>
      <w:r>
        <w:rPr>
          <w:rFonts w:ascii="宋体" w:hAnsi="宋体"/>
          <w:b/>
          <w:sz w:val="24"/>
        </w:rPr>
        <w:t>2.10 合同转让和分包</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3" w:name="_Toc25571"/>
      <w:bookmarkStart w:id="474" w:name="_Toc4720"/>
      <w:bookmarkStart w:id="475" w:name="_Toc26633"/>
      <w:bookmarkStart w:id="476" w:name="_Toc32494"/>
      <w:bookmarkStart w:id="477" w:name="_Toc14371"/>
      <w:r>
        <w:rPr>
          <w:rFonts w:ascii="宋体" w:hAnsi="宋体"/>
          <w:b/>
          <w:sz w:val="24"/>
        </w:rPr>
        <w:t>2.11 不可抗力</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8" w:name="_Toc25783"/>
      <w:bookmarkStart w:id="479" w:name="_Toc24465"/>
      <w:bookmarkStart w:id="480" w:name="_Toc23854"/>
      <w:bookmarkStart w:id="481" w:name="_Toc14115"/>
      <w:bookmarkStart w:id="482" w:name="_Toc3638"/>
      <w:r>
        <w:rPr>
          <w:rFonts w:ascii="宋体" w:hAnsi="宋体"/>
          <w:b/>
          <w:sz w:val="24"/>
        </w:rPr>
        <w:t>2.12 税费</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3" w:name="_Toc26883"/>
      <w:bookmarkStart w:id="484" w:name="_Toc25525"/>
      <w:bookmarkStart w:id="485" w:name="_Toc30105"/>
      <w:bookmarkStart w:id="486" w:name="_Toc14814"/>
      <w:bookmarkStart w:id="487" w:name="_Toc7315"/>
      <w:r>
        <w:rPr>
          <w:rFonts w:ascii="宋体" w:hAnsi="宋体"/>
          <w:b/>
          <w:sz w:val="24"/>
        </w:rPr>
        <w:t>2.13 乙方破产</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8" w:name="_Toc2016"/>
      <w:bookmarkStart w:id="489" w:name="_Toc1123"/>
      <w:bookmarkStart w:id="490" w:name="_Toc23323"/>
      <w:r>
        <w:rPr>
          <w:rFonts w:ascii="宋体" w:hAnsi="宋体"/>
          <w:b/>
          <w:sz w:val="24"/>
        </w:rPr>
        <w:t>2.14 合同中止、终止</w:t>
      </w:r>
      <w:bookmarkEnd w:id="488"/>
      <w:bookmarkEnd w:id="489"/>
      <w:bookmarkEnd w:id="490"/>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1" w:name="_Toc17363"/>
      <w:bookmarkStart w:id="492" w:name="_Toc14525"/>
      <w:bookmarkStart w:id="493" w:name="_Toc1969"/>
      <w:r>
        <w:rPr>
          <w:rFonts w:ascii="宋体" w:hAnsi="宋体"/>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4" w:name="_Toc2308"/>
      <w:bookmarkStart w:id="495" w:name="_Toc12666"/>
      <w:bookmarkStart w:id="496" w:name="_Toc25198"/>
      <w:bookmarkStart w:id="497" w:name="_Toc9808"/>
      <w:bookmarkStart w:id="498" w:name="_Toc31892"/>
      <w:r>
        <w:rPr>
          <w:rFonts w:ascii="宋体" w:hAnsi="宋体"/>
          <w:b/>
          <w:sz w:val="24"/>
        </w:rPr>
        <w:t>2.16 通知和送达</w:t>
      </w:r>
      <w:bookmarkEnd w:id="494"/>
      <w:bookmarkEnd w:id="495"/>
      <w:bookmarkEnd w:id="496"/>
      <w:bookmarkEnd w:id="497"/>
      <w:bookmarkEnd w:id="498"/>
    </w:p>
    <w:p>
      <w:pPr>
        <w:spacing w:line="560" w:lineRule="exact"/>
        <w:ind w:firstLine="480" w:firstLineChars="200"/>
        <w:rPr>
          <w:rFonts w:ascii="宋体" w:hAnsi="宋体"/>
          <w:sz w:val="24"/>
        </w:rPr>
      </w:pPr>
      <w:bookmarkStart w:id="499" w:name="_Toc27674"/>
      <w:bookmarkStart w:id="500"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pPr>
        <w:spacing w:line="560" w:lineRule="exact"/>
        <w:ind w:firstLine="482" w:firstLineChars="200"/>
        <w:outlineLvl w:val="0"/>
        <w:rPr>
          <w:rFonts w:ascii="宋体" w:hAnsi="宋体"/>
          <w:b/>
          <w:sz w:val="24"/>
        </w:rPr>
      </w:pPr>
      <w:bookmarkStart w:id="501" w:name="_Toc28906"/>
      <w:bookmarkStart w:id="502" w:name="_Toc12254"/>
      <w:bookmarkStart w:id="503" w:name="_Toc5063"/>
      <w:bookmarkStart w:id="504" w:name="_Toc20808"/>
      <w:bookmarkStart w:id="505"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6" w:name="_Toc30599"/>
      <w:bookmarkStart w:id="507" w:name="_Toc4355"/>
      <w:bookmarkStart w:id="508" w:name="_Toc18540"/>
      <w:r>
        <w:rPr>
          <w:rFonts w:hint="eastAsia" w:ascii="宋体" w:hAnsi="宋体" w:cs="宋体"/>
          <w:b/>
          <w:sz w:val="24"/>
        </w:rPr>
        <w:t>2.18 计量单位</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26"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26"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26"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26" w:type="pct"/>
            <w:vAlign w:val="center"/>
          </w:tcPr>
          <w:p>
            <w:pPr>
              <w:spacing w:line="360" w:lineRule="auto"/>
              <w:rPr>
                <w:rFonts w:ascii="宋体" w:hAnsi="宋体" w:cs="宋体"/>
                <w:sz w:val="24"/>
              </w:rPr>
            </w:pPr>
            <w:r>
              <w:rPr>
                <w:rFonts w:hint="eastAsia" w:ascii="宋体" w:hAnsi="宋体" w:cs="宋体"/>
                <w:snapToGrid w:val="0"/>
                <w:kern w:val="0"/>
                <w:sz w:val="24"/>
                <w:highlight w:val="none"/>
              </w:rPr>
              <w:t>按月支付，中标方于每月5号前向采购人提交上个月的费用清单，经采购人审核后，将上月服务费用的95%转入中标方帐户，余5%作为考核费用，经采购人考核合格后的第二个月支付给中标方。费用均不计息。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26"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426" w:type="pct"/>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napToGrid w:val="0"/>
                <w:kern w:val="0"/>
                <w:sz w:val="24"/>
                <w:highlight w:val="none"/>
              </w:rPr>
              <w:t>按月支付，中标方于每月5号前向采购人提交上个月的费用清单，经采购人审核后，将上月服务费用的95%转入中标方帐户，余5%作为考核费用，经采购人考核合格后的第二个月支付给中标方。费用均不计息。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426" w:type="pct"/>
            <w:vAlign w:val="center"/>
          </w:tcPr>
          <w:p>
            <w:pPr>
              <w:spacing w:line="360" w:lineRule="auto"/>
              <w:rPr>
                <w:rFonts w:ascii="宋体" w:hAnsi="宋体" w:eastAsia="宋体" w:cs="宋体"/>
                <w:kern w:val="2"/>
                <w:sz w:val="24"/>
                <w:szCs w:val="24"/>
                <w:highlight w:val="none"/>
                <w:lang w:val="en-US" w:eastAsia="zh-CN" w:bidi="ar-SA"/>
              </w:rPr>
            </w:pPr>
            <w:r>
              <w:rPr>
                <w:rFonts w:hint="eastAsia" w:ascii="宋体" w:hAnsi="宋体" w:cs="宋体"/>
                <w:sz w:val="24"/>
              </w:rPr>
              <w:t>服务期限为自合同签订之日起三年。合同采取逐年签订方式。合同期内，供应商能严格履行合同，通过采购人的考核，符合相关规定的，可以续签合同，总服务期限不超过3年。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426" w:type="pct"/>
            <w:vAlign w:val="center"/>
          </w:tcPr>
          <w:p>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按物业类项目服务要求提供服务</w:t>
            </w:r>
            <w:r>
              <w:rPr>
                <w:rFonts w:hint="eastAsia" w:ascii="宋体" w:hAnsi="宋体" w:cs="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1.7.4.1</w:t>
            </w:r>
          </w:p>
        </w:tc>
        <w:tc>
          <w:tcPr>
            <w:tcW w:w="4426" w:type="pct"/>
            <w:vAlign w:val="center"/>
          </w:tcPr>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1.7.4.2</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1.7.4.3</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w:t>
            </w:r>
          </w:p>
        </w:tc>
        <w:tc>
          <w:tcPr>
            <w:tcW w:w="4426" w:type="pct"/>
            <w:vAlign w:val="center"/>
          </w:tcPr>
          <w:p>
            <w:pPr>
              <w:spacing w:line="360" w:lineRule="auto"/>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26"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26" w:type="pct"/>
            <w:vAlign w:val="center"/>
          </w:tcPr>
          <w:p>
            <w:pPr>
              <w:spacing w:line="360" w:lineRule="auto"/>
              <w:ind w:left="-420" w:leftChars="-200" w:right="-420" w:rightChars="-200" w:firstLine="480" w:firstLineChars="200"/>
              <w:rPr>
                <w:rFonts w:hint="eastAsia" w:ascii="宋体" w:hAnsi="宋体" w:cs="宋体" w:eastAsiaTheme="minorEastAsia"/>
                <w:kern w:val="2"/>
                <w:sz w:val="24"/>
                <w:szCs w:val="24"/>
                <w:lang w:val="en-US" w:eastAsia="zh-CN" w:bidi="ar"/>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26" w:type="pct"/>
            <w:vAlign w:val="center"/>
          </w:tcPr>
          <w:p>
            <w:pPr>
              <w:spacing w:line="360" w:lineRule="auto"/>
              <w:ind w:left="-420" w:leftChars="-200" w:right="-420" w:rightChars="-200"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26"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ascii="宋体" w:hAnsi="宋体" w:cs="宋体"/>
                <w:sz w:val="24"/>
                <w:highlight w:val="none"/>
              </w:rPr>
            </w:pPr>
            <w:r>
              <w:rPr>
                <w:rFonts w:hint="eastAsia" w:ascii="宋体" w:hAnsi="宋体" w:cs="宋体"/>
                <w:snapToGrid w:val="0"/>
                <w:kern w:val="0"/>
                <w:sz w:val="24"/>
                <w:highlight w:val="none"/>
              </w:rPr>
              <w:t>按月支付，中标方于每月5号前向采购人提交上个月的费用清单，经采购人审核后，将上月服务费用的95%转入中标方帐户，余5%作为考核费用，经采购人考核合格后的第二个月支付给中标方。费用均不计息。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乙方按照</w:t>
            </w:r>
            <w:r>
              <w:rPr>
                <w:rFonts w:hint="eastAsia" w:ascii="宋体" w:hAnsi="宋体" w:cs="宋体"/>
                <w:b/>
                <w:sz w:val="24"/>
                <w:highlight w:val="none"/>
                <w:u w:val="single"/>
              </w:rPr>
              <w:t>双方确定的服务考核办法</w:t>
            </w:r>
            <w:r>
              <w:rPr>
                <w:rFonts w:hint="eastAsia" w:ascii="宋体" w:hAnsi="宋体" w:cs="宋体"/>
                <w:sz w:val="24"/>
                <w:highlight w:val="none"/>
              </w:rPr>
              <w:t>的约定，定期提交服务报告，甲方按照</w:t>
            </w:r>
            <w:r>
              <w:rPr>
                <w:rFonts w:hint="eastAsia" w:ascii="宋体" w:hAnsi="宋体" w:cs="宋体"/>
                <w:b/>
                <w:sz w:val="24"/>
                <w:highlight w:val="none"/>
                <w:u w:val="single"/>
              </w:rPr>
              <w:t>服务考核办法</w:t>
            </w:r>
            <w:r>
              <w:rPr>
                <w:rFonts w:hint="eastAsia" w:ascii="宋体" w:hAnsi="宋体" w:cs="宋体"/>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pPr>
              <w:spacing w:line="360" w:lineRule="auto"/>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服务考核办法及招标文件中记载的采购需求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26" w:type="pct"/>
          </w:tcPr>
          <w:p>
            <w:pPr>
              <w:spacing w:line="360" w:lineRule="auto"/>
              <w:rPr>
                <w:rFonts w:ascii="宋体" w:hAnsi="宋体" w:cs="宋体"/>
                <w:sz w:val="24"/>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color w:val="auto"/>
          <w:sz w:val="24"/>
          <w:lang w:val="en-US" w:eastAsia="zh-CN"/>
        </w:rPr>
        <w:t>、杭</w:t>
      </w:r>
      <w:r>
        <w:rPr>
          <w:rFonts w:hint="eastAsia" w:ascii="宋体" w:hAnsi="宋体" w:cs="宋体"/>
          <w:sz w:val="24"/>
          <w:lang w:val="en-US" w:eastAsia="zh-CN"/>
        </w:rPr>
        <w:t>州市公共资源交易中心临安分中心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rPr>
        <w:t>（项目名称）【招标编号：（采购编号）】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both"/>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kern w:val="0"/>
          <w:sz w:val="32"/>
          <w:szCs w:val="32"/>
        </w:rPr>
        <w:t>二、</w:t>
      </w:r>
      <w:r>
        <w:rPr>
          <w:rFonts w:hint="eastAsia" w:ascii="宋体" w:hAnsi="宋体" w:cs="宋体"/>
          <w:b/>
          <w:color w:val="auto"/>
          <w:kern w:val="0"/>
          <w:sz w:val="32"/>
          <w:szCs w:val="32"/>
        </w:rPr>
        <w:t>联合协议（如果有）</w:t>
      </w:r>
    </w:p>
    <w:p>
      <w:pPr>
        <w:widowControl/>
        <w:spacing w:line="360" w:lineRule="auto"/>
        <w:ind w:firstLine="482" w:firstLineChars="200"/>
        <w:jc w:val="left"/>
        <w:rPr>
          <w:rFonts w:ascii="宋体" w:hAnsi="宋体" w:cs="宋体"/>
          <w:b/>
          <w:sz w:val="24"/>
        </w:rPr>
      </w:pPr>
      <w:r>
        <w:rPr>
          <w:rFonts w:hint="eastAsia" w:ascii="宋体" w:hAnsi="宋体" w:cs="宋体"/>
          <w:b/>
          <w:color w:val="auto"/>
          <w:sz w:val="24"/>
        </w:rPr>
        <w:t>[以联合体形式投标的，提供联合协议（附件5）；本项目</w:t>
      </w:r>
      <w:r>
        <w:rPr>
          <w:rFonts w:hint="eastAsia" w:ascii="宋体" w:hAnsi="宋体" w:cs="宋体"/>
          <w:b/>
          <w:sz w:val="24"/>
        </w:rPr>
        <w:t>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w:t>
      </w:r>
      <w:r>
        <w:rPr>
          <w:rFonts w:hint="eastAsia" w:ascii="宋体" w:hAnsi="宋体" w:cs="宋体"/>
          <w:color w:val="auto"/>
          <w:sz w:val="24"/>
        </w:rPr>
        <w:t>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w:t>
      </w:r>
      <w:r>
        <w:rPr>
          <w:rFonts w:hint="eastAsia" w:ascii="宋体" w:hAnsi="宋体" w:cs="宋体"/>
          <w:sz w:val="24"/>
        </w:rPr>
        <w:t>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0" w:name="_Hlk101257010"/>
      <w:r>
        <w:rPr>
          <w:rFonts w:hint="eastAsia" w:ascii="宋体" w:hAnsi="宋体" w:cs="宋体"/>
          <w:color w:val="auto"/>
          <w:sz w:val="24"/>
        </w:rPr>
        <w:t>（如果有)</w:t>
      </w:r>
      <w:bookmarkEnd w:id="510"/>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pStyle w:val="2"/>
        <w:rPr>
          <w:rFonts w:ascii="宋体" w:hAnsi="宋体" w:cs="宋体"/>
          <w:b/>
          <w:kern w:val="0"/>
          <w:sz w:val="32"/>
          <w:szCs w:val="32"/>
          <w:lang w:val="zh-CN"/>
        </w:rPr>
      </w:pPr>
    </w:p>
    <w:p>
      <w:pPr>
        <w:pStyle w:val="3"/>
        <w:rPr>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w:t>
      </w:r>
      <w:r>
        <w:rPr>
          <w:rFonts w:hint="eastAsia" w:ascii="宋体" w:hAnsi="宋体" w:cs="宋体"/>
          <w:b/>
          <w:color w:val="auto"/>
          <w:kern w:val="0"/>
          <w:sz w:val="32"/>
          <w:szCs w:val="32"/>
        </w:rPr>
        <w:t>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w:t>
      </w:r>
      <w:r>
        <w:rPr>
          <w:rFonts w:hint="eastAsia" w:ascii="宋体" w:hAnsi="宋体" w:cs="宋体"/>
          <w:kern w:val="0"/>
          <w:sz w:val="24"/>
          <w:lang w:val="zh-CN"/>
        </w:rPr>
        <w:t>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w:t>
      </w:r>
      <w:r>
        <w:rPr>
          <w:rFonts w:hint="eastAsia" w:ascii="宋体" w:hAnsi="宋体" w:cs="宋体"/>
          <w:sz w:val="24"/>
        </w:rPr>
        <w:t>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宋体" w:hAnsi="宋体" w:cs="宋体"/>
          <w:color w:val="auto"/>
          <w:kern w:val="0"/>
          <w:sz w:val="24"/>
          <w:lang w:val="zh-CN"/>
        </w:rPr>
      </w:pP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w:t>
      </w:r>
      <w:r>
        <w:rPr>
          <w:rFonts w:hint="eastAsia" w:ascii="宋体" w:hAnsi="宋体" w:cs="宋体"/>
          <w:color w:val="auto"/>
          <w:sz w:val="24"/>
        </w:rPr>
        <w:t>，根据《财政部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u w:val="single"/>
          <w:lang w:val="en-US" w:eastAsia="zh-CN"/>
        </w:rPr>
        <w:t>杭州市公共资源交易中心临安分中心</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w:t>
      </w:r>
      <w:r>
        <w:rPr>
          <w:rFonts w:hint="eastAsia" w:ascii="宋体" w:hAnsi="宋体" w:cs="宋体"/>
          <w:sz w:val="24"/>
        </w:rPr>
        <w:t xml:space="preserve">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w:t>
      </w:r>
      <w:r>
        <w:rPr>
          <w:rFonts w:hint="eastAsia" w:ascii="宋体" w:hAnsi="宋体" w:cs="宋体"/>
          <w:color w:val="auto"/>
          <w:kern w:val="0"/>
          <w:sz w:val="24"/>
          <w:lang w:val="zh-CN"/>
        </w:rPr>
        <w:t>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bookmarkStart w:id="520" w:name="_GoBack"/>
      <w:bookmarkEnd w:id="520"/>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sz w:val="24"/>
        </w:rPr>
        <w:t>本公司（联合体</w:t>
      </w:r>
      <w:r>
        <w:rPr>
          <w:rFonts w:hint="eastAsia" w:ascii="宋体" w:hAnsi="宋体" w:cs="宋体"/>
          <w:color w:val="auto"/>
          <w:sz w:val="24"/>
        </w:rPr>
        <w:t xml:space="preserve">）郑重声明，根据《政府采购促进中小企业发展管理办法》（财库﹝2020﹞46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sz w:val="24"/>
          <w:u w:val="single"/>
          <w:lang w:val="en-US" w:eastAsia="zh-CN"/>
        </w:rPr>
        <w:t>物业服务</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物业管理</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lang w:val="en-US"/>
        </w:rPr>
      </w:pPr>
    </w:p>
    <w:p>
      <w:pPr>
        <w:spacing w:line="360" w:lineRule="auto"/>
        <w:ind w:right="420"/>
        <w:rPr>
          <w:rFonts w:ascii="宋体" w:hAnsi="宋体" w:cs="宋体"/>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cs="仿宋_GB2312" w:asciiTheme="minorEastAsia" w:hAnsiTheme="minorEastAsia" w:eastAsiaTheme="minorEastAsia"/>
          <w:b/>
          <w:sz w:val="32"/>
          <w:szCs w:val="32"/>
        </w:rPr>
      </w:pPr>
    </w:p>
    <w:p>
      <w:pPr>
        <w:pStyle w:val="2"/>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w:t>
      </w:r>
      <w:r>
        <w:rPr>
          <w:rFonts w:hint="eastAsia" w:asciiTheme="minorEastAsia" w:hAnsiTheme="minorEastAsia" w:eastAsiaTheme="minorEastAsia" w:cstheme="minorEastAsia"/>
          <w:color w:val="auto"/>
          <w:sz w:val="24"/>
          <w:szCs w:val="24"/>
          <w:highlight w:val="none"/>
          <w:lang w:eastAsia="zh-CN"/>
        </w:rPr>
        <w:t>（如未填写，视同“无”）</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r>
        <w:rPr>
          <w:rFonts w:hint="eastAsia" w:asciiTheme="minorEastAsia" w:hAnsiTheme="minorEastAsia" w:eastAsiaTheme="minorEastAsia" w:cstheme="minorEastAsia"/>
          <w:color w:val="auto"/>
          <w:sz w:val="24"/>
          <w:szCs w:val="24"/>
          <w:highlight w:val="none"/>
          <w:lang w:eastAsia="zh-CN"/>
        </w:rPr>
        <w:t>（如未填写，视同“无”）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autoSpaceDE w:val="0"/>
        <w:autoSpaceDN w:val="0"/>
        <w:jc w:val="center"/>
        <w:rPr>
          <w:rFonts w:ascii="宋体" w:hAnsi="宋体" w:cs="宋体"/>
          <w:b/>
          <w:spacing w:val="6"/>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91899912"/>
    <w:bookmarkStart w:id="518" w:name="_Toc13184514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570"/>
    <w:rsid w:val="019F7441"/>
    <w:rsid w:val="01B37585"/>
    <w:rsid w:val="01D55165"/>
    <w:rsid w:val="01DF24FF"/>
    <w:rsid w:val="01DF6BF8"/>
    <w:rsid w:val="01EC2C57"/>
    <w:rsid w:val="025F0711"/>
    <w:rsid w:val="026B2E25"/>
    <w:rsid w:val="02824D4D"/>
    <w:rsid w:val="02BC1F0C"/>
    <w:rsid w:val="02DC4B10"/>
    <w:rsid w:val="02DD76CE"/>
    <w:rsid w:val="02E438A7"/>
    <w:rsid w:val="02F36323"/>
    <w:rsid w:val="02F5619C"/>
    <w:rsid w:val="0326446A"/>
    <w:rsid w:val="032D5555"/>
    <w:rsid w:val="03520547"/>
    <w:rsid w:val="036634D2"/>
    <w:rsid w:val="03DD35E4"/>
    <w:rsid w:val="04076900"/>
    <w:rsid w:val="041A5A3B"/>
    <w:rsid w:val="042311BA"/>
    <w:rsid w:val="042B157A"/>
    <w:rsid w:val="048F763B"/>
    <w:rsid w:val="049F330E"/>
    <w:rsid w:val="04AA775C"/>
    <w:rsid w:val="04AF1889"/>
    <w:rsid w:val="04F66F48"/>
    <w:rsid w:val="05251E14"/>
    <w:rsid w:val="05A16594"/>
    <w:rsid w:val="05A7762D"/>
    <w:rsid w:val="05AD6256"/>
    <w:rsid w:val="060E5941"/>
    <w:rsid w:val="06110FAF"/>
    <w:rsid w:val="06493CA7"/>
    <w:rsid w:val="065A6178"/>
    <w:rsid w:val="066F1CF3"/>
    <w:rsid w:val="06930BB8"/>
    <w:rsid w:val="06DB3BA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F02D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20331"/>
    <w:rsid w:val="0D827401"/>
    <w:rsid w:val="0D84094E"/>
    <w:rsid w:val="0D8A00E9"/>
    <w:rsid w:val="0D8D589E"/>
    <w:rsid w:val="0DA01C73"/>
    <w:rsid w:val="0DD63300"/>
    <w:rsid w:val="0DF50604"/>
    <w:rsid w:val="0DF702FE"/>
    <w:rsid w:val="0E060E51"/>
    <w:rsid w:val="0E5604B2"/>
    <w:rsid w:val="0E6D5D79"/>
    <w:rsid w:val="0E9D0089"/>
    <w:rsid w:val="0EB803EE"/>
    <w:rsid w:val="0EC102FD"/>
    <w:rsid w:val="0EF94D4B"/>
    <w:rsid w:val="0F4958DC"/>
    <w:rsid w:val="0F515DF7"/>
    <w:rsid w:val="0F596BA8"/>
    <w:rsid w:val="0F6248D2"/>
    <w:rsid w:val="0F693536"/>
    <w:rsid w:val="0F7A1F38"/>
    <w:rsid w:val="0F7B0511"/>
    <w:rsid w:val="0F7B76D9"/>
    <w:rsid w:val="0F816ACD"/>
    <w:rsid w:val="0F9832DB"/>
    <w:rsid w:val="0FBF3FD2"/>
    <w:rsid w:val="0FBF7FF3"/>
    <w:rsid w:val="10646583"/>
    <w:rsid w:val="107D4B15"/>
    <w:rsid w:val="108A3C80"/>
    <w:rsid w:val="10C26171"/>
    <w:rsid w:val="10DB060B"/>
    <w:rsid w:val="10DD2414"/>
    <w:rsid w:val="10E71658"/>
    <w:rsid w:val="10F33360"/>
    <w:rsid w:val="10FC16EA"/>
    <w:rsid w:val="110F1D40"/>
    <w:rsid w:val="11266F33"/>
    <w:rsid w:val="118963A1"/>
    <w:rsid w:val="11C6522A"/>
    <w:rsid w:val="11E104CC"/>
    <w:rsid w:val="11E20309"/>
    <w:rsid w:val="12255233"/>
    <w:rsid w:val="12394056"/>
    <w:rsid w:val="12530213"/>
    <w:rsid w:val="127723A9"/>
    <w:rsid w:val="12862074"/>
    <w:rsid w:val="12883966"/>
    <w:rsid w:val="129E45B4"/>
    <w:rsid w:val="12D81596"/>
    <w:rsid w:val="13072A44"/>
    <w:rsid w:val="13162311"/>
    <w:rsid w:val="133C458C"/>
    <w:rsid w:val="135F4BE2"/>
    <w:rsid w:val="139B1A0A"/>
    <w:rsid w:val="139D25C7"/>
    <w:rsid w:val="13BF3CE4"/>
    <w:rsid w:val="141008D8"/>
    <w:rsid w:val="14125FE6"/>
    <w:rsid w:val="146D271E"/>
    <w:rsid w:val="14982588"/>
    <w:rsid w:val="149A5AD9"/>
    <w:rsid w:val="14A7619D"/>
    <w:rsid w:val="14DC2C81"/>
    <w:rsid w:val="14FD4F95"/>
    <w:rsid w:val="150536C3"/>
    <w:rsid w:val="150C1963"/>
    <w:rsid w:val="151447A0"/>
    <w:rsid w:val="154A6454"/>
    <w:rsid w:val="15762120"/>
    <w:rsid w:val="16A310AE"/>
    <w:rsid w:val="16A8729C"/>
    <w:rsid w:val="16B33777"/>
    <w:rsid w:val="16BC70A7"/>
    <w:rsid w:val="16C6339E"/>
    <w:rsid w:val="172F2D79"/>
    <w:rsid w:val="17557BEF"/>
    <w:rsid w:val="17C83416"/>
    <w:rsid w:val="17D349C1"/>
    <w:rsid w:val="17D912BE"/>
    <w:rsid w:val="1830729E"/>
    <w:rsid w:val="184E2965"/>
    <w:rsid w:val="1870062C"/>
    <w:rsid w:val="18817102"/>
    <w:rsid w:val="18830A15"/>
    <w:rsid w:val="18852B28"/>
    <w:rsid w:val="188B5321"/>
    <w:rsid w:val="18B80CF7"/>
    <w:rsid w:val="19932372"/>
    <w:rsid w:val="19A20DD5"/>
    <w:rsid w:val="19AE03F1"/>
    <w:rsid w:val="1A071A03"/>
    <w:rsid w:val="1A1F16AE"/>
    <w:rsid w:val="1A3B5C77"/>
    <w:rsid w:val="1A797E1E"/>
    <w:rsid w:val="1A984BAD"/>
    <w:rsid w:val="1AB8220E"/>
    <w:rsid w:val="1AE4166C"/>
    <w:rsid w:val="1AF06CFB"/>
    <w:rsid w:val="1AF11B8D"/>
    <w:rsid w:val="1B11359C"/>
    <w:rsid w:val="1B2A271F"/>
    <w:rsid w:val="1B3713BB"/>
    <w:rsid w:val="1B530544"/>
    <w:rsid w:val="1B713184"/>
    <w:rsid w:val="1B936E1F"/>
    <w:rsid w:val="1BA209CF"/>
    <w:rsid w:val="1BB4777D"/>
    <w:rsid w:val="1BD75AB8"/>
    <w:rsid w:val="1C0459C2"/>
    <w:rsid w:val="1C1B3B4A"/>
    <w:rsid w:val="1C88086E"/>
    <w:rsid w:val="1D266CE1"/>
    <w:rsid w:val="1D3963AF"/>
    <w:rsid w:val="1D4147A3"/>
    <w:rsid w:val="1D6A673C"/>
    <w:rsid w:val="1D9247AE"/>
    <w:rsid w:val="1DB567EC"/>
    <w:rsid w:val="1DF51A98"/>
    <w:rsid w:val="1E3D060F"/>
    <w:rsid w:val="1E3E167C"/>
    <w:rsid w:val="1E3F7D2E"/>
    <w:rsid w:val="1E4134E4"/>
    <w:rsid w:val="1E5062B3"/>
    <w:rsid w:val="1E523514"/>
    <w:rsid w:val="1E714A66"/>
    <w:rsid w:val="1E802593"/>
    <w:rsid w:val="1E8B6156"/>
    <w:rsid w:val="1EA703CC"/>
    <w:rsid w:val="1EB7330C"/>
    <w:rsid w:val="1F0A0FF3"/>
    <w:rsid w:val="1F5771FF"/>
    <w:rsid w:val="1F763EEF"/>
    <w:rsid w:val="1FD52DD5"/>
    <w:rsid w:val="1FE868A9"/>
    <w:rsid w:val="20034907"/>
    <w:rsid w:val="20173E4B"/>
    <w:rsid w:val="204E48BC"/>
    <w:rsid w:val="208921B3"/>
    <w:rsid w:val="20973DEB"/>
    <w:rsid w:val="20B26522"/>
    <w:rsid w:val="20B44310"/>
    <w:rsid w:val="21013E4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558D5"/>
    <w:rsid w:val="23B908A4"/>
    <w:rsid w:val="23DA3322"/>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3471B"/>
    <w:rsid w:val="27044A29"/>
    <w:rsid w:val="271D34C8"/>
    <w:rsid w:val="275A03B9"/>
    <w:rsid w:val="276142BF"/>
    <w:rsid w:val="27783712"/>
    <w:rsid w:val="27907362"/>
    <w:rsid w:val="28333E1D"/>
    <w:rsid w:val="28454BD6"/>
    <w:rsid w:val="28455253"/>
    <w:rsid w:val="28551971"/>
    <w:rsid w:val="285B1C53"/>
    <w:rsid w:val="289F7086"/>
    <w:rsid w:val="28C32028"/>
    <w:rsid w:val="28C455E2"/>
    <w:rsid w:val="28CC490F"/>
    <w:rsid w:val="28DE40AA"/>
    <w:rsid w:val="291A499A"/>
    <w:rsid w:val="29345E77"/>
    <w:rsid w:val="294C65AD"/>
    <w:rsid w:val="29806583"/>
    <w:rsid w:val="298B3C4C"/>
    <w:rsid w:val="29F26D24"/>
    <w:rsid w:val="2A15033F"/>
    <w:rsid w:val="2A1662C1"/>
    <w:rsid w:val="2A1C7367"/>
    <w:rsid w:val="2A2815FA"/>
    <w:rsid w:val="2A5404CE"/>
    <w:rsid w:val="2A6D6092"/>
    <w:rsid w:val="2A7D76B4"/>
    <w:rsid w:val="2A857AAA"/>
    <w:rsid w:val="2B437463"/>
    <w:rsid w:val="2B7807EE"/>
    <w:rsid w:val="2BA50BF7"/>
    <w:rsid w:val="2BBF00EC"/>
    <w:rsid w:val="2BC37CFD"/>
    <w:rsid w:val="2BD5237F"/>
    <w:rsid w:val="2BE536CE"/>
    <w:rsid w:val="2BE758D9"/>
    <w:rsid w:val="2C09049E"/>
    <w:rsid w:val="2C0A653C"/>
    <w:rsid w:val="2C191F85"/>
    <w:rsid w:val="2CBF15AB"/>
    <w:rsid w:val="2CE82D6F"/>
    <w:rsid w:val="2CEA17B4"/>
    <w:rsid w:val="2D243C02"/>
    <w:rsid w:val="2D343236"/>
    <w:rsid w:val="2D3A7F6B"/>
    <w:rsid w:val="2D576B8F"/>
    <w:rsid w:val="2DD15014"/>
    <w:rsid w:val="2DF72DE4"/>
    <w:rsid w:val="2E0220AF"/>
    <w:rsid w:val="2E4B082A"/>
    <w:rsid w:val="2E5D4E86"/>
    <w:rsid w:val="2E5D790B"/>
    <w:rsid w:val="2E9A3C18"/>
    <w:rsid w:val="2EBB0FEE"/>
    <w:rsid w:val="2EC63002"/>
    <w:rsid w:val="2F0A6B38"/>
    <w:rsid w:val="2F281B95"/>
    <w:rsid w:val="2F946CCB"/>
    <w:rsid w:val="2FD25781"/>
    <w:rsid w:val="2FDC745C"/>
    <w:rsid w:val="2FFD7934"/>
    <w:rsid w:val="30733ACD"/>
    <w:rsid w:val="308C3862"/>
    <w:rsid w:val="309379D8"/>
    <w:rsid w:val="30A270F7"/>
    <w:rsid w:val="30DF1478"/>
    <w:rsid w:val="30EC586F"/>
    <w:rsid w:val="314550B7"/>
    <w:rsid w:val="319C6071"/>
    <w:rsid w:val="31A31D56"/>
    <w:rsid w:val="31AC537E"/>
    <w:rsid w:val="31E3679B"/>
    <w:rsid w:val="31E732FD"/>
    <w:rsid w:val="32517576"/>
    <w:rsid w:val="32BE5C2C"/>
    <w:rsid w:val="32FB6478"/>
    <w:rsid w:val="33263B3F"/>
    <w:rsid w:val="336963EB"/>
    <w:rsid w:val="336C4AF6"/>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E3B92"/>
    <w:rsid w:val="363A3B40"/>
    <w:rsid w:val="365302AE"/>
    <w:rsid w:val="36607A0A"/>
    <w:rsid w:val="366E227C"/>
    <w:rsid w:val="366F2E0D"/>
    <w:rsid w:val="367B6A5C"/>
    <w:rsid w:val="36891D0C"/>
    <w:rsid w:val="36A74ADA"/>
    <w:rsid w:val="36AD60D5"/>
    <w:rsid w:val="36B224F9"/>
    <w:rsid w:val="36EC0CC9"/>
    <w:rsid w:val="371D3D90"/>
    <w:rsid w:val="37217005"/>
    <w:rsid w:val="373F410B"/>
    <w:rsid w:val="37D52C2E"/>
    <w:rsid w:val="37EE7094"/>
    <w:rsid w:val="38296C89"/>
    <w:rsid w:val="383002EB"/>
    <w:rsid w:val="38586797"/>
    <w:rsid w:val="38BC0149"/>
    <w:rsid w:val="38D87D1C"/>
    <w:rsid w:val="39636459"/>
    <w:rsid w:val="396B7F6C"/>
    <w:rsid w:val="398C3E50"/>
    <w:rsid w:val="39B417A9"/>
    <w:rsid w:val="39FC5695"/>
    <w:rsid w:val="3A006D8E"/>
    <w:rsid w:val="3A3651E5"/>
    <w:rsid w:val="3A744481"/>
    <w:rsid w:val="3A8C7BEF"/>
    <w:rsid w:val="3A906246"/>
    <w:rsid w:val="3ABB4BD2"/>
    <w:rsid w:val="3B2349B7"/>
    <w:rsid w:val="3B616CFF"/>
    <w:rsid w:val="3B6259F6"/>
    <w:rsid w:val="3B756FF3"/>
    <w:rsid w:val="3B976654"/>
    <w:rsid w:val="3BC01EFC"/>
    <w:rsid w:val="3BCA786A"/>
    <w:rsid w:val="3BD31E2F"/>
    <w:rsid w:val="3BF15831"/>
    <w:rsid w:val="3C105946"/>
    <w:rsid w:val="3C471448"/>
    <w:rsid w:val="3C5F759A"/>
    <w:rsid w:val="3C6C525A"/>
    <w:rsid w:val="3C8B0E7D"/>
    <w:rsid w:val="3CCE23CB"/>
    <w:rsid w:val="3CD17D17"/>
    <w:rsid w:val="3CD42A8D"/>
    <w:rsid w:val="3D3C7F39"/>
    <w:rsid w:val="3D440F09"/>
    <w:rsid w:val="3D4504A0"/>
    <w:rsid w:val="3D8734BB"/>
    <w:rsid w:val="3D9A11D4"/>
    <w:rsid w:val="3DA16D89"/>
    <w:rsid w:val="3DA364BE"/>
    <w:rsid w:val="3DD776A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A572A"/>
    <w:rsid w:val="418F0D2A"/>
    <w:rsid w:val="41B844FD"/>
    <w:rsid w:val="41D01505"/>
    <w:rsid w:val="42474939"/>
    <w:rsid w:val="424A618B"/>
    <w:rsid w:val="424C3C57"/>
    <w:rsid w:val="42613FF3"/>
    <w:rsid w:val="42660D96"/>
    <w:rsid w:val="428667D2"/>
    <w:rsid w:val="42CD1CE0"/>
    <w:rsid w:val="42E1381E"/>
    <w:rsid w:val="42ED6459"/>
    <w:rsid w:val="42FE58DD"/>
    <w:rsid w:val="430C4502"/>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F6D18"/>
    <w:rsid w:val="45F3316A"/>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F3556"/>
    <w:rsid w:val="48E37AAB"/>
    <w:rsid w:val="48FD4B4C"/>
    <w:rsid w:val="490A68E0"/>
    <w:rsid w:val="491055FE"/>
    <w:rsid w:val="495F5B3E"/>
    <w:rsid w:val="496F77D7"/>
    <w:rsid w:val="497654FD"/>
    <w:rsid w:val="498814D2"/>
    <w:rsid w:val="49B64211"/>
    <w:rsid w:val="49E56AF9"/>
    <w:rsid w:val="49F6167F"/>
    <w:rsid w:val="4A05129D"/>
    <w:rsid w:val="4A064FA0"/>
    <w:rsid w:val="4A16615C"/>
    <w:rsid w:val="4A4424D7"/>
    <w:rsid w:val="4A7D0732"/>
    <w:rsid w:val="4AB82D0F"/>
    <w:rsid w:val="4AEB7664"/>
    <w:rsid w:val="4AFD7C19"/>
    <w:rsid w:val="4B0567D1"/>
    <w:rsid w:val="4B153C4A"/>
    <w:rsid w:val="4B236AAE"/>
    <w:rsid w:val="4B2E0C42"/>
    <w:rsid w:val="4B707271"/>
    <w:rsid w:val="4B9739F7"/>
    <w:rsid w:val="4B984BED"/>
    <w:rsid w:val="4BB571AC"/>
    <w:rsid w:val="4BEE2503"/>
    <w:rsid w:val="4C245A30"/>
    <w:rsid w:val="4CB6685F"/>
    <w:rsid w:val="4CC367FE"/>
    <w:rsid w:val="4D077F3C"/>
    <w:rsid w:val="4D123355"/>
    <w:rsid w:val="4D17251D"/>
    <w:rsid w:val="4D2A3B31"/>
    <w:rsid w:val="4D312C52"/>
    <w:rsid w:val="4D905305"/>
    <w:rsid w:val="4D964A72"/>
    <w:rsid w:val="4D9C1254"/>
    <w:rsid w:val="4E793892"/>
    <w:rsid w:val="4E800872"/>
    <w:rsid w:val="4EC569ED"/>
    <w:rsid w:val="4ED50EA1"/>
    <w:rsid w:val="4EEC050C"/>
    <w:rsid w:val="4F104EC3"/>
    <w:rsid w:val="4F38076B"/>
    <w:rsid w:val="4F47354A"/>
    <w:rsid w:val="4F911C54"/>
    <w:rsid w:val="4FCB0679"/>
    <w:rsid w:val="4FE625E0"/>
    <w:rsid w:val="501775B1"/>
    <w:rsid w:val="5021480F"/>
    <w:rsid w:val="5078392F"/>
    <w:rsid w:val="50962ECB"/>
    <w:rsid w:val="50A42E38"/>
    <w:rsid w:val="50A4577F"/>
    <w:rsid w:val="50B73D1F"/>
    <w:rsid w:val="50BD5BC9"/>
    <w:rsid w:val="50C11EEE"/>
    <w:rsid w:val="50E97CFC"/>
    <w:rsid w:val="50FA4028"/>
    <w:rsid w:val="510D65B7"/>
    <w:rsid w:val="511157AB"/>
    <w:rsid w:val="51403FF6"/>
    <w:rsid w:val="5142540C"/>
    <w:rsid w:val="51861E1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85EF5"/>
    <w:rsid w:val="53544462"/>
    <w:rsid w:val="5397158E"/>
    <w:rsid w:val="53DF3326"/>
    <w:rsid w:val="54013861"/>
    <w:rsid w:val="54487265"/>
    <w:rsid w:val="544D6070"/>
    <w:rsid w:val="54605E1E"/>
    <w:rsid w:val="54A12B2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212F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26624"/>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049B0"/>
    <w:rsid w:val="5B2E1A1D"/>
    <w:rsid w:val="5B5B672B"/>
    <w:rsid w:val="5B843A1C"/>
    <w:rsid w:val="5B873E3F"/>
    <w:rsid w:val="5C02690E"/>
    <w:rsid w:val="5C196DA7"/>
    <w:rsid w:val="5C2A048C"/>
    <w:rsid w:val="5C80234E"/>
    <w:rsid w:val="5C8A680C"/>
    <w:rsid w:val="5CA8234F"/>
    <w:rsid w:val="5CEE09F5"/>
    <w:rsid w:val="5D0C4701"/>
    <w:rsid w:val="5D0F0395"/>
    <w:rsid w:val="5D221076"/>
    <w:rsid w:val="5D397964"/>
    <w:rsid w:val="5D5A391C"/>
    <w:rsid w:val="5D5F10C0"/>
    <w:rsid w:val="5D891B7B"/>
    <w:rsid w:val="5DAD38EE"/>
    <w:rsid w:val="5DAF3F72"/>
    <w:rsid w:val="5E006862"/>
    <w:rsid w:val="5E0207B9"/>
    <w:rsid w:val="5E1834A1"/>
    <w:rsid w:val="5E261785"/>
    <w:rsid w:val="5E2B395D"/>
    <w:rsid w:val="5E4A7017"/>
    <w:rsid w:val="5E530938"/>
    <w:rsid w:val="5E552BBA"/>
    <w:rsid w:val="5E611C10"/>
    <w:rsid w:val="5E7A0F3F"/>
    <w:rsid w:val="5EFC7377"/>
    <w:rsid w:val="5F06174D"/>
    <w:rsid w:val="5F096A07"/>
    <w:rsid w:val="5F287496"/>
    <w:rsid w:val="5F3A3602"/>
    <w:rsid w:val="5F45733B"/>
    <w:rsid w:val="5F6277C6"/>
    <w:rsid w:val="5F6D0B1D"/>
    <w:rsid w:val="5F8D0B82"/>
    <w:rsid w:val="5FCC5339"/>
    <w:rsid w:val="5FE34A5B"/>
    <w:rsid w:val="5FFE1E36"/>
    <w:rsid w:val="601872FD"/>
    <w:rsid w:val="60232584"/>
    <w:rsid w:val="60341B57"/>
    <w:rsid w:val="607330CE"/>
    <w:rsid w:val="60825176"/>
    <w:rsid w:val="60870850"/>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5762A"/>
    <w:rsid w:val="63711FED"/>
    <w:rsid w:val="6383749A"/>
    <w:rsid w:val="63880DDC"/>
    <w:rsid w:val="638D750D"/>
    <w:rsid w:val="63AC6CC0"/>
    <w:rsid w:val="64055776"/>
    <w:rsid w:val="641C2A22"/>
    <w:rsid w:val="64240056"/>
    <w:rsid w:val="643E143A"/>
    <w:rsid w:val="64491666"/>
    <w:rsid w:val="646264AD"/>
    <w:rsid w:val="648B6EEF"/>
    <w:rsid w:val="64C158BF"/>
    <w:rsid w:val="64CE2EAA"/>
    <w:rsid w:val="653C3090"/>
    <w:rsid w:val="65854376"/>
    <w:rsid w:val="658767BE"/>
    <w:rsid w:val="65892531"/>
    <w:rsid w:val="65CA39A1"/>
    <w:rsid w:val="66195831"/>
    <w:rsid w:val="662E75B1"/>
    <w:rsid w:val="66342C2E"/>
    <w:rsid w:val="663E784C"/>
    <w:rsid w:val="668B6A45"/>
    <w:rsid w:val="67011F07"/>
    <w:rsid w:val="672F3F24"/>
    <w:rsid w:val="672F7ACC"/>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AF6119"/>
    <w:rsid w:val="6ADA491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554E2"/>
    <w:rsid w:val="6F8331F1"/>
    <w:rsid w:val="6FAE1A09"/>
    <w:rsid w:val="6FD75BF8"/>
    <w:rsid w:val="70367EC0"/>
    <w:rsid w:val="707723D0"/>
    <w:rsid w:val="70F5661B"/>
    <w:rsid w:val="710E448D"/>
    <w:rsid w:val="71360107"/>
    <w:rsid w:val="713B688E"/>
    <w:rsid w:val="71D43752"/>
    <w:rsid w:val="71F1796A"/>
    <w:rsid w:val="7209442D"/>
    <w:rsid w:val="72154626"/>
    <w:rsid w:val="72262B5D"/>
    <w:rsid w:val="72283FF7"/>
    <w:rsid w:val="722D54CF"/>
    <w:rsid w:val="722E7212"/>
    <w:rsid w:val="723A0474"/>
    <w:rsid w:val="725923E4"/>
    <w:rsid w:val="72864BF7"/>
    <w:rsid w:val="729023FC"/>
    <w:rsid w:val="731F6F81"/>
    <w:rsid w:val="73A86EFF"/>
    <w:rsid w:val="73C0646E"/>
    <w:rsid w:val="742222F5"/>
    <w:rsid w:val="742B1C13"/>
    <w:rsid w:val="74476126"/>
    <w:rsid w:val="74706664"/>
    <w:rsid w:val="747F3682"/>
    <w:rsid w:val="749C4185"/>
    <w:rsid w:val="75067759"/>
    <w:rsid w:val="752E6DCD"/>
    <w:rsid w:val="7551380D"/>
    <w:rsid w:val="75600BE5"/>
    <w:rsid w:val="7564475C"/>
    <w:rsid w:val="7583797F"/>
    <w:rsid w:val="759A4888"/>
    <w:rsid w:val="75D20F1D"/>
    <w:rsid w:val="75DA2C18"/>
    <w:rsid w:val="75F54412"/>
    <w:rsid w:val="75FC1B91"/>
    <w:rsid w:val="761D08E0"/>
    <w:rsid w:val="7655748D"/>
    <w:rsid w:val="765D347C"/>
    <w:rsid w:val="76826699"/>
    <w:rsid w:val="76C87133"/>
    <w:rsid w:val="76CD08D5"/>
    <w:rsid w:val="76DB4B92"/>
    <w:rsid w:val="77052AA4"/>
    <w:rsid w:val="77136511"/>
    <w:rsid w:val="77340A39"/>
    <w:rsid w:val="77351FD0"/>
    <w:rsid w:val="77472422"/>
    <w:rsid w:val="775B25F0"/>
    <w:rsid w:val="777F31F2"/>
    <w:rsid w:val="77D1700D"/>
    <w:rsid w:val="77EC04CC"/>
    <w:rsid w:val="78276B6E"/>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300FA"/>
    <w:rsid w:val="79F850CE"/>
    <w:rsid w:val="79FD443C"/>
    <w:rsid w:val="7A1D1975"/>
    <w:rsid w:val="7A3E5150"/>
    <w:rsid w:val="7A4670D6"/>
    <w:rsid w:val="7A534B63"/>
    <w:rsid w:val="7A615382"/>
    <w:rsid w:val="7A67303B"/>
    <w:rsid w:val="7AAB1D04"/>
    <w:rsid w:val="7AB85523"/>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9047B"/>
    <w:rsid w:val="7D6E6D43"/>
    <w:rsid w:val="7DB42B99"/>
    <w:rsid w:val="7DB57A34"/>
    <w:rsid w:val="7DE60973"/>
    <w:rsid w:val="7DEF0916"/>
    <w:rsid w:val="7E1E5218"/>
    <w:rsid w:val="7E9A4E1F"/>
    <w:rsid w:val="7EA7723A"/>
    <w:rsid w:val="7EF56FBB"/>
    <w:rsid w:val="7F0768EB"/>
    <w:rsid w:val="7F143BEC"/>
    <w:rsid w:val="7F715AF2"/>
    <w:rsid w:val="7F886E69"/>
    <w:rsid w:val="7FA47620"/>
    <w:rsid w:val="7FBA5DF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8"/>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2</TotalTime>
  <ScaleCrop>false</ScaleCrop>
  <LinksUpToDate>false</LinksUpToDate>
  <CharactersWithSpaces>37980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ying</cp:lastModifiedBy>
  <cp:lastPrinted>2021-12-27T03:06:00Z</cp:lastPrinted>
  <dcterms:modified xsi:type="dcterms:W3CDTF">2024-09-13T07:33:13Z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