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rPr>
      </w:pPr>
      <w:r>
        <w:rPr>
          <w:rFonts w:hint="eastAsia" w:ascii="宋体" w:hAnsi="宋体" w:cs="宋体"/>
          <w:sz w:val="48"/>
          <w:szCs w:val="48"/>
          <w:lang w:eastAsia="zh-CN"/>
        </w:rPr>
        <w:t>杭州市</w:t>
      </w:r>
      <w:r>
        <w:rPr>
          <w:rFonts w:hint="eastAsia" w:ascii="宋体" w:hAnsi="宋体" w:cs="宋体"/>
          <w:sz w:val="48"/>
          <w:szCs w:val="48"/>
        </w:rPr>
        <w:t>临安区中医院</w:t>
      </w:r>
      <w:r>
        <w:rPr>
          <w:rFonts w:hint="eastAsia" w:ascii="宋体" w:hAnsi="宋体" w:cs="宋体"/>
          <w:sz w:val="48"/>
          <w:szCs w:val="48"/>
          <w:highlight w:val="none"/>
        </w:rPr>
        <w:t>服务器</w:t>
      </w:r>
      <w:r>
        <w:rPr>
          <w:rFonts w:hint="eastAsia" w:ascii="宋体" w:hAnsi="宋体" w:cs="宋体"/>
          <w:sz w:val="48"/>
          <w:szCs w:val="48"/>
          <w:highlight w:val="none"/>
          <w:lang w:eastAsia="zh-CN"/>
        </w:rPr>
        <w:t>等设备重新</w:t>
      </w:r>
      <w:r>
        <w:rPr>
          <w:rFonts w:hint="eastAsia" w:ascii="宋体" w:hAnsi="宋体" w:cs="宋体"/>
          <w:sz w:val="48"/>
          <w:szCs w:val="48"/>
          <w:highlight w:val="none"/>
        </w:rPr>
        <w:t>采购</w:t>
      </w:r>
      <w:r>
        <w:rPr>
          <w:rFonts w:hint="eastAsia" w:ascii="宋体" w:hAnsi="宋体" w:cs="宋体"/>
          <w:sz w:val="48"/>
          <w:szCs w:val="48"/>
        </w:rPr>
        <w:t>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color w:val="auto"/>
          <w:sz w:val="30"/>
          <w:szCs w:val="30"/>
        </w:rPr>
      </w:pPr>
      <w:r>
        <w:rPr>
          <w:rFonts w:hint="eastAsia" w:ascii="宋体" w:hAnsi="宋体" w:cs="宋体"/>
          <w:sz w:val="30"/>
          <w:szCs w:val="30"/>
        </w:rPr>
        <w:t>编号:</w:t>
      </w:r>
      <w:r>
        <w:rPr>
          <w:rFonts w:hint="eastAsia" w:ascii="宋体" w:hAnsi="宋体" w:cs="宋体"/>
          <w:color w:val="auto"/>
          <w:sz w:val="30"/>
          <w:szCs w:val="30"/>
        </w:rPr>
        <w:t>（</w:t>
      </w:r>
      <w:r>
        <w:rPr>
          <w:rFonts w:hint="eastAsia" w:ascii="宋体" w:hAnsi="宋体" w:cs="宋体"/>
          <w:color w:val="auto"/>
          <w:sz w:val="30"/>
          <w:szCs w:val="30"/>
          <w:lang w:val="en-US" w:eastAsia="zh-CN"/>
        </w:rPr>
        <w:t>LZC-GK-临[2024]2841号-1</w:t>
      </w:r>
      <w:r>
        <w:rPr>
          <w:rFonts w:hint="eastAsia" w:ascii="宋体" w:hAnsi="宋体" w:cs="宋体"/>
          <w:color w:val="auto"/>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杭州市临安区中医院</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sz w:val="32"/>
          <w:szCs w:val="32"/>
          <w:lang w:eastAsia="zh-CN"/>
        </w:rPr>
        <w:t>杭州市公共资</w:t>
      </w:r>
      <w:r>
        <w:rPr>
          <w:rFonts w:hint="eastAsia" w:ascii="宋体" w:hAnsi="宋体" w:cs="宋体"/>
          <w:bCs/>
          <w:color w:val="auto"/>
          <w:sz w:val="32"/>
          <w:szCs w:val="32"/>
          <w:lang w:eastAsia="zh-CN"/>
        </w:rPr>
        <w:t>源交易</w:t>
      </w:r>
      <w:r>
        <w:rPr>
          <w:rFonts w:hint="eastAsia" w:ascii="宋体" w:hAnsi="宋体" w:cs="宋体"/>
          <w:bCs/>
          <w:color w:val="auto"/>
          <w:sz w:val="32"/>
          <w:szCs w:val="32"/>
          <w:highlight w:val="none"/>
          <w:lang w:eastAsia="zh-CN"/>
        </w:rPr>
        <w:t>中心临安分中心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八</w:t>
      </w:r>
      <w:r>
        <w:rPr>
          <w:rFonts w:hint="eastAsia" w:ascii="宋体" w:hAnsi="宋体" w:cs="宋体"/>
          <w:bCs/>
          <w:color w:val="auto"/>
          <w:sz w:val="32"/>
          <w:szCs w:val="32"/>
          <w:highlight w:val="none"/>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rPr>
        <w:t>杭州市临安区中医院服务器等设备</w:t>
      </w:r>
      <w:r>
        <w:rPr>
          <w:rFonts w:hint="eastAsia" w:asciiTheme="minorEastAsia" w:hAnsiTheme="minorEastAsia" w:eastAsiaTheme="minorEastAsia"/>
          <w:sz w:val="24"/>
          <w:lang w:eastAsia="zh-CN"/>
        </w:rPr>
        <w:t>重新</w:t>
      </w:r>
      <w:bookmarkStart w:id="563" w:name="_GoBack"/>
      <w:bookmarkEnd w:id="563"/>
      <w:r>
        <w:rPr>
          <w:rFonts w:hint="eastAsia" w:asciiTheme="minorEastAsia" w:hAnsiTheme="minorEastAsia" w:eastAsiaTheme="minorEastAsia"/>
          <w:sz w:val="24"/>
        </w:rPr>
        <w:t>采购项目的潜在投标人应在政采云平台（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cs="Times New Roman" w:asciiTheme="minorEastAsia" w:hAnsiTheme="minorEastAsia" w:eastAsiaTheme="minorEastAsia"/>
          <w:snapToGrid/>
          <w:kern w:val="2"/>
          <w:sz w:val="24"/>
          <w:szCs w:val="24"/>
          <w:highlight w:val="none"/>
        </w:rPr>
        <w:t>https://www.zcygov.cn/）获取（下载）招标文件，并于</w:t>
      </w:r>
      <w:r>
        <w:rPr>
          <w:rStyle w:val="77"/>
          <w:rFonts w:hint="eastAsia" w:cs="Times New Roman" w:asciiTheme="minorEastAsia" w:hAnsiTheme="minorEastAsia" w:eastAsiaTheme="minorEastAsia"/>
          <w:snapToGrid/>
          <w:kern w:val="2"/>
          <w:sz w:val="24"/>
          <w:szCs w:val="24"/>
          <w:highlight w:val="none"/>
          <w:u w:val="single"/>
        </w:rPr>
        <w:t>202</w:t>
      </w:r>
      <w:r>
        <w:rPr>
          <w:rStyle w:val="77"/>
          <w:rFonts w:hint="eastAsia" w:cs="Times New Roman" w:asciiTheme="minorEastAsia" w:hAnsiTheme="minorEastAsia" w:eastAsiaTheme="minorEastAsia"/>
          <w:snapToGrid/>
          <w:kern w:val="2"/>
          <w:sz w:val="24"/>
          <w:szCs w:val="24"/>
          <w:highlight w:val="none"/>
          <w:u w:val="single"/>
          <w:lang w:val="en-US" w:eastAsia="zh-CN"/>
        </w:rPr>
        <w:t>4</w:t>
      </w:r>
      <w:r>
        <w:rPr>
          <w:rStyle w:val="77"/>
          <w:rFonts w:cs="Times New Roman" w:asciiTheme="minorEastAsia" w:hAnsiTheme="minorEastAsia" w:eastAsiaTheme="minorEastAsia"/>
          <w:snapToGrid/>
          <w:kern w:val="2"/>
          <w:sz w:val="24"/>
          <w:szCs w:val="24"/>
          <w:highlight w:val="none"/>
          <w:u w:val="single"/>
        </w:rPr>
        <w:t>年</w:t>
      </w:r>
      <w:r>
        <w:rPr>
          <w:rStyle w:val="77"/>
          <w:rFonts w:hint="eastAsia" w:cs="Times New Roman" w:asciiTheme="minorEastAsia" w:hAnsiTheme="minorEastAsia" w:eastAsiaTheme="minorEastAsia"/>
          <w:snapToGrid/>
          <w:kern w:val="2"/>
          <w:sz w:val="24"/>
          <w:szCs w:val="24"/>
          <w:highlight w:val="none"/>
          <w:u w:val="single"/>
          <w:lang w:val="en-US" w:eastAsia="zh-CN"/>
        </w:rPr>
        <w:t>11</w:t>
      </w:r>
      <w:r>
        <w:rPr>
          <w:rStyle w:val="77"/>
          <w:rFonts w:hint="eastAsia" w:cs="Times New Roman" w:asciiTheme="minorEastAsia" w:hAnsiTheme="minorEastAsia" w:eastAsiaTheme="minorEastAsia"/>
          <w:snapToGrid/>
          <w:kern w:val="2"/>
          <w:sz w:val="24"/>
          <w:szCs w:val="24"/>
          <w:highlight w:val="none"/>
          <w:u w:val="single"/>
        </w:rPr>
        <w:t>月</w:t>
      </w:r>
      <w:r>
        <w:rPr>
          <w:rStyle w:val="77"/>
          <w:rFonts w:hint="eastAsia" w:cs="Times New Roman" w:asciiTheme="minorEastAsia" w:hAnsiTheme="minorEastAsia" w:eastAsiaTheme="minorEastAsia"/>
          <w:snapToGrid/>
          <w:kern w:val="2"/>
          <w:sz w:val="24"/>
          <w:szCs w:val="24"/>
          <w:highlight w:val="none"/>
          <w:u w:val="single"/>
          <w:lang w:val="en-US" w:eastAsia="zh-CN"/>
        </w:rPr>
        <w:t>29</w:t>
      </w:r>
      <w:r>
        <w:rPr>
          <w:rStyle w:val="77"/>
          <w:rFonts w:hint="eastAsia" w:cs="Times New Roman" w:asciiTheme="minorEastAsia" w:hAnsiTheme="minorEastAsia" w:eastAsiaTheme="minorEastAsia"/>
          <w:snapToGrid/>
          <w:kern w:val="2"/>
          <w:sz w:val="24"/>
          <w:szCs w:val="24"/>
          <w:highlight w:val="none"/>
          <w:u w:val="single"/>
        </w:rPr>
        <w:t>日</w:t>
      </w:r>
      <w:r>
        <w:rPr>
          <w:rStyle w:val="77"/>
          <w:rFonts w:hint="eastAsia" w:cs="Times New Roman" w:asciiTheme="minorEastAsia" w:hAnsiTheme="minorEastAsia" w:eastAsiaTheme="minorEastAsia"/>
          <w:snapToGrid/>
          <w:kern w:val="2"/>
          <w:sz w:val="24"/>
          <w:szCs w:val="24"/>
          <w:highlight w:val="none"/>
          <w:u w:val="single"/>
          <w:lang w:val="en-US" w:eastAsia="zh-CN"/>
        </w:rPr>
        <w:t>13</w:t>
      </w:r>
      <w:r>
        <w:rPr>
          <w:rStyle w:val="77"/>
          <w:rFonts w:hint="eastAsia" w:cs="Times New Roman" w:asciiTheme="minorEastAsia" w:hAnsiTheme="minorEastAsia" w:eastAsiaTheme="minorEastAsia"/>
          <w:snapToGrid/>
          <w:kern w:val="2"/>
          <w:sz w:val="24"/>
          <w:szCs w:val="24"/>
          <w:highlight w:val="none"/>
          <w:u w:val="single"/>
        </w:rPr>
        <w:t>点</w:t>
      </w:r>
      <w:r>
        <w:rPr>
          <w:rStyle w:val="77"/>
          <w:rFonts w:hint="eastAsia" w:cs="Times New Roman" w:asciiTheme="minorEastAsia" w:hAnsiTheme="minorEastAsia" w:eastAsiaTheme="minorEastAsia"/>
          <w:snapToGrid/>
          <w:kern w:val="2"/>
          <w:sz w:val="24"/>
          <w:szCs w:val="24"/>
          <w:highlight w:val="none"/>
          <w:u w:val="single"/>
          <w:lang w:val="en-US" w:eastAsia="zh-CN"/>
        </w:rPr>
        <w:t>30</w:t>
      </w:r>
      <w:r>
        <w:rPr>
          <w:rStyle w:val="77"/>
          <w:rFonts w:hint="eastAsia" w:cs="Times New Roman" w:asciiTheme="minorEastAsia" w:hAnsiTheme="minorEastAsia" w:eastAsiaTheme="minorEastAsia"/>
          <w:snapToGrid/>
          <w:kern w:val="2"/>
          <w:sz w:val="24"/>
          <w:szCs w:val="24"/>
          <w:highlight w:val="none"/>
          <w:u w:val="single"/>
        </w:rPr>
        <w:t>分</w:t>
      </w:r>
      <w:r>
        <w:rPr>
          <w:rStyle w:val="77"/>
          <w:rFonts w:hint="eastAsia" w:cs="Times New Roman" w:asciiTheme="minorEastAsia" w:hAnsiTheme="minorEastAsia" w:eastAsiaTheme="minorEastAsia"/>
          <w:bCs/>
          <w:snapToGrid/>
          <w:kern w:val="2"/>
          <w:sz w:val="24"/>
          <w:szCs w:val="24"/>
          <w:highlight w:val="none"/>
          <w:u w:val="single"/>
        </w:rPr>
        <w:t>00秒</w:t>
      </w:r>
      <w:r>
        <w:rPr>
          <w:rStyle w:val="77"/>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default" w:ascii="宋体" w:hAnsi="宋体" w:cs="宋体"/>
          <w:b w:val="0"/>
          <w:bCs/>
          <w:sz w:val="24"/>
          <w:lang w:val="en-US"/>
        </w:rPr>
      </w:pPr>
      <w:r>
        <w:rPr>
          <w:rFonts w:hint="eastAsia" w:ascii="宋体" w:hAnsi="宋体" w:cs="宋体"/>
          <w:sz w:val="24"/>
        </w:rPr>
        <w:t xml:space="preserve">    </w:t>
      </w:r>
      <w:r>
        <w:rPr>
          <w:rFonts w:hint="eastAsia" w:ascii="宋体" w:hAnsi="宋体" w:cs="宋体"/>
          <w:b/>
          <w:sz w:val="24"/>
        </w:rPr>
        <w:t>项目编号：</w:t>
      </w:r>
      <w:bookmarkStart w:id="11" w:name="OLE_LINK2"/>
      <w:r>
        <w:rPr>
          <w:rFonts w:hint="eastAsia" w:ascii="宋体" w:hAnsi="宋体" w:cs="宋体"/>
          <w:b w:val="0"/>
          <w:bCs/>
          <w:sz w:val="24"/>
          <w:lang w:val="en-US" w:eastAsia="zh-CN"/>
        </w:rPr>
        <w:t>LZC-GK-临[2024]2841号</w:t>
      </w:r>
      <w:bookmarkEnd w:id="11"/>
      <w:r>
        <w:rPr>
          <w:rFonts w:hint="eastAsia" w:ascii="宋体" w:hAnsi="宋体" w:cs="宋体"/>
          <w:b w:val="0"/>
          <w:bCs/>
          <w:sz w:val="24"/>
          <w:lang w:val="en-US" w:eastAsia="zh-CN"/>
        </w:rPr>
        <w:t>-1</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val="0"/>
          <w:bCs/>
          <w:sz w:val="24"/>
        </w:rPr>
        <w:t>杭州市临安区中医院服务器等设备</w:t>
      </w:r>
      <w:r>
        <w:rPr>
          <w:rFonts w:hint="eastAsia" w:ascii="宋体" w:hAnsi="宋体" w:cs="宋体"/>
          <w:b w:val="0"/>
          <w:bCs/>
          <w:sz w:val="24"/>
          <w:lang w:eastAsia="zh-CN"/>
        </w:rPr>
        <w:t>重新</w:t>
      </w:r>
      <w:r>
        <w:rPr>
          <w:rFonts w:hint="eastAsia" w:ascii="宋体" w:hAnsi="宋体" w:cs="宋体"/>
          <w:b w:val="0"/>
          <w:bCs/>
          <w:sz w:val="24"/>
        </w:rPr>
        <w:t>采购项目</w:t>
      </w:r>
    </w:p>
    <w:p>
      <w:pPr>
        <w:spacing w:line="360" w:lineRule="auto"/>
        <w:rPr>
          <w:rFonts w:hint="default" w:ascii="宋体" w:hAnsi="宋体" w:eastAsia="宋体" w:cs="宋体"/>
          <w:color w:val="0000FF"/>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5000000</w:t>
      </w:r>
    </w:p>
    <w:p>
      <w:pPr>
        <w:spacing w:line="360" w:lineRule="auto"/>
        <w:ind w:firstLine="480"/>
        <w:rPr>
          <w:rFonts w:hint="default" w:ascii="宋体" w:hAnsi="宋体" w:eastAsia="宋体" w:cs="宋体"/>
          <w:color w:val="0000FF"/>
          <w:sz w:val="24"/>
          <w:lang w:val="en-US" w:eastAsia="zh-CN"/>
        </w:rPr>
      </w:pPr>
      <w:r>
        <w:rPr>
          <w:rFonts w:hint="eastAsia" w:ascii="宋体" w:hAnsi="宋体" w:cs="宋体"/>
          <w:b/>
          <w:sz w:val="24"/>
        </w:rPr>
        <w:t>最高限价（元）：</w:t>
      </w:r>
      <w:r>
        <w:rPr>
          <w:rFonts w:hint="eastAsia" w:ascii="宋体" w:hAnsi="宋体" w:cs="宋体"/>
          <w:b/>
          <w:sz w:val="24"/>
          <w:lang w:val="en-US" w:eastAsia="zh-CN"/>
        </w:rPr>
        <w:t>5000000</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9"/>
        <w:ind w:firstLine="482"/>
        <w:outlineLvl w:val="2"/>
        <w:rPr>
          <w:rFonts w:hint="eastAsia" w:ascii="宋体" w:hAnsi="宋体" w:eastAsia="宋体" w:cs="宋体"/>
          <w:b w:val="0"/>
          <w:bCs/>
          <w:color w:val="0000FF"/>
          <w:sz w:val="15"/>
          <w:szCs w:val="15"/>
          <w:lang w:eastAsia="zh-CN"/>
        </w:rPr>
      </w:pPr>
      <w:r>
        <w:rPr>
          <w:rFonts w:hint="eastAsia" w:ascii="宋体" w:hAnsi="宋体" w:cs="宋体"/>
          <w:b/>
        </w:rPr>
        <w:t>合同履约期限：</w:t>
      </w:r>
      <w:r>
        <w:rPr>
          <w:rFonts w:hint="eastAsia" w:ascii="宋体" w:hAnsi="宋体" w:cs="宋体"/>
          <w:bCs/>
          <w:sz w:val="24"/>
        </w:rPr>
        <w:t>合同签订后60</w:t>
      </w:r>
      <w:r>
        <w:rPr>
          <w:rFonts w:hint="eastAsia" w:ascii="宋体" w:hAnsi="宋体" w:cs="宋体"/>
          <w:bCs/>
          <w:sz w:val="24"/>
          <w:lang w:eastAsia="zh-CN"/>
        </w:rPr>
        <w:t>日历</w:t>
      </w:r>
      <w:r>
        <w:rPr>
          <w:rFonts w:hint="eastAsia" w:ascii="宋体" w:hAnsi="宋体" w:cs="宋体"/>
          <w:bCs/>
          <w:sz w:val="24"/>
        </w:rPr>
        <w:t>天完成设备采购并安装调试运行完成。</w:t>
      </w:r>
    </w:p>
    <w:p>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2" w:name="_Hlk101132948"/>
      <w:r>
        <w:rPr>
          <w:rFonts w:hint="eastAsia" w:ascii="宋体" w:hAnsi="宋体" w:cs="宋体"/>
          <w:b/>
          <w:sz w:val="24"/>
        </w:rPr>
        <w:t>申请人的资格要求</w:t>
      </w:r>
      <w:bookmarkEnd w:id="12"/>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kern w:val="28"/>
          <w:sz w:val="24"/>
          <w:szCs w:val="20"/>
        </w:rPr>
        <w:t>3</w:t>
      </w:r>
      <w:r>
        <w:rPr>
          <w:rFonts w:hint="eastAsia" w:ascii="宋体" w:hAnsi="宋体" w:cs="宋体"/>
          <w:snapToGrid w:val="0"/>
          <w:kern w:val="28"/>
          <w:sz w:val="24"/>
          <w:szCs w:val="20"/>
        </w:rPr>
        <w:t>.落实</w:t>
      </w:r>
      <w:r>
        <w:rPr>
          <w:rFonts w:hint="eastAsia" w:ascii="宋体" w:hAnsi="宋体" w:cs="宋体"/>
          <w:snapToGrid w:val="0"/>
          <w:color w:val="auto"/>
          <w:kern w:val="28"/>
          <w:sz w:val="24"/>
          <w:szCs w:val="20"/>
          <w:highlight w:val="none"/>
        </w:rPr>
        <w:t>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3"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3"/>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rPr>
          <w:color w:val="auto"/>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sz w:val="24"/>
        </w:rPr>
        <w:t>三、获取招标文</w:t>
      </w:r>
      <w:r>
        <w:rPr>
          <w:rFonts w:hint="eastAsia" w:ascii="宋体" w:hAnsi="宋体" w:cs="宋体"/>
          <w:b/>
          <w:color w:val="auto"/>
          <w:sz w:val="24"/>
        </w:rPr>
        <w:t xml:space="preserve">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称：杭州市临安区</w:t>
      </w:r>
      <w:r>
        <w:rPr>
          <w:rFonts w:hint="eastAsia" w:ascii="宋体" w:hAnsi="宋体" w:cs="宋体"/>
          <w:color w:val="auto"/>
          <w:sz w:val="24"/>
          <w:lang w:eastAsia="zh-CN"/>
        </w:rPr>
        <w:t>中医院</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杭州市</w:t>
      </w:r>
      <w:r>
        <w:rPr>
          <w:rFonts w:hint="eastAsia" w:ascii="宋体" w:hAnsi="宋体" w:cs="宋体"/>
          <w:color w:val="auto"/>
          <w:sz w:val="24"/>
        </w:rPr>
        <w:t xml:space="preserve">临安区锦北街道溪水北路288号       </w:t>
      </w:r>
    </w:p>
    <w:p>
      <w:pPr>
        <w:spacing w:line="360" w:lineRule="auto"/>
        <w:ind w:firstLine="480"/>
        <w:rPr>
          <w:rFonts w:ascii="宋体" w:hAnsi="宋体" w:cs="宋体"/>
          <w:color w:val="auto"/>
          <w:sz w:val="24"/>
          <w:highlight w:val="none"/>
        </w:rPr>
      </w:pPr>
      <w:r>
        <w:rPr>
          <w:rFonts w:hint="eastAsia" w:ascii="宋体" w:hAnsi="宋体" w:cs="宋体"/>
          <w:color w:val="auto"/>
          <w:sz w:val="24"/>
        </w:rPr>
        <w:t>传    真：</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项目联系人（询问）：朱中樑</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项目联系方式（询问）：0571-61068029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质疑联系人：蔡湘军</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63819897</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firstLineChars="200"/>
        <w:rPr>
          <w:rFonts w:hint="eastAsia"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pPr>
        <w:spacing w:line="360" w:lineRule="auto"/>
        <w:rPr>
          <w:rFonts w:hint="eastAsia" w:ascii="宋体" w:hAnsi="宋体" w:cs="宋体"/>
          <w:sz w:val="24"/>
          <w:highlight w:val="none"/>
        </w:rPr>
      </w:pPr>
      <w:r>
        <w:rPr>
          <w:rFonts w:hint="eastAsia" w:ascii="宋体" w:hAnsi="宋体" w:cs="宋体"/>
          <w:sz w:val="24"/>
        </w:rPr>
        <w:t xml:space="preserve">   </w:t>
      </w:r>
      <w:r>
        <w:rPr>
          <w:rFonts w:hint="eastAsia" w:ascii="宋体" w:hAnsi="宋体" w:cs="宋体"/>
          <w:sz w:val="24"/>
          <w:highlight w:val="none"/>
        </w:rPr>
        <w:t xml:space="preserve"> 项目联系人（询问）：</w:t>
      </w:r>
      <w:r>
        <w:rPr>
          <w:rFonts w:hint="eastAsia" w:ascii="宋体" w:hAnsi="宋体" w:cs="宋体"/>
          <w:sz w:val="24"/>
          <w:highlight w:val="none"/>
          <w:lang w:eastAsia="zh-CN"/>
        </w:rPr>
        <w:t>邵旭峰</w:t>
      </w:r>
      <w:r>
        <w:rPr>
          <w:rFonts w:hint="eastAsia" w:ascii="宋体" w:hAnsi="宋体" w:cs="宋体"/>
          <w:sz w:val="24"/>
          <w:highlight w:val="none"/>
        </w:rPr>
        <w:t xml:space="preserve">         </w:t>
      </w:r>
    </w:p>
    <w:p>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0571-89540588</w:t>
      </w:r>
    </w:p>
    <w:p>
      <w:pPr>
        <w:spacing w:line="360" w:lineRule="auto"/>
        <w:ind w:firstLine="480"/>
        <w:rPr>
          <w:rFonts w:hint="eastAsia"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eastAsia="zh-CN"/>
        </w:rPr>
        <w:t>杨颖</w:t>
      </w:r>
      <w:r>
        <w:rPr>
          <w:rFonts w:hint="eastAsia" w:ascii="宋体" w:hAnsi="宋体" w:cs="宋体"/>
          <w:sz w:val="24"/>
          <w:highlight w:val="none"/>
        </w:rPr>
        <w:t xml:space="preserve">             </w:t>
      </w:r>
    </w:p>
    <w:p>
      <w:pPr>
        <w:spacing w:line="360" w:lineRule="auto"/>
        <w:ind w:firstLine="480"/>
        <w:rPr>
          <w:rFonts w:hint="default" w:ascii="宋体" w:hAnsi="宋体" w:cs="宋体"/>
          <w:sz w:val="24"/>
          <w:highlight w:val="none"/>
          <w:lang w:val="en-US" w:eastAsia="zh-CN"/>
        </w:rPr>
      </w:pPr>
      <w:r>
        <w:rPr>
          <w:rFonts w:hint="eastAsia" w:ascii="宋体" w:hAnsi="宋体" w:cs="宋体"/>
          <w:sz w:val="24"/>
          <w:highlight w:val="none"/>
        </w:rPr>
        <w:t>质疑联系方式：0571-</w:t>
      </w:r>
      <w:r>
        <w:rPr>
          <w:rFonts w:hint="eastAsia" w:ascii="宋体" w:hAnsi="宋体" w:cs="宋体"/>
          <w:sz w:val="24"/>
          <w:highlight w:val="none"/>
          <w:lang w:val="en-US" w:eastAsia="zh-CN"/>
        </w:rPr>
        <w:t>89540611</w:t>
      </w:r>
    </w:p>
    <w:p>
      <w:pPr>
        <w:spacing w:line="360" w:lineRule="auto"/>
        <w:ind w:firstLine="480"/>
        <w:rPr>
          <w:rFonts w:ascii="宋体" w:hAnsi="宋体" w:cs="宋体"/>
          <w:sz w:val="24"/>
          <w:highlight w:val="none"/>
        </w:rPr>
      </w:pPr>
      <w:r>
        <w:rPr>
          <w:rFonts w:hint="eastAsia" w:ascii="宋体" w:hAnsi="宋体" w:cs="宋体"/>
          <w:sz w:val="24"/>
          <w:highlight w:val="none"/>
        </w:rPr>
        <w:t>3.</w:t>
      </w:r>
      <w:r>
        <w:rPr>
          <w:rFonts w:hint="eastAsia"/>
          <w:highlight w:val="none"/>
        </w:rPr>
        <w:t xml:space="preserve"> </w:t>
      </w:r>
      <w:r>
        <w:rPr>
          <w:rFonts w:hint="eastAsia" w:ascii="宋体" w:hAnsi="宋体" w:cs="宋体"/>
          <w:sz w:val="24"/>
          <w:highlight w:val="none"/>
        </w:rPr>
        <w:t xml:space="preserve">同级政府采购监督管理部门            </w:t>
      </w:r>
    </w:p>
    <w:p>
      <w:pPr>
        <w:spacing w:line="360" w:lineRule="auto"/>
        <w:ind w:firstLine="480"/>
        <w:rPr>
          <w:rFonts w:hint="eastAsia" w:ascii="宋体" w:hAnsi="宋体" w:cs="宋体"/>
          <w:sz w:val="24"/>
          <w:highlight w:val="none"/>
        </w:rPr>
      </w:pPr>
      <w:r>
        <w:rPr>
          <w:rFonts w:hint="eastAsia" w:ascii="宋体" w:hAnsi="宋体" w:cs="宋体"/>
          <w:sz w:val="24"/>
          <w:highlight w:val="none"/>
        </w:rPr>
        <w:t>名 称：杭州市临安区财政局政府采购监管科、浙江省政府采购行政裁决服务中心（杭州）</w:t>
      </w:r>
    </w:p>
    <w:p>
      <w:pPr>
        <w:spacing w:line="360" w:lineRule="auto"/>
        <w:ind w:firstLine="480"/>
        <w:rPr>
          <w:rFonts w:hint="eastAsia" w:ascii="宋体" w:hAnsi="宋体" w:cs="宋体"/>
          <w:sz w:val="24"/>
          <w:highlight w:val="none"/>
        </w:rPr>
      </w:pPr>
      <w:r>
        <w:rPr>
          <w:rFonts w:hint="eastAsia" w:ascii="宋体" w:hAnsi="宋体" w:cs="宋体"/>
          <w:sz w:val="24"/>
          <w:highlight w:val="none"/>
        </w:rPr>
        <w:t>地</w:t>
      </w:r>
      <w:r>
        <w:rPr>
          <w:rFonts w:hint="eastAsia" w:ascii="宋体" w:hAnsi="宋体" w:cs="宋体"/>
          <w:sz w:val="24"/>
          <w:highlight w:val="none"/>
          <w:lang w:val="en-US" w:eastAsia="zh-CN"/>
        </w:rPr>
        <w:t xml:space="preserve">    </w:t>
      </w:r>
      <w:r>
        <w:rPr>
          <w:rFonts w:hint="eastAsia" w:ascii="宋体" w:hAnsi="宋体" w:cs="宋体"/>
          <w:sz w:val="24"/>
          <w:highlight w:val="none"/>
        </w:rPr>
        <w:t>址：杭州市上城区清泰街549号城建综合大楼11楼（快递仅限ems或顺丰）</w:t>
      </w:r>
    </w:p>
    <w:p>
      <w:pPr>
        <w:spacing w:line="360" w:lineRule="auto"/>
        <w:ind w:firstLine="480"/>
        <w:rPr>
          <w:rFonts w:hint="eastAsia" w:ascii="宋体" w:hAnsi="宋体" w:cs="宋体"/>
          <w:sz w:val="24"/>
          <w:highlight w:val="none"/>
        </w:rPr>
      </w:pPr>
      <w:r>
        <w:rPr>
          <w:rFonts w:hint="eastAsia" w:ascii="宋体" w:hAnsi="宋体" w:cs="宋体"/>
          <w:sz w:val="24"/>
          <w:highlight w:val="none"/>
        </w:rPr>
        <w:t>传</w:t>
      </w:r>
      <w:r>
        <w:rPr>
          <w:rFonts w:hint="eastAsia" w:ascii="宋体" w:hAnsi="宋体" w:cs="宋体"/>
          <w:sz w:val="24"/>
          <w:highlight w:val="none"/>
          <w:lang w:val="en-US" w:eastAsia="zh-CN"/>
        </w:rPr>
        <w:t xml:space="preserve">    </w:t>
      </w:r>
      <w:r>
        <w:rPr>
          <w:rFonts w:hint="eastAsia" w:ascii="宋体" w:hAnsi="宋体" w:cs="宋体"/>
          <w:sz w:val="24"/>
          <w:highlight w:val="none"/>
        </w:rPr>
        <w:t>真：</w:t>
      </w:r>
      <w:bookmarkStart w:id="14" w:name="OLE_LINK3"/>
      <w:r>
        <w:rPr>
          <w:rFonts w:hint="eastAsia" w:ascii="宋体" w:hAnsi="宋体" w:cs="宋体"/>
          <w:sz w:val="24"/>
          <w:highlight w:val="none"/>
        </w:rPr>
        <w:t>0571-89541600</w:t>
      </w:r>
      <w:bookmarkEnd w:id="14"/>
    </w:p>
    <w:p>
      <w:pPr>
        <w:spacing w:line="360" w:lineRule="auto"/>
        <w:ind w:firstLine="480"/>
        <w:rPr>
          <w:rFonts w:hint="eastAsia" w:ascii="宋体" w:hAnsi="宋体" w:cs="宋体"/>
          <w:sz w:val="24"/>
          <w:highlight w:val="none"/>
        </w:rPr>
      </w:pPr>
      <w:r>
        <w:rPr>
          <w:rFonts w:hint="eastAsia" w:ascii="宋体" w:hAnsi="宋体" w:cs="宋体"/>
          <w:sz w:val="24"/>
          <w:highlight w:val="none"/>
        </w:rPr>
        <w:t>联</w:t>
      </w:r>
      <w:r>
        <w:rPr>
          <w:rFonts w:hint="eastAsia" w:ascii="宋体" w:hAnsi="宋体" w:cs="宋体"/>
          <w:sz w:val="24"/>
          <w:highlight w:val="none"/>
          <w:lang w:val="en-US" w:eastAsia="zh-CN"/>
        </w:rPr>
        <w:t xml:space="preserve"> </w:t>
      </w:r>
      <w:r>
        <w:rPr>
          <w:rFonts w:hint="eastAsia" w:ascii="宋体" w:hAnsi="宋体" w:cs="宋体"/>
          <w:sz w:val="24"/>
          <w:highlight w:val="none"/>
        </w:rPr>
        <w:t>系</w:t>
      </w:r>
      <w:r>
        <w:rPr>
          <w:rFonts w:hint="eastAsia" w:ascii="宋体" w:hAnsi="宋体" w:cs="宋体"/>
          <w:sz w:val="24"/>
          <w:highlight w:val="none"/>
          <w:lang w:val="en-US" w:eastAsia="zh-CN"/>
        </w:rPr>
        <w:t xml:space="preserve"> </w:t>
      </w:r>
      <w:r>
        <w:rPr>
          <w:rFonts w:hint="eastAsia" w:ascii="宋体" w:hAnsi="宋体" w:cs="宋体"/>
          <w:sz w:val="24"/>
          <w:highlight w:val="none"/>
        </w:rPr>
        <w:t>人 ：朱女士、王女士</w:t>
      </w:r>
    </w:p>
    <w:p>
      <w:pPr>
        <w:spacing w:line="360" w:lineRule="auto"/>
        <w:ind w:firstLine="480"/>
        <w:rPr>
          <w:rFonts w:ascii="宋体" w:hAnsi="宋体" w:cs="宋体"/>
          <w:sz w:val="24"/>
          <w:highlight w:val="none"/>
        </w:rPr>
      </w:pPr>
      <w:r>
        <w:rPr>
          <w:rFonts w:hint="eastAsia" w:ascii="宋体" w:hAnsi="宋体" w:cs="宋体"/>
          <w:sz w:val="24"/>
          <w:highlight w:val="none"/>
        </w:rPr>
        <w:t xml:space="preserve">监督投诉电话：0571-87800218、0571-87227671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7"/>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4"/>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HIS数据库服务器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标的：</w:t>
            </w:r>
            <w:r>
              <w:rPr>
                <w:rFonts w:hint="eastAsia" w:ascii="宋体" w:hAnsi="宋体" w:eastAsia="宋体" w:cs="宋体"/>
                <w:b/>
                <w:bCs/>
                <w:color w:val="auto"/>
                <w:sz w:val="24"/>
                <w:highlight w:val="none"/>
                <w:u w:val="single"/>
                <w:lang w:val="en-US" w:eastAsia="zh-CN"/>
              </w:rPr>
              <w:t xml:space="preserve"> HIS数据库服务器</w:t>
            </w:r>
            <w:r>
              <w:rPr>
                <w:rFonts w:hint="eastAsia" w:ascii="宋体" w:hAnsi="宋体" w:cs="宋体"/>
                <w:b/>
                <w:bCs/>
                <w:color w:val="auto"/>
                <w:sz w:val="24"/>
                <w:highlight w:val="none"/>
                <w:u w:val="single"/>
                <w:lang w:val="en-US" w:eastAsia="zh-CN"/>
              </w:rPr>
              <w:t>、EMR数据库服务器、光纤交换机、全闪存储、内网超融合一体机、业务网络交换机、超融合存储交换机、超融合管理交换设机、EMR文档库服务器、HI-HIS数据库容灾服务器、数据库容灾软件、数据脱敏设备、下一代防火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b/>
                <w:bCs/>
                <w:color w:val="auto"/>
                <w:sz w:val="24"/>
                <w:highlight w:val="none"/>
                <w:u w:val="single"/>
                <w:lang w:val="en-US" w:eastAsia="zh-CN"/>
              </w:rPr>
              <w:t>工业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运输、安装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color w:val="auto"/>
                <w:kern w:val="0"/>
                <w:sz w:val="24"/>
                <w:highlight w:val="none"/>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w:t>
            </w:r>
            <w:r>
              <w:rPr>
                <w:rFonts w:hint="eastAsia" w:ascii="宋体" w:hAnsi="宋体" w:cs="宋体"/>
                <w:color w:val="auto"/>
                <w:kern w:val="0"/>
                <w:sz w:val="24"/>
                <w:highlight w:val="none"/>
              </w:rPr>
              <w:t>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color w:val="auto"/>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color w:val="auto"/>
                <w:sz w:val="24"/>
                <w:highlight w:val="none"/>
              </w:rPr>
              <w:t xml:space="preserve"> (6)采购活动结束后，对于未中标人提供的样</w:t>
            </w:r>
            <w:r>
              <w:rPr>
                <w:rFonts w:hint="eastAsia" w:ascii="宋体" w:hAnsi="宋体" w:cs="宋体"/>
                <w:sz w:val="24"/>
              </w:rPr>
              <w:t>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2</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w:t>
            </w:r>
            <w:r>
              <w:rPr>
                <w:rFonts w:hint="eastAsia" w:ascii="宋体" w:hAnsi="宋体" w:cs="宋体"/>
                <w:color w:val="auto"/>
                <w:kern w:val="0"/>
                <w:sz w:val="24"/>
              </w:rPr>
              <w:t xml:space="preserve">为 </w:t>
            </w:r>
            <w:r>
              <w:rPr>
                <w:rFonts w:hint="eastAsia" w:ascii="宋体" w:hAnsi="宋体" w:cs="宋体"/>
                <w:b/>
                <w:bCs/>
                <w:color w:val="auto"/>
                <w:kern w:val="0"/>
                <w:sz w:val="24"/>
                <w:u w:val="single"/>
              </w:rPr>
              <w:t>浙江省杭州市临安区锦北街道科技大道4398号市民中心1号楼B座4楼询标室B436</w:t>
            </w:r>
            <w:r>
              <w:rPr>
                <w:rFonts w:hint="eastAsia" w:ascii="宋体" w:hAnsi="宋体" w:cs="宋体"/>
                <w:color w:val="auto"/>
                <w:kern w:val="0"/>
                <w:sz w:val="24"/>
                <w:lang w:eastAsia="zh-CN"/>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lang w:val="zh-CN"/>
              </w:rPr>
            </w:pPr>
            <w:sdt>
              <w:sdtPr>
                <w:rPr>
                  <w:rFonts w:hint="eastAsia" w:ascii="宋体" w:hAnsi="宋体" w:cs="宋体"/>
                  <w:kern w:val="0"/>
                  <w:sz w:val="24"/>
                </w:rPr>
                <w:id w:val="386232013"/>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MS Gothic" w:hAnsi="MS Gothic" w:eastAsia="宋体" w:cs="宋体"/>
                    <w:kern w:val="0"/>
                    <w:sz w:val="24"/>
                    <w:szCs w:val="24"/>
                    <w:lang w:val="zh-CN" w:eastAsia="zh-CN" w:bidi="ar-SA"/>
                  </w:rPr>
                  <w:t>☐</w:t>
                </w:r>
              </w:sdtContent>
            </w:sdt>
            <w:r>
              <w:rPr>
                <w:rFonts w:hint="eastAsia" w:ascii="宋体" w:hAnsi="宋体" w:cs="宋体"/>
                <w:kern w:val="0"/>
                <w:sz w:val="24"/>
                <w:lang w:val="zh-CN"/>
              </w:rPr>
              <w:t>依据国家确定的认证机构出具的、处于有效期之内的节能产品</w:t>
            </w:r>
            <w:r>
              <w:rPr>
                <w:rFonts w:hint="eastAsia" w:ascii="宋体" w:hAnsi="宋体" w:cs="宋体"/>
                <w:color w:val="auto"/>
                <w:kern w:val="0"/>
                <w:sz w:val="24"/>
                <w:highlight w:val="none"/>
                <w:lang w:val="zh-CN"/>
              </w:rPr>
              <w:t>认证证书，对获得证书的产品实施政府优先采购或强制采购；其中，对</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u w:val="none"/>
                <w:lang w:val="en-US" w:eastAsia="zh-CN"/>
              </w:rPr>
              <w:t>实</w:t>
            </w:r>
            <w:r>
              <w:rPr>
                <w:rFonts w:hint="eastAsia" w:ascii="宋体" w:hAnsi="宋体" w:cs="宋体"/>
                <w:color w:val="auto"/>
                <w:kern w:val="0"/>
                <w:sz w:val="24"/>
                <w:highlight w:val="none"/>
                <w:lang w:val="zh-CN"/>
              </w:rPr>
              <w:t>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MS Gothic" w:hAnsi="MS Gothic" w:eastAsia="宋体" w:cs="宋体"/>
                    <w:color w:val="auto"/>
                    <w:kern w:val="0"/>
                    <w:sz w:val="24"/>
                    <w:szCs w:val="24"/>
                    <w:highlight w:val="none"/>
                    <w:lang w:val="zh-CN" w:eastAsia="zh-CN" w:bidi="ar-SA"/>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lang w:val="en-US" w:eastAsia="zh-CN"/>
              </w:rPr>
              <w:t xml:space="preserve"> 投标产品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napToGrid w:val="0"/>
              <w:spacing w:line="360" w:lineRule="auto"/>
              <w:rPr>
                <w:rFonts w:ascii="宋体" w:hAnsi="宋体" w:cs="宋体"/>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kern w:val="28"/>
                <w:sz w:val="24"/>
                <w:szCs w:val="24"/>
              </w:rPr>
              <w:t>；备份投标文件签收人员联系电话：</w:t>
            </w:r>
            <w:r>
              <w:rPr>
                <w:rFonts w:hint="eastAsia" w:hAnsi="宋体" w:cs="宋体"/>
                <w:kern w:val="28"/>
                <w:sz w:val="24"/>
                <w:szCs w:val="24"/>
                <w:u w:val="single"/>
              </w:rPr>
              <w:t>0571-</w:t>
            </w:r>
            <w:r>
              <w:rPr>
                <w:rFonts w:hint="eastAsia" w:hAnsi="宋体" w:cs="宋体"/>
                <w:kern w:val="28"/>
                <w:sz w:val="24"/>
                <w:szCs w:val="24"/>
                <w:u w:val="single"/>
                <w:lang w:val="en-US" w:eastAsia="zh-CN"/>
              </w:rPr>
              <w:t>89540588</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0"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本项目评审报告推荐的中标候选人数量：</w:t>
            </w:r>
            <w:r>
              <w:rPr>
                <w:rFonts w:hint="eastAsia" w:cs="Arial" w:asciiTheme="minorEastAsia" w:hAnsiTheme="minorEastAsia" w:eastAsiaTheme="minorEastAsia"/>
                <w:b/>
                <w:bCs/>
                <w:kern w:val="0"/>
                <w:sz w:val="24"/>
                <w:highlight w:val="none"/>
                <w:u w:val="single"/>
              </w:rPr>
              <w:t xml:space="preserve"> 1 </w:t>
            </w:r>
            <w:r>
              <w:rPr>
                <w:rFonts w:hint="eastAsia" w:cs="Arial" w:asciiTheme="minorEastAsia" w:hAnsiTheme="minorEastAsia" w:eastAsiaTheme="minorEastAsia"/>
                <w:kern w:val="0"/>
                <w:sz w:val="24"/>
                <w:highlight w:val="none"/>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5" w:name="_Toc164416483"/>
      <w:bookmarkStart w:id="16"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w:t>
      </w:r>
      <w:r>
        <w:rPr>
          <w:rFonts w:hint="eastAsia" w:ascii="宋体" w:hAnsi="宋体" w:cs="宋体"/>
          <w:sz w:val="24"/>
          <w:highlight w:val="none"/>
        </w:rPr>
        <w:t>份额专门面向中小企业的政府采购货物项目，以及预留份额政府采购货物项目中的非预留部分标项，对小型和微型企业的投标报价给予10%-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8" w:name="_Hlk101132181"/>
      <w:r>
        <w:rPr>
          <w:rFonts w:hint="eastAsia" w:ascii="宋体" w:hAnsi="宋体" w:cs="宋体"/>
          <w:sz w:val="24"/>
          <w:highlight w:val="none"/>
        </w:rPr>
        <w:t>联合协议或者分包意向协议约定小微企业的合同份额占到合同总金额30%以上的</w:t>
      </w:r>
      <w:bookmarkEnd w:id="18"/>
      <w:r>
        <w:rPr>
          <w:rFonts w:hint="eastAsia" w:ascii="宋体" w:hAnsi="宋体" w:cs="宋体"/>
          <w:sz w:val="24"/>
          <w:highlight w:val="none"/>
        </w:rPr>
        <w:t>，对联合体或者大中型企业的报价给予4%-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w:t>
      </w:r>
      <w:r>
        <w:rPr>
          <w:rFonts w:hint="eastAsia" w:ascii="宋体" w:hAnsi="宋体" w:cs="宋体"/>
          <w:sz w:val="24"/>
        </w:rPr>
        <w:t>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3.4.1 采购人优先采购被认定为首台套产品和“制造精品”的自主创新产品。</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360" w:lineRule="auto"/>
        <w:ind w:firstLine="240" w:firstLineChars="100"/>
        <w:textAlignment w:val="auto"/>
        <w:rPr>
          <w:rFonts w:ascii="宋体" w:hAnsi="宋体" w:cs="宋体"/>
          <w:sz w:val="24"/>
        </w:rPr>
      </w:pPr>
      <w:r>
        <w:rPr>
          <w:rFonts w:hint="eastAsia" w:ascii="宋体" w:hAnsi="宋体" w:cs="宋体"/>
          <w:sz w:val="24"/>
        </w:rPr>
        <w:t>3.5平等对待内外资企业和符合条件的破产重整企业</w:t>
      </w:r>
    </w:p>
    <w:p>
      <w:pPr>
        <w:keepNext w:val="0"/>
        <w:keepLines w:val="0"/>
        <w:pageBreakBefore w:val="0"/>
        <w:kinsoku/>
        <w:wordWrap/>
        <w:overflowPunct/>
        <w:topLinePunct w:val="0"/>
        <w:bidi w:val="0"/>
        <w:spacing w:line="360" w:lineRule="auto"/>
        <w:ind w:firstLine="480" w:firstLineChars="200"/>
        <w:textAlignment w:val="auto"/>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szCs w:val="32"/>
        </w:rPr>
        <w:t>4. 询问、质疑、投诉</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lang w:val="zh-CN"/>
        </w:rPr>
      </w:pPr>
      <w:r>
        <w:rPr>
          <w:rFonts w:hint="eastAsia"/>
          <w:lang w:val="zh-CN"/>
        </w:rPr>
        <w:t>4.1在线询问、质疑、投诉</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kern w:val="0"/>
          <w:sz w:val="24"/>
          <w:lang w:val="zh-CN"/>
        </w:rPr>
      </w:pPr>
      <w:r>
        <w:rPr>
          <w:rFonts w:hint="eastAsia" w:ascii="宋体" w:hAnsi="宋体" w:cs="宋体"/>
          <w:kern w:val="0"/>
          <w:sz w:val="24"/>
          <w:lang w:val="zh-CN"/>
        </w:rPr>
        <w:t>4.2供应商询问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kern w:val="0"/>
          <w:sz w:val="24"/>
          <w:lang w:val="zh-CN"/>
        </w:rPr>
      </w:pPr>
      <w:r>
        <w:rPr>
          <w:rFonts w:hint="eastAsia" w:ascii="宋体" w:hAnsi="宋体" w:cs="宋体"/>
          <w:kern w:val="0"/>
          <w:sz w:val="24"/>
          <w:lang w:val="zh-CN"/>
        </w:rPr>
        <w:t>4.3供应商质疑</w:t>
      </w:r>
    </w:p>
    <w:p>
      <w:pPr>
        <w:pStyle w:val="37"/>
        <w:keepNext w:val="0"/>
        <w:keepLines w:val="0"/>
        <w:pageBreakBefore w:val="0"/>
        <w:kinsoku/>
        <w:wordWrap/>
        <w:overflowPunct/>
        <w:topLinePunct w:val="0"/>
        <w:bidi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7"/>
        <w:keepNext w:val="0"/>
        <w:keepLines w:val="0"/>
        <w:pageBreakBefore w:val="0"/>
        <w:kinsoku/>
        <w:wordWrap/>
        <w:overflowPunct/>
        <w:topLinePunct w:val="0"/>
        <w:bidi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6"/>
        <w:keepNext w:val="0"/>
        <w:keepLines w:val="0"/>
        <w:pageBreakBefore w:val="0"/>
        <w:kinsoku/>
        <w:wordWrap/>
        <w:overflowPunct/>
        <w:topLinePunct w:val="0"/>
        <w:bidi w:val="0"/>
        <w:spacing w:line="360" w:lineRule="auto"/>
        <w:ind w:firstLine="480" w:firstLineChars="200"/>
        <w:textAlignment w:val="auto"/>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7"/>
        <w:keepNext w:val="0"/>
        <w:keepLines w:val="0"/>
        <w:pageBreakBefore w:val="0"/>
        <w:kinsoku/>
        <w:wordWrap/>
        <w:overflowPunct/>
        <w:topLinePunct w:val="0"/>
        <w:bidi w:val="0"/>
        <w:spacing w:line="360" w:lineRule="auto"/>
        <w:ind w:left="479" w:leftChars="228"/>
        <w:textAlignment w:val="auto"/>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7"/>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7"/>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7"/>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4.3.3.2质疑项目的名称、编号；</w:t>
      </w:r>
    </w:p>
    <w:p>
      <w:pPr>
        <w:pStyle w:val="37"/>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4.3.3.3具体、明确的质疑事项和与质疑事项相关的请求；</w:t>
      </w:r>
    </w:p>
    <w:p>
      <w:pPr>
        <w:pStyle w:val="37"/>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4.3.3.4事实依据；</w:t>
      </w:r>
    </w:p>
    <w:p>
      <w:pPr>
        <w:pStyle w:val="37"/>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4.3.3.5必要的法律依据；</w:t>
      </w:r>
    </w:p>
    <w:p>
      <w:pPr>
        <w:pStyle w:val="37"/>
        <w:keepNext w:val="0"/>
        <w:keepLines w:val="0"/>
        <w:pageBreakBefore w:val="0"/>
        <w:kinsoku/>
        <w:wordWrap/>
        <w:overflowPunct/>
        <w:topLinePunct w:val="0"/>
        <w:bidi w:val="0"/>
        <w:spacing w:line="360" w:lineRule="auto"/>
        <w:ind w:firstLine="960" w:firstLineChars="400"/>
        <w:textAlignment w:val="auto"/>
        <w:rPr>
          <w:rFonts w:hAnsi="宋体" w:cs="宋体"/>
          <w:kern w:val="0"/>
          <w:sz w:val="24"/>
          <w:lang w:val="zh-CN"/>
        </w:rPr>
      </w:pPr>
      <w:r>
        <w:rPr>
          <w:rFonts w:hint="eastAsia" w:hAnsi="宋体" w:cs="宋体"/>
          <w:kern w:val="0"/>
          <w:sz w:val="24"/>
          <w:lang w:val="zh-CN"/>
        </w:rPr>
        <w:t>4.3.3.6提出质疑的日期。</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w:t>
      </w:r>
      <w:r>
        <w:rPr>
          <w:rFonts w:hint="eastAsia" w:ascii="宋体" w:hAnsi="宋体" w:cs="宋体"/>
          <w:sz w:val="24"/>
          <w:highlight w:val="none"/>
        </w:rPr>
        <w:t>杭州市上城区清泰街549号城建综合大楼11楼</w:t>
      </w:r>
      <w:r>
        <w:rPr>
          <w:rFonts w:hint="eastAsia"/>
        </w:rPr>
        <w:t>，收件人：朱女士、王女士，电话：0571-87800218、0571-87227671。</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7"/>
        <w:spacing w:line="360" w:lineRule="auto"/>
        <w:rPr>
          <w:rFonts w:hAnsi="宋体" w:cs="宋体"/>
          <w:b/>
          <w:sz w:val="24"/>
          <w:szCs w:val="24"/>
        </w:rPr>
      </w:pPr>
      <w:r>
        <w:rPr>
          <w:rFonts w:hint="eastAsia" w:hAnsi="宋体" w:cs="宋体"/>
          <w:b/>
          <w:sz w:val="24"/>
          <w:szCs w:val="24"/>
        </w:rPr>
        <w:t>5．招标文件的构成</w:t>
      </w:r>
    </w:p>
    <w:p>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7"/>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7"/>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7"/>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7"/>
        <w:spacing w:line="360" w:lineRule="auto"/>
        <w:rPr>
          <w:rFonts w:hAnsi="宋体" w:cs="宋体"/>
          <w:b/>
          <w:sz w:val="24"/>
          <w:szCs w:val="24"/>
        </w:rPr>
      </w:pPr>
      <w:r>
        <w:rPr>
          <w:rFonts w:hint="eastAsia" w:hAnsi="宋体" w:cs="宋体"/>
          <w:b/>
          <w:sz w:val="24"/>
          <w:szCs w:val="24"/>
        </w:rPr>
        <w:t>8.开标前答疑会或现场考察</w:t>
      </w:r>
    </w:p>
    <w:p>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7"/>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7"/>
        <w:spacing w:line="360" w:lineRule="auto"/>
        <w:rPr>
          <w:rFonts w:hAnsi="宋体" w:cs="宋体"/>
          <w:b/>
          <w:color w:val="auto"/>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9" w:name="_Hlk101259339"/>
      <w:r>
        <w:rPr>
          <w:rFonts w:hint="eastAsia" w:ascii="宋体" w:hAnsi="宋体" w:cs="宋体"/>
          <w:snapToGrid w:val="0"/>
          <w:color w:val="auto"/>
          <w:kern w:val="28"/>
          <w:sz w:val="24"/>
          <w:szCs w:val="20"/>
        </w:rPr>
        <w:t>联合协议</w:t>
      </w:r>
      <w:bookmarkEnd w:id="19"/>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12.1投标文件分为资格文件、商务技术文件</w:t>
      </w:r>
      <w:r>
        <w:rPr>
          <w:rFonts w:hint="eastAsia" w:ascii="宋体" w:hAnsi="宋体" w:cs="宋体"/>
          <w:kern w:val="0"/>
          <w:sz w:val="24"/>
          <w:lang w:val="zh-CN"/>
        </w:rPr>
        <w:t>、报价文件三部分。各投标人在编制投标文件时请按照招标文件第六部分规定的格式进行，混乱的编排导致投标文件被误读或评标委员会查找不到有效文件是投标人的风险。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highlight w:val="none"/>
        </w:rPr>
      </w:pPr>
      <w:r>
        <w:rPr>
          <w:rFonts w:hint="eastAsia" w:ascii="宋体" w:hAnsi="宋体" w:cs="宋体"/>
        </w:rPr>
        <w:t>13.2为确保网上操作合法、有效和安全，投标人应当在投标截止时间前完成在“政府采购云平台”的身份认证，</w:t>
      </w:r>
      <w:r>
        <w:rPr>
          <w:rFonts w:hint="eastAsia" w:ascii="宋体" w:hAnsi="宋体" w:cs="宋体"/>
          <w:highlight w:val="none"/>
        </w:rPr>
        <w:t>确保在电子投标过程中能够对相关数据电文进行加密和使用电子签名。</w:t>
      </w:r>
    </w:p>
    <w:p>
      <w:pPr>
        <w:pStyle w:val="129"/>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129"/>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pPr>
        <w:pStyle w:val="37"/>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7"/>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pPr>
        <w:pStyle w:val="37"/>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pPr>
        <w:pStyle w:val="37"/>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26"/>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29"/>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29"/>
        <w:spacing w:before="0"/>
        <w:ind w:firstLine="480"/>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pPr>
        <w:pStyle w:val="129"/>
        <w:spacing w:before="0"/>
        <w:ind w:firstLine="643"/>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pPr>
        <w:pStyle w:val="129"/>
        <w:spacing w:before="0"/>
        <w:ind w:firstLine="643"/>
        <w:rPr>
          <w:rFonts w:hint="eastAsia" w:ascii="宋体" w:hAnsi="宋体" w:cs="宋体"/>
          <w:highlight w:val="none"/>
        </w:rPr>
      </w:pPr>
    </w:p>
    <w:p>
      <w:pPr>
        <w:pStyle w:val="129"/>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4"/>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pStyle w:val="554"/>
        <w:spacing w:before="0" w:line="360" w:lineRule="auto"/>
        <w:ind w:left="0" w:firstLine="482" w:firstLineChars="200"/>
        <w:contextualSpacing/>
        <w:rPr>
          <w:rFonts w:ascii="宋体" w:hAnsi="宋体" w:cs="宋体"/>
          <w:b/>
          <w:sz w:val="24"/>
          <w:highlight w:val="none"/>
        </w:rPr>
      </w:pPr>
      <w:r>
        <w:rPr>
          <w:rFonts w:hint="eastAsia" w:ascii="宋体" w:hAnsi="宋体" w:cs="宋体"/>
          <w:b/>
          <w:sz w:val="24"/>
          <w:highlight w:val="none"/>
          <w:lang w:val="en-US" w:eastAsia="zh-CN"/>
        </w:rPr>
        <w:t>18.4开标记录开启后，请将附件8《政府采购活动现场确认声明书》填写完整发送至邮箱：3692652350@qq.com。</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9"/>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29"/>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20"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26"/>
        <w:spacing w:line="360" w:lineRule="auto"/>
        <w:ind w:left="479" w:hanging="479" w:hangingChars="199"/>
        <w:rPr>
          <w:rFonts w:cs="宋体"/>
          <w:b/>
          <w:highlight w:val="none"/>
        </w:rPr>
      </w:pPr>
      <w:r>
        <w:rPr>
          <w:rFonts w:hint="eastAsia" w:cs="宋体"/>
          <w:b/>
          <w:highlight w:val="none"/>
        </w:rPr>
        <w:t>22. 确定中标供应商</w:t>
      </w:r>
    </w:p>
    <w:p>
      <w:pPr>
        <w:pStyle w:val="129"/>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pPr>
        <w:pStyle w:val="129"/>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26"/>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6"/>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highlight w:val="none"/>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kern w:val="2"/>
          <w:sz w:val="24"/>
          <w:highlight w:val="none"/>
          <w:lang w:val="en-US" w:eastAsia="zh-CN"/>
        </w:rPr>
        <w:t>7</w:t>
      </w:r>
      <w:r>
        <w:rPr>
          <w:rFonts w:ascii="宋体" w:hAnsi="宋体" w:cs="Times New Roman"/>
          <w:kern w:val="2"/>
          <w:sz w:val="24"/>
          <w:highlight w:val="none"/>
        </w:rPr>
        <w:t>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Pr>
        <w:rPr>
          <w:highlight w:val="none"/>
        </w:rPr>
      </w:pP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29"/>
        <w:snapToGrid w:val="0"/>
        <w:spacing w:before="0"/>
        <w:ind w:firstLine="0" w:firstLineChars="0"/>
        <w:rPr>
          <w:rFonts w:ascii="宋体" w:hAnsi="宋体" w:cs="宋体"/>
          <w:highlight w:val="none"/>
        </w:rPr>
      </w:pPr>
      <w:r>
        <w:rPr>
          <w:rFonts w:ascii="宋体" w:hAnsi="宋体" w:cs="宋体"/>
          <w:b/>
          <w:bCs/>
          <w:kern w:val="2"/>
          <w:sz w:val="24"/>
          <w:szCs w:val="20"/>
          <w:highlight w:val="none"/>
        </w:rPr>
        <w:t>2</w:t>
      </w:r>
      <w:r>
        <w:rPr>
          <w:rFonts w:ascii="宋体" w:hAnsi="宋体" w:cs="宋体"/>
          <w:b/>
          <w:bCs/>
          <w:kern w:val="2"/>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pPr>
        <w:pStyle w:val="129"/>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29"/>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29"/>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29"/>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29"/>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29"/>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pPr>
        <w:pStyle w:val="26"/>
        <w:spacing w:line="360" w:lineRule="auto"/>
        <w:ind w:firstLine="0" w:firstLineChars="0"/>
        <w:rPr>
          <w:rFonts w:cs="宋体"/>
          <w:b/>
          <w:highlight w:val="none"/>
        </w:rPr>
      </w:pPr>
      <w:r>
        <w:rPr>
          <w:rFonts w:hint="eastAsia" w:cs="宋体"/>
          <w:b/>
          <w:highlight w:val="none"/>
        </w:rPr>
        <w:t>30.验收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0"/>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1" w:name="_Hlt74730295"/>
      <w:bookmarkEnd w:id="21"/>
      <w:bookmarkStart w:id="22" w:name="_Hlt68072990"/>
      <w:bookmarkEnd w:id="22"/>
      <w:bookmarkStart w:id="23" w:name="_Hlt74707468"/>
      <w:bookmarkEnd w:id="23"/>
      <w:bookmarkStart w:id="24" w:name="_Hlt68072998"/>
      <w:bookmarkEnd w:id="24"/>
      <w:bookmarkStart w:id="25" w:name="_Hlt75236011"/>
      <w:bookmarkEnd w:id="25"/>
      <w:bookmarkStart w:id="26" w:name="_Hlt74714665"/>
      <w:bookmarkEnd w:id="26"/>
      <w:bookmarkStart w:id="27" w:name="_Hlt68403820"/>
      <w:bookmarkEnd w:id="27"/>
      <w:bookmarkStart w:id="28" w:name="_Hlt75236101"/>
      <w:bookmarkEnd w:id="28"/>
      <w:bookmarkStart w:id="29" w:name="_Hlt74729768"/>
      <w:bookmarkEnd w:id="29"/>
      <w:bookmarkStart w:id="30" w:name="_Hlt68073093"/>
      <w:bookmarkEnd w:id="30"/>
      <w:bookmarkStart w:id="31" w:name="_Hlt68057669"/>
      <w:bookmarkEnd w:id="31"/>
      <w:bookmarkStart w:id="32" w:name="_Hlt75236290"/>
      <w:bookmarkEnd w:id="32"/>
    </w:p>
    <w:bookmarkEnd w:id="15"/>
    <w:bookmarkEnd w:id="16"/>
    <w:p>
      <w:pPr>
        <w:spacing w:line="360" w:lineRule="auto"/>
        <w:jc w:val="center"/>
        <w:outlineLvl w:val="0"/>
        <w:rPr>
          <w:rFonts w:hint="eastAsia" w:ascii="宋体" w:hAnsi="宋体" w:cs="宋体"/>
          <w:b/>
          <w:sz w:val="36"/>
          <w:szCs w:val="36"/>
          <w:highlight w:val="none"/>
        </w:rPr>
      </w:pPr>
      <w:bookmarkStart w:id="33" w:name="第四部分"/>
      <w:r>
        <w:rPr>
          <w:rFonts w:hint="eastAsia" w:ascii="宋体" w:hAnsi="宋体" w:cs="宋体"/>
          <w:b/>
          <w:sz w:val="36"/>
          <w:szCs w:val="36"/>
          <w:highlight w:val="none"/>
        </w:rPr>
        <w:t>第三部分   采购需求</w:t>
      </w:r>
    </w:p>
    <w:p>
      <w:pPr>
        <w:pStyle w:val="24"/>
        <w:rPr>
          <w:rFonts w:hint="eastAsia" w:eastAsia="宋体"/>
          <w:b/>
          <w:bCs/>
          <w:lang w:eastAsia="zh-CN"/>
        </w:rPr>
      </w:pPr>
      <w:r>
        <w:rPr>
          <w:rFonts w:hint="eastAsia"/>
          <w:b/>
          <w:bCs/>
        </w:rPr>
        <w:t>“▲” 系指实质性要求条款</w:t>
      </w:r>
      <w:r>
        <w:rPr>
          <w:rFonts w:hint="eastAsia"/>
          <w:b/>
          <w:bCs/>
          <w:lang w:eastAsia="zh-CN"/>
        </w:rPr>
        <w:t>，不满足或未响应招标文件的实质性要求的，投标无效。</w:t>
      </w:r>
      <w:r>
        <w:rPr>
          <w:rFonts w:hint="eastAsia"/>
          <w:b/>
          <w:bCs/>
          <w:lang w:val="zh-CN" w:eastAsia="zh-CN"/>
        </w:rPr>
        <w:t>“★”系产品采购项目中单一产品或核心产品。</w:t>
      </w:r>
    </w:p>
    <w:p>
      <w:pPr>
        <w:tabs>
          <w:tab w:val="left" w:pos="0"/>
        </w:tabs>
        <w:spacing w:line="360" w:lineRule="auto"/>
        <w:ind w:firstLine="480"/>
        <w:rPr>
          <w:rFonts w:hint="eastAsia" w:ascii="宋体" w:hAnsi="宋体" w:eastAsia="宋体" w:cs="宋体"/>
          <w:kern w:val="0"/>
          <w:sz w:val="24"/>
          <w:highlight w:val="none"/>
          <w:lang w:val="en-US" w:eastAsia="zh-CN"/>
        </w:rPr>
      </w:pPr>
      <w:r>
        <w:rPr>
          <w:rFonts w:hint="eastAsia" w:asciiTheme="minorEastAsia" w:hAnsiTheme="minorEastAsia" w:eastAsiaTheme="minorEastAsia" w:cstheme="minorEastAsia"/>
          <w:b/>
          <w:bCs/>
          <w:sz w:val="24"/>
          <w:highlight w:val="none"/>
        </w:rPr>
        <w:t>一、</w:t>
      </w:r>
      <w:bookmarkStart w:id="34" w:name="_Hlk91519282"/>
      <w:r>
        <w:rPr>
          <w:rFonts w:hint="eastAsia" w:asciiTheme="minorEastAsia" w:hAnsiTheme="minorEastAsia" w:eastAsiaTheme="minorEastAsia" w:cstheme="minorEastAsia"/>
          <w:b/>
          <w:bCs/>
          <w:sz w:val="24"/>
          <w:highlight w:val="none"/>
          <w:lang w:eastAsia="zh-CN"/>
        </w:rPr>
        <w:t>采购清单</w:t>
      </w:r>
      <w:bookmarkEnd w:id="34"/>
    </w:p>
    <w:tbl>
      <w:tblPr>
        <w:tblStyle w:val="63"/>
        <w:tblpPr w:leftFromText="180" w:rightFromText="180" w:vertAnchor="text" w:horzAnchor="page" w:tblpX="1730" w:tblpY="327"/>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2263"/>
        <w:gridCol w:w="2492"/>
        <w:gridCol w:w="1225"/>
        <w:gridCol w:w="107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1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b/>
                <w:bCs/>
                <w:lang w:val="zh-CN" w:eastAsia="zh-CN"/>
              </w:rPr>
              <w:t>★</w:t>
            </w:r>
            <w:r>
              <w:rPr>
                <w:rFonts w:hint="eastAsia" w:asciiTheme="minorEastAsia" w:hAnsiTheme="minorEastAsia" w:eastAsiaTheme="minorEastAsia" w:cstheme="minorEastAsia"/>
                <w:i w:val="0"/>
                <w:iCs w:val="0"/>
                <w:color w:val="000000"/>
                <w:kern w:val="0"/>
                <w:sz w:val="24"/>
                <w:szCs w:val="24"/>
                <w:u w:val="none"/>
                <w:lang w:val="en-US" w:eastAsia="zh-CN" w:bidi="ar"/>
              </w:rPr>
              <w:t>HIS数据库服务器</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EMR数据库服务器</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光纤交换机</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全闪存储</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内网超融合一体机</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业务网络交换机</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超融合存储交换机</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超融合管理交换设机</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EMR文档库服务器</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HI-HIS数据库容灾服务器</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数据库容灾软件</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bidi="ar"/>
              </w:rPr>
              <w:t>数据脱敏</w:t>
            </w:r>
            <w:r>
              <w:rPr>
                <w:rFonts w:hint="eastAsia" w:asciiTheme="minorEastAsia" w:hAnsiTheme="minorEastAsia" w:eastAsiaTheme="minorEastAsia" w:cstheme="minorEastAsia"/>
                <w:sz w:val="24"/>
                <w:szCs w:val="24"/>
                <w:lang w:val="en-US" w:eastAsia="zh-CN" w:bidi="ar"/>
              </w:rPr>
              <w:t>设备</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bidi="ar"/>
              </w:rPr>
              <w:t>下一代防火墙</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辅材</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批</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系统集成</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项</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bl>
    <w:p>
      <w:pPr>
        <w:tabs>
          <w:tab w:val="left" w:pos="0"/>
        </w:tabs>
        <w:spacing w:line="360" w:lineRule="auto"/>
        <w:ind w:firstLine="480"/>
        <w:rPr>
          <w:rFonts w:hint="eastAsia" w:ascii="宋体" w:hAnsi="宋体" w:eastAsia="宋体" w:cs="宋体"/>
          <w:kern w:val="0"/>
          <w:sz w:val="24"/>
          <w:highlight w:val="none"/>
          <w:lang w:val="en-US" w:eastAsia="zh-CN"/>
        </w:rPr>
      </w:pPr>
    </w:p>
    <w:p>
      <w:pPr>
        <w:pStyle w:val="4"/>
        <w:bidi w:val="0"/>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bCs/>
          <w:sz w:val="24"/>
          <w:highlight w:val="none"/>
          <w:lang w:val="en-US" w:eastAsia="zh-CN"/>
        </w:rPr>
        <w:t>二、技术参数</w:t>
      </w: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1.HIS数据库服务器：</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≤3U标准服务器，国产品牌，自主研发，非OEM，适用于通用机房环境，支持标准机柜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支持系列处理器，配置4颗Cooper Lake处理器（核数≥24C.主频≥2.0GHz）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总体要求：最大支持48个内存插槽；支持高级内存纠错（ECC）、内存镜像（Ememory mirroring）、内存热备（rank sparing）等高级功能；最大支持18T内存容量，最大支持3200MT/s工作频率，本次配置≥512G DDR4 3200 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0"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总体要求：支持最大25个标准硬盘槽位，支持SAS/SATA/NVMe接口，支持24NVMe全闪配置，内置最大支持M.2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000"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本次配置</w:t>
            </w:r>
            <w:r>
              <w:rPr>
                <w:rFonts w:ascii="Times New Roman" w:hAnsi="Times New Roman" w:eastAsia="宋体" w:cs="Times New Roman"/>
                <w:color w:val="000000"/>
                <w:kern w:val="0"/>
                <w:szCs w:val="21"/>
              </w:rPr>
              <w:t>≥</w:t>
            </w:r>
            <w:r>
              <w:rPr>
                <w:rFonts w:ascii="Times New Roman" w:hAnsi="Times New Roman" w:eastAsia="宋体" w:cs="Times New Roman"/>
                <w:kern w:val="0"/>
                <w:szCs w:val="21"/>
              </w:rPr>
              <w:t>3块480G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支持≥4个USB3.0接口, ≥1个VGA接口, 1个专业管理网口，1个BMC诊断串口，1个系统串口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配置raid卡，支持 RAID 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支持OCP网络模块，支持1Gb/10Gb/25Gb/100Gb/s速率，支持1/2/4个以太网或光纤网络接口</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配置≥4个千兆接口，配置≥4个万兆光口（含光模块），配置≥2块双口16G HBA卡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支持≥12个PCIE标准插槽，其中6个支持板载竖插无需Raiser，支持1个OCP 3.0卡扩展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支持2个双宽GPU、4个单宽GPU，提供电源接口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配置≥2个电源（铂金），支持1+1冗余，支持可选钛金级别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冗余热插拔风扇（双转子）。由风扇控制器、风扇，独立风扇控制；采用双转子大尺寸风扇，支持免工具热插拔维护。风扇转速自动调节，对节点透明；风流向前进后出；具备防回流设计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集成系统管理芯片，支持IPMI2.0、KVM over IP、虚拟媒体等管理功能</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提供原厂服务器管理套件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remote debug可带外进行debug，不用使用ITP工具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shd w:val="clear" w:color="auto" w:fill="auto"/>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板载BMC管理模块，支持带外和带内远程管理控制，如IPMI2.0、KVM Over IP、SOL、SNMP等，可实现与操作系统无关的远程对服务器的完全控制。管理软件支持同时部署多台主机或按照计划时间进行特定部署，可监控服务器CPU、内存等资源使用率，批量日志收集等。支持TPM/TCM安全模块，支持带内和带外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shd w:val="clear" w:color="auto" w:fill="auto"/>
            <w:vAlign w:val="center"/>
          </w:tcPr>
          <w:p>
            <w:pPr>
              <w:rPr>
                <w:rFonts w:ascii="Times New Roman" w:hAnsi="Times New Roman" w:eastAsia="宋体" w:cs="Times New Roman"/>
                <w:kern w:val="0"/>
                <w:szCs w:val="21"/>
              </w:rPr>
            </w:pPr>
            <w:r>
              <w:rPr>
                <w:rFonts w:hint="eastAsia" w:ascii="Times New Roman" w:hAnsi="Times New Roman" w:eastAsia="宋体" w:cs="Times New Roman"/>
                <w:kern w:val="0"/>
                <w:szCs w:val="21"/>
                <w:highlight w:val="none"/>
              </w:rPr>
              <w:t>MTBF 不低于20万小时，</w:t>
            </w:r>
            <w:r>
              <w:rPr>
                <w:rFonts w:hint="eastAsia" w:ascii="Times New Roman" w:hAnsi="Times New Roman" w:eastAsia="宋体" w:cs="Times New Roman"/>
                <w:b/>
                <w:bCs/>
                <w:highlight w:val="none"/>
                <w:lang w:val="en-US" w:eastAsia="zh-CN"/>
              </w:rPr>
              <w:t>需要提供具备CMA</w:t>
            </w:r>
            <w:r>
              <w:rPr>
                <w:rFonts w:hint="eastAsia" w:ascii="Times New Roman" w:hAnsi="Times New Roman" w:cs="Times New Roman"/>
                <w:b/>
                <w:bCs/>
                <w:highlight w:val="none"/>
                <w:lang w:val="en-US" w:eastAsia="zh-CN"/>
              </w:rPr>
              <w:t>或</w:t>
            </w:r>
            <w:r>
              <w:rPr>
                <w:rFonts w:hint="eastAsia" w:ascii="Times New Roman" w:hAnsi="Times New Roman" w:eastAsia="宋体" w:cs="Times New Roman"/>
                <w:b/>
                <w:bCs/>
                <w:highlight w:val="none"/>
                <w:lang w:val="en-US" w:eastAsia="zh-CN"/>
              </w:rPr>
              <w:t>CNAS认证的第三方出具的</w:t>
            </w:r>
            <w:r>
              <w:rPr>
                <w:rFonts w:hint="eastAsia" w:ascii="Times New Roman" w:hAnsi="Times New Roman" w:cs="Times New Roman"/>
                <w:b/>
                <w:bCs/>
                <w:highlight w:val="none"/>
                <w:lang w:val="en-US" w:eastAsia="zh-CN"/>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支持TPM、TCM安全可信模块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000"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三年免费整机硬件保修，</w:t>
            </w:r>
            <w:r>
              <w:rPr>
                <w:rFonts w:ascii="Times New Roman" w:hAnsi="Times New Roman" w:eastAsia="宋体" w:cs="Times New Roman"/>
                <w:kern w:val="0"/>
                <w:szCs w:val="21"/>
                <w:highlight w:val="none"/>
              </w:rPr>
              <w:t>供货时提供原厂质保函</w:t>
            </w:r>
          </w:p>
        </w:tc>
      </w:tr>
    </w:tbl>
    <w:p>
      <w:pPr>
        <w:rPr>
          <w:rFonts w:ascii="Times New Roman" w:hAnsi="Times New Roman" w:eastAsia="宋体" w:cs="Times New Roman"/>
          <w:szCs w:val="21"/>
        </w:rPr>
      </w:pP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2.EMR数据库服务器：</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8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6"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指标项目</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总体要求</w:t>
            </w:r>
          </w:p>
        </w:tc>
        <w:tc>
          <w:tcPr>
            <w:tcW w:w="4323" w:type="pct"/>
            <w:shd w:val="clear" w:color="auto" w:fill="auto"/>
            <w:vAlign w:val="center"/>
          </w:tcPr>
          <w:p>
            <w:pPr>
              <w:widowControl/>
              <w:rPr>
                <w:rFonts w:hint="eastAsia" w:ascii="Times New Roman" w:hAnsi="Times New Roman" w:eastAsia="宋体" w:cs="Times New Roman"/>
                <w:color w:val="000000"/>
                <w:kern w:val="0"/>
                <w:szCs w:val="21"/>
                <w:lang w:val="en-US" w:eastAsia="zh-CN"/>
              </w:rPr>
            </w:pPr>
            <w:r>
              <w:rPr>
                <w:rFonts w:ascii="Times New Roman" w:hAnsi="Times New Roman" w:eastAsia="宋体" w:cs="Times New Roman"/>
                <w:color w:val="000000"/>
                <w:kern w:val="0"/>
                <w:szCs w:val="21"/>
              </w:rPr>
              <w:t>≤3U标准服务器，国产品牌，自主研发，非OEM，适用于通用机房环境，支持标准机柜</w:t>
            </w:r>
            <w:r>
              <w:rPr>
                <w:rFonts w:hint="eastAsia" w:ascii="Times New Roman" w:hAnsi="Times New Roman" w:cs="Times New Roman"/>
                <w:color w:val="000000"/>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76" w:type="pct"/>
            <w:shd w:val="clear" w:color="auto" w:fill="auto"/>
            <w:vAlign w:val="center"/>
          </w:tcPr>
          <w:p>
            <w:pPr>
              <w:widowControl/>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none"/>
              </w:rPr>
              <w:t>处理器要求</w:t>
            </w:r>
          </w:p>
        </w:tc>
        <w:tc>
          <w:tcPr>
            <w:tcW w:w="4323" w:type="pct"/>
            <w:shd w:val="clear" w:color="auto" w:fill="auto"/>
            <w:vAlign w:val="center"/>
          </w:tcPr>
          <w:p>
            <w:pPr>
              <w:widowControl/>
              <w:rPr>
                <w:rFonts w:ascii="Times New Roman" w:hAnsi="Times New Roman" w:eastAsia="宋体" w:cs="Times New Roman"/>
                <w:color w:val="000000"/>
                <w:kern w:val="0"/>
                <w:szCs w:val="21"/>
                <w:highlight w:val="yellow"/>
              </w:rPr>
            </w:pPr>
            <w:r>
              <w:rPr>
                <w:rFonts w:hint="eastAsia" w:ascii="Segoe UI Symbol" w:hAnsi="Segoe UI Symbol" w:eastAsia="宋体" w:cs="Segoe UI Symbol"/>
                <w:b/>
                <w:bCs/>
                <w:color w:val="000000"/>
                <w:kern w:val="0"/>
                <w:szCs w:val="21"/>
                <w:highlight w:val="none"/>
              </w:rPr>
              <w:t>☆</w:t>
            </w:r>
            <w:r>
              <w:rPr>
                <w:rFonts w:ascii="Times New Roman" w:hAnsi="Times New Roman" w:eastAsia="宋体" w:cs="Times New Roman"/>
                <w:b/>
                <w:bCs/>
                <w:color w:val="000000"/>
                <w:kern w:val="0"/>
                <w:szCs w:val="21"/>
                <w:highlight w:val="none"/>
              </w:rPr>
              <w:t>支持系列处理器，配置4颗Cooper Lake处理器（核数≥24C.主频≥2.0GHz）</w:t>
            </w:r>
            <w:r>
              <w:rPr>
                <w:rFonts w:ascii="Times New Roman" w:hAnsi="Times New Roman" w:eastAsia="宋体" w:cs="Times New Roman"/>
                <w:color w:val="000000"/>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6"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内存要求</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b w:val="0"/>
                <w:bCs w:val="0"/>
                <w:color w:val="000000"/>
                <w:kern w:val="0"/>
                <w:szCs w:val="21"/>
                <w:highlight w:val="none"/>
              </w:rPr>
              <w:t>总体要求：最大支持48个内存插槽；支持高级内存纠错（ECC）、内存镜像（Ememory mirroring）、内存热备（rank sparing）等高级功能；最大支持18T内存容量，最大支持3200MT/s工作频率，本次配置≥512G DDR4 3200 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6" w:type="pct"/>
            <w:vMerge w:val="restar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本地存储</w:t>
            </w:r>
          </w:p>
        </w:tc>
        <w:tc>
          <w:tcPr>
            <w:tcW w:w="4323"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总体要求：支持最大25个标准硬盘槽位，支持SAS/SATA/NVMe接口，支持24NVMe全闪配置，内置最大支持M.2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76" w:type="pct"/>
            <w:vMerge w:val="continue"/>
            <w:shd w:val="clear" w:color="auto" w:fill="auto"/>
            <w:vAlign w:val="center"/>
          </w:tcPr>
          <w:p>
            <w:pPr>
              <w:widowControl/>
              <w:jc w:val="left"/>
              <w:rPr>
                <w:rFonts w:ascii="Times New Roman" w:hAnsi="Times New Roman" w:eastAsia="宋体" w:cs="Times New Roman"/>
                <w:color w:val="000000"/>
                <w:kern w:val="0"/>
                <w:szCs w:val="21"/>
              </w:rPr>
            </w:pPr>
          </w:p>
        </w:tc>
        <w:tc>
          <w:tcPr>
            <w:tcW w:w="4323"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本次配置</w:t>
            </w:r>
            <w:r>
              <w:rPr>
                <w:rFonts w:ascii="Times New Roman" w:hAnsi="Times New Roman" w:eastAsia="宋体" w:cs="Times New Roman"/>
                <w:color w:val="000000"/>
                <w:kern w:val="0"/>
                <w:szCs w:val="21"/>
              </w:rPr>
              <w:t>≥</w:t>
            </w:r>
            <w:r>
              <w:rPr>
                <w:rFonts w:ascii="Times New Roman" w:hAnsi="Times New Roman" w:eastAsia="宋体" w:cs="Times New Roman"/>
                <w:kern w:val="0"/>
                <w:szCs w:val="21"/>
              </w:rPr>
              <w:t>3块480G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76"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标准接口</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支持≥4个USB3.0接口, ≥1个VGA接口, 1个专业管理网口，1个BMC诊断串口，1个系统串口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shd w:val="clear" w:color="auto" w:fill="auto"/>
            <w:vAlign w:val="center"/>
          </w:tcPr>
          <w:p>
            <w:pPr>
              <w:widowControl/>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RAID卡</w:t>
            </w:r>
          </w:p>
        </w:tc>
        <w:tc>
          <w:tcPr>
            <w:tcW w:w="4323" w:type="pct"/>
            <w:shd w:val="clear" w:color="auto" w:fill="auto"/>
            <w:vAlign w:val="center"/>
          </w:tcPr>
          <w:p>
            <w:pPr>
              <w:widowControl/>
              <w:rPr>
                <w:rFonts w:ascii="Times New Roman" w:hAnsi="Times New Roman" w:eastAsia="宋体" w:cs="Times New Roman"/>
                <w:color w:val="000000"/>
                <w:kern w:val="0"/>
                <w:szCs w:val="21"/>
                <w:highlight w:val="yellow"/>
              </w:rPr>
            </w:pPr>
            <w:r>
              <w:rPr>
                <w:rFonts w:ascii="Times New Roman" w:hAnsi="Times New Roman" w:eastAsia="宋体" w:cs="Times New Roman"/>
                <w:b w:val="0"/>
                <w:bCs w:val="0"/>
                <w:color w:val="000000"/>
                <w:kern w:val="0"/>
                <w:szCs w:val="21"/>
                <w:highlight w:val="none"/>
              </w:rPr>
              <w:t>配置raid卡，支持 RAID 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6"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网络接口</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支持OCP网络模块，支持1Gb/10Gb/25Gb/100Gb/s速率，支持1/2/4个以太网或光纤网络接口</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配置≥4个千兆接口，配置≥4个万兆光口（含光模块），配置≥2块双口16G HBA卡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Merge w:val="restar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I/O扩展槽</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支持≥12个PCIE标准插槽，其中6个支持板载竖插无需Raiser，支持1个OCP 3.0卡扩展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6" w:type="pct"/>
            <w:vMerge w:val="continue"/>
            <w:vAlign w:val="center"/>
          </w:tcPr>
          <w:p>
            <w:pPr>
              <w:widowControl/>
              <w:jc w:val="left"/>
              <w:rPr>
                <w:rFonts w:ascii="Times New Roman" w:hAnsi="Times New Roman" w:eastAsia="宋体" w:cs="Times New Roman"/>
                <w:color w:val="000000"/>
                <w:kern w:val="0"/>
                <w:szCs w:val="21"/>
              </w:rPr>
            </w:pP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支持2个双宽GPU、4个单宽GPU，提供电源接口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6"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电源</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配置≥2个电源（铂金），支持1+1冗余，支持可选钛金级别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6"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散热</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冗余热插拔风扇（双转子）。由风扇控制器、风扇，独立风扇控制；采用双转子大尺寸风扇，支持免工具热插拔维护。风扇转速自动调节，对节点透明；风流向前进后出；具备防回流设计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6" w:type="pct"/>
            <w:vMerge w:val="restar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管理功能</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集成系统管理芯片，支持IPMI2.0、KVM over IP、虚拟媒体等管理功能</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提供原厂服务器管理套件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6" w:type="pct"/>
            <w:vMerge w:val="continue"/>
            <w:vAlign w:val="center"/>
          </w:tcPr>
          <w:p>
            <w:pPr>
              <w:widowControl/>
              <w:jc w:val="left"/>
              <w:rPr>
                <w:rFonts w:ascii="Times New Roman" w:hAnsi="Times New Roman" w:eastAsia="宋体" w:cs="Times New Roman"/>
                <w:color w:val="000000"/>
                <w:kern w:val="0"/>
                <w:szCs w:val="21"/>
              </w:rPr>
            </w:pP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remote debug可带外进行debug，不用使用ITP工具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pct"/>
            <w:vMerge w:val="continue"/>
            <w:vAlign w:val="center"/>
          </w:tcPr>
          <w:p>
            <w:pPr>
              <w:widowControl/>
              <w:jc w:val="left"/>
              <w:rPr>
                <w:rFonts w:ascii="Times New Roman" w:hAnsi="Times New Roman" w:eastAsia="宋体" w:cs="Times New Roman"/>
                <w:color w:val="000000"/>
                <w:kern w:val="0"/>
                <w:szCs w:val="21"/>
              </w:rPr>
            </w:pPr>
          </w:p>
        </w:tc>
        <w:tc>
          <w:tcPr>
            <w:tcW w:w="4323" w:type="pct"/>
            <w:shd w:val="clear" w:color="auto" w:fill="auto"/>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板载BMC管理模块，支持带外和带内远程管理控制，如IPMI2.0、KVM Over IP、SOL、SNMP等，可实现与操作系统无关的远程对服务器的完全控制。管理软件支持同时部署多台主机或按照计划时间进行特定部署，可监控服务器CPU、内存等资源使用率，批量日志收集等。支持TPM/TCM安全模块，支持带内和带外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6"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安全可信</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支持TPM、TCM安全可信模块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76"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服务</w:t>
            </w:r>
          </w:p>
        </w:tc>
        <w:tc>
          <w:tcPr>
            <w:tcW w:w="4323"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三年免费整机硬件</w:t>
            </w:r>
            <w:r>
              <w:rPr>
                <w:rFonts w:ascii="Times New Roman" w:hAnsi="Times New Roman" w:eastAsia="宋体" w:cs="Times New Roman"/>
                <w:color w:val="000000"/>
                <w:kern w:val="0"/>
                <w:szCs w:val="21"/>
                <w:highlight w:val="none"/>
              </w:rPr>
              <w:t>保修，</w:t>
            </w:r>
            <w:r>
              <w:rPr>
                <w:rFonts w:ascii="Times New Roman" w:hAnsi="Times New Roman" w:eastAsia="宋体" w:cs="Times New Roman"/>
                <w:kern w:val="0"/>
                <w:szCs w:val="21"/>
                <w:highlight w:val="none"/>
              </w:rPr>
              <w:t>供货时提供原厂质保函</w:t>
            </w:r>
          </w:p>
        </w:tc>
      </w:tr>
    </w:tbl>
    <w:p>
      <w:pPr>
        <w:rPr>
          <w:rFonts w:ascii="Times New Roman" w:hAnsi="Times New Roman" w:eastAsia="宋体" w:cs="Times New Roman"/>
          <w:szCs w:val="21"/>
        </w:rPr>
      </w:pPr>
    </w:p>
    <w:p>
      <w:pPr>
        <w:pStyle w:val="4"/>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3.光纤</w:t>
      </w:r>
      <w:r>
        <w:rPr>
          <w:rFonts w:hint="eastAsia" w:asciiTheme="minorEastAsia" w:hAnsiTheme="minorEastAsia" w:eastAsiaTheme="minorEastAsia" w:cstheme="minorEastAsia"/>
          <w:sz w:val="24"/>
          <w:szCs w:val="24"/>
        </w:rPr>
        <w:t>交换机</w:t>
      </w:r>
      <w:r>
        <w:rPr>
          <w:rFonts w:hint="eastAsia" w:asciiTheme="minorEastAsia" w:hAnsiTheme="minorEastAsia" w:eastAsiaTheme="minorEastAsia" w:cstheme="minorEastAsia"/>
          <w:sz w:val="24"/>
          <w:szCs w:val="24"/>
          <w:lang w:eastAsia="zh-CN"/>
        </w:rPr>
        <w:t>：</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2" w:type="pct"/>
            <w:shd w:val="clear" w:color="auto" w:fill="auto"/>
            <w:noWrap/>
            <w:vAlign w:val="center"/>
          </w:tcPr>
          <w:p>
            <w:pPr>
              <w:widowControl/>
              <w:jc w:val="center"/>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要求</w:t>
            </w:r>
          </w:p>
        </w:tc>
        <w:tc>
          <w:tcPr>
            <w:tcW w:w="4347" w:type="pct"/>
            <w:shd w:val="clear" w:color="auto" w:fill="auto"/>
            <w:noWrap/>
            <w:vAlign w:val="center"/>
          </w:tcPr>
          <w:p>
            <w:pPr>
              <w:widowControl/>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2" w:type="pct"/>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架构</w:t>
            </w:r>
          </w:p>
        </w:tc>
        <w:tc>
          <w:tcPr>
            <w:tcW w:w="4347"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SAN存储网络用光纤交换机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2" w:type="pct"/>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接入能力</w:t>
            </w:r>
          </w:p>
        </w:tc>
        <w:tc>
          <w:tcPr>
            <w:tcW w:w="4347"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支持EMC、NETAPP、华为、HPE、华三、浪潮、宏杉等主流存储厂商所有型号的磁带库和磁盘阵列接入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2" w:type="pct"/>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端口数量</w:t>
            </w:r>
          </w:p>
        </w:tc>
        <w:tc>
          <w:tcPr>
            <w:tcW w:w="4347"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单台交换机支持≥24个32Gb固定端口，端口速率支持 32/16/8自适应模式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2" w:type="pct"/>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端口激活</w:t>
            </w:r>
          </w:p>
        </w:tc>
        <w:tc>
          <w:tcPr>
            <w:tcW w:w="4347"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配置16个端口激活（配置16个16G SPF光模块）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52" w:type="pct"/>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管理</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Telnet，HTTP，SNMP v1/v3( FE M I B，FC Management MIB )；审核，系统日志，变更管理追踪；符合SMI-S标准，SMI-S脚本工具集，管理域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2" w:type="pct"/>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售后服务</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三年原厂质保</w:t>
            </w:r>
          </w:p>
        </w:tc>
      </w:tr>
    </w:tbl>
    <w:p>
      <w:pPr>
        <w:rPr>
          <w:rFonts w:ascii="Times New Roman" w:hAnsi="Times New Roman" w:eastAsia="宋体" w:cs="Times New Roman"/>
          <w:szCs w:val="21"/>
        </w:rPr>
      </w:pPr>
    </w:p>
    <w:p>
      <w:pPr>
        <w:pStyle w:val="4"/>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全闪存储</w:t>
      </w:r>
      <w:r>
        <w:rPr>
          <w:rFonts w:hint="eastAsia" w:asciiTheme="minorEastAsia" w:hAnsiTheme="minorEastAsia" w:eastAsiaTheme="minorEastAsia" w:cstheme="minorEastAsia"/>
          <w:sz w:val="24"/>
          <w:szCs w:val="24"/>
          <w:lang w:eastAsia="zh-CN"/>
        </w:rPr>
        <w:t>：</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5" w:type="pct"/>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名称</w:t>
            </w:r>
          </w:p>
        </w:tc>
        <w:tc>
          <w:tcPr>
            <w:tcW w:w="4344" w:type="pct"/>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55" w:type="pct"/>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品牌要求</w:t>
            </w:r>
          </w:p>
        </w:tc>
        <w:tc>
          <w:tcPr>
            <w:tcW w:w="4344" w:type="pct"/>
            <w:shd w:val="clear" w:color="auto" w:fill="auto"/>
            <w:vAlign w:val="center"/>
          </w:tcPr>
          <w:p>
            <w:pPr>
              <w:widowControl/>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国产知名存储，非OEM或者贴牌产品</w:t>
            </w:r>
            <w:r>
              <w:rPr>
                <w:rFonts w:ascii="Times New Roman" w:hAnsi="Times New Roman" w:eastAsia="宋体" w:cs="Times New Roman"/>
                <w:color w:val="000000"/>
                <w:kern w:val="0"/>
                <w:szCs w:val="21"/>
                <w:highlight w:val="none"/>
              </w:rPr>
              <w:t>。</w:t>
            </w:r>
            <w:r>
              <w:rPr>
                <w:rFonts w:hint="eastAsia" w:ascii="Times New Roman" w:hAnsi="Times New Roman" w:eastAsia="宋体" w:cs="Times New Roman"/>
                <w:color w:val="000000"/>
                <w:kern w:val="0"/>
                <w:szCs w:val="21"/>
                <w:highlight w:val="none"/>
                <w:lang w:val="en-US" w:eastAsia="zh-CN"/>
              </w:rPr>
              <w:t>与HIS数据库服务器</w:t>
            </w:r>
            <w:r>
              <w:rPr>
                <w:rFonts w:hint="eastAsia" w:ascii="Times New Roman" w:hAnsi="Times New Roman" w:cs="Times New Roman"/>
                <w:color w:val="000000"/>
                <w:kern w:val="0"/>
                <w:szCs w:val="21"/>
                <w:highlight w:val="none"/>
                <w:lang w:val="en-US" w:eastAsia="zh-CN"/>
              </w:rPr>
              <w:t>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55" w:type="pct"/>
            <w:vMerge w:val="restart"/>
            <w:shd w:val="clear" w:color="auto" w:fill="auto"/>
            <w:noWrap/>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体系架构</w:t>
            </w: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hint="eastAsia" w:ascii="Segoe UI Symbol" w:hAnsi="Segoe UI Symbol" w:eastAsia="宋体" w:cs="Segoe UI Symbol"/>
                <w:b/>
                <w:bCs/>
                <w:color w:val="000000"/>
                <w:kern w:val="0"/>
                <w:szCs w:val="21"/>
                <w:highlight w:val="none"/>
              </w:rPr>
              <w:t>☆</w:t>
            </w:r>
            <w:r>
              <w:rPr>
                <w:rFonts w:ascii="Times New Roman" w:hAnsi="Times New Roman" w:eastAsia="宋体" w:cs="Times New Roman"/>
                <w:b/>
                <w:bCs/>
                <w:color w:val="000000"/>
                <w:kern w:val="0"/>
                <w:szCs w:val="21"/>
                <w:highlight w:val="none"/>
              </w:rPr>
              <w:t>多控制器架构，SAN+NAS架构采用SAN和NAS统一集成的控制器架构，统一管理；（具备FC/IP SAN和NAS融合组网能力）；控制器扩展能力≥16，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本次配置控制器数量≥2；控制器冗余设计，支持在线更换控制器；在线升级存储系统，无须停机，具备控制器故障自动切换和自动重建功能，无单点故障影响数据的有效性；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每个控制器中的存储主处理器采用X86架构，核数≥16核，不包括额外的专门处理IO的硬件</w:t>
            </w:r>
            <w:r>
              <w:rPr>
                <w:rFonts w:ascii="Times New Roman" w:hAnsi="Times New Roman" w:eastAsia="宋体" w:cs="Times New Roman"/>
                <w:color w:val="000000"/>
                <w:kern w:val="0"/>
                <w:szCs w:val="21"/>
                <w:highlight w:val="none"/>
              </w:rPr>
              <w:t>芯片</w:t>
            </w:r>
            <w:r>
              <w:rPr>
                <w:rFonts w:hint="eastAsia" w:cs="Times New Roman"/>
                <w:b/>
                <w:bCs/>
                <w:color w:val="000000"/>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采用内置SSD盘作为存储系统盘，非机械硬盘做Raid模式；同时系统盘可以做cache数据掉电保护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采用独立压缩芯片压缩芯片进行数据压缩，非软件压缩</w:t>
            </w:r>
            <w:r>
              <w:rPr>
                <w:rFonts w:hint="eastAsia" w:cs="Times New Roman"/>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支持基于控制器的SAN+NAS软件授权，无需额外网关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55" w:type="pct"/>
            <w:vMerge w:val="restart"/>
            <w:shd w:val="clear" w:color="auto" w:fill="auto"/>
            <w:noWrap/>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控制器</w:t>
            </w: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每单控制器可扩展最大3个主机扩展卡；配置16Gbps FC主机端口≥8个；配置10G接口≥8个；支持32G FC、16Gb FC、1/10/40Gb Ethernet等，双控最大支持共32个主机端口，集群支持256个主机端口。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hint="eastAsia" w:ascii="Segoe UI Symbol" w:hAnsi="Segoe UI Symbol" w:eastAsia="宋体" w:cs="Segoe UI Symbol"/>
                <w:b/>
                <w:bCs/>
                <w:color w:val="000000"/>
                <w:kern w:val="0"/>
                <w:szCs w:val="21"/>
                <w:highlight w:val="none"/>
              </w:rPr>
              <w:t>☆</w:t>
            </w:r>
            <w:r>
              <w:rPr>
                <w:rFonts w:ascii="Times New Roman" w:hAnsi="Times New Roman" w:eastAsia="宋体" w:cs="Times New Roman"/>
                <w:b/>
                <w:bCs/>
                <w:color w:val="000000"/>
                <w:kern w:val="0"/>
                <w:szCs w:val="21"/>
                <w:highlight w:val="none"/>
              </w:rPr>
              <w:t>双控配置高速缓存≥512GB，并且双控可扩展到1TB缓存，集群最大可支持8TB高速缓存（缓存不包含SSD磁盘、PCI-E SSD、闪存、压缩或重删缓存和NAS控制器缓存）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655" w:type="pct"/>
            <w:shd w:val="clear" w:color="auto" w:fill="auto"/>
            <w:noWrap/>
            <w:vAlign w:val="center"/>
          </w:tcPr>
          <w:p>
            <w:pPr>
              <w:widowControl/>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none"/>
              </w:rPr>
              <w:t>硬盘</w:t>
            </w:r>
          </w:p>
        </w:tc>
        <w:tc>
          <w:tcPr>
            <w:tcW w:w="4344" w:type="pct"/>
            <w:shd w:val="clear" w:color="auto" w:fill="auto"/>
            <w:vAlign w:val="center"/>
          </w:tcPr>
          <w:p>
            <w:pPr>
              <w:widowControl/>
              <w:rPr>
                <w:rFonts w:ascii="Times New Roman" w:hAnsi="Times New Roman" w:eastAsia="宋体" w:cs="Times New Roman"/>
                <w:color w:val="000000"/>
                <w:kern w:val="0"/>
                <w:szCs w:val="21"/>
                <w:highlight w:val="yellow"/>
              </w:rPr>
            </w:pPr>
            <w:r>
              <w:rPr>
                <w:rFonts w:ascii="Times New Roman" w:hAnsi="Times New Roman" w:eastAsia="宋体" w:cs="Times New Roman"/>
                <w:b w:val="0"/>
                <w:bCs w:val="0"/>
                <w:color w:val="000000"/>
                <w:kern w:val="0"/>
                <w:szCs w:val="21"/>
                <w:highlight w:val="none"/>
              </w:rPr>
              <w:t>磁盘配置：配置16块1.92T NVMe SSD盘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5" w:type="pct"/>
            <w:vMerge w:val="restart"/>
            <w:shd w:val="clear" w:color="auto" w:fill="auto"/>
            <w:noWrap/>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软件功能</w:t>
            </w: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支持寿命预警，实时图形化显示在线SSD使用寿命，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配置全容量许可精简功能，实现存储空间超分配，精简粒度32K、64K、128K、256K可调节，后续扩容无需额外购买许可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配置全容量许可的克隆功能，后续扩容无需额外购买许可。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配置全容量许可快照功能，有效预防各种软故障的发生，快照无需预留空间，后续扩容无需额外购买许可。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配置全容量许可卷备份功能，有效预防各种软故障的发生，无需预留空间。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所投产品支持快速重构，重构1TB数据所需时间不大于15分钟，有效保护用户数据；</w:t>
            </w:r>
            <w:r>
              <w:rPr>
                <w:rFonts w:hint="eastAsia" w:ascii="Times New Roman" w:hAnsi="Times New Roman" w:eastAsia="宋体" w:cs="Times New Roman"/>
                <w:b/>
                <w:bCs/>
                <w:highlight w:val="none"/>
                <w:lang w:val="en-US" w:eastAsia="zh-CN"/>
              </w:rPr>
              <w:t>需要提供具备CMA</w:t>
            </w:r>
            <w:r>
              <w:rPr>
                <w:rFonts w:hint="eastAsia" w:ascii="Times New Roman" w:hAnsi="Times New Roman" w:cs="Times New Roman"/>
                <w:b/>
                <w:bCs/>
                <w:highlight w:val="none"/>
                <w:lang w:val="en-US" w:eastAsia="zh-CN"/>
              </w:rPr>
              <w:t>或</w:t>
            </w:r>
            <w:r>
              <w:rPr>
                <w:rFonts w:hint="eastAsia" w:ascii="Times New Roman" w:hAnsi="Times New Roman" w:eastAsia="宋体" w:cs="Times New Roman"/>
                <w:b/>
                <w:bCs/>
                <w:highlight w:val="none"/>
                <w:lang w:val="en-US" w:eastAsia="zh-CN"/>
              </w:rPr>
              <w:t>CNAS认证的第三方出具的</w:t>
            </w:r>
            <w:r>
              <w:rPr>
                <w:rFonts w:hint="eastAsia" w:ascii="Times New Roman" w:hAnsi="Times New Roman" w:cs="Times New Roman"/>
                <w:b/>
                <w:bCs/>
                <w:highlight w:val="none"/>
                <w:lang w:val="en-US" w:eastAsia="zh-CN"/>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数据保护：支持将快照直接备份到同集群的其他设备中或异构设备中；支持同集群的其他设备中或异构设备所备份的快照恢复到原磁盘阵列或其他磁盘阵列。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配置存储QoS授权许可，支持单卷的IOPS、Bandwidth的限制设定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配置卷镜像功能，可实现存储内部，或者不同存储之间的数据同步功能，当其中一个卷离线时，可实现业务无中断，后续扩容无需额外购买许可；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支持全面的企业级容灾功能，至少必须包含同步、异步周期和异步复制三种主流模式；支持3DC远程复制组网模式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支持Active-Active模式双活架构，主机端的LUN多路径为全Active状态；同时支持IP仲裁和FC仲裁，可支持仲裁数量≥4个；在不加额外网关的情况下可以实现和同厂商高中端型号存储组成双活阵列，要求支持VMWare、Windows Server、MS Hyper-V和Oracle RAC等。</w:t>
            </w:r>
          </w:p>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配置双活功能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55" w:type="pct"/>
            <w:vMerge w:val="continue"/>
            <w:shd w:val="clear" w:color="auto" w:fill="auto"/>
            <w:noWrap/>
            <w:vAlign w:val="center"/>
          </w:tcPr>
          <w:p>
            <w:pPr>
              <w:widowControl/>
              <w:rPr>
                <w:rFonts w:ascii="Times New Roman" w:hAnsi="Times New Roman" w:eastAsia="宋体" w:cs="Times New Roman"/>
                <w:color w:val="000000"/>
                <w:kern w:val="0"/>
                <w:szCs w:val="21"/>
              </w:rPr>
            </w:pP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存储虚拟化功能，可以整合异构厂商的存储阵列，通过虚拟化功能将存储资源统一管理和分配；接管异构存储厂商的空间后，可以把异构空间作为存储的RAID资源池，并且资源池可以划分多个卷对主机提供存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5" w:type="pct"/>
            <w:shd w:val="clear" w:color="auto" w:fill="auto"/>
            <w:noWrap/>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云备份</w:t>
            </w: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支持云备份特性，支持存储数据直接备份到公有云和私有云；支持阿里云，Opesnstack等云厂商对接能力。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5" w:type="pct"/>
            <w:shd w:val="clear" w:color="auto" w:fill="auto"/>
            <w:noWrap/>
            <w:vAlign w:val="center"/>
          </w:tcPr>
          <w:p>
            <w:pPr>
              <w:widowControl/>
              <w:rPr>
                <w:rFonts w:ascii="Times New Roman" w:hAnsi="Times New Roman" w:eastAsia="宋体" w:cs="Times New Roman"/>
                <w:color w:val="000000"/>
                <w:kern w:val="0"/>
                <w:szCs w:val="21"/>
                <w:highlight w:val="none"/>
              </w:rPr>
            </w:pPr>
            <w:r>
              <w:rPr>
                <w:rFonts w:hint="eastAsia" w:ascii="宋体" w:hAnsi="宋体" w:eastAsia="宋体" w:cs="宋体"/>
                <w:color w:val="000000"/>
                <w:kern w:val="0"/>
                <w:sz w:val="21"/>
                <w:szCs w:val="21"/>
                <w:highlight w:val="none"/>
              </w:rPr>
              <w:t>缓存保护</w:t>
            </w:r>
          </w:p>
        </w:tc>
        <w:tc>
          <w:tcPr>
            <w:tcW w:w="4344" w:type="pct"/>
            <w:shd w:val="clear" w:color="auto" w:fill="auto"/>
            <w:vAlign w:val="center"/>
          </w:tcPr>
          <w:p>
            <w:pPr>
              <w:widowControl/>
              <w:rPr>
                <w:rFonts w:hint="eastAsia" w:ascii="Times New Roman" w:hAnsi="Times New Roman" w:eastAsia="宋体" w:cs="Times New Roman"/>
                <w:color w:val="000000"/>
                <w:kern w:val="0"/>
                <w:szCs w:val="21"/>
                <w:highlight w:val="none"/>
                <w:lang w:eastAsia="zh-CN"/>
              </w:rPr>
            </w:pPr>
            <w:r>
              <w:rPr>
                <w:rFonts w:hint="eastAsia" w:ascii="宋体" w:hAnsi="宋体" w:eastAsia="宋体" w:cs="宋体"/>
                <w:color w:val="000000"/>
                <w:kern w:val="0"/>
                <w:sz w:val="21"/>
                <w:szCs w:val="21"/>
                <w:highlight w:val="none"/>
              </w:rPr>
              <w:t>支持缓存保护，并配置BBU电池保护模组，支持2次备电，保证掉电时Cache数据可安全写入Flash或硬盘永久保存，可以支撑2次以上的数据备份时间，实现无限时断电保护Cache数据的目的。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655" w:type="pct"/>
            <w:shd w:val="clear" w:color="auto" w:fill="auto"/>
            <w:noWrap/>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操作系统支持</w:t>
            </w:r>
          </w:p>
        </w:tc>
        <w:tc>
          <w:tcPr>
            <w:tcW w:w="434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Windows、Linux、VMware、UNIX (HP-UX、AIX、Solaris、K-UX等)；支持国产操作系统（包括但不限于麒麟、UOS）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5" w:type="pct"/>
            <w:shd w:val="clear" w:color="auto" w:fill="auto"/>
            <w:noWrap/>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售后服务</w:t>
            </w:r>
          </w:p>
        </w:tc>
        <w:tc>
          <w:tcPr>
            <w:tcW w:w="4344"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szCs w:val="21"/>
              </w:rPr>
              <w:t>3年原厂质</w:t>
            </w:r>
            <w:r>
              <w:rPr>
                <w:rFonts w:ascii="Times New Roman" w:hAnsi="Times New Roman" w:eastAsia="宋体" w:cs="Times New Roman"/>
                <w:color w:val="000000"/>
                <w:szCs w:val="21"/>
                <w:highlight w:val="none"/>
              </w:rPr>
              <w:t>保</w:t>
            </w:r>
            <w:r>
              <w:rPr>
                <w:rFonts w:ascii="Times New Roman" w:hAnsi="Times New Roman" w:eastAsia="宋体" w:cs="Times New Roman"/>
                <w:color w:val="000000"/>
                <w:kern w:val="0"/>
                <w:szCs w:val="21"/>
                <w:highlight w:val="none"/>
              </w:rPr>
              <w:t>，</w:t>
            </w:r>
            <w:r>
              <w:rPr>
                <w:rFonts w:ascii="Times New Roman" w:hAnsi="Times New Roman" w:eastAsia="宋体" w:cs="Times New Roman"/>
                <w:kern w:val="0"/>
                <w:szCs w:val="21"/>
                <w:highlight w:val="none"/>
              </w:rPr>
              <w:t>供货时提供原厂质保函</w:t>
            </w:r>
            <w:r>
              <w:rPr>
                <w:rFonts w:ascii="Times New Roman" w:hAnsi="Times New Roman" w:eastAsia="宋体" w:cs="Times New Roman"/>
                <w:color w:val="000000"/>
                <w:kern w:val="0"/>
                <w:szCs w:val="21"/>
                <w:highlight w:val="none"/>
              </w:rPr>
              <w:t>。</w:t>
            </w:r>
          </w:p>
        </w:tc>
      </w:tr>
    </w:tbl>
    <w:p>
      <w:pPr>
        <w:pStyle w:val="26"/>
        <w:rPr>
          <w:rFonts w:hint="default"/>
          <w:lang w:val="en-US" w:eastAsia="zh-CN"/>
        </w:rPr>
      </w:pPr>
    </w:p>
    <w:p>
      <w:pPr>
        <w:pStyle w:val="4"/>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内网超融合一体机</w:t>
      </w:r>
      <w:r>
        <w:rPr>
          <w:rFonts w:hint="eastAsia" w:asciiTheme="minorEastAsia" w:hAnsiTheme="minorEastAsia" w:eastAsiaTheme="minorEastAsia" w:cstheme="minorEastAsia"/>
          <w:sz w:val="24"/>
          <w:szCs w:val="24"/>
          <w:lang w:eastAsia="zh-CN"/>
        </w:rPr>
        <w:t>：</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04" w:type="pct"/>
            <w:shd w:val="clear" w:color="000000" w:fill="FFFFFF"/>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指标项</w:t>
            </w:r>
          </w:p>
        </w:tc>
        <w:tc>
          <w:tcPr>
            <w:tcW w:w="4195" w:type="pct"/>
            <w:shd w:val="clear" w:color="000000" w:fill="FFFFFF"/>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kern w:val="0"/>
                <w:szCs w:val="21"/>
              </w:rPr>
              <w:t>参数指标要求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804" w:type="pct"/>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超融合硬件节点</w:t>
            </w:r>
          </w:p>
        </w:tc>
        <w:tc>
          <w:tcPr>
            <w:tcW w:w="4195" w:type="pct"/>
            <w:shd w:val="clear" w:color="000000" w:fill="FFFFFF"/>
            <w:vAlign w:val="center"/>
          </w:tcPr>
          <w:p>
            <w:pPr>
              <w:widowControl/>
              <w:jc w:val="left"/>
              <w:rPr>
                <w:rFonts w:ascii="Times New Roman" w:hAnsi="Times New Roman" w:eastAsia="宋体" w:cs="Times New Roman"/>
                <w:color w:val="000000"/>
                <w:kern w:val="0"/>
                <w:szCs w:val="21"/>
                <w:highlight w:val="red"/>
              </w:rPr>
            </w:pPr>
            <w:r>
              <w:rPr>
                <w:rFonts w:ascii="Times New Roman" w:hAnsi="Times New Roman" w:eastAsia="宋体" w:cs="Times New Roman"/>
                <w:color w:val="000000"/>
                <w:kern w:val="0"/>
                <w:szCs w:val="21"/>
              </w:rPr>
              <w:t>1)  硬件设备采用2U机架式服务器，具备自主产品的研发、生产、售后能力，非OEM产品；</w:t>
            </w:r>
            <w:r>
              <w:rPr>
                <w:rFonts w:hint="eastAsia" w:ascii="Times New Roman" w:hAnsi="Times New Roman" w:eastAsia="宋体" w:cs="Times New Roman"/>
                <w:color w:val="000000"/>
                <w:kern w:val="0"/>
                <w:szCs w:val="21"/>
                <w:highlight w:val="none"/>
              </w:rPr>
              <w:t>与HIS数据库服务器同一品牌。</w:t>
            </w:r>
          </w:p>
          <w:p>
            <w:pPr>
              <w:widowControl/>
              <w:jc w:val="left"/>
              <w:rPr>
                <w:rFonts w:ascii="Times New Roman" w:hAnsi="Times New Roman" w:eastAsia="宋体" w:cs="Times New Roman"/>
                <w:b/>
                <w:bCs/>
                <w:color w:val="000000"/>
                <w:kern w:val="0"/>
                <w:szCs w:val="21"/>
                <w:highlight w:val="none"/>
              </w:rPr>
            </w:pPr>
            <w:r>
              <w:rPr>
                <w:rFonts w:hint="eastAsia" w:ascii="Segoe UI Symbol" w:hAnsi="Segoe UI Symbol" w:eastAsia="宋体" w:cs="Segoe UI Symbol"/>
                <w:b/>
                <w:bCs/>
                <w:color w:val="000000"/>
                <w:kern w:val="0"/>
                <w:szCs w:val="21"/>
                <w:highlight w:val="none"/>
              </w:rPr>
              <w:t>☆</w:t>
            </w:r>
            <w:r>
              <w:rPr>
                <w:rFonts w:ascii="Times New Roman" w:hAnsi="Times New Roman" w:eastAsia="宋体" w:cs="Times New Roman"/>
                <w:b/>
                <w:bCs/>
                <w:color w:val="000000"/>
                <w:kern w:val="0"/>
                <w:szCs w:val="21"/>
                <w:highlight w:val="none"/>
              </w:rPr>
              <w:t>2)处理器：每节点配置≥2颗不低于Ice Lake处理器，CPU核数≥24C，主频≥2.1GHz</w:t>
            </w:r>
          </w:p>
          <w:p>
            <w:pPr>
              <w:widowControl/>
              <w:jc w:val="left"/>
              <w:rPr>
                <w:rFonts w:ascii="Times New Roman" w:hAnsi="Times New Roman" w:eastAsia="宋体" w:cs="Times New Roman"/>
                <w:b w:val="0"/>
                <w:bCs w:val="0"/>
                <w:color w:val="000000"/>
                <w:kern w:val="0"/>
                <w:szCs w:val="21"/>
                <w:highlight w:val="none"/>
              </w:rPr>
            </w:pPr>
            <w:r>
              <w:rPr>
                <w:rFonts w:ascii="Times New Roman" w:hAnsi="Times New Roman" w:eastAsia="宋体" w:cs="Times New Roman"/>
                <w:b w:val="0"/>
                <w:bCs w:val="0"/>
                <w:color w:val="000000"/>
                <w:kern w:val="0"/>
                <w:szCs w:val="21"/>
                <w:highlight w:val="none"/>
              </w:rPr>
              <w:t>3)内存：每节点配置≥512G ECC DDR4内存；</w:t>
            </w:r>
          </w:p>
          <w:p>
            <w:pPr>
              <w:widowControl/>
              <w:ind w:left="211" w:hanging="210" w:hangingChars="100"/>
              <w:jc w:val="left"/>
              <w:rPr>
                <w:rFonts w:ascii="Times New Roman" w:hAnsi="Times New Roman" w:eastAsia="宋体" w:cs="Times New Roman"/>
                <w:b w:val="0"/>
                <w:bCs w:val="0"/>
                <w:color w:val="000000"/>
                <w:kern w:val="0"/>
                <w:szCs w:val="21"/>
                <w:highlight w:val="none"/>
              </w:rPr>
            </w:pPr>
            <w:r>
              <w:rPr>
                <w:rFonts w:ascii="Times New Roman" w:hAnsi="Times New Roman" w:eastAsia="宋体" w:cs="Times New Roman"/>
                <w:b w:val="0"/>
                <w:bCs w:val="0"/>
                <w:color w:val="000000"/>
                <w:kern w:val="0"/>
                <w:szCs w:val="21"/>
                <w:highlight w:val="none"/>
              </w:rPr>
              <w:t>4)硬盘：每节点配置6块≥3.84T NVME SSD硬盘；本次配置2块240G M.2 SSD（raid 1）系统盘；</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5)每节点配置：10G光纤网络接口≥4个（含多模光模块），千兆网络接口≥4个； </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6)电源及外设：冗余热插拔风扇，机架安装导轨；配置冗余电源。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04" w:type="pct"/>
            <w:shd w:val="clear" w:color="000000" w:fill="FFFFFF"/>
            <w:vAlign w:val="center"/>
          </w:tcPr>
          <w:p>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管理平台</w:t>
            </w:r>
          </w:p>
        </w:tc>
        <w:tc>
          <w:tcPr>
            <w:tcW w:w="4195" w:type="pct"/>
            <w:shd w:val="clear" w:color="000000" w:fill="FFFFFF"/>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1)超融合是软、硬件一体化产品，平台具备将计算、存储、网络、负载均衡进行融合管理的能力，具备灾难恢复的能力，是一个不可分割的整体，平台软件与底层硬件应属同一品牌，非OEM产品。</w:t>
            </w:r>
          </w:p>
          <w:p>
            <w:pPr>
              <w:widowControl/>
              <w:jc w:val="left"/>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lang w:val="en-US" w:eastAsia="zh-CN"/>
              </w:rPr>
              <w:t>2</w:t>
            </w:r>
            <w:r>
              <w:rPr>
                <w:rFonts w:ascii="Times New Roman" w:hAnsi="Times New Roman" w:eastAsia="宋体" w:cs="Times New Roman"/>
                <w:color w:val="000000"/>
                <w:kern w:val="0"/>
                <w:szCs w:val="21"/>
              </w:rPr>
              <w:t>)支持在线双向跨云迁移功能，在管理界面内将源站点的虚拟机不中断的迁移到目标站点平台内，跨云迁移的站点包括但不限于vSphere、投标品牌虚拟化平台等，</w:t>
            </w:r>
            <w:r>
              <w:rPr>
                <w:rFonts w:ascii="Times New Roman" w:hAnsi="Times New Roman" w:eastAsia="宋体" w:cs="Times New Roman"/>
                <w:b/>
                <w:bCs/>
                <w:color w:val="000000"/>
                <w:kern w:val="0"/>
                <w:szCs w:val="21"/>
                <w:highlight w:val="none"/>
              </w:rPr>
              <w:t>提供CNAS或CMA的第三方测试机构的证明材料</w:t>
            </w:r>
            <w:r>
              <w:rPr>
                <w:rFonts w:ascii="Times New Roman" w:hAnsi="Times New Roman" w:eastAsia="宋体" w:cs="Times New Roman"/>
                <w:color w:val="000000"/>
                <w:kern w:val="0"/>
                <w:szCs w:val="21"/>
                <w:highlight w:val="none"/>
              </w:rPr>
              <w:t>；</w:t>
            </w:r>
          </w:p>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3</w:t>
            </w:r>
            <w:r>
              <w:rPr>
                <w:rFonts w:ascii="Times New Roman" w:hAnsi="Times New Roman" w:eastAsia="宋体" w:cs="Times New Roman"/>
                <w:color w:val="000000"/>
                <w:kern w:val="0"/>
                <w:szCs w:val="21"/>
              </w:rPr>
              <w:t>)</w:t>
            </w:r>
            <w:r>
              <w:rPr>
                <w:rFonts w:ascii="Times New Roman" w:hAnsi="Times New Roman" w:eastAsia="宋体" w:cs="Times New Roman"/>
                <w:szCs w:val="21"/>
              </w:rPr>
              <w:t xml:space="preserve"> </w:t>
            </w:r>
            <w:r>
              <w:rPr>
                <w:rFonts w:ascii="Times New Roman" w:hAnsi="Times New Roman" w:eastAsia="宋体" w:cs="Times New Roman"/>
                <w:color w:val="000000"/>
                <w:kern w:val="0"/>
                <w:szCs w:val="21"/>
              </w:rPr>
              <w:t>支持主机、硬盘、网卡定位功能以快速寻找机房部件，提升运维效率，通过服务器主机的UID指示灯状态可以快速定位识别到目标主机位置</w:t>
            </w:r>
          </w:p>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4</w:t>
            </w:r>
            <w:r>
              <w:rPr>
                <w:rFonts w:ascii="Times New Roman" w:hAnsi="Times New Roman" w:eastAsia="宋体" w:cs="Times New Roman"/>
                <w:color w:val="000000"/>
                <w:kern w:val="0"/>
                <w:szCs w:val="21"/>
              </w:rPr>
              <w:t>）支持云网融合一体化图形管理界面，超融合管理平台支持纳管、配置和监控物理交换机设备，超融合管理平台界面支持设置物理交换机环路检测、端口速率、端口聚合等；支持在超融合管理界面查看物理交换机各个端口信号灯状态</w:t>
            </w:r>
          </w:p>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5</w:t>
            </w:r>
            <w:r>
              <w:rPr>
                <w:rFonts w:ascii="Times New Roman" w:hAnsi="Times New Roman" w:eastAsia="宋体" w:cs="Times New Roman"/>
                <w:color w:val="000000"/>
                <w:kern w:val="0"/>
                <w:szCs w:val="21"/>
              </w:rPr>
              <w:t>）支持系统环境一键巡检，包括不限于资源使用、物理设备、存储空间、网络使用与IP冲突等状况，支持按照每日、每周、每月设置巡检周期，支持设置巡检报告最大保留份数记录，支持自动发送检测报告到指定邮箱</w:t>
            </w:r>
          </w:p>
          <w:p>
            <w:pPr>
              <w:widowControl/>
              <w:jc w:val="left"/>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val="en-US" w:eastAsia="zh-CN"/>
              </w:rPr>
              <w:t>6</w:t>
            </w:r>
            <w:r>
              <w:rPr>
                <w:rFonts w:ascii="Times New Roman" w:hAnsi="Times New Roman" w:eastAsia="宋体" w:cs="Times New Roman"/>
                <w:color w:val="000000"/>
                <w:kern w:val="0"/>
                <w:szCs w:val="21"/>
              </w:rPr>
              <w:t>）支持一云多芯，支持一套管理平台纳管不同CPU架构（至少3种）的主机集群</w:t>
            </w:r>
            <w:r>
              <w:rPr>
                <w:rFonts w:hint="eastAsia" w:ascii="Times New Roman" w:hAnsi="Times New Roman" w:eastAsia="宋体" w:cs="Times New Roman"/>
                <w:color w:val="000000"/>
                <w:kern w:val="0"/>
                <w:szCs w:val="21"/>
                <w:lang w:eastAsia="zh-CN"/>
              </w:rPr>
              <w:t>。</w:t>
            </w:r>
          </w:p>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7</w:t>
            </w:r>
            <w:r>
              <w:rPr>
                <w:rFonts w:ascii="Times New Roman" w:hAnsi="Times New Roman" w:eastAsia="宋体" w:cs="Times New Roman"/>
                <w:color w:val="000000"/>
                <w:kern w:val="0"/>
                <w:szCs w:val="21"/>
              </w:rPr>
              <w:t>）支持纳管、配置和监控物理交换机设备，超融合管理平台界面支持设置物理交换机环路检测、端口速率、LLDP功能开关、端口聚合等；支持在超融合管理界面查看物理交换机各个端口信号灯状态、VLAN ID、连接状态、速率、带宽利用率、对端连接设备、光模块类型和匹配状态等信息。</w:t>
            </w:r>
          </w:p>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8</w:t>
            </w:r>
            <w:r>
              <w:rPr>
                <w:rFonts w:ascii="Times New Roman" w:hAnsi="Times New Roman" w:eastAsia="宋体" w:cs="Times New Roman"/>
                <w:color w:val="000000"/>
                <w:kern w:val="0"/>
                <w:szCs w:val="21"/>
              </w:rPr>
              <w:t>）</w:t>
            </w:r>
            <w:r>
              <w:rPr>
                <w:rFonts w:ascii="Times New Roman" w:hAnsi="Times New Roman" w:eastAsia="宋体" w:cs="Times New Roman"/>
                <w:kern w:val="0"/>
                <w:sz w:val="22"/>
              </w:rPr>
              <w:t>支持多租户管理，根据需要对用户进行不同授权。提供B/S和C/S两种虚拟机控制台使用方式，C/S客户端无任何授权限制。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trPr>
        <w:tc>
          <w:tcPr>
            <w:tcW w:w="804" w:type="pct"/>
            <w:vAlign w:val="center"/>
          </w:tcPr>
          <w:p>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计算虚拟化</w:t>
            </w:r>
          </w:p>
        </w:tc>
        <w:tc>
          <w:tcPr>
            <w:tcW w:w="4195" w:type="pct"/>
            <w:shd w:val="clear" w:color="000000" w:fill="FFFFFF"/>
            <w:vAlign w:val="center"/>
          </w:tcPr>
          <w:p>
            <w:pPr>
              <w:widowControl/>
              <w:jc w:val="left"/>
              <w:rPr>
                <w:rFonts w:ascii="Times New Roman" w:hAnsi="Times New Roman" w:eastAsia="宋体" w:cs="Times New Roman"/>
                <w:color w:val="000000"/>
                <w:kern w:val="0"/>
                <w:szCs w:val="21"/>
                <w:lang w:eastAsia="zh-TW"/>
              </w:rPr>
            </w:pPr>
            <w:r>
              <w:rPr>
                <w:rFonts w:ascii="Times New Roman" w:hAnsi="Times New Roman" w:eastAsia="宋体" w:cs="Times New Roman"/>
                <w:color w:val="000000"/>
                <w:kern w:val="0"/>
                <w:szCs w:val="21"/>
                <w:lang w:eastAsia="zh-TW"/>
              </w:rPr>
              <w:t>1）支持主流的X86架构的操作系统，包括Windows Server 2003/2008/2012/2016/2019/2022， 以及Oracle、Redhat等，支持国产红旗、银河麒麟、统信、凝思等操作系统；</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2)支持DPM动态电源调度，支持虚拟机故障HA功能，可配置HA接入控制策略，HA最大尝试次数，且支持HA故障切换主机设置，达到故障隔离的效果，并支持配置虚拟机自启动策略和启动优先级；</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3)支持大内存页和DPDK加速功能，虚拟化界面可配置内存页大小和页数，支持虚拟机NUMA感知功能，保证虚拟机OS的NUMA与主机的NUMA拓扑保持一致，并显示大内存页的使用量和可用内存；</w:t>
            </w:r>
          </w:p>
          <w:p>
            <w:pPr>
              <w:widowControl/>
              <w:jc w:val="left"/>
              <w:rPr>
                <w:rFonts w:hint="eastAsia"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r>
              <w:rPr>
                <w:rFonts w:hint="eastAsia"/>
              </w:rPr>
              <w:t xml:space="preserve"> </w:t>
            </w:r>
            <w:r>
              <w:rPr>
                <w:rFonts w:hint="eastAsia" w:ascii="Times New Roman" w:hAnsi="Times New Roman" w:eastAsia="宋体" w:cs="Times New Roman"/>
                <w:color w:val="000000"/>
                <w:kern w:val="0"/>
                <w:szCs w:val="21"/>
              </w:rPr>
              <w:t>可指定专用独享迁移网络，隔离迁移网络流量与管理网流量，保障用户业务正常运行</w:t>
            </w:r>
            <w:r>
              <w:rPr>
                <w:rFonts w:ascii="Times New Roman" w:hAnsi="Times New Roman" w:eastAsia="宋体" w:cs="Times New Roman"/>
                <w:color w:val="000000"/>
                <w:kern w:val="0"/>
                <w:szCs w:val="21"/>
              </w:rPr>
              <w:t>；</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5)支持一键开启和关闭数据中心内、集群内的所有虚拟机，并设置虚拟机跟随主机启动策略以及虚拟机启动优先级策略，方便机房搬迁或关电运维场景使用。</w:t>
            </w:r>
          </w:p>
          <w:p>
            <w:pPr>
              <w:widowControl/>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rPr>
              <w:t>6)为满足日益增长的容器资源需求，要求同一个超融合节点支持同时运行虚拟机和容器计算资源，非虚拟机内嵌套部署容器方式；容器与虚拟机使用相同的SDN网络、数据存储，</w:t>
            </w:r>
            <w:r>
              <w:rPr>
                <w:rFonts w:ascii="Times New Roman" w:hAnsi="Times New Roman" w:eastAsia="宋体" w:cs="Times New Roman"/>
                <w:b/>
                <w:bCs/>
                <w:color w:val="000000"/>
                <w:kern w:val="0"/>
                <w:szCs w:val="21"/>
                <w:highlight w:val="none"/>
              </w:rPr>
              <w:t>提供CNAS或CMA的第三方测试机构的证明材料或技术白皮书详细说明</w:t>
            </w:r>
            <w:r>
              <w:rPr>
                <w:rFonts w:ascii="Times New Roman" w:hAnsi="Times New Roman" w:eastAsia="宋体" w:cs="Times New Roman"/>
                <w:color w:val="000000"/>
                <w:kern w:val="0"/>
                <w:szCs w:val="21"/>
                <w:highlight w:val="none"/>
              </w:rPr>
              <w:t>；</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7）支持GPU组功能，支持多块GPU透传给一个虚拟机使用，支持vGPU功能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pct"/>
            <w:vAlign w:val="center"/>
          </w:tcPr>
          <w:p>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存储虚拟化</w:t>
            </w:r>
          </w:p>
        </w:tc>
        <w:tc>
          <w:tcPr>
            <w:tcW w:w="4195" w:type="pct"/>
            <w:shd w:val="clear" w:color="000000" w:fill="FFFFFF"/>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元数据采用分布式保护机制，分布在不同节点，在节点意外掉电、断网、宕机情况下，系统数据不会丢失，不会影响业务系统正常运行，并且不需要额外硬件对内存中元数据提供保护，产品交付时可接受磁盘（SSD、HDD）、网络、节点故障场景测试；</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 超融合支持同时对接本地分布式存储池和外挂阵列存储资源池，支持通过ISCSI、iSER、NVMe over RoCE协议对接超融合本地分布式存储池，支持通过ISCSI、iSER、NVMe over RoCE、FC、FC-NVMe协议对接外挂阵列存储资源池</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3)支持显示SSD物理磁盘磨损度寿命，运维用户可根据提示及时更换硬盘，避免导致系统故障，界面支持点亮/熄灭硬盘指示灯，便于运维人员对指定磁盘进行维护更换，；</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 数据本地化，本地节点上的虚拟机数据访问在本地节点，随着虚拟机的迁移（手动迁移、故障HA迁移等），数据也随VM自动迁移至其他节点。VM虚拟磁盘有一个完整的副本保存在本地节点，从而实现数据本地化访问提高虚拟机性能，所有数据I/O优先访问本地节点并降低虚拟机跨节点数据读写带来的网络负载</w:t>
            </w:r>
          </w:p>
          <w:p>
            <w:pPr>
              <w:widowControl/>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rPr>
              <w:t xml:space="preserve">5) 支持磁盘漫游功能，同一超融合节点内支持任意个存储磁盘交换位置，以防止主机维护时的运维人员误操作, </w:t>
            </w:r>
            <w:r>
              <w:rPr>
                <w:rFonts w:ascii="Times New Roman" w:hAnsi="Times New Roman" w:eastAsia="宋体" w:cs="Times New Roman"/>
                <w:b/>
                <w:bCs/>
                <w:color w:val="000000"/>
                <w:kern w:val="0"/>
                <w:szCs w:val="21"/>
                <w:highlight w:val="none"/>
              </w:rPr>
              <w:t>提供CNAS或CMA的第三方测试机构的证明材料或技术白皮书详细说明</w:t>
            </w:r>
            <w:r>
              <w:rPr>
                <w:rFonts w:ascii="Times New Roman" w:hAnsi="Times New Roman" w:eastAsia="宋体" w:cs="Times New Roman"/>
                <w:color w:val="000000"/>
                <w:kern w:val="0"/>
                <w:szCs w:val="21"/>
                <w:highlight w:val="none"/>
              </w:rPr>
              <w:t>；</w:t>
            </w:r>
          </w:p>
          <w:p>
            <w:pPr>
              <w:widowControl/>
              <w:jc w:val="left"/>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rPr>
              <w:t>6)支持磁盘坏块扫描功能，发现坏块后主动修复坏块区域数据并告警，屏蔽坏快区域，及时维护分布式存储数据冗余性；当坏快数量过多，系统自动进行坏盘隔离，将用户数据自动迁移到健康的硬</w:t>
            </w:r>
            <w:r>
              <w:rPr>
                <w:rFonts w:ascii="Times New Roman" w:hAnsi="Times New Roman" w:eastAsia="宋体" w:cs="Times New Roman"/>
                <w:color w:val="000000"/>
                <w:kern w:val="0"/>
                <w:szCs w:val="21"/>
                <w:highlight w:val="none"/>
              </w:rPr>
              <w:t>盘上；</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  支持裸LUN池化管理，无需登陆集中式SAN存储阵列或分布式存储界面即可划分存储空间，方便运维；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04" w:type="pct"/>
            <w:vAlign w:val="center"/>
          </w:tcPr>
          <w:p>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网络虚拟化</w:t>
            </w:r>
          </w:p>
        </w:tc>
        <w:tc>
          <w:tcPr>
            <w:tcW w:w="4195" w:type="pct"/>
            <w:shd w:val="clear" w:color="000000" w:fill="FFFFFF"/>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1)提供无授权限制的全局分布式SDN功能，以避免SDN控制节点故障，提供分布式SDN硬件加速能力，可提供更高转发性能，SDN支持VLAN/VXLAN模式；</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2)支持全局分布式SDN智能加速，卸载分布式SDN网络的数据平面到硬件网卡，通过对东西向Overlay网络流量和南北向流量卸载，大幅提高网络转发性能并节省主机资源；</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同时支持网络sFlow和netFlow功能，配合第三方流量分析工具进行流量监控，支持组播转发、广播抑制、DHCP防护等功能，支持本地端口镜像、本地业务网络镜像、远程端口镜像等多种端口镜像模式，支持分布式DNS服务功能； </w:t>
            </w:r>
          </w:p>
          <w:p>
            <w:pPr>
              <w:widowControl/>
              <w:jc w:val="left"/>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4）为方便运维操作，支持网络图形化编排，编辑网络拓扑及拖拽网元即可完成网络拓扑的创建、变更、属性编辑</w:t>
            </w:r>
            <w:r>
              <w:rPr>
                <w:rFonts w:hint="eastAsia" w:cs="Times New Roman"/>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804" w:type="pct"/>
            <w:vAlign w:val="center"/>
          </w:tcPr>
          <w:p>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备份容灾</w:t>
            </w:r>
          </w:p>
        </w:tc>
        <w:tc>
          <w:tcPr>
            <w:tcW w:w="4195" w:type="pct"/>
            <w:shd w:val="clear" w:color="000000" w:fill="FFFFFF"/>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1)提供无授权限制的备份功能，支持虚拟机全量备份、增量备份，周期性备份，备份策略可细化到分钟级；</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2)支持批量备份，可设置备份时限速值，可设置保留最近N次备份点；可选择任意备份文件恢复为原虚拟机或新虚拟机，支持恢复过程中对虚拟机进行配置；</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3)支持利用磁盘阵列进行容灾，不依赖分布式存储多副本技术，超融合支持异构不同品牌存储容灾功能，可利旧存储设备与超融合建立容灾或双活存储池，当分布式存储全局损坏时，不影响业务连续性；</w:t>
            </w:r>
            <w:r>
              <w:rPr>
                <w:rFonts w:ascii="Times New Roman" w:hAnsi="Times New Roman" w:eastAsia="宋体" w:cs="Times New Roman"/>
                <w:b/>
                <w:bCs/>
                <w:color w:val="000000"/>
                <w:kern w:val="0"/>
                <w:szCs w:val="21"/>
                <w:highlight w:val="none"/>
              </w:rPr>
              <w:t>提供CNAS或CMA的第三方测试机构的证明材料或技术白皮书详细说明</w:t>
            </w:r>
            <w:r>
              <w:rPr>
                <w:rFonts w:ascii="Times New Roman" w:hAnsi="Times New Roman" w:eastAsia="宋体" w:cs="Times New Roman"/>
                <w:color w:val="000000"/>
                <w:kern w:val="0"/>
                <w:szCs w:val="21"/>
                <w:highlight w:val="none"/>
              </w:rPr>
              <w:t xml:space="preserve">； </w:t>
            </w:r>
            <w:r>
              <w:rPr>
                <w:rFonts w:ascii="Times New Roman" w:hAnsi="Times New Roman" w:eastAsia="宋体" w:cs="Times New Roman"/>
                <w:color w:val="000000"/>
                <w:kern w:val="0"/>
                <w:szCs w:val="21"/>
                <w:highlight w:val="none"/>
              </w:rPr>
              <w:br w:type="textWrapping"/>
            </w:r>
            <w:r>
              <w:rPr>
                <w:rFonts w:ascii="Times New Roman" w:hAnsi="Times New Roman" w:eastAsia="宋体" w:cs="Times New Roman"/>
                <w:color w:val="000000"/>
                <w:kern w:val="0"/>
                <w:szCs w:val="21"/>
              </w:rPr>
              <w:t>4)  提供不少于100个虚拟机数量的的CDP功能授权，通过点击对应时间戳，虚拟机可恢复到任意I/O，交付时提供验证；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04" w:type="pct"/>
            <w:vAlign w:val="center"/>
          </w:tcPr>
          <w:p>
            <w:pPr>
              <w:widowControl/>
              <w:jc w:val="center"/>
              <w:rPr>
                <w:rFonts w:hint="eastAsia" w:ascii="Times New Roman" w:hAnsi="Times New Roman" w:eastAsia="宋体" w:cs="Times New Roman"/>
                <w:color w:val="000000"/>
                <w:kern w:val="0"/>
                <w:szCs w:val="21"/>
                <w:lang w:eastAsia="zh-CN"/>
              </w:rPr>
            </w:pPr>
            <w:r>
              <w:rPr>
                <w:rFonts w:hint="eastAsia" w:cs="Times New Roman"/>
                <w:color w:val="000000"/>
                <w:kern w:val="0"/>
                <w:szCs w:val="21"/>
                <w:lang w:eastAsia="zh-CN"/>
              </w:rPr>
              <w:t>其他</w:t>
            </w:r>
          </w:p>
        </w:tc>
        <w:tc>
          <w:tcPr>
            <w:tcW w:w="4195" w:type="pct"/>
            <w:shd w:val="clear" w:color="000000" w:fill="FFFFFF"/>
            <w:vAlign w:val="center"/>
          </w:tcPr>
          <w:p>
            <w:pPr>
              <w:widowControl/>
              <w:jc w:val="left"/>
              <w:rPr>
                <w:rFonts w:hint="eastAsia" w:ascii="Times New Roman" w:hAnsi="Times New Roman" w:eastAsia="宋体" w:cs="Times New Roman"/>
                <w:b/>
                <w:bCs/>
                <w:color w:val="000000"/>
                <w:kern w:val="0"/>
                <w:szCs w:val="21"/>
                <w:highlight w:val="yellow"/>
                <w:lang w:eastAsia="zh-CN"/>
              </w:rPr>
            </w:pPr>
            <w:r>
              <w:rPr>
                <w:rFonts w:hint="eastAsia" w:ascii="Times New Roman" w:hAnsi="Times New Roman" w:eastAsia="宋体" w:cs="Times New Roman"/>
                <w:b w:val="0"/>
                <w:bCs w:val="0"/>
                <w:color w:val="000000"/>
                <w:kern w:val="0"/>
                <w:szCs w:val="21"/>
                <w:highlight w:val="none"/>
              </w:rPr>
              <w:t>支持虚拟机和裸金属服务器统一管理，支持对裸金属服务器远程电源管理、挂载安装ISO镜像等操作，可将虚拟机镜像部署为裸金属服务器操作系统，可查看裸金属服务器电源状态、CPU、内存、硬盘等硬件信息，支持打开裸金属服务器控制台进行运维操作</w:t>
            </w:r>
            <w:r>
              <w:rPr>
                <w:rFonts w:hint="eastAsia" w:ascii="Times New Roman" w:hAnsi="Times New Roman" w:eastAsia="宋体" w:cs="Times New Roman"/>
                <w:b w:val="0"/>
                <w:bCs w:val="0"/>
                <w:color w:val="000000"/>
                <w:kern w:val="0"/>
                <w:szCs w:val="21"/>
                <w:highlight w:val="none"/>
                <w:lang w:eastAsia="zh-CN"/>
              </w:rPr>
              <w:t>。</w:t>
            </w:r>
            <w:r>
              <w:rPr>
                <w:rFonts w:hint="eastAsia" w:ascii="Times New Roman" w:hAnsi="Times New Roman" w:eastAsia="宋体" w:cs="Times New Roman"/>
                <w:b/>
                <w:bCs/>
                <w:color w:val="000000"/>
                <w:kern w:val="0"/>
                <w:szCs w:val="21"/>
                <w:highlight w:val="none"/>
              </w:rPr>
              <w:t>提供</w:t>
            </w:r>
            <w:r>
              <w:rPr>
                <w:rFonts w:hint="eastAsia" w:cs="Times New Roman"/>
                <w:b/>
                <w:bCs/>
                <w:color w:val="000000"/>
                <w:kern w:val="0"/>
                <w:szCs w:val="21"/>
                <w:highlight w:val="none"/>
                <w:lang w:eastAsia="zh-CN"/>
              </w:rPr>
              <w:t>产品功能截图</w:t>
            </w:r>
            <w:r>
              <w:rPr>
                <w:rFonts w:hint="eastAsia" w:cs="Times New Roman"/>
                <w:b w:val="0"/>
                <w:bCs w:val="0"/>
                <w:color w:val="000000"/>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04" w:type="pct"/>
            <w:vAlign w:val="center"/>
          </w:tcPr>
          <w:p>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color w:val="000000"/>
                <w:kern w:val="0"/>
                <w:szCs w:val="21"/>
              </w:rPr>
              <w:t>认证</w:t>
            </w:r>
            <w:r>
              <w:rPr>
                <w:rFonts w:ascii="Times New Roman" w:hAnsi="Times New Roman" w:eastAsia="宋体" w:cs="Times New Roman"/>
                <w:kern w:val="0"/>
                <w:szCs w:val="21"/>
                <w:lang w:val="zh-TW"/>
              </w:rPr>
              <w:t>材料</w:t>
            </w:r>
          </w:p>
        </w:tc>
        <w:tc>
          <w:tcPr>
            <w:tcW w:w="4195" w:type="pct"/>
            <w:shd w:val="clear" w:color="000000" w:fill="FFFFFF"/>
            <w:vAlign w:val="center"/>
          </w:tcPr>
          <w:p>
            <w:pPr>
              <w:widowControl/>
              <w:jc w:val="left"/>
              <w:rPr>
                <w:rFonts w:ascii="Times New Roman" w:hAnsi="Times New Roman" w:eastAsia="宋体" w:cs="Times New Roman"/>
                <w:color w:val="000000"/>
                <w:kern w:val="0"/>
                <w:szCs w:val="21"/>
                <w:highlight w:val="none"/>
              </w:rPr>
            </w:pPr>
            <w:r>
              <w:rPr>
                <w:rFonts w:ascii="Times New Roman" w:hAnsi="Times New Roman" w:eastAsia="宋体" w:cs="Times New Roman"/>
                <w:b/>
                <w:bCs/>
                <w:color w:val="000000"/>
                <w:kern w:val="0"/>
                <w:szCs w:val="21"/>
                <w:highlight w:val="none"/>
              </w:rPr>
              <w:t>1)提供国家版权局颁发的《计算机软件著作权登记证书》证明</w:t>
            </w:r>
            <w:r>
              <w:rPr>
                <w:rFonts w:ascii="Times New Roman" w:hAnsi="Times New Roman" w:eastAsia="宋体" w:cs="Times New Roman"/>
                <w:color w:val="000000"/>
                <w:kern w:val="0"/>
                <w:szCs w:val="21"/>
                <w:highlight w:val="none"/>
              </w:rPr>
              <w:t>；</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Cs w:val="21"/>
                <w:highlight w:val="none"/>
              </w:rPr>
              <w:t>2)超融合内虚拟化产品具备</w:t>
            </w:r>
            <w:bookmarkStart w:id="35" w:name="OLE_LINK1"/>
            <w:r>
              <w:rPr>
                <w:rFonts w:ascii="Times New Roman" w:hAnsi="Times New Roman" w:eastAsia="宋体" w:cs="Times New Roman"/>
                <w:b/>
                <w:bCs/>
                <w:color w:val="000000"/>
                <w:kern w:val="0"/>
                <w:szCs w:val="21"/>
                <w:highlight w:val="none"/>
              </w:rPr>
              <w:t>国家信息安全测评</w:t>
            </w:r>
            <w:r>
              <w:rPr>
                <w:rFonts w:hint="eastAsia" w:cs="Times New Roman"/>
                <w:b/>
                <w:bCs/>
                <w:color w:val="000000"/>
                <w:kern w:val="0"/>
                <w:szCs w:val="21"/>
                <w:highlight w:val="none"/>
                <w:lang w:eastAsia="zh-CN"/>
              </w:rPr>
              <w:t>中心</w:t>
            </w:r>
            <w:r>
              <w:rPr>
                <w:rFonts w:ascii="Times New Roman" w:hAnsi="Times New Roman" w:eastAsia="宋体" w:cs="Times New Roman"/>
                <w:b/>
                <w:bCs/>
                <w:color w:val="000000"/>
                <w:kern w:val="0"/>
                <w:szCs w:val="21"/>
                <w:highlight w:val="none"/>
              </w:rPr>
              <w:t>EAL3+</w:t>
            </w:r>
            <w:bookmarkEnd w:id="35"/>
            <w:r>
              <w:rPr>
                <w:rFonts w:ascii="Times New Roman" w:hAnsi="Times New Roman" w:eastAsia="宋体" w:cs="Times New Roman"/>
                <w:b/>
                <w:bCs/>
                <w:color w:val="000000"/>
                <w:kern w:val="0"/>
                <w:szCs w:val="21"/>
                <w:highlight w:val="none"/>
              </w:rPr>
              <w:t>《信息技术产品安全测评证书》并</w:t>
            </w:r>
            <w:r>
              <w:rPr>
                <w:rFonts w:hint="eastAsia" w:cs="Times New Roman"/>
                <w:b/>
                <w:bCs/>
                <w:color w:val="000000"/>
                <w:kern w:val="0"/>
                <w:szCs w:val="21"/>
                <w:highlight w:val="none"/>
                <w:lang w:eastAsia="zh-CN"/>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04" w:type="pct"/>
            <w:vAlign w:val="center"/>
          </w:tcPr>
          <w:p>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质保期</w:t>
            </w:r>
          </w:p>
        </w:tc>
        <w:tc>
          <w:tcPr>
            <w:tcW w:w="4195" w:type="pct"/>
            <w:shd w:val="clear" w:color="000000" w:fill="FFFFFF"/>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kern w:val="0"/>
                <w:szCs w:val="21"/>
              </w:rPr>
              <w:t>3年7*24小时维保；中</w:t>
            </w:r>
            <w:r>
              <w:rPr>
                <w:rFonts w:ascii="Times New Roman" w:hAnsi="Times New Roman" w:eastAsia="宋体" w:cs="Times New Roman"/>
                <w:kern w:val="0"/>
                <w:szCs w:val="21"/>
                <w:highlight w:val="none"/>
              </w:rPr>
              <w:t>标后提供</w:t>
            </w:r>
            <w:r>
              <w:rPr>
                <w:rFonts w:hint="eastAsia" w:ascii="Times New Roman" w:hAnsi="Times New Roman" w:eastAsia="宋体" w:cs="Times New Roman"/>
                <w:kern w:val="0"/>
                <w:szCs w:val="21"/>
                <w:highlight w:val="none"/>
                <w:lang w:val="en-US" w:eastAsia="zh-CN"/>
              </w:rPr>
              <w:t>原厂</w:t>
            </w:r>
            <w:r>
              <w:rPr>
                <w:rFonts w:ascii="Times New Roman" w:hAnsi="Times New Roman" w:eastAsia="宋体" w:cs="Times New Roman"/>
                <w:kern w:val="0"/>
                <w:szCs w:val="21"/>
                <w:highlight w:val="none"/>
              </w:rPr>
              <w:t>售后服务承诺函</w:t>
            </w:r>
          </w:p>
        </w:tc>
      </w:tr>
    </w:tbl>
    <w:p>
      <w:pPr>
        <w:rPr>
          <w:rFonts w:ascii="Times New Roman" w:hAnsi="Times New Roman" w:eastAsia="宋体" w:cs="Times New Roman"/>
          <w:szCs w:val="21"/>
        </w:rPr>
      </w:pPr>
    </w:p>
    <w:p>
      <w:pPr>
        <w:pStyle w:val="4"/>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业务网交换</w:t>
      </w:r>
      <w:r>
        <w:rPr>
          <w:rFonts w:hint="eastAsia" w:asciiTheme="minorEastAsia" w:hAnsiTheme="minorEastAsia" w:eastAsiaTheme="minorEastAsia" w:cstheme="minorEastAsia"/>
          <w:sz w:val="24"/>
          <w:szCs w:val="24"/>
          <w:lang w:val="en-US" w:eastAsia="zh-CN"/>
        </w:rPr>
        <w:t>机：</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b/>
                <w:szCs w:val="21"/>
              </w:rPr>
              <w:t>技术指标</w:t>
            </w:r>
          </w:p>
        </w:tc>
        <w:tc>
          <w:tcPr>
            <w:tcW w:w="4347" w:type="pct"/>
            <w:shd w:val="clear" w:color="auto" w:fill="auto"/>
            <w:vAlign w:val="center"/>
          </w:tcPr>
          <w:p>
            <w:pPr>
              <w:widowControl/>
              <w:rPr>
                <w:rFonts w:ascii="Times New Roman" w:hAnsi="Times New Roman" w:eastAsia="宋体" w:cs="Times New Roman"/>
                <w:b/>
                <w:szCs w:val="21"/>
              </w:rPr>
            </w:pPr>
            <w:r>
              <w:rPr>
                <w:rFonts w:ascii="Times New Roman" w:hAnsi="Times New Roman" w:eastAsia="宋体" w:cs="Times New Roman"/>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端口数量</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≥48个10Gbps SFP+端口，≥6个QSFP+端口（支持作为40G或拆分为10G端口使用），≥1*10/100/1000M电口，≥1个USB口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二层组播协议</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IGMP snooping v1v2v3，IGMP proxy，Fast leave，Layer 2 Static Multicast，MVR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vMerge w:val="restart"/>
            <w:shd w:val="clear" w:color="auto" w:fill="auto"/>
            <w:vAlign w:val="center"/>
          </w:tcPr>
          <w:p>
            <w:pPr>
              <w:widowControl/>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三层功能</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IPv4：支持静态路由，RIPv1&amp;v2，OSPF，BGP，ECMP，ECMP self-healing，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vMerge w:val="continue"/>
            <w:shd w:val="clear" w:color="auto" w:fill="auto"/>
            <w:vAlign w:val="center"/>
          </w:tcPr>
          <w:p>
            <w:pPr>
              <w:widowControl/>
              <w:jc w:val="left"/>
              <w:rPr>
                <w:rFonts w:ascii="Times New Roman" w:hAnsi="Times New Roman" w:eastAsia="宋体" w:cs="Times New Roman"/>
                <w:color w:val="000000" w:themeColor="text1"/>
                <w:szCs w:val="21"/>
                <w14:textFill>
                  <w14:solidFill>
                    <w14:schemeClr w14:val="tx1"/>
                  </w14:solidFill>
                </w14:textFill>
              </w:rPr>
            </w:pP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IPv6：支持静态路由，OSPFv3，RIPng，BGPv6，ICMPv6，NDP，PMTU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vMerge w:val="continue"/>
            <w:shd w:val="clear" w:color="auto" w:fill="auto"/>
            <w:vAlign w:val="center"/>
          </w:tcPr>
          <w:p>
            <w:pPr>
              <w:widowControl/>
              <w:jc w:val="left"/>
              <w:rPr>
                <w:rFonts w:ascii="Times New Roman" w:hAnsi="Times New Roman" w:eastAsia="宋体" w:cs="Times New Roman"/>
                <w:color w:val="000000" w:themeColor="text1"/>
                <w:szCs w:val="21"/>
                <w14:textFill>
                  <w14:solidFill>
                    <w14:schemeClr w14:val="tx1"/>
                  </w14:solidFill>
                </w14:textFill>
              </w:rPr>
            </w:pP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组播协议：支持IGMPv1/v2/v3，PIM-SM，PIM-SSM，Static Multicast，MLD v1/v2，MLD Snooping ，PIM-SMv6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配置要求</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配置冗余风扇，冗余电源，配置15个万兆多模模块，聚合线缆一根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服务</w:t>
            </w:r>
          </w:p>
        </w:tc>
        <w:tc>
          <w:tcPr>
            <w:tcW w:w="4347"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三年原厂硬件质保 </w:t>
            </w:r>
          </w:p>
        </w:tc>
      </w:tr>
    </w:tbl>
    <w:p>
      <w:pPr>
        <w:rPr>
          <w:rFonts w:ascii="Times New Roman" w:hAnsi="Times New Roman" w:eastAsia="宋体" w:cs="Times New Roman"/>
          <w:szCs w:val="21"/>
        </w:rPr>
      </w:pPr>
    </w:p>
    <w:p>
      <w:pPr>
        <w:pStyle w:val="4"/>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超融合存储交换</w:t>
      </w:r>
      <w:r>
        <w:rPr>
          <w:rFonts w:hint="eastAsia" w:asciiTheme="minorEastAsia" w:hAnsiTheme="minorEastAsia" w:eastAsiaTheme="minorEastAsia" w:cstheme="minorEastAsia"/>
          <w:sz w:val="24"/>
          <w:szCs w:val="24"/>
          <w:lang w:val="en-US" w:eastAsia="zh-CN"/>
        </w:rPr>
        <w:t>机：</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b/>
                <w:szCs w:val="21"/>
              </w:rPr>
              <w:t>技术指标</w:t>
            </w:r>
          </w:p>
        </w:tc>
        <w:tc>
          <w:tcPr>
            <w:tcW w:w="4347" w:type="pct"/>
            <w:shd w:val="clear" w:color="auto" w:fill="auto"/>
            <w:vAlign w:val="center"/>
          </w:tcPr>
          <w:p>
            <w:pPr>
              <w:widowControl/>
              <w:rPr>
                <w:rFonts w:ascii="Times New Roman" w:hAnsi="Times New Roman" w:eastAsia="宋体" w:cs="Times New Roman"/>
                <w:b/>
                <w:szCs w:val="21"/>
              </w:rPr>
            </w:pPr>
            <w:r>
              <w:rPr>
                <w:rFonts w:ascii="Times New Roman" w:hAnsi="Times New Roman" w:eastAsia="宋体" w:cs="Times New Roman"/>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端口数量</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≥48个10Gbps SFP+端口，≥6个QSFP+端口（支持作为40G或拆分为10G端口使用），≥1*10/100/1000M电口，≥1个USB口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二层组播协议</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IGMP snooping v1v2v3，IGMP proxy，Fast leave，Layer 2 Static Multicast，MVR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vMerge w:val="restart"/>
            <w:shd w:val="clear" w:color="auto" w:fill="auto"/>
            <w:vAlign w:val="center"/>
          </w:tcPr>
          <w:p>
            <w:pPr>
              <w:widowControl/>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三层功能</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IPv4：支持静态路由，RIPv1&amp;v2，OSPF，BGP，ECMP，ECMP self-healing，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vMerge w:val="continue"/>
            <w:shd w:val="clear" w:color="auto" w:fill="auto"/>
            <w:vAlign w:val="center"/>
          </w:tcPr>
          <w:p>
            <w:pPr>
              <w:widowControl/>
              <w:jc w:val="left"/>
              <w:rPr>
                <w:rFonts w:ascii="Times New Roman" w:hAnsi="Times New Roman" w:eastAsia="宋体" w:cs="Times New Roman"/>
                <w:color w:val="000000" w:themeColor="text1"/>
                <w:szCs w:val="21"/>
                <w14:textFill>
                  <w14:solidFill>
                    <w14:schemeClr w14:val="tx1"/>
                  </w14:solidFill>
                </w14:textFill>
              </w:rPr>
            </w:pP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IPv6：支持静态路由，OSPFv3，RIPng，BGPv6，ICMPv6，NDP，PMTU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vMerge w:val="continue"/>
            <w:shd w:val="clear" w:color="auto" w:fill="auto"/>
            <w:vAlign w:val="center"/>
          </w:tcPr>
          <w:p>
            <w:pPr>
              <w:widowControl/>
              <w:jc w:val="left"/>
              <w:rPr>
                <w:rFonts w:ascii="Times New Roman" w:hAnsi="Times New Roman" w:eastAsia="宋体" w:cs="Times New Roman"/>
                <w:color w:val="000000" w:themeColor="text1"/>
                <w:szCs w:val="21"/>
                <w14:textFill>
                  <w14:solidFill>
                    <w14:schemeClr w14:val="tx1"/>
                  </w14:solidFill>
                </w14:textFill>
              </w:rPr>
            </w:pP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组播协议：支持IGMPv1/v2/v3，PIM-SM，PIM-SSM，Static Multicast，MLD v1/v2，MLD Snooping ，PIM-SMv6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配置要求</w:t>
            </w:r>
          </w:p>
        </w:tc>
        <w:tc>
          <w:tcPr>
            <w:tcW w:w="4347" w:type="pc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配置冗余风扇，冗余电源，配置22个万兆多模模块，聚合线缆一根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2"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服务</w:t>
            </w:r>
          </w:p>
        </w:tc>
        <w:tc>
          <w:tcPr>
            <w:tcW w:w="4347"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三年原厂硬件质保 </w:t>
            </w:r>
          </w:p>
        </w:tc>
      </w:tr>
    </w:tbl>
    <w:p>
      <w:pPr>
        <w:rPr>
          <w:rFonts w:ascii="Times New Roman" w:hAnsi="Times New Roman" w:eastAsia="宋体" w:cs="Times New Roman"/>
          <w:szCs w:val="21"/>
        </w:rPr>
      </w:pP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超融合管理交换</w:t>
      </w:r>
      <w:r>
        <w:rPr>
          <w:rFonts w:hint="eastAsia" w:asciiTheme="minorEastAsia" w:hAnsiTheme="minorEastAsia" w:eastAsiaTheme="minorEastAsia" w:cstheme="minorEastAsia"/>
          <w:sz w:val="24"/>
          <w:szCs w:val="24"/>
          <w:lang w:val="en-US" w:eastAsia="zh-CN"/>
        </w:rPr>
        <w:t>机：</w:t>
      </w:r>
    </w:p>
    <w:tbl>
      <w:tblPr>
        <w:tblStyle w:val="63"/>
        <w:tblW w:w="5218" w:type="pct"/>
        <w:tblInd w:w="-10"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423"/>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56" w:type="pct"/>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指标项</w:t>
            </w:r>
          </w:p>
        </w:tc>
        <w:tc>
          <w:tcPr>
            <w:tcW w:w="4344" w:type="pct"/>
            <w:tcBorders>
              <w:top w:val="single" w:color="auto" w:sz="4" w:space="0"/>
              <w:left w:val="single" w:color="auto" w:sz="4" w:space="0"/>
              <w:bottom w:val="single" w:color="auto" w:sz="4" w:space="0"/>
              <w:right w:val="single" w:color="auto" w:sz="8" w:space="0"/>
            </w:tcBorders>
            <w:shd w:val="clear" w:color="000000" w:fill="FFFFFF"/>
            <w:noWrap/>
            <w:vAlign w:val="center"/>
          </w:tcPr>
          <w:p>
            <w:pPr>
              <w:pStyle w:val="965"/>
              <w:numPr>
                <w:ilvl w:val="0"/>
                <w:numId w:val="0"/>
              </w:numPr>
              <w:ind w:left="284" w:hanging="284"/>
              <w:rPr>
                <w:rFonts w:hint="default" w:cs="Times New Roman"/>
                <w:color w:val="000000"/>
              </w:rPr>
            </w:pPr>
            <w:r>
              <w:rPr>
                <w:rFonts w:hint="default" w:cs="Times New Roman"/>
                <w:color w:val="000000"/>
              </w:rPr>
              <w:t>参数指标要求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56" w:type="pct"/>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基础要求</w:t>
            </w:r>
          </w:p>
        </w:tc>
        <w:tc>
          <w:tcPr>
            <w:tcW w:w="4344" w:type="pct"/>
            <w:tcBorders>
              <w:top w:val="single" w:color="auto" w:sz="4" w:space="0"/>
              <w:left w:val="single" w:color="auto" w:sz="4" w:space="0"/>
              <w:bottom w:val="single" w:color="auto" w:sz="4" w:space="0"/>
              <w:right w:val="single" w:color="auto" w:sz="8" w:space="0"/>
            </w:tcBorders>
            <w:shd w:val="clear" w:color="000000" w:fill="FFFFFF"/>
            <w:noWrap/>
            <w:vAlign w:val="center"/>
          </w:tcPr>
          <w:p>
            <w:pPr>
              <w:pStyle w:val="965"/>
              <w:numPr>
                <w:ilvl w:val="0"/>
                <w:numId w:val="0"/>
              </w:numPr>
              <w:ind w:left="284" w:hanging="284"/>
              <w:rPr>
                <w:rFonts w:hint="default" w:cs="Times New Roman"/>
                <w:color w:val="000000"/>
              </w:rPr>
            </w:pPr>
            <w:r>
              <w:rPr>
                <w:rFonts w:hint="default" w:cs="Times New Roman"/>
                <w:color w:val="000000"/>
              </w:rPr>
              <w:t>交换容量≥432Gbps,包转发率≥144Mpps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56" w:type="pct"/>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固定端口类型</w:t>
            </w:r>
          </w:p>
        </w:tc>
        <w:tc>
          <w:tcPr>
            <w:tcW w:w="4344" w:type="pct"/>
            <w:noWrap/>
            <w:vAlign w:val="center"/>
          </w:tcPr>
          <w:p>
            <w:pPr>
              <w:pStyle w:val="965"/>
              <w:numPr>
                <w:ilvl w:val="0"/>
                <w:numId w:val="0"/>
              </w:numPr>
              <w:spacing w:before="0" w:after="0"/>
              <w:rPr>
                <w:rFonts w:hint="default" w:cs="Times New Roman"/>
                <w:color w:val="000000"/>
              </w:rPr>
            </w:pPr>
            <w:r>
              <w:rPr>
                <w:rFonts w:hint="default" w:cs="Times New Roman"/>
                <w:color w:val="000000"/>
              </w:rPr>
              <w:t>48个千兆电口，4个万兆光口</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56" w:type="pct"/>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三层功能</w:t>
            </w:r>
          </w:p>
        </w:tc>
        <w:tc>
          <w:tcPr>
            <w:tcW w:w="4344" w:type="pct"/>
            <w:noWrap/>
            <w:vAlign w:val="center"/>
          </w:tcPr>
          <w:p>
            <w:pPr>
              <w:widowControl/>
              <w:spacing w:before="46" w:beforeLines="15" w:after="46" w:afterLines="15"/>
              <w:jc w:val="left"/>
              <w:textAlignment w:val="baseline"/>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支持IPv4静态路由、RIPv1/2、OSPFv2；</w:t>
            </w:r>
          </w:p>
          <w:p>
            <w:pPr>
              <w:widowControl/>
              <w:spacing w:before="46" w:beforeLines="15" w:after="46" w:afterLines="15"/>
              <w:jc w:val="left"/>
              <w:textAlignment w:val="baseline"/>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支持IPv6静态路由、RIPng、OSPFv3；</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56" w:type="pct"/>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w:t>
            </w:r>
          </w:p>
        </w:tc>
        <w:tc>
          <w:tcPr>
            <w:tcW w:w="4344" w:type="pct"/>
            <w:noWrap/>
            <w:vAlign w:val="center"/>
          </w:tcPr>
          <w:p>
            <w:pPr>
              <w:widowControl/>
              <w:spacing w:before="46" w:beforeLines="15" w:after="46" w:afterLines="15"/>
              <w:jc w:val="left"/>
              <w:textAlignment w:val="baseline"/>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聚合线缆一根、万兆多模光模块2个</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56" w:type="pct"/>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维保</w:t>
            </w:r>
          </w:p>
        </w:tc>
        <w:tc>
          <w:tcPr>
            <w:tcW w:w="4344" w:type="pct"/>
            <w:noWrap/>
            <w:vAlign w:val="center"/>
          </w:tcPr>
          <w:p>
            <w:pPr>
              <w:widowControl/>
              <w:spacing w:before="46" w:beforeLines="15" w:after="46" w:afterLines="15"/>
              <w:jc w:val="left"/>
              <w:textAlignment w:val="baseline"/>
              <w:rPr>
                <w:rFonts w:ascii="Times New Roman" w:hAnsi="Times New Roman" w:eastAsia="宋体" w:cs="Times New Roman"/>
                <w:color w:val="000000"/>
                <w:kern w:val="0"/>
                <w:szCs w:val="21"/>
              </w:rPr>
            </w:pPr>
            <w:r>
              <w:rPr>
                <w:rFonts w:ascii="Times New Roman" w:hAnsi="Times New Roman" w:eastAsia="宋体" w:cs="Times New Roman"/>
                <w:kern w:val="0"/>
                <w:szCs w:val="21"/>
              </w:rPr>
              <w:t>三年原厂硬件质保</w:t>
            </w:r>
          </w:p>
        </w:tc>
      </w:tr>
    </w:tbl>
    <w:p>
      <w:pPr>
        <w:rPr>
          <w:rFonts w:ascii="Times New Roman" w:hAnsi="Times New Roman" w:eastAsia="宋体" w:cs="Times New Roman"/>
          <w:szCs w:val="21"/>
        </w:rPr>
      </w:pP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EMR文档库</w:t>
      </w:r>
      <w:r>
        <w:rPr>
          <w:rFonts w:hint="eastAsia" w:asciiTheme="minorEastAsia" w:hAnsiTheme="minorEastAsia" w:eastAsiaTheme="minorEastAsia" w:cstheme="minorEastAsia"/>
          <w:sz w:val="24"/>
          <w:szCs w:val="24"/>
          <w:lang w:val="en-US" w:eastAsia="zh-CN"/>
        </w:rPr>
        <w:t>服务器：</w:t>
      </w:r>
    </w:p>
    <w:tbl>
      <w:tblPr>
        <w:tblStyle w:val="63"/>
        <w:tblW w:w="52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8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3" w:type="pct"/>
            <w:tcBorders>
              <w:top w:val="single" w:color="auto" w:sz="4" w:space="0"/>
              <w:left w:val="single" w:color="auto" w:sz="4" w:space="0"/>
              <w:bottom w:val="single" w:color="auto" w:sz="4" w:space="0"/>
              <w:right w:val="single" w:color="auto" w:sz="4" w:space="0"/>
            </w:tcBorders>
            <w:vAlign w:val="bottom"/>
          </w:tcPr>
          <w:p>
            <w:pPr>
              <w:widowControl/>
              <w:jc w:val="left"/>
              <w:rPr>
                <w:rFonts w:ascii="Times New Roman" w:hAnsi="Times New Roman" w:eastAsia="宋体" w:cs="Times New Roman"/>
                <w:bCs/>
                <w:kern w:val="0"/>
                <w:szCs w:val="21"/>
              </w:rPr>
            </w:pPr>
            <w:r>
              <w:rPr>
                <w:rFonts w:ascii="Times New Roman" w:hAnsi="Times New Roman" w:eastAsia="宋体" w:cs="Times New Roman"/>
                <w:bCs/>
                <w:kern w:val="0"/>
                <w:szCs w:val="21"/>
              </w:rPr>
              <w:t>指标项目</w:t>
            </w:r>
          </w:p>
        </w:tc>
        <w:tc>
          <w:tcPr>
            <w:tcW w:w="4346" w:type="pct"/>
            <w:tcBorders>
              <w:top w:val="single" w:color="auto" w:sz="4" w:space="0"/>
              <w:left w:val="single" w:color="auto" w:sz="4" w:space="0"/>
              <w:bottom w:val="single" w:color="auto" w:sz="4" w:space="0"/>
              <w:right w:val="single" w:color="auto" w:sz="4" w:space="0"/>
            </w:tcBorders>
            <w:vAlign w:val="bottom"/>
          </w:tcPr>
          <w:p>
            <w:pPr>
              <w:widowControl/>
              <w:jc w:val="left"/>
              <w:rPr>
                <w:rFonts w:ascii="Times New Roman" w:hAnsi="Times New Roman" w:eastAsia="宋体" w:cs="Times New Roman"/>
                <w:bCs/>
                <w:kern w:val="0"/>
                <w:szCs w:val="21"/>
              </w:rPr>
            </w:pPr>
            <w:r>
              <w:rPr>
                <w:rFonts w:ascii="Times New Roman" w:hAnsi="Times New Roman" w:eastAsia="宋体" w:cs="Times New Roman"/>
                <w:bCs/>
                <w:kern w:val="0"/>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总体要求</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2U服务器，非OEM，适用于通用机房环境，支持标准机柜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处理器要求</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b/>
                <w:bCs/>
                <w:kern w:val="0"/>
                <w:szCs w:val="21"/>
                <w:highlight w:val="yellow"/>
              </w:rPr>
            </w:pPr>
            <w:r>
              <w:rPr>
                <w:rFonts w:hint="eastAsia" w:ascii="Segoe UI Symbol" w:hAnsi="Segoe UI Symbol" w:eastAsia="宋体" w:cs="Segoe UI Symbol"/>
                <w:b/>
                <w:bCs/>
                <w:color w:val="000000"/>
                <w:kern w:val="0"/>
                <w:szCs w:val="21"/>
                <w:highlight w:val="none"/>
              </w:rPr>
              <w:t>☆</w:t>
            </w:r>
            <w:r>
              <w:rPr>
                <w:rFonts w:ascii="Times New Roman" w:hAnsi="Times New Roman" w:eastAsia="宋体" w:cs="Times New Roman"/>
                <w:b/>
                <w:bCs/>
                <w:kern w:val="0"/>
                <w:szCs w:val="21"/>
                <w:highlight w:val="none"/>
              </w:rPr>
              <w:t>≥</w:t>
            </w:r>
            <w:r>
              <w:rPr>
                <w:rFonts w:ascii="Times New Roman" w:hAnsi="Times New Roman" w:eastAsia="宋体" w:cs="Times New Roman"/>
                <w:b/>
                <w:bCs/>
                <w:szCs w:val="21"/>
                <w:highlight w:val="none"/>
              </w:rPr>
              <w:t>2颗Ice Lake处理器，核数</w:t>
            </w:r>
            <w:r>
              <w:rPr>
                <w:rFonts w:ascii="Times New Roman" w:hAnsi="Times New Roman" w:eastAsia="宋体" w:cs="Times New Roman"/>
                <w:b/>
                <w:bCs/>
                <w:kern w:val="0"/>
                <w:szCs w:val="21"/>
                <w:highlight w:val="none"/>
              </w:rPr>
              <w:t>≥12C，主频≥2.1GHz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内存要求</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b/>
                <w:bCs/>
                <w:kern w:val="0"/>
                <w:szCs w:val="21"/>
                <w:highlight w:val="yellow"/>
              </w:rPr>
            </w:pPr>
            <w:r>
              <w:rPr>
                <w:rFonts w:ascii="Times New Roman" w:hAnsi="Times New Roman" w:eastAsia="宋体" w:cs="Times New Roman"/>
                <w:b w:val="0"/>
                <w:bCs w:val="0"/>
                <w:szCs w:val="21"/>
                <w:highlight w:val="none"/>
              </w:rPr>
              <w:t>配置</w:t>
            </w:r>
            <w:r>
              <w:rPr>
                <w:rFonts w:ascii="Times New Roman" w:hAnsi="Times New Roman" w:eastAsia="宋体" w:cs="Times New Roman"/>
                <w:b w:val="0"/>
                <w:bCs w:val="0"/>
                <w:kern w:val="0"/>
                <w:szCs w:val="21"/>
                <w:highlight w:val="none"/>
              </w:rPr>
              <w:t>≥</w:t>
            </w:r>
            <w:r>
              <w:rPr>
                <w:rFonts w:ascii="Times New Roman" w:hAnsi="Times New Roman" w:eastAsia="宋体" w:cs="Times New Roman"/>
                <w:b w:val="0"/>
                <w:bCs w:val="0"/>
                <w:szCs w:val="21"/>
                <w:highlight w:val="none"/>
              </w:rPr>
              <w:t>128 GB DDR4内存，32个内存插槽；</w:t>
            </w:r>
            <w:r>
              <w:rPr>
                <w:rFonts w:ascii="Times New Roman" w:hAnsi="Times New Roman" w:eastAsia="宋体" w:cs="Times New Roman"/>
                <w:b/>
                <w:bCs/>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3"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本地存储</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支持38块2.5寸或20块3.5寸硬盘，支持28块NVME SSD硬盘扩展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6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4346" w:type="pct"/>
            <w:tcBorders>
              <w:top w:val="single" w:color="auto" w:sz="4" w:space="0"/>
              <w:left w:val="single" w:color="auto" w:sz="4" w:space="0"/>
              <w:bottom w:val="single" w:color="auto" w:sz="4" w:space="0"/>
              <w:right w:val="single" w:color="auto" w:sz="4" w:space="0"/>
            </w:tcBorders>
            <w:vAlign w:val="center"/>
          </w:tcPr>
          <w:p>
            <w:pPr>
              <w:widowControl/>
              <w:spacing w:line="300" w:lineRule="auto"/>
              <w:rPr>
                <w:rFonts w:ascii="Times New Roman" w:hAnsi="Times New Roman" w:eastAsia="宋体" w:cs="Times New Roman"/>
                <w:szCs w:val="21"/>
              </w:rPr>
            </w:pPr>
            <w:r>
              <w:rPr>
                <w:rFonts w:ascii="Times New Roman" w:hAnsi="Times New Roman" w:eastAsia="宋体" w:cs="Times New Roman"/>
                <w:szCs w:val="21"/>
              </w:rPr>
              <w:t>配置2块480G ssd硬盘，4块3.84T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RAID支持</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spacing w:line="300" w:lineRule="auto"/>
              <w:rPr>
                <w:rFonts w:ascii="Times New Roman" w:hAnsi="Times New Roman" w:eastAsia="宋体" w:cs="Times New Roman"/>
                <w:szCs w:val="21"/>
              </w:rPr>
            </w:pPr>
            <w:r>
              <w:rPr>
                <w:rFonts w:ascii="Times New Roman" w:hAnsi="Times New Roman" w:eastAsia="宋体" w:cs="Times New Roman"/>
                <w:szCs w:val="21"/>
              </w:rPr>
              <w:t>配置独立raid卡，支持RAID 0、1、5，支持硬盘直通模式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网络接口</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spacing w:line="300" w:lineRule="auto"/>
              <w:rPr>
                <w:rFonts w:ascii="Times New Roman" w:hAnsi="Times New Roman" w:eastAsia="宋体" w:cs="Times New Roman"/>
                <w:szCs w:val="21"/>
              </w:rPr>
            </w:pPr>
            <w:r>
              <w:rPr>
                <w:rFonts w:ascii="Times New Roman" w:hAnsi="Times New Roman" w:eastAsia="宋体" w:cs="Times New Roman"/>
                <w:color w:val="000000"/>
                <w:kern w:val="0"/>
                <w:szCs w:val="21"/>
              </w:rPr>
              <w:t>配置≥4个千兆接口，≥4个万兆光口（含光模块）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I/O扩展槽以及扩展模块</w:t>
            </w:r>
          </w:p>
        </w:tc>
        <w:tc>
          <w:tcPr>
            <w:tcW w:w="4346" w:type="pct"/>
            <w:tcBorders>
              <w:top w:val="single" w:color="auto" w:sz="4" w:space="0"/>
              <w:left w:val="single" w:color="auto" w:sz="4" w:space="0"/>
              <w:right w:val="single" w:color="auto" w:sz="4" w:space="0"/>
            </w:tcBorders>
            <w:vAlign w:val="center"/>
          </w:tcPr>
          <w:p>
            <w:pPr>
              <w:widowControl/>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最大支持11个PCIE插槽，最大支持3个双宽GPU或者8个单宽GPU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53" w:type="pct"/>
            <w:tcBorders>
              <w:top w:val="single" w:color="auto" w:sz="4" w:space="0"/>
              <w:left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管理功能</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板载BMC管理模块，支持带外和带内远程管理控制，如IPMI2.0、KVM Over IP、SOL、SNMP等，可实现与操作系统无关的远程对服务器的完全控制。管理软件支持同时部署多台主机或按照计划时间进行特定部署，可监控服务器CPU、内存等资源使用率，批量日志收集等。支持中文BIOS界面设置，支持TPM/TCM安全模块，支持带内和带外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散热</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4个热插拔N+1冗余风扇；采用双转子大尺寸风扇，支持免工具热插拔维护。风扇转速自动调节，对节点透明；风流向前进后出；具备防回流设计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性能</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SPEC max-jOPS测试中性能</w:t>
            </w:r>
            <w:r>
              <w:rPr>
                <w:rFonts w:ascii="Times New Roman" w:hAnsi="Times New Roman" w:eastAsia="宋体" w:cs="Times New Roman"/>
                <w:color w:val="000000"/>
                <w:kern w:val="0"/>
                <w:szCs w:val="21"/>
              </w:rPr>
              <w:t>≥</w:t>
            </w:r>
            <w:r>
              <w:rPr>
                <w:rFonts w:ascii="Times New Roman" w:hAnsi="Times New Roman" w:eastAsia="宋体" w:cs="Times New Roman"/>
                <w:kern w:val="0"/>
                <w:szCs w:val="21"/>
              </w:rPr>
              <w:t>286000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可靠性硬件设计</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所投产品支持BMC/BIOS flash（ROM）硬件冗余、升级失败后自动回退或切换至另一片Flash启动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电源模块</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两个冗余热插拔电源; 支持-48V / 336V直流电源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稳定性</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产品MTBF 不低于20万小时，</w:t>
            </w:r>
            <w:r>
              <w:rPr>
                <w:rFonts w:ascii="Times New Roman" w:hAnsi="Times New Roman" w:eastAsia="宋体" w:cs="Times New Roman"/>
                <w:b/>
                <w:bCs/>
                <w:color w:val="000000"/>
                <w:kern w:val="0"/>
                <w:szCs w:val="21"/>
                <w:highlight w:val="none"/>
              </w:rPr>
              <w:t>提供CNAS或CMA的第三方测试机构的证明材料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53" w:type="pct"/>
            <w:vMerge w:val="restart"/>
            <w:tcBorders>
              <w:top w:val="single" w:color="auto" w:sz="4" w:space="0"/>
              <w:left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安全保护</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支持TPM安全可信模块，支持双机热备、N+1热备；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53" w:type="pct"/>
            <w:vMerge w:val="continue"/>
            <w:tcBorders>
              <w:left w:val="single" w:color="auto" w:sz="4" w:space="0"/>
              <w:right w:val="single" w:color="auto" w:sz="4" w:space="0"/>
            </w:tcBorders>
            <w:vAlign w:val="center"/>
          </w:tcPr>
          <w:p>
            <w:pPr>
              <w:widowControl/>
              <w:rPr>
                <w:rFonts w:ascii="Times New Roman" w:hAnsi="Times New Roman" w:eastAsia="宋体" w:cs="Times New Roman"/>
                <w:kern w:val="0"/>
                <w:szCs w:val="21"/>
              </w:rPr>
            </w:pP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支持硬盘数据安全擦除功能</w:t>
            </w:r>
            <w:r>
              <w:rPr>
                <w:rFonts w:ascii="Times New Roman" w:hAnsi="Times New Roman" w:eastAsia="宋体" w:cs="Times New Roman"/>
                <w:kern w:val="0"/>
                <w:szCs w:val="21"/>
                <w:highlight w:val="none"/>
              </w:rPr>
              <w:t>，</w:t>
            </w:r>
            <w:r>
              <w:rPr>
                <w:rFonts w:ascii="Times New Roman" w:hAnsi="Times New Roman" w:eastAsia="宋体" w:cs="Times New Roman"/>
                <w:b/>
                <w:bCs/>
                <w:kern w:val="0"/>
                <w:szCs w:val="21"/>
                <w:highlight w:val="none"/>
              </w:rPr>
              <w:t>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53"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服务</w:t>
            </w:r>
          </w:p>
        </w:tc>
        <w:tc>
          <w:tcPr>
            <w:tcW w:w="4346" w:type="pct"/>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三年原厂免费上门质保，供货时提供原厂质保函</w:t>
            </w:r>
          </w:p>
        </w:tc>
      </w:tr>
    </w:tbl>
    <w:p>
      <w:pPr>
        <w:rPr>
          <w:rFonts w:hint="eastAsia" w:asciiTheme="minorEastAsia" w:hAnsiTheme="minorEastAsia" w:eastAsiaTheme="minorEastAsia" w:cstheme="minorEastAsia"/>
          <w:color w:val="000000"/>
          <w:kern w:val="0"/>
          <w:sz w:val="24"/>
          <w:szCs w:val="24"/>
          <w:lang w:bidi="ar"/>
        </w:rPr>
      </w:pP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数据库容灾</w:t>
      </w:r>
      <w:r>
        <w:rPr>
          <w:rFonts w:hint="eastAsia" w:asciiTheme="minorEastAsia" w:hAnsiTheme="minorEastAsia" w:eastAsiaTheme="minorEastAsia" w:cstheme="minorEastAsia"/>
          <w:sz w:val="24"/>
          <w:szCs w:val="24"/>
          <w:lang w:val="en-US" w:eastAsia="zh-CN"/>
        </w:rPr>
        <w:t>服务器：</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5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指标项目</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5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总体要求</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≤3U标准服务器，国产品牌，自主研发，非OEM，适用于通用机房环境，支持标准机柜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54" w:type="pct"/>
            <w:shd w:val="clear" w:color="auto" w:fill="auto"/>
            <w:vAlign w:val="center"/>
          </w:tcPr>
          <w:p>
            <w:pPr>
              <w:widowControl/>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处理器要求</w:t>
            </w:r>
          </w:p>
        </w:tc>
        <w:tc>
          <w:tcPr>
            <w:tcW w:w="4345" w:type="pct"/>
            <w:shd w:val="clear" w:color="auto" w:fill="auto"/>
            <w:vAlign w:val="center"/>
          </w:tcPr>
          <w:p>
            <w:pPr>
              <w:widowControl/>
              <w:rPr>
                <w:rFonts w:ascii="Times New Roman" w:hAnsi="Times New Roman" w:eastAsia="宋体" w:cs="Times New Roman"/>
                <w:b/>
                <w:bCs/>
                <w:color w:val="000000"/>
                <w:kern w:val="0"/>
                <w:szCs w:val="21"/>
                <w:highlight w:val="none"/>
              </w:rPr>
            </w:pPr>
            <w:r>
              <w:rPr>
                <w:rFonts w:hint="eastAsia" w:ascii="Segoe UI Symbol" w:hAnsi="Segoe UI Symbol" w:eastAsia="宋体" w:cs="Segoe UI Symbol"/>
                <w:b/>
                <w:bCs/>
                <w:color w:val="000000"/>
                <w:kern w:val="0"/>
                <w:szCs w:val="21"/>
                <w:highlight w:val="none"/>
              </w:rPr>
              <w:t>☆</w:t>
            </w:r>
            <w:r>
              <w:rPr>
                <w:rFonts w:ascii="Times New Roman" w:hAnsi="Times New Roman" w:eastAsia="宋体" w:cs="Times New Roman"/>
                <w:b/>
                <w:bCs/>
                <w:color w:val="000000"/>
                <w:kern w:val="0"/>
                <w:szCs w:val="21"/>
                <w:highlight w:val="none"/>
              </w:rPr>
              <w:t xml:space="preserve">支持系列处理器，配置4颗Cooper Lake处理器（核数≥18C.主频≥2.5GHz）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4" w:type="pct"/>
            <w:shd w:val="clear" w:color="auto" w:fill="auto"/>
            <w:vAlign w:val="center"/>
          </w:tcPr>
          <w:p>
            <w:pPr>
              <w:widowControl/>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内存要求</w:t>
            </w:r>
          </w:p>
        </w:tc>
        <w:tc>
          <w:tcPr>
            <w:tcW w:w="4345" w:type="pct"/>
            <w:shd w:val="clear" w:color="auto" w:fill="auto"/>
            <w:vAlign w:val="center"/>
          </w:tcPr>
          <w:p>
            <w:pPr>
              <w:widowControl/>
              <w:rPr>
                <w:rFonts w:ascii="Times New Roman" w:hAnsi="Times New Roman" w:eastAsia="宋体" w:cs="Times New Roman"/>
                <w:b/>
                <w:bCs/>
                <w:color w:val="000000"/>
                <w:kern w:val="0"/>
                <w:szCs w:val="21"/>
                <w:highlight w:val="yellow"/>
              </w:rPr>
            </w:pPr>
            <w:r>
              <w:rPr>
                <w:rFonts w:ascii="Times New Roman" w:hAnsi="Times New Roman" w:eastAsia="宋体" w:cs="Times New Roman"/>
                <w:b w:val="0"/>
                <w:bCs w:val="0"/>
                <w:color w:val="000000"/>
                <w:kern w:val="0"/>
                <w:szCs w:val="21"/>
                <w:highlight w:val="none"/>
              </w:rPr>
              <w:t>总体要求：最大支持48个内存插槽；支持高级内存纠错（ECC）、内存镜像（Ememory mirroring）、内存热备（rank sparing）等高级功能；最大支持18T内存容量，最大支持3200MT/s工作频率，本次配置≥512G DDR4 3200 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4" w:type="pct"/>
            <w:vMerge w:val="restar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本地存储</w:t>
            </w:r>
          </w:p>
        </w:tc>
        <w:tc>
          <w:tcPr>
            <w:tcW w:w="4345"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总体要求：支持最大25个标准硬盘槽位，支持SAS/SATA/NVMe接口，支持24NVMe全闪配置，内置最大支持M.2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54" w:type="pct"/>
            <w:vMerge w:val="continue"/>
            <w:shd w:val="clear" w:color="auto" w:fill="auto"/>
            <w:vAlign w:val="center"/>
          </w:tcPr>
          <w:p>
            <w:pPr>
              <w:widowControl/>
              <w:jc w:val="left"/>
              <w:rPr>
                <w:rFonts w:ascii="Times New Roman" w:hAnsi="Times New Roman" w:eastAsia="宋体" w:cs="Times New Roman"/>
                <w:color w:val="000000"/>
                <w:kern w:val="0"/>
                <w:szCs w:val="21"/>
              </w:rPr>
            </w:pPr>
          </w:p>
        </w:tc>
        <w:tc>
          <w:tcPr>
            <w:tcW w:w="4345"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本次配置</w:t>
            </w:r>
            <w:r>
              <w:rPr>
                <w:rFonts w:ascii="Times New Roman" w:hAnsi="Times New Roman" w:eastAsia="宋体" w:cs="Times New Roman"/>
                <w:color w:val="000000"/>
                <w:kern w:val="0"/>
                <w:szCs w:val="21"/>
              </w:rPr>
              <w:t>≥</w:t>
            </w:r>
            <w:r>
              <w:rPr>
                <w:rFonts w:ascii="Times New Roman" w:hAnsi="Times New Roman" w:eastAsia="宋体" w:cs="Times New Roman"/>
                <w:color w:val="000000"/>
                <w:kern w:val="0"/>
                <w:sz w:val="22"/>
                <w:lang w:bidi="ar"/>
              </w:rPr>
              <w:t>6块3.84TB SSD硬盘；</w:t>
            </w:r>
            <w:r>
              <w:rPr>
                <w:rFonts w:ascii="Times New Roman" w:hAnsi="Times New Roman" w:eastAsia="宋体" w:cs="Times New Roman"/>
                <w:color w:val="000000"/>
                <w:kern w:val="0"/>
                <w:szCs w:val="21"/>
              </w:rPr>
              <w:t>≥</w:t>
            </w:r>
            <w:r>
              <w:rPr>
                <w:rFonts w:ascii="Times New Roman" w:hAnsi="Times New Roman" w:eastAsia="宋体" w:cs="Times New Roman"/>
                <w:color w:val="000000"/>
                <w:kern w:val="0"/>
                <w:sz w:val="22"/>
                <w:lang w:bidi="ar"/>
              </w:rPr>
              <w:t>2块480GB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标准接口</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支持≥4个USB3.0接口, ≥1个VGA接口, 1个专业管理网口，1个BMC诊断串口，1个系统串口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54" w:type="pct"/>
            <w:shd w:val="clear" w:color="auto" w:fill="auto"/>
            <w:vAlign w:val="center"/>
          </w:tcPr>
          <w:p>
            <w:pPr>
              <w:widowControl/>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RAID卡</w:t>
            </w:r>
          </w:p>
        </w:tc>
        <w:tc>
          <w:tcPr>
            <w:tcW w:w="4345" w:type="pct"/>
            <w:shd w:val="clear" w:color="auto" w:fill="auto"/>
            <w:vAlign w:val="center"/>
          </w:tcPr>
          <w:p>
            <w:pPr>
              <w:widowControl/>
              <w:rPr>
                <w:rFonts w:ascii="Times New Roman" w:hAnsi="Times New Roman" w:eastAsia="宋体" w:cs="Times New Roman"/>
                <w:color w:val="000000"/>
                <w:kern w:val="0"/>
                <w:szCs w:val="21"/>
                <w:highlight w:val="none"/>
              </w:rPr>
            </w:pPr>
            <w:r>
              <w:rPr>
                <w:rFonts w:ascii="Times New Roman" w:hAnsi="Times New Roman" w:eastAsia="宋体" w:cs="Times New Roman"/>
                <w:b w:val="0"/>
                <w:bCs w:val="0"/>
                <w:color w:val="000000"/>
                <w:kern w:val="0"/>
                <w:szCs w:val="21"/>
                <w:highlight w:val="none"/>
              </w:rPr>
              <w:t>配置raid卡，支持 RAID 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网络接口</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支持OCP网络模块，支持1Gb/10Gb/25Gb/100Gb/s速率，支持1/2/4个以太网或光纤网络接口</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配置≥4个千兆接口，配置≥4个万兆光口（含光模块）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54" w:type="pct"/>
            <w:vMerge w:val="restar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I/O扩展槽</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支持≥12个PCIE标准插槽，其中6个支持板载竖插无需Raiser，支持1个OCP 3.0卡扩展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54" w:type="pct"/>
            <w:vMerge w:val="continue"/>
            <w:vAlign w:val="center"/>
          </w:tcPr>
          <w:p>
            <w:pPr>
              <w:widowControl/>
              <w:jc w:val="left"/>
              <w:rPr>
                <w:rFonts w:ascii="Times New Roman" w:hAnsi="Times New Roman" w:eastAsia="宋体" w:cs="Times New Roman"/>
                <w:color w:val="000000"/>
                <w:kern w:val="0"/>
                <w:szCs w:val="21"/>
              </w:rPr>
            </w:pP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支持2个双宽GPU、4个单宽GPU，提供电源接口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5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电源</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配置≥2个电源（铂金），支持1+1冗余，支持可选钛金级别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散热</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冗余热插拔风扇（双转子）。由风扇控制器、风扇，独立风扇控制；采用双转子大尺寸风扇，支持免工具热插拔维护。风扇转速自动调节，对节点透明；风流向前进后出；具备防回流设计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4" w:type="pct"/>
            <w:vMerge w:val="restart"/>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管理功能</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集成系统管理芯片，支持IPMI2.0、KVM over IP、虚拟媒体等管理功能</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提供原厂服务器管理套件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54" w:type="pct"/>
            <w:vMerge w:val="continue"/>
            <w:vAlign w:val="center"/>
          </w:tcPr>
          <w:p>
            <w:pPr>
              <w:widowControl/>
              <w:jc w:val="left"/>
              <w:rPr>
                <w:rFonts w:ascii="Times New Roman" w:hAnsi="Times New Roman" w:eastAsia="宋体" w:cs="Times New Roman"/>
                <w:color w:val="000000"/>
                <w:kern w:val="0"/>
                <w:szCs w:val="21"/>
              </w:rPr>
            </w:pP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remote debug可带外进行debug，不用使用ITP工具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4" w:type="pct"/>
            <w:vMerge w:val="continue"/>
            <w:vAlign w:val="center"/>
          </w:tcPr>
          <w:p>
            <w:pPr>
              <w:widowControl/>
              <w:jc w:val="left"/>
              <w:rPr>
                <w:rFonts w:ascii="Times New Roman" w:hAnsi="Times New Roman" w:eastAsia="宋体" w:cs="Times New Roman"/>
                <w:color w:val="000000"/>
                <w:kern w:val="0"/>
                <w:szCs w:val="21"/>
              </w:rPr>
            </w:pPr>
          </w:p>
        </w:tc>
        <w:tc>
          <w:tcPr>
            <w:tcW w:w="4345" w:type="pct"/>
            <w:shd w:val="clear" w:color="auto" w:fill="auto"/>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板载BMC管理模块，支持带外和带内远程管理控制，如IPMI2.0、KVM Over IP、SOL、SNMP等，可实现与操作系统无关的远程对服务器的完全控制。管理软件支持同时部署多台主机或按照计划时间进行特定部署，可监控服务器CPU、内存等资源使用率，批量日志收集等。支持TPM/TCM安全模块，支持带内和带外安全管理。</w:t>
            </w:r>
          </w:p>
          <w:p>
            <w:pPr>
              <w:widowControl/>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支持显示CPU 信息，内存信息（容量，类型，速率）</w:t>
            </w:r>
            <w:r>
              <w:rPr>
                <w:rFonts w:hint="eastAsia" w:ascii="Times New Roman" w:hAnsi="Times New Roman" w:eastAsia="宋体" w:cs="Times New Roman"/>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5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安全可信</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支持TPM、TCM安全可信模块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54" w:type="pct"/>
            <w:shd w:val="clear" w:color="auto" w:fill="auto"/>
            <w:vAlign w:val="center"/>
          </w:tcPr>
          <w:p>
            <w:pPr>
              <w:widowControl/>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稳定性</w:t>
            </w:r>
          </w:p>
        </w:tc>
        <w:tc>
          <w:tcPr>
            <w:tcW w:w="4345" w:type="pct"/>
            <w:shd w:val="clear" w:color="auto" w:fill="auto"/>
            <w:vAlign w:val="center"/>
          </w:tcPr>
          <w:p>
            <w:pPr>
              <w:widowControl/>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MTBF 不低于20万小时，</w:t>
            </w:r>
            <w:r>
              <w:rPr>
                <w:rFonts w:ascii="Times New Roman" w:hAnsi="Times New Roman" w:eastAsia="宋体" w:cs="Times New Roman"/>
                <w:b/>
                <w:bCs/>
                <w:color w:val="000000"/>
                <w:kern w:val="0"/>
                <w:szCs w:val="21"/>
                <w:highlight w:val="none"/>
              </w:rPr>
              <w:t>提供CNAS或CMA的第三方测试机构的证明材料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54"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服务</w:t>
            </w:r>
          </w:p>
        </w:tc>
        <w:tc>
          <w:tcPr>
            <w:tcW w:w="4345" w:type="pct"/>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三年免费整机硬件保修，</w:t>
            </w:r>
            <w:r>
              <w:rPr>
                <w:rFonts w:ascii="Times New Roman" w:hAnsi="Times New Roman" w:eastAsia="宋体" w:cs="Times New Roman"/>
                <w:kern w:val="0"/>
                <w:szCs w:val="21"/>
              </w:rPr>
              <w:t>供货时提供原厂质保函</w:t>
            </w:r>
          </w:p>
        </w:tc>
      </w:tr>
    </w:tbl>
    <w:p>
      <w:pPr>
        <w:bidi w:val="0"/>
        <w:rPr>
          <w:rFonts w:hint="default"/>
          <w:lang w:val="en-US" w:eastAsia="zh-CN"/>
        </w:rPr>
      </w:pP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11.数据库容灾软件：</w:t>
      </w:r>
    </w:p>
    <w:tbl>
      <w:tblPr>
        <w:tblStyle w:val="63"/>
        <w:tblW w:w="4999" w:type="pct"/>
        <w:jc w:val="center"/>
        <w:tblLayout w:type="autofit"/>
        <w:tblCellMar>
          <w:top w:w="0" w:type="dxa"/>
          <w:left w:w="108" w:type="dxa"/>
          <w:bottom w:w="0" w:type="dxa"/>
          <w:right w:w="108" w:type="dxa"/>
        </w:tblCellMar>
      </w:tblPr>
      <w:tblGrid>
        <w:gridCol w:w="1343"/>
        <w:gridCol w:w="7944"/>
      </w:tblGrid>
      <w:tr>
        <w:tblPrEx>
          <w:tblCellMar>
            <w:top w:w="0" w:type="dxa"/>
            <w:left w:w="108" w:type="dxa"/>
            <w:bottom w:w="0" w:type="dxa"/>
            <w:right w:w="108" w:type="dxa"/>
          </w:tblCellMar>
        </w:tblPrEx>
        <w:trPr>
          <w:tblHeader/>
          <w:jc w:val="center"/>
        </w:trPr>
        <w:tc>
          <w:tcPr>
            <w:tcW w:w="723" w:type="pct"/>
            <w:tcBorders>
              <w:top w:val="single" w:color="auto" w:sz="4" w:space="0"/>
              <w:left w:val="single" w:color="auto" w:sz="4" w:space="0"/>
              <w:bottom w:val="single" w:color="auto" w:sz="8" w:space="0"/>
              <w:right w:val="single" w:color="auto" w:sz="8" w:space="0"/>
            </w:tcBorders>
            <w:vAlign w:val="center"/>
          </w:tcPr>
          <w:p>
            <w:pPr>
              <w:widowControl/>
              <w:spacing w:line="276" w:lineRule="auto"/>
              <w:jc w:val="center"/>
              <w:rPr>
                <w:rFonts w:ascii="宋体" w:hAnsi="宋体" w:cs="宋体"/>
                <w:b/>
                <w:kern w:val="0"/>
                <w:szCs w:val="21"/>
              </w:rPr>
            </w:pPr>
            <w:r>
              <w:rPr>
                <w:rFonts w:hint="eastAsia" w:ascii="宋体" w:hAnsi="宋体" w:cs="宋体"/>
                <w:b/>
                <w:kern w:val="0"/>
                <w:szCs w:val="21"/>
              </w:rPr>
              <w:t>功能要求</w:t>
            </w:r>
          </w:p>
        </w:tc>
        <w:tc>
          <w:tcPr>
            <w:tcW w:w="4276" w:type="pct"/>
            <w:tcBorders>
              <w:top w:val="single" w:color="auto" w:sz="4" w:space="0"/>
              <w:left w:val="nil"/>
              <w:bottom w:val="single" w:color="auto" w:sz="8" w:space="0"/>
              <w:right w:val="single" w:color="auto" w:sz="4" w:space="0"/>
            </w:tcBorders>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技术服务规格参数</w:t>
            </w:r>
          </w:p>
        </w:tc>
      </w:tr>
      <w:tr>
        <w:tblPrEx>
          <w:tblCellMar>
            <w:top w:w="0" w:type="dxa"/>
            <w:left w:w="108" w:type="dxa"/>
            <w:bottom w:w="0" w:type="dxa"/>
            <w:right w:w="108" w:type="dxa"/>
          </w:tblCellMar>
        </w:tblPrEx>
        <w:trPr>
          <w:trHeight w:val="90" w:hRule="atLeast"/>
          <w:tblHeader/>
          <w:jc w:val="center"/>
        </w:trPr>
        <w:tc>
          <w:tcPr>
            <w:tcW w:w="723" w:type="pct"/>
            <w:tcBorders>
              <w:top w:val="single" w:color="auto" w:sz="8" w:space="0"/>
              <w:left w:val="single" w:color="auto" w:sz="4" w:space="0"/>
              <w:bottom w:val="single" w:color="auto" w:sz="8" w:space="0"/>
              <w:right w:val="single" w:color="auto" w:sz="8" w:space="0"/>
            </w:tcBorders>
            <w:vAlign w:val="center"/>
          </w:tcPr>
          <w:p>
            <w:pPr>
              <w:topLinePunct/>
              <w:jc w:val="center"/>
              <w:rPr>
                <w:rFonts w:hint="eastAsia" w:ascii="宋体" w:hAnsi="宋体" w:cs="仿宋_GB2312" w:eastAsiaTheme="minorEastAsia"/>
                <w:kern w:val="2"/>
                <w:sz w:val="21"/>
                <w:szCs w:val="21"/>
                <w:lang w:val="en-US" w:eastAsia="zh-CN" w:bidi="ar-SA"/>
              </w:rPr>
            </w:pPr>
            <w:r>
              <w:rPr>
                <w:rFonts w:hint="eastAsia" w:ascii="宋体" w:hAnsi="宋体" w:cs="仿宋_GB2312"/>
                <w:szCs w:val="21"/>
              </w:rPr>
              <w:t>容灾建设要求</w:t>
            </w:r>
          </w:p>
        </w:tc>
        <w:tc>
          <w:tcPr>
            <w:tcW w:w="4276" w:type="pct"/>
            <w:tcBorders>
              <w:top w:val="single" w:color="auto" w:sz="8" w:space="0"/>
              <w:left w:val="nil"/>
              <w:bottom w:val="single" w:color="auto" w:sz="8" w:space="0"/>
              <w:right w:val="single" w:color="auto" w:sz="4" w:space="0"/>
            </w:tcBorders>
            <w:vAlign w:val="center"/>
          </w:tcPr>
          <w:p>
            <w:pPr>
              <w:topLinePunct/>
              <w:rPr>
                <w:rFonts w:hint="eastAsia" w:ascii="宋体" w:hAnsi="宋体" w:eastAsiaTheme="minorEastAsia" w:cstheme="minorBidi"/>
                <w:kern w:val="2"/>
                <w:sz w:val="21"/>
                <w:szCs w:val="21"/>
                <w:lang w:val="en-US" w:eastAsia="zh-CN" w:bidi="ar-SA"/>
              </w:rPr>
            </w:pPr>
            <w:r>
              <w:rPr>
                <w:rFonts w:hint="eastAsia" w:ascii="宋体" w:hAnsi="宋体" w:cs="宋体"/>
                <w:kern w:val="0"/>
                <w:szCs w:val="21"/>
              </w:rPr>
              <w:t>根据用户数据库系统重要程度，建设相应的容灾保护策略；如：针对</w:t>
            </w:r>
            <w:r>
              <w:rPr>
                <w:rFonts w:hint="eastAsia" w:ascii="宋体" w:hAnsi="宋体" w:cs="宋体"/>
                <w:kern w:val="0"/>
                <w:szCs w:val="21"/>
                <w:lang w:val="en-US" w:eastAsia="zh-Hans"/>
              </w:rPr>
              <w:t>重要</w:t>
            </w:r>
            <w:r>
              <w:rPr>
                <w:rFonts w:hint="eastAsia" w:ascii="宋体" w:hAnsi="宋体" w:cs="宋体"/>
                <w:kern w:val="0"/>
                <w:szCs w:val="21"/>
              </w:rPr>
              <w:t>数据库，容灾要求R</w:t>
            </w:r>
            <w:r>
              <w:rPr>
                <w:rFonts w:ascii="宋体" w:hAnsi="宋体" w:cs="宋体"/>
                <w:kern w:val="0"/>
                <w:szCs w:val="21"/>
              </w:rPr>
              <w:t>TO</w:t>
            </w:r>
            <w:r>
              <w:rPr>
                <w:rFonts w:hint="eastAsia" w:ascii="宋体" w:hAnsi="宋体" w:cs="宋体"/>
                <w:kern w:val="0"/>
                <w:szCs w:val="21"/>
              </w:rPr>
              <w:t>（业务恢复时间）≤</w:t>
            </w:r>
            <w:r>
              <w:rPr>
                <w:rFonts w:ascii="宋体" w:hAnsi="宋体" w:cs="宋体"/>
                <w:kern w:val="0"/>
                <w:szCs w:val="21"/>
              </w:rPr>
              <w:t>30</w:t>
            </w:r>
            <w:r>
              <w:rPr>
                <w:rFonts w:hint="eastAsia" w:ascii="宋体" w:hAnsi="宋体" w:cs="宋体"/>
                <w:kern w:val="0"/>
                <w:szCs w:val="21"/>
              </w:rPr>
              <w:t>分钟、容灾</w:t>
            </w:r>
            <w:r>
              <w:rPr>
                <w:rFonts w:ascii="宋体" w:hAnsi="宋体" w:cs="宋体"/>
                <w:kern w:val="0"/>
                <w:szCs w:val="21"/>
              </w:rPr>
              <w:t>RPO</w:t>
            </w:r>
            <w:r>
              <w:rPr>
                <w:rFonts w:hint="eastAsia" w:ascii="宋体" w:hAnsi="宋体" w:cs="宋体"/>
                <w:kern w:val="0"/>
                <w:szCs w:val="21"/>
              </w:rPr>
              <w:t>（数据丢失量）≤</w:t>
            </w:r>
            <w:r>
              <w:rPr>
                <w:rFonts w:hint="default" w:ascii="宋体" w:hAnsi="宋体" w:cs="宋体"/>
                <w:kern w:val="0"/>
                <w:szCs w:val="21"/>
              </w:rPr>
              <w:t>5</w:t>
            </w:r>
            <w:r>
              <w:rPr>
                <w:rFonts w:hint="eastAsia" w:ascii="宋体" w:hAnsi="宋体" w:cs="宋体"/>
                <w:kern w:val="0"/>
                <w:szCs w:val="21"/>
              </w:rPr>
              <w:t>分钟，一般业务系统</w:t>
            </w:r>
            <w:r>
              <w:rPr>
                <w:rFonts w:hint="eastAsia" w:ascii="宋体" w:hAnsi="宋体" w:cs="宋体"/>
                <w:kern w:val="0"/>
                <w:szCs w:val="21"/>
                <w:lang w:val="en-US" w:eastAsia="zh-Hans"/>
              </w:rPr>
              <w:t>每天定时备份</w:t>
            </w:r>
            <w:r>
              <w:rPr>
                <w:rFonts w:hint="eastAsia" w:ascii="宋体" w:hAnsi="宋体" w:cs="宋体"/>
                <w:kern w:val="0"/>
                <w:szCs w:val="21"/>
              </w:rPr>
              <w:t>；确保计划内和非计划内的数据库容灾切换及回切的有效性建设成果。</w:t>
            </w:r>
          </w:p>
        </w:tc>
      </w:tr>
      <w:tr>
        <w:tblPrEx>
          <w:tblCellMar>
            <w:top w:w="0" w:type="dxa"/>
            <w:left w:w="108" w:type="dxa"/>
            <w:bottom w:w="0" w:type="dxa"/>
            <w:right w:w="108" w:type="dxa"/>
          </w:tblCellMar>
        </w:tblPrEx>
        <w:trPr>
          <w:trHeight w:val="1360" w:hRule="atLeast"/>
          <w:tblHeader/>
          <w:jc w:val="center"/>
        </w:trPr>
        <w:tc>
          <w:tcPr>
            <w:tcW w:w="723" w:type="pct"/>
            <w:tcBorders>
              <w:left w:val="single" w:color="auto" w:sz="4" w:space="0"/>
              <w:right w:val="single" w:color="auto" w:sz="8" w:space="0"/>
            </w:tcBorders>
            <w:vAlign w:val="center"/>
          </w:tc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lang w:val="en-US" w:eastAsia="zh-Hans"/>
              </w:rPr>
              <w:t>重要数据库的容灾要求</w:t>
            </w:r>
            <w:r>
              <w:rPr>
                <w:rFonts w:hint="default" w:ascii="宋体" w:hAnsi="宋体"/>
                <w:szCs w:val="21"/>
                <w:lang w:eastAsia="zh-Hans"/>
              </w:rPr>
              <w:t>，</w:t>
            </w:r>
            <w:r>
              <w:rPr>
                <w:rFonts w:hint="eastAsia" w:ascii="宋体" w:hAnsi="宋体"/>
                <w:szCs w:val="21"/>
              </w:rPr>
              <w:t>要求数据库同步容灾软件实现主备中心之间的数据实时复制，一是应用于应用级容灾备份，当生产系统发生故障或灾难时，可以及时启用备用系统，减少业务系统下线时间；二是应用于数据分析、抽取、转换。并要求备用中心数据库始终处于</w:t>
            </w:r>
            <w:r>
              <w:rPr>
                <w:rFonts w:hint="eastAsia" w:ascii="宋体" w:hAnsi="宋体"/>
                <w:szCs w:val="21"/>
                <w:lang w:val="en-US" w:eastAsia="zh-Hans"/>
              </w:rPr>
              <w:t>开启</w:t>
            </w:r>
            <w:r>
              <w:rPr>
                <w:rFonts w:hint="eastAsia" w:ascii="宋体" w:hAnsi="宋体"/>
                <w:szCs w:val="21"/>
              </w:rPr>
              <w:t>状态，用于提供数据查询和统计报表功能</w:t>
            </w:r>
            <w:r>
              <w:rPr>
                <w:rFonts w:hint="eastAsia" w:ascii="宋体" w:hAnsi="宋体"/>
                <w:szCs w:val="21"/>
                <w:lang w:val="en-US" w:eastAsia="zh-Hans"/>
              </w:rPr>
              <w:t>或者作为测试数据库</w:t>
            </w:r>
            <w:r>
              <w:rPr>
                <w:rFonts w:hint="eastAsia" w:ascii="宋体" w:hAnsi="宋体"/>
                <w:szCs w:val="21"/>
              </w:rPr>
              <w:t>。</w:t>
            </w:r>
          </w:p>
        </w:tc>
      </w:tr>
      <w:tr>
        <w:tblPrEx>
          <w:tblCellMar>
            <w:top w:w="0" w:type="dxa"/>
            <w:left w:w="108" w:type="dxa"/>
            <w:bottom w:w="0" w:type="dxa"/>
            <w:right w:w="108" w:type="dxa"/>
          </w:tblCellMar>
        </w:tblPrEx>
        <w:trPr>
          <w:tblHeader/>
          <w:jc w:val="center"/>
        </w:trPr>
        <w:tc>
          <w:tcPr>
            <w:tcW w:w="723" w:type="pct"/>
            <w:tcBorders>
              <w:top w:val="single" w:color="auto" w:sz="8" w:space="0"/>
              <w:left w:val="single" w:color="auto" w:sz="4" w:space="0"/>
              <w:bottom w:val="single" w:color="auto" w:sz="8" w:space="0"/>
              <w:right w:val="single" w:color="auto" w:sz="8" w:space="0"/>
            </w:tcBorders>
            <w:vAlign w:val="center"/>
          </w:tcPr>
          <w:p>
            <w:pPr>
              <w:widowControl/>
              <w:spacing w:line="240" w:lineRule="atLeast"/>
              <w:jc w:val="center"/>
              <w:rPr>
                <w:rFonts w:ascii="宋体" w:hAnsi="宋体"/>
                <w:szCs w:val="21"/>
              </w:rPr>
            </w:pPr>
            <w:r>
              <w:rPr>
                <w:rFonts w:hint="eastAsia" w:ascii="宋体" w:hAnsi="宋体"/>
                <w:szCs w:val="21"/>
              </w:rPr>
              <w:t>基本功能要求</w:t>
            </w:r>
          </w:p>
        </w:tc>
        <w:tc>
          <w:tcPr>
            <w:tcW w:w="4276" w:type="pct"/>
            <w:tcBorders>
              <w:top w:val="single" w:color="auto" w:sz="8" w:space="0"/>
              <w:left w:val="nil"/>
              <w:bottom w:val="single" w:color="auto" w:sz="8" w:space="0"/>
              <w:right w:val="single" w:color="auto" w:sz="4" w:space="0"/>
            </w:tcBorders>
          </w:tcPr>
          <w:p>
            <w:pPr>
              <w:rPr>
                <w:rFonts w:ascii="宋体" w:hAnsi="宋体"/>
                <w:szCs w:val="21"/>
              </w:rPr>
            </w:pPr>
            <w:r>
              <w:rPr>
                <w:rFonts w:hint="eastAsia" w:ascii="宋体" w:hAnsi="宋体"/>
                <w:szCs w:val="21"/>
              </w:rPr>
              <w:t>1、支持对文件数据的同步，包括应用程序、文件等；</w:t>
            </w:r>
          </w:p>
          <w:p>
            <w:pPr>
              <w:rPr>
                <w:rFonts w:hint="default" w:ascii="宋体" w:hAnsi="宋体"/>
                <w:szCs w:val="21"/>
              </w:rPr>
            </w:pPr>
            <w:r>
              <w:rPr>
                <w:rFonts w:hint="eastAsia" w:ascii="宋体" w:hAnsi="宋体"/>
                <w:szCs w:val="21"/>
              </w:rPr>
              <w:t>2、支持Oracle、mysql、SQLServer、达梦、人大金仓等数据库的交易复制，且备用数据库始终处于</w:t>
            </w:r>
            <w:r>
              <w:rPr>
                <w:rFonts w:hint="eastAsia" w:ascii="宋体" w:hAnsi="宋体"/>
                <w:szCs w:val="21"/>
                <w:lang w:val="en-US" w:eastAsia="zh-Hans"/>
              </w:rPr>
              <w:t>只读</w:t>
            </w:r>
            <w:r>
              <w:rPr>
                <w:rFonts w:hint="eastAsia" w:ascii="宋体" w:hAnsi="宋体"/>
                <w:szCs w:val="21"/>
              </w:rPr>
              <w:t>状态</w:t>
            </w:r>
            <w:r>
              <w:rPr>
                <w:rFonts w:hint="default" w:ascii="宋体" w:hAnsi="宋体"/>
                <w:szCs w:val="21"/>
              </w:rPr>
              <w:t>。</w:t>
            </w:r>
          </w:p>
        </w:tc>
      </w:tr>
      <w:tr>
        <w:tblPrEx>
          <w:tblCellMar>
            <w:top w:w="0" w:type="dxa"/>
            <w:left w:w="108" w:type="dxa"/>
            <w:bottom w:w="0" w:type="dxa"/>
            <w:right w:w="108" w:type="dxa"/>
          </w:tblCellMar>
        </w:tblPrEx>
        <w:trPr>
          <w:trHeight w:val="442" w:hRule="atLeast"/>
          <w:tblHeader/>
          <w:jc w:val="center"/>
        </w:trPr>
        <w:tc>
          <w:tcPr>
            <w:tcW w:w="723" w:type="pct"/>
            <w:tcBorders>
              <w:top w:val="single" w:color="auto" w:sz="8" w:space="0"/>
              <w:left w:val="single" w:color="auto" w:sz="4" w:space="0"/>
              <w:bottom w:val="nil"/>
              <w:right w:val="single" w:color="auto" w:sz="8" w:space="0"/>
            </w:tcBorders>
            <w:vAlign w:val="center"/>
          </w:tcPr>
          <w:p>
            <w:pPr>
              <w:widowControl/>
              <w:spacing w:line="240" w:lineRule="atLeast"/>
              <w:jc w:val="center"/>
              <w:rPr>
                <w:rFonts w:ascii="宋体" w:hAnsi="宋体"/>
                <w:szCs w:val="21"/>
              </w:rPr>
            </w:pPr>
            <w:r>
              <w:rPr>
                <w:rFonts w:hint="eastAsia" w:ascii="宋体" w:hAnsi="宋体"/>
                <w:szCs w:val="21"/>
              </w:rPr>
              <w:t>研发要求</w:t>
            </w:r>
          </w:p>
        </w:tc>
        <w:tc>
          <w:tcPr>
            <w:tcW w:w="4276" w:type="pct"/>
            <w:tcBorders>
              <w:top w:val="single" w:color="auto" w:sz="8" w:space="0"/>
              <w:left w:val="nil"/>
              <w:bottom w:val="nil"/>
              <w:right w:val="single" w:color="auto" w:sz="4" w:space="0"/>
            </w:tcBorders>
          </w:tcPr>
          <w:p>
            <w:pPr>
              <w:rPr>
                <w:rFonts w:ascii="宋体" w:hAnsi="宋体"/>
                <w:szCs w:val="21"/>
              </w:rPr>
            </w:pPr>
            <w:r>
              <w:rPr>
                <w:rFonts w:hint="eastAsia" w:ascii="宋体" w:hAnsi="宋体"/>
                <w:szCs w:val="21"/>
              </w:rPr>
              <w:t>通过独立开发实现数据库日志分析、交易排序、数据格式化、传输压缩、高速装载等数据同步全部过程。</w:t>
            </w:r>
          </w:p>
        </w:tc>
      </w:tr>
      <w:tr>
        <w:tblPrEx>
          <w:tblCellMar>
            <w:top w:w="0" w:type="dxa"/>
            <w:left w:w="108" w:type="dxa"/>
            <w:bottom w:w="0" w:type="dxa"/>
            <w:right w:w="108" w:type="dxa"/>
          </w:tblCellMar>
        </w:tblPrEx>
        <w:trPr>
          <w:tblHeader/>
          <w:jc w:val="center"/>
        </w:trPr>
        <w:tc>
          <w:tcPr>
            <w:tcW w:w="723" w:type="pct"/>
            <w:vMerge w:val="restart"/>
            <w:tcBorders>
              <w:top w:val="single" w:color="auto" w:sz="8" w:space="0"/>
              <w:left w:val="single" w:color="auto" w:sz="4" w:space="0"/>
              <w:right w:val="single" w:color="auto" w:sz="8" w:space="0"/>
            </w:tcBorders>
            <w:vAlign w:val="center"/>
          </w:tcPr>
          <w:p>
            <w:pPr>
              <w:widowControl/>
              <w:spacing w:line="240" w:lineRule="atLeast"/>
              <w:jc w:val="center"/>
              <w:rPr>
                <w:rFonts w:hint="eastAsia" w:ascii="宋体" w:hAnsi="宋体"/>
                <w:szCs w:val="21"/>
              </w:rPr>
            </w:pPr>
            <w:r>
              <w:rPr>
                <w:rFonts w:hint="eastAsia" w:ascii="宋体" w:hAnsi="宋体"/>
                <w:szCs w:val="21"/>
                <w:lang w:eastAsia="zh-Hans"/>
              </w:rPr>
              <w:t>操作系统</w:t>
            </w:r>
            <w:r>
              <w:rPr>
                <w:rFonts w:hint="eastAsia" w:ascii="宋体" w:hAnsi="宋体"/>
                <w:szCs w:val="21"/>
                <w:lang w:val="en-US" w:eastAsia="zh-Hans"/>
              </w:rPr>
              <w:t>兼容性</w:t>
            </w:r>
            <w:r>
              <w:rPr>
                <w:rFonts w:hint="eastAsia" w:ascii="宋体" w:hAnsi="宋体"/>
                <w:szCs w:val="21"/>
                <w:lang w:eastAsia="zh-Hans"/>
              </w:rPr>
              <w:t>支持</w:t>
            </w:r>
          </w:p>
        </w:tc>
        <w:tc>
          <w:tcPr>
            <w:tcW w:w="4276" w:type="pct"/>
            <w:tcBorders>
              <w:top w:val="single" w:color="auto" w:sz="8" w:space="0"/>
              <w:left w:val="nil"/>
              <w:bottom w:val="single" w:color="auto" w:sz="8" w:space="0"/>
              <w:right w:val="single" w:color="auto" w:sz="4" w:space="0"/>
            </w:tcBorders>
            <w:vAlign w:val="top"/>
          </w:tcPr>
          <w:p>
            <w:pPr>
              <w:widowControl/>
              <w:spacing w:line="240" w:lineRule="atLeast"/>
              <w:jc w:val="left"/>
              <w:rPr>
                <w:rFonts w:hint="eastAsia" w:ascii="宋体" w:hAnsi="宋体"/>
                <w:szCs w:val="21"/>
              </w:rPr>
            </w:pPr>
            <w:r>
              <w:rPr>
                <w:rFonts w:hint="eastAsia" w:ascii="宋体" w:hAnsi="宋体"/>
                <w:szCs w:val="21"/>
              </w:rPr>
              <w:t>支持主流国产操作系统中标麒麟/银河麒麟，Linux主流品牌和版本（Redhat linux/CentOS</w:t>
            </w:r>
            <w:r>
              <w:rPr>
                <w:rFonts w:hint="default" w:ascii="宋体" w:hAnsi="宋体"/>
                <w:szCs w:val="21"/>
              </w:rPr>
              <w:t xml:space="preserve">/ </w:t>
            </w:r>
            <w:r>
              <w:rPr>
                <w:rFonts w:hint="eastAsia" w:ascii="宋体" w:hAnsi="宋体"/>
                <w:szCs w:val="21"/>
              </w:rPr>
              <w:t>）/Windows</w:t>
            </w:r>
            <w:r>
              <w:rPr>
                <w:rFonts w:hint="eastAsia" w:ascii="宋体" w:hAnsi="宋体"/>
                <w:szCs w:val="21"/>
                <w:lang w:eastAsia="zh-Hans"/>
              </w:rPr>
              <w:t>/</w:t>
            </w:r>
            <w:r>
              <w:rPr>
                <w:rFonts w:hint="eastAsia" w:ascii="宋体" w:hAnsi="宋体"/>
                <w:szCs w:val="21"/>
                <w:lang w:val="en-US" w:eastAsia="zh-Hans"/>
              </w:rPr>
              <w:t>统信</w:t>
            </w:r>
            <w:r>
              <w:rPr>
                <w:rFonts w:hint="default" w:ascii="宋体" w:hAnsi="宋体"/>
                <w:szCs w:val="21"/>
                <w:lang w:eastAsia="zh-Hans"/>
              </w:rPr>
              <w:t>；</w:t>
            </w:r>
          </w:p>
        </w:tc>
      </w:tr>
      <w:tr>
        <w:tblPrEx>
          <w:tblCellMar>
            <w:top w:w="0" w:type="dxa"/>
            <w:left w:w="108" w:type="dxa"/>
            <w:bottom w:w="0" w:type="dxa"/>
            <w:right w:w="108" w:type="dxa"/>
          </w:tblCellMar>
        </w:tblPrEx>
        <w:trPr>
          <w:tblHeader/>
          <w:jc w:val="center"/>
        </w:trPr>
        <w:tc>
          <w:tcPr>
            <w:tcW w:w="723" w:type="pct"/>
            <w:vMerge w:val="continue"/>
            <w:tcBorders>
              <w:left w:val="single" w:color="auto" w:sz="4" w:space="0"/>
              <w:bottom w:val="single" w:color="auto" w:sz="8" w:space="0"/>
              <w:right w:val="single" w:color="auto" w:sz="8" w:space="0"/>
            </w:tcBorders>
            <w:vAlign w:val="center"/>
          </w:tcPr>
          <w:p>
            <w:pPr>
              <w:widowControl/>
              <w:spacing w:line="240" w:lineRule="atLeast"/>
              <w:jc w:val="center"/>
              <w:rPr>
                <w:rFonts w:hint="eastAsia" w:ascii="宋体" w:hAnsi="宋体"/>
                <w:szCs w:val="21"/>
              </w:rPr>
            </w:pPr>
          </w:p>
        </w:tc>
        <w:tc>
          <w:tcPr>
            <w:tcW w:w="4276" w:type="pct"/>
            <w:tcBorders>
              <w:top w:val="single" w:color="auto" w:sz="8" w:space="0"/>
              <w:left w:val="nil"/>
              <w:bottom w:val="single" w:color="auto" w:sz="8" w:space="0"/>
              <w:right w:val="single" w:color="auto" w:sz="4" w:space="0"/>
            </w:tcBorders>
            <w:vAlign w:val="top"/>
          </w:tcPr>
          <w:p>
            <w:pPr>
              <w:widowControl/>
              <w:spacing w:line="240" w:lineRule="atLeast"/>
              <w:jc w:val="left"/>
              <w:rPr>
                <w:rFonts w:hint="eastAsia" w:ascii="宋体" w:hAnsi="宋体"/>
                <w:szCs w:val="21"/>
              </w:rPr>
            </w:pPr>
            <w:r>
              <w:rPr>
                <w:rFonts w:hint="eastAsia" w:ascii="宋体" w:hAnsi="宋体"/>
                <w:szCs w:val="21"/>
                <w:lang w:eastAsia="zh-Hans"/>
              </w:rPr>
              <w:t>HP-UNIX 11.23 v2 for PA/HP-UNIX 11.23 v2 for IA/Sun Solaris 9,10/IBM AIX 5</w:t>
            </w:r>
            <w:r>
              <w:rPr>
                <w:rFonts w:hint="eastAsia" w:ascii="宋体" w:hAnsi="宋体"/>
                <w:szCs w:val="21"/>
              </w:rPr>
              <w:t>/AS400</w:t>
            </w:r>
            <w:r>
              <w:rPr>
                <w:rFonts w:hint="eastAsia" w:ascii="宋体" w:hAnsi="宋体"/>
                <w:szCs w:val="21"/>
                <w:lang w:eastAsia="zh-Hans"/>
              </w:rPr>
              <w:t>以上版本</w:t>
            </w:r>
          </w:p>
        </w:tc>
      </w:tr>
      <w:tr>
        <w:tblPrEx>
          <w:tblCellMar>
            <w:top w:w="0" w:type="dxa"/>
            <w:left w:w="108" w:type="dxa"/>
            <w:bottom w:w="0" w:type="dxa"/>
            <w:right w:w="108" w:type="dxa"/>
          </w:tblCellMar>
        </w:tblPrEx>
        <w:trPr>
          <w:tblHeader/>
          <w:jc w:val="center"/>
        </w:trPr>
        <w:tc>
          <w:tcPr>
            <w:tcW w:w="723" w:type="pct"/>
            <w:vMerge w:val="restart"/>
            <w:tcBorders>
              <w:top w:val="single" w:color="auto" w:sz="8" w:space="0"/>
              <w:left w:val="single" w:color="auto" w:sz="4" w:space="0"/>
              <w:right w:val="single" w:color="auto" w:sz="8" w:space="0"/>
            </w:tcBorders>
            <w:vAlign w:val="center"/>
          </w:tcPr>
          <w:p>
            <w:pPr>
              <w:widowControl/>
              <w:spacing w:line="240" w:lineRule="atLeast"/>
              <w:jc w:val="center"/>
              <w:rPr>
                <w:rFonts w:hint="eastAsia" w:ascii="宋体" w:hAnsi="宋体"/>
                <w:szCs w:val="21"/>
              </w:rPr>
            </w:pPr>
            <w:r>
              <w:rPr>
                <w:rFonts w:hint="eastAsia" w:ascii="宋体" w:hAnsi="宋体"/>
                <w:szCs w:val="21"/>
                <w:lang w:val="en-US" w:eastAsia="zh-Hans"/>
              </w:rPr>
              <w:t>数据库兼容性</w:t>
            </w:r>
            <w:r>
              <w:rPr>
                <w:rFonts w:hint="eastAsia" w:ascii="宋体" w:hAnsi="宋体"/>
                <w:szCs w:val="21"/>
                <w:lang w:eastAsia="zh-Hans"/>
              </w:rPr>
              <w:t>支持</w:t>
            </w:r>
          </w:p>
        </w:tc>
        <w:tc>
          <w:tcPr>
            <w:tcW w:w="4276" w:type="pct"/>
            <w:tcBorders>
              <w:top w:val="single" w:color="auto" w:sz="8" w:space="0"/>
              <w:left w:val="nil"/>
              <w:bottom w:val="single" w:color="auto" w:sz="8" w:space="0"/>
              <w:right w:val="single" w:color="auto" w:sz="4" w:space="0"/>
            </w:tcBorders>
            <w:vAlign w:val="top"/>
          </w:tcPr>
          <w:p>
            <w:pPr>
              <w:widowControl/>
              <w:spacing w:line="240" w:lineRule="atLeast"/>
              <w:jc w:val="center"/>
              <w:rPr>
                <w:rFonts w:hint="eastAsia" w:ascii="宋体" w:hAnsi="宋体"/>
                <w:szCs w:val="21"/>
              </w:rPr>
            </w:pPr>
            <w:r>
              <w:rPr>
                <w:rFonts w:hint="eastAsia" w:ascii="宋体" w:hAnsi="宋体"/>
                <w:szCs w:val="21"/>
                <w:lang w:val="en-US" w:eastAsia="zh-Hans"/>
              </w:rPr>
              <w:t>支持</w:t>
            </w:r>
            <w:r>
              <w:rPr>
                <w:rFonts w:hint="eastAsia" w:ascii="宋体" w:hAnsi="宋体"/>
                <w:szCs w:val="21"/>
              </w:rPr>
              <w:t>Oracle、mysql、SQLServer、达梦、人大金仓数据库</w:t>
            </w:r>
            <w:r>
              <w:rPr>
                <w:rFonts w:hint="eastAsia" w:ascii="宋体" w:hAnsi="宋体"/>
                <w:szCs w:val="21"/>
                <w:lang w:val="en-US" w:eastAsia="zh-Hans"/>
              </w:rPr>
              <w:t>的实时同步容灾</w:t>
            </w:r>
            <w:r>
              <w:rPr>
                <w:rFonts w:hint="default" w:ascii="宋体" w:hAnsi="宋体"/>
                <w:szCs w:val="21"/>
                <w:lang w:eastAsia="zh-Hans"/>
              </w:rPr>
              <w:t>。</w:t>
            </w:r>
          </w:p>
        </w:tc>
      </w:tr>
      <w:tr>
        <w:tblPrEx>
          <w:tblCellMar>
            <w:top w:w="0" w:type="dxa"/>
            <w:left w:w="108" w:type="dxa"/>
            <w:bottom w:w="0" w:type="dxa"/>
            <w:right w:w="108" w:type="dxa"/>
          </w:tblCellMar>
        </w:tblPrEx>
        <w:trPr>
          <w:tblHeader/>
          <w:jc w:val="center"/>
        </w:trPr>
        <w:tc>
          <w:tcPr>
            <w:tcW w:w="723" w:type="pct"/>
            <w:vMerge w:val="continue"/>
            <w:tcBorders>
              <w:left w:val="single" w:color="auto" w:sz="4" w:space="0"/>
              <w:bottom w:val="single" w:color="auto" w:sz="8" w:space="0"/>
              <w:right w:val="single" w:color="auto" w:sz="8" w:space="0"/>
            </w:tcBorders>
            <w:vAlign w:val="center"/>
          </w:tcPr>
          <w:p>
            <w:pPr>
              <w:widowControl/>
              <w:spacing w:line="240" w:lineRule="atLeast"/>
              <w:jc w:val="center"/>
              <w:rPr>
                <w:rFonts w:hint="eastAsia" w:ascii="宋体" w:hAnsi="宋体"/>
                <w:szCs w:val="21"/>
              </w:rPr>
            </w:pPr>
          </w:p>
        </w:tc>
        <w:tc>
          <w:tcPr>
            <w:tcW w:w="4276" w:type="pct"/>
            <w:tcBorders>
              <w:top w:val="single" w:color="auto" w:sz="8" w:space="0"/>
              <w:left w:val="nil"/>
              <w:bottom w:val="single" w:color="auto" w:sz="8" w:space="0"/>
              <w:right w:val="single" w:color="auto" w:sz="4" w:space="0"/>
            </w:tcBorders>
            <w:vAlign w:val="top"/>
          </w:tcPr>
          <w:p>
            <w:pPr>
              <w:rPr>
                <w:rFonts w:hint="eastAsia" w:ascii="宋体" w:hAnsi="宋体" w:eastAsia="宋体"/>
                <w:szCs w:val="21"/>
                <w:lang w:eastAsia="zh-CN"/>
              </w:rPr>
            </w:pPr>
            <w:r>
              <w:rPr>
                <w:rFonts w:hint="eastAsia"/>
              </w:rPr>
              <w:t>与</w:t>
            </w:r>
            <w:r>
              <w:rPr>
                <w:rFonts w:hint="eastAsia" w:ascii="宋体" w:hAnsi="宋体" w:cs="仿宋_GB2312"/>
                <w:szCs w:val="21"/>
              </w:rPr>
              <w:t>antdb、tidb、万里开源、OceanBase、GaussDB</w:t>
            </w:r>
            <w:r>
              <w:rPr>
                <w:rFonts w:hint="default" w:ascii="宋体" w:hAnsi="宋体" w:cs="仿宋_GB2312"/>
                <w:szCs w:val="21"/>
              </w:rPr>
              <w:t>，</w:t>
            </w:r>
            <w:r>
              <w:rPr>
                <w:rFonts w:hint="eastAsia" w:ascii="宋体" w:hAnsi="宋体" w:cs="仿宋_GB2312"/>
                <w:szCs w:val="21"/>
                <w:lang w:val="en-US" w:eastAsia="zh-Hans"/>
              </w:rPr>
              <w:t>tdsql</w:t>
            </w:r>
            <w:r>
              <w:rPr>
                <w:rFonts w:hint="eastAsia"/>
              </w:rPr>
              <w:t>数据库系统兼容</w:t>
            </w:r>
            <w:r>
              <w:rPr>
                <w:rFonts w:hint="eastAsia"/>
                <w:lang w:eastAsia="zh-CN"/>
              </w:rPr>
              <w:t>。</w:t>
            </w:r>
          </w:p>
        </w:tc>
      </w:tr>
      <w:tr>
        <w:tblPrEx>
          <w:tblCellMar>
            <w:top w:w="0" w:type="dxa"/>
            <w:left w:w="108" w:type="dxa"/>
            <w:bottom w:w="0" w:type="dxa"/>
            <w:right w:w="108" w:type="dxa"/>
          </w:tblCellMar>
        </w:tblPrEx>
        <w:trPr>
          <w:tblHeader/>
          <w:jc w:val="center"/>
        </w:trPr>
        <w:tc>
          <w:tcPr>
            <w:tcW w:w="723" w:type="pct"/>
            <w:tcBorders>
              <w:top w:val="single" w:color="auto" w:sz="8" w:space="0"/>
              <w:left w:val="single" w:color="auto" w:sz="4" w:space="0"/>
              <w:bottom w:val="single" w:color="auto" w:sz="8" w:space="0"/>
              <w:right w:val="single" w:color="auto" w:sz="8" w:space="0"/>
            </w:tcBorders>
            <w:vAlign w:val="center"/>
          </w:tcPr>
          <w:p>
            <w:pPr>
              <w:widowControl/>
              <w:spacing w:line="240" w:lineRule="atLeast"/>
              <w:jc w:val="center"/>
              <w:rPr>
                <w:rFonts w:ascii="宋体" w:hAnsi="宋体"/>
                <w:szCs w:val="21"/>
              </w:rPr>
            </w:pPr>
            <w:r>
              <w:rPr>
                <w:rFonts w:hint="eastAsia" w:ascii="宋体" w:hAnsi="宋体"/>
                <w:szCs w:val="21"/>
              </w:rPr>
              <w:t>一体化同步要求</w:t>
            </w:r>
          </w:p>
        </w:tc>
        <w:tc>
          <w:tcPr>
            <w:tcW w:w="4276" w:type="pct"/>
            <w:tcBorders>
              <w:top w:val="single" w:color="auto" w:sz="8" w:space="0"/>
              <w:left w:val="nil"/>
              <w:bottom w:val="single" w:color="auto" w:sz="8" w:space="0"/>
              <w:right w:val="single" w:color="auto" w:sz="4" w:space="0"/>
            </w:tcBorders>
          </w:tcPr>
          <w:p>
            <w:pPr>
              <w:rPr>
                <w:rFonts w:ascii="宋体" w:hAnsi="宋体"/>
                <w:szCs w:val="21"/>
              </w:rPr>
            </w:pPr>
            <w:r>
              <w:rPr>
                <w:rFonts w:hint="eastAsia" w:ascii="宋体" w:hAnsi="宋体"/>
                <w:szCs w:val="21"/>
              </w:rPr>
              <w:t>启动同步后，软件自动实现全同步和增量同步操作，‘一键式’执行，无需人工干预。支持异构平台下的首次数据初始化同步。支持跨数据库版本之间数据库的初始化同步操作。</w:t>
            </w:r>
          </w:p>
        </w:tc>
      </w:tr>
      <w:tr>
        <w:tblPrEx>
          <w:tblCellMar>
            <w:top w:w="0" w:type="dxa"/>
            <w:left w:w="108" w:type="dxa"/>
            <w:bottom w:w="0" w:type="dxa"/>
            <w:right w:w="108" w:type="dxa"/>
          </w:tblCellMar>
        </w:tblPrEx>
        <w:trPr>
          <w:trHeight w:val="507" w:hRule="atLeast"/>
          <w:tblHeader/>
          <w:jc w:val="center"/>
        </w:trPr>
        <w:tc>
          <w:tcPr>
            <w:tcW w:w="723" w:type="pct"/>
            <w:vMerge w:val="restart"/>
            <w:tcBorders>
              <w:top w:val="single" w:color="auto" w:sz="8" w:space="0"/>
              <w:left w:val="single" w:color="auto" w:sz="4" w:space="0"/>
              <w:right w:val="single" w:color="auto" w:sz="8" w:space="0"/>
            </w:tcBorders>
            <w:vAlign w:val="center"/>
          </w:tcPr>
          <w:p>
            <w:pPr>
              <w:widowControl/>
              <w:spacing w:line="240" w:lineRule="atLeast"/>
              <w:jc w:val="center"/>
              <w:rPr>
                <w:rFonts w:ascii="宋体" w:hAnsi="宋体"/>
                <w:szCs w:val="21"/>
              </w:rPr>
            </w:pPr>
            <w:r>
              <w:rPr>
                <w:rFonts w:hint="eastAsia" w:ascii="宋体" w:hAnsi="宋体"/>
                <w:szCs w:val="21"/>
              </w:rPr>
              <w:t>技术指标要求</w:t>
            </w:r>
          </w:p>
        </w:tc>
        <w:tc>
          <w:tcPr>
            <w:tcW w:w="4276" w:type="pct"/>
            <w:tcBorders>
              <w:top w:val="single" w:color="auto" w:sz="8" w:space="0"/>
              <w:left w:val="nil"/>
              <w:bottom w:val="single" w:color="auto" w:sz="8" w:space="0"/>
              <w:right w:val="single" w:color="auto" w:sz="4" w:space="0"/>
            </w:tcBorders>
          </w:tcPr>
          <w:p>
            <w:pPr>
              <w:widowControl/>
              <w:spacing w:line="240" w:lineRule="atLeast"/>
              <w:jc w:val="left"/>
              <w:rPr>
                <w:rFonts w:ascii="宋体" w:hAnsi="宋体"/>
                <w:szCs w:val="21"/>
              </w:rPr>
            </w:pPr>
            <w:r>
              <w:rPr>
                <w:rFonts w:hint="eastAsia" w:ascii="宋体" w:hAnsi="宋体"/>
                <w:szCs w:val="21"/>
              </w:rPr>
              <w:t>1、系统资源占用少，保证主机的正常运行；源端CPU占用小于3％；内存占用小于200M</w:t>
            </w:r>
          </w:p>
        </w:tc>
      </w:tr>
      <w:tr>
        <w:tblPrEx>
          <w:tblCellMar>
            <w:top w:w="0" w:type="dxa"/>
            <w:left w:w="108" w:type="dxa"/>
            <w:bottom w:w="0" w:type="dxa"/>
            <w:right w:w="108" w:type="dxa"/>
          </w:tblCellMar>
        </w:tblPrEx>
        <w:trPr>
          <w:trHeight w:val="482" w:hRule="atLeast"/>
          <w:tblHeader/>
          <w:jc w:val="center"/>
        </w:trPr>
        <w:tc>
          <w:tcPr>
            <w:tcW w:w="723" w:type="pct"/>
            <w:vMerge w:val="continue"/>
            <w:tcBorders>
              <w:left w:val="single" w:color="auto" w:sz="4" w:space="0"/>
              <w:right w:val="single" w:color="auto" w:sz="8" w:space="0"/>
            </w:tcBorders>
            <w:vAlign w:val="center"/>
          </w:tcPr>
          <w:p>
            <w:pPr>
              <w:widowControl/>
              <w:spacing w:line="240" w:lineRule="atLeast"/>
              <w:jc w:val="left"/>
            </w:p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default" w:ascii="宋体" w:hAnsi="宋体"/>
                <w:szCs w:val="21"/>
              </w:rPr>
              <w:t>2</w:t>
            </w:r>
            <w:r>
              <w:rPr>
                <w:rFonts w:hint="eastAsia" w:ascii="宋体" w:hAnsi="宋体"/>
                <w:szCs w:val="21"/>
              </w:rPr>
              <w:t>、系统资源占用少，保证主机的正常运行；目标端CPU占用小于3％；内存占用小于200M。</w:t>
            </w:r>
          </w:p>
        </w:tc>
      </w:tr>
      <w:tr>
        <w:tblPrEx>
          <w:tblCellMar>
            <w:top w:w="0" w:type="dxa"/>
            <w:left w:w="108" w:type="dxa"/>
            <w:bottom w:w="0" w:type="dxa"/>
            <w:right w:w="108" w:type="dxa"/>
          </w:tblCellMar>
        </w:tblPrEx>
        <w:trPr>
          <w:trHeight w:val="468" w:hRule="atLeast"/>
          <w:tblHeader/>
          <w:jc w:val="center"/>
        </w:trPr>
        <w:tc>
          <w:tcPr>
            <w:tcW w:w="723" w:type="pct"/>
            <w:vMerge w:val="continue"/>
            <w:tcBorders>
              <w:left w:val="single" w:color="auto" w:sz="4" w:space="0"/>
              <w:bottom w:val="single" w:color="auto" w:sz="8" w:space="0"/>
              <w:right w:val="single" w:color="auto" w:sz="8" w:space="0"/>
            </w:tcBorders>
            <w:vAlign w:val="center"/>
          </w:tcPr>
          <w:p>
            <w:pPr>
              <w:widowControl/>
              <w:spacing w:line="240" w:lineRule="atLeast"/>
              <w:jc w:val="left"/>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widowControl/>
              <w:spacing w:line="240" w:lineRule="atLeast"/>
              <w:jc w:val="left"/>
              <w:rPr>
                <w:rFonts w:hint="default" w:ascii="宋体" w:hAnsi="宋体"/>
                <w:szCs w:val="21"/>
              </w:rPr>
            </w:pPr>
            <w:r>
              <w:rPr>
                <w:rFonts w:hint="default" w:ascii="宋体" w:hAnsi="宋体"/>
                <w:szCs w:val="21"/>
              </w:rPr>
              <w:t>3</w:t>
            </w:r>
            <w:r>
              <w:rPr>
                <w:rFonts w:hint="eastAsia" w:ascii="宋体" w:hAnsi="宋体"/>
                <w:szCs w:val="21"/>
              </w:rPr>
              <w:t>、考虑到数据库的重要性，和今后几年的扩展性要求,考虑到备份系统的前瞻性就要完全备份性能：1TB的数据库全备份时间2-4个小时； 1TB的数据库的每天增量备份时间30分钟以内</w:t>
            </w:r>
            <w:r>
              <w:rPr>
                <w:rFonts w:hint="default" w:ascii="宋体" w:hAnsi="宋体"/>
                <w:szCs w:val="21"/>
              </w:rPr>
              <w:t>。</w:t>
            </w:r>
          </w:p>
        </w:tc>
      </w:tr>
      <w:tr>
        <w:tblPrEx>
          <w:tblCellMar>
            <w:top w:w="0" w:type="dxa"/>
            <w:left w:w="108" w:type="dxa"/>
            <w:bottom w:w="0" w:type="dxa"/>
            <w:right w:w="108" w:type="dxa"/>
          </w:tblCellMar>
        </w:tblPrEx>
        <w:trPr>
          <w:trHeight w:val="468" w:hRule="atLeast"/>
          <w:tblHeader/>
          <w:jc w:val="center"/>
        </w:trPr>
        <w:tc>
          <w:tcPr>
            <w:tcW w:w="723" w:type="pct"/>
            <w:vMerge w:val="continue"/>
            <w:tcBorders>
              <w:left w:val="single" w:color="auto" w:sz="4" w:space="0"/>
              <w:bottom w:val="single" w:color="auto" w:sz="8" w:space="0"/>
              <w:right w:val="single" w:color="auto" w:sz="8" w:space="0"/>
            </w:tcBorders>
            <w:vAlign w:val="center"/>
          </w:tcPr>
          <w:p>
            <w:pPr>
              <w:widowControl/>
              <w:spacing w:line="240" w:lineRule="atLeast"/>
              <w:jc w:val="left"/>
            </w:pPr>
          </w:p>
        </w:tc>
        <w:tc>
          <w:tcPr>
            <w:tcW w:w="4276" w:type="pct"/>
            <w:tcBorders>
              <w:top w:val="single" w:color="auto" w:sz="8" w:space="0"/>
              <w:left w:val="nil"/>
              <w:bottom w:val="single" w:color="auto" w:sz="8" w:space="0"/>
              <w:right w:val="single" w:color="auto" w:sz="4" w:space="0"/>
            </w:tcBorders>
          </w:tcPr>
          <w:p>
            <w:pPr>
              <w:widowControl/>
              <w:spacing w:line="240" w:lineRule="atLeast"/>
              <w:jc w:val="left"/>
              <w:rPr>
                <w:rFonts w:hint="default" w:ascii="宋体" w:hAnsi="宋体" w:eastAsiaTheme="minorEastAsia"/>
                <w:szCs w:val="21"/>
                <w:lang w:eastAsia="zh-Hans"/>
              </w:rPr>
            </w:pPr>
            <w:r>
              <w:rPr>
                <w:rFonts w:hint="default" w:ascii="宋体" w:hAnsi="宋体"/>
                <w:szCs w:val="21"/>
              </w:rPr>
              <w:t>4</w:t>
            </w:r>
            <w:r>
              <w:rPr>
                <w:rFonts w:hint="eastAsia" w:ascii="宋体" w:hAnsi="宋体"/>
                <w:szCs w:val="21"/>
                <w:lang w:eastAsia="zh-CN"/>
              </w:rPr>
              <w:t>、</w:t>
            </w:r>
            <w:r>
              <w:rPr>
                <w:rFonts w:hint="eastAsia" w:ascii="宋体" w:hAnsi="宋体"/>
                <w:szCs w:val="21"/>
                <w:lang w:val="en-US" w:eastAsia="zh-Hans"/>
              </w:rPr>
              <w:t>源端插入</w:t>
            </w:r>
            <w:r>
              <w:rPr>
                <w:rFonts w:hint="default" w:ascii="宋体" w:hAnsi="宋体"/>
                <w:szCs w:val="21"/>
                <w:lang w:eastAsia="zh-Hans"/>
              </w:rPr>
              <w:t>100</w:t>
            </w:r>
            <w:r>
              <w:rPr>
                <w:rFonts w:hint="eastAsia" w:ascii="宋体" w:hAnsi="宋体"/>
                <w:szCs w:val="21"/>
                <w:lang w:val="en-US" w:eastAsia="zh-Hans"/>
              </w:rPr>
              <w:t>万条</w:t>
            </w:r>
            <w:r>
              <w:rPr>
                <w:rFonts w:hint="default" w:ascii="宋体" w:hAnsi="宋体"/>
                <w:szCs w:val="21"/>
                <w:lang w:eastAsia="zh-Hans"/>
              </w:rPr>
              <w:t>、</w:t>
            </w:r>
            <w:r>
              <w:rPr>
                <w:rFonts w:hint="eastAsia" w:ascii="宋体" w:hAnsi="宋体"/>
                <w:szCs w:val="21"/>
                <w:lang w:val="en-US" w:eastAsia="zh-Hans"/>
              </w:rPr>
              <w:t>大小为</w:t>
            </w:r>
            <w:r>
              <w:rPr>
                <w:rFonts w:hint="default" w:ascii="宋体" w:hAnsi="宋体"/>
                <w:szCs w:val="21"/>
                <w:lang w:eastAsia="zh-Hans"/>
              </w:rPr>
              <w:t>500</w:t>
            </w:r>
            <w:r>
              <w:rPr>
                <w:rFonts w:hint="eastAsia" w:ascii="宋体" w:hAnsi="宋体"/>
                <w:szCs w:val="21"/>
                <w:lang w:val="en-US" w:eastAsia="zh-Hans"/>
              </w:rPr>
              <w:t>MB的数据</w:t>
            </w:r>
            <w:r>
              <w:rPr>
                <w:rFonts w:hint="default" w:ascii="宋体" w:hAnsi="宋体"/>
                <w:szCs w:val="21"/>
                <w:lang w:eastAsia="zh-Hans"/>
              </w:rPr>
              <w:t>，</w:t>
            </w:r>
            <w:r>
              <w:rPr>
                <w:rFonts w:hint="eastAsia" w:ascii="宋体" w:hAnsi="宋体"/>
                <w:szCs w:val="21"/>
                <w:lang w:val="en-US" w:eastAsia="zh-Hans"/>
              </w:rPr>
              <w:t>同步到目标端</w:t>
            </w:r>
            <w:r>
              <w:rPr>
                <w:rFonts w:hint="default" w:ascii="宋体" w:hAnsi="宋体"/>
                <w:szCs w:val="21"/>
                <w:lang w:eastAsia="zh-Hans"/>
              </w:rPr>
              <w:t>，</w:t>
            </w:r>
            <w:r>
              <w:rPr>
                <w:rFonts w:hint="eastAsia" w:ascii="宋体" w:hAnsi="宋体"/>
                <w:szCs w:val="21"/>
                <w:lang w:val="en-US" w:eastAsia="zh-Hans"/>
              </w:rPr>
              <w:t>平均速度不少于</w:t>
            </w:r>
            <w:r>
              <w:rPr>
                <w:rFonts w:hint="default" w:ascii="宋体" w:hAnsi="宋体"/>
                <w:szCs w:val="21"/>
                <w:lang w:eastAsia="zh-Hans"/>
              </w:rPr>
              <w:t>50</w:t>
            </w:r>
            <w:r>
              <w:rPr>
                <w:rFonts w:hint="eastAsia" w:ascii="宋体" w:hAnsi="宋体"/>
                <w:szCs w:val="21"/>
                <w:lang w:val="en-US" w:eastAsia="zh-Hans"/>
              </w:rPr>
              <w:t>MB</w:t>
            </w:r>
            <w:r>
              <w:rPr>
                <w:rFonts w:hint="default" w:ascii="宋体" w:hAnsi="宋体"/>
                <w:szCs w:val="21"/>
                <w:lang w:eastAsia="zh-Hans"/>
              </w:rPr>
              <w:t>/</w:t>
            </w:r>
            <w:r>
              <w:rPr>
                <w:rFonts w:hint="eastAsia" w:ascii="宋体" w:hAnsi="宋体"/>
                <w:szCs w:val="21"/>
                <w:lang w:val="en-US" w:eastAsia="zh-Hans"/>
              </w:rPr>
              <w:t>秒</w:t>
            </w:r>
            <w:r>
              <w:rPr>
                <w:rFonts w:hint="default" w:ascii="宋体" w:hAnsi="宋体"/>
                <w:szCs w:val="21"/>
                <w:lang w:eastAsia="zh-Hans"/>
              </w:rPr>
              <w:t>。</w:t>
            </w:r>
            <w:r>
              <w:rPr>
                <w:rFonts w:ascii="Times New Roman" w:hAnsi="Times New Roman" w:eastAsia="宋体" w:cs="Times New Roman"/>
                <w:b/>
                <w:bCs/>
                <w:color w:val="000000"/>
                <w:kern w:val="0"/>
                <w:szCs w:val="21"/>
                <w:highlight w:val="none"/>
              </w:rPr>
              <w:t>提供CNAS或CMA的第三方测试机构的证明材料</w:t>
            </w:r>
          </w:p>
        </w:tc>
      </w:tr>
      <w:tr>
        <w:tblPrEx>
          <w:tblCellMar>
            <w:top w:w="0" w:type="dxa"/>
            <w:left w:w="108" w:type="dxa"/>
            <w:bottom w:w="0" w:type="dxa"/>
            <w:right w:w="108" w:type="dxa"/>
          </w:tblCellMar>
        </w:tblPrEx>
        <w:trPr>
          <w:trHeight w:val="273" w:hRule="atLeast"/>
          <w:tblHeader/>
          <w:jc w:val="center"/>
        </w:trPr>
        <w:tc>
          <w:tcPr>
            <w:tcW w:w="723" w:type="pct"/>
            <w:vMerge w:val="continue"/>
            <w:tcBorders>
              <w:left w:val="single" w:color="auto" w:sz="4" w:space="0"/>
              <w:bottom w:val="single" w:color="auto" w:sz="8" w:space="0"/>
              <w:right w:val="single" w:color="auto" w:sz="8" w:space="0"/>
            </w:tcBorders>
            <w:vAlign w:val="center"/>
          </w:tcPr>
          <w:p>
            <w:pPr>
              <w:widowControl/>
              <w:spacing w:line="240" w:lineRule="atLeast"/>
              <w:jc w:val="left"/>
            </w:pPr>
          </w:p>
        </w:tc>
        <w:tc>
          <w:tcPr>
            <w:tcW w:w="4276" w:type="pct"/>
            <w:tcBorders>
              <w:top w:val="single" w:color="auto" w:sz="8" w:space="0"/>
              <w:left w:val="nil"/>
              <w:bottom w:val="single" w:color="auto" w:sz="8" w:space="0"/>
              <w:right w:val="single" w:color="auto" w:sz="4" w:space="0"/>
            </w:tcBorders>
          </w:tcPr>
          <w:p>
            <w:pPr>
              <w:widowControl/>
              <w:spacing w:line="240" w:lineRule="atLeast"/>
              <w:jc w:val="left"/>
              <w:rPr>
                <w:rFonts w:hint="default" w:ascii="宋体" w:hAnsi="宋体" w:eastAsiaTheme="minorEastAsia"/>
                <w:szCs w:val="21"/>
                <w:lang w:eastAsia="zh-Hans"/>
              </w:rPr>
            </w:pPr>
            <w:r>
              <w:rPr>
                <w:rFonts w:hint="default" w:ascii="宋体" w:hAnsi="宋体"/>
                <w:szCs w:val="21"/>
              </w:rPr>
              <w:t>5，</w:t>
            </w:r>
            <w:r>
              <w:rPr>
                <w:rFonts w:hint="eastAsia" w:ascii="宋体" w:hAnsi="宋体"/>
                <w:szCs w:val="21"/>
                <w:lang w:val="en-US" w:eastAsia="zh-Hans"/>
              </w:rPr>
              <w:t>低带宽下</w:t>
            </w:r>
            <w:r>
              <w:rPr>
                <w:rFonts w:hint="default" w:ascii="宋体" w:hAnsi="宋体"/>
                <w:szCs w:val="21"/>
                <w:lang w:eastAsia="zh-Hans"/>
              </w:rPr>
              <w:t>，</w:t>
            </w:r>
            <w:r>
              <w:rPr>
                <w:rFonts w:hint="eastAsia" w:ascii="宋体" w:hAnsi="宋体"/>
                <w:szCs w:val="21"/>
                <w:lang w:val="en-US" w:eastAsia="zh-Hans"/>
              </w:rPr>
              <w:t>数据延时可控</w:t>
            </w:r>
            <w:r>
              <w:rPr>
                <w:rFonts w:hint="default" w:ascii="宋体" w:hAnsi="宋体"/>
                <w:szCs w:val="21"/>
                <w:lang w:eastAsia="zh-Hans"/>
              </w:rPr>
              <w:t>，</w:t>
            </w:r>
            <w:r>
              <w:rPr>
                <w:rFonts w:hint="eastAsia" w:ascii="宋体" w:hAnsi="宋体"/>
                <w:szCs w:val="21"/>
                <w:lang w:val="en-US" w:eastAsia="zh-Hans"/>
              </w:rPr>
              <w:t>比如</w:t>
            </w:r>
            <w:r>
              <w:rPr>
                <w:rFonts w:hint="default" w:ascii="宋体" w:hAnsi="宋体"/>
                <w:szCs w:val="21"/>
                <w:lang w:eastAsia="zh-Hans"/>
              </w:rPr>
              <w:t>30</w:t>
            </w:r>
            <w:r>
              <w:rPr>
                <w:rFonts w:hint="eastAsia" w:ascii="宋体" w:hAnsi="宋体"/>
                <w:szCs w:val="21"/>
                <w:lang w:val="en-US" w:eastAsia="zh-Hans"/>
              </w:rPr>
              <w:t>Mbps</w:t>
            </w:r>
            <w:r>
              <w:rPr>
                <w:rFonts w:hint="default" w:ascii="宋体" w:hAnsi="宋体"/>
                <w:szCs w:val="21"/>
                <w:lang w:eastAsia="zh-Hans"/>
              </w:rPr>
              <w:t>，</w:t>
            </w:r>
            <w:r>
              <w:rPr>
                <w:rFonts w:hint="eastAsia" w:ascii="宋体" w:hAnsi="宋体"/>
                <w:szCs w:val="21"/>
                <w:lang w:val="en-US" w:eastAsia="zh-Hans"/>
              </w:rPr>
              <w:t>数据同步延时不超过</w:t>
            </w:r>
            <w:r>
              <w:rPr>
                <w:rFonts w:hint="default" w:ascii="宋体" w:hAnsi="宋体"/>
                <w:szCs w:val="21"/>
                <w:lang w:eastAsia="zh-Hans"/>
              </w:rPr>
              <w:t>5</w:t>
            </w:r>
            <w:r>
              <w:rPr>
                <w:rFonts w:hint="eastAsia" w:ascii="宋体" w:hAnsi="宋体"/>
                <w:szCs w:val="21"/>
                <w:lang w:val="en-US" w:eastAsia="zh-Hans"/>
              </w:rPr>
              <w:t>秒</w:t>
            </w:r>
            <w:r>
              <w:rPr>
                <w:rFonts w:hint="default" w:ascii="宋体" w:hAnsi="宋体"/>
                <w:szCs w:val="21"/>
                <w:lang w:eastAsia="zh-Hans"/>
              </w:rPr>
              <w:t>。</w:t>
            </w:r>
          </w:p>
        </w:tc>
      </w:tr>
      <w:tr>
        <w:tblPrEx>
          <w:tblCellMar>
            <w:top w:w="0" w:type="dxa"/>
            <w:left w:w="108" w:type="dxa"/>
            <w:bottom w:w="0" w:type="dxa"/>
            <w:right w:w="108" w:type="dxa"/>
          </w:tblCellMar>
        </w:tblPrEx>
        <w:trPr>
          <w:trHeight w:val="385" w:hRule="atLeast"/>
          <w:tblHeader/>
          <w:jc w:val="center"/>
        </w:trPr>
        <w:tc>
          <w:tcPr>
            <w:tcW w:w="723" w:type="pct"/>
            <w:vMerge w:val="restart"/>
            <w:tcBorders>
              <w:top w:val="single" w:color="auto" w:sz="8" w:space="0"/>
              <w:left w:val="single" w:color="auto" w:sz="4" w:space="0"/>
              <w:right w:val="single" w:color="auto" w:sz="8" w:space="0"/>
            </w:tcBorders>
            <w:vAlign w:val="center"/>
          </w:tcPr>
          <w:p>
            <w:pPr>
              <w:widowControl/>
              <w:spacing w:line="240" w:lineRule="atLeast"/>
              <w:jc w:val="center"/>
              <w:rPr>
                <w:rFonts w:ascii="宋体" w:hAnsi="宋体"/>
                <w:szCs w:val="21"/>
              </w:rPr>
            </w:pPr>
            <w:r>
              <w:rPr>
                <w:rFonts w:hint="eastAsia" w:ascii="宋体" w:hAnsi="宋体"/>
                <w:szCs w:val="21"/>
              </w:rPr>
              <w:t>初始化要求</w:t>
            </w:r>
          </w:p>
        </w:tc>
        <w:tc>
          <w:tcPr>
            <w:tcW w:w="4276" w:type="pct"/>
            <w:tcBorders>
              <w:top w:val="single" w:color="auto" w:sz="8" w:space="0"/>
              <w:left w:val="nil"/>
              <w:bottom w:val="single" w:color="auto" w:sz="8" w:space="0"/>
              <w:right w:val="single" w:color="auto" w:sz="4" w:space="0"/>
            </w:tcBorders>
          </w:tcPr>
          <w:p>
            <w:pPr>
              <w:rPr>
                <w:rFonts w:ascii="宋体" w:hAnsi="宋体"/>
                <w:szCs w:val="21"/>
              </w:rPr>
            </w:pPr>
            <w:r>
              <w:rPr>
                <w:rFonts w:hint="eastAsia" w:ascii="宋体" w:hAnsi="宋体"/>
                <w:szCs w:val="21"/>
              </w:rPr>
              <w:t>1、在初始化同步过程中，业务不能停止；初始化过程中不需要人工干预；</w:t>
            </w:r>
          </w:p>
        </w:tc>
      </w:tr>
      <w:tr>
        <w:tblPrEx>
          <w:tblCellMar>
            <w:top w:w="0" w:type="dxa"/>
            <w:left w:w="108" w:type="dxa"/>
            <w:bottom w:w="0" w:type="dxa"/>
            <w:right w:w="108" w:type="dxa"/>
          </w:tblCellMar>
        </w:tblPrEx>
        <w:trPr>
          <w:trHeight w:val="385" w:hRule="atLeast"/>
          <w:tblHeader/>
          <w:jc w:val="center"/>
        </w:trPr>
        <w:tc>
          <w:tcPr>
            <w:tcW w:w="723" w:type="pct"/>
            <w:vMerge w:val="continue"/>
            <w:tcBorders>
              <w:left w:val="single" w:color="auto" w:sz="4" w:space="0"/>
              <w:right w:val="single" w:color="auto" w:sz="8" w:space="0"/>
            </w:tcBorders>
            <w:vAlign w:val="center"/>
          </w:tc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2、支持200GB数据的全同步时间2小时左右完成；</w:t>
            </w:r>
          </w:p>
        </w:tc>
      </w:tr>
      <w:tr>
        <w:tblPrEx>
          <w:tblCellMar>
            <w:top w:w="0" w:type="dxa"/>
            <w:left w:w="108" w:type="dxa"/>
            <w:bottom w:w="0" w:type="dxa"/>
            <w:right w:w="108" w:type="dxa"/>
          </w:tblCellMar>
        </w:tblPrEx>
        <w:trPr>
          <w:trHeight w:val="90" w:hRule="atLeast"/>
          <w:tblHeader/>
          <w:jc w:val="center"/>
        </w:trPr>
        <w:tc>
          <w:tcPr>
            <w:tcW w:w="723" w:type="pct"/>
            <w:vMerge w:val="continue"/>
            <w:tcBorders>
              <w:left w:val="single" w:color="auto" w:sz="4"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3、支持异构平台下的首次数据初始化同步；</w:t>
            </w:r>
          </w:p>
        </w:tc>
      </w:tr>
      <w:tr>
        <w:tblPrEx>
          <w:tblCellMar>
            <w:top w:w="0" w:type="dxa"/>
            <w:left w:w="108" w:type="dxa"/>
            <w:bottom w:w="0" w:type="dxa"/>
            <w:right w:w="108" w:type="dxa"/>
          </w:tblCellMar>
        </w:tblPrEx>
        <w:trPr>
          <w:trHeight w:val="385" w:hRule="atLeast"/>
          <w:tblHeader/>
          <w:jc w:val="center"/>
        </w:trPr>
        <w:tc>
          <w:tcPr>
            <w:tcW w:w="723" w:type="pct"/>
            <w:vMerge w:val="continue"/>
            <w:tcBorders>
              <w:left w:val="single" w:color="auto" w:sz="4" w:space="0"/>
              <w:bottom w:val="single" w:color="auto" w:sz="8"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4、支持跨数据库版本之间数据库的初始化同步操作。</w:t>
            </w:r>
          </w:p>
        </w:tc>
      </w:tr>
      <w:tr>
        <w:tblPrEx>
          <w:tblCellMar>
            <w:top w:w="0" w:type="dxa"/>
            <w:left w:w="108" w:type="dxa"/>
            <w:bottom w:w="0" w:type="dxa"/>
            <w:right w:w="108" w:type="dxa"/>
          </w:tblCellMar>
        </w:tblPrEx>
        <w:trPr>
          <w:trHeight w:val="513" w:hRule="atLeast"/>
          <w:tblHeader/>
          <w:jc w:val="center"/>
        </w:trPr>
        <w:tc>
          <w:tcPr>
            <w:tcW w:w="723" w:type="pct"/>
            <w:vMerge w:val="restart"/>
            <w:tcBorders>
              <w:top w:val="nil"/>
              <w:left w:val="single" w:color="auto" w:sz="4" w:space="0"/>
              <w:right w:val="single" w:color="auto" w:sz="8" w:space="0"/>
            </w:tcBorders>
            <w:vAlign w:val="center"/>
          </w:tcPr>
          <w:p>
            <w:pPr>
              <w:widowControl/>
              <w:spacing w:line="240" w:lineRule="atLeast"/>
              <w:jc w:val="center"/>
              <w:rPr>
                <w:rFonts w:ascii="宋体" w:hAnsi="宋体"/>
                <w:szCs w:val="21"/>
              </w:rPr>
            </w:pPr>
            <w:r>
              <w:rPr>
                <w:rFonts w:hint="eastAsia" w:ascii="宋体" w:hAnsi="宋体"/>
                <w:szCs w:val="21"/>
              </w:rPr>
              <w:t>数据库的同步容灾功能要求</w:t>
            </w:r>
          </w:p>
        </w:tc>
        <w:tc>
          <w:tcPr>
            <w:tcW w:w="4276" w:type="pct"/>
            <w:tcBorders>
              <w:top w:val="single" w:color="auto" w:sz="8" w:space="0"/>
              <w:left w:val="nil"/>
              <w:bottom w:val="single" w:color="auto" w:sz="8" w:space="0"/>
              <w:right w:val="single" w:color="auto" w:sz="4" w:space="0"/>
            </w:tcBorders>
          </w:tcPr>
          <w:p>
            <w:pPr>
              <w:rPr>
                <w:rFonts w:ascii="宋体" w:hAnsi="宋体"/>
                <w:szCs w:val="21"/>
              </w:rPr>
            </w:pPr>
            <w:r>
              <w:rPr>
                <w:rFonts w:hint="eastAsia" w:ascii="宋体" w:hAnsi="宋体"/>
                <w:szCs w:val="21"/>
              </w:rPr>
              <w:t>1、支持一对一，双向，一对多，多对一，和级联复制；</w:t>
            </w:r>
          </w:p>
        </w:tc>
      </w:tr>
      <w:tr>
        <w:tblPrEx>
          <w:tblCellMar>
            <w:top w:w="0" w:type="dxa"/>
            <w:left w:w="108" w:type="dxa"/>
            <w:bottom w:w="0" w:type="dxa"/>
            <w:right w:w="108" w:type="dxa"/>
          </w:tblCellMar>
        </w:tblPrEx>
        <w:trPr>
          <w:trHeight w:val="417" w:hRule="atLeast"/>
          <w:tblHeader/>
          <w:jc w:val="center"/>
        </w:trPr>
        <w:tc>
          <w:tcPr>
            <w:tcW w:w="723" w:type="pct"/>
            <w:vMerge w:val="continue"/>
            <w:tcBorders>
              <w:left w:val="single" w:color="auto" w:sz="4" w:space="0"/>
              <w:right w:val="single" w:color="auto" w:sz="8" w:space="0"/>
            </w:tcBorders>
            <w:vAlign w:val="center"/>
          </w:tc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2、支持数据转换、数据拆分及分发；</w:t>
            </w:r>
          </w:p>
        </w:tc>
      </w:tr>
      <w:tr>
        <w:tblPrEx>
          <w:tblCellMar>
            <w:top w:w="0" w:type="dxa"/>
            <w:left w:w="108" w:type="dxa"/>
            <w:bottom w:w="0" w:type="dxa"/>
            <w:right w:w="108" w:type="dxa"/>
          </w:tblCellMar>
        </w:tblPrEx>
        <w:trPr>
          <w:trHeight w:val="449" w:hRule="atLeast"/>
          <w:tblHeader/>
          <w:jc w:val="center"/>
        </w:trPr>
        <w:tc>
          <w:tcPr>
            <w:tcW w:w="723" w:type="pct"/>
            <w:vMerge w:val="continue"/>
            <w:tcBorders>
              <w:left w:val="single" w:color="auto" w:sz="4"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3、支持从多个数据库中同一类型表的记录整合到一个表中去；</w:t>
            </w:r>
          </w:p>
        </w:tc>
      </w:tr>
      <w:tr>
        <w:tblPrEx>
          <w:tblCellMar>
            <w:top w:w="0" w:type="dxa"/>
            <w:left w:w="108" w:type="dxa"/>
            <w:bottom w:w="0" w:type="dxa"/>
            <w:right w:w="108" w:type="dxa"/>
          </w:tblCellMar>
        </w:tblPrEx>
        <w:trPr>
          <w:trHeight w:val="748" w:hRule="atLeast"/>
          <w:tblHeader/>
          <w:jc w:val="center"/>
        </w:trPr>
        <w:tc>
          <w:tcPr>
            <w:tcW w:w="723" w:type="pct"/>
            <w:vMerge w:val="continue"/>
            <w:tcBorders>
              <w:left w:val="single" w:color="auto" w:sz="4"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4、支持对列的数据进行转换，包括列映射、增/删除列、列转换支持DML操作复制、支持SEQUENCE、函数、存储过程、视图、同义词、索引、应用包、用户等数据库对象进行复制；</w:t>
            </w:r>
          </w:p>
        </w:tc>
      </w:tr>
      <w:tr>
        <w:tblPrEx>
          <w:tblCellMar>
            <w:top w:w="0" w:type="dxa"/>
            <w:left w:w="108" w:type="dxa"/>
            <w:bottom w:w="0" w:type="dxa"/>
            <w:right w:w="108" w:type="dxa"/>
          </w:tblCellMar>
        </w:tblPrEx>
        <w:trPr>
          <w:trHeight w:val="628" w:hRule="atLeast"/>
          <w:tblHeader/>
          <w:jc w:val="center"/>
        </w:trPr>
        <w:tc>
          <w:tcPr>
            <w:tcW w:w="723" w:type="pct"/>
            <w:vMerge w:val="continue"/>
            <w:tcBorders>
              <w:left w:val="single" w:color="auto" w:sz="4" w:space="0"/>
              <w:bottom w:val="single" w:color="auto" w:sz="8"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5、支持没有PK/UK字段的表的复制、并无需打开或修改数据库参数，可定义并过滤不需要复制的事务；</w:t>
            </w:r>
          </w:p>
        </w:tc>
      </w:tr>
      <w:tr>
        <w:tblPrEx>
          <w:tblCellMar>
            <w:top w:w="0" w:type="dxa"/>
            <w:left w:w="108" w:type="dxa"/>
            <w:bottom w:w="0" w:type="dxa"/>
            <w:right w:w="108" w:type="dxa"/>
          </w:tblCellMar>
        </w:tblPrEx>
        <w:trPr>
          <w:trHeight w:val="208" w:hRule="atLeast"/>
          <w:tblHeader/>
          <w:jc w:val="center"/>
        </w:trPr>
        <w:tc>
          <w:tcPr>
            <w:tcW w:w="723" w:type="pct"/>
            <w:vMerge w:val="continue"/>
            <w:tcBorders>
              <w:left w:val="single" w:color="auto" w:sz="4" w:space="0"/>
              <w:bottom w:val="single" w:color="auto" w:sz="8" w:space="0"/>
              <w:right w:val="single" w:color="auto" w:sz="8" w:space="0"/>
            </w:tcBorders>
            <w:vAlign w:val="center"/>
          </w:tc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6、支持按照schema方式设置复制关系，无需单表设置复制关系，支持不同源和目标端在不同的schema名情况下的复制；</w:t>
            </w:r>
          </w:p>
        </w:tc>
      </w:tr>
      <w:tr>
        <w:tblPrEx>
          <w:tblCellMar>
            <w:top w:w="0" w:type="dxa"/>
            <w:left w:w="108" w:type="dxa"/>
            <w:bottom w:w="0" w:type="dxa"/>
            <w:right w:w="108" w:type="dxa"/>
          </w:tblCellMar>
        </w:tblPrEx>
        <w:trPr>
          <w:trHeight w:val="208" w:hRule="atLeast"/>
          <w:tblHeader/>
          <w:jc w:val="center"/>
        </w:trPr>
        <w:tc>
          <w:tcPr>
            <w:tcW w:w="723" w:type="pct"/>
            <w:vMerge w:val="continue"/>
            <w:tcBorders>
              <w:left w:val="single" w:color="auto" w:sz="4" w:space="0"/>
              <w:bottom w:val="single" w:color="auto" w:sz="8" w:space="0"/>
              <w:right w:val="single" w:color="auto" w:sz="8" w:space="0"/>
            </w:tcBorders>
            <w:vAlign w:val="center"/>
          </w:tcPr>
          <w:p/>
        </w:tc>
        <w:tc>
          <w:tcPr>
            <w:tcW w:w="4276" w:type="pct"/>
            <w:tcBorders>
              <w:top w:val="single" w:color="auto" w:sz="8" w:space="0"/>
              <w:left w:val="nil"/>
              <w:bottom w:val="single" w:color="auto" w:sz="8" w:space="0"/>
              <w:right w:val="single" w:color="auto" w:sz="4" w:space="0"/>
            </w:tcBorders>
          </w:tcPr>
          <w:p>
            <w:pPr>
              <w:rPr>
                <w:rFonts w:hint="default" w:ascii="宋体" w:hAnsi="宋体" w:eastAsiaTheme="minorEastAsia"/>
                <w:szCs w:val="21"/>
                <w:lang w:eastAsia="zh-Hans"/>
              </w:rPr>
            </w:pPr>
            <w:r>
              <w:rPr>
                <w:rFonts w:hint="default" w:ascii="宋体" w:hAnsi="宋体"/>
                <w:szCs w:val="21"/>
              </w:rPr>
              <w:t>7，</w:t>
            </w:r>
            <w:r>
              <w:rPr>
                <w:rFonts w:hint="eastAsia" w:ascii="宋体" w:hAnsi="宋体"/>
                <w:szCs w:val="21"/>
                <w:lang w:val="en-US" w:eastAsia="zh-Hans"/>
              </w:rPr>
              <w:t>具有流量控制功能</w:t>
            </w:r>
            <w:r>
              <w:rPr>
                <w:rFonts w:hint="default" w:ascii="宋体" w:hAnsi="宋体"/>
                <w:szCs w:val="21"/>
                <w:lang w:eastAsia="zh-Hans"/>
              </w:rPr>
              <w:t>，</w:t>
            </w:r>
            <w:r>
              <w:rPr>
                <w:rFonts w:hint="eastAsia" w:ascii="宋体" w:hAnsi="宋体"/>
                <w:szCs w:val="21"/>
                <w:lang w:val="en-US" w:eastAsia="zh-Hans"/>
              </w:rPr>
              <w:t>通过限制源端分析速度</w:t>
            </w:r>
            <w:r>
              <w:rPr>
                <w:rFonts w:hint="default" w:ascii="宋体" w:hAnsi="宋体"/>
                <w:szCs w:val="21"/>
                <w:lang w:eastAsia="zh-Hans"/>
              </w:rPr>
              <w:t>，</w:t>
            </w:r>
            <w:r>
              <w:rPr>
                <w:rFonts w:hint="eastAsia" w:ascii="宋体" w:hAnsi="宋体"/>
                <w:szCs w:val="21"/>
                <w:lang w:val="en-US" w:eastAsia="zh-Hans"/>
              </w:rPr>
              <w:t>匹配容灾端接受数据的速度</w:t>
            </w:r>
            <w:r>
              <w:rPr>
                <w:rFonts w:hint="default" w:ascii="宋体" w:hAnsi="宋体"/>
                <w:szCs w:val="21"/>
                <w:lang w:eastAsia="zh-Hans"/>
              </w:rPr>
              <w:t>，</w:t>
            </w:r>
            <w:r>
              <w:rPr>
                <w:rFonts w:ascii="Times New Roman" w:hAnsi="Times New Roman" w:eastAsia="宋体" w:cs="Times New Roman"/>
                <w:b/>
                <w:bCs/>
                <w:color w:val="000000"/>
                <w:kern w:val="0"/>
                <w:szCs w:val="21"/>
                <w:highlight w:val="none"/>
              </w:rPr>
              <w:t>提供CNAS或CMA的第三方测试机构的证明材料</w:t>
            </w:r>
          </w:p>
        </w:tc>
      </w:tr>
      <w:tr>
        <w:tblPrEx>
          <w:tblCellMar>
            <w:top w:w="0" w:type="dxa"/>
            <w:left w:w="108" w:type="dxa"/>
            <w:bottom w:w="0" w:type="dxa"/>
            <w:right w:w="108" w:type="dxa"/>
          </w:tblCellMar>
        </w:tblPrEx>
        <w:trPr>
          <w:trHeight w:val="208" w:hRule="atLeast"/>
          <w:tblHeader/>
          <w:jc w:val="center"/>
        </w:trPr>
        <w:tc>
          <w:tcPr>
            <w:tcW w:w="723" w:type="pct"/>
            <w:vMerge w:val="continue"/>
            <w:tcBorders>
              <w:left w:val="single" w:color="auto" w:sz="4" w:space="0"/>
              <w:bottom w:val="single" w:color="auto" w:sz="8"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default" w:ascii="宋体" w:hAnsi="宋体" w:eastAsiaTheme="minorEastAsia"/>
                <w:szCs w:val="21"/>
                <w:lang w:eastAsia="zh-Hans"/>
              </w:rPr>
            </w:pPr>
            <w:r>
              <w:rPr>
                <w:rFonts w:hint="default" w:ascii="宋体" w:hAnsi="宋体"/>
                <w:szCs w:val="21"/>
              </w:rPr>
              <w:t>8，</w:t>
            </w:r>
            <w:r>
              <w:rPr>
                <w:rFonts w:hint="eastAsia" w:ascii="宋体" w:hAnsi="宋体"/>
                <w:szCs w:val="21"/>
                <w:lang w:val="en-US" w:eastAsia="zh-Hans"/>
              </w:rPr>
              <w:t>在进行数据同步的过程中</w:t>
            </w:r>
            <w:r>
              <w:rPr>
                <w:rFonts w:hint="default" w:ascii="宋体" w:hAnsi="宋体"/>
                <w:szCs w:val="21"/>
                <w:lang w:eastAsia="zh-Hans"/>
              </w:rPr>
              <w:t>，</w:t>
            </w:r>
            <w:r>
              <w:rPr>
                <w:rFonts w:hint="eastAsia" w:ascii="宋体" w:hAnsi="宋体"/>
                <w:szCs w:val="21"/>
                <w:lang w:val="en-US" w:eastAsia="zh-Hans"/>
              </w:rPr>
              <w:t>源端数据库和目标端数据库的常规业务不会被中断</w:t>
            </w:r>
            <w:r>
              <w:rPr>
                <w:rFonts w:hint="default" w:ascii="宋体" w:hAnsi="宋体"/>
                <w:szCs w:val="21"/>
                <w:lang w:eastAsia="zh-Hans"/>
              </w:rPr>
              <w:t>，</w:t>
            </w:r>
            <w:r>
              <w:rPr>
                <w:rFonts w:hint="eastAsia" w:ascii="宋体" w:hAnsi="宋体"/>
                <w:szCs w:val="21"/>
                <w:lang w:val="en-US" w:eastAsia="zh-Hans"/>
              </w:rPr>
              <w:t>可以继续执行数据读取</w:t>
            </w:r>
            <w:r>
              <w:rPr>
                <w:rFonts w:hint="default" w:ascii="宋体" w:hAnsi="宋体"/>
                <w:szCs w:val="21"/>
                <w:lang w:eastAsia="zh-Hans"/>
              </w:rPr>
              <w:t>、</w:t>
            </w:r>
            <w:r>
              <w:rPr>
                <w:rFonts w:hint="eastAsia" w:ascii="宋体" w:hAnsi="宋体"/>
                <w:szCs w:val="21"/>
                <w:lang w:val="en-US" w:eastAsia="zh-Hans"/>
              </w:rPr>
              <w:t>查询等操作</w:t>
            </w:r>
            <w:r>
              <w:rPr>
                <w:rFonts w:hint="default" w:ascii="宋体" w:hAnsi="宋体" w:cs="仿宋_GB2312"/>
                <w:szCs w:val="21"/>
                <w:lang w:eastAsia="zh-Hans"/>
              </w:rPr>
              <w:t>。</w:t>
            </w:r>
          </w:p>
        </w:tc>
      </w:tr>
      <w:tr>
        <w:tblPrEx>
          <w:tblCellMar>
            <w:top w:w="0" w:type="dxa"/>
            <w:left w:w="108" w:type="dxa"/>
            <w:bottom w:w="0" w:type="dxa"/>
            <w:right w:w="108" w:type="dxa"/>
          </w:tblCellMar>
        </w:tblPrEx>
        <w:trPr>
          <w:trHeight w:val="825" w:hRule="atLeast"/>
          <w:tblHeader/>
          <w:jc w:val="center"/>
        </w:trPr>
        <w:tc>
          <w:tcPr>
            <w:tcW w:w="723" w:type="pct"/>
            <w:vMerge w:val="restart"/>
            <w:tcBorders>
              <w:top w:val="single" w:color="auto" w:sz="8" w:space="0"/>
              <w:left w:val="single" w:color="auto" w:sz="4" w:space="0"/>
              <w:right w:val="single" w:color="auto" w:sz="8" w:space="0"/>
            </w:tcBorders>
            <w:vAlign w:val="center"/>
          </w:tcPr>
          <w:p>
            <w:pPr>
              <w:rPr>
                <w:rFonts w:ascii="宋体" w:hAnsi="宋体"/>
                <w:szCs w:val="21"/>
              </w:rPr>
            </w:pPr>
            <w:r>
              <w:rPr>
                <w:rFonts w:hint="eastAsia" w:ascii="宋体" w:hAnsi="宋体"/>
                <w:szCs w:val="21"/>
              </w:rPr>
              <w:t>故障应对能力</w:t>
            </w:r>
          </w:p>
        </w:tc>
        <w:tc>
          <w:tcPr>
            <w:tcW w:w="4276" w:type="pct"/>
            <w:tcBorders>
              <w:top w:val="single" w:color="auto" w:sz="8" w:space="0"/>
              <w:left w:val="nil"/>
              <w:bottom w:val="single" w:color="auto" w:sz="8" w:space="0"/>
              <w:right w:val="single" w:color="auto" w:sz="4" w:space="0"/>
            </w:tcBorders>
          </w:tcPr>
          <w:p>
            <w:pPr>
              <w:rPr>
                <w:rFonts w:ascii="宋体" w:hAnsi="宋体"/>
                <w:szCs w:val="21"/>
              </w:rPr>
            </w:pPr>
            <w:r>
              <w:rPr>
                <w:rFonts w:hint="eastAsia" w:ascii="宋体" w:hAnsi="宋体"/>
                <w:szCs w:val="21"/>
              </w:rPr>
              <w:t>1、在遇到系统错误引起的复制中断时，例如硬件故障、数据库故障、网络中断或延迟，分级存储机制能完好的保存已经合成的交易信息，避免数据丢失，直到系统故障解决，恢复从队列传输的中断点开始；</w:t>
            </w:r>
          </w:p>
        </w:tc>
      </w:tr>
      <w:tr>
        <w:tblPrEx>
          <w:tblCellMar>
            <w:top w:w="0" w:type="dxa"/>
            <w:left w:w="108" w:type="dxa"/>
            <w:bottom w:w="0" w:type="dxa"/>
            <w:right w:w="108" w:type="dxa"/>
          </w:tblCellMar>
        </w:tblPrEx>
        <w:trPr>
          <w:trHeight w:val="825" w:hRule="atLeast"/>
          <w:tblHeader/>
          <w:jc w:val="center"/>
        </w:trPr>
        <w:tc>
          <w:tcPr>
            <w:tcW w:w="723" w:type="pct"/>
            <w:vMerge w:val="continue"/>
            <w:tcBorders>
              <w:left w:val="single" w:color="auto" w:sz="4" w:space="0"/>
              <w:right w:val="single" w:color="auto" w:sz="8" w:space="0"/>
            </w:tcBorders>
            <w:vAlign w:val="center"/>
          </w:tc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2、系统需提供数据比对功能，如果发现不一致情况后能够提供便利的单表以及单用户的数据修复工作，要求操作简单，修复速度快，且修复过程中不影响业务正常运行。</w:t>
            </w:r>
          </w:p>
        </w:tc>
      </w:tr>
      <w:tr>
        <w:tblPrEx>
          <w:tblCellMar>
            <w:top w:w="0" w:type="dxa"/>
            <w:left w:w="108" w:type="dxa"/>
            <w:bottom w:w="0" w:type="dxa"/>
            <w:right w:w="108" w:type="dxa"/>
          </w:tblCellMar>
        </w:tblPrEx>
        <w:trPr>
          <w:trHeight w:val="200" w:hRule="atLeast"/>
          <w:tblHeader/>
          <w:jc w:val="center"/>
        </w:trPr>
        <w:tc>
          <w:tcPr>
            <w:tcW w:w="723" w:type="pct"/>
            <w:vMerge w:val="continue"/>
            <w:tcBorders>
              <w:left w:val="single" w:color="auto" w:sz="4" w:space="0"/>
              <w:bottom w:val="single" w:color="auto" w:sz="8"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3、主备之间切换后，支持快速的增量回切、全量回切功能。</w:t>
            </w:r>
          </w:p>
        </w:tc>
      </w:tr>
      <w:tr>
        <w:tblPrEx>
          <w:tblCellMar>
            <w:top w:w="0" w:type="dxa"/>
            <w:left w:w="108" w:type="dxa"/>
            <w:bottom w:w="0" w:type="dxa"/>
            <w:right w:w="108" w:type="dxa"/>
          </w:tblCellMar>
        </w:tblPrEx>
        <w:trPr>
          <w:trHeight w:val="200" w:hRule="atLeast"/>
          <w:tblHeader/>
          <w:jc w:val="center"/>
        </w:trPr>
        <w:tc>
          <w:tcPr>
            <w:tcW w:w="723" w:type="pct"/>
            <w:vMerge w:val="continue"/>
            <w:tcBorders>
              <w:left w:val="single" w:color="auto" w:sz="4" w:space="0"/>
              <w:bottom w:val="single" w:color="auto" w:sz="8" w:space="0"/>
              <w:right w:val="single" w:color="auto" w:sz="8" w:space="0"/>
            </w:tcBorders>
            <w:vAlign w:val="center"/>
          </w:tcPr>
          <w:p/>
        </w:tc>
        <w:tc>
          <w:tcPr>
            <w:tcW w:w="4276" w:type="pct"/>
            <w:tcBorders>
              <w:top w:val="single" w:color="auto" w:sz="8" w:space="0"/>
              <w:left w:val="nil"/>
              <w:bottom w:val="single" w:color="auto" w:sz="8" w:space="0"/>
              <w:right w:val="single" w:color="auto" w:sz="4" w:space="0"/>
            </w:tcBorders>
          </w:tcPr>
          <w:p>
            <w:pPr>
              <w:rPr>
                <w:rFonts w:hint="default" w:ascii="宋体" w:hAnsi="宋体" w:eastAsiaTheme="minorEastAsia"/>
                <w:szCs w:val="21"/>
                <w:lang w:eastAsia="zh-Hans"/>
              </w:rPr>
            </w:pPr>
            <w:r>
              <w:rPr>
                <w:rFonts w:hint="default" w:ascii="宋体" w:hAnsi="宋体"/>
                <w:szCs w:val="21"/>
              </w:rPr>
              <w:t>4、</w:t>
            </w:r>
            <w:r>
              <w:rPr>
                <w:rFonts w:hint="eastAsia" w:ascii="宋体" w:hAnsi="宋体"/>
                <w:szCs w:val="21"/>
                <w:lang w:val="en-US" w:eastAsia="zh-Hans"/>
              </w:rPr>
              <w:t>数据修复功能</w:t>
            </w:r>
            <w:r>
              <w:rPr>
                <w:rFonts w:hint="default" w:ascii="宋体" w:hAnsi="宋体"/>
                <w:szCs w:val="21"/>
                <w:lang w:eastAsia="zh-Hans"/>
              </w:rPr>
              <w:t>，</w:t>
            </w:r>
            <w:r>
              <w:rPr>
                <w:rFonts w:hint="eastAsia" w:ascii="宋体" w:hAnsi="宋体"/>
                <w:szCs w:val="21"/>
                <w:lang w:val="en-US" w:eastAsia="zh-Hans"/>
              </w:rPr>
              <w:t>当出现数据不一致的情况时</w:t>
            </w:r>
            <w:r>
              <w:rPr>
                <w:rFonts w:hint="default" w:ascii="宋体" w:hAnsi="宋体"/>
                <w:szCs w:val="21"/>
                <w:lang w:eastAsia="zh-Hans"/>
              </w:rPr>
              <w:t>，</w:t>
            </w:r>
            <w:r>
              <w:rPr>
                <w:rFonts w:hint="eastAsia" w:ascii="宋体" w:hAnsi="宋体"/>
                <w:szCs w:val="21"/>
                <w:lang w:val="en-US" w:eastAsia="zh-Hans"/>
              </w:rPr>
              <w:t>可以对不一致的数据进行同步</w:t>
            </w:r>
            <w:r>
              <w:rPr>
                <w:rFonts w:hint="default" w:ascii="宋体" w:hAnsi="宋体"/>
                <w:szCs w:val="21"/>
                <w:lang w:eastAsia="zh-Hans"/>
              </w:rPr>
              <w:t>。</w:t>
            </w:r>
            <w:r>
              <w:rPr>
                <w:rFonts w:ascii="Times New Roman" w:hAnsi="Times New Roman" w:eastAsia="宋体" w:cs="Times New Roman"/>
                <w:b/>
                <w:bCs/>
                <w:color w:val="000000"/>
                <w:kern w:val="0"/>
                <w:szCs w:val="21"/>
                <w:highlight w:val="none"/>
              </w:rPr>
              <w:t>提供CNAS或CMA的第三方测试机构的证明材料</w:t>
            </w:r>
          </w:p>
        </w:tc>
      </w:tr>
      <w:tr>
        <w:tblPrEx>
          <w:tblCellMar>
            <w:top w:w="0" w:type="dxa"/>
            <w:left w:w="108" w:type="dxa"/>
            <w:bottom w:w="0" w:type="dxa"/>
            <w:right w:w="108" w:type="dxa"/>
          </w:tblCellMar>
        </w:tblPrEx>
        <w:trPr>
          <w:trHeight w:val="325" w:hRule="atLeast"/>
          <w:tblHeader/>
          <w:jc w:val="center"/>
        </w:trPr>
        <w:tc>
          <w:tcPr>
            <w:tcW w:w="723" w:type="pct"/>
            <w:vMerge w:val="restart"/>
            <w:tcBorders>
              <w:top w:val="single" w:color="auto" w:sz="8" w:space="0"/>
              <w:left w:val="single" w:color="auto" w:sz="4" w:space="0"/>
              <w:right w:val="single" w:color="auto" w:sz="8" w:space="0"/>
            </w:tcBorders>
            <w:vAlign w:val="center"/>
          </w:tcPr>
          <w:p>
            <w:pPr>
              <w:widowControl/>
              <w:spacing w:line="240" w:lineRule="atLeast"/>
              <w:jc w:val="center"/>
              <w:rPr>
                <w:rFonts w:ascii="宋体" w:hAnsi="宋体"/>
                <w:szCs w:val="21"/>
              </w:rPr>
            </w:pPr>
            <w:r>
              <w:rPr>
                <w:rFonts w:hint="eastAsia" w:ascii="宋体" w:hAnsi="宋体"/>
                <w:szCs w:val="21"/>
              </w:rPr>
              <w:t>管理监控功能</w:t>
            </w:r>
          </w:p>
        </w:tc>
        <w:tc>
          <w:tcPr>
            <w:tcW w:w="4276" w:type="pct"/>
            <w:tcBorders>
              <w:top w:val="single" w:color="auto" w:sz="8" w:space="0"/>
              <w:left w:val="nil"/>
              <w:bottom w:val="single" w:color="auto" w:sz="8" w:space="0"/>
              <w:right w:val="single" w:color="auto" w:sz="4" w:space="0"/>
            </w:tcBorders>
          </w:tcPr>
          <w:p>
            <w:pPr>
              <w:rPr>
                <w:rFonts w:ascii="宋体" w:hAnsi="宋体"/>
                <w:szCs w:val="21"/>
              </w:rPr>
            </w:pPr>
            <w:r>
              <w:rPr>
                <w:rFonts w:hint="eastAsia" w:ascii="宋体" w:hAnsi="宋体"/>
                <w:szCs w:val="21"/>
              </w:rPr>
              <w:t>1、要求提供中文操作界面；</w:t>
            </w:r>
          </w:p>
        </w:tc>
      </w:tr>
      <w:tr>
        <w:tblPrEx>
          <w:tblCellMar>
            <w:top w:w="0" w:type="dxa"/>
            <w:left w:w="108" w:type="dxa"/>
            <w:bottom w:w="0" w:type="dxa"/>
            <w:right w:w="108" w:type="dxa"/>
          </w:tblCellMar>
        </w:tblPrEx>
        <w:trPr>
          <w:trHeight w:val="463" w:hRule="atLeast"/>
          <w:tblHeader/>
          <w:jc w:val="center"/>
        </w:trPr>
        <w:tc>
          <w:tcPr>
            <w:tcW w:w="723" w:type="pct"/>
            <w:vMerge w:val="continue"/>
            <w:tcBorders>
              <w:left w:val="single" w:color="auto" w:sz="4" w:space="0"/>
              <w:right w:val="single" w:color="auto" w:sz="8" w:space="0"/>
            </w:tcBorders>
            <w:vAlign w:val="center"/>
          </w:tc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2、复制软件需提供统一的管理监控功能，能实现对复制软件的运行状态、运行日志、系统配置等方面进行统一的管理及监控；</w:t>
            </w:r>
          </w:p>
        </w:tc>
      </w:tr>
      <w:tr>
        <w:tblPrEx>
          <w:tblCellMar>
            <w:top w:w="0" w:type="dxa"/>
            <w:left w:w="108" w:type="dxa"/>
            <w:bottom w:w="0" w:type="dxa"/>
            <w:right w:w="108" w:type="dxa"/>
          </w:tblCellMar>
        </w:tblPrEx>
        <w:trPr>
          <w:trHeight w:val="463" w:hRule="atLeast"/>
          <w:tblHeader/>
          <w:jc w:val="center"/>
        </w:trPr>
        <w:tc>
          <w:tcPr>
            <w:tcW w:w="723" w:type="pct"/>
            <w:vMerge w:val="continue"/>
            <w:tcBorders>
              <w:left w:val="single" w:color="auto" w:sz="4"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eastAsia" w:ascii="宋体" w:hAnsi="宋体"/>
                <w:szCs w:val="21"/>
              </w:rPr>
            </w:pPr>
            <w:r>
              <w:rPr>
                <w:rFonts w:hint="eastAsia" w:ascii="宋体" w:hAnsi="宋体"/>
                <w:szCs w:val="21"/>
              </w:rPr>
              <w:t>3、系统软件应具有故障的监视和诊断能力，出现不正常情况时，应能及时识别并发出告警信息；</w:t>
            </w:r>
          </w:p>
        </w:tc>
      </w:tr>
      <w:tr>
        <w:tblPrEx>
          <w:tblCellMar>
            <w:top w:w="0" w:type="dxa"/>
            <w:left w:w="108" w:type="dxa"/>
            <w:bottom w:w="0" w:type="dxa"/>
            <w:right w:w="108" w:type="dxa"/>
          </w:tblCellMar>
        </w:tblPrEx>
        <w:trPr>
          <w:trHeight w:val="463" w:hRule="atLeast"/>
          <w:tblHeader/>
          <w:jc w:val="center"/>
        </w:trPr>
        <w:tc>
          <w:tcPr>
            <w:tcW w:w="723" w:type="pct"/>
            <w:vMerge w:val="continue"/>
            <w:tcBorders>
              <w:left w:val="single" w:color="auto" w:sz="4" w:space="0"/>
              <w:bottom w:val="single" w:color="auto" w:sz="8" w:space="0"/>
              <w:right w:val="single" w:color="auto" w:sz="8" w:space="0"/>
            </w:tcBorders>
            <w:vAlign w:val="center"/>
          </w:tcPr>
          <w:p>
            <w:pPr>
              <w:rPr>
                <w:rFonts w:hint="eastAsia" w:ascii="宋体" w:hAnsi="宋体"/>
                <w:szCs w:val="21"/>
              </w:rPr>
            </w:pPr>
          </w:p>
        </w:tc>
        <w:tc>
          <w:tcPr>
            <w:tcW w:w="4276" w:type="pct"/>
            <w:tcBorders>
              <w:top w:val="single" w:color="auto" w:sz="8" w:space="0"/>
              <w:left w:val="nil"/>
              <w:bottom w:val="single" w:color="auto" w:sz="8" w:space="0"/>
              <w:right w:val="single" w:color="auto" w:sz="4" w:space="0"/>
            </w:tcBorders>
          </w:tcPr>
          <w:p>
            <w:pPr>
              <w:rPr>
                <w:rFonts w:hint="eastAsia" w:ascii="宋体" w:hAnsi="宋体" w:eastAsiaTheme="minorEastAsia"/>
                <w:szCs w:val="21"/>
                <w:lang w:eastAsia="zh-CN"/>
              </w:rPr>
            </w:pPr>
            <w:r>
              <w:rPr>
                <w:rFonts w:hint="eastAsia" w:ascii="宋体" w:hAnsi="宋体"/>
                <w:szCs w:val="21"/>
              </w:rPr>
              <w:t>4、提供源端与目标端的数据比对功能。</w:t>
            </w:r>
            <w:r>
              <w:rPr>
                <w:rFonts w:hint="eastAsia" w:ascii="宋体" w:hAnsi="宋体"/>
                <w:szCs w:val="21"/>
                <w:lang w:val="en-US" w:eastAsia="zh-Hans"/>
              </w:rPr>
              <w:t>可以对同构数据库中对数据进行比对</w:t>
            </w:r>
            <w:r>
              <w:rPr>
                <w:rFonts w:hint="default" w:ascii="宋体" w:hAnsi="宋体"/>
                <w:szCs w:val="21"/>
                <w:lang w:eastAsia="zh-Hans"/>
              </w:rPr>
              <w:t>，</w:t>
            </w:r>
            <w:r>
              <w:rPr>
                <w:rFonts w:hint="eastAsia" w:ascii="宋体" w:hAnsi="宋体"/>
                <w:szCs w:val="21"/>
                <w:lang w:val="en-US" w:eastAsia="zh-Hans"/>
              </w:rPr>
              <w:t>也可以对异构数据库中对数据进行比对</w:t>
            </w:r>
            <w:r>
              <w:rPr>
                <w:rFonts w:hint="eastAsia" w:ascii="宋体" w:hAnsi="宋体"/>
                <w:szCs w:val="21"/>
                <w:lang w:eastAsia="zh-CN"/>
              </w:rPr>
              <w:t>。</w:t>
            </w:r>
          </w:p>
        </w:tc>
      </w:tr>
      <w:tr>
        <w:tblPrEx>
          <w:tblCellMar>
            <w:top w:w="0" w:type="dxa"/>
            <w:left w:w="108" w:type="dxa"/>
            <w:bottom w:w="0" w:type="dxa"/>
            <w:right w:w="108" w:type="dxa"/>
          </w:tblCellMar>
        </w:tblPrEx>
        <w:trPr>
          <w:tblHeader/>
          <w:jc w:val="center"/>
        </w:trPr>
        <w:tc>
          <w:tcPr>
            <w:tcW w:w="723" w:type="pct"/>
            <w:tcBorders>
              <w:top w:val="single" w:color="auto" w:sz="8" w:space="0"/>
              <w:left w:val="single" w:color="auto" w:sz="4" w:space="0"/>
              <w:bottom w:val="single" w:color="auto" w:sz="8" w:space="0"/>
              <w:right w:val="single" w:color="auto" w:sz="8" w:space="0"/>
            </w:tcBorders>
            <w:vAlign w:val="center"/>
          </w:tcPr>
          <w:p>
            <w:pPr>
              <w:widowControl/>
              <w:spacing w:line="240" w:lineRule="atLeast"/>
              <w:jc w:val="center"/>
              <w:rPr>
                <w:rFonts w:ascii="宋体" w:hAnsi="宋体"/>
                <w:szCs w:val="21"/>
              </w:rPr>
            </w:pPr>
            <w:r>
              <w:rPr>
                <w:rFonts w:hint="eastAsia" w:ascii="宋体" w:hAnsi="宋体"/>
                <w:szCs w:val="21"/>
              </w:rPr>
              <w:t>备份策略</w:t>
            </w:r>
          </w:p>
        </w:tc>
        <w:tc>
          <w:tcPr>
            <w:tcW w:w="4276" w:type="pct"/>
            <w:tcBorders>
              <w:top w:val="single" w:color="auto" w:sz="8" w:space="0"/>
              <w:left w:val="nil"/>
              <w:bottom w:val="single" w:color="auto" w:sz="8" w:space="0"/>
              <w:right w:val="single" w:color="auto" w:sz="4" w:space="0"/>
            </w:tcBorders>
          </w:tcPr>
          <w:p>
            <w:pPr>
              <w:widowControl/>
              <w:spacing w:line="240" w:lineRule="atLeast"/>
              <w:jc w:val="left"/>
              <w:rPr>
                <w:rFonts w:ascii="宋体" w:hAnsi="宋体"/>
                <w:szCs w:val="21"/>
              </w:rPr>
            </w:pPr>
            <w:r>
              <w:rPr>
                <w:rFonts w:hint="eastAsia" w:ascii="宋体" w:hAnsi="宋体"/>
                <w:szCs w:val="21"/>
              </w:rPr>
              <w:t>提供自动备份策略管理，提供备份策略的制定、自动执行、执行结果的报告等支持。</w:t>
            </w:r>
          </w:p>
        </w:tc>
      </w:tr>
      <w:tr>
        <w:tblPrEx>
          <w:tblCellMar>
            <w:top w:w="0" w:type="dxa"/>
            <w:left w:w="108" w:type="dxa"/>
            <w:bottom w:w="0" w:type="dxa"/>
            <w:right w:w="108" w:type="dxa"/>
          </w:tblCellMar>
        </w:tblPrEx>
        <w:trPr>
          <w:tblHeader/>
          <w:jc w:val="center"/>
        </w:trPr>
        <w:tc>
          <w:tcPr>
            <w:tcW w:w="723" w:type="pct"/>
            <w:tcBorders>
              <w:top w:val="single" w:color="auto" w:sz="8" w:space="0"/>
              <w:left w:val="single" w:color="auto" w:sz="4" w:space="0"/>
              <w:bottom w:val="single" w:color="auto" w:sz="4" w:space="0"/>
              <w:right w:val="single" w:color="auto" w:sz="8" w:space="0"/>
            </w:tcBorders>
            <w:vAlign w:val="center"/>
          </w:tcPr>
          <w:p>
            <w:pPr>
              <w:widowControl/>
              <w:spacing w:line="240" w:lineRule="atLeast"/>
              <w:jc w:val="center"/>
              <w:rPr>
                <w:rFonts w:hint="eastAsia" w:ascii="宋体" w:hAnsi="宋体" w:eastAsia="宋体"/>
                <w:szCs w:val="21"/>
                <w:highlight w:val="none"/>
                <w:lang w:eastAsia="zh-CN"/>
              </w:rPr>
            </w:pPr>
            <w:r>
              <w:rPr>
                <w:rFonts w:hint="eastAsia" w:ascii="宋体" w:hAnsi="宋体"/>
                <w:szCs w:val="21"/>
                <w:highlight w:val="none"/>
                <w:lang w:eastAsia="zh-CN"/>
              </w:rPr>
              <w:t>其他</w:t>
            </w:r>
          </w:p>
        </w:tc>
        <w:tc>
          <w:tcPr>
            <w:tcW w:w="4276" w:type="pct"/>
            <w:tcBorders>
              <w:top w:val="single" w:color="auto" w:sz="8" w:space="0"/>
              <w:left w:val="nil"/>
              <w:bottom w:val="single" w:color="auto" w:sz="4" w:space="0"/>
              <w:right w:val="single" w:color="auto" w:sz="4" w:space="0"/>
            </w:tcBorders>
          </w:tcPr>
          <w:p>
            <w:pPr>
              <w:widowControl/>
              <w:spacing w:line="240" w:lineRule="atLeast"/>
              <w:jc w:val="left"/>
              <w:rPr>
                <w:rFonts w:hint="eastAsia" w:ascii="宋体" w:hAnsi="宋体" w:eastAsia="宋体"/>
                <w:szCs w:val="21"/>
                <w:highlight w:val="none"/>
                <w:lang w:val="en-US" w:eastAsia="zh-CN"/>
              </w:rPr>
            </w:pPr>
            <w:r>
              <w:rPr>
                <w:rFonts w:hint="eastAsia"/>
                <w:highlight w:val="none"/>
              </w:rPr>
              <w:t>由于</w:t>
            </w:r>
            <w:r>
              <w:rPr>
                <w:rFonts w:hint="eastAsia"/>
                <w:highlight w:val="none"/>
                <w:lang w:val="en-US" w:eastAsia="zh-Hans"/>
              </w:rPr>
              <w:t>医院</w:t>
            </w:r>
            <w:r>
              <w:rPr>
                <w:rFonts w:hint="eastAsia"/>
                <w:highlight w:val="none"/>
              </w:rPr>
              <w:t>信息不能泄露，要求所投产品具有备份恢复功能</w:t>
            </w:r>
            <w:r>
              <w:rPr>
                <w:rFonts w:hint="eastAsia"/>
                <w:highlight w:val="none"/>
                <w:lang w:eastAsia="zh-CN"/>
              </w:rPr>
              <w:t>。需</w:t>
            </w:r>
            <w:r>
              <w:rPr>
                <w:rFonts w:hint="eastAsia"/>
                <w:b/>
                <w:bCs/>
                <w:highlight w:val="none"/>
              </w:rPr>
              <w:t>提供国家保密科技测评中心</w:t>
            </w:r>
            <w:r>
              <w:rPr>
                <w:rFonts w:hint="eastAsia"/>
                <w:b/>
                <w:bCs/>
                <w:highlight w:val="none"/>
                <w:lang w:eastAsia="zh-CN"/>
              </w:rPr>
              <w:t>或具有</w:t>
            </w:r>
            <w:r>
              <w:rPr>
                <w:rFonts w:hint="eastAsia"/>
                <w:b/>
                <w:bCs/>
                <w:highlight w:val="none"/>
              </w:rPr>
              <w:t>CNAS</w:t>
            </w:r>
            <w:r>
              <w:rPr>
                <w:rFonts w:hint="eastAsia"/>
                <w:b/>
                <w:bCs/>
                <w:highlight w:val="none"/>
                <w:lang w:val="en-US" w:eastAsia="zh-CN"/>
              </w:rPr>
              <w:t>/</w:t>
            </w:r>
            <w:r>
              <w:rPr>
                <w:rFonts w:hint="eastAsia"/>
                <w:b/>
                <w:bCs/>
                <w:highlight w:val="none"/>
              </w:rPr>
              <w:t>CMA</w:t>
            </w:r>
            <w:r>
              <w:rPr>
                <w:rFonts w:hint="eastAsia"/>
                <w:b/>
                <w:bCs/>
                <w:highlight w:val="none"/>
                <w:lang w:eastAsia="zh-CN"/>
              </w:rPr>
              <w:t>检测资质</w:t>
            </w:r>
            <w:r>
              <w:rPr>
                <w:rFonts w:hint="eastAsia"/>
                <w:b/>
                <w:bCs/>
                <w:highlight w:val="none"/>
              </w:rPr>
              <w:t xml:space="preserve">的第三方测试机构的证明材料 </w:t>
            </w:r>
          </w:p>
        </w:tc>
      </w:tr>
    </w:tbl>
    <w:p>
      <w:pPr>
        <w:rPr>
          <w:rFonts w:hint="default" w:ascii="仿宋" w:hAnsi="仿宋" w:eastAsia="仿宋" w:cs="仿宋"/>
          <w:i w:val="0"/>
          <w:iCs w:val="0"/>
          <w:color w:val="000000"/>
          <w:kern w:val="0"/>
          <w:sz w:val="24"/>
          <w:szCs w:val="24"/>
          <w:u w:val="none"/>
          <w:lang w:val="en-US" w:eastAsia="zh-CN" w:bidi="ar"/>
        </w:rPr>
      </w:pP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数据脱敏</w:t>
      </w:r>
      <w:r>
        <w:rPr>
          <w:rFonts w:hint="eastAsia" w:asciiTheme="minorEastAsia" w:hAnsiTheme="minorEastAsia" w:eastAsiaTheme="minorEastAsia" w:cstheme="minorEastAsia"/>
          <w:sz w:val="24"/>
          <w:szCs w:val="24"/>
          <w:lang w:val="en-US" w:eastAsia="zh-CN"/>
        </w:rPr>
        <w:t>设备：</w:t>
      </w: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7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shd w:val="clear" w:color="000000" w:fill="BFBFBF"/>
            <w:vAlign w:val="center"/>
          </w:tcPr>
          <w:p>
            <w:pPr>
              <w:widowControl/>
              <w:jc w:val="center"/>
              <w:rPr>
                <w:rFonts w:ascii="宋体" w:hAnsi="宋体" w:eastAsia="宋体"/>
                <w:b/>
                <w:bCs/>
                <w:color w:val="000000"/>
                <w:kern w:val="0"/>
                <w:szCs w:val="20"/>
              </w:rPr>
            </w:pPr>
            <w:r>
              <w:rPr>
                <w:rFonts w:hint="eastAsia" w:ascii="宋体" w:hAnsi="宋体" w:eastAsia="宋体"/>
                <w:b/>
                <w:bCs/>
                <w:color w:val="000000"/>
                <w:kern w:val="0"/>
                <w:szCs w:val="20"/>
              </w:rPr>
              <w:t>指标项</w:t>
            </w:r>
          </w:p>
        </w:tc>
        <w:tc>
          <w:tcPr>
            <w:tcW w:w="4047" w:type="pct"/>
            <w:shd w:val="clear" w:color="auto" w:fill="BEBEBE" w:themeFill="background1" w:themeFillShade="BF"/>
            <w:vAlign w:val="center"/>
          </w:tcPr>
          <w:p>
            <w:pPr>
              <w:widowControl/>
              <w:jc w:val="center"/>
              <w:rPr>
                <w:rFonts w:ascii="宋体" w:hAnsi="宋体" w:eastAsia="宋体"/>
                <w:b/>
                <w:bCs/>
                <w:color w:val="000000"/>
                <w:kern w:val="0"/>
                <w:szCs w:val="20"/>
              </w:rPr>
            </w:pPr>
            <w:r>
              <w:rPr>
                <w:rFonts w:hint="eastAsia" w:ascii="宋体" w:hAnsi="宋体" w:eastAsia="宋体"/>
                <w:b/>
                <w:bCs/>
                <w:color w:val="000000"/>
                <w:kern w:val="0"/>
                <w:szCs w:val="20"/>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shd w:val="clear" w:color="auto" w:fill="auto"/>
            <w:vAlign w:val="center"/>
          </w:tcPr>
          <w:p>
            <w:pPr>
              <w:widowControl/>
              <w:spacing w:line="240" w:lineRule="atLeast"/>
              <w:jc w:val="center"/>
              <w:rPr>
                <w:rFonts w:ascii="宋体" w:hAnsi="宋体" w:eastAsia="宋体" w:cs="Times New Roman"/>
                <w:szCs w:val="21"/>
              </w:rPr>
            </w:pPr>
            <w:r>
              <w:rPr>
                <w:rFonts w:ascii="宋体" w:hAnsi="宋体" w:eastAsia="宋体" w:cs="Times New Roman"/>
                <w:szCs w:val="21"/>
              </w:rPr>
              <w:t>硬件</w:t>
            </w:r>
          </w:p>
          <w:p>
            <w:pPr>
              <w:widowControl/>
              <w:spacing w:line="240" w:lineRule="atLeast"/>
              <w:jc w:val="center"/>
              <w:rPr>
                <w:rFonts w:ascii="宋体" w:hAnsi="宋体" w:eastAsia="宋体" w:cs="Times New Roman"/>
                <w:szCs w:val="21"/>
              </w:rPr>
            </w:pPr>
            <w:r>
              <w:rPr>
                <w:rFonts w:ascii="宋体" w:hAnsi="宋体" w:eastAsia="宋体" w:cs="Times New Roman"/>
                <w:szCs w:val="21"/>
              </w:rPr>
              <w:t>要求</w:t>
            </w:r>
          </w:p>
        </w:tc>
        <w:tc>
          <w:tcPr>
            <w:tcW w:w="4047" w:type="pct"/>
            <w:shd w:val="clear" w:color="auto" w:fill="auto"/>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2U，CPU 8核，内存 16GB，硬盘 2T，电源规格 1+1冗余电源 国标，风扇规格 3个）、网络接口（千兆电口 6个，千兆光口 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shd w:val="clear" w:color="auto" w:fill="auto"/>
            <w:vAlign w:val="center"/>
          </w:tcPr>
          <w:p>
            <w:pPr>
              <w:widowControl/>
              <w:spacing w:line="240" w:lineRule="atLeast"/>
              <w:jc w:val="center"/>
              <w:rPr>
                <w:rFonts w:ascii="宋体" w:hAnsi="宋体" w:eastAsia="宋体" w:cs="Times New Roman"/>
                <w:szCs w:val="21"/>
                <w:lang w:eastAsia="zh-Hans"/>
              </w:rPr>
            </w:pPr>
            <w:r>
              <w:rPr>
                <w:rFonts w:hint="eastAsia" w:ascii="宋体" w:hAnsi="宋体" w:eastAsia="宋体" w:cs="Times New Roman"/>
                <w:szCs w:val="21"/>
                <w:lang w:eastAsia="zh-Hans"/>
              </w:rPr>
              <w:t>支持数据源类别</w:t>
            </w:r>
          </w:p>
        </w:tc>
        <w:tc>
          <w:tcPr>
            <w:tcW w:w="4047" w:type="pct"/>
            <w:shd w:val="clear" w:color="auto" w:fill="auto"/>
            <w:vAlign w:val="center"/>
          </w:tcPr>
          <w:p>
            <w:pPr>
              <w:jc w:val="left"/>
              <w:rPr>
                <w:rFonts w:hint="eastAsia" w:ascii="Times New Roman" w:hAnsi="Times New Roman" w:eastAsia="宋体" w:cs="Times New Roman"/>
              </w:rPr>
            </w:pPr>
            <w:r>
              <w:rPr>
                <w:rFonts w:hint="eastAsia" w:ascii="Times New Roman" w:hAnsi="Times New Roman" w:eastAsia="宋体" w:cs="Times New Roman"/>
              </w:rPr>
              <w:t>MYSQL、ORACLE、MSSQL、DB2、POSTGRESQL、GREENPLUM、INFORMIX、MARIADB、SYBASE、CACHEDB、HANA、FTP、SFTP、LOCAL、DM（达梦）、GBASE（南大通用）、KINGBASE（人大金仓）、GAUSS100（高斯100）、GAUSS200（高斯100）、UXDB（优炫）、HIVE、IMPALA、MONGODB、ELASTICSEARCH、CLICKHOUSE、HBASE、TERADATA、VERTICA、ODPS、OCEANB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shd w:val="clear" w:color="auto" w:fill="auto"/>
            <w:vAlign w:val="center"/>
          </w:tcPr>
          <w:p>
            <w:pPr>
              <w:widowControl/>
              <w:spacing w:line="240" w:lineRule="atLeast"/>
              <w:jc w:val="center"/>
              <w:rPr>
                <w:rFonts w:ascii="宋体" w:hAnsi="宋体" w:eastAsia="宋体" w:cs="Times New Roman"/>
                <w:szCs w:val="21"/>
                <w:lang w:eastAsia="zh-Hans"/>
              </w:rPr>
            </w:pPr>
            <w:r>
              <w:rPr>
                <w:rFonts w:hint="eastAsia" w:ascii="宋体" w:hAnsi="宋体" w:eastAsia="宋体" w:cs="Times New Roman"/>
                <w:szCs w:val="21"/>
                <w:lang w:eastAsia="zh-Hans"/>
              </w:rPr>
              <w:t>数据源管理</w:t>
            </w:r>
          </w:p>
        </w:tc>
        <w:tc>
          <w:tcPr>
            <w:tcW w:w="4047" w:type="pct"/>
            <w:shd w:val="clear" w:color="auto" w:fill="auto"/>
            <w:vAlign w:val="center"/>
          </w:tcPr>
          <w:p>
            <w:pPr>
              <w:jc w:val="left"/>
            </w:pPr>
            <w:r>
              <w:rPr>
                <w:rFonts w:hint="eastAsia"/>
              </w:rPr>
              <w:t>支持对于数据源进行新增、编辑、删除等操作，并支持对于数据源对应的数据结构进行同步。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restart"/>
            <w:shd w:val="clear" w:color="auto" w:fill="auto"/>
            <w:vAlign w:val="center"/>
          </w:tcPr>
          <w:p>
            <w:pPr>
              <w:widowControl/>
              <w:spacing w:line="240" w:lineRule="atLeast"/>
              <w:jc w:val="center"/>
              <w:rPr>
                <w:rFonts w:ascii="宋体" w:hAnsi="宋体" w:eastAsia="宋体" w:cs="Times New Roman"/>
                <w:szCs w:val="21"/>
                <w:lang w:eastAsia="zh-Hans"/>
              </w:rPr>
            </w:pPr>
            <w:r>
              <w:rPr>
                <w:rFonts w:hint="eastAsia" w:ascii="宋体" w:hAnsi="宋体" w:eastAsia="宋体" w:cs="Times New Roman"/>
                <w:szCs w:val="21"/>
                <w:lang w:eastAsia="zh-Hans"/>
              </w:rPr>
              <w:t>敏感数据发现</w:t>
            </w:r>
          </w:p>
        </w:tc>
        <w:tc>
          <w:tcPr>
            <w:tcW w:w="4047" w:type="pct"/>
            <w:shd w:val="clear" w:color="auto" w:fill="auto"/>
            <w:vAlign w:val="center"/>
          </w:tcPr>
          <w:p>
            <w:pPr>
              <w:tabs>
                <w:tab w:val="left" w:pos="1792"/>
              </w:tabs>
              <w:jc w:val="left"/>
            </w:pPr>
            <w:r>
              <w:rPr>
                <w:rFonts w:hint="eastAsia"/>
              </w:rPr>
              <w:t>支持全量/增量两种方式进行敏感数据发现，同时支持对于数据采样行业、命中阈值、脱敏模版进行配置。</w:t>
            </w: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spacing w:line="240" w:lineRule="atLeast"/>
              <w:jc w:val="center"/>
              <w:rPr>
                <w:rFonts w:ascii="宋体" w:hAnsi="宋体" w:eastAsia="宋体" w:cs="Times New Roman"/>
                <w:szCs w:val="21"/>
                <w:lang w:eastAsia="zh-Hans"/>
              </w:rPr>
            </w:pPr>
          </w:p>
        </w:tc>
        <w:tc>
          <w:tcPr>
            <w:tcW w:w="4047" w:type="pct"/>
            <w:shd w:val="clear" w:color="auto" w:fill="auto"/>
            <w:vAlign w:val="center"/>
          </w:tcPr>
          <w:p>
            <w:pPr>
              <w:tabs>
                <w:tab w:val="left" w:pos="1792"/>
              </w:tabs>
              <w:jc w:val="left"/>
            </w:pPr>
            <w:r>
              <w:rPr>
                <w:rFonts w:hint="eastAsia"/>
              </w:rPr>
              <w:t>支持对于发现任务提供可视化监控，监控信息包括：任务状态、开始运行时间、耗时、已处理表格数、剩余表格数、发现敏感字段数、正在处理表格清单、详细运行日志，并支持原始日志的下载。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spacing w:line="240" w:lineRule="atLeast"/>
              <w:jc w:val="center"/>
              <w:rPr>
                <w:rFonts w:ascii="宋体" w:hAnsi="宋体" w:eastAsia="宋体" w:cs="Times New Roman"/>
                <w:szCs w:val="21"/>
              </w:rPr>
            </w:pPr>
          </w:p>
        </w:tc>
        <w:tc>
          <w:tcPr>
            <w:tcW w:w="4047" w:type="pct"/>
            <w:shd w:val="clear" w:color="auto" w:fill="auto"/>
            <w:vAlign w:val="center"/>
          </w:tcPr>
          <w:p>
            <w:pPr>
              <w:tabs>
                <w:tab w:val="left" w:pos="1792"/>
              </w:tabs>
              <w:jc w:val="left"/>
              <w:rPr>
                <w:rFonts w:hint="eastAsia" w:eastAsia="宋体"/>
                <w:lang w:eastAsia="zh-CN"/>
              </w:rPr>
            </w:pPr>
            <w:r>
              <w:rPr>
                <w:rFonts w:hint="eastAsia"/>
              </w:rPr>
              <w:t>支持对于word</w:t>
            </w:r>
            <w:r>
              <w:rPr>
                <w:rFonts w:hint="eastAsia"/>
                <w:lang w:eastAsia="zh-Hans"/>
              </w:rPr>
              <w:t>文件</w:t>
            </w:r>
            <w:r>
              <w:rPr>
                <w:rFonts w:hint="eastAsia"/>
              </w:rPr>
              <w:t>进行敏感数据发现任务的</w:t>
            </w:r>
            <w:r>
              <w:rPr>
                <w:rFonts w:hint="eastAsia"/>
                <w:lang w:eastAsia="zh-Hans"/>
              </w:rPr>
              <w:t>创建</w:t>
            </w:r>
            <w:r>
              <w:rPr>
                <w:rFonts w:hint="eastAsia"/>
              </w:rPr>
              <w:t>，同时支持以可视化方式对于发现结果进行展示并进行人工单个及批量确认</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restart"/>
            <w:shd w:val="clear" w:color="auto" w:fill="auto"/>
            <w:vAlign w:val="center"/>
          </w:tcPr>
          <w:p>
            <w:pPr>
              <w:widowControl/>
              <w:spacing w:line="240" w:lineRule="atLeast"/>
              <w:jc w:val="center"/>
              <w:rPr>
                <w:rFonts w:ascii="宋体" w:hAnsi="宋体" w:eastAsia="宋体" w:cs="Times New Roman"/>
                <w:szCs w:val="21"/>
                <w:lang w:eastAsia="zh-Hans"/>
              </w:rPr>
            </w:pPr>
            <w:r>
              <w:rPr>
                <w:rFonts w:hint="eastAsia" w:ascii="宋体" w:hAnsi="宋体" w:eastAsia="宋体" w:cs="Times New Roman"/>
                <w:szCs w:val="21"/>
              </w:rPr>
              <w:t>数据脱敏</w:t>
            </w:r>
          </w:p>
        </w:tc>
        <w:tc>
          <w:tcPr>
            <w:tcW w:w="4047" w:type="pct"/>
            <w:shd w:val="clear" w:color="auto" w:fill="auto"/>
            <w:vAlign w:val="center"/>
          </w:tcPr>
          <w:p>
            <w:pPr>
              <w:tabs>
                <w:tab w:val="left" w:pos="1792"/>
              </w:tabs>
              <w:jc w:val="left"/>
            </w:pPr>
            <w:r>
              <w:rPr>
                <w:rFonts w:hint="eastAsia"/>
              </w:rPr>
              <w:t>支持对于脱敏任务的基础信息及对应的脱敏规则进行配置，基础信息包括任务名称、数据流向、输入源、对象同步、脱敏表格、增量配置、数据筛选、输出目标、Schema映射、数据覆盖方式。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pPr>
          </w:p>
        </w:tc>
        <w:tc>
          <w:tcPr>
            <w:tcW w:w="4047" w:type="pct"/>
            <w:shd w:val="clear" w:color="auto" w:fill="auto"/>
            <w:vAlign w:val="center"/>
          </w:tcPr>
          <w:p>
            <w:pPr>
              <w:tabs>
                <w:tab w:val="left" w:pos="1792"/>
              </w:tabs>
              <w:jc w:val="left"/>
              <w:rPr>
                <w:lang w:eastAsia="zh-Hans"/>
              </w:rPr>
            </w:pPr>
            <w:r>
              <w:rPr>
                <w:rFonts w:hint="eastAsia"/>
                <w:lang w:eastAsia="zh-Hans"/>
              </w:rPr>
              <w:t>支持对于word文件进行数据脱敏任务的创建</w:t>
            </w:r>
            <w:r>
              <w:rPr>
                <w:lang w:eastAsia="zh-Hans"/>
              </w:rPr>
              <w:t>，</w:t>
            </w:r>
            <w:r>
              <w:rPr>
                <w:rFonts w:hint="eastAsia"/>
                <w:lang w:eastAsia="zh-Hans"/>
              </w:rPr>
              <w:t>同时支持以可视化方式对于脱敏过程进行监控</w:t>
            </w:r>
            <w:r>
              <w:rPr>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pPr>
          </w:p>
        </w:tc>
        <w:tc>
          <w:tcPr>
            <w:tcW w:w="4047" w:type="pct"/>
            <w:shd w:val="clear" w:color="auto" w:fill="auto"/>
            <w:vAlign w:val="center"/>
          </w:tcPr>
          <w:p>
            <w:pPr>
              <w:tabs>
                <w:tab w:val="left" w:pos="1792"/>
              </w:tabs>
              <w:jc w:val="left"/>
              <w:rPr>
                <w:lang w:eastAsia="zh-Hans"/>
              </w:rPr>
            </w:pPr>
            <w:r>
              <w:rPr>
                <w:rFonts w:hint="eastAsia"/>
                <w:lang w:eastAsia="zh-Hans"/>
              </w:rPr>
              <w:t>支持黑白名单配置</w:t>
            </w:r>
            <w:r>
              <w:rPr>
                <w:lang w:eastAsia="zh-Hans"/>
              </w:rPr>
              <w:t>，</w:t>
            </w:r>
            <w:r>
              <w:rPr>
                <w:rFonts w:hint="eastAsia"/>
                <w:lang w:eastAsia="zh-Hans"/>
              </w:rPr>
              <w:t>对于黑名单中的记录不会同步到目标端</w:t>
            </w:r>
            <w:r>
              <w:rPr>
                <w:lang w:eastAsia="zh-Hans"/>
              </w:rPr>
              <w:t>，</w:t>
            </w:r>
            <w:r>
              <w:rPr>
                <w:rFonts w:hint="eastAsia"/>
                <w:lang w:eastAsia="zh-Hans"/>
              </w:rPr>
              <w:t>对于白名单中的记录不进行数据脱敏处理</w:t>
            </w:r>
            <w:r>
              <w:rPr>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restart"/>
            <w:shd w:val="clear" w:color="auto" w:fill="auto"/>
            <w:vAlign w:val="center"/>
          </w:tcPr>
          <w:p>
            <w:pPr>
              <w:widowControl/>
              <w:jc w:val="center"/>
            </w:pPr>
            <w:r>
              <w:rPr>
                <w:rFonts w:hint="eastAsia"/>
              </w:rPr>
              <w:t>数据水印</w:t>
            </w:r>
          </w:p>
        </w:tc>
        <w:tc>
          <w:tcPr>
            <w:tcW w:w="4047" w:type="pct"/>
            <w:shd w:val="clear" w:color="auto" w:fill="auto"/>
            <w:vAlign w:val="center"/>
          </w:tcPr>
          <w:p>
            <w:pPr>
              <w:tabs>
                <w:tab w:val="left" w:pos="1792"/>
              </w:tabs>
              <w:jc w:val="left"/>
              <w:rPr>
                <w:lang w:eastAsia="zh-Hans"/>
              </w:rPr>
            </w:pPr>
            <w:r>
              <w:rPr>
                <w:rFonts w:hint="eastAsia"/>
                <w:lang w:eastAsia="zh-Hans"/>
              </w:rPr>
              <w:t>支持在同一个任务中先进行数据脱敏处理</w:t>
            </w:r>
            <w:r>
              <w:rPr>
                <w:lang w:eastAsia="zh-Hans"/>
              </w:rPr>
              <w:t>，</w:t>
            </w:r>
            <w:r>
              <w:rPr>
                <w:rFonts w:hint="eastAsia"/>
                <w:lang w:eastAsia="zh-Hans"/>
              </w:rPr>
              <w:t>再进行水印处理</w:t>
            </w:r>
            <w:r>
              <w:rPr>
                <w:lang w:eastAsia="zh-Hans"/>
              </w:rPr>
              <w:t>，</w:t>
            </w:r>
            <w:r>
              <w:rPr>
                <w:rFonts w:hint="eastAsia"/>
                <w:lang w:eastAsia="zh-Hans"/>
              </w:rPr>
              <w:t>以同时满足脱敏和水印要求</w:t>
            </w:r>
            <w:r>
              <w:rPr>
                <w:lang w:eastAsia="zh-Hans"/>
              </w:rPr>
              <w:t>，</w:t>
            </w:r>
            <w:r>
              <w:rPr>
                <w:rFonts w:hint="eastAsia"/>
                <w:lang w:eastAsia="zh-Hans"/>
              </w:rPr>
              <w:t>并大幅减少处理耗时</w:t>
            </w:r>
            <w:r>
              <w:rPr>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pPr>
          </w:p>
        </w:tc>
        <w:tc>
          <w:tcPr>
            <w:tcW w:w="4047" w:type="pct"/>
            <w:shd w:val="clear" w:color="auto" w:fill="auto"/>
            <w:vAlign w:val="center"/>
          </w:tcPr>
          <w:p>
            <w:pPr>
              <w:tabs>
                <w:tab w:val="left" w:pos="1792"/>
              </w:tabs>
              <w:jc w:val="left"/>
            </w:pPr>
            <w:r>
              <w:rPr>
                <w:rFonts w:hint="eastAsia"/>
              </w:rPr>
              <w:t>支持脱敏水印、内容修改水印、伪行水印、伪列水印、零宽水印5种水印算法对于数据打上水印信息。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pPr>
          </w:p>
        </w:tc>
        <w:tc>
          <w:tcPr>
            <w:tcW w:w="4047" w:type="pct"/>
            <w:shd w:val="clear" w:color="auto" w:fill="auto"/>
            <w:vAlign w:val="center"/>
          </w:tcPr>
          <w:p>
            <w:pPr>
              <w:tabs>
                <w:tab w:val="left" w:pos="1792"/>
              </w:tabs>
              <w:jc w:val="left"/>
            </w:pPr>
            <w:r>
              <w:rPr>
                <w:rFonts w:hint="eastAsia"/>
              </w:rPr>
              <w:t>支持通过excel文件导入或手动输入样本数据两种方式，实现带有水印数据的水印信息溯源。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shd w:val="clear" w:color="auto" w:fill="auto"/>
            <w:vAlign w:val="center"/>
          </w:tcPr>
          <w:p>
            <w:pPr>
              <w:widowControl/>
              <w:jc w:val="center"/>
              <w:rPr>
                <w:lang w:eastAsia="zh-Hans"/>
              </w:rPr>
            </w:pPr>
            <w:r>
              <w:rPr>
                <w:rFonts w:hint="eastAsia"/>
                <w:lang w:eastAsia="zh-Hans"/>
              </w:rPr>
              <w:t>统计分析报表</w:t>
            </w:r>
          </w:p>
        </w:tc>
        <w:tc>
          <w:tcPr>
            <w:tcW w:w="4047" w:type="pct"/>
            <w:shd w:val="clear" w:color="auto" w:fill="auto"/>
            <w:vAlign w:val="center"/>
          </w:tcPr>
          <w:p>
            <w:pPr>
              <w:tabs>
                <w:tab w:val="left" w:pos="1792"/>
              </w:tabs>
              <w:jc w:val="left"/>
              <w:rPr>
                <w:lang w:eastAsia="zh-Hans"/>
              </w:rPr>
            </w:pPr>
            <w:r>
              <w:rPr>
                <w:rFonts w:hint="eastAsia"/>
                <w:lang w:eastAsia="zh-Hans"/>
              </w:rPr>
              <w:t>系统提供针对数据资产与任务运行的两份统计分析报表</w:t>
            </w:r>
            <w:r>
              <w:rPr>
                <w:lang w:eastAsia="zh-Hans"/>
              </w:rPr>
              <w:t>，</w:t>
            </w:r>
            <w:r>
              <w:rPr>
                <w:rFonts w:hint="eastAsia"/>
                <w:lang w:eastAsia="zh-Hans"/>
              </w:rPr>
              <w:t>数据资产统计包含数据源总量</w:t>
            </w:r>
            <w:r>
              <w:rPr>
                <w:lang w:eastAsia="zh-Hans"/>
              </w:rPr>
              <w:t>、</w:t>
            </w:r>
            <w:r>
              <w:rPr>
                <w:rFonts w:hint="eastAsia"/>
                <w:lang w:eastAsia="zh-Hans"/>
              </w:rPr>
              <w:t>Schema总量</w:t>
            </w:r>
            <w:r>
              <w:rPr>
                <w:lang w:eastAsia="zh-Hans"/>
              </w:rPr>
              <w:t>、</w:t>
            </w:r>
            <w:r>
              <w:rPr>
                <w:rFonts w:hint="eastAsia"/>
                <w:lang w:eastAsia="zh-Hans"/>
              </w:rPr>
              <w:t>数据表总量</w:t>
            </w:r>
            <w:r>
              <w:rPr>
                <w:lang w:eastAsia="zh-Hans"/>
              </w:rPr>
              <w:t>、</w:t>
            </w:r>
            <w:r>
              <w:rPr>
                <w:rFonts w:hint="eastAsia"/>
                <w:lang w:eastAsia="zh-Hans"/>
              </w:rPr>
              <w:t>敏感数据表总量</w:t>
            </w:r>
            <w:r>
              <w:rPr>
                <w:lang w:eastAsia="zh-Hans"/>
              </w:rPr>
              <w:t>、</w:t>
            </w:r>
            <w:r>
              <w:rPr>
                <w:rFonts w:hint="eastAsia"/>
                <w:lang w:eastAsia="zh-Hans"/>
              </w:rPr>
              <w:t>数据字段总量</w:t>
            </w:r>
            <w:r>
              <w:rPr>
                <w:lang w:eastAsia="zh-Hans"/>
              </w:rPr>
              <w:t>、</w:t>
            </w:r>
            <w:r>
              <w:rPr>
                <w:rFonts w:hint="eastAsia"/>
                <w:lang w:eastAsia="zh-Hans"/>
              </w:rPr>
              <w:t>敏感数据字段总量</w:t>
            </w:r>
            <w:r>
              <w:rPr>
                <w:lang w:eastAsia="zh-Hans"/>
              </w:rPr>
              <w:t>、</w:t>
            </w:r>
            <w:r>
              <w:rPr>
                <w:rFonts w:hint="eastAsia"/>
                <w:lang w:eastAsia="zh-Hans"/>
              </w:rPr>
              <w:t>数据源类型分布</w:t>
            </w:r>
            <w:r>
              <w:rPr>
                <w:lang w:eastAsia="zh-Hans"/>
              </w:rPr>
              <w:t>、</w:t>
            </w:r>
            <w:r>
              <w:rPr>
                <w:rFonts w:hint="eastAsia"/>
                <w:lang w:eastAsia="zh-Hans"/>
              </w:rPr>
              <w:t>敏感程度排名</w:t>
            </w:r>
            <w:r>
              <w:rPr>
                <w:lang w:eastAsia="zh-Hans"/>
              </w:rPr>
              <w:t>、</w:t>
            </w:r>
            <w:r>
              <w:rPr>
                <w:rFonts w:hint="eastAsia"/>
                <w:lang w:eastAsia="zh-Hans"/>
              </w:rPr>
              <w:t>敏感标签词云</w:t>
            </w:r>
            <w:r>
              <w:rPr>
                <w:lang w:eastAsia="zh-Hans"/>
              </w:rPr>
              <w:t>，</w:t>
            </w:r>
            <w:r>
              <w:rPr>
                <w:rFonts w:hint="eastAsia"/>
                <w:lang w:eastAsia="zh-Hans"/>
              </w:rPr>
              <w:t>任务运行统计包含任务数量</w:t>
            </w:r>
            <w:r>
              <w:rPr>
                <w:lang w:eastAsia="zh-Hans"/>
              </w:rPr>
              <w:t>、</w:t>
            </w:r>
            <w:r>
              <w:rPr>
                <w:rFonts w:hint="eastAsia"/>
                <w:lang w:eastAsia="zh-Hans"/>
              </w:rPr>
              <w:t>运行实例</w:t>
            </w:r>
            <w:r>
              <w:rPr>
                <w:lang w:eastAsia="zh-Hans"/>
              </w:rPr>
              <w:t>、</w:t>
            </w:r>
            <w:r>
              <w:rPr>
                <w:rFonts w:hint="eastAsia"/>
                <w:lang w:eastAsia="zh-Hans"/>
              </w:rPr>
              <w:t>运行完成个数</w:t>
            </w:r>
            <w:r>
              <w:rPr>
                <w:lang w:eastAsia="zh-Hans"/>
              </w:rPr>
              <w:t>、</w:t>
            </w:r>
            <w:r>
              <w:rPr>
                <w:rFonts w:hint="eastAsia"/>
                <w:lang w:eastAsia="zh-Hans"/>
              </w:rPr>
              <w:t>错误日志个数</w:t>
            </w:r>
            <w:r>
              <w:rPr>
                <w:lang w:eastAsia="zh-Hans"/>
              </w:rPr>
              <w:t>、</w:t>
            </w:r>
            <w:r>
              <w:rPr>
                <w:rFonts w:hint="eastAsia"/>
                <w:lang w:eastAsia="zh-Hans"/>
              </w:rPr>
              <w:t>处理数据表</w:t>
            </w:r>
            <w:r>
              <w:rPr>
                <w:lang w:eastAsia="zh-Hans"/>
              </w:rPr>
              <w:t>、</w:t>
            </w:r>
            <w:r>
              <w:rPr>
                <w:rFonts w:hint="eastAsia"/>
                <w:lang w:eastAsia="zh-Hans"/>
              </w:rPr>
              <w:t>处理数据量</w:t>
            </w:r>
            <w:r>
              <w:rPr>
                <w:lang w:eastAsia="zh-Hans"/>
              </w:rPr>
              <w:t>、</w:t>
            </w:r>
            <w:r>
              <w:rPr>
                <w:rFonts w:hint="eastAsia"/>
                <w:lang w:eastAsia="zh-Hans"/>
              </w:rPr>
              <w:t>数据源类型分布</w:t>
            </w:r>
            <w:r>
              <w:rPr>
                <w:lang w:eastAsia="zh-Hans"/>
              </w:rPr>
              <w:t>、</w:t>
            </w:r>
            <w:r>
              <w:rPr>
                <w:rFonts w:hint="eastAsia"/>
                <w:lang w:eastAsia="zh-Hans"/>
              </w:rPr>
              <w:t>数据流向分布</w:t>
            </w:r>
            <w:r>
              <w:rPr>
                <w:lang w:eastAsia="zh-Hans"/>
              </w:rPr>
              <w:t>、</w:t>
            </w:r>
            <w:r>
              <w:rPr>
                <w:rFonts w:hint="eastAsia"/>
                <w:lang w:eastAsia="zh-Hans"/>
              </w:rPr>
              <w:t>脱敏规则热度</w:t>
            </w:r>
            <w:r>
              <w:rPr>
                <w:lang w:eastAsia="zh-Hans"/>
              </w:rPr>
              <w:t>、</w:t>
            </w:r>
            <w:r>
              <w:rPr>
                <w:rFonts w:hint="eastAsia"/>
                <w:lang w:eastAsia="zh-Hans"/>
              </w:rPr>
              <w:t>任务运行趋势</w:t>
            </w:r>
            <w:r>
              <w:rPr>
                <w:lang w:eastAsia="zh-Hans"/>
              </w:rPr>
              <w:t>、</w:t>
            </w:r>
            <w:r>
              <w:rPr>
                <w:rFonts w:hint="eastAsia"/>
                <w:lang w:eastAsia="zh-Hans"/>
              </w:rPr>
              <w:t>处理数据量趋势</w:t>
            </w:r>
            <w:r>
              <w:rPr>
                <w:lang w:eastAsia="zh-Hans"/>
              </w:rPr>
              <w:t>、</w:t>
            </w:r>
            <w:r>
              <w:rPr>
                <w:rFonts w:hint="eastAsia"/>
                <w:lang w:eastAsia="zh-Hans"/>
              </w:rPr>
              <w:t>运行状态分布</w:t>
            </w:r>
            <w:r>
              <w:rPr>
                <w:lang w:eastAsia="zh-Hans"/>
              </w:rPr>
              <w:t>、</w:t>
            </w:r>
            <w:r>
              <w:rPr>
                <w:rFonts w:hint="eastAsia"/>
                <w:lang w:eastAsia="zh-Hans"/>
              </w:rPr>
              <w:t>运行时段分布</w:t>
            </w:r>
            <w:r>
              <w:rPr>
                <w:lang w:eastAsia="zh-Hans"/>
              </w:rPr>
              <w:t>、</w:t>
            </w:r>
            <w:r>
              <w:rPr>
                <w:rFonts w:hint="eastAsia"/>
                <w:lang w:eastAsia="zh-Hans"/>
              </w:rPr>
              <w:t>处理数据量排名</w:t>
            </w:r>
            <w:r>
              <w:rPr>
                <w:lang w:eastAsia="zh-Hans"/>
              </w:rPr>
              <w:t>、</w:t>
            </w:r>
            <w:r>
              <w:rPr>
                <w:rFonts w:hint="eastAsia"/>
                <w:lang w:eastAsia="zh-Hans"/>
              </w:rPr>
              <w:t>运行次数排名</w:t>
            </w:r>
            <w:r>
              <w:rPr>
                <w:lang w:eastAsia="zh-Hans"/>
              </w:rPr>
              <w:t>、</w:t>
            </w:r>
            <w:r>
              <w:rPr>
                <w:rFonts w:hint="eastAsia"/>
                <w:lang w:eastAsia="zh-Hans"/>
              </w:rPr>
              <w:t>错误日志数量排名</w:t>
            </w:r>
            <w:r>
              <w:rPr>
                <w:lang w:eastAsia="zh-Hans"/>
              </w:rPr>
              <w:t>、</w:t>
            </w:r>
            <w:r>
              <w:rPr>
                <w:rFonts w:hint="eastAsia"/>
                <w:lang w:eastAsia="zh-Hans"/>
              </w:rPr>
              <w:t>平均用时排名</w:t>
            </w:r>
            <w:r>
              <w:rPr>
                <w:lang w:eastAsia="zh-Hans"/>
              </w:rPr>
              <w:t>、</w:t>
            </w:r>
            <w:r>
              <w:rPr>
                <w:rFonts w:hint="eastAsia"/>
                <w:lang w:eastAsia="zh-Hans"/>
              </w:rPr>
              <w:t>热门数据源</w:t>
            </w:r>
            <w:r>
              <w:rPr>
                <w:lang w:eastAsia="zh-Hans"/>
              </w:rPr>
              <w:t>、</w:t>
            </w:r>
            <w:r>
              <w:rPr>
                <w:rFonts w:hint="eastAsia"/>
                <w:lang w:eastAsia="zh-Hans"/>
              </w:rPr>
              <w:t>热门数据目标</w:t>
            </w:r>
            <w:r>
              <w:rPr>
                <w:lang w:eastAsia="zh-Hans"/>
              </w:rPr>
              <w:t>。</w:t>
            </w:r>
            <w:r>
              <w:rPr>
                <w:rFonts w:hint="eastAsia"/>
                <w:b/>
                <w:bCs/>
                <w:highlight w:val="none"/>
              </w:rPr>
              <w:t>（提供</w:t>
            </w:r>
            <w:r>
              <w:rPr>
                <w:rFonts w:hint="eastAsia"/>
                <w:b/>
                <w:bCs/>
                <w:highlight w:val="none"/>
                <w:lang w:eastAsia="zh-CN"/>
              </w:rPr>
              <w:t>统计分析报表</w:t>
            </w:r>
            <w:r>
              <w:rPr>
                <w:rFonts w:hint="eastAsia"/>
                <w:b/>
                <w:bCs/>
                <w:highlight w:val="none"/>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shd w:val="clear" w:color="auto" w:fill="auto"/>
            <w:vAlign w:val="center"/>
          </w:tcPr>
          <w:p>
            <w:pPr>
              <w:widowControl/>
              <w:jc w:val="center"/>
            </w:pPr>
            <w:r>
              <w:rPr>
                <w:rFonts w:hint="eastAsia"/>
              </w:rPr>
              <w:t>API接口开放</w:t>
            </w:r>
          </w:p>
        </w:tc>
        <w:tc>
          <w:tcPr>
            <w:tcW w:w="4047" w:type="pct"/>
            <w:shd w:val="clear" w:color="auto" w:fill="auto"/>
            <w:vAlign w:val="center"/>
          </w:tcPr>
          <w:p>
            <w:pPr>
              <w:tabs>
                <w:tab w:val="left" w:pos="1792"/>
              </w:tabs>
              <w:jc w:val="left"/>
              <w:rPr>
                <w:rFonts w:hint="eastAsia" w:eastAsiaTheme="minorEastAsia"/>
                <w:lang w:eastAsia="zh-CN"/>
              </w:rPr>
            </w:pPr>
            <w:r>
              <w:rPr>
                <w:rFonts w:hint="eastAsia"/>
              </w:rPr>
              <w:t>支持以API形式将数据脱敏与数据水印能力进行对外提供，具体包括接口包括：数据源清单接口、查询水印算法可用列表接口、水印列表接口、新增水印接口、批量删除水印接口、数据水印处理接口、查询脱敏算法可用列表接口、脱敏算法测试接口、数据脱敏接口</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restart"/>
            <w:shd w:val="clear" w:color="auto" w:fill="auto"/>
            <w:vAlign w:val="center"/>
          </w:tcPr>
          <w:p>
            <w:pPr>
              <w:widowControl/>
              <w:jc w:val="center"/>
              <w:rPr>
                <w:lang w:eastAsia="zh-Hans"/>
              </w:rPr>
            </w:pPr>
            <w:r>
              <w:rPr>
                <w:rFonts w:hint="eastAsia"/>
                <w:lang w:eastAsia="zh-Hans"/>
              </w:rPr>
              <w:t>脱敏算法</w:t>
            </w:r>
          </w:p>
        </w:tc>
        <w:tc>
          <w:tcPr>
            <w:tcW w:w="4047" w:type="pct"/>
            <w:shd w:val="clear" w:color="auto" w:fill="auto"/>
            <w:vAlign w:val="center"/>
          </w:tcPr>
          <w:p>
            <w:pPr>
              <w:tabs>
                <w:tab w:val="left" w:pos="1792"/>
              </w:tabs>
              <w:jc w:val="left"/>
            </w:pPr>
            <w:r>
              <w:rPr>
                <w:rFonts w:hint="eastAsia"/>
              </w:rPr>
              <w:t>静态脱敏支持不低于20类，240种及以上的脱敏算法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rPr>
                <w:lang w:eastAsia="zh-Hans"/>
              </w:rPr>
            </w:pPr>
          </w:p>
        </w:tc>
        <w:tc>
          <w:tcPr>
            <w:tcW w:w="4047" w:type="pct"/>
            <w:shd w:val="clear" w:color="auto" w:fill="auto"/>
            <w:vAlign w:val="center"/>
          </w:tcPr>
          <w:p>
            <w:pPr>
              <w:tabs>
                <w:tab w:val="left" w:pos="1792"/>
              </w:tabs>
              <w:jc w:val="left"/>
              <w:rPr>
                <w:lang w:eastAsia="zh-Hans"/>
              </w:rPr>
            </w:pPr>
            <w:r>
              <w:rPr>
                <w:rFonts w:hint="eastAsia"/>
                <w:lang w:eastAsia="zh-Hans"/>
              </w:rPr>
              <w:t>编码</w:t>
            </w:r>
            <w:r>
              <w:rPr>
                <w:lang w:eastAsia="zh-Hans"/>
              </w:rPr>
              <w:t>：根据所选参数指定的编码方式对数据进行编码。支持的编码方式有：UTF-8/GBK。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rPr>
                <w:lang w:eastAsia="zh-Hans"/>
              </w:rPr>
            </w:pPr>
          </w:p>
        </w:tc>
        <w:tc>
          <w:tcPr>
            <w:tcW w:w="4047" w:type="pct"/>
            <w:shd w:val="clear" w:color="auto" w:fill="auto"/>
            <w:vAlign w:val="center"/>
          </w:tcPr>
          <w:p>
            <w:pPr>
              <w:tabs>
                <w:tab w:val="left" w:pos="1792"/>
              </w:tabs>
              <w:jc w:val="left"/>
            </w:pPr>
            <w:r>
              <w:rPr>
                <w:rFonts w:hint="eastAsia"/>
                <w:lang w:eastAsia="zh-Hans"/>
              </w:rPr>
              <w:t>标准化</w:t>
            </w:r>
            <w:r>
              <w:rPr>
                <w:lang w:eastAsia="zh-Hans"/>
              </w:rPr>
              <w:t>：</w:t>
            </w:r>
            <w:r>
              <w:rPr>
                <w:rFonts w:hint="eastAsia"/>
              </w:rPr>
              <w:t>对数值类型的数据进行标准化缩放，使得数据均值归为0，方差归为1。本算法脱敏后的数据基本保留数据分布类型，可后续用于常见的分类、聚类等数据分析任务。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rPr>
                <w:lang w:eastAsia="zh-Hans"/>
              </w:rPr>
            </w:pPr>
          </w:p>
        </w:tc>
        <w:tc>
          <w:tcPr>
            <w:tcW w:w="4047" w:type="pct"/>
            <w:shd w:val="clear" w:color="auto" w:fill="auto"/>
            <w:vAlign w:val="center"/>
          </w:tcPr>
          <w:p>
            <w:pPr>
              <w:jc w:val="left"/>
              <w:rPr>
                <w:lang w:eastAsia="zh-Hans"/>
              </w:rPr>
            </w:pPr>
            <w:r>
              <w:rPr>
                <w:rFonts w:hint="eastAsia"/>
                <w:lang w:eastAsia="zh-Hans"/>
              </w:rPr>
              <w:t>仿真</w:t>
            </w:r>
            <w:r>
              <w:rPr>
                <w:lang w:eastAsia="zh-Hans"/>
              </w:rPr>
              <w:t>：</w:t>
            </w:r>
            <w:r>
              <w:rPr>
                <w:rFonts w:hint="eastAsia"/>
                <w:lang w:eastAsia="zh-Hans"/>
              </w:rPr>
              <w:t>根据所选的参数生成格式、语义等属性与原数据相同且符合校验规则的仿真数据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rPr>
                <w:lang w:eastAsia="zh-Hans"/>
              </w:rPr>
            </w:pPr>
          </w:p>
        </w:tc>
        <w:tc>
          <w:tcPr>
            <w:tcW w:w="4047" w:type="pct"/>
            <w:shd w:val="clear" w:color="auto" w:fill="auto"/>
            <w:vAlign w:val="center"/>
          </w:tcPr>
          <w:p>
            <w:pPr>
              <w:jc w:val="left"/>
              <w:rPr>
                <w:lang w:eastAsia="zh-Hans"/>
              </w:rPr>
            </w:pPr>
            <w:r>
              <w:rPr>
                <w:rFonts w:hint="eastAsia"/>
                <w:lang w:eastAsia="zh-Hans"/>
              </w:rPr>
              <w:t>分布重建</w:t>
            </w:r>
            <w:r>
              <w:rPr>
                <w:lang w:eastAsia="zh-Hans"/>
              </w:rPr>
              <w:t>：</w:t>
            </w:r>
            <w:r>
              <w:rPr>
                <w:rFonts w:hint="eastAsia"/>
                <w:lang w:eastAsia="zh-Hans"/>
              </w:rPr>
              <w:t>根据指定的直方图的数量对原数据分布进行估计和采样重建。本算法可以使得脱敏后的数据保留原数据的高阶统计特征，适用于对数据质量有较高要求的分析场景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rPr>
                <w:lang w:eastAsia="zh-Hans"/>
              </w:rPr>
            </w:pPr>
          </w:p>
        </w:tc>
        <w:tc>
          <w:tcPr>
            <w:tcW w:w="4047" w:type="pct"/>
            <w:shd w:val="clear" w:color="auto" w:fill="auto"/>
            <w:vAlign w:val="center"/>
          </w:tcPr>
          <w:p>
            <w:pPr>
              <w:jc w:val="left"/>
              <w:rPr>
                <w:lang w:eastAsia="zh-Hans"/>
              </w:rPr>
            </w:pPr>
            <w:r>
              <w:rPr>
                <w:rFonts w:hint="eastAsia"/>
                <w:lang w:eastAsia="zh-Hans"/>
              </w:rPr>
              <w:t>分割</w:t>
            </w:r>
            <w:r>
              <w:rPr>
                <w:lang w:eastAsia="zh-Hans"/>
              </w:rPr>
              <w:t>：</w:t>
            </w:r>
            <w:r>
              <w:rPr>
                <w:rFonts w:hint="eastAsia"/>
                <w:lang w:eastAsia="zh-Hans"/>
              </w:rPr>
              <w:t>根据所选的参数对数据进行分割，保留指定区域的数据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vMerge w:val="continue"/>
            <w:shd w:val="clear" w:color="auto" w:fill="auto"/>
            <w:vAlign w:val="center"/>
          </w:tcPr>
          <w:p>
            <w:pPr>
              <w:widowControl/>
              <w:jc w:val="center"/>
              <w:rPr>
                <w:lang w:eastAsia="zh-Hans"/>
              </w:rPr>
            </w:pPr>
          </w:p>
        </w:tc>
        <w:tc>
          <w:tcPr>
            <w:tcW w:w="4047" w:type="pct"/>
            <w:shd w:val="clear" w:color="auto" w:fill="auto"/>
            <w:vAlign w:val="center"/>
          </w:tcPr>
          <w:p>
            <w:pPr>
              <w:jc w:val="left"/>
              <w:rPr>
                <w:lang w:eastAsia="zh-Hans"/>
              </w:rPr>
            </w:pPr>
            <w:r>
              <w:rPr>
                <w:rFonts w:hint="eastAsia"/>
                <w:lang w:eastAsia="zh-Hans"/>
              </w:rPr>
              <w:t>归一化</w:t>
            </w:r>
            <w:r>
              <w:rPr>
                <w:lang w:eastAsia="zh-Hans"/>
              </w:rPr>
              <w:t>：</w:t>
            </w:r>
            <w:r>
              <w:rPr>
                <w:rFonts w:hint="eastAsia"/>
                <w:lang w:eastAsia="zh-Hans"/>
              </w:rPr>
              <w:t>对数值类型的数据进行归一化缩放，将数据线性缩放至[0,1]区间。本算法脱敏后的数据可限定数据范围，保留数据相对大小，剔除量纲影响，可根据分析模型和分析需求选用本算法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shd w:val="clear" w:color="auto" w:fill="auto"/>
            <w:vAlign w:val="center"/>
          </w:tcPr>
          <w:p>
            <w:pPr>
              <w:widowControl/>
              <w:jc w:val="center"/>
              <w:rPr>
                <w:lang w:eastAsia="zh-Hans"/>
              </w:rPr>
            </w:pPr>
            <w:r>
              <w:rPr>
                <w:rFonts w:hint="eastAsia"/>
                <w:lang w:eastAsia="zh-Hans"/>
              </w:rPr>
              <w:t>数据对比</w:t>
            </w:r>
          </w:p>
        </w:tc>
        <w:tc>
          <w:tcPr>
            <w:tcW w:w="4047" w:type="pct"/>
            <w:shd w:val="clear" w:color="auto" w:fill="auto"/>
            <w:vAlign w:val="center"/>
          </w:tcPr>
          <w:p>
            <w:pPr>
              <w:jc w:val="left"/>
              <w:rPr>
                <w:lang w:eastAsia="zh-Hans"/>
              </w:rPr>
            </w:pPr>
            <w:r>
              <w:rPr>
                <w:rFonts w:hint="eastAsia"/>
                <w:lang w:eastAsia="zh-Hans"/>
              </w:rPr>
              <w:t>提供单独的数据对比能力以对比生产数据和测试数据</w:t>
            </w:r>
            <w:r>
              <w:rPr>
                <w:rFonts w:hint="eastAsia"/>
              </w:rPr>
              <w:t>或</w:t>
            </w:r>
            <w:r>
              <w:rPr>
                <w:rFonts w:hint="eastAsia"/>
                <w:lang w:eastAsia="zh-Hans"/>
              </w:rPr>
              <w:t>脱敏前和脱敏后的数据内容差异。提供数据对比任务新增、管理、运行等功能，可对数据对比任务的采样比例等多项参数进行配置。提供数据对比任务执行后的分析报表，包括任务运行概述、对比结果统计、未脱敏表数量、运行日志、未脱敏字段明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2" w:type="pct"/>
            <w:shd w:val="clear" w:color="auto" w:fill="auto"/>
            <w:vAlign w:val="center"/>
          </w:tcPr>
          <w:p>
            <w:pPr>
              <w:widowControl/>
              <w:jc w:val="center"/>
              <w:rPr>
                <w:rFonts w:hint="eastAsia" w:eastAsia="宋体"/>
                <w:highlight w:val="none"/>
                <w:lang w:eastAsia="zh-CN"/>
              </w:rPr>
            </w:pPr>
            <w:r>
              <w:rPr>
                <w:rFonts w:hint="eastAsia"/>
                <w:highlight w:val="none"/>
                <w:lang w:eastAsia="zh-CN"/>
              </w:rPr>
              <w:t>其他</w:t>
            </w:r>
          </w:p>
        </w:tc>
        <w:tc>
          <w:tcPr>
            <w:tcW w:w="4047" w:type="pct"/>
            <w:shd w:val="clear" w:color="auto" w:fill="auto"/>
            <w:vAlign w:val="center"/>
          </w:tcPr>
          <w:p>
            <w:pPr>
              <w:jc w:val="left"/>
              <w:rPr>
                <w:rFonts w:hint="default" w:eastAsia="宋体"/>
                <w:highlight w:val="none"/>
                <w:lang w:val="en-US" w:eastAsia="zh-CN"/>
              </w:rPr>
            </w:pPr>
            <w:r>
              <w:rPr>
                <w:rFonts w:hint="eastAsia" w:ascii="宋体" w:hAnsi="宋体" w:eastAsia="宋体" w:cs="宋体"/>
                <w:sz w:val="21"/>
                <w:szCs w:val="21"/>
                <w:highlight w:val="none"/>
              </w:rPr>
              <w:t>支持以数据资产目录形式对于数据源对应的元数据信息进行查看，同时支持同步分类分级的结果，以及对于敏感数据列进行手动标记。</w:t>
            </w:r>
            <w:r>
              <w:rPr>
                <w:rFonts w:hint="eastAsia"/>
                <w:b/>
                <w:bCs/>
                <w:highlight w:val="none"/>
              </w:rPr>
              <w:t>提供功能截图</w:t>
            </w:r>
          </w:p>
        </w:tc>
      </w:tr>
    </w:tbl>
    <w:p>
      <w:pPr>
        <w:rPr>
          <w:rFonts w:hint="eastAsia"/>
          <w:lang w:val="en-US" w:eastAsia="zh-CN"/>
        </w:rPr>
      </w:pPr>
    </w:p>
    <w:p>
      <w:pPr>
        <w:pStyle w:val="4"/>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下一代防火墙</w:t>
      </w:r>
      <w:r>
        <w:rPr>
          <w:rFonts w:hint="eastAsia" w:asciiTheme="minorEastAsia" w:hAnsiTheme="minorEastAsia" w:eastAsiaTheme="minorEastAsia" w:cstheme="minorEastAsia"/>
          <w:sz w:val="24"/>
          <w:szCs w:val="24"/>
          <w:lang w:eastAsia="zh-CN"/>
        </w:rPr>
        <w:t>：</w:t>
      </w:r>
    </w:p>
    <w:tbl>
      <w:tblPr>
        <w:tblStyle w:val="63"/>
        <w:tblW w:w="4999" w:type="pct"/>
        <w:tblInd w:w="0" w:type="dxa"/>
        <w:tblLayout w:type="autofit"/>
        <w:tblCellMar>
          <w:top w:w="0" w:type="dxa"/>
          <w:left w:w="108" w:type="dxa"/>
          <w:bottom w:w="0" w:type="dxa"/>
          <w:right w:w="108" w:type="dxa"/>
        </w:tblCellMar>
      </w:tblPr>
      <w:tblGrid>
        <w:gridCol w:w="1337"/>
        <w:gridCol w:w="7950"/>
      </w:tblGrid>
      <w:tr>
        <w:tblPrEx>
          <w:tblCellMar>
            <w:top w:w="0" w:type="dxa"/>
            <w:left w:w="108" w:type="dxa"/>
            <w:bottom w:w="0" w:type="dxa"/>
            <w:right w:w="108" w:type="dxa"/>
          </w:tblCellMar>
        </w:tblPrEx>
        <w:trPr>
          <w:trHeight w:val="285"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产品功能</w:t>
            </w:r>
          </w:p>
        </w:tc>
        <w:tc>
          <w:tcPr>
            <w:tcW w:w="4279"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技术参数要求</w:t>
            </w:r>
          </w:p>
        </w:tc>
      </w:tr>
      <w:tr>
        <w:tblPrEx>
          <w:tblCellMar>
            <w:top w:w="0" w:type="dxa"/>
            <w:left w:w="108" w:type="dxa"/>
            <w:bottom w:w="0" w:type="dxa"/>
            <w:right w:w="108" w:type="dxa"/>
          </w:tblCellMar>
        </w:tblPrEx>
        <w:trPr>
          <w:trHeight w:val="59" w:hRule="atLeast"/>
        </w:trPr>
        <w:tc>
          <w:tcPr>
            <w:tcW w:w="720" w:type="pct"/>
            <w:vMerge w:val="restart"/>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硬件规格</w:t>
            </w:r>
          </w:p>
        </w:tc>
        <w:tc>
          <w:tcPr>
            <w:tcW w:w="427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所投产品须支持</w:t>
            </w:r>
            <w:r>
              <w:rPr>
                <w:rFonts w:hint="eastAsia" w:ascii="宋体" w:hAnsi="宋体" w:eastAsia="宋体" w:cs="宋体"/>
                <w:bCs/>
                <w:kern w:val="0"/>
                <w:sz w:val="21"/>
                <w:szCs w:val="21"/>
              </w:rPr>
              <w:t>6个GE电口，2个SFP+万兆光口，2个扩展插槽（可选配8电/8光/2万兆光），1+1冗余电源</w:t>
            </w:r>
          </w:p>
        </w:tc>
      </w:tr>
      <w:tr>
        <w:tblPrEx>
          <w:tblCellMar>
            <w:top w:w="0" w:type="dxa"/>
            <w:left w:w="108" w:type="dxa"/>
            <w:bottom w:w="0" w:type="dxa"/>
            <w:right w:w="108" w:type="dxa"/>
          </w:tblCellMar>
        </w:tblPrEx>
        <w:trPr>
          <w:trHeight w:val="285" w:hRule="atLeast"/>
        </w:trPr>
        <w:tc>
          <w:tcPr>
            <w:tcW w:w="720"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内置2T的硬盘存储，可根据要求定制磁盘空间容量</w:t>
            </w:r>
          </w:p>
        </w:tc>
      </w:tr>
      <w:tr>
        <w:tblPrEx>
          <w:tblCellMar>
            <w:top w:w="0" w:type="dxa"/>
            <w:left w:w="108" w:type="dxa"/>
            <w:bottom w:w="0" w:type="dxa"/>
            <w:right w:w="108" w:type="dxa"/>
          </w:tblCellMar>
        </w:tblPrEx>
        <w:trPr>
          <w:trHeight w:val="285" w:hRule="atLeast"/>
        </w:trPr>
        <w:tc>
          <w:tcPr>
            <w:tcW w:w="720"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尺寸大小：2U机架式</w:t>
            </w:r>
          </w:p>
        </w:tc>
      </w:tr>
      <w:tr>
        <w:tblPrEx>
          <w:tblCellMar>
            <w:top w:w="0" w:type="dxa"/>
            <w:left w:w="108" w:type="dxa"/>
            <w:bottom w:w="0" w:type="dxa"/>
            <w:right w:w="108" w:type="dxa"/>
          </w:tblCellMar>
        </w:tblPrEx>
        <w:trPr>
          <w:trHeight w:val="285" w:hRule="atLeast"/>
        </w:trPr>
        <w:tc>
          <w:tcPr>
            <w:tcW w:w="720" w:type="pct"/>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配置要求</w:t>
            </w:r>
          </w:p>
        </w:tc>
        <w:tc>
          <w:tcPr>
            <w:tcW w:w="427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配置本产品包含的所有功能</w:t>
            </w:r>
          </w:p>
        </w:tc>
      </w:tr>
      <w:tr>
        <w:tblPrEx>
          <w:tblCellMar>
            <w:top w:w="0" w:type="dxa"/>
            <w:left w:w="108" w:type="dxa"/>
            <w:bottom w:w="0" w:type="dxa"/>
            <w:right w:w="108" w:type="dxa"/>
          </w:tblCellMar>
        </w:tblPrEx>
        <w:trPr>
          <w:trHeight w:val="285" w:hRule="atLeast"/>
        </w:trPr>
        <w:tc>
          <w:tcPr>
            <w:tcW w:w="720" w:type="pct"/>
            <w:vMerge w:val="restart"/>
            <w:tcBorders>
              <w:top w:val="nil"/>
              <w:left w:val="single" w:color="auto" w:sz="4" w:space="0"/>
              <w:right w:val="single" w:color="auto" w:sz="4" w:space="0"/>
            </w:tcBorders>
            <w:shd w:val="clear" w:color="auto" w:fill="auto"/>
            <w:noWrap w:val="0"/>
            <w:vAlign w:val="top"/>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性能</w:t>
            </w:r>
          </w:p>
        </w:tc>
        <w:tc>
          <w:tcPr>
            <w:tcW w:w="427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设备防火墙</w:t>
            </w:r>
            <w:r>
              <w:rPr>
                <w:rFonts w:hint="eastAsia" w:ascii="宋体" w:hAnsi="宋体" w:eastAsia="宋体" w:cs="宋体"/>
                <w:kern w:val="0"/>
                <w:sz w:val="21"/>
                <w:szCs w:val="21"/>
                <w:lang w:val="en-US" w:eastAsia="zh-CN"/>
              </w:rPr>
              <w:t>吞吐量</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Gbps,应用层吞吐量≥</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Gbps</w:t>
            </w:r>
          </w:p>
        </w:tc>
      </w:tr>
      <w:tr>
        <w:tblPrEx>
          <w:tblCellMar>
            <w:top w:w="0" w:type="dxa"/>
            <w:left w:w="108" w:type="dxa"/>
            <w:bottom w:w="0" w:type="dxa"/>
            <w:right w:w="108" w:type="dxa"/>
          </w:tblCellMar>
        </w:tblPrEx>
        <w:trPr>
          <w:trHeight w:val="283" w:hRule="atLeast"/>
        </w:trPr>
        <w:tc>
          <w:tcPr>
            <w:tcW w:w="720"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最大并发连接数800万,最大新建连接数12万</w:t>
            </w:r>
          </w:p>
        </w:tc>
      </w:tr>
      <w:tr>
        <w:tblPrEx>
          <w:tblCellMar>
            <w:top w:w="0" w:type="dxa"/>
            <w:left w:w="108" w:type="dxa"/>
            <w:bottom w:w="0" w:type="dxa"/>
            <w:right w:w="108" w:type="dxa"/>
          </w:tblCellMar>
        </w:tblPrEx>
        <w:trPr>
          <w:trHeight w:val="285" w:hRule="atLeast"/>
        </w:trPr>
        <w:tc>
          <w:tcPr>
            <w:tcW w:w="720" w:type="pct"/>
            <w:vMerge w:val="restart"/>
            <w:tcBorders>
              <w:top w:val="nil"/>
              <w:left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设备部署</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支持二层和三层安全域划分，自由定义端口类型和属性</w:t>
            </w:r>
          </w:p>
        </w:tc>
      </w:tr>
      <w:tr>
        <w:tblPrEx>
          <w:tblCellMar>
            <w:top w:w="0" w:type="dxa"/>
            <w:left w:w="108" w:type="dxa"/>
            <w:bottom w:w="0" w:type="dxa"/>
            <w:right w:w="108" w:type="dxa"/>
          </w:tblCellMar>
        </w:tblPrEx>
        <w:trPr>
          <w:trHeight w:val="285" w:hRule="atLeast"/>
        </w:trPr>
        <w:tc>
          <w:tcPr>
            <w:tcW w:w="720" w:type="pct"/>
            <w:vMerge w:val="continue"/>
            <w:tcBorders>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支持网桥部署、路由模式部署、混合部署</w:t>
            </w:r>
          </w:p>
        </w:tc>
      </w:tr>
      <w:tr>
        <w:tblPrEx>
          <w:tblCellMar>
            <w:top w:w="0" w:type="dxa"/>
            <w:left w:w="108" w:type="dxa"/>
            <w:bottom w:w="0" w:type="dxa"/>
            <w:right w:w="108" w:type="dxa"/>
          </w:tblCellMar>
        </w:tblPrEx>
        <w:trPr>
          <w:trHeight w:val="632" w:hRule="atLeast"/>
        </w:trPr>
        <w:tc>
          <w:tcPr>
            <w:tcW w:w="72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操作管理</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支持以HTTP及SSL加密的WEB图形化接口进行设备配置和管理，支持英语、简体中文、繁体中文语系</w:t>
            </w:r>
          </w:p>
        </w:tc>
      </w:tr>
      <w:tr>
        <w:tblPrEx>
          <w:tblCellMar>
            <w:top w:w="0" w:type="dxa"/>
            <w:left w:w="108" w:type="dxa"/>
            <w:bottom w:w="0" w:type="dxa"/>
            <w:right w:w="108" w:type="dxa"/>
          </w:tblCellMar>
        </w:tblPrEx>
        <w:trPr>
          <w:trHeight w:val="285"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支持Console、SSH和Telnet 命令行管理方式</w:t>
            </w:r>
          </w:p>
        </w:tc>
      </w:tr>
      <w:tr>
        <w:tblPrEx>
          <w:tblCellMar>
            <w:top w:w="0" w:type="dxa"/>
            <w:left w:w="108" w:type="dxa"/>
            <w:bottom w:w="0" w:type="dxa"/>
            <w:right w:w="108" w:type="dxa"/>
          </w:tblCellMar>
        </w:tblPrEx>
        <w:trPr>
          <w:trHeight w:val="510"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管理权限分立，支持系统超级管理员、审计管理员、只读管理员，可根据需要灵活定制管理员角色权限</w:t>
            </w:r>
          </w:p>
        </w:tc>
      </w:tr>
      <w:tr>
        <w:tblPrEx>
          <w:tblCellMar>
            <w:top w:w="0" w:type="dxa"/>
            <w:left w:w="108" w:type="dxa"/>
            <w:bottom w:w="0" w:type="dxa"/>
            <w:right w:w="108" w:type="dxa"/>
          </w:tblCellMar>
        </w:tblPrEx>
        <w:trPr>
          <w:trHeight w:val="59"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支持密码强度、口令尝试死锁、账户激活等安全管理功能，支持密码有效时间管理功能</w:t>
            </w:r>
          </w:p>
        </w:tc>
      </w:tr>
      <w:tr>
        <w:tblPrEx>
          <w:tblCellMar>
            <w:top w:w="0" w:type="dxa"/>
            <w:left w:w="108" w:type="dxa"/>
            <w:bottom w:w="0" w:type="dxa"/>
            <w:right w:w="108" w:type="dxa"/>
          </w:tblCellMar>
        </w:tblPrEx>
        <w:trPr>
          <w:trHeight w:val="381" w:hRule="atLeast"/>
        </w:trPr>
        <w:tc>
          <w:tcPr>
            <w:tcW w:w="720" w:type="pct"/>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认证功能</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可建立与企业组织结构相同的网络组织结构，将用户划分到对应用户组中，每个用户或用户组都可以有自己的上网策略及权限</w:t>
            </w:r>
          </w:p>
        </w:tc>
      </w:tr>
      <w:tr>
        <w:tblPrEx>
          <w:tblCellMar>
            <w:top w:w="0" w:type="dxa"/>
            <w:left w:w="108" w:type="dxa"/>
            <w:bottom w:w="0" w:type="dxa"/>
            <w:right w:w="108" w:type="dxa"/>
          </w:tblCellMar>
        </w:tblPrEx>
        <w:trPr>
          <w:trHeight w:val="381"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支持跨三层识别并绑定MAC或绑定IP+MAC进行上网认证</w:t>
            </w:r>
          </w:p>
        </w:tc>
      </w:tr>
      <w:tr>
        <w:tblPrEx>
          <w:tblCellMar>
            <w:top w:w="0" w:type="dxa"/>
            <w:left w:w="108" w:type="dxa"/>
            <w:bottom w:w="0" w:type="dxa"/>
            <w:right w:w="108" w:type="dxa"/>
          </w:tblCellMar>
        </w:tblPrEx>
        <w:trPr>
          <w:trHeight w:val="307"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支持基于MAC地址与KEY免认证，支持本地认证和外部AD/LDAP/Radius等认证方式</w:t>
            </w:r>
          </w:p>
        </w:tc>
      </w:tr>
      <w:tr>
        <w:tblPrEx>
          <w:tblCellMar>
            <w:top w:w="0" w:type="dxa"/>
            <w:left w:w="108" w:type="dxa"/>
            <w:bottom w:w="0" w:type="dxa"/>
            <w:right w:w="108" w:type="dxa"/>
          </w:tblCellMar>
        </w:tblPrEx>
        <w:trPr>
          <w:trHeight w:val="307"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支持短信认证，支持基于浏览器Cookie和MAC地址的免认证功能</w:t>
            </w:r>
          </w:p>
        </w:tc>
      </w:tr>
      <w:tr>
        <w:tblPrEx>
          <w:tblCellMar>
            <w:top w:w="0" w:type="dxa"/>
            <w:left w:w="108" w:type="dxa"/>
            <w:bottom w:w="0" w:type="dxa"/>
            <w:right w:w="108" w:type="dxa"/>
          </w:tblCellMar>
        </w:tblPrEx>
        <w:trPr>
          <w:trHeight w:val="437" w:hRule="atLeast"/>
        </w:trPr>
        <w:tc>
          <w:tcPr>
            <w:tcW w:w="720"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shd w:val="clear" w:color="000000" w:fill="FFFFFF"/>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支持临时用户上网认证功能，可由管理员手动或自动进行审批，并以短信或邮件方式发送帐号密码</w:t>
            </w:r>
          </w:p>
        </w:tc>
      </w:tr>
      <w:tr>
        <w:tblPrEx>
          <w:tblCellMar>
            <w:top w:w="0" w:type="dxa"/>
            <w:left w:w="108" w:type="dxa"/>
            <w:bottom w:w="0" w:type="dxa"/>
            <w:right w:w="108" w:type="dxa"/>
          </w:tblCellMar>
        </w:tblPrEx>
        <w:trPr>
          <w:trHeight w:val="59" w:hRule="atLeast"/>
        </w:trPr>
        <w:tc>
          <w:tcPr>
            <w:tcW w:w="720" w:type="pct"/>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网络功能</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支持链路聚合功能，可根据负载均衡模式(Hash和RR)或主备模式，将多个物理端口捆绑成1个逻辑端口，以增加带宽和链路备份</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支持网口自定义功能，自由定义物理卡槽和端口位置，灵活管理物理端口与名称</w:t>
            </w:r>
            <w:r>
              <w:rPr>
                <w:rFonts w:hint="eastAsia" w:ascii="宋体" w:hAnsi="宋体" w:eastAsia="宋体" w:cs="宋体"/>
                <w:b/>
                <w:bCs/>
                <w:color w:val="000000"/>
                <w:kern w:val="0"/>
                <w:sz w:val="21"/>
                <w:szCs w:val="21"/>
                <w:highlight w:val="none"/>
              </w:rPr>
              <w:t>（提供功能截图）</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支持6to4隧道功能，为IPv4网络到IPv6的过渡转换传输机制</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支持链路的负载均衡，均衡算法支持固定指派、轮询(源IP)、轮询(源IP+目的IP)、上行流量、下行流量、总流量、最佳路径选择等</w:t>
            </w:r>
          </w:p>
        </w:tc>
      </w:tr>
      <w:tr>
        <w:tblPrEx>
          <w:tblCellMar>
            <w:top w:w="0" w:type="dxa"/>
            <w:left w:w="108" w:type="dxa"/>
            <w:bottom w:w="0" w:type="dxa"/>
            <w:right w:w="108" w:type="dxa"/>
          </w:tblCellMar>
        </w:tblPrEx>
        <w:trPr>
          <w:trHeight w:val="285"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支持主备链路的备份功能，支持侦测Ping、TCP port对象判断链路状态</w:t>
            </w:r>
          </w:p>
        </w:tc>
      </w:tr>
      <w:tr>
        <w:tblPrEx>
          <w:tblCellMar>
            <w:top w:w="0" w:type="dxa"/>
            <w:left w:w="108" w:type="dxa"/>
            <w:bottom w:w="0" w:type="dxa"/>
            <w:right w:w="108" w:type="dxa"/>
          </w:tblCellMar>
        </w:tblPrEx>
        <w:trPr>
          <w:trHeight w:val="285"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设备作为 DNS 透明代理, 缓存 DNS 记录</w:t>
            </w:r>
          </w:p>
        </w:tc>
      </w:tr>
      <w:tr>
        <w:tblPrEx>
          <w:tblCellMar>
            <w:top w:w="0" w:type="dxa"/>
            <w:left w:w="108" w:type="dxa"/>
            <w:bottom w:w="0" w:type="dxa"/>
            <w:right w:w="108" w:type="dxa"/>
          </w:tblCellMar>
        </w:tblPrEx>
        <w:trPr>
          <w:trHeight w:val="285"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支持TCP/UDP/ICMP/Other协议加速功能，通过延时时间阀值、会话容量比例和加速倍数等参数设定，提高整个网络处理性能</w:t>
            </w:r>
            <w:r>
              <w:rPr>
                <w:rFonts w:hint="eastAsia" w:ascii="宋体" w:hAnsi="宋体" w:eastAsia="宋体" w:cs="宋体"/>
                <w:b/>
                <w:bCs/>
                <w:color w:val="000000"/>
                <w:kern w:val="0"/>
                <w:sz w:val="21"/>
                <w:szCs w:val="21"/>
                <w:highlight w:val="none"/>
              </w:rPr>
              <w:t>（提供功能截图）</w:t>
            </w:r>
          </w:p>
        </w:tc>
      </w:tr>
      <w:tr>
        <w:tblPrEx>
          <w:tblCellMar>
            <w:top w:w="0" w:type="dxa"/>
            <w:left w:w="108" w:type="dxa"/>
            <w:bottom w:w="0" w:type="dxa"/>
            <w:right w:w="108" w:type="dxa"/>
          </w:tblCellMar>
        </w:tblPrEx>
        <w:trPr>
          <w:trHeight w:val="510" w:hRule="atLeast"/>
        </w:trPr>
        <w:tc>
          <w:tcPr>
            <w:tcW w:w="720" w:type="pct"/>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安全防护</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支持IPv4和IPv6基于状态监测的防火墙，不仅保障网关设备安全，还能保护组织内网安全。</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支持基于源地址转换、目的地址转换和双向地址转换功能，可基于来源IP、来源端口、通讯协议、目的地址和目的端口定义转换策略</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支持ARP洪水攻击防护、ARP广播保护（可手动定义表项与接口）功能</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支持DOS/DDoS攻击防护功能，类型包括扫描防护(地址扫描和端口扫描)、洪水攻击(SYN/UDP/ICMP/DNS)、数据包攻击(TearDrop、LAND、WinNuke、Smurf、Ping of death……等)、异常报文攻击(IP协议和UDP协议选项，包括但不限于IP数据流选项、IP时间戳选项、IP宽松/严格源路由选项、TCP报头标志位全为0防护项、SYN和FIN标志位同时为1防护、仅FIN标志位为1防护……)等各种类型的攻击</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支持基于TCP最大连接数、最大攻击包次数……等类型的攻击防护</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支持上网行为管理功能，应用协议应涵盖在线视频、P2P下载、流媒体、网络游戏、即时通讯、股票交易、移动应用……等当前主流应用；URL类型应涵盖军事、新闻门户、人才招聘、网络购物、电子银行……等</w:t>
            </w:r>
            <w:r>
              <w:rPr>
                <w:rFonts w:hint="eastAsia" w:ascii="宋体" w:hAnsi="宋体" w:eastAsia="宋体" w:cs="宋体"/>
                <w:color w:val="000000"/>
                <w:kern w:val="0"/>
                <w:sz w:val="21"/>
                <w:szCs w:val="21"/>
              </w:rPr>
              <w:t>预分类的海量 URL 地址库，支持手工添加新的 URL 地址和分类。</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支持应用层内容过滤功能，包括关键字过滤（搜索引擎、HTTP上传、收发邮件……等）、文件过滤（HTTP/FTP上传下载、邮件附件……等）</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病毒过滤功能，支持HTTP/FTP/POP3/SMTP协议流量的病毒过滤功能，可自定义所查杀的文件类型</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入侵防御功能，应支持针对服务器和客户端类型的漏洞攻击检测，内置的漏洞特征库数量不少于11000</w:t>
            </w:r>
            <w:r>
              <w:rPr>
                <w:rFonts w:hint="eastAsia" w:ascii="宋体" w:hAnsi="宋体" w:eastAsia="宋体" w:cs="宋体"/>
                <w:b/>
                <w:bCs/>
                <w:color w:val="000000"/>
                <w:kern w:val="0"/>
                <w:sz w:val="21"/>
                <w:szCs w:val="21"/>
                <w:highlight w:val="none"/>
              </w:rPr>
              <w:t>（提供功能截图）</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WEB应用防护功能，应支持针对域名或公网IP的攻击防护，攻击类型应涵盖网站扫描、目录遍历、XSS攻击、Webshell、跨站请求伪造、SQL注入……等，内置应用防护特征库数量不少于4000</w:t>
            </w:r>
            <w:r>
              <w:rPr>
                <w:rFonts w:hint="eastAsia" w:ascii="宋体" w:hAnsi="宋体" w:eastAsia="宋体" w:cs="宋体"/>
                <w:b/>
                <w:bCs/>
                <w:color w:val="000000"/>
                <w:kern w:val="0"/>
                <w:sz w:val="21"/>
                <w:szCs w:val="21"/>
                <w:highlight w:val="none"/>
              </w:rPr>
              <w:t>（提供功能截图）</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共享识别与限制功能，可拒绝内部共享上网，限定共享上网的终端数量</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支持限制单个用户在时间段的并发会话数和新建会话数，如果连续超过，可采用强制下线、降速或下调会话的弹性管理策略</w:t>
            </w:r>
            <w:r>
              <w:rPr>
                <w:rFonts w:hint="eastAsia" w:ascii="宋体" w:hAnsi="宋体" w:eastAsia="宋体" w:cs="宋体"/>
                <w:b/>
                <w:bCs/>
                <w:color w:val="000000"/>
                <w:kern w:val="0"/>
                <w:sz w:val="21"/>
                <w:szCs w:val="21"/>
                <w:highlight w:val="none"/>
              </w:rPr>
              <w:t>（提供功能截图）</w:t>
            </w:r>
          </w:p>
        </w:tc>
      </w:tr>
      <w:tr>
        <w:tblPrEx>
          <w:tblCellMar>
            <w:top w:w="0" w:type="dxa"/>
            <w:left w:w="108" w:type="dxa"/>
            <w:bottom w:w="0" w:type="dxa"/>
            <w:right w:w="108" w:type="dxa"/>
          </w:tblCellMar>
        </w:tblPrEx>
        <w:trPr>
          <w:trHeight w:val="347" w:hRule="atLeast"/>
        </w:trPr>
        <w:tc>
          <w:tcPr>
            <w:tcW w:w="720" w:type="pct"/>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VPN功能</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支持PPTP VPN、IPsec VPN、和SSL VPN功能</w:t>
            </w:r>
          </w:p>
        </w:tc>
      </w:tr>
      <w:tr>
        <w:tblPrEx>
          <w:tblCellMar>
            <w:top w:w="0" w:type="dxa"/>
            <w:left w:w="108" w:type="dxa"/>
            <w:bottom w:w="0" w:type="dxa"/>
            <w:right w:w="108" w:type="dxa"/>
          </w:tblCellMar>
        </w:tblPrEx>
        <w:trPr>
          <w:trHeight w:val="347" w:hRule="atLeast"/>
        </w:trPr>
        <w:tc>
          <w:tcPr>
            <w:tcW w:w="720" w:type="pct"/>
            <w:vMerge w:val="continue"/>
            <w:tcBorders>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不限制VPN隧道的数量</w:t>
            </w:r>
          </w:p>
        </w:tc>
      </w:tr>
      <w:tr>
        <w:tblPrEx>
          <w:tblCellMar>
            <w:top w:w="0" w:type="dxa"/>
            <w:left w:w="108" w:type="dxa"/>
            <w:bottom w:w="0" w:type="dxa"/>
            <w:right w:w="108" w:type="dxa"/>
          </w:tblCellMar>
        </w:tblPrEx>
        <w:trPr>
          <w:trHeight w:val="263" w:hRule="atLeast"/>
        </w:trPr>
        <w:tc>
          <w:tcPr>
            <w:tcW w:w="720" w:type="pct"/>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流量控制</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根据协议、端口、报文长度、报文特征、目的IP等等信息自定义协议规则</w:t>
            </w:r>
          </w:p>
        </w:tc>
      </w:tr>
      <w:tr>
        <w:tblPrEx>
          <w:tblCellMar>
            <w:top w:w="0" w:type="dxa"/>
            <w:left w:w="108" w:type="dxa"/>
            <w:bottom w:w="0" w:type="dxa"/>
            <w:right w:w="108" w:type="dxa"/>
          </w:tblCellMar>
        </w:tblPrEx>
        <w:trPr>
          <w:trHeight w:val="540"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支持基于HTTP下载、WEB视频、P2P下载、流媒体、网络游戏、即时通讯、股票交易、网上银行、网络电话等应用协议的分项流控策略</w:t>
            </w:r>
          </w:p>
        </w:tc>
      </w:tr>
      <w:tr>
        <w:tblPrEx>
          <w:tblCellMar>
            <w:top w:w="0" w:type="dxa"/>
            <w:left w:w="108" w:type="dxa"/>
            <w:bottom w:w="0" w:type="dxa"/>
            <w:right w:w="108" w:type="dxa"/>
          </w:tblCellMar>
        </w:tblPrEx>
        <w:trPr>
          <w:trHeight w:val="603"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支持基于线路、应用、URL、IP地址、用户组、时间段、优先级……等条件的流控策略</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支持基于日/周/月的流量配额和在线时长的流量控制策略</w:t>
            </w:r>
          </w:p>
        </w:tc>
      </w:tr>
      <w:tr>
        <w:tblPrEx>
          <w:tblCellMar>
            <w:top w:w="0" w:type="dxa"/>
            <w:left w:w="108" w:type="dxa"/>
            <w:bottom w:w="0" w:type="dxa"/>
            <w:right w:w="108" w:type="dxa"/>
          </w:tblCellMar>
        </w:tblPrEx>
        <w:trPr>
          <w:trHeight w:val="59" w:hRule="atLeast"/>
        </w:trPr>
        <w:tc>
          <w:tcPr>
            <w:tcW w:w="720" w:type="pct"/>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黑名单支持流量配额、在线时长、速率控制、并发会话数控制、基于时间段控制、加倍惩罚等方式</w:t>
            </w:r>
            <w:r>
              <w:rPr>
                <w:rFonts w:hint="eastAsia" w:ascii="宋体" w:hAnsi="宋体" w:eastAsia="宋体" w:cs="宋体"/>
                <w:b/>
                <w:bCs/>
                <w:color w:val="000000"/>
                <w:kern w:val="0"/>
                <w:sz w:val="21"/>
                <w:szCs w:val="21"/>
                <w:highlight w:val="none"/>
              </w:rPr>
              <w:t>（提供功能截图）</w:t>
            </w:r>
          </w:p>
        </w:tc>
      </w:tr>
      <w:tr>
        <w:tblPrEx>
          <w:tblCellMar>
            <w:top w:w="0" w:type="dxa"/>
            <w:left w:w="108" w:type="dxa"/>
            <w:bottom w:w="0" w:type="dxa"/>
            <w:right w:w="108" w:type="dxa"/>
          </w:tblCellMar>
        </w:tblPrEx>
        <w:trPr>
          <w:trHeight w:val="59" w:hRule="atLeast"/>
        </w:trPr>
        <w:tc>
          <w:tcPr>
            <w:tcW w:w="72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统计分析</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分时段对设备资源，包括 CPU使用率、内存使用率、活跃会话数、在线用户数、物理接口等信息进行统计分析</w:t>
            </w:r>
          </w:p>
        </w:tc>
      </w:tr>
      <w:tr>
        <w:tblPrEx>
          <w:tblCellMar>
            <w:top w:w="0" w:type="dxa"/>
            <w:left w:w="108" w:type="dxa"/>
            <w:bottom w:w="0" w:type="dxa"/>
            <w:right w:w="108" w:type="dxa"/>
          </w:tblCellMar>
        </w:tblPrEx>
        <w:trPr>
          <w:trHeight w:val="68"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基于用户、用户组，对其流量、新建会话、活跃会话进行分时段统计分析，并进一步统计分析每个用户使用了哪些服务、访问了哪些网站、通过了哪些链路等更加详细的信息。</w:t>
            </w:r>
          </w:p>
        </w:tc>
      </w:tr>
      <w:tr>
        <w:tblPrEx>
          <w:tblCellMar>
            <w:top w:w="0" w:type="dxa"/>
            <w:left w:w="108" w:type="dxa"/>
            <w:bottom w:w="0" w:type="dxa"/>
            <w:right w:w="108" w:type="dxa"/>
          </w:tblCellMar>
        </w:tblPrEx>
        <w:trPr>
          <w:trHeight w:val="358"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基于服务名称、类型，对其流量、新建会话、活跃会话进行分时段统计分析，并进一步统计分析每种服务有哪些用户/用户组在使用，及每个用户/用户组的使用情况；以及每种服务在各条链路上的分配情况。</w:t>
            </w:r>
          </w:p>
        </w:tc>
      </w:tr>
      <w:tr>
        <w:tblPrEx>
          <w:tblCellMar>
            <w:top w:w="0" w:type="dxa"/>
            <w:left w:w="108" w:type="dxa"/>
            <w:bottom w:w="0" w:type="dxa"/>
            <w:right w:w="108" w:type="dxa"/>
          </w:tblCellMar>
        </w:tblPrEx>
        <w:trPr>
          <w:trHeight w:val="1072"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URL、网站类型，对其流量、新建会话、活跃会话进行分时段统计分析，并进一步统计分析每个URL的服务有哪些用户/用户组在使用，及每个用户/用户组的使用情况；以及每种服务类型在各条链路上的分配情况。</w:t>
            </w:r>
          </w:p>
        </w:tc>
      </w:tr>
      <w:tr>
        <w:tblPrEx>
          <w:tblCellMar>
            <w:top w:w="0" w:type="dxa"/>
            <w:left w:w="108" w:type="dxa"/>
            <w:bottom w:w="0" w:type="dxa"/>
            <w:right w:w="108" w:type="dxa"/>
          </w:tblCellMar>
        </w:tblPrEx>
        <w:trPr>
          <w:trHeight w:val="59"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基于主机地址、安全域、攻击类型/子类型、严重等级进行分时段统计分析，展示每一笔安全事件的详细信息。</w:t>
            </w:r>
          </w:p>
        </w:tc>
      </w:tr>
      <w:tr>
        <w:tblPrEx>
          <w:tblCellMar>
            <w:top w:w="0" w:type="dxa"/>
            <w:left w:w="108" w:type="dxa"/>
            <w:bottom w:w="0" w:type="dxa"/>
            <w:right w:w="108" w:type="dxa"/>
          </w:tblCellMar>
        </w:tblPrEx>
        <w:trPr>
          <w:trHeight w:val="59"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详细记录每一个会话的信息，并可导出为EXCEL或者HTML格式的报表</w:t>
            </w:r>
          </w:p>
        </w:tc>
      </w:tr>
      <w:tr>
        <w:tblPrEx>
          <w:tblCellMar>
            <w:top w:w="0" w:type="dxa"/>
            <w:left w:w="108" w:type="dxa"/>
            <w:bottom w:w="0" w:type="dxa"/>
            <w:right w:w="108" w:type="dxa"/>
          </w:tblCellMar>
        </w:tblPrEx>
        <w:trPr>
          <w:trHeight w:val="130" w:hRule="atLeast"/>
        </w:trPr>
        <w:tc>
          <w:tcPr>
            <w:tcW w:w="72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报表中心</w:t>
            </w: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设备内置报表中心系统，实现安全事件日志的存储、查询、审计，以及报表的生成等</w:t>
            </w:r>
          </w:p>
        </w:tc>
      </w:tr>
      <w:tr>
        <w:tblPrEx>
          <w:tblCellMar>
            <w:top w:w="0" w:type="dxa"/>
            <w:left w:w="108" w:type="dxa"/>
            <w:bottom w:w="0" w:type="dxa"/>
            <w:right w:w="108" w:type="dxa"/>
          </w:tblCellMar>
        </w:tblPrEx>
        <w:trPr>
          <w:trHeight w:val="416"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可将报表数据自动转存于外置独立服务器，支持手动备份与自动备份。</w:t>
            </w:r>
          </w:p>
        </w:tc>
      </w:tr>
      <w:tr>
        <w:tblPrEx>
          <w:tblCellMar>
            <w:top w:w="0" w:type="dxa"/>
            <w:left w:w="108" w:type="dxa"/>
            <w:bottom w:w="0" w:type="dxa"/>
            <w:right w:w="108" w:type="dxa"/>
          </w:tblCellMar>
        </w:tblPrEx>
        <w:trPr>
          <w:trHeight w:val="70"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通过图形化的报表中心，方便用户对安全事件的查询、审计、统计，并支持以图形化方式直观显示统计结果</w:t>
            </w:r>
          </w:p>
        </w:tc>
      </w:tr>
      <w:tr>
        <w:tblPrEx>
          <w:tblCellMar>
            <w:top w:w="0" w:type="dxa"/>
            <w:left w:w="108" w:type="dxa"/>
            <w:bottom w:w="0" w:type="dxa"/>
            <w:right w:w="108" w:type="dxa"/>
          </w:tblCellMar>
        </w:tblPrEx>
        <w:trPr>
          <w:trHeight w:val="285"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可将报表中心相关内容导出为Excel、PDF、HTML报表</w:t>
            </w:r>
          </w:p>
        </w:tc>
      </w:tr>
      <w:tr>
        <w:tblPrEx>
          <w:tblCellMar>
            <w:top w:w="0" w:type="dxa"/>
            <w:left w:w="108" w:type="dxa"/>
            <w:bottom w:w="0" w:type="dxa"/>
            <w:right w:w="108" w:type="dxa"/>
          </w:tblCellMar>
        </w:tblPrEx>
        <w:trPr>
          <w:trHeight w:val="285" w:hRule="atLeast"/>
        </w:trPr>
        <w:tc>
          <w:tcPr>
            <w:tcW w:w="720"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427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对特定安全事件支持通过邮件、短信方式自动告警</w:t>
            </w:r>
          </w:p>
        </w:tc>
      </w:tr>
    </w:tbl>
    <w:p>
      <w:pPr>
        <w:rPr>
          <w:rFonts w:hint="eastAsia"/>
          <w:lang w:val="en-US" w:eastAsia="zh-CN"/>
        </w:rPr>
      </w:pP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14.辅材：</w:t>
      </w:r>
    </w:p>
    <w:tbl>
      <w:tblPr>
        <w:tblStyle w:val="63"/>
        <w:tblW w:w="4999" w:type="pct"/>
        <w:tblInd w:w="0" w:type="dxa"/>
        <w:tblLayout w:type="autofit"/>
        <w:tblCellMar>
          <w:top w:w="0" w:type="dxa"/>
          <w:left w:w="108" w:type="dxa"/>
          <w:bottom w:w="0" w:type="dxa"/>
          <w:right w:w="108" w:type="dxa"/>
        </w:tblCellMar>
      </w:tblPr>
      <w:tblGrid>
        <w:gridCol w:w="1337"/>
        <w:gridCol w:w="7950"/>
      </w:tblGrid>
      <w:tr>
        <w:tblPrEx>
          <w:tblCellMar>
            <w:top w:w="0" w:type="dxa"/>
            <w:left w:w="108" w:type="dxa"/>
            <w:bottom w:w="0" w:type="dxa"/>
            <w:right w:w="108" w:type="dxa"/>
          </w:tblCellMar>
        </w:tblPrEx>
        <w:trPr>
          <w:trHeight w:val="285"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名称</w:t>
            </w:r>
          </w:p>
        </w:tc>
        <w:tc>
          <w:tcPr>
            <w:tcW w:w="4279"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技术参数要求</w:t>
            </w:r>
          </w:p>
        </w:tc>
      </w:tr>
      <w:tr>
        <w:tblPrEx>
          <w:tblCellMar>
            <w:top w:w="0" w:type="dxa"/>
            <w:left w:w="108" w:type="dxa"/>
            <w:bottom w:w="0" w:type="dxa"/>
            <w:right w:w="108" w:type="dxa"/>
          </w:tblCellMar>
        </w:tblPrEx>
        <w:trPr>
          <w:trHeight w:val="285"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辅材</w:t>
            </w:r>
          </w:p>
        </w:tc>
        <w:tc>
          <w:tcPr>
            <w:tcW w:w="4279"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涉及本项目实施所需材料，如：光纤跳线、网络跳线、PDU、模块、扎带等</w:t>
            </w:r>
          </w:p>
        </w:tc>
      </w:tr>
    </w:tbl>
    <w:p>
      <w:pPr>
        <w:rPr>
          <w:rFonts w:hint="default"/>
          <w:lang w:val="en-US" w:eastAsia="zh-CN"/>
        </w:rPr>
      </w:pPr>
    </w:p>
    <w:p>
      <w:pPr>
        <w:pStyle w:val="4"/>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15.系统集成：</w:t>
      </w:r>
    </w:p>
    <w:tbl>
      <w:tblPr>
        <w:tblStyle w:val="63"/>
        <w:tblW w:w="4999" w:type="pct"/>
        <w:tblInd w:w="0" w:type="dxa"/>
        <w:tblLayout w:type="autofit"/>
        <w:tblCellMar>
          <w:top w:w="0" w:type="dxa"/>
          <w:left w:w="108" w:type="dxa"/>
          <w:bottom w:w="0" w:type="dxa"/>
          <w:right w:w="108" w:type="dxa"/>
        </w:tblCellMar>
      </w:tblPr>
      <w:tblGrid>
        <w:gridCol w:w="1337"/>
        <w:gridCol w:w="7950"/>
      </w:tblGrid>
      <w:tr>
        <w:tblPrEx>
          <w:tblCellMar>
            <w:top w:w="0" w:type="dxa"/>
            <w:left w:w="108" w:type="dxa"/>
            <w:bottom w:w="0" w:type="dxa"/>
            <w:right w:w="108" w:type="dxa"/>
          </w:tblCellMar>
        </w:tblPrEx>
        <w:trPr>
          <w:trHeight w:val="285"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名称</w:t>
            </w:r>
          </w:p>
        </w:tc>
        <w:tc>
          <w:tcPr>
            <w:tcW w:w="4279"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技术参数要求</w:t>
            </w:r>
          </w:p>
        </w:tc>
      </w:tr>
      <w:tr>
        <w:tblPrEx>
          <w:tblCellMar>
            <w:top w:w="0" w:type="dxa"/>
            <w:left w:w="108" w:type="dxa"/>
            <w:bottom w:w="0" w:type="dxa"/>
            <w:right w:w="108" w:type="dxa"/>
          </w:tblCellMar>
        </w:tblPrEx>
        <w:trPr>
          <w:trHeight w:val="285"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系统集成</w:t>
            </w:r>
          </w:p>
        </w:tc>
        <w:tc>
          <w:tcPr>
            <w:tcW w:w="4279" w:type="pct"/>
            <w:tcBorders>
              <w:top w:val="single" w:color="auto" w:sz="4" w:space="0"/>
              <w:left w:val="nil"/>
              <w:bottom w:val="single" w:color="auto" w:sz="4" w:space="0"/>
              <w:right w:val="single" w:color="auto" w:sz="4" w:space="0"/>
            </w:tcBorders>
            <w:shd w:val="clear" w:color="000000" w:fill="FFFFFF"/>
            <w:noWrap w:val="0"/>
            <w:vAlign w:val="center"/>
          </w:tcPr>
          <w:p>
            <w:pPr>
              <w:bidi w:val="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硬件平台集成要求</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（1）所有相关服务器、存储、软件平台的软硬件安装、调试及其新系统环境集成；</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（2）系统软件的安装、调试和维护；</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（3）SAN交换机安装、调试和维护；</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（4）存储设备的安装、调试和维护。</w:t>
            </w:r>
          </w:p>
          <w:p>
            <w:pPr>
              <w:bidi w:val="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二、</w:t>
            </w:r>
            <w:r>
              <w:rPr>
                <w:rFonts w:hint="eastAsia" w:ascii="宋体" w:hAnsi="宋体" w:eastAsia="宋体" w:cs="宋体"/>
                <w:b w:val="0"/>
                <w:bCs w:val="0"/>
                <w:sz w:val="21"/>
                <w:szCs w:val="21"/>
              </w:rPr>
              <w:t>虚拟化平台迁移要求</w:t>
            </w:r>
          </w:p>
          <w:p>
            <w:pPr>
              <w:spacing w:line="360" w:lineRule="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rPr>
              <w:t>（1）根据实际应用需求，提供虚拟化系统迁移</w:t>
            </w:r>
            <w:r>
              <w:rPr>
                <w:rFonts w:hint="eastAsia" w:ascii="宋体" w:hAnsi="宋体" w:cs="宋体"/>
                <w:b w:val="0"/>
                <w:bCs w:val="0"/>
                <w:sz w:val="21"/>
                <w:szCs w:val="21"/>
                <w:lang w:eastAsia="zh-CN"/>
              </w:rPr>
              <w:t>，</w:t>
            </w:r>
            <w:r>
              <w:rPr>
                <w:rFonts w:hint="eastAsia" w:ascii="宋体" w:hAnsi="宋体" w:cs="宋体"/>
                <w:b w:val="0"/>
                <w:bCs w:val="0"/>
                <w:sz w:val="21"/>
                <w:szCs w:val="21"/>
                <w:highlight w:val="none"/>
                <w:lang w:eastAsia="zh-CN"/>
              </w:rPr>
              <w:t>数据需和杭州市临安区卫健局现有机房互联互通。</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业务连续性保障：所有单机业务虚拟化部署，通过迁移工具在线迁移到虚拟化平台上来，原有的物理机不关机，只是断开网络连接，把虚拟机接入到业务网络中去，业务上线测试检查（所有虚拟机测试都是放在晚上业务系统使用频率低的时段进行）。测试无误后，原有物理机开机跑一个星期，无误后再利旧他用 ；如果虚拟机上的业务系统上线测试有问题，迅速关闭虚拟机，把原有物理机接入业务网络中，保证在最短时间恢复业务运行。</w:t>
            </w:r>
          </w:p>
          <w:p>
            <w:pPr>
              <w:bidi w:val="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三、</w:t>
            </w:r>
            <w:r>
              <w:rPr>
                <w:rFonts w:hint="eastAsia" w:ascii="宋体" w:hAnsi="宋体" w:eastAsia="宋体" w:cs="宋体"/>
                <w:b w:val="0"/>
                <w:bCs w:val="0"/>
                <w:sz w:val="21"/>
                <w:szCs w:val="21"/>
              </w:rPr>
              <w:t>存储双活平台实施要求</w:t>
            </w:r>
          </w:p>
          <w:p>
            <w:pPr>
              <w:widowControl/>
              <w:jc w:val="both"/>
              <w:rPr>
                <w:rFonts w:hint="default" w:ascii="宋体" w:hAnsi="宋体" w:eastAsia="宋体" w:cs="宋体"/>
                <w:b w:val="0"/>
                <w:bCs w:val="0"/>
                <w:kern w:val="0"/>
                <w:sz w:val="21"/>
                <w:szCs w:val="21"/>
                <w:lang w:val="en-US" w:eastAsia="zh-CN"/>
              </w:rPr>
            </w:pPr>
            <w:r>
              <w:rPr>
                <w:rFonts w:hint="eastAsia" w:ascii="宋体" w:hAnsi="宋体" w:eastAsia="宋体" w:cs="宋体"/>
                <w:b w:val="0"/>
                <w:bCs w:val="0"/>
                <w:sz w:val="21"/>
                <w:szCs w:val="21"/>
              </w:rPr>
              <w:t>本次采购的</w:t>
            </w:r>
            <w:r>
              <w:rPr>
                <w:rFonts w:hint="eastAsia" w:ascii="宋体" w:hAnsi="宋体" w:eastAsia="宋体" w:cs="宋体"/>
                <w:b w:val="0"/>
                <w:bCs w:val="0"/>
                <w:sz w:val="21"/>
                <w:szCs w:val="21"/>
                <w:lang w:val="en-US" w:eastAsia="zh-CN"/>
              </w:rPr>
              <w:t>数据库</w:t>
            </w:r>
            <w:r>
              <w:rPr>
                <w:rFonts w:hint="eastAsia" w:ascii="宋体" w:hAnsi="宋体" w:eastAsia="宋体" w:cs="宋体"/>
                <w:b w:val="0"/>
                <w:bCs w:val="0"/>
                <w:sz w:val="21"/>
                <w:szCs w:val="21"/>
              </w:rPr>
              <w:t>存储设备与现有的</w:t>
            </w:r>
            <w:r>
              <w:rPr>
                <w:rFonts w:hint="eastAsia" w:ascii="宋体" w:hAnsi="宋体" w:eastAsia="宋体" w:cs="宋体"/>
                <w:b w:val="0"/>
                <w:bCs w:val="0"/>
                <w:sz w:val="21"/>
                <w:szCs w:val="21"/>
                <w:lang w:val="en-US" w:eastAsia="zh-CN"/>
              </w:rPr>
              <w:t>数据库</w:t>
            </w:r>
            <w:r>
              <w:rPr>
                <w:rFonts w:hint="eastAsia" w:ascii="宋体" w:hAnsi="宋体" w:eastAsia="宋体" w:cs="宋体"/>
                <w:b w:val="0"/>
                <w:bCs w:val="0"/>
                <w:sz w:val="21"/>
                <w:szCs w:val="21"/>
              </w:rPr>
              <w:t>存储设备</w:t>
            </w:r>
            <w:r>
              <w:rPr>
                <w:rFonts w:hint="eastAsia" w:ascii="宋体" w:hAnsi="宋体" w:eastAsia="宋体" w:cs="宋体"/>
                <w:b w:val="0"/>
                <w:bCs w:val="0"/>
                <w:sz w:val="21"/>
                <w:szCs w:val="21"/>
                <w:lang w:val="en-US" w:eastAsia="zh-CN"/>
              </w:rPr>
              <w:t>打通</w:t>
            </w:r>
            <w:r>
              <w:rPr>
                <w:rFonts w:hint="eastAsia" w:ascii="宋体" w:hAnsi="宋体" w:eastAsia="宋体" w:cs="宋体"/>
                <w:b w:val="0"/>
                <w:bCs w:val="0"/>
                <w:sz w:val="21"/>
                <w:szCs w:val="21"/>
              </w:rPr>
              <w:t>。</w:t>
            </w:r>
          </w:p>
        </w:tc>
      </w:tr>
    </w:tbl>
    <w:p>
      <w:pPr>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三</w:t>
      </w:r>
      <w:r>
        <w:rPr>
          <w:rFonts w:hint="eastAsia" w:asciiTheme="minorEastAsia" w:hAnsiTheme="minorEastAsia" w:eastAsiaTheme="minorEastAsia" w:cstheme="minorEastAsia"/>
          <w:b/>
          <w:bCs/>
          <w:kern w:val="0"/>
          <w:sz w:val="24"/>
          <w:szCs w:val="24"/>
        </w:rPr>
        <w:t>、现场踏勘</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1、投标人可以自行对项目现场和周围环境进行考察，现场考察的费用由投标人自负。</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2、现场考察过程中，投标人如发生人身伤亡、财产或其他损失，不论何种原因造成，招标人概不负责。</w:t>
      </w:r>
    </w:p>
    <w:p>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四、项目实施时间及质保期</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1、实施时间：合同签订后60日历天完成设备采购并安装调试运行完成。</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2、质保期：3年。</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（1）质保期内上门维修，必须出具维修服务单，服务单应包括：用户姓名、联系方式、报修时间、上门时间、完成维修时间、报修设备信息、维修情况等内容，并由用户签字。</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（2）提供24小时技术支持热线，30分钟内电话响应，1小时之内上门维修，12小时内解决问题；不能当场修复的，必须采取提供备品、备件或备机等措施，以保证采购单位的正常使用。</w:t>
      </w:r>
    </w:p>
    <w:p>
      <w:pPr>
        <w:keepNext w:val="0"/>
        <w:keepLines w:val="0"/>
        <w:pageBreakBefore w:val="0"/>
        <w:widowControl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、技术培训</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1、中标人须在采购人处提供设备操作及维修培训。</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2、中标人提供的负责培训的人员应具备丰富的维修经验。培训内容包括但不限于设备工作原理、操作使用及日常维护保养。</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、技术培训费用应包含在投标总价中。</w:t>
      </w:r>
    </w:p>
    <w:p>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六</w:t>
      </w:r>
      <w:r>
        <w:rPr>
          <w:rFonts w:hint="eastAsia" w:asciiTheme="minorEastAsia" w:hAnsiTheme="minorEastAsia" w:eastAsiaTheme="minorEastAsia" w:cstheme="minorEastAsia"/>
          <w:b/>
          <w:bCs/>
          <w:kern w:val="0"/>
          <w:sz w:val="24"/>
          <w:szCs w:val="24"/>
        </w:rPr>
        <w:t>、调试和验收</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1、依据《临安区政府采购合同履约和验收管理暂行办法》、采购文件要求、响应文件承诺和国家有关质量标准进行验收。设备试机，设备正常运行。</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2、中标人应按照采购方要求组织验收，验收时中标人须在现场，验收合格后填写验收单。验收费用由中标人负责。</w:t>
      </w:r>
    </w:p>
    <w:p>
      <w:pPr>
        <w:pStyle w:val="37"/>
        <w:keepNext w:val="0"/>
        <w:keepLines w:val="0"/>
        <w:pageBreakBefore w:val="0"/>
        <w:widowControl w:val="0"/>
        <w:kinsoku/>
        <w:wordWrap/>
        <w:overflowPunct/>
        <w:topLinePunct w:val="0"/>
        <w:bidi w:val="0"/>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七、付款方式</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1、合同生效以及具备实施条件后7个工作日内，甲方支付合同总价40%的预付款；</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cs="宋体"/>
          <w:b/>
          <w:sz w:val="36"/>
          <w:szCs w:val="36"/>
        </w:rPr>
      </w:pPr>
      <w:r>
        <w:rPr>
          <w:rFonts w:hint="eastAsia" w:asciiTheme="minorEastAsia" w:hAnsiTheme="minorEastAsia" w:eastAsiaTheme="minorEastAsia" w:cstheme="minorEastAsia"/>
          <w:kern w:val="0"/>
          <w:sz w:val="24"/>
          <w:szCs w:val="24"/>
        </w:rPr>
        <w:t>2、设备安装调试完毕，且甲方验收合格后的一个月内支付合同总价60% 。</w:t>
      </w:r>
    </w:p>
    <w:p>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八、其他</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投标人保证其提供的所有货物、软件及服务等，不会侵犯任何第三方的知识产权和其它权益。如因此发生任何针对甲方的争议、索赔、诉讼等，产生的一切法律责任与费用均由投标人承担。</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服务内容清单中的货物供货、安装调试、相关费用、税金等服务内容清单中未提到，但在实际安装过程中需要配置的配件均计入投标报价中，不得额外收费。本项目包含系统工程量包括但不仅限于以上清单，乙方应根据自己的工程经验和项目内容完善系统所需设备清单，包括与现有系统集成所需的软件、硬件等，以保证整个系统的完整性；因乙方经验不足或工作失误导致设备未列入报价清单，从而为完善系统增加的设备和费用均由乙方负责。</w:t>
      </w: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both"/>
        <w:outlineLvl w:val="0"/>
        <w:rPr>
          <w:rFonts w:hint="eastAsia"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6" w:name="_Toc184313253"/>
      <w:bookmarkEnd w:id="36"/>
      <w:bookmarkStart w:id="37" w:name="_Toc184308075"/>
      <w:bookmarkEnd w:id="37"/>
      <w:bookmarkStart w:id="38" w:name="_Toc184308103"/>
      <w:bookmarkEnd w:id="38"/>
      <w:bookmarkStart w:id="39" w:name="_Toc184312135"/>
      <w:bookmarkEnd w:id="39"/>
      <w:bookmarkStart w:id="40" w:name="_Toc184308098"/>
      <w:bookmarkEnd w:id="40"/>
      <w:bookmarkStart w:id="41" w:name="_Toc184313264"/>
      <w:bookmarkEnd w:id="41"/>
      <w:bookmarkStart w:id="42" w:name="_Toc184310341"/>
      <w:bookmarkEnd w:id="42"/>
      <w:bookmarkStart w:id="43" w:name="_Toc184312136"/>
      <w:bookmarkEnd w:id="43"/>
      <w:bookmarkStart w:id="44" w:name="_Toc184312075"/>
      <w:bookmarkEnd w:id="44"/>
      <w:bookmarkStart w:id="45" w:name="_Toc184310319"/>
      <w:bookmarkEnd w:id="45"/>
      <w:bookmarkStart w:id="46" w:name="_Toc184313304"/>
      <w:bookmarkEnd w:id="46"/>
      <w:bookmarkStart w:id="47" w:name="_Toc184313276"/>
      <w:bookmarkEnd w:id="47"/>
      <w:bookmarkStart w:id="48" w:name="_Toc184308063"/>
      <w:bookmarkEnd w:id="48"/>
      <w:bookmarkStart w:id="49" w:name="_Toc184308091"/>
      <w:bookmarkEnd w:id="49"/>
      <w:bookmarkStart w:id="50" w:name="_Toc184312071"/>
      <w:bookmarkEnd w:id="50"/>
      <w:bookmarkStart w:id="51" w:name="_Toc184310309"/>
      <w:bookmarkEnd w:id="51"/>
      <w:bookmarkStart w:id="52" w:name="_Toc184312080"/>
      <w:bookmarkEnd w:id="52"/>
      <w:bookmarkStart w:id="53" w:name="_Toc184308086"/>
      <w:bookmarkEnd w:id="53"/>
      <w:bookmarkStart w:id="54" w:name="_Toc184312107"/>
      <w:bookmarkEnd w:id="54"/>
      <w:bookmarkStart w:id="55" w:name="_Toc184312108"/>
      <w:bookmarkEnd w:id="55"/>
      <w:bookmarkStart w:id="56" w:name="_Toc184310308"/>
      <w:bookmarkEnd w:id="56"/>
      <w:bookmarkStart w:id="57" w:name="_Toc184308064"/>
      <w:bookmarkEnd w:id="57"/>
      <w:bookmarkStart w:id="58" w:name="_Toc184314472"/>
      <w:bookmarkEnd w:id="58"/>
      <w:bookmarkStart w:id="59" w:name="_Toc184312076"/>
      <w:bookmarkEnd w:id="59"/>
      <w:bookmarkStart w:id="60" w:name="_Toc184313270"/>
      <w:bookmarkEnd w:id="60"/>
      <w:bookmarkStart w:id="61" w:name="_Toc184312095"/>
      <w:bookmarkEnd w:id="61"/>
      <w:bookmarkStart w:id="62" w:name="_Toc184313262"/>
      <w:bookmarkEnd w:id="62"/>
      <w:bookmarkStart w:id="63" w:name="_Toc184313268"/>
      <w:bookmarkEnd w:id="63"/>
      <w:bookmarkStart w:id="64" w:name="_Toc184314435"/>
      <w:bookmarkEnd w:id="64"/>
      <w:bookmarkStart w:id="65" w:name="_Toc184314415"/>
      <w:bookmarkEnd w:id="65"/>
      <w:bookmarkStart w:id="66" w:name="_Toc184308062"/>
      <w:bookmarkEnd w:id="66"/>
      <w:bookmarkStart w:id="67" w:name="_Toc184313260"/>
      <w:bookmarkEnd w:id="67"/>
      <w:bookmarkStart w:id="68" w:name="_Toc184312081"/>
      <w:bookmarkEnd w:id="68"/>
      <w:bookmarkStart w:id="69" w:name="_Toc184314433"/>
      <w:bookmarkEnd w:id="69"/>
      <w:bookmarkStart w:id="70" w:name="_Toc184314426"/>
      <w:bookmarkEnd w:id="70"/>
      <w:bookmarkStart w:id="71" w:name="_Toc184313265"/>
      <w:bookmarkEnd w:id="71"/>
      <w:bookmarkStart w:id="72" w:name="_Toc184314421"/>
      <w:bookmarkEnd w:id="72"/>
      <w:bookmarkStart w:id="73" w:name="_Toc184308097"/>
      <w:bookmarkEnd w:id="73"/>
      <w:bookmarkStart w:id="74" w:name="_Toc184314441"/>
      <w:bookmarkEnd w:id="74"/>
      <w:bookmarkStart w:id="75" w:name="_Toc184314462"/>
      <w:bookmarkEnd w:id="75"/>
      <w:bookmarkStart w:id="76" w:name="_Toc184313296"/>
      <w:bookmarkEnd w:id="76"/>
      <w:bookmarkStart w:id="77" w:name="_Toc184310276"/>
      <w:bookmarkEnd w:id="77"/>
      <w:bookmarkStart w:id="78" w:name="_Toc184312083"/>
      <w:bookmarkEnd w:id="78"/>
      <w:bookmarkStart w:id="79" w:name="_Toc184310316"/>
      <w:bookmarkEnd w:id="79"/>
      <w:bookmarkStart w:id="80" w:name="_Toc184310277"/>
      <w:bookmarkEnd w:id="80"/>
      <w:bookmarkStart w:id="81" w:name="_Toc184313309"/>
      <w:bookmarkEnd w:id="81"/>
      <w:bookmarkStart w:id="82" w:name="_Toc184312084"/>
      <w:bookmarkEnd w:id="82"/>
      <w:bookmarkStart w:id="83" w:name="_Toc184312123"/>
      <w:bookmarkEnd w:id="83"/>
      <w:bookmarkStart w:id="84" w:name="_Toc184313251"/>
      <w:bookmarkEnd w:id="84"/>
      <w:bookmarkStart w:id="85" w:name="_Toc184308083"/>
      <w:bookmarkEnd w:id="85"/>
      <w:bookmarkStart w:id="86" w:name="_Toc184310339"/>
      <w:bookmarkEnd w:id="86"/>
      <w:bookmarkStart w:id="87" w:name="_Toc184308044"/>
      <w:bookmarkEnd w:id="87"/>
      <w:bookmarkStart w:id="88" w:name="_Toc184310284"/>
      <w:bookmarkEnd w:id="88"/>
      <w:bookmarkStart w:id="89" w:name="_Toc184310324"/>
      <w:bookmarkEnd w:id="89"/>
      <w:bookmarkStart w:id="90" w:name="_Toc184310299"/>
      <w:bookmarkEnd w:id="90"/>
      <w:bookmarkStart w:id="91" w:name="_Toc184310288"/>
      <w:bookmarkEnd w:id="91"/>
      <w:bookmarkStart w:id="92" w:name="_Toc184312099"/>
      <w:bookmarkEnd w:id="92"/>
      <w:bookmarkStart w:id="93" w:name="_Toc184308087"/>
      <w:bookmarkEnd w:id="93"/>
      <w:bookmarkStart w:id="94" w:name="_Toc184314440"/>
      <w:bookmarkEnd w:id="94"/>
      <w:bookmarkStart w:id="95" w:name="_Toc184308059"/>
      <w:bookmarkEnd w:id="95"/>
      <w:bookmarkStart w:id="96" w:name="_Toc184314437"/>
      <w:bookmarkEnd w:id="96"/>
      <w:bookmarkStart w:id="97" w:name="_Toc184314448"/>
      <w:bookmarkEnd w:id="97"/>
      <w:bookmarkStart w:id="98" w:name="_Toc184310306"/>
      <w:bookmarkEnd w:id="98"/>
      <w:bookmarkStart w:id="99" w:name="_Toc184313244"/>
      <w:bookmarkEnd w:id="99"/>
      <w:bookmarkStart w:id="100" w:name="_Toc184314481"/>
      <w:bookmarkEnd w:id="100"/>
      <w:bookmarkStart w:id="101" w:name="_Toc184310310"/>
      <w:bookmarkEnd w:id="101"/>
      <w:bookmarkStart w:id="102" w:name="_Toc184314442"/>
      <w:bookmarkEnd w:id="102"/>
      <w:bookmarkStart w:id="103" w:name="_Toc184308060"/>
      <w:bookmarkEnd w:id="103"/>
      <w:bookmarkStart w:id="104" w:name="_Toc184314438"/>
      <w:bookmarkEnd w:id="104"/>
      <w:bookmarkStart w:id="105" w:name="_Toc184314460"/>
      <w:bookmarkEnd w:id="105"/>
      <w:bookmarkStart w:id="106" w:name="_Toc184312073"/>
      <w:bookmarkEnd w:id="106"/>
      <w:bookmarkStart w:id="107" w:name="_Toc184310282"/>
      <w:bookmarkEnd w:id="107"/>
      <w:bookmarkStart w:id="108" w:name="_Toc184310275"/>
      <w:bookmarkEnd w:id="108"/>
      <w:bookmarkStart w:id="109" w:name="_Toc184313266"/>
      <w:bookmarkEnd w:id="109"/>
      <w:bookmarkStart w:id="110" w:name="_Toc184310340"/>
      <w:bookmarkEnd w:id="110"/>
      <w:bookmarkStart w:id="111" w:name="_Toc184312115"/>
      <w:bookmarkEnd w:id="111"/>
      <w:bookmarkStart w:id="112" w:name="_Toc184314420"/>
      <w:bookmarkEnd w:id="112"/>
      <w:bookmarkStart w:id="113" w:name="_Toc184308041"/>
      <w:bookmarkEnd w:id="113"/>
      <w:bookmarkStart w:id="114" w:name="_Toc184314414"/>
      <w:bookmarkEnd w:id="114"/>
      <w:bookmarkStart w:id="115" w:name="_Toc184310334"/>
      <w:bookmarkEnd w:id="115"/>
      <w:bookmarkStart w:id="116" w:name="_Toc184313295"/>
      <w:bookmarkEnd w:id="116"/>
      <w:bookmarkStart w:id="117" w:name="_Toc184314431"/>
      <w:bookmarkEnd w:id="117"/>
      <w:bookmarkStart w:id="118" w:name="_Toc184308071"/>
      <w:bookmarkEnd w:id="118"/>
      <w:bookmarkStart w:id="119" w:name="_Toc184308106"/>
      <w:bookmarkEnd w:id="119"/>
      <w:bookmarkStart w:id="120" w:name="_Toc184308108"/>
      <w:bookmarkEnd w:id="120"/>
      <w:bookmarkStart w:id="121" w:name="_Toc184314410"/>
      <w:bookmarkEnd w:id="121"/>
      <w:bookmarkStart w:id="122" w:name="_Toc184314432"/>
      <w:bookmarkEnd w:id="122"/>
      <w:bookmarkStart w:id="123" w:name="_Toc184314411"/>
      <w:bookmarkEnd w:id="123"/>
      <w:bookmarkStart w:id="124" w:name="_Toc184310314"/>
      <w:bookmarkEnd w:id="124"/>
      <w:bookmarkStart w:id="125" w:name="_Toc184313310"/>
      <w:bookmarkEnd w:id="125"/>
      <w:bookmarkStart w:id="126" w:name="_Toc184312127"/>
      <w:bookmarkEnd w:id="126"/>
      <w:bookmarkStart w:id="127" w:name="_Toc184310325"/>
      <w:bookmarkEnd w:id="127"/>
      <w:bookmarkStart w:id="128" w:name="_Toc184313301"/>
      <w:bookmarkEnd w:id="128"/>
      <w:bookmarkStart w:id="129" w:name="_Toc184313274"/>
      <w:bookmarkEnd w:id="129"/>
      <w:bookmarkStart w:id="130" w:name="_Toc184308100"/>
      <w:bookmarkEnd w:id="130"/>
      <w:bookmarkStart w:id="131" w:name="_Toc184312110"/>
      <w:bookmarkEnd w:id="131"/>
      <w:bookmarkStart w:id="132" w:name="_Toc184312086"/>
      <w:bookmarkEnd w:id="132"/>
      <w:bookmarkStart w:id="133" w:name="_Toc184312106"/>
      <w:bookmarkEnd w:id="133"/>
      <w:bookmarkStart w:id="134" w:name="_Toc184310289"/>
      <w:bookmarkEnd w:id="134"/>
      <w:bookmarkStart w:id="135" w:name="_Toc184310302"/>
      <w:bookmarkEnd w:id="135"/>
      <w:bookmarkStart w:id="136" w:name="_Toc184313285"/>
      <w:bookmarkEnd w:id="136"/>
      <w:bookmarkStart w:id="137" w:name="_Toc184310318"/>
      <w:bookmarkEnd w:id="137"/>
      <w:bookmarkStart w:id="138" w:name="_Toc184310279"/>
      <w:bookmarkEnd w:id="138"/>
      <w:bookmarkStart w:id="139" w:name="_Toc184314463"/>
      <w:bookmarkEnd w:id="139"/>
      <w:bookmarkStart w:id="140" w:name="_Toc184314450"/>
      <w:bookmarkEnd w:id="140"/>
      <w:bookmarkStart w:id="141" w:name="_Toc184310281"/>
      <w:bookmarkEnd w:id="141"/>
      <w:bookmarkStart w:id="142" w:name="_Toc184308094"/>
      <w:bookmarkEnd w:id="142"/>
      <w:bookmarkStart w:id="143" w:name="_Toc184310273"/>
      <w:bookmarkEnd w:id="143"/>
      <w:bookmarkStart w:id="144" w:name="_Toc184313302"/>
      <w:bookmarkEnd w:id="144"/>
      <w:bookmarkStart w:id="145" w:name="_Toc184310303"/>
      <w:bookmarkEnd w:id="145"/>
      <w:bookmarkStart w:id="146" w:name="_Toc184314429"/>
      <w:bookmarkEnd w:id="146"/>
      <w:bookmarkStart w:id="147" w:name="_Toc184312129"/>
      <w:bookmarkEnd w:id="147"/>
      <w:bookmarkStart w:id="148" w:name="_Toc184310342"/>
      <w:bookmarkEnd w:id="148"/>
      <w:bookmarkStart w:id="149" w:name="_Toc184314466"/>
      <w:bookmarkEnd w:id="149"/>
      <w:bookmarkStart w:id="150" w:name="_Toc184310296"/>
      <w:bookmarkEnd w:id="150"/>
      <w:bookmarkStart w:id="151" w:name="_Toc184310328"/>
      <w:bookmarkEnd w:id="151"/>
      <w:bookmarkStart w:id="152" w:name="_Toc184312085"/>
      <w:bookmarkEnd w:id="152"/>
      <w:bookmarkStart w:id="153" w:name="_Toc184313245"/>
      <w:bookmarkEnd w:id="153"/>
      <w:bookmarkStart w:id="154" w:name="_Toc184310272"/>
      <w:bookmarkEnd w:id="154"/>
      <w:bookmarkStart w:id="155" w:name="_Toc184310311"/>
      <w:bookmarkEnd w:id="155"/>
      <w:bookmarkStart w:id="156" w:name="_Toc184312112"/>
      <w:bookmarkEnd w:id="156"/>
      <w:bookmarkStart w:id="157" w:name="_Toc184310332"/>
      <w:bookmarkEnd w:id="157"/>
      <w:bookmarkStart w:id="158" w:name="_Toc184314430"/>
      <w:bookmarkEnd w:id="158"/>
      <w:bookmarkStart w:id="159" w:name="_Toc184313254"/>
      <w:bookmarkEnd w:id="159"/>
      <w:bookmarkStart w:id="160" w:name="_Toc184313282"/>
      <w:bookmarkEnd w:id="160"/>
      <w:bookmarkStart w:id="161" w:name="_Toc184314467"/>
      <w:bookmarkEnd w:id="161"/>
      <w:bookmarkStart w:id="162" w:name="_Toc184310301"/>
      <w:bookmarkEnd w:id="162"/>
      <w:bookmarkStart w:id="163" w:name="_Toc184313246"/>
      <w:bookmarkEnd w:id="163"/>
      <w:bookmarkStart w:id="164" w:name="_Toc184310323"/>
      <w:bookmarkEnd w:id="164"/>
      <w:bookmarkStart w:id="165" w:name="_Toc184310292"/>
      <w:bookmarkEnd w:id="165"/>
      <w:bookmarkStart w:id="166" w:name="_Toc184314447"/>
      <w:bookmarkEnd w:id="166"/>
      <w:bookmarkStart w:id="167" w:name="_Toc184310293"/>
      <w:bookmarkEnd w:id="167"/>
      <w:bookmarkStart w:id="168" w:name="_Toc184312067"/>
      <w:bookmarkEnd w:id="168"/>
      <w:bookmarkStart w:id="169" w:name="_Toc184308101"/>
      <w:bookmarkEnd w:id="169"/>
      <w:bookmarkStart w:id="170" w:name="_Toc184310285"/>
      <w:bookmarkEnd w:id="170"/>
      <w:bookmarkStart w:id="171" w:name="_Toc184313306"/>
      <w:bookmarkEnd w:id="171"/>
      <w:bookmarkStart w:id="172" w:name="_Toc184310333"/>
      <w:bookmarkEnd w:id="172"/>
      <w:bookmarkStart w:id="173" w:name="_Toc184308082"/>
      <w:bookmarkEnd w:id="173"/>
      <w:bookmarkStart w:id="174" w:name="_Toc184312117"/>
      <w:bookmarkEnd w:id="174"/>
      <w:bookmarkStart w:id="175" w:name="_Toc184314418"/>
      <w:bookmarkEnd w:id="175"/>
      <w:bookmarkStart w:id="176" w:name="_Toc184314478"/>
      <w:bookmarkEnd w:id="176"/>
      <w:bookmarkStart w:id="177" w:name="_Toc184310290"/>
      <w:bookmarkEnd w:id="177"/>
      <w:bookmarkStart w:id="178" w:name="_Toc184313303"/>
      <w:bookmarkEnd w:id="178"/>
      <w:bookmarkStart w:id="179" w:name="_Toc184314416"/>
      <w:bookmarkEnd w:id="179"/>
      <w:bookmarkStart w:id="180" w:name="_Toc184312077"/>
      <w:bookmarkEnd w:id="180"/>
      <w:bookmarkStart w:id="181" w:name="_Toc184314423"/>
      <w:bookmarkEnd w:id="181"/>
      <w:bookmarkStart w:id="182" w:name="_Toc184310297"/>
      <w:bookmarkEnd w:id="182"/>
      <w:bookmarkStart w:id="183" w:name="_Toc184314482"/>
      <w:bookmarkEnd w:id="183"/>
      <w:bookmarkStart w:id="184" w:name="_Toc184314444"/>
      <w:bookmarkEnd w:id="184"/>
      <w:bookmarkStart w:id="185" w:name="_Toc184312139"/>
      <w:bookmarkEnd w:id="185"/>
      <w:bookmarkStart w:id="186" w:name="_Toc184312134"/>
      <w:bookmarkEnd w:id="186"/>
      <w:bookmarkStart w:id="187" w:name="_Toc184310304"/>
      <w:bookmarkEnd w:id="187"/>
      <w:bookmarkStart w:id="188" w:name="_Toc184310300"/>
      <w:bookmarkEnd w:id="188"/>
      <w:bookmarkStart w:id="189" w:name="_Toc184314449"/>
      <w:bookmarkEnd w:id="189"/>
      <w:bookmarkStart w:id="190" w:name="_Toc184313273"/>
      <w:bookmarkEnd w:id="190"/>
      <w:bookmarkStart w:id="191" w:name="_Toc184310283"/>
      <w:bookmarkEnd w:id="191"/>
      <w:bookmarkStart w:id="192" w:name="_Toc184313280"/>
      <w:bookmarkEnd w:id="192"/>
      <w:bookmarkStart w:id="193" w:name="_Toc184314424"/>
      <w:bookmarkEnd w:id="193"/>
      <w:bookmarkStart w:id="194" w:name="_Toc184314434"/>
      <w:bookmarkEnd w:id="194"/>
      <w:bookmarkStart w:id="195" w:name="_Toc184308047"/>
      <w:bookmarkEnd w:id="195"/>
      <w:bookmarkStart w:id="196" w:name="_Toc184312093"/>
      <w:bookmarkEnd w:id="196"/>
      <w:bookmarkStart w:id="197" w:name="_Toc184313238"/>
      <w:bookmarkEnd w:id="197"/>
      <w:bookmarkStart w:id="198" w:name="_Toc184308043"/>
      <w:bookmarkEnd w:id="198"/>
      <w:bookmarkStart w:id="199" w:name="_Toc184312070"/>
      <w:bookmarkEnd w:id="199"/>
      <w:bookmarkStart w:id="200" w:name="_Toc184313267"/>
      <w:bookmarkEnd w:id="200"/>
      <w:bookmarkStart w:id="201" w:name="_Toc184308050"/>
      <w:bookmarkEnd w:id="201"/>
      <w:bookmarkStart w:id="202" w:name="_Toc184314473"/>
      <w:bookmarkEnd w:id="202"/>
      <w:bookmarkStart w:id="203" w:name="_Toc184313271"/>
      <w:bookmarkEnd w:id="203"/>
      <w:bookmarkStart w:id="204" w:name="_Toc184314428"/>
      <w:bookmarkEnd w:id="204"/>
      <w:bookmarkStart w:id="205" w:name="_Toc184310305"/>
      <w:bookmarkEnd w:id="205"/>
      <w:bookmarkStart w:id="206" w:name="_Toc184308057"/>
      <w:bookmarkEnd w:id="206"/>
      <w:bookmarkStart w:id="207" w:name="_Toc184313281"/>
      <w:bookmarkEnd w:id="207"/>
      <w:bookmarkStart w:id="208" w:name="_Toc184312105"/>
      <w:bookmarkEnd w:id="208"/>
      <w:bookmarkStart w:id="209" w:name="_Toc184312068"/>
      <w:bookmarkEnd w:id="209"/>
      <w:bookmarkStart w:id="210" w:name="_Toc184313287"/>
      <w:bookmarkEnd w:id="210"/>
      <w:bookmarkStart w:id="211" w:name="_Toc184312088"/>
      <w:bookmarkEnd w:id="211"/>
      <w:bookmarkStart w:id="212" w:name="_Toc184308084"/>
      <w:bookmarkEnd w:id="212"/>
      <w:bookmarkStart w:id="213" w:name="_Toc184312100"/>
      <w:bookmarkEnd w:id="213"/>
      <w:bookmarkStart w:id="214" w:name="_Toc184312098"/>
      <w:bookmarkEnd w:id="214"/>
      <w:bookmarkStart w:id="215" w:name="_Toc184312126"/>
      <w:bookmarkEnd w:id="215"/>
      <w:bookmarkStart w:id="216" w:name="_Toc184308089"/>
      <w:bookmarkEnd w:id="216"/>
      <w:bookmarkStart w:id="217" w:name="_Toc184313275"/>
      <w:bookmarkEnd w:id="217"/>
      <w:bookmarkStart w:id="218" w:name="_Toc184308039"/>
      <w:bookmarkEnd w:id="218"/>
      <w:bookmarkStart w:id="219" w:name="_Toc184313241"/>
      <w:bookmarkEnd w:id="219"/>
      <w:bookmarkStart w:id="220" w:name="_Toc184310329"/>
      <w:bookmarkEnd w:id="220"/>
      <w:bookmarkStart w:id="221" w:name="_Toc184308088"/>
      <w:bookmarkEnd w:id="221"/>
      <w:bookmarkStart w:id="222" w:name="_Toc184312072"/>
      <w:bookmarkEnd w:id="222"/>
      <w:bookmarkStart w:id="223" w:name="_Toc184308045"/>
      <w:bookmarkEnd w:id="223"/>
      <w:bookmarkStart w:id="224" w:name="_Toc184312122"/>
      <w:bookmarkEnd w:id="224"/>
      <w:bookmarkStart w:id="225" w:name="_Toc184314477"/>
      <w:bookmarkEnd w:id="225"/>
      <w:bookmarkStart w:id="226" w:name="_Toc184312132"/>
      <w:bookmarkEnd w:id="226"/>
      <w:bookmarkStart w:id="227" w:name="_Toc184308102"/>
      <w:bookmarkEnd w:id="227"/>
      <w:bookmarkStart w:id="228" w:name="_Toc184312120"/>
      <w:bookmarkEnd w:id="228"/>
      <w:bookmarkStart w:id="229" w:name="_Toc184310287"/>
      <w:bookmarkEnd w:id="229"/>
      <w:bookmarkStart w:id="230" w:name="_Toc184313294"/>
      <w:bookmarkEnd w:id="230"/>
      <w:bookmarkStart w:id="231" w:name="_Toc184314445"/>
      <w:bookmarkEnd w:id="231"/>
      <w:bookmarkStart w:id="232" w:name="_Toc184312131"/>
      <w:bookmarkEnd w:id="232"/>
      <w:bookmarkStart w:id="233" w:name="_Toc184312079"/>
      <w:bookmarkEnd w:id="233"/>
      <w:bookmarkStart w:id="234" w:name="_Toc184312082"/>
      <w:bookmarkEnd w:id="234"/>
      <w:bookmarkStart w:id="235" w:name="_Toc184308095"/>
      <w:bookmarkEnd w:id="235"/>
      <w:bookmarkStart w:id="236" w:name="_Toc184313289"/>
      <w:bookmarkEnd w:id="236"/>
      <w:bookmarkStart w:id="237" w:name="_Toc184314451"/>
      <w:bookmarkEnd w:id="237"/>
      <w:bookmarkStart w:id="238" w:name="_Toc184312087"/>
      <w:bookmarkEnd w:id="238"/>
      <w:bookmarkStart w:id="239" w:name="_Toc184313259"/>
      <w:bookmarkEnd w:id="239"/>
      <w:bookmarkStart w:id="240" w:name="_Toc184314454"/>
      <w:bookmarkEnd w:id="240"/>
      <w:bookmarkStart w:id="241" w:name="_Toc184313239"/>
      <w:bookmarkEnd w:id="241"/>
      <w:bookmarkStart w:id="242" w:name="_Toc184312124"/>
      <w:bookmarkEnd w:id="242"/>
      <w:bookmarkStart w:id="243" w:name="_Toc184308067"/>
      <w:bookmarkEnd w:id="243"/>
      <w:bookmarkStart w:id="244" w:name="_Toc184308052"/>
      <w:bookmarkEnd w:id="244"/>
      <w:bookmarkStart w:id="245" w:name="_Toc184308096"/>
      <w:bookmarkEnd w:id="245"/>
      <w:bookmarkStart w:id="246" w:name="_Toc184313272"/>
      <w:bookmarkEnd w:id="246"/>
      <w:bookmarkStart w:id="247" w:name="_Toc184314456"/>
      <w:bookmarkEnd w:id="247"/>
      <w:bookmarkStart w:id="248" w:name="_Toc184314422"/>
      <w:bookmarkEnd w:id="248"/>
      <w:bookmarkStart w:id="249" w:name="_Toc184313261"/>
      <w:bookmarkEnd w:id="249"/>
      <w:bookmarkStart w:id="250" w:name="_Toc184308070"/>
      <w:bookmarkEnd w:id="250"/>
      <w:bookmarkStart w:id="251" w:name="_Toc184313307"/>
      <w:bookmarkEnd w:id="251"/>
      <w:bookmarkStart w:id="252" w:name="_Toc184313299"/>
      <w:bookmarkEnd w:id="252"/>
      <w:bookmarkStart w:id="253" w:name="_Toc184310313"/>
      <w:bookmarkEnd w:id="253"/>
      <w:bookmarkStart w:id="254" w:name="_Toc184312092"/>
      <w:bookmarkEnd w:id="254"/>
      <w:bookmarkStart w:id="255" w:name="_Toc184312121"/>
      <w:bookmarkEnd w:id="255"/>
      <w:bookmarkStart w:id="256" w:name="_Toc184312102"/>
      <w:bookmarkEnd w:id="256"/>
      <w:bookmarkStart w:id="257" w:name="_Toc184314413"/>
      <w:bookmarkEnd w:id="257"/>
      <w:bookmarkStart w:id="258" w:name="_Toc184308042"/>
      <w:bookmarkEnd w:id="258"/>
      <w:bookmarkStart w:id="259" w:name="_Toc184314461"/>
      <w:bookmarkEnd w:id="259"/>
      <w:bookmarkStart w:id="260" w:name="_Toc184310344"/>
      <w:bookmarkEnd w:id="260"/>
      <w:bookmarkStart w:id="261" w:name="_Toc184312104"/>
      <w:bookmarkEnd w:id="261"/>
      <w:bookmarkStart w:id="262" w:name="_Toc184314457"/>
      <w:bookmarkEnd w:id="262"/>
      <w:bookmarkStart w:id="263" w:name="_Toc184313284"/>
      <w:bookmarkEnd w:id="263"/>
      <w:bookmarkStart w:id="264" w:name="_Toc184310331"/>
      <w:bookmarkEnd w:id="264"/>
      <w:bookmarkStart w:id="265" w:name="_Toc184308061"/>
      <w:bookmarkEnd w:id="265"/>
      <w:bookmarkStart w:id="266" w:name="_Toc184308076"/>
      <w:bookmarkEnd w:id="266"/>
      <w:bookmarkStart w:id="267" w:name="_Toc184308079"/>
      <w:bookmarkEnd w:id="267"/>
      <w:bookmarkStart w:id="268" w:name="_Toc184312074"/>
      <w:bookmarkEnd w:id="268"/>
      <w:bookmarkStart w:id="269" w:name="_Toc184310337"/>
      <w:bookmarkEnd w:id="269"/>
      <w:bookmarkStart w:id="270" w:name="_Toc184310315"/>
      <w:bookmarkEnd w:id="270"/>
      <w:bookmarkStart w:id="271" w:name="_Toc184308040"/>
      <w:bookmarkEnd w:id="271"/>
      <w:bookmarkStart w:id="272" w:name="_Toc184310326"/>
      <w:bookmarkEnd w:id="272"/>
      <w:bookmarkStart w:id="273" w:name="_Toc184314458"/>
      <w:bookmarkEnd w:id="273"/>
      <w:bookmarkStart w:id="274" w:name="_Toc184310336"/>
      <w:bookmarkEnd w:id="274"/>
      <w:bookmarkStart w:id="275" w:name="_Toc184308046"/>
      <w:bookmarkEnd w:id="275"/>
      <w:bookmarkStart w:id="276" w:name="_Toc184313249"/>
      <w:bookmarkEnd w:id="276"/>
      <w:bookmarkStart w:id="277" w:name="_Toc184310343"/>
      <w:bookmarkEnd w:id="277"/>
      <w:bookmarkStart w:id="278" w:name="_Toc184308074"/>
      <w:bookmarkEnd w:id="278"/>
      <w:bookmarkStart w:id="279" w:name="_Toc184314427"/>
      <w:bookmarkEnd w:id="279"/>
      <w:bookmarkStart w:id="280" w:name="_Toc184313291"/>
      <w:bookmarkEnd w:id="280"/>
      <w:bookmarkStart w:id="281" w:name="_Toc184313269"/>
      <w:bookmarkEnd w:id="281"/>
      <w:bookmarkStart w:id="282" w:name="_Toc184313243"/>
      <w:bookmarkEnd w:id="282"/>
      <w:bookmarkStart w:id="283" w:name="_Toc184313308"/>
      <w:bookmarkEnd w:id="283"/>
      <w:bookmarkStart w:id="284" w:name="_Toc184314475"/>
      <w:bookmarkEnd w:id="284"/>
      <w:bookmarkStart w:id="285" w:name="_Toc184312138"/>
      <w:bookmarkEnd w:id="285"/>
      <w:bookmarkStart w:id="286" w:name="_Toc184314474"/>
      <w:bookmarkEnd w:id="286"/>
      <w:bookmarkStart w:id="287" w:name="_Toc184312111"/>
      <w:bookmarkEnd w:id="287"/>
      <w:bookmarkStart w:id="288" w:name="_Toc184310312"/>
      <w:bookmarkEnd w:id="288"/>
      <w:bookmarkStart w:id="289" w:name="_Toc184308105"/>
      <w:bookmarkEnd w:id="289"/>
      <w:bookmarkStart w:id="290" w:name="_Toc184313250"/>
      <w:bookmarkEnd w:id="290"/>
      <w:bookmarkStart w:id="291" w:name="_Toc184313288"/>
      <w:bookmarkEnd w:id="291"/>
      <w:bookmarkStart w:id="292" w:name="_Toc184312091"/>
      <w:bookmarkEnd w:id="292"/>
      <w:bookmarkStart w:id="293" w:name="_Toc184313252"/>
      <w:bookmarkEnd w:id="293"/>
      <w:bookmarkStart w:id="294" w:name="_Toc184308038"/>
      <w:bookmarkEnd w:id="294"/>
      <w:bookmarkStart w:id="295" w:name="_Toc184314417"/>
      <w:bookmarkEnd w:id="295"/>
      <w:bookmarkStart w:id="296" w:name="_Toc184313300"/>
      <w:bookmarkEnd w:id="296"/>
      <w:bookmarkStart w:id="297" w:name="_Toc184310274"/>
      <w:bookmarkEnd w:id="297"/>
      <w:bookmarkStart w:id="298" w:name="_Toc184314470"/>
      <w:bookmarkEnd w:id="298"/>
      <w:bookmarkStart w:id="299" w:name="_Toc184314453"/>
      <w:bookmarkEnd w:id="299"/>
      <w:bookmarkStart w:id="300" w:name="_Toc184314469"/>
      <w:bookmarkEnd w:id="300"/>
      <w:bookmarkStart w:id="301" w:name="_Toc184310294"/>
      <w:bookmarkEnd w:id="301"/>
      <w:bookmarkStart w:id="302" w:name="_Toc184308054"/>
      <w:bookmarkEnd w:id="302"/>
      <w:bookmarkStart w:id="303" w:name="_Toc184308049"/>
      <w:bookmarkEnd w:id="303"/>
      <w:bookmarkStart w:id="304" w:name="_Toc184310278"/>
      <w:bookmarkEnd w:id="304"/>
      <w:bookmarkStart w:id="305" w:name="_Toc184313256"/>
      <w:bookmarkEnd w:id="305"/>
      <w:bookmarkStart w:id="306" w:name="_Toc184312069"/>
      <w:bookmarkEnd w:id="306"/>
      <w:bookmarkStart w:id="307" w:name="_Toc184314471"/>
      <w:bookmarkEnd w:id="307"/>
      <w:bookmarkStart w:id="308" w:name="_Toc184313305"/>
      <w:bookmarkEnd w:id="308"/>
      <w:bookmarkStart w:id="309" w:name="_Toc184313283"/>
      <w:bookmarkEnd w:id="309"/>
      <w:bookmarkStart w:id="310" w:name="_Toc184312103"/>
      <w:bookmarkEnd w:id="310"/>
      <w:bookmarkStart w:id="311" w:name="_Toc184308053"/>
      <w:bookmarkEnd w:id="311"/>
      <w:bookmarkStart w:id="312" w:name="_Toc184312096"/>
      <w:bookmarkEnd w:id="312"/>
      <w:bookmarkStart w:id="313" w:name="_Toc184312133"/>
      <w:bookmarkEnd w:id="313"/>
      <w:bookmarkStart w:id="314" w:name="_Toc184310295"/>
      <w:bookmarkEnd w:id="314"/>
      <w:bookmarkStart w:id="315" w:name="_Toc184314412"/>
      <w:bookmarkEnd w:id="315"/>
      <w:bookmarkStart w:id="316" w:name="_Toc184312101"/>
      <w:bookmarkEnd w:id="316"/>
      <w:bookmarkStart w:id="317" w:name="_Toc184312089"/>
      <w:bookmarkEnd w:id="317"/>
      <w:bookmarkStart w:id="318" w:name="_Toc184313292"/>
      <w:bookmarkEnd w:id="318"/>
      <w:bookmarkStart w:id="319" w:name="_Toc184308066"/>
      <w:bookmarkEnd w:id="319"/>
      <w:bookmarkStart w:id="320" w:name="_Toc184308078"/>
      <w:bookmarkEnd w:id="320"/>
      <w:bookmarkStart w:id="321" w:name="_Toc184308048"/>
      <w:bookmarkEnd w:id="321"/>
      <w:bookmarkStart w:id="322" w:name="_Toc184313277"/>
      <w:bookmarkEnd w:id="322"/>
      <w:bookmarkStart w:id="323" w:name="_Toc184310307"/>
      <w:bookmarkEnd w:id="323"/>
      <w:bookmarkStart w:id="324" w:name="_Toc184314459"/>
      <w:bookmarkEnd w:id="324"/>
      <w:bookmarkStart w:id="325" w:name="_Toc184310320"/>
      <w:bookmarkEnd w:id="325"/>
      <w:bookmarkStart w:id="326" w:name="_Toc184312078"/>
      <w:bookmarkEnd w:id="326"/>
      <w:bookmarkStart w:id="327" w:name="_Toc184313240"/>
      <w:bookmarkEnd w:id="327"/>
      <w:bookmarkStart w:id="328" w:name="_Toc184308093"/>
      <w:bookmarkEnd w:id="328"/>
      <w:bookmarkStart w:id="329" w:name="_Toc184314464"/>
      <w:bookmarkEnd w:id="329"/>
      <w:bookmarkStart w:id="330" w:name="_Toc184308081"/>
      <w:bookmarkEnd w:id="330"/>
      <w:bookmarkStart w:id="331" w:name="_Toc184308107"/>
      <w:bookmarkEnd w:id="331"/>
      <w:bookmarkStart w:id="332" w:name="_Toc184308051"/>
      <w:bookmarkEnd w:id="332"/>
      <w:bookmarkStart w:id="333" w:name="_Toc184308085"/>
      <w:bookmarkEnd w:id="333"/>
      <w:bookmarkStart w:id="334" w:name="_Toc184308090"/>
      <w:bookmarkEnd w:id="334"/>
      <w:bookmarkStart w:id="335" w:name="_Toc184313242"/>
      <w:bookmarkEnd w:id="335"/>
      <w:bookmarkStart w:id="336" w:name="_Toc184308077"/>
      <w:bookmarkEnd w:id="336"/>
      <w:bookmarkStart w:id="337" w:name="_Toc184312125"/>
      <w:bookmarkEnd w:id="337"/>
      <w:bookmarkStart w:id="338" w:name="_Toc184308072"/>
      <w:bookmarkEnd w:id="338"/>
      <w:bookmarkStart w:id="339" w:name="_Toc184314479"/>
      <w:bookmarkEnd w:id="339"/>
      <w:bookmarkStart w:id="340" w:name="_Toc184308055"/>
      <w:bookmarkEnd w:id="340"/>
      <w:bookmarkStart w:id="341" w:name="_Toc184314439"/>
      <w:bookmarkEnd w:id="341"/>
      <w:bookmarkStart w:id="342" w:name="_Toc184314476"/>
      <w:bookmarkEnd w:id="342"/>
      <w:bookmarkStart w:id="343" w:name="_Toc184313286"/>
      <w:bookmarkEnd w:id="343"/>
      <w:bookmarkStart w:id="344" w:name="_Toc184310280"/>
      <w:bookmarkEnd w:id="344"/>
      <w:bookmarkStart w:id="345" w:name="_Toc184314436"/>
      <w:bookmarkEnd w:id="345"/>
      <w:bookmarkStart w:id="346" w:name="_Toc184313258"/>
      <w:bookmarkEnd w:id="346"/>
      <w:bookmarkStart w:id="347" w:name="_Toc184314443"/>
      <w:bookmarkEnd w:id="347"/>
      <w:bookmarkStart w:id="348" w:name="_Toc184310286"/>
      <w:bookmarkEnd w:id="348"/>
      <w:bookmarkStart w:id="349" w:name="_Toc184310327"/>
      <w:bookmarkEnd w:id="349"/>
      <w:bookmarkStart w:id="350" w:name="_Toc184314452"/>
      <w:bookmarkEnd w:id="350"/>
      <w:bookmarkStart w:id="351" w:name="_Toc184310338"/>
      <w:bookmarkEnd w:id="351"/>
      <w:bookmarkStart w:id="352" w:name="_Toc184312119"/>
      <w:bookmarkEnd w:id="352"/>
      <w:bookmarkStart w:id="353" w:name="_Toc184310317"/>
      <w:bookmarkEnd w:id="353"/>
      <w:bookmarkStart w:id="354" w:name="_Toc184313293"/>
      <w:bookmarkEnd w:id="354"/>
      <w:bookmarkStart w:id="355" w:name="_Toc184308104"/>
      <w:bookmarkEnd w:id="355"/>
      <w:bookmarkStart w:id="356" w:name="_Toc184312130"/>
      <w:bookmarkEnd w:id="356"/>
      <w:bookmarkStart w:id="357" w:name="_Toc184312118"/>
      <w:bookmarkEnd w:id="357"/>
      <w:bookmarkStart w:id="358" w:name="_Toc184314465"/>
      <w:bookmarkEnd w:id="358"/>
      <w:bookmarkStart w:id="359" w:name="_Toc184312116"/>
      <w:bookmarkEnd w:id="359"/>
      <w:bookmarkStart w:id="360" w:name="_Toc184314468"/>
      <w:bookmarkEnd w:id="360"/>
      <w:bookmarkStart w:id="361" w:name="_Toc184313298"/>
      <w:bookmarkEnd w:id="361"/>
      <w:bookmarkStart w:id="362" w:name="_Toc184308037"/>
      <w:bookmarkEnd w:id="362"/>
      <w:bookmarkStart w:id="363" w:name="_Toc184312114"/>
      <w:bookmarkEnd w:id="363"/>
      <w:bookmarkStart w:id="364" w:name="_Toc184312094"/>
      <w:bookmarkEnd w:id="364"/>
      <w:bookmarkStart w:id="365" w:name="_Toc184313247"/>
      <w:bookmarkEnd w:id="365"/>
      <w:bookmarkStart w:id="366" w:name="_Toc184308099"/>
      <w:bookmarkEnd w:id="366"/>
      <w:bookmarkStart w:id="367" w:name="_Toc184308056"/>
      <w:bookmarkEnd w:id="367"/>
      <w:bookmarkStart w:id="368" w:name="_Toc184313290"/>
      <w:bookmarkEnd w:id="368"/>
      <w:bookmarkStart w:id="369" w:name="_Toc184313279"/>
      <w:bookmarkEnd w:id="369"/>
      <w:bookmarkStart w:id="370" w:name="_Toc184308073"/>
      <w:bookmarkEnd w:id="370"/>
      <w:bookmarkStart w:id="371" w:name="_Toc184312090"/>
      <w:bookmarkEnd w:id="371"/>
      <w:bookmarkStart w:id="372" w:name="_Toc184308058"/>
      <w:bookmarkEnd w:id="372"/>
      <w:bookmarkStart w:id="373" w:name="_Toc184308069"/>
      <w:bookmarkEnd w:id="373"/>
      <w:bookmarkStart w:id="374" w:name="_Toc184310330"/>
      <w:bookmarkEnd w:id="374"/>
      <w:bookmarkStart w:id="375" w:name="_Toc184310321"/>
      <w:bookmarkEnd w:id="375"/>
      <w:bookmarkStart w:id="376" w:name="_Toc184308068"/>
      <w:bookmarkEnd w:id="376"/>
      <w:bookmarkStart w:id="377" w:name="_Toc184310291"/>
      <w:bookmarkEnd w:id="377"/>
      <w:bookmarkStart w:id="378" w:name="_Toc184312137"/>
      <w:bookmarkEnd w:id="378"/>
      <w:bookmarkStart w:id="379" w:name="_Toc184313297"/>
      <w:bookmarkEnd w:id="379"/>
      <w:bookmarkStart w:id="380" w:name="_Toc184312097"/>
      <w:bookmarkEnd w:id="380"/>
      <w:bookmarkStart w:id="381" w:name="_Toc184314480"/>
      <w:bookmarkEnd w:id="381"/>
      <w:bookmarkStart w:id="382" w:name="_Toc184312113"/>
      <w:bookmarkEnd w:id="382"/>
      <w:bookmarkStart w:id="383" w:name="_Toc184310335"/>
      <w:bookmarkEnd w:id="383"/>
      <w:bookmarkStart w:id="384" w:name="_Toc184313278"/>
      <w:bookmarkEnd w:id="384"/>
      <w:bookmarkStart w:id="385" w:name="_Toc184312128"/>
      <w:bookmarkEnd w:id="385"/>
      <w:bookmarkStart w:id="386" w:name="_Toc184313257"/>
      <w:bookmarkEnd w:id="386"/>
      <w:bookmarkStart w:id="387" w:name="_Toc184308065"/>
      <w:bookmarkEnd w:id="387"/>
      <w:bookmarkStart w:id="388" w:name="_Toc184308080"/>
      <w:bookmarkEnd w:id="388"/>
      <w:bookmarkStart w:id="389" w:name="_Toc184310298"/>
      <w:bookmarkEnd w:id="389"/>
      <w:bookmarkStart w:id="390" w:name="_Toc184314419"/>
      <w:bookmarkEnd w:id="390"/>
      <w:bookmarkStart w:id="391" w:name="_Toc184313263"/>
      <w:bookmarkEnd w:id="391"/>
      <w:bookmarkStart w:id="392" w:name="_Toc184313248"/>
      <w:bookmarkEnd w:id="392"/>
      <w:bookmarkStart w:id="393" w:name="_Toc184313255"/>
      <w:bookmarkEnd w:id="393"/>
      <w:bookmarkStart w:id="394" w:name="_Toc184310322"/>
      <w:bookmarkEnd w:id="394"/>
      <w:bookmarkStart w:id="395" w:name="_Toc184308092"/>
      <w:bookmarkEnd w:id="395"/>
      <w:bookmarkStart w:id="396" w:name="_Toc184314446"/>
      <w:bookmarkEnd w:id="396"/>
      <w:bookmarkStart w:id="397" w:name="_Toc184308036"/>
      <w:bookmarkEnd w:id="397"/>
      <w:bookmarkStart w:id="398" w:name="_Toc184314425"/>
      <w:bookmarkEnd w:id="398"/>
      <w:bookmarkStart w:id="399" w:name="_Toc184312109"/>
      <w:bookmarkEnd w:id="399"/>
      <w:bookmarkStart w:id="400" w:name="_Toc184314455"/>
      <w:bookmarkEnd w:id="400"/>
      <w:r>
        <w:rPr>
          <w:rFonts w:hint="eastAsia" w:ascii="宋体" w:hAnsi="宋体" w:cs="宋体"/>
          <w:b/>
          <w:sz w:val="36"/>
          <w:szCs w:val="36"/>
        </w:rPr>
        <w:t>评标办法</w:t>
      </w:r>
    </w:p>
    <w:p>
      <w:pPr>
        <w:snapToGrid w:val="0"/>
        <w:spacing w:line="360" w:lineRule="auto"/>
        <w:jc w:val="center"/>
      </w:pPr>
      <w:r>
        <w:rPr>
          <w:rFonts w:hint="eastAsia" w:ascii="宋体" w:hAnsi="宋体" w:cs="宋体"/>
          <w:b/>
          <w:sz w:val="32"/>
          <w:szCs w:val="20"/>
        </w:rPr>
        <w:t>评标办法前附表</w:t>
      </w:r>
    </w:p>
    <w:tbl>
      <w:tblPr>
        <w:tblStyle w:val="6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3"/>
        <w:gridCol w:w="5249"/>
        <w:gridCol w:w="889"/>
        <w:gridCol w:w="103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2828"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479"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560"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721" w:type="pct"/>
            <w:shd w:val="clear" w:color="auto" w:fill="auto"/>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1</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产品的技术指标的吻合程度和偏差情况（包括所投标产品的规格型号、详细配置、主要技术参数、随机软件、证明材料、产品售后等），满足采购文件技术指标的得基准分26分，带“▲”为实际业务需要，不得出现负偏离，否则做无效标处理，标“☆”参数每负偏离一项扣减2分，对其他参数或功能要求负偏离或未响应的每项扣1分。共26分。</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注：要求提供测试报告复印件、证书复印件等证明材料而未提供视作一项负偏离。</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26</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2828" w:type="pct"/>
            <w:shd w:val="clear" w:color="auto" w:fill="auto"/>
            <w:vAlign w:val="center"/>
          </w:tcPr>
          <w:p>
            <w:pPr>
              <w:keepNext w:val="0"/>
              <w:keepLines w:val="0"/>
              <w:pageBreakBefore w:val="0"/>
              <w:widowControl/>
              <w:kinsoku/>
              <w:wordWrap/>
              <w:overflowPunct/>
              <w:topLinePunct w:val="0"/>
              <w:autoSpaceDE/>
              <w:autoSpaceDN/>
              <w:bidi w:val="0"/>
              <w:spacing w:line="360" w:lineRule="auto"/>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投标人针对本项目的现状、建设需求，结合本项目建设目标，提供详细的设备集成完整</w:t>
            </w:r>
            <w:r>
              <w:rPr>
                <w:rFonts w:hint="eastAsia" w:asciiTheme="minorEastAsia" w:hAnsiTheme="minorEastAsia" w:eastAsiaTheme="minorEastAsia" w:cstheme="minorEastAsia"/>
                <w:color w:val="auto"/>
                <w:sz w:val="24"/>
                <w:szCs w:val="24"/>
                <w:highlight w:val="none"/>
                <w:lang w:val="en-US" w:eastAsia="zh-CN"/>
              </w:rPr>
              <w:t>项目技术方案。</w:t>
            </w:r>
            <w:r>
              <w:rPr>
                <w:rFonts w:hint="eastAsia" w:asciiTheme="minorEastAsia" w:hAnsiTheme="minorEastAsia" w:eastAsiaTheme="minorEastAsia" w:cstheme="minorEastAsia"/>
                <w:b w:val="0"/>
                <w:bCs w:val="0"/>
                <w:color w:val="auto"/>
                <w:kern w:val="2"/>
                <w:sz w:val="24"/>
                <w:szCs w:val="24"/>
                <w:highlight w:val="none"/>
                <w:lang w:val="en-US" w:eastAsia="zh-CN" w:bidi="ar-SA"/>
              </w:rPr>
              <w:t>方案全面详实，针对性强，完全满足采购项目实施的视为符合。全部符合得5分，基本符合得3分，部分符合得1分，不符合或未提供不得分。共5分。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项目技术方案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投标人承诺：本次采购的数据库容灾软件能对接临安区卫健局一体化数据中心数据库容灾软件。提供相应承诺的得2分，未提供不得分。共2分。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系统演示：</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一、内网超融合一体机的管理平台演示如下功能（5分）：</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1、可指定专用独享迁移网络，隔离迁移网络流量与管理网流量，保障用户业务正常运行。（完整演示且满足的得2分，不满足或没有演示的不得分）</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2、支持纳管、配置和监控物理交换机设备，超融合管理平台界面支持设置物理交换机环路检测、端口速率、LLDP功能开关、端口聚合等；支持在超融合管理界面查看物理交换机各个端口信号灯状态、VLAN ID、连接状态、速率、带宽利用率、对端连接设备、光模块类型和匹配状态等信息。（完整演示且满足的得1分，不满足或没有演示的不得分）</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3、支持多租户管理，根据需要对用户进行不同授权。提供B/S和C/S两种虚拟机控制台使用方式，C/S客户端无任何授权限制。（完整演示且满足的得1分，不满足或没有演示的不得分）</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4、支持一云多芯，支持一套管理平台纳管不同CPU架构（至少3种）的主机集群。（完整演示且满足的得1分，不满足或没有演示的不得分）</w:t>
            </w:r>
          </w:p>
          <w:p>
            <w:pPr>
              <w:spacing w:line="360" w:lineRule="auto"/>
              <w:ind w:left="0" w:leftChars="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二、数据脱敏</w:t>
            </w:r>
            <w:r>
              <w:rPr>
                <w:rFonts w:hint="eastAsia" w:ascii="宋体" w:hAnsi="宋体" w:cs="宋体"/>
                <w:color w:val="auto"/>
                <w:sz w:val="24"/>
                <w:highlight w:val="none"/>
                <w:lang w:val="en-US" w:eastAsia="zh-CN"/>
              </w:rPr>
              <w:t>功能</w:t>
            </w:r>
            <w:r>
              <w:rPr>
                <w:rFonts w:hint="eastAsia" w:ascii="宋体" w:hAnsi="宋体" w:eastAsia="宋体" w:cs="宋体"/>
                <w:color w:val="auto"/>
                <w:sz w:val="24"/>
                <w:highlight w:val="none"/>
                <w:lang w:val="en-US" w:eastAsia="zh-CN"/>
              </w:rPr>
              <w:t>演示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支持在同一个任务中先进行数据脱敏处理，再进行水印处理，以同时满足脱敏和水印要求，并大幅减少处理耗时。（完整演示且满足的得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分，不满足或没有演示的不得分）</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支持对于word文件进行数据脱敏任务的创建，同时支持以可视化方式对于脱敏过程进行监控</w:t>
            </w:r>
            <w:r>
              <w:rPr>
                <w:rFonts w:hint="eastAsia" w:ascii="宋体" w:hAnsi="宋体" w:cs="宋体"/>
                <w:color w:val="auto"/>
                <w:sz w:val="24"/>
                <w:highlight w:val="none"/>
                <w:lang w:eastAsia="zh-CN"/>
              </w:rPr>
              <w:t>。</w:t>
            </w:r>
            <w:r>
              <w:rPr>
                <w:rFonts w:hint="eastAsia" w:ascii="宋体" w:hAnsi="宋体" w:cs="宋体"/>
                <w:color w:val="auto"/>
                <w:sz w:val="24"/>
                <w:highlight w:val="none"/>
              </w:rPr>
              <w:t>（完整演示且满足的得</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rPr>
              <w:t>分，不满足或没有演示的不得分）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提供单独的数据对比能力以对比生产数据和测试数据或脱敏前和脱敏后的数据内容差异。提供数据对比任务新增、管理、运行等功能，可对数据对比任务的采样比例等多项参数进行配置。提供数据对比任务执行后的分析报表，包括任务运行概述、对比结果统计、未脱敏表数量、运行日志、未脱敏字段明细等。（完整演示且满足的得</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rPr>
              <w:t>分，不满足或没有演示的不得分）</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支持黑白名单配置，对于黑名单中的记录不会同步到目标端，对于白名单中的记录不进行数据脱敏处理。</w:t>
            </w:r>
            <w:r>
              <w:rPr>
                <w:rFonts w:hint="eastAsia" w:ascii="宋体" w:hAnsi="宋体" w:eastAsia="宋体" w:cs="宋体"/>
                <w:color w:val="auto"/>
                <w:sz w:val="24"/>
                <w:highlight w:val="none"/>
              </w:rPr>
              <w:t>（完整演示且满足的得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分，不满足或没有演示的不得分）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系统演示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项目实施方案:</w:t>
            </w:r>
            <w:r>
              <w:rPr>
                <w:rFonts w:hint="eastAsia" w:asciiTheme="minorEastAsia" w:hAnsiTheme="minorEastAsia" w:eastAsiaTheme="minorEastAsia" w:cstheme="minorEastAsia"/>
                <w:b w:val="0"/>
                <w:bCs w:val="0"/>
                <w:color w:val="auto"/>
                <w:kern w:val="2"/>
                <w:sz w:val="24"/>
                <w:szCs w:val="24"/>
                <w:highlight w:val="none"/>
                <w:lang w:val="en-US" w:eastAsia="zh-CN" w:bidi="ar-SA"/>
              </w:rPr>
              <w:t>投标人应根据采购需求中工作内容提供一份完整的项目进度计划，以确定各阶段的主要工作内容、成果及其进度。进度安排合理，能确保项目的顺利完成的视为符合，符合得5分，基本符合得3分，部分符合得1分，其余不得分，共5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2828" w:type="pct"/>
            <w:shd w:val="clear" w:color="auto" w:fill="auto"/>
            <w:vAlign w:val="center"/>
          </w:tcPr>
          <w:p>
            <w:pPr>
              <w:keepNext w:val="0"/>
              <w:keepLines w:val="0"/>
              <w:pageBreakBefore w:val="0"/>
              <w:widowControl/>
              <w:kinsoku/>
              <w:wordWrap/>
              <w:overflowPunct/>
              <w:topLinePunct w:val="0"/>
              <w:autoSpaceDE/>
              <w:autoSpaceDN/>
              <w:bidi w:val="0"/>
              <w:spacing w:line="360" w:lineRule="auto"/>
              <w:textAlignment w:val="center"/>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本项目拟派项目经理：</w:t>
            </w:r>
            <w:r>
              <w:rPr>
                <w:rFonts w:hint="eastAsia" w:asciiTheme="minorEastAsia" w:hAnsiTheme="minorEastAsia" w:eastAsiaTheme="minorEastAsia" w:cstheme="minorEastAsia"/>
                <w:b w:val="0"/>
                <w:bCs w:val="0"/>
                <w:color w:val="auto"/>
                <w:kern w:val="2"/>
                <w:sz w:val="24"/>
                <w:szCs w:val="24"/>
                <w:highlight w:val="none"/>
                <w:lang w:val="zh-CN" w:eastAsia="zh-CN" w:bidi="ar-SA"/>
              </w:rPr>
              <w:t>具有</w:t>
            </w:r>
            <w:r>
              <w:rPr>
                <w:rFonts w:hint="eastAsia" w:asciiTheme="minorEastAsia" w:hAnsiTheme="minorEastAsia" w:eastAsiaTheme="minorEastAsia" w:cstheme="minorEastAsia"/>
                <w:b w:val="0"/>
                <w:bCs w:val="0"/>
                <w:color w:val="auto"/>
                <w:kern w:val="2"/>
                <w:sz w:val="24"/>
                <w:szCs w:val="24"/>
                <w:highlight w:val="none"/>
                <w:lang w:val="en-US" w:eastAsia="zh-CN" w:bidi="ar-SA"/>
              </w:rPr>
              <w:t>中国信息安全测评中心颁发的注册信息安全专业人员证书</w:t>
            </w:r>
            <w:r>
              <w:rPr>
                <w:rFonts w:hint="eastAsia" w:asciiTheme="minorEastAsia" w:hAnsiTheme="minorEastAsia" w:eastAsiaTheme="minorEastAsia" w:cstheme="minorEastAsia"/>
                <w:b w:val="0"/>
                <w:bCs w:val="0"/>
                <w:color w:val="auto"/>
                <w:kern w:val="2"/>
                <w:sz w:val="24"/>
                <w:szCs w:val="24"/>
                <w:highlight w:val="none"/>
                <w:lang w:val="zh-CN" w:eastAsia="zh-CN" w:bidi="ar-SA"/>
              </w:rPr>
              <w:t>的得</w:t>
            </w:r>
            <w:r>
              <w:rPr>
                <w:rFonts w:hint="eastAsia" w:asciiTheme="minorEastAsia" w:hAnsiTheme="minorEastAsia" w:eastAsiaTheme="minorEastAsia" w:cstheme="minorEastAsia"/>
                <w:b w:val="0"/>
                <w:bCs w:val="0"/>
                <w:color w:val="auto"/>
                <w:kern w:val="2"/>
                <w:sz w:val="24"/>
                <w:szCs w:val="24"/>
                <w:highlight w:val="none"/>
                <w:lang w:val="en-US" w:eastAsia="zh-CN" w:bidi="ar-SA"/>
              </w:rPr>
              <w:t>2</w:t>
            </w:r>
            <w:r>
              <w:rPr>
                <w:rFonts w:hint="eastAsia" w:asciiTheme="minorEastAsia" w:hAnsiTheme="minorEastAsia" w:eastAsiaTheme="minorEastAsia" w:cstheme="minorEastAsia"/>
                <w:b w:val="0"/>
                <w:bCs w:val="0"/>
                <w:color w:val="auto"/>
                <w:kern w:val="2"/>
                <w:sz w:val="24"/>
                <w:szCs w:val="24"/>
                <w:highlight w:val="none"/>
                <w:lang w:val="zh-CN" w:eastAsia="zh-CN" w:bidi="ar-SA"/>
              </w:rPr>
              <w:t>分。</w:t>
            </w:r>
          </w:p>
          <w:p>
            <w:pPr>
              <w:keepNext w:val="0"/>
              <w:keepLines w:val="0"/>
              <w:pageBreakBefore w:val="0"/>
              <w:widowControl/>
              <w:kinsoku/>
              <w:wordWrap/>
              <w:overflowPunct/>
              <w:topLinePunct w:val="0"/>
              <w:autoSpaceDE/>
              <w:autoSpaceDN/>
              <w:bidi w:val="0"/>
              <w:spacing w:line="360" w:lineRule="auto"/>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证明材料：提供拟派人员清单（包括但不限于：姓名、身份证、项目职责）、近3个月社保证明、相关证书，证明材料不全或不满足要求的不得分。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客观分</w:t>
            </w:r>
          </w:p>
        </w:tc>
        <w:tc>
          <w:tcPr>
            <w:tcW w:w="721"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品控管理方案。</w:t>
            </w:r>
            <w:r>
              <w:rPr>
                <w:rFonts w:hint="eastAsia" w:asciiTheme="minorEastAsia" w:hAnsiTheme="minorEastAsia" w:eastAsiaTheme="minorEastAsia" w:cstheme="minorEastAsia"/>
                <w:b w:val="0"/>
                <w:bCs w:val="0"/>
                <w:color w:val="auto"/>
                <w:kern w:val="2"/>
                <w:sz w:val="24"/>
                <w:szCs w:val="24"/>
                <w:highlight w:val="none"/>
                <w:lang w:val="en-US" w:eastAsia="zh-CN" w:bidi="ar-SA"/>
              </w:rPr>
              <w:t>投标人对产品品质有管理管控过程。交货前，需对交货前产品进行检查以满足本项目要求。方案内容完整、满足采购需求视为符合，全部符合得3分，基本符合得2分，部分符合得1分，不符合或未提供不得分。共3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品控管理方案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售后服务措施和方案。</w:t>
            </w: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提出合理的售后服务措施和方案，包括①售后服务保障能力；②售后服务措施；③售后服务机构。方案内容详细完整、保障性强，满足采购需求视为符合，全部符合得5分，基本符合得3分，部分符合得1分，不符合或未提供不得分。共5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vMerge w:val="restar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仿宋"/>
                <w:sz w:val="24"/>
                <w:highlight w:val="none"/>
              </w:rPr>
              <w:t>售后服务措施和方案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2828" w:type="pct"/>
            <w:shd w:val="clear" w:color="auto" w:fill="auto"/>
            <w:vAlign w:val="center"/>
          </w:tcPr>
          <w:p>
            <w:pPr>
              <w:keepNext w:val="0"/>
              <w:keepLines w:val="0"/>
              <w:pageBreakBefore w:val="0"/>
              <w:widowControl/>
              <w:kinsoku/>
              <w:wordWrap/>
              <w:overflowPunct/>
              <w:topLinePunct w:val="0"/>
              <w:autoSpaceDE/>
              <w:autoSpaceDN/>
              <w:bidi w:val="0"/>
              <w:spacing w:line="360" w:lineRule="auto"/>
              <w:jc w:val="left"/>
              <w:textAlignment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投标人提供满足项目需要的备品备件（易损件），并制定更换与使用计划。备品备件清单内容完整、价格明确、规格产地清楚，且与本项目设施设备相匹配，计划安排科学合理，保证项目正常运行的视为符合，全部</w:t>
            </w:r>
            <w:r>
              <w:rPr>
                <w:rFonts w:hint="eastAsia" w:asciiTheme="minorEastAsia" w:hAnsiTheme="minorEastAsia" w:eastAsiaTheme="minorEastAsia" w:cstheme="minorEastAsia"/>
                <w:color w:val="auto"/>
                <w:kern w:val="2"/>
                <w:sz w:val="24"/>
                <w:szCs w:val="24"/>
                <w:highlight w:val="none"/>
                <w:lang w:val="en-US" w:eastAsia="zh-CN" w:bidi="ar-SA"/>
              </w:rPr>
              <w:t>符合得2分，部分符合得1分，方案未提供或不合理的不得分，共2分。</w:t>
            </w:r>
          </w:p>
        </w:tc>
        <w:tc>
          <w:tcPr>
            <w:tcW w:w="479" w:type="pct"/>
            <w:shd w:val="clear" w:color="auto" w:fill="auto"/>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560" w:type="pct"/>
            <w:shd w:val="clear" w:color="auto" w:fill="auto"/>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vMerge w:val="continue"/>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承诺：①质保期内上门维修，必须出具维修服务单，服务单应包括：用户姓名、联系方式、报修时间、上门时间、完成维修时间、报修设备信息、维修情况等内容，并由用户签字。②质保期内，提供24小时技术支持热线，30分钟内电话响应，1小时之内上门维修，12小时内解决问题；不能当场修复的，必须采取提供备品、备件或备机等措施，以保证采购单位的正常使用。需提供相关承诺，每项符合的得1分，不满足或未提供不得分。共2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客观分</w:t>
            </w:r>
          </w:p>
        </w:tc>
        <w:tc>
          <w:tcPr>
            <w:tcW w:w="721" w:type="pct"/>
            <w:vMerge w:val="continue"/>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根据采购需求制定相关操作培训方案，培训方案包括：包括培训内容、培训计划、培训管理、培训质量控制等；根据培训方案内容进行评分，方案科学合理，利于实际操作，能有效达到培训目的的视为符合，全部符合得3分，基本符合得2分，部分符合得1分，方案未提供或不合理的不得分，共3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12</w:t>
            </w:r>
          </w:p>
        </w:tc>
        <w:tc>
          <w:tcPr>
            <w:tcW w:w="2828" w:type="pct"/>
            <w:shd w:val="clear" w:color="auto" w:fill="auto"/>
            <w:vAlign w:val="center"/>
          </w:tcPr>
          <w:p>
            <w:pPr>
              <w:pStyle w:val="25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具有质量管理体系认证</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信息技术服务管理体系认证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信息安全管理体系认证</w:t>
            </w:r>
            <w:r>
              <w:rPr>
                <w:rFonts w:hint="eastAsia" w:asciiTheme="minorEastAsia" w:hAnsiTheme="minorEastAsia" w:eastAsiaTheme="minorEastAsia" w:cstheme="minorEastAsia"/>
                <w:b w:val="0"/>
                <w:bCs w:val="0"/>
                <w:color w:val="auto"/>
                <w:sz w:val="24"/>
                <w:szCs w:val="24"/>
                <w:highlight w:val="none"/>
                <w:lang w:eastAsia="zh-CN"/>
              </w:rPr>
              <w:t>，提供相关有效证书，每项得</w:t>
            </w:r>
            <w:r>
              <w:rPr>
                <w:rFonts w:hint="eastAsia" w:asciiTheme="minorEastAsia" w:hAnsiTheme="minorEastAsia" w:eastAsiaTheme="minorEastAsia" w:cstheme="minorEastAsia"/>
                <w:b w:val="0"/>
                <w:bCs w:val="0"/>
                <w:color w:val="auto"/>
                <w:sz w:val="24"/>
                <w:szCs w:val="24"/>
                <w:highlight w:val="none"/>
                <w:lang w:val="en-US" w:eastAsia="zh-CN"/>
              </w:rPr>
              <w:t>1分，共3分。</w:t>
            </w:r>
          </w:p>
        </w:tc>
        <w:tc>
          <w:tcPr>
            <w:tcW w:w="479" w:type="pct"/>
            <w:shd w:val="clear" w:color="auto" w:fill="auto"/>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3</w:t>
            </w:r>
          </w:p>
        </w:tc>
        <w:tc>
          <w:tcPr>
            <w:tcW w:w="560" w:type="pct"/>
            <w:shd w:val="clear" w:color="auto" w:fill="auto"/>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13</w:t>
            </w:r>
          </w:p>
        </w:tc>
        <w:tc>
          <w:tcPr>
            <w:tcW w:w="2828" w:type="pct"/>
            <w:shd w:val="clear" w:color="auto" w:fill="auto"/>
            <w:vAlign w:val="center"/>
          </w:tcPr>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投标人自2020年1月1日至开标时间止（以合同签订时间为准）具有同类项目（服务器或网络安全设备项目），需同时提供合同和中标通知书，每提供一个得1分，共2分。</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2</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eastAsia="zh-CN"/>
              </w:rPr>
              <w:t>同类</w:t>
            </w:r>
            <w:r>
              <w:rPr>
                <w:rFonts w:hint="eastAsia" w:cs="仿宋_GB2312" w:asciiTheme="minorEastAsia" w:hAnsiTheme="minorEastAsia" w:eastAsiaTheme="minorEastAsia"/>
                <w:color w:val="auto"/>
                <w:sz w:val="24"/>
                <w:highlight w:val="none"/>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1" w:type="pct"/>
            <w:shd w:val="clear" w:color="auto" w:fill="auto"/>
            <w:vAlign w:val="center"/>
          </w:tcPr>
          <w:p>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2828" w:type="pct"/>
            <w:shd w:val="clear" w:color="auto" w:fill="auto"/>
          </w:tcPr>
          <w:p>
            <w:pPr>
              <w:keepNext w:val="0"/>
              <w:keepLines w:val="0"/>
              <w:pageBreakBefore w:val="0"/>
              <w:kinsoku/>
              <w:wordWrap/>
              <w:overflowPunct/>
              <w:topLinePunct w:val="0"/>
              <w:autoSpaceDE/>
              <w:autoSpaceDN/>
              <w:bidi w:val="0"/>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30</w:t>
            </w:r>
            <w:r>
              <w:rPr>
                <w:rFonts w:cs="仿宋_GB2312" w:asciiTheme="minorEastAsia" w:hAnsiTheme="minorEastAsia" w:eastAsiaTheme="minorEastAsia"/>
                <w:color w:val="auto"/>
                <w:sz w:val="24"/>
                <w:highlight w:val="none"/>
              </w:rPr>
              <w:t>］的计算公式计算。</w:t>
            </w:r>
          </w:p>
          <w:p>
            <w:pPr>
              <w:keepNext w:val="0"/>
              <w:keepLines w:val="0"/>
              <w:pageBreakBefore w:val="0"/>
              <w:widowControl/>
              <w:shd w:val="clear" w:color="auto" w:fill="FFFFFF"/>
              <w:kinsoku/>
              <w:wordWrap/>
              <w:overflowPunct/>
              <w:topLinePunct w:val="0"/>
              <w:autoSpaceDE/>
              <w:autoSpaceDN/>
              <w:bidi w:val="0"/>
              <w:adjustRightInd/>
              <w:spacing w:after="225" w:line="360" w:lineRule="auto"/>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pacing w:after="225" w:line="360" w:lineRule="auto"/>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bCs/>
                <w:color w:val="auto"/>
                <w:sz w:val="24"/>
                <w:highlight w:val="none"/>
                <w:lang w:val="en-US" w:eastAsia="zh-CN"/>
              </w:rPr>
              <w:t>4</w:t>
            </w: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color w:val="auto"/>
                <w:sz w:val="24"/>
                <w:highlight w:val="none"/>
              </w:rPr>
              <w:t>的扣除，用扣除后的价格参加评审。</w:t>
            </w:r>
          </w:p>
        </w:tc>
        <w:tc>
          <w:tcPr>
            <w:tcW w:w="479" w:type="pct"/>
            <w:shd w:val="clear" w:color="auto" w:fill="auto"/>
            <w:vAlign w:val="center"/>
          </w:tcPr>
          <w:p>
            <w:pPr>
              <w:keepNext w:val="0"/>
              <w:keepLines w:val="0"/>
              <w:pageBreakBefore w:val="0"/>
              <w:kinsoku/>
              <w:wordWrap/>
              <w:overflowPunct/>
              <w:topLinePunct w:val="0"/>
              <w:autoSpaceDE/>
              <w:autoSpaceDN/>
              <w:bidi w:val="0"/>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560" w:type="pct"/>
            <w:shd w:val="clear" w:color="auto" w:fill="auto"/>
            <w:vAlign w:val="center"/>
          </w:tcPr>
          <w:p>
            <w:pPr>
              <w:keepNext w:val="0"/>
              <w:keepLines w:val="0"/>
              <w:pageBreakBefore w:val="0"/>
              <w:kinsoku/>
              <w:wordWrap/>
              <w:overflowPunct/>
              <w:topLinePunct w:val="0"/>
              <w:autoSpaceDE/>
              <w:autoSpaceDN/>
              <w:bidi w:val="0"/>
              <w:spacing w:line="360" w:lineRule="auto"/>
              <w:jc w:val="center"/>
              <w:outlineLvl w:val="0"/>
              <w:rPr>
                <w:rFonts w:cs="仿宋_GB2312" w:asciiTheme="minorEastAsia" w:hAnsiTheme="minorEastAsia" w:eastAsiaTheme="minorEastAsia"/>
                <w:color w:val="auto"/>
                <w:sz w:val="24"/>
                <w:highlight w:val="none"/>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pPr>
              <w:keepNext w:val="0"/>
              <w:keepLines w:val="0"/>
              <w:pageBreakBefore w:val="0"/>
              <w:kinsoku/>
              <w:wordWrap/>
              <w:overflowPunct/>
              <w:topLinePunct w:val="0"/>
              <w:autoSpaceDE/>
              <w:autoSpaceDN/>
              <w:bidi w:val="0"/>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rPr>
        <w:t xml:space="preserve">  4.2.11投标人</w:t>
      </w:r>
      <w:r>
        <w:rPr>
          <w:rFonts w:hint="eastAsia" w:ascii="宋体" w:hAnsi="宋体" w:cs="宋体"/>
          <w:kern w:val="0"/>
          <w:sz w:val="24"/>
          <w:highlight w:val="none"/>
        </w:rPr>
        <w:t>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4.2.14 投标文件不满足招标文件的其它实质性要求的；</w:t>
      </w:r>
    </w:p>
    <w:p>
      <w:pPr>
        <w:pStyle w:val="2"/>
        <w:ind w:left="0" w:leftChars="0" w:firstLine="480" w:firstLineChars="200"/>
        <w:rPr>
          <w:rFonts w:hint="default" w:eastAsia="宋体"/>
          <w:lang w:val="en-US" w:eastAsia="zh-CN"/>
        </w:rPr>
      </w:pPr>
      <w:r>
        <w:rPr>
          <w:rFonts w:hint="eastAsia" w:hAnsi="宋体" w:cs="宋体"/>
          <w:kern w:val="0"/>
          <w:sz w:val="24"/>
          <w:highlight w:val="none"/>
          <w:lang w:val="en-US" w:eastAsia="zh-CN"/>
        </w:rPr>
        <w:t>4.2.15供应商IP、MAC、设备硬件信息一致；</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6</w:t>
      </w:r>
      <w:r>
        <w:rPr>
          <w:rFonts w:hint="eastAsia" w:ascii="宋体" w:hAnsi="宋体" w:cs="宋体"/>
          <w:kern w:val="0"/>
          <w:sz w:val="24"/>
          <w:highlight w:val="none"/>
        </w:rPr>
        <w:t>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33"/>
    <w:p>
      <w:pPr>
        <w:spacing w:line="360" w:lineRule="auto"/>
        <w:ind w:left="720" w:leftChars="343" w:firstLine="1084" w:firstLineChars="300"/>
        <w:outlineLvl w:val="0"/>
        <w:rPr>
          <w:rFonts w:ascii="宋体" w:hAnsi="宋体" w:cs="宋体"/>
          <w:b/>
          <w:sz w:val="36"/>
          <w:szCs w:val="36"/>
        </w:rPr>
      </w:pPr>
      <w:bookmarkStart w:id="401" w:name="第五部分"/>
      <w:bookmarkStart w:id="402"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pStyle w:val="24"/>
        <w:rPr>
          <w:rFonts w:hint="eastAsia"/>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680" w:right="1417" w:bottom="471" w:left="1417"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w:t>
      </w:r>
      <w:r>
        <w:rPr>
          <w:rFonts w:hint="eastAsia" w:ascii="宋体" w:hAnsi="宋体" w:cs="宋体"/>
          <w:sz w:val="24"/>
        </w:rPr>
        <w:t>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03" w:name="_Toc2232"/>
      <w:bookmarkStart w:id="404" w:name="_Toc24059"/>
      <w:bookmarkStart w:id="405" w:name="_Toc3029"/>
      <w:r>
        <w:rPr>
          <w:rFonts w:hint="eastAsia" w:ascii="宋体" w:hAnsi="宋体" w:cs="宋体"/>
          <w:b/>
          <w:sz w:val="24"/>
        </w:rPr>
        <w:t>1.1 合同组成部分</w:t>
      </w:r>
      <w:bookmarkEnd w:id="403"/>
      <w:bookmarkEnd w:id="404"/>
      <w:bookmarkEnd w:id="405"/>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6" w:name="_Toc24300"/>
      <w:bookmarkStart w:id="407" w:name="_Toc21295"/>
      <w:bookmarkStart w:id="408" w:name="_Toc27126"/>
      <w:r>
        <w:rPr>
          <w:rFonts w:hint="eastAsia" w:ascii="宋体" w:hAnsi="宋体" w:cs="宋体"/>
          <w:b/>
          <w:sz w:val="24"/>
        </w:rPr>
        <w:t>1.2 货物</w:t>
      </w:r>
      <w:bookmarkEnd w:id="406"/>
      <w:bookmarkEnd w:id="407"/>
      <w:bookmarkEnd w:id="408"/>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9" w:name="_Toc23292"/>
      <w:bookmarkStart w:id="410" w:name="_Toc21631"/>
      <w:bookmarkStart w:id="411" w:name="_Toc21551"/>
      <w:r>
        <w:rPr>
          <w:rFonts w:hint="eastAsia" w:ascii="宋体" w:hAnsi="宋体" w:cs="宋体"/>
          <w:b/>
          <w:sz w:val="24"/>
        </w:rPr>
        <w:t>1.3 价款</w:t>
      </w:r>
      <w:bookmarkEnd w:id="409"/>
      <w:bookmarkEnd w:id="410"/>
      <w:bookmarkEnd w:id="411"/>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rPr>
      </w:pPr>
      <w:bookmarkStart w:id="412" w:name="_Toc22618"/>
      <w:bookmarkStart w:id="413" w:name="_Toc1814"/>
      <w:bookmarkStart w:id="414" w:name="_Toc10340"/>
      <w:r>
        <w:rPr>
          <w:rFonts w:hint="eastAsia"/>
          <w:b/>
        </w:rPr>
        <w:t>1.4履约保证金</w:t>
      </w:r>
    </w:p>
    <w:p>
      <w:pPr>
        <w:pStyle w:val="957"/>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否</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2"/>
      <w:bookmarkEnd w:id="413"/>
      <w:bookmarkEnd w:id="414"/>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u w:val="single"/>
          <w:lang w:eastAsia="zh-CN"/>
        </w:rPr>
        <w:t>是</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5" w:name="_Toc2846"/>
      <w:bookmarkStart w:id="416" w:name="_Toc19304"/>
      <w:bookmarkStart w:id="417" w:name="_Toc32071"/>
      <w:r>
        <w:rPr>
          <w:rFonts w:hint="eastAsia" w:ascii="宋体" w:hAnsi="宋体" w:cs="宋体"/>
          <w:b/>
          <w:sz w:val="24"/>
        </w:rPr>
        <w:t>1.7货物交付期限、地点和方式</w:t>
      </w:r>
      <w:bookmarkEnd w:id="415"/>
      <w:bookmarkEnd w:id="416"/>
      <w:bookmarkEnd w:id="417"/>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8" w:name="_Toc27250"/>
      <w:bookmarkStart w:id="419" w:name="_Toc19554"/>
      <w:bookmarkStart w:id="420" w:name="_Toc21423"/>
      <w:r>
        <w:rPr>
          <w:rFonts w:hint="eastAsia" w:ascii="宋体" w:hAnsi="宋体" w:cs="宋体"/>
          <w:b/>
          <w:sz w:val="24"/>
        </w:rPr>
        <w:t>1.8违约责任</w:t>
      </w:r>
      <w:bookmarkEnd w:id="418"/>
      <w:bookmarkEnd w:id="419"/>
      <w:bookmarkEnd w:id="420"/>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21" w:name="_Toc28375"/>
      <w:bookmarkStart w:id="422" w:name="_Toc16021"/>
      <w:bookmarkStart w:id="423" w:name="_Toc15583"/>
      <w:r>
        <w:rPr>
          <w:rFonts w:hint="eastAsia" w:ascii="宋体" w:hAnsi="宋体" w:cs="宋体"/>
          <w:b/>
          <w:sz w:val="24"/>
        </w:rPr>
        <w:t>1.9合同争议的解决</w:t>
      </w:r>
      <w:bookmarkEnd w:id="421"/>
      <w:bookmarkEnd w:id="422"/>
      <w:bookmarkEnd w:id="423"/>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4" w:name="_Toc7245"/>
      <w:bookmarkStart w:id="425" w:name="_Toc11173"/>
      <w:bookmarkStart w:id="426" w:name="_Toc15322"/>
      <w:r>
        <w:rPr>
          <w:rFonts w:hint="eastAsia" w:ascii="宋体" w:hAnsi="宋体" w:cs="宋体"/>
          <w:b/>
          <w:sz w:val="24"/>
        </w:rPr>
        <w:t>2.0 合同生效</w:t>
      </w:r>
      <w:bookmarkEnd w:id="424"/>
      <w:bookmarkEnd w:id="425"/>
      <w:bookmarkEnd w:id="426"/>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7" w:name="_Ref467379214"/>
      <w:bookmarkStart w:id="428" w:name="_Toc279701240"/>
      <w:bookmarkStart w:id="429" w:name="_Ref467378404"/>
      <w:bookmarkStart w:id="430" w:name="_Toc28763"/>
      <w:bookmarkStart w:id="431" w:name="_Ref467379094"/>
      <w:bookmarkStart w:id="432" w:name="_Toc487900349"/>
      <w:bookmarkStart w:id="433" w:name="_Ref467379205"/>
      <w:bookmarkStart w:id="434" w:name="_Ref467379109"/>
      <w:bookmarkStart w:id="435" w:name="_Ref467379195"/>
      <w:bookmarkStart w:id="436" w:name="_Ref467378499"/>
      <w:bookmarkStart w:id="437" w:name="_Toc16917"/>
      <w:bookmarkStart w:id="438" w:name="_Ref467379101"/>
      <w:bookmarkStart w:id="439" w:name="_Toc259093669"/>
      <w:bookmarkStart w:id="440" w:name="_Ref467379225"/>
      <w:bookmarkStart w:id="441" w:name="_Toc19614"/>
      <w:bookmarkStart w:id="442" w:name="_Ref467378463"/>
      <w:r>
        <w:rPr>
          <w:rFonts w:hint="eastAsia" w:ascii="宋体" w:hAnsi="宋体" w:cs="宋体"/>
          <w:b/>
          <w:sz w:val="24"/>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43" w:name="_Ref467378840"/>
      <w:r>
        <w:rPr>
          <w:rFonts w:hint="eastAsia" w:ascii="宋体" w:hAnsi="宋体" w:cs="宋体"/>
          <w:sz w:val="24"/>
        </w:rPr>
        <w:t>2.1.4 “甲方”系指与中标或成交供应商签署合同的采购人</w:t>
      </w:r>
      <w:bookmarkEnd w:id="443"/>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4" w:name="_Ref467379400"/>
      <w:r>
        <w:rPr>
          <w:rFonts w:hint="eastAsia" w:ascii="宋体" w:hAnsi="宋体" w:cs="宋体"/>
          <w:sz w:val="24"/>
        </w:rPr>
        <w:t>2.1.5 “乙方”系指根据合同约定交付货物的中标或成交供应商</w:t>
      </w:r>
      <w:bookmarkEnd w:id="444"/>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5" w:name="_Ref467379436"/>
      <w:r>
        <w:rPr>
          <w:rFonts w:hint="eastAsia" w:ascii="宋体" w:hAnsi="宋体" w:cs="宋体"/>
          <w:sz w:val="24"/>
        </w:rPr>
        <w:t>2.1.6 “现场”系指合同约定货物将要运至或者安装的地点。</w:t>
      </w:r>
      <w:bookmarkEnd w:id="445"/>
    </w:p>
    <w:p>
      <w:pPr>
        <w:spacing w:line="560" w:lineRule="exact"/>
        <w:ind w:firstLine="482" w:firstLineChars="200"/>
        <w:outlineLvl w:val="0"/>
        <w:rPr>
          <w:rFonts w:ascii="宋体" w:hAnsi="宋体" w:cs="宋体"/>
          <w:b/>
          <w:sz w:val="24"/>
        </w:rPr>
      </w:pPr>
      <w:bookmarkStart w:id="446" w:name="_Toc279701241"/>
      <w:bookmarkStart w:id="447" w:name="_Toc27635"/>
      <w:bookmarkStart w:id="448" w:name="_Toc13336"/>
      <w:bookmarkStart w:id="449" w:name="_Toc487900350"/>
      <w:bookmarkStart w:id="450" w:name="_Toc32504"/>
      <w:bookmarkStart w:id="451" w:name="_Toc259093670"/>
      <w:r>
        <w:rPr>
          <w:rFonts w:hint="eastAsia" w:ascii="宋体" w:hAnsi="宋体" w:cs="宋体"/>
          <w:b/>
          <w:sz w:val="24"/>
        </w:rPr>
        <w:t>2.2 技术规范</w:t>
      </w:r>
      <w:bookmarkEnd w:id="446"/>
      <w:bookmarkEnd w:id="447"/>
      <w:bookmarkEnd w:id="448"/>
      <w:bookmarkEnd w:id="449"/>
      <w:bookmarkEnd w:id="450"/>
      <w:bookmarkEnd w:id="451"/>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52" w:name="_Toc9829"/>
      <w:bookmarkStart w:id="453" w:name="_Toc27853"/>
      <w:bookmarkStart w:id="454" w:name="_Toc31634"/>
      <w:bookmarkStart w:id="455" w:name="_Toc279701242"/>
      <w:bookmarkStart w:id="456" w:name="_Toc487900351"/>
      <w:bookmarkStart w:id="457" w:name="_Toc259093671"/>
      <w:r>
        <w:rPr>
          <w:rFonts w:hint="eastAsia" w:ascii="宋体" w:hAnsi="宋体" w:cs="宋体"/>
          <w:b/>
          <w:sz w:val="24"/>
        </w:rPr>
        <w:t>2.3 知识产权</w:t>
      </w:r>
      <w:bookmarkEnd w:id="452"/>
      <w:bookmarkEnd w:id="453"/>
      <w:bookmarkEnd w:id="454"/>
      <w:bookmarkEnd w:id="455"/>
      <w:bookmarkEnd w:id="456"/>
      <w:bookmarkEnd w:id="457"/>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8" w:name="_Toc29149"/>
      <w:bookmarkStart w:id="459" w:name="_Toc11932"/>
      <w:bookmarkStart w:id="460" w:name="_Toc4194"/>
      <w:r>
        <w:rPr>
          <w:rFonts w:hint="eastAsia" w:ascii="宋体" w:hAnsi="宋体" w:cs="宋体"/>
          <w:b/>
          <w:sz w:val="24"/>
        </w:rPr>
        <w:t>2.4 包装和装运</w:t>
      </w:r>
      <w:bookmarkEnd w:id="458"/>
      <w:bookmarkEnd w:id="459"/>
      <w:bookmarkEnd w:id="460"/>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61" w:name="_Toc259093674"/>
      <w:bookmarkStart w:id="462" w:name="_Toc487900354"/>
      <w:bookmarkStart w:id="463" w:name="_Toc279701245"/>
      <w:bookmarkStart w:id="464" w:name="_Ref467378591"/>
      <w:bookmarkStart w:id="465" w:name="_Ref467379527"/>
      <w:bookmarkStart w:id="466" w:name="_Ref467378541"/>
      <w:bookmarkStart w:id="467" w:name="_Ref467379542"/>
      <w:bookmarkStart w:id="468" w:name="_Ref467379536"/>
      <w:bookmarkStart w:id="469" w:name="_Toc19074"/>
      <w:bookmarkStart w:id="470" w:name="_Toc30272"/>
      <w:bookmarkStart w:id="471" w:name="_Toc26182"/>
      <w:r>
        <w:rPr>
          <w:rFonts w:hint="eastAsia" w:ascii="宋体" w:hAnsi="宋体" w:cs="宋体"/>
          <w:b/>
          <w:sz w:val="24"/>
        </w:rPr>
        <w:t>2.</w:t>
      </w:r>
      <w:bookmarkEnd w:id="461"/>
      <w:bookmarkEnd w:id="462"/>
      <w:bookmarkEnd w:id="463"/>
      <w:bookmarkEnd w:id="464"/>
      <w:bookmarkEnd w:id="465"/>
      <w:bookmarkEnd w:id="466"/>
      <w:bookmarkEnd w:id="467"/>
      <w:bookmarkEnd w:id="468"/>
      <w:r>
        <w:rPr>
          <w:rFonts w:hint="eastAsia" w:ascii="宋体" w:hAnsi="宋体" w:cs="宋体"/>
          <w:b/>
          <w:sz w:val="24"/>
        </w:rPr>
        <w:t>5 履约检查和问题反馈</w:t>
      </w:r>
      <w:bookmarkEnd w:id="469"/>
      <w:bookmarkEnd w:id="470"/>
      <w:bookmarkEnd w:id="471"/>
    </w:p>
    <w:p>
      <w:pPr>
        <w:spacing w:line="560" w:lineRule="exact"/>
        <w:ind w:firstLine="480" w:firstLineChars="200"/>
        <w:rPr>
          <w:rFonts w:ascii="宋体" w:hAnsi="宋体" w:cs="宋体"/>
          <w:sz w:val="24"/>
        </w:rPr>
      </w:pPr>
      <w:bookmarkStart w:id="472" w:name="_Ref467379657"/>
      <w:r>
        <w:rPr>
          <w:rFonts w:hint="eastAsia" w:ascii="宋体" w:hAnsi="宋体" w:cs="宋体"/>
          <w:sz w:val="24"/>
        </w:rPr>
        <w:t>2.5.1</w:t>
      </w:r>
      <w:bookmarkEnd w:id="472"/>
      <w:bookmarkStart w:id="473" w:name="_Toc186431854"/>
      <w:bookmarkStart w:id="474" w:name="_Ref467379793"/>
      <w:bookmarkStart w:id="475" w:name="_Toc279701247"/>
      <w:bookmarkStart w:id="476" w:name="_Toc259093676"/>
      <w:bookmarkStart w:id="477" w:name="_Toc487900357"/>
      <w:bookmarkStart w:id="478"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3"/>
      <w:bookmarkStart w:id="479" w:name="_Toc186431855"/>
      <w:r>
        <w:rPr>
          <w:rFonts w:hint="eastAsia" w:ascii="宋体" w:hAnsi="宋体" w:cs="宋体"/>
          <w:sz w:val="24"/>
        </w:rPr>
        <w:t>。</w:t>
      </w:r>
    </w:p>
    <w:bookmarkEnd w:id="474"/>
    <w:bookmarkEnd w:id="475"/>
    <w:bookmarkEnd w:id="476"/>
    <w:bookmarkEnd w:id="477"/>
    <w:bookmarkEnd w:id="478"/>
    <w:bookmarkEnd w:id="479"/>
    <w:p>
      <w:pPr>
        <w:spacing w:line="560" w:lineRule="exact"/>
        <w:ind w:firstLine="482" w:firstLineChars="200"/>
        <w:outlineLvl w:val="0"/>
        <w:rPr>
          <w:rFonts w:ascii="宋体" w:hAnsi="宋体" w:cs="宋体"/>
          <w:b/>
          <w:sz w:val="24"/>
        </w:rPr>
      </w:pPr>
      <w:bookmarkStart w:id="480" w:name="_Toc279701248"/>
      <w:bookmarkStart w:id="481" w:name="_Ref467379863"/>
      <w:bookmarkStart w:id="482" w:name="_Toc259093677"/>
      <w:bookmarkStart w:id="483" w:name="_Ref467379852"/>
      <w:bookmarkStart w:id="484" w:name="_Ref467379923"/>
      <w:bookmarkStart w:id="485" w:name="_Toc487900358"/>
      <w:bookmarkStart w:id="486" w:name="_Toc16110"/>
      <w:bookmarkStart w:id="487" w:name="_Toc774"/>
      <w:bookmarkStart w:id="488" w:name="_Toc3225"/>
      <w:r>
        <w:rPr>
          <w:rFonts w:hint="eastAsia" w:ascii="宋体" w:hAnsi="宋体" w:cs="宋体"/>
          <w:b/>
          <w:sz w:val="24"/>
        </w:rPr>
        <w:t>2.6 技术资料</w:t>
      </w:r>
      <w:bookmarkEnd w:id="480"/>
      <w:bookmarkEnd w:id="481"/>
      <w:bookmarkEnd w:id="482"/>
      <w:bookmarkEnd w:id="483"/>
      <w:bookmarkEnd w:id="484"/>
      <w:bookmarkEnd w:id="485"/>
      <w:r>
        <w:rPr>
          <w:rFonts w:hint="eastAsia" w:ascii="宋体" w:hAnsi="宋体" w:cs="宋体"/>
          <w:b/>
          <w:sz w:val="24"/>
        </w:rPr>
        <w:t>和保密义务</w:t>
      </w:r>
      <w:bookmarkEnd w:id="486"/>
      <w:bookmarkEnd w:id="487"/>
      <w:bookmarkEnd w:id="488"/>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9" w:name="_Toc7860"/>
      <w:r>
        <w:rPr>
          <w:rFonts w:hint="eastAsia" w:ascii="宋体" w:hAnsi="宋体" w:cs="宋体"/>
          <w:b/>
          <w:sz w:val="24"/>
        </w:rPr>
        <w:t>2.7 质量保证</w:t>
      </w:r>
      <w:bookmarkEnd w:id="489"/>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90" w:name="_Toc17244"/>
      <w:bookmarkStart w:id="491" w:name="_Toc259093681"/>
      <w:bookmarkStart w:id="492" w:name="_Toc487900362"/>
      <w:bookmarkStart w:id="493" w:name="_Toc279701252"/>
      <w:r>
        <w:rPr>
          <w:rFonts w:hint="eastAsia" w:ascii="宋体" w:hAnsi="宋体" w:cs="宋体"/>
          <w:b/>
          <w:sz w:val="24"/>
        </w:rPr>
        <w:t>2.8 货物的风险负担</w:t>
      </w:r>
      <w:bookmarkEnd w:id="490"/>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4" w:name="_Toc14055"/>
      <w:r>
        <w:rPr>
          <w:rFonts w:hint="eastAsia" w:ascii="宋体" w:hAnsi="宋体" w:cs="宋体"/>
          <w:b/>
          <w:sz w:val="24"/>
        </w:rPr>
        <w:t>2.9 延迟交货</w:t>
      </w:r>
      <w:bookmarkEnd w:id="491"/>
      <w:bookmarkEnd w:id="492"/>
      <w:bookmarkEnd w:id="493"/>
      <w:bookmarkEnd w:id="494"/>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5" w:name="_Toc7502"/>
      <w:bookmarkStart w:id="496" w:name="_Ref467378121"/>
      <w:bookmarkStart w:id="497" w:name="_Toc279701254"/>
      <w:bookmarkStart w:id="498" w:name="_Toc487900364"/>
      <w:bookmarkStart w:id="499" w:name="_Toc259093683"/>
      <w:r>
        <w:rPr>
          <w:rFonts w:hint="eastAsia" w:ascii="宋体" w:hAnsi="宋体" w:cs="宋体"/>
          <w:b/>
          <w:sz w:val="24"/>
        </w:rPr>
        <w:t>2.10 合同变更</w:t>
      </w:r>
      <w:bookmarkEnd w:id="495"/>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0" w:name="_Toc259093688"/>
      <w:bookmarkStart w:id="501" w:name="_Toc487900369"/>
      <w:bookmarkStart w:id="502" w:name="_Toc279701259"/>
    </w:p>
    <w:p>
      <w:pPr>
        <w:spacing w:line="560" w:lineRule="exact"/>
        <w:ind w:firstLine="482" w:firstLineChars="200"/>
        <w:outlineLvl w:val="0"/>
        <w:rPr>
          <w:rFonts w:ascii="宋体" w:hAnsi="宋体" w:cs="宋体"/>
          <w:b/>
          <w:sz w:val="24"/>
        </w:rPr>
      </w:pPr>
      <w:bookmarkStart w:id="503" w:name="_Toc15237"/>
      <w:bookmarkStart w:id="504" w:name="_Toc10366"/>
      <w:bookmarkStart w:id="505" w:name="_Toc22955"/>
      <w:r>
        <w:rPr>
          <w:rFonts w:hint="eastAsia" w:ascii="宋体" w:hAnsi="宋体" w:cs="宋体"/>
          <w:b/>
          <w:sz w:val="24"/>
        </w:rPr>
        <w:t>2.11 合同转让</w:t>
      </w:r>
      <w:bookmarkEnd w:id="500"/>
      <w:bookmarkEnd w:id="501"/>
      <w:bookmarkEnd w:id="502"/>
      <w:r>
        <w:rPr>
          <w:rFonts w:hint="eastAsia" w:ascii="宋体" w:hAnsi="宋体" w:cs="宋体"/>
          <w:b/>
          <w:sz w:val="24"/>
        </w:rPr>
        <w:t>和分包</w:t>
      </w:r>
      <w:bookmarkEnd w:id="503"/>
      <w:bookmarkEnd w:id="504"/>
      <w:bookmarkEnd w:id="505"/>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6" w:name="_Toc16508"/>
      <w:bookmarkStart w:id="507" w:name="_Toc13566"/>
      <w:bookmarkStart w:id="508" w:name="_Toc14066"/>
      <w:r>
        <w:rPr>
          <w:rFonts w:hint="eastAsia" w:ascii="宋体" w:hAnsi="宋体" w:cs="宋体"/>
          <w:b/>
          <w:sz w:val="24"/>
        </w:rPr>
        <w:t>2.12 不可抗力</w:t>
      </w:r>
      <w:bookmarkEnd w:id="506"/>
      <w:bookmarkEnd w:id="507"/>
      <w:bookmarkEnd w:id="508"/>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9" w:name="_Toc259093684"/>
      <w:bookmarkStart w:id="510" w:name="_Toc689"/>
      <w:bookmarkStart w:id="511" w:name="_Toc487900365"/>
      <w:bookmarkStart w:id="512" w:name="_Toc6969"/>
      <w:bookmarkStart w:id="513" w:name="_Toc30676"/>
      <w:bookmarkStart w:id="514" w:name="_Toc279701255"/>
      <w:r>
        <w:rPr>
          <w:rFonts w:hint="eastAsia" w:ascii="宋体" w:hAnsi="宋体" w:cs="宋体"/>
          <w:b/>
          <w:sz w:val="24"/>
        </w:rPr>
        <w:t>2.13 税费</w:t>
      </w:r>
      <w:bookmarkEnd w:id="509"/>
      <w:bookmarkEnd w:id="510"/>
      <w:bookmarkEnd w:id="511"/>
      <w:bookmarkEnd w:id="512"/>
      <w:bookmarkEnd w:id="513"/>
      <w:bookmarkEnd w:id="514"/>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5" w:name="_Toc7102"/>
      <w:bookmarkStart w:id="516" w:name="_Toc279701258"/>
      <w:bookmarkStart w:id="517" w:name="_Toc16959"/>
      <w:bookmarkStart w:id="518" w:name="_Toc487900368"/>
      <w:bookmarkStart w:id="519" w:name="_Toc259093687"/>
      <w:bookmarkStart w:id="520" w:name="_Toc8298"/>
      <w:r>
        <w:rPr>
          <w:rFonts w:hint="eastAsia" w:ascii="宋体" w:hAnsi="宋体" w:cs="宋体"/>
          <w:b/>
          <w:sz w:val="24"/>
        </w:rPr>
        <w:t>2.14乙方破产</w:t>
      </w:r>
      <w:bookmarkEnd w:id="515"/>
      <w:bookmarkEnd w:id="516"/>
      <w:bookmarkEnd w:id="517"/>
      <w:bookmarkEnd w:id="518"/>
      <w:bookmarkEnd w:id="519"/>
      <w:bookmarkEnd w:id="520"/>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21" w:name="_Toc6134"/>
      <w:bookmarkStart w:id="522" w:name="_Toc29333"/>
      <w:bookmarkStart w:id="523" w:name="_Toc15387"/>
      <w:r>
        <w:rPr>
          <w:rFonts w:hint="eastAsia" w:ascii="宋体" w:hAnsi="宋体" w:cs="宋体"/>
          <w:b/>
          <w:sz w:val="24"/>
        </w:rPr>
        <w:t>2.15 合同中止、终止</w:t>
      </w:r>
      <w:bookmarkEnd w:id="521"/>
      <w:bookmarkEnd w:id="522"/>
      <w:bookmarkEnd w:id="523"/>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4" w:name="_Toc1125"/>
      <w:bookmarkStart w:id="525" w:name="_Toc6596"/>
      <w:bookmarkStart w:id="526" w:name="_Toc14563"/>
      <w:r>
        <w:rPr>
          <w:rFonts w:hint="eastAsia" w:ascii="宋体" w:hAnsi="宋体" w:cs="宋体"/>
          <w:b/>
          <w:sz w:val="24"/>
        </w:rPr>
        <w:t>2.16检验和验收</w:t>
      </w:r>
      <w:bookmarkEnd w:id="524"/>
      <w:bookmarkEnd w:id="525"/>
      <w:bookmarkEnd w:id="526"/>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6"/>
    <w:bookmarkEnd w:id="497"/>
    <w:bookmarkEnd w:id="498"/>
    <w:bookmarkEnd w:id="499"/>
    <w:p>
      <w:pPr>
        <w:spacing w:line="560" w:lineRule="exact"/>
        <w:ind w:firstLine="482" w:firstLineChars="200"/>
        <w:outlineLvl w:val="0"/>
        <w:rPr>
          <w:rFonts w:ascii="宋体" w:hAnsi="宋体" w:cs="宋体"/>
          <w:b/>
          <w:sz w:val="24"/>
        </w:rPr>
      </w:pPr>
      <w:bookmarkStart w:id="527" w:name="_Toc487900371"/>
      <w:bookmarkStart w:id="528" w:name="_Toc279701261"/>
      <w:bookmarkStart w:id="529" w:name="_Toc259093690"/>
      <w:bookmarkStart w:id="530" w:name="_Toc11284"/>
      <w:bookmarkStart w:id="531" w:name="_Toc25182"/>
      <w:bookmarkStart w:id="532" w:name="_Toc19604"/>
      <w:r>
        <w:rPr>
          <w:rFonts w:hint="eastAsia" w:ascii="宋体" w:hAnsi="宋体" w:cs="宋体"/>
          <w:b/>
          <w:sz w:val="24"/>
        </w:rPr>
        <w:t>2.17 通知</w:t>
      </w:r>
      <w:bookmarkEnd w:id="527"/>
      <w:bookmarkEnd w:id="528"/>
      <w:bookmarkEnd w:id="529"/>
      <w:r>
        <w:rPr>
          <w:rFonts w:hint="eastAsia" w:ascii="宋体" w:hAnsi="宋体" w:cs="宋体"/>
          <w:b/>
          <w:sz w:val="24"/>
        </w:rPr>
        <w:t>和送达</w:t>
      </w:r>
      <w:bookmarkEnd w:id="530"/>
      <w:bookmarkEnd w:id="531"/>
      <w:bookmarkEnd w:id="532"/>
    </w:p>
    <w:p>
      <w:pPr>
        <w:spacing w:line="560" w:lineRule="exact"/>
        <w:ind w:firstLine="480" w:firstLineChars="200"/>
        <w:rPr>
          <w:rFonts w:ascii="宋体" w:hAnsi="宋体" w:cs="宋体"/>
          <w:sz w:val="24"/>
        </w:rPr>
      </w:pPr>
      <w:bookmarkStart w:id="533" w:name="_Toc6698"/>
      <w:bookmarkStart w:id="534" w:name="_Toc3135"/>
      <w:bookmarkStart w:id="535" w:name="_Toc487900372"/>
      <w:bookmarkStart w:id="536" w:name="_Toc279701262"/>
      <w:bookmarkStart w:id="537"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3"/>
      <w:bookmarkEnd w:id="534"/>
    </w:p>
    <w:p>
      <w:pPr>
        <w:spacing w:line="560" w:lineRule="exact"/>
        <w:ind w:firstLine="480" w:firstLineChars="200"/>
        <w:rPr>
          <w:rFonts w:ascii="宋体" w:hAnsi="宋体" w:cs="宋体"/>
          <w:sz w:val="24"/>
        </w:rPr>
      </w:pPr>
      <w:bookmarkStart w:id="538" w:name="_Toc23128"/>
      <w:bookmarkStart w:id="539"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pPr>
        <w:spacing w:line="560" w:lineRule="exact"/>
        <w:ind w:firstLine="482" w:firstLineChars="200"/>
        <w:outlineLvl w:val="0"/>
        <w:rPr>
          <w:rFonts w:ascii="宋体" w:hAnsi="宋体" w:cs="宋体"/>
          <w:b/>
          <w:sz w:val="24"/>
        </w:rPr>
      </w:pPr>
      <w:bookmarkStart w:id="540" w:name="_Toc4355"/>
      <w:bookmarkStart w:id="541" w:name="_Toc18540"/>
      <w:bookmarkStart w:id="542" w:name="_Toc30599"/>
      <w:r>
        <w:rPr>
          <w:rFonts w:hint="eastAsia" w:ascii="宋体" w:hAnsi="宋体" w:cs="宋体"/>
          <w:b/>
          <w:sz w:val="24"/>
        </w:rPr>
        <w:t>2.18 计量单位</w:t>
      </w:r>
      <w:bookmarkEnd w:id="535"/>
      <w:bookmarkEnd w:id="536"/>
      <w:bookmarkEnd w:id="537"/>
      <w:bookmarkEnd w:id="540"/>
      <w:bookmarkEnd w:id="541"/>
      <w:bookmarkEnd w:id="542"/>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43" w:name="_Toc18567"/>
      <w:bookmarkStart w:id="544" w:name="_Toc259093692"/>
      <w:bookmarkStart w:id="545" w:name="_Toc10330"/>
      <w:bookmarkStart w:id="546" w:name="_Toc12773"/>
      <w:bookmarkStart w:id="547" w:name="_Toc487900373"/>
      <w:bookmarkStart w:id="548" w:name="_Toc279701263"/>
      <w:r>
        <w:rPr>
          <w:rFonts w:hint="eastAsia" w:ascii="宋体" w:hAnsi="宋体" w:cs="宋体"/>
          <w:b/>
          <w:sz w:val="24"/>
        </w:rPr>
        <w:t>2.19 合同使用的文字和适用的法律</w:t>
      </w:r>
      <w:bookmarkEnd w:id="543"/>
      <w:bookmarkEnd w:id="544"/>
      <w:bookmarkEnd w:id="545"/>
      <w:bookmarkEnd w:id="546"/>
      <w:bookmarkEnd w:id="547"/>
      <w:bookmarkEnd w:id="548"/>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9" w:name="_Toc14001"/>
      <w:bookmarkStart w:id="550" w:name="_Toc19890"/>
      <w:bookmarkStart w:id="551" w:name="_Toc6885"/>
      <w:r>
        <w:rPr>
          <w:rFonts w:hint="eastAsia" w:ascii="宋体" w:hAnsi="宋体" w:cs="宋体"/>
          <w:b/>
          <w:sz w:val="24"/>
        </w:rPr>
        <w:t>2.20 合同份数</w:t>
      </w:r>
      <w:bookmarkEnd w:id="549"/>
      <w:bookmarkEnd w:id="550"/>
      <w:bookmarkEnd w:id="551"/>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45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6"/>
        <w:gridCol w:w="9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r>
              <w:rPr>
                <w:rFonts w:hint="eastAsia" w:ascii="宋体" w:hAnsi="宋体" w:cs="宋体"/>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hint="eastAsia" w:ascii="宋体" w:hAnsi="宋体" w:cs="宋体"/>
                <w:color w:val="000000"/>
                <w:sz w:val="24"/>
              </w:rPr>
            </w:pPr>
            <w:r>
              <w:rPr>
                <w:rFonts w:hint="eastAsia" w:ascii="宋体" w:hAnsi="宋体" w:cs="宋体"/>
                <w:color w:val="000000"/>
                <w:sz w:val="24"/>
              </w:rPr>
              <w:t>1、合同生效以及具备实施条件后 7个工作日内，甲方支付合同总价40%的预付款；</w:t>
            </w:r>
          </w:p>
          <w:p>
            <w:pPr>
              <w:spacing w:line="360" w:lineRule="auto"/>
              <w:rPr>
                <w:rFonts w:ascii="宋体" w:hAnsi="宋体" w:eastAsia="宋体" w:cs="宋体"/>
                <w:kern w:val="2"/>
                <w:sz w:val="24"/>
                <w:szCs w:val="24"/>
                <w:lang w:val="en-US" w:eastAsia="zh-CN" w:bidi="ar-SA"/>
              </w:rPr>
            </w:pPr>
            <w:r>
              <w:rPr>
                <w:rFonts w:hint="eastAsia" w:ascii="宋体" w:hAnsi="宋体" w:cs="宋体"/>
                <w:color w:val="000000"/>
                <w:sz w:val="24"/>
              </w:rPr>
              <w:t>2、设备安装调试完毕，且甲方验收合格后的一个月内支付合同总价60%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hint="eastAsia" w:ascii="宋体" w:hAnsi="宋体" w:cs="宋体"/>
                <w:color w:val="000000"/>
                <w:sz w:val="24"/>
              </w:rPr>
            </w:pPr>
            <w:r>
              <w:rPr>
                <w:rFonts w:hint="eastAsia" w:ascii="宋体" w:hAnsi="宋体" w:cs="宋体"/>
                <w:color w:val="000000"/>
                <w:sz w:val="24"/>
              </w:rPr>
              <w:t>1、合同生效以及具备实施条件后 7个工作日内，甲方支付合同总价40%的预付款；</w:t>
            </w:r>
          </w:p>
          <w:p>
            <w:pPr>
              <w:spacing w:line="360" w:lineRule="auto"/>
              <w:rPr>
                <w:rFonts w:ascii="宋体" w:hAnsi="宋体" w:cs="宋体"/>
                <w:sz w:val="24"/>
              </w:rPr>
            </w:pPr>
            <w:r>
              <w:rPr>
                <w:rFonts w:hint="eastAsia" w:ascii="宋体" w:hAnsi="宋体" w:cs="宋体"/>
                <w:color w:val="000000"/>
                <w:sz w:val="24"/>
              </w:rPr>
              <w:t>2、设备安装调试完毕，且甲方验收合格后的一个月内支付合同总价60%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合同签订后60日历天完成设备采购并安装调试运行完成。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招标人指定地点。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货到现场，包安装、调试、验收等交钥匙项目。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r>
              <w:rPr>
                <w:rFonts w:hint="eastAsia" w:ascii="宋体" w:hAnsi="宋体" w:cs="宋体"/>
                <w:sz w:val="24"/>
              </w:rPr>
              <w:t>如产品质量未达到投标承诺技术要求及品牌、型号的；采购人将退货处理，乙方承担项目总额20%的违约金。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r>
              <w:rPr>
                <w:rFonts w:hint="eastAsia" w:ascii="宋体" w:hAnsi="宋体" w:cs="宋体"/>
                <w:sz w:val="24"/>
                <w:lang w:bidi="ar"/>
              </w:rPr>
              <w:t>1.</w:t>
            </w:r>
            <w:r>
              <w:rPr>
                <w:rFonts w:hint="eastAsia" w:ascii="宋体" w:hAnsi="宋体" w:cs="宋体"/>
                <w:sz w:val="24"/>
                <w:lang w:val="en-US" w:eastAsia="zh-CN" w:bidi="ar"/>
              </w:rPr>
              <w:t>9</w:t>
            </w:r>
            <w:r>
              <w:rPr>
                <w:rFonts w:hint="eastAsia" w:ascii="宋体" w:hAnsi="宋体" w:cs="宋体"/>
                <w:sz w:val="24"/>
                <w:lang w:bidi="ar"/>
              </w:rPr>
              <w:t>.2(诉讼)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lang w:val="en-US" w:eastAsia="zh-CN"/>
              </w:rPr>
              <w:t>1.9.1</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lang w:val="en-US" w:eastAsia="zh-CN"/>
              </w:rPr>
              <w:t>1.9.2</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lang w:bidi="ar"/>
              </w:rPr>
              <w:t>归乙方所有，但针对本项目，甲方有无限使用权。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bidi="ar"/>
              </w:rPr>
              <w:t>按行业及通用条款要求。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r>
              <w:rPr>
                <w:rFonts w:hint="eastAsia" w:ascii="宋体" w:hAnsi="宋体" w:cs="宋体"/>
                <w:sz w:val="24"/>
                <w:lang w:bidi="ar"/>
              </w:rPr>
              <w:t>装运货物的要求和通知，乙方应提前7天通知甲方并协调设备的卸货及安装事宜。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vAlign w:val="top"/>
          </w:tcPr>
          <w:p>
            <w:pPr>
              <w:spacing w:line="360" w:lineRule="auto"/>
              <w:rPr>
                <w:rFonts w:ascii="宋体" w:hAnsi="宋体" w:eastAsia="宋体" w:cs="宋体"/>
                <w:kern w:val="2"/>
                <w:sz w:val="24"/>
                <w:szCs w:val="24"/>
                <w:lang w:val="en-US" w:eastAsia="zh-CN" w:bidi="ar-SA"/>
              </w:rPr>
            </w:pPr>
            <w:r>
              <w:rPr>
                <w:rFonts w:hint="eastAsia" w:ascii="宋体" w:hAnsi="宋体" w:cs="宋体"/>
                <w:sz w:val="24"/>
                <w:lang w:bidi="ar"/>
              </w:rPr>
              <w:t>货物或者在途货物或者交付给第一承运人后的货物毁损、灭失的风险负担均由乙方负责，并承担延期交货的违约责任。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不可抗力时间发生后7天内以书面形式变更合同。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提交申请后30天内。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cs="仿宋" w:asciiTheme="minorEastAsia" w:hAnsiTheme="minorEastAsia"/>
                <w:color w:val="auto"/>
                <w:sz w:val="24"/>
              </w:rPr>
              <w:t>本合同一式六份，双方各执三份。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4"/>
      </w:pPr>
    </w:p>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1"/>
      <w:r>
        <w:rPr>
          <w:rFonts w:hint="eastAsia" w:ascii="宋体" w:hAnsi="宋体" w:cs="宋体"/>
          <w:b/>
          <w:sz w:val="36"/>
          <w:szCs w:val="20"/>
        </w:rPr>
        <w:t xml:space="preserve"> </w:t>
      </w:r>
      <w:bookmarkEnd w:id="402"/>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color w:val="auto"/>
          <w:sz w:val="24"/>
        </w:rPr>
        <w:t>2、具有良好的商业信誉和健全的财务会计制度</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firstLine="559" w:firstLineChars="233"/>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kern w:val="0"/>
          <w:sz w:val="32"/>
          <w:szCs w:val="32"/>
          <w:highlight w:val="none"/>
        </w:rPr>
        <w:t>二、联</w:t>
      </w:r>
      <w:r>
        <w:rPr>
          <w:rFonts w:hint="eastAsia" w:ascii="宋体" w:hAnsi="宋体" w:cs="宋体"/>
          <w:b/>
          <w:color w:val="auto"/>
          <w:kern w:val="0"/>
          <w:sz w:val="32"/>
          <w:szCs w:val="32"/>
          <w:highlight w:val="none"/>
        </w:rPr>
        <w:t>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4"/>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hint="eastAsia" w:ascii="宋体" w:hAnsi="宋体" w:cs="宋体"/>
          <w:kern w:val="0"/>
          <w:sz w:val="24"/>
          <w:highlight w:val="none"/>
          <w:lang w:val="zh-CN"/>
        </w:rPr>
      </w:pPr>
      <w:r>
        <w:rPr>
          <w:rFonts w:hint="eastAsia" w:ascii="宋体" w:hAnsi="宋体" w:cs="宋体"/>
          <w:kern w:val="0"/>
          <w:sz w:val="24"/>
          <w:lang w:val="zh-CN"/>
        </w:rPr>
        <w:t xml:space="preserve">    </w:t>
      </w:r>
      <w:r>
        <w:rPr>
          <w:rFonts w:hint="eastAsia" w:ascii="宋体" w:hAnsi="宋体" w:cs="宋体"/>
          <w:kern w:val="0"/>
          <w:sz w:val="24"/>
          <w:highlight w:val="none"/>
          <w:lang w:val="zh-CN"/>
        </w:rPr>
        <w:t xml:space="preserve">                                           日期：  年  月   日</w:t>
      </w:r>
    </w:p>
    <w:p>
      <w:pPr>
        <w:pStyle w:val="4"/>
        <w:rPr>
          <w:rFonts w:hint="eastAsia" w:asciiTheme="minorEastAsia" w:hAnsiTheme="minorEastAsia" w:eastAsiaTheme="minorEastAsia" w:cstheme="minorEastAsia"/>
          <w:b w:val="0"/>
          <w:bCs w:val="0"/>
          <w:highlight w:val="none"/>
          <w:lang w:val="zh-CN"/>
        </w:rPr>
      </w:pPr>
      <w:r>
        <w:rPr>
          <w:rFonts w:hint="eastAsia" w:asciiTheme="minorEastAsia" w:hAnsiTheme="minorEastAsia" w:eastAsiaTheme="minorEastAsia" w:cstheme="minorEastAsia"/>
          <w:b w:val="0"/>
          <w:bCs w:val="0"/>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kern w:val="0"/>
          <w:sz w:val="32"/>
          <w:szCs w:val="32"/>
        </w:rPr>
        <w:t>三、分</w:t>
      </w:r>
      <w:r>
        <w:rPr>
          <w:rFonts w:hint="eastAsia" w:ascii="宋体" w:hAnsi="宋体" w:cs="宋体"/>
          <w:b/>
          <w:color w:val="auto"/>
          <w:kern w:val="0"/>
          <w:sz w:val="32"/>
          <w:szCs w:val="32"/>
        </w:rPr>
        <w:t>包意向协议（如果有）</w:t>
      </w:r>
    </w:p>
    <w:p>
      <w:pPr>
        <w:widowControl/>
        <w:spacing w:line="360" w:lineRule="auto"/>
        <w:ind w:firstLine="120" w:firstLineChars="50"/>
        <w:jc w:val="left"/>
        <w:rPr>
          <w:rFonts w:ascii="宋体" w:hAnsi="宋体" w:cs="宋体"/>
          <w:color w:val="auto"/>
          <w:sz w:val="24"/>
        </w:rPr>
      </w:pPr>
      <w:bookmarkStart w:id="552"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52"/>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4"/>
        <w:rPr>
          <w:color w:val="auto"/>
          <w:lang w:val="en-US"/>
        </w:rPr>
      </w:pPr>
    </w:p>
    <w:p>
      <w:pPr>
        <w:rPr>
          <w:color w:val="auto"/>
        </w:rPr>
      </w:pPr>
    </w:p>
    <w:p>
      <w:pPr>
        <w:pStyle w:val="4"/>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b/>
                <w:bCs/>
                <w:sz w:val="24"/>
              </w:rPr>
            </w:pPr>
            <w:r>
              <w:rPr>
                <w:rFonts w:hint="eastAsia" w:ascii="宋体" w:hAnsi="宋体" w:cs="宋体"/>
                <w:b/>
                <w:bCs/>
                <w:sz w:val="24"/>
              </w:rPr>
              <w:t>序号</w:t>
            </w:r>
          </w:p>
        </w:tc>
        <w:tc>
          <w:tcPr>
            <w:tcW w:w="1945" w:type="pct"/>
          </w:tcPr>
          <w:p>
            <w:pPr>
              <w:jc w:val="center"/>
              <w:rPr>
                <w:rFonts w:ascii="宋体" w:hAnsi="宋体" w:cs="宋体"/>
                <w:b/>
                <w:bCs/>
                <w:sz w:val="24"/>
              </w:rPr>
            </w:pPr>
            <w:r>
              <w:rPr>
                <w:rFonts w:hint="eastAsia" w:ascii="宋体" w:hAnsi="宋体" w:cs="宋体"/>
                <w:b/>
                <w:bCs/>
                <w:sz w:val="24"/>
              </w:rPr>
              <w:t>招标文件章节及具体内容</w:t>
            </w:r>
          </w:p>
        </w:tc>
        <w:tc>
          <w:tcPr>
            <w:tcW w:w="1873" w:type="pct"/>
          </w:tcPr>
          <w:p>
            <w:pPr>
              <w:jc w:val="center"/>
              <w:rPr>
                <w:rFonts w:ascii="宋体" w:hAnsi="宋体" w:cs="宋体"/>
                <w:b/>
                <w:bCs/>
                <w:sz w:val="24"/>
              </w:rPr>
            </w:pPr>
            <w:r>
              <w:rPr>
                <w:rFonts w:hint="eastAsia" w:ascii="宋体" w:hAnsi="宋体" w:cs="宋体"/>
                <w:b/>
                <w:bCs/>
                <w:sz w:val="24"/>
              </w:rPr>
              <w:t>投标文件章节及具体内容</w:t>
            </w:r>
          </w:p>
        </w:tc>
        <w:tc>
          <w:tcPr>
            <w:tcW w:w="674" w:type="pct"/>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kern w:val="0"/>
                <w:sz w:val="24"/>
              </w:rPr>
            </w:pPr>
            <w:r>
              <w:rPr>
                <w:rFonts w:hint="eastAsia" w:ascii="宋体" w:hAnsi="宋体" w:cs="宋体"/>
                <w:kern w:val="0"/>
                <w:sz w:val="24"/>
              </w:rPr>
              <w:t>1</w:t>
            </w:r>
          </w:p>
        </w:tc>
        <w:tc>
          <w:tcPr>
            <w:tcW w:w="1945" w:type="pct"/>
          </w:tcPr>
          <w:p>
            <w:pPr>
              <w:jc w:val="center"/>
              <w:rPr>
                <w:rFonts w:ascii="宋体" w:hAnsi="宋体" w:cs="宋体"/>
                <w:b/>
                <w:kern w:val="0"/>
                <w:sz w:val="32"/>
                <w:szCs w:val="32"/>
              </w:rPr>
            </w:pPr>
          </w:p>
        </w:tc>
        <w:tc>
          <w:tcPr>
            <w:tcW w:w="1873" w:type="pct"/>
          </w:tcPr>
          <w:p>
            <w:pPr>
              <w:jc w:val="center"/>
              <w:rPr>
                <w:rFonts w:ascii="宋体" w:hAnsi="宋体" w:cs="宋体"/>
                <w:b/>
                <w:kern w:val="0"/>
                <w:sz w:val="32"/>
                <w:szCs w:val="32"/>
              </w:rPr>
            </w:pPr>
          </w:p>
        </w:tc>
        <w:tc>
          <w:tcPr>
            <w:tcW w:w="674" w:type="pct"/>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kern w:val="0"/>
                <w:sz w:val="24"/>
              </w:rPr>
            </w:pPr>
            <w:r>
              <w:rPr>
                <w:rFonts w:hint="eastAsia" w:ascii="宋体" w:hAnsi="宋体" w:cs="宋体"/>
                <w:kern w:val="0"/>
                <w:sz w:val="24"/>
              </w:rPr>
              <w:t>2</w:t>
            </w:r>
          </w:p>
        </w:tc>
        <w:tc>
          <w:tcPr>
            <w:tcW w:w="1945" w:type="pct"/>
          </w:tcPr>
          <w:p>
            <w:pPr>
              <w:jc w:val="center"/>
              <w:rPr>
                <w:rFonts w:ascii="宋体" w:hAnsi="宋体" w:cs="宋体"/>
                <w:b/>
                <w:kern w:val="0"/>
                <w:sz w:val="32"/>
                <w:szCs w:val="32"/>
              </w:rPr>
            </w:pPr>
          </w:p>
        </w:tc>
        <w:tc>
          <w:tcPr>
            <w:tcW w:w="1873" w:type="pct"/>
          </w:tcPr>
          <w:p>
            <w:pPr>
              <w:jc w:val="center"/>
              <w:rPr>
                <w:rFonts w:ascii="宋体" w:hAnsi="宋体" w:cs="宋体"/>
                <w:b/>
                <w:kern w:val="0"/>
                <w:sz w:val="32"/>
                <w:szCs w:val="32"/>
              </w:rPr>
            </w:pPr>
          </w:p>
        </w:tc>
        <w:tc>
          <w:tcPr>
            <w:tcW w:w="674" w:type="pct"/>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kern w:val="0"/>
                <w:sz w:val="24"/>
              </w:rPr>
            </w:pPr>
            <w:r>
              <w:rPr>
                <w:rFonts w:hint="eastAsia" w:ascii="宋体" w:hAnsi="宋体" w:cs="宋体"/>
                <w:kern w:val="0"/>
                <w:sz w:val="24"/>
              </w:rPr>
              <w:t>……</w:t>
            </w:r>
          </w:p>
        </w:tc>
        <w:tc>
          <w:tcPr>
            <w:tcW w:w="1945" w:type="pct"/>
          </w:tcPr>
          <w:p>
            <w:pPr>
              <w:jc w:val="center"/>
              <w:rPr>
                <w:rFonts w:ascii="宋体" w:hAnsi="宋体" w:cs="宋体"/>
                <w:b/>
                <w:kern w:val="0"/>
                <w:sz w:val="32"/>
                <w:szCs w:val="32"/>
              </w:rPr>
            </w:pPr>
          </w:p>
        </w:tc>
        <w:tc>
          <w:tcPr>
            <w:tcW w:w="1873" w:type="pct"/>
          </w:tcPr>
          <w:p>
            <w:pPr>
              <w:jc w:val="center"/>
              <w:rPr>
                <w:rFonts w:ascii="宋体" w:hAnsi="宋体" w:cs="宋体"/>
                <w:b/>
                <w:kern w:val="0"/>
                <w:sz w:val="32"/>
                <w:szCs w:val="32"/>
              </w:rPr>
            </w:pPr>
          </w:p>
        </w:tc>
        <w:tc>
          <w:tcPr>
            <w:tcW w:w="674" w:type="pct"/>
          </w:tcPr>
          <w:p>
            <w:pPr>
              <w:jc w:val="center"/>
              <w:rPr>
                <w:rFonts w:ascii="宋体" w:hAnsi="宋体" w:cs="宋体"/>
                <w:b/>
                <w:kern w:val="0"/>
                <w:sz w:val="32"/>
                <w:szCs w:val="32"/>
              </w:rPr>
            </w:pPr>
          </w:p>
        </w:tc>
      </w:tr>
    </w:tbl>
    <w:p>
      <w:pPr>
        <w:jc w:val="left"/>
        <w:rPr>
          <w:rFonts w:hint="eastAsia" w:ascii="宋体" w:hAnsi="宋体" w:eastAsia="宋体" w:cs="宋体"/>
          <w:kern w:val="0"/>
          <w:sz w:val="24"/>
          <w:lang w:eastAsia="zh-CN"/>
        </w:rPr>
      </w:pPr>
      <w:r>
        <w:rPr>
          <w:rFonts w:hint="eastAsia" w:ascii="宋体" w:hAnsi="宋体" w:cs="宋体"/>
          <w:kern w:val="0"/>
          <w:sz w:val="24"/>
        </w:rPr>
        <w:t>投标人保证：除商务技术偏离表列出的偏离外，投标人响应招标文件的全部要求</w:t>
      </w:r>
      <w:r>
        <w:rPr>
          <w:rFonts w:hint="eastAsia" w:ascii="宋体" w:hAnsi="宋体" w:cs="宋体"/>
          <w:kern w:val="0"/>
          <w:sz w:val="24"/>
          <w:lang w:eastAsia="zh-CN"/>
        </w:rPr>
        <w:t>（实质性条款需逐条进行响应）。</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w:t>
      </w:r>
      <w:r>
        <w:rPr>
          <w:rFonts w:hint="eastAsia" w:ascii="宋体" w:hAnsi="宋体" w:cs="宋体"/>
          <w:kern w:val="0"/>
          <w:sz w:val="24"/>
          <w:lang w:val="zh-CN"/>
        </w:rPr>
        <w:t>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color w:val="auto"/>
          <w:kern w:val="0"/>
          <w:sz w:val="24"/>
          <w:lang w:val="zh-CN"/>
        </w:rPr>
        <w:t>开标一览表（报价表）(单位均为</w:t>
      </w:r>
      <w:r>
        <w:rPr>
          <w:rFonts w:hint="eastAsia" w:ascii="宋体" w:hAnsi="宋体" w:cs="宋体"/>
          <w:b/>
          <w:kern w:val="0"/>
          <w:sz w:val="24"/>
          <w:lang w:val="zh-CN"/>
        </w:rPr>
        <w:t>人民币元)</w:t>
      </w:r>
    </w:p>
    <w:tbl>
      <w:tblPr>
        <w:tblStyle w:val="6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59"/>
        <w:gridCol w:w="2807"/>
        <w:gridCol w:w="1953"/>
        <w:gridCol w:w="1707"/>
        <w:gridCol w:w="1934"/>
        <w:gridCol w:w="1783"/>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39" w:type="pct"/>
            <w:vAlign w:val="center"/>
          </w:tcPr>
          <w:p>
            <w:pPr>
              <w:spacing w:line="360" w:lineRule="auto"/>
              <w:jc w:val="center"/>
              <w:rPr>
                <w:rFonts w:ascii="宋体" w:hAnsi="宋体" w:cs="宋体"/>
                <w:b/>
                <w:sz w:val="24"/>
              </w:rPr>
            </w:pPr>
            <w:r>
              <w:rPr>
                <w:rFonts w:hint="eastAsia" w:ascii="宋体" w:hAnsi="宋体" w:cs="宋体"/>
                <w:b/>
                <w:sz w:val="24"/>
              </w:rPr>
              <w:t>序号</w:t>
            </w:r>
          </w:p>
        </w:tc>
        <w:tc>
          <w:tcPr>
            <w:tcW w:w="675" w:type="pct"/>
            <w:vAlign w:val="center"/>
          </w:tcPr>
          <w:p>
            <w:pPr>
              <w:spacing w:line="360" w:lineRule="auto"/>
              <w:jc w:val="center"/>
              <w:rPr>
                <w:rFonts w:ascii="宋体" w:hAnsi="宋体" w:cs="宋体"/>
                <w:b/>
                <w:sz w:val="24"/>
              </w:rPr>
            </w:pPr>
            <w:r>
              <w:rPr>
                <w:rFonts w:hint="eastAsia" w:ascii="宋体" w:hAnsi="宋体" w:cs="宋体"/>
                <w:b/>
                <w:sz w:val="24"/>
              </w:rPr>
              <w:t>名称</w:t>
            </w:r>
          </w:p>
        </w:tc>
        <w:tc>
          <w:tcPr>
            <w:tcW w:w="967" w:type="pct"/>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w:t>
            </w:r>
          </w:p>
        </w:tc>
        <w:tc>
          <w:tcPr>
            <w:tcW w:w="671" w:type="pct"/>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588" w:type="pct"/>
            <w:vAlign w:val="center"/>
          </w:tcPr>
          <w:p>
            <w:pPr>
              <w:spacing w:line="360" w:lineRule="auto"/>
              <w:jc w:val="center"/>
              <w:rPr>
                <w:rFonts w:ascii="宋体" w:hAnsi="宋体" w:cs="宋体"/>
                <w:b/>
                <w:sz w:val="24"/>
              </w:rPr>
            </w:pPr>
            <w:r>
              <w:rPr>
                <w:rFonts w:hint="eastAsia" w:ascii="宋体" w:hAnsi="宋体" w:cs="宋体"/>
                <w:b/>
                <w:sz w:val="24"/>
              </w:rPr>
              <w:t>数量</w:t>
            </w:r>
          </w:p>
        </w:tc>
        <w:tc>
          <w:tcPr>
            <w:tcW w:w="666" w:type="pct"/>
            <w:vAlign w:val="center"/>
          </w:tcPr>
          <w:p>
            <w:pPr>
              <w:spacing w:line="360" w:lineRule="auto"/>
              <w:jc w:val="center"/>
              <w:rPr>
                <w:rFonts w:hint="eastAsia" w:ascii="宋体" w:hAnsi="宋体" w:cs="宋体"/>
                <w:b/>
                <w:sz w:val="24"/>
                <w:lang w:eastAsia="zh-CN"/>
              </w:rPr>
            </w:pPr>
            <w:r>
              <w:rPr>
                <w:rFonts w:hint="eastAsia" w:ascii="宋体" w:hAnsi="宋体" w:cs="宋体"/>
                <w:b/>
                <w:sz w:val="24"/>
                <w:lang w:eastAsia="zh-CN"/>
              </w:rPr>
              <w:t>单价</w:t>
            </w:r>
          </w:p>
        </w:tc>
        <w:tc>
          <w:tcPr>
            <w:tcW w:w="614" w:type="pct"/>
            <w:vAlign w:val="center"/>
          </w:tcPr>
          <w:p>
            <w:pPr>
              <w:spacing w:line="360" w:lineRule="auto"/>
              <w:jc w:val="center"/>
              <w:rPr>
                <w:rFonts w:hint="eastAsia" w:ascii="宋体" w:hAnsi="宋体" w:eastAsia="宋体" w:cs="宋体"/>
                <w:b/>
                <w:sz w:val="24"/>
                <w:lang w:eastAsia="zh-CN"/>
              </w:rPr>
            </w:pPr>
            <w:r>
              <w:rPr>
                <w:rFonts w:hint="eastAsia" w:ascii="宋体" w:hAnsi="宋体" w:cs="宋体"/>
                <w:b/>
                <w:sz w:val="24"/>
                <w:lang w:eastAsia="zh-CN"/>
              </w:rPr>
              <w:t>合计</w:t>
            </w:r>
          </w:p>
        </w:tc>
        <w:tc>
          <w:tcPr>
            <w:tcW w:w="577" w:type="pct"/>
            <w:vAlign w:val="center"/>
          </w:tcPr>
          <w:p>
            <w:pPr>
              <w:spacing w:line="360" w:lineRule="auto"/>
              <w:jc w:val="center"/>
              <w:rPr>
                <w:rFonts w:ascii="宋体" w:hAnsi="宋体" w:cs="宋体"/>
                <w:b/>
                <w:sz w:val="24"/>
              </w:rPr>
            </w:pPr>
            <w:r>
              <w:rPr>
                <w:rFonts w:hint="eastAsia" w:ascii="宋体" w:hAnsi="宋体" w:cs="宋体"/>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9" w:type="pct"/>
            <w:vAlign w:val="center"/>
          </w:tcPr>
          <w:p>
            <w:pPr>
              <w:tabs>
                <w:tab w:val="left" w:pos="0"/>
              </w:tabs>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675"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967" w:type="pct"/>
            <w:vAlign w:val="center"/>
          </w:tcPr>
          <w:p>
            <w:pPr>
              <w:snapToGrid w:val="0"/>
              <w:spacing w:line="360" w:lineRule="auto"/>
              <w:jc w:val="center"/>
              <w:rPr>
                <w:rFonts w:ascii="宋体" w:hAnsi="宋体" w:cs="宋体"/>
                <w:color w:val="0000FF"/>
                <w:sz w:val="24"/>
              </w:rPr>
            </w:pPr>
          </w:p>
        </w:tc>
        <w:tc>
          <w:tcPr>
            <w:tcW w:w="671" w:type="pct"/>
            <w:vAlign w:val="center"/>
          </w:tcPr>
          <w:p>
            <w:pPr>
              <w:snapToGrid w:val="0"/>
              <w:spacing w:line="360" w:lineRule="auto"/>
              <w:jc w:val="center"/>
              <w:rPr>
                <w:rFonts w:ascii="宋体" w:hAnsi="宋体" w:cs="宋体"/>
                <w:color w:val="0000FF"/>
                <w:sz w:val="24"/>
              </w:rPr>
            </w:pPr>
          </w:p>
        </w:tc>
        <w:tc>
          <w:tcPr>
            <w:tcW w:w="588" w:type="pct"/>
            <w:vAlign w:val="center"/>
          </w:tcPr>
          <w:p>
            <w:pPr>
              <w:tabs>
                <w:tab w:val="left" w:pos="0"/>
              </w:tabs>
              <w:spacing w:line="360" w:lineRule="auto"/>
              <w:jc w:val="center"/>
              <w:rPr>
                <w:rFonts w:hint="default" w:ascii="宋体" w:hAnsi="宋体" w:eastAsia="宋体" w:cs="宋体"/>
                <w:kern w:val="0"/>
                <w:sz w:val="24"/>
                <w:szCs w:val="24"/>
                <w:lang w:val="en-US" w:eastAsia="zh-CN" w:bidi="ar-SA"/>
              </w:rPr>
            </w:pPr>
          </w:p>
        </w:tc>
        <w:tc>
          <w:tcPr>
            <w:tcW w:w="666"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614" w:type="pct"/>
            <w:vAlign w:val="center"/>
          </w:tcPr>
          <w:p>
            <w:pPr>
              <w:tabs>
                <w:tab w:val="left" w:pos="0"/>
              </w:tabs>
              <w:spacing w:line="360" w:lineRule="auto"/>
              <w:jc w:val="center"/>
              <w:rPr>
                <w:rFonts w:hint="default" w:ascii="宋体" w:hAnsi="宋体" w:eastAsia="宋体" w:cs="宋体"/>
                <w:b/>
                <w:bCs/>
                <w:kern w:val="0"/>
                <w:sz w:val="24"/>
                <w:szCs w:val="24"/>
                <w:highlight w:val="none"/>
                <w:lang w:val="en-US" w:eastAsia="zh-CN" w:bidi="ar-SA"/>
              </w:rPr>
            </w:pPr>
          </w:p>
        </w:tc>
        <w:tc>
          <w:tcPr>
            <w:tcW w:w="577" w:type="pct"/>
            <w:vAlign w:val="center"/>
          </w:tcPr>
          <w:p>
            <w:pPr>
              <w:spacing w:line="360" w:lineRule="auto"/>
              <w:jc w:val="both"/>
              <w:rPr>
                <w:rFonts w:hint="default" w:ascii="宋体" w:hAnsi="宋体" w:eastAsia="宋体" w:cs="宋体"/>
                <w:color w:val="0000FF"/>
                <w:sz w:val="24"/>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pPr>
              <w:tabs>
                <w:tab w:val="left" w:pos="0"/>
              </w:tabs>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675"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967" w:type="pct"/>
            <w:vAlign w:val="center"/>
          </w:tcPr>
          <w:p>
            <w:pPr>
              <w:snapToGrid w:val="0"/>
              <w:spacing w:line="360" w:lineRule="auto"/>
              <w:jc w:val="center"/>
              <w:rPr>
                <w:rFonts w:ascii="宋体" w:hAnsi="宋体" w:cs="宋体"/>
                <w:color w:val="0000FF"/>
                <w:sz w:val="24"/>
              </w:rPr>
            </w:pPr>
          </w:p>
        </w:tc>
        <w:tc>
          <w:tcPr>
            <w:tcW w:w="671" w:type="pct"/>
            <w:vAlign w:val="center"/>
          </w:tcPr>
          <w:p>
            <w:pPr>
              <w:snapToGrid w:val="0"/>
              <w:spacing w:line="360" w:lineRule="auto"/>
              <w:jc w:val="center"/>
              <w:rPr>
                <w:rFonts w:ascii="宋体" w:hAnsi="宋体" w:cs="宋体"/>
                <w:color w:val="0000FF"/>
                <w:sz w:val="24"/>
              </w:rPr>
            </w:pPr>
          </w:p>
        </w:tc>
        <w:tc>
          <w:tcPr>
            <w:tcW w:w="588" w:type="pct"/>
            <w:vAlign w:val="center"/>
          </w:tcPr>
          <w:p>
            <w:pPr>
              <w:tabs>
                <w:tab w:val="left" w:pos="0"/>
              </w:tabs>
              <w:spacing w:line="360" w:lineRule="auto"/>
              <w:jc w:val="center"/>
              <w:rPr>
                <w:rFonts w:hint="eastAsia" w:ascii="宋体" w:hAnsi="宋体" w:eastAsia="宋体" w:cs="宋体"/>
                <w:kern w:val="0"/>
                <w:sz w:val="24"/>
                <w:szCs w:val="24"/>
                <w:lang w:val="en-US" w:eastAsia="zh-CN" w:bidi="ar-SA"/>
              </w:rPr>
            </w:pPr>
          </w:p>
        </w:tc>
        <w:tc>
          <w:tcPr>
            <w:tcW w:w="666"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614" w:type="pct"/>
            <w:vAlign w:val="center"/>
          </w:tcPr>
          <w:p>
            <w:pPr>
              <w:tabs>
                <w:tab w:val="left" w:pos="0"/>
              </w:tabs>
              <w:spacing w:line="360" w:lineRule="auto"/>
              <w:jc w:val="center"/>
              <w:rPr>
                <w:rFonts w:hint="default" w:ascii="宋体" w:hAnsi="宋体" w:eastAsia="宋体" w:cs="宋体"/>
                <w:b/>
                <w:bCs/>
                <w:kern w:val="0"/>
                <w:sz w:val="24"/>
                <w:szCs w:val="24"/>
                <w:highlight w:val="none"/>
                <w:lang w:val="en-US" w:eastAsia="zh-CN" w:bidi="ar-SA"/>
              </w:rPr>
            </w:pPr>
          </w:p>
        </w:tc>
        <w:tc>
          <w:tcPr>
            <w:tcW w:w="577" w:type="pct"/>
            <w:vAlign w:val="center"/>
          </w:tcPr>
          <w:p>
            <w:pPr>
              <w:spacing w:line="360" w:lineRule="auto"/>
              <w:jc w:val="center"/>
              <w:rPr>
                <w:rFonts w:hint="default" w:ascii="宋体" w:hAnsi="宋体" w:eastAsia="宋体" w:cs="宋体"/>
                <w:color w:val="0000FF"/>
                <w:sz w:val="24"/>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pPr>
              <w:tabs>
                <w:tab w:val="left" w:pos="0"/>
              </w:tabs>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w:t>
            </w:r>
          </w:p>
        </w:tc>
        <w:tc>
          <w:tcPr>
            <w:tcW w:w="675"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967" w:type="pct"/>
            <w:vAlign w:val="center"/>
          </w:tcPr>
          <w:p>
            <w:pPr>
              <w:snapToGrid w:val="0"/>
              <w:spacing w:line="360" w:lineRule="auto"/>
              <w:jc w:val="center"/>
              <w:rPr>
                <w:rFonts w:ascii="宋体" w:hAnsi="宋体" w:cs="宋体"/>
                <w:sz w:val="24"/>
              </w:rPr>
            </w:pPr>
          </w:p>
        </w:tc>
        <w:tc>
          <w:tcPr>
            <w:tcW w:w="671" w:type="pct"/>
            <w:vAlign w:val="center"/>
          </w:tcPr>
          <w:p>
            <w:pPr>
              <w:snapToGrid w:val="0"/>
              <w:spacing w:line="360" w:lineRule="auto"/>
              <w:jc w:val="center"/>
              <w:rPr>
                <w:rFonts w:ascii="宋体" w:hAnsi="宋体" w:cs="宋体"/>
                <w:sz w:val="24"/>
              </w:rPr>
            </w:pPr>
          </w:p>
        </w:tc>
        <w:tc>
          <w:tcPr>
            <w:tcW w:w="588" w:type="pct"/>
            <w:vAlign w:val="center"/>
          </w:tcPr>
          <w:p>
            <w:pPr>
              <w:tabs>
                <w:tab w:val="left" w:pos="0"/>
              </w:tabs>
              <w:spacing w:line="360" w:lineRule="auto"/>
              <w:jc w:val="center"/>
              <w:rPr>
                <w:rFonts w:hint="eastAsia" w:ascii="宋体" w:hAnsi="宋体" w:eastAsia="宋体" w:cs="宋体"/>
                <w:kern w:val="0"/>
                <w:sz w:val="24"/>
                <w:szCs w:val="24"/>
                <w:lang w:val="en-US" w:eastAsia="zh-CN" w:bidi="ar-SA"/>
              </w:rPr>
            </w:pPr>
          </w:p>
        </w:tc>
        <w:tc>
          <w:tcPr>
            <w:tcW w:w="666" w:type="pct"/>
            <w:vAlign w:val="center"/>
          </w:tcPr>
          <w:p>
            <w:pPr>
              <w:tabs>
                <w:tab w:val="left" w:pos="0"/>
              </w:tabs>
              <w:spacing w:line="360" w:lineRule="auto"/>
              <w:jc w:val="center"/>
              <w:rPr>
                <w:rFonts w:hint="eastAsia" w:ascii="宋体" w:hAnsi="宋体" w:eastAsia="宋体" w:cs="宋体"/>
                <w:kern w:val="0"/>
                <w:sz w:val="24"/>
                <w:lang w:val="en-US" w:eastAsia="zh-CN"/>
              </w:rPr>
            </w:pPr>
          </w:p>
        </w:tc>
        <w:tc>
          <w:tcPr>
            <w:tcW w:w="614" w:type="pct"/>
            <w:vAlign w:val="center"/>
          </w:tcPr>
          <w:p>
            <w:pPr>
              <w:tabs>
                <w:tab w:val="left" w:pos="0"/>
              </w:tabs>
              <w:spacing w:line="360" w:lineRule="auto"/>
              <w:jc w:val="center"/>
              <w:rPr>
                <w:rFonts w:hint="default" w:ascii="宋体" w:hAnsi="宋体" w:eastAsia="宋体" w:cs="宋体"/>
                <w:b/>
                <w:bCs/>
                <w:kern w:val="0"/>
                <w:sz w:val="24"/>
                <w:szCs w:val="24"/>
                <w:highlight w:val="none"/>
                <w:lang w:val="en-US" w:eastAsia="zh-CN" w:bidi="ar-SA"/>
              </w:rPr>
            </w:pPr>
          </w:p>
        </w:tc>
        <w:tc>
          <w:tcPr>
            <w:tcW w:w="577" w:type="pct"/>
            <w:vAlign w:val="center"/>
          </w:tcPr>
          <w:p>
            <w:pPr>
              <w:spacing w:line="360" w:lineRule="auto"/>
              <w:jc w:val="center"/>
              <w:rPr>
                <w:rFonts w:hint="default" w:ascii="宋体" w:hAnsi="宋体" w:eastAsia="宋体" w:cs="宋体"/>
                <w:sz w:val="24"/>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eastAsia="zh-CN"/>
              </w:rPr>
              <w:t>……</w:t>
            </w:r>
          </w:p>
        </w:tc>
        <w:tc>
          <w:tcPr>
            <w:tcW w:w="675" w:type="pct"/>
            <w:vAlign w:val="center"/>
          </w:tcPr>
          <w:p>
            <w:pPr>
              <w:snapToGrid w:val="0"/>
              <w:spacing w:line="360" w:lineRule="auto"/>
              <w:jc w:val="center"/>
              <w:rPr>
                <w:rFonts w:ascii="宋体" w:hAnsi="宋体" w:cs="宋体"/>
                <w:sz w:val="24"/>
              </w:rPr>
            </w:pPr>
          </w:p>
        </w:tc>
        <w:tc>
          <w:tcPr>
            <w:tcW w:w="967" w:type="pct"/>
            <w:vAlign w:val="center"/>
          </w:tcPr>
          <w:p>
            <w:pPr>
              <w:snapToGrid w:val="0"/>
              <w:spacing w:line="360" w:lineRule="auto"/>
              <w:jc w:val="center"/>
              <w:rPr>
                <w:rFonts w:ascii="宋体" w:hAnsi="宋体" w:cs="宋体"/>
                <w:sz w:val="24"/>
              </w:rPr>
            </w:pPr>
          </w:p>
        </w:tc>
        <w:tc>
          <w:tcPr>
            <w:tcW w:w="671" w:type="pct"/>
            <w:vAlign w:val="center"/>
          </w:tcPr>
          <w:p>
            <w:pPr>
              <w:snapToGrid w:val="0"/>
              <w:spacing w:line="360" w:lineRule="auto"/>
              <w:jc w:val="center"/>
              <w:rPr>
                <w:rFonts w:ascii="宋体" w:hAnsi="宋体" w:cs="宋体"/>
                <w:sz w:val="24"/>
              </w:rPr>
            </w:pPr>
          </w:p>
        </w:tc>
        <w:tc>
          <w:tcPr>
            <w:tcW w:w="588" w:type="pct"/>
            <w:vAlign w:val="center"/>
          </w:tcPr>
          <w:p>
            <w:pPr>
              <w:snapToGrid w:val="0"/>
              <w:spacing w:line="360" w:lineRule="auto"/>
              <w:jc w:val="center"/>
              <w:rPr>
                <w:rFonts w:ascii="宋体" w:hAnsi="宋体" w:cs="宋体"/>
                <w:sz w:val="24"/>
              </w:rPr>
            </w:pPr>
          </w:p>
        </w:tc>
        <w:tc>
          <w:tcPr>
            <w:tcW w:w="666" w:type="pct"/>
            <w:vAlign w:val="center"/>
          </w:tcPr>
          <w:p>
            <w:pPr>
              <w:spacing w:line="360" w:lineRule="auto"/>
              <w:jc w:val="center"/>
              <w:rPr>
                <w:rFonts w:ascii="宋体" w:hAnsi="宋体" w:cs="宋体"/>
                <w:sz w:val="24"/>
              </w:rPr>
            </w:pPr>
          </w:p>
        </w:tc>
        <w:tc>
          <w:tcPr>
            <w:tcW w:w="614" w:type="pct"/>
            <w:vAlign w:val="center"/>
          </w:tcPr>
          <w:p>
            <w:pPr>
              <w:spacing w:line="360" w:lineRule="auto"/>
              <w:jc w:val="center"/>
              <w:rPr>
                <w:rFonts w:ascii="宋体" w:hAnsi="宋体" w:cs="宋体"/>
                <w:sz w:val="24"/>
              </w:rPr>
            </w:pPr>
          </w:p>
        </w:tc>
        <w:tc>
          <w:tcPr>
            <w:tcW w:w="577" w:type="pct"/>
            <w:vAlign w:val="center"/>
          </w:tcPr>
          <w:p>
            <w:pPr>
              <w:spacing w:line="360" w:lineRule="auto"/>
              <w:jc w:val="center"/>
              <w:rPr>
                <w:rFonts w:hint="default" w:ascii="宋体" w:hAnsi="宋体" w:eastAsia="宋体" w:cs="宋体"/>
                <w:sz w:val="24"/>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pPr>
              <w:spacing w:line="360" w:lineRule="auto"/>
              <w:jc w:val="center"/>
              <w:rPr>
                <w:rFonts w:hint="eastAsia" w:ascii="宋体" w:hAnsi="宋体" w:cs="宋体"/>
                <w:sz w:val="24"/>
                <w:lang w:eastAsia="zh-CN"/>
              </w:rPr>
            </w:pPr>
          </w:p>
        </w:tc>
        <w:tc>
          <w:tcPr>
            <w:tcW w:w="675" w:type="pct"/>
            <w:vAlign w:val="center"/>
          </w:tcPr>
          <w:p>
            <w:pPr>
              <w:snapToGrid w:val="0"/>
              <w:spacing w:line="360" w:lineRule="auto"/>
              <w:jc w:val="center"/>
              <w:rPr>
                <w:rFonts w:ascii="宋体" w:hAnsi="宋体" w:cs="宋体"/>
                <w:sz w:val="24"/>
              </w:rPr>
            </w:pPr>
          </w:p>
        </w:tc>
        <w:tc>
          <w:tcPr>
            <w:tcW w:w="967" w:type="pct"/>
            <w:vAlign w:val="center"/>
          </w:tcPr>
          <w:p>
            <w:pPr>
              <w:snapToGrid w:val="0"/>
              <w:spacing w:line="360" w:lineRule="auto"/>
              <w:jc w:val="center"/>
              <w:rPr>
                <w:rFonts w:ascii="宋体" w:hAnsi="宋体" w:cs="宋体"/>
                <w:sz w:val="24"/>
              </w:rPr>
            </w:pPr>
          </w:p>
        </w:tc>
        <w:tc>
          <w:tcPr>
            <w:tcW w:w="671" w:type="pct"/>
            <w:vAlign w:val="center"/>
          </w:tcPr>
          <w:p>
            <w:pPr>
              <w:snapToGrid w:val="0"/>
              <w:spacing w:line="360" w:lineRule="auto"/>
              <w:jc w:val="center"/>
              <w:rPr>
                <w:rFonts w:ascii="宋体" w:hAnsi="宋体" w:cs="宋体"/>
                <w:sz w:val="24"/>
              </w:rPr>
            </w:pPr>
          </w:p>
        </w:tc>
        <w:tc>
          <w:tcPr>
            <w:tcW w:w="588" w:type="pct"/>
            <w:vAlign w:val="center"/>
          </w:tcPr>
          <w:p>
            <w:pPr>
              <w:snapToGrid w:val="0"/>
              <w:spacing w:line="360" w:lineRule="auto"/>
              <w:jc w:val="center"/>
              <w:rPr>
                <w:rFonts w:ascii="宋体" w:hAnsi="宋体" w:cs="宋体"/>
                <w:sz w:val="24"/>
              </w:rPr>
            </w:pPr>
          </w:p>
        </w:tc>
        <w:tc>
          <w:tcPr>
            <w:tcW w:w="666" w:type="pct"/>
            <w:vAlign w:val="center"/>
          </w:tcPr>
          <w:p>
            <w:pPr>
              <w:spacing w:line="360" w:lineRule="auto"/>
              <w:jc w:val="center"/>
              <w:rPr>
                <w:rFonts w:ascii="宋体" w:hAnsi="宋体" w:cs="宋体"/>
                <w:sz w:val="24"/>
              </w:rPr>
            </w:pPr>
          </w:p>
        </w:tc>
        <w:tc>
          <w:tcPr>
            <w:tcW w:w="614" w:type="pct"/>
            <w:vAlign w:val="center"/>
          </w:tcPr>
          <w:p>
            <w:pPr>
              <w:spacing w:line="360" w:lineRule="auto"/>
              <w:jc w:val="center"/>
              <w:rPr>
                <w:rFonts w:ascii="宋体" w:hAnsi="宋体" w:cs="宋体"/>
                <w:sz w:val="24"/>
              </w:rPr>
            </w:pPr>
          </w:p>
        </w:tc>
        <w:tc>
          <w:tcPr>
            <w:tcW w:w="577" w:type="pc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554" w:type="pct"/>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2445" w:type="pct"/>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554" w:type="pct"/>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2445" w:type="pct"/>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cyan"/>
        </w:rPr>
      </w:pPr>
      <w:r>
        <w:rPr>
          <w:rFonts w:hint="eastAsia" w:ascii="宋体" w:hAnsi="宋体" w:cs="宋体"/>
          <w:b/>
          <w:sz w:val="24"/>
          <w:highlight w:val="none"/>
        </w:rPr>
        <w:t>5、特别说明：供应商报价低于项目预算50%的，应当在报价文件中详细阐述不影响产品质量或者诚信履约的具体原因。</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53" w:name="_Hlk101259491"/>
      <w:r>
        <w:rPr>
          <w:rFonts w:hint="eastAsia" w:ascii="宋体" w:hAnsi="宋体" w:eastAsia="宋体" w:cs="宋体"/>
          <w:color w:val="auto"/>
          <w:sz w:val="32"/>
          <w:szCs w:val="32"/>
        </w:rPr>
        <w:t>（如果有）</w:t>
      </w:r>
      <w:bookmarkEnd w:id="553"/>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4" w:name="_Toc465665161"/>
      <w:r>
        <w:rPr>
          <w:rFonts w:hint="eastAsia" w:ascii="宋体" w:hAnsi="宋体" w:cs="宋体"/>
        </w:rPr>
        <w:t>附件</w:t>
      </w:r>
      <w:bookmarkEnd w:id="554"/>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5" w:name="OLE_LINK14"/>
      <w:bookmarkStart w:id="556" w:name="OLE_LINK13"/>
      <w:r>
        <w:rPr>
          <w:rFonts w:hint="eastAsia" w:ascii="宋体" w:hAnsi="宋体" w:cs="宋体"/>
          <w:b/>
          <w:spacing w:val="6"/>
          <w:sz w:val="32"/>
          <w:szCs w:val="32"/>
        </w:rPr>
        <w:t>残疾人福利性单位声明函</w:t>
      </w:r>
    </w:p>
    <w:bookmarkEnd w:id="555"/>
    <w:bookmarkEnd w:id="556"/>
    <w:p>
      <w:pPr>
        <w:spacing w:line="360" w:lineRule="auto"/>
        <w:rPr>
          <w:rFonts w:ascii="宋体" w:hAnsi="宋体" w:cs="宋体"/>
          <w:b/>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sz w:val="24"/>
        </w:rPr>
        <w:t>本单位郑重声明，根据《</w:t>
      </w:r>
      <w:r>
        <w:rPr>
          <w:rFonts w:hint="eastAsia" w:ascii="宋体" w:hAnsi="宋体" w:cs="宋体"/>
          <w:color w:val="auto"/>
          <w:sz w:val="24"/>
        </w:rPr>
        <w:t>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投标</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7"/>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w:t>
      </w:r>
      <w:r>
        <w:rPr>
          <w:rFonts w:hint="eastAsia" w:ascii="宋体" w:hAnsi="宋体" w:cs="宋体"/>
          <w:b/>
          <w:color w:val="auto"/>
          <w:sz w:val="24"/>
        </w:rPr>
        <w:t>合同的，则不需要提供。</w:t>
      </w:r>
      <w:r>
        <w:rPr>
          <w:rFonts w:hint="eastAsia" w:ascii="宋体" w:hAnsi="宋体" w:cs="宋体"/>
          <w:color w:val="auto"/>
          <w:sz w:val="24"/>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w:t>
      </w:r>
      <w:r>
        <w:rPr>
          <w:rFonts w:hint="eastAsia" w:ascii="宋体" w:hAnsi="宋体" w:cs="宋体"/>
          <w:kern w:val="0"/>
          <w:sz w:val="24"/>
          <w:u w:val="single"/>
        </w:rPr>
        <w:t>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8"/>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4"/>
        <w:rPr>
          <w:rFonts w:ascii="宋体" w:hAnsi="宋体" w:cs="宋体"/>
          <w:b/>
          <w:spacing w:val="6"/>
          <w:sz w:val="32"/>
          <w:szCs w:val="32"/>
        </w:rPr>
      </w:pPr>
    </w:p>
    <w:p>
      <w:pPr>
        <w:rPr>
          <w:rFonts w:ascii="宋体" w:hAnsi="宋体" w:cs="宋体"/>
          <w:b/>
          <w:spacing w:val="6"/>
          <w:sz w:val="32"/>
          <w:szCs w:val="32"/>
        </w:rPr>
      </w:pPr>
    </w:p>
    <w:p>
      <w:pPr>
        <w:pStyle w:val="4"/>
        <w:rPr>
          <w:rFonts w:ascii="宋体" w:hAnsi="宋体" w:cs="宋体"/>
          <w:b/>
          <w:spacing w:val="6"/>
          <w:sz w:val="32"/>
          <w:szCs w:val="32"/>
        </w:rPr>
      </w:pPr>
    </w:p>
    <w:p>
      <w:pPr>
        <w:rPr>
          <w:rFonts w:ascii="宋体" w:hAnsi="宋体" w:cs="宋体"/>
          <w:b/>
          <w:spacing w:val="6"/>
          <w:sz w:val="32"/>
          <w:szCs w:val="32"/>
        </w:rPr>
      </w:pPr>
    </w:p>
    <w:p>
      <w:pPr>
        <w:pStyle w:val="4"/>
        <w:rPr>
          <w:rFonts w:ascii="宋体" w:hAnsi="宋体" w:cs="宋体"/>
          <w:b/>
          <w:spacing w:val="6"/>
          <w:sz w:val="32"/>
          <w:szCs w:val="32"/>
        </w:rPr>
      </w:pPr>
    </w:p>
    <w:p>
      <w:pPr>
        <w:rPr>
          <w:rFonts w:ascii="宋体" w:hAnsi="宋体" w:cs="宋体"/>
          <w:b/>
          <w:spacing w:val="6"/>
          <w:sz w:val="32"/>
          <w:szCs w:val="32"/>
        </w:rPr>
      </w:pPr>
    </w:p>
    <w:p>
      <w:pPr>
        <w:pStyle w:val="4"/>
        <w:rPr>
          <w:rFonts w:ascii="宋体" w:hAnsi="宋体" w:cs="宋体"/>
          <w:b/>
          <w:spacing w:val="6"/>
          <w:sz w:val="32"/>
          <w:szCs w:val="32"/>
        </w:rPr>
      </w:pPr>
    </w:p>
    <w:p>
      <w:pPr>
        <w:rPr>
          <w:rFonts w:ascii="宋体" w:hAnsi="宋体" w:cs="宋体"/>
          <w:b/>
          <w:spacing w:val="6"/>
          <w:sz w:val="32"/>
          <w:szCs w:val="32"/>
        </w:rPr>
      </w:pPr>
    </w:p>
    <w:p>
      <w:pPr>
        <w:pStyle w:val="4"/>
        <w:rPr>
          <w:rFonts w:ascii="宋体" w:hAnsi="宋体" w:cs="宋体"/>
          <w:b/>
          <w:spacing w:val="6"/>
          <w:sz w:val="32"/>
          <w:szCs w:val="32"/>
        </w:rPr>
      </w:pPr>
    </w:p>
    <w:p>
      <w:pP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7</w:t>
      </w:r>
      <w:r>
        <w:rPr>
          <w:rFonts w:hint="eastAsia" w:ascii="宋体" w:hAnsi="宋体" w:cs="宋体"/>
          <w:b/>
          <w:kern w:val="0"/>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w:t>
      </w:r>
      <w:r>
        <w:rPr>
          <w:rFonts w:hint="eastAsia" w:ascii="宋体" w:hAnsi="宋体" w:cs="宋体"/>
          <w:color w:val="auto"/>
          <w:sz w:val="24"/>
        </w:rPr>
        <w:t xml:space="preserve">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pStyle w:val="24"/>
        <w:jc w:val="both"/>
        <w:rPr>
          <w:rFonts w:hint="eastAsia" w:cs="仿宋_GB2312" w:asciiTheme="minorEastAsia" w:hAnsiTheme="minorEastAsia" w:eastAsiaTheme="minorEastAsia"/>
          <w:b/>
          <w:sz w:val="32"/>
          <w:szCs w:val="32"/>
        </w:rPr>
      </w:pPr>
    </w:p>
    <w:p>
      <w:pPr>
        <w:pStyle w:val="24"/>
        <w:jc w:val="both"/>
        <w:rPr>
          <w:rFonts w:hint="eastAsia" w:cs="仿宋_GB2312" w:asciiTheme="minorEastAsia" w:hAnsiTheme="minorEastAsia" w:eastAsiaTheme="minorEastAsia"/>
          <w:b/>
          <w:sz w:val="32"/>
          <w:szCs w:val="32"/>
        </w:rPr>
      </w:pPr>
    </w:p>
    <w:p>
      <w:pPr>
        <w:pStyle w:val="25"/>
        <w:rPr>
          <w:rFonts w:hint="eastAsia" w:cs="仿宋_GB2312" w:asciiTheme="minorEastAsia" w:hAnsiTheme="minorEastAsia" w:eastAsiaTheme="minorEastAsia"/>
          <w:b/>
          <w:sz w:val="32"/>
          <w:szCs w:val="32"/>
        </w:rPr>
      </w:pPr>
    </w:p>
    <w:p>
      <w:pPr>
        <w:rPr>
          <w:rFonts w:hint="eastAsia" w:cs="仿宋_GB2312" w:asciiTheme="minorEastAsia" w:hAnsiTheme="minorEastAsia" w:eastAsiaTheme="minorEastAsia"/>
          <w:b/>
          <w:sz w:val="32"/>
          <w:szCs w:val="32"/>
        </w:rPr>
      </w:pPr>
    </w:p>
    <w:p>
      <w:pPr>
        <w:pStyle w:val="2"/>
        <w:rPr>
          <w:rFonts w:hint="eastAsia"/>
        </w:rPr>
      </w:pPr>
    </w:p>
    <w:p>
      <w:pPr>
        <w:pStyle w:val="24"/>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eastAsia="zh-CN"/>
        </w:rPr>
        <w:t>8:</w:t>
      </w:r>
      <w:r>
        <w:rPr>
          <w:rFonts w:hint="eastAsia" w:asciiTheme="minorEastAsia" w:hAnsiTheme="minorEastAsia" w:eastAsiaTheme="minorEastAsia" w:cstheme="minorEastAsia"/>
          <w:b/>
          <w:bCs/>
          <w:sz w:val="32"/>
          <w:szCs w:val="32"/>
          <w:lang w:val="en-US" w:eastAsia="zh-CN"/>
        </w:rPr>
        <w:t>（开标记录开启后，请将此附件填写完整发送至邮箱： 3692652350@qq.com）</w:t>
      </w:r>
    </w:p>
    <w:p>
      <w:pPr>
        <w:pStyle w:val="24"/>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pPr>
        <w:pStyle w:val="24"/>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杭州市公共资源交易中心临安分中心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pStyle w:val="24"/>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）政府采购活动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经与本单位法人代表（负责人）联系确认，现就有关公平竞争事项郑重声明如下: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本单位与采购人之间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不存在利害关系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存在下列利害关系:</w:t>
      </w:r>
    </w:p>
    <w:p>
      <w:pPr>
        <w:pStyle w:val="24"/>
        <w:keepNext w:val="0"/>
        <w:keepLines w:val="0"/>
        <w:pageBreakBefore w:val="0"/>
        <w:widowControl w:val="0"/>
        <w:numPr>
          <w:ilvl w:val="0"/>
          <w:numId w:val="3"/>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投资关系 B．行政隶属关系 C．业务指导关系</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D．其他可能影响采购公正的利害关系（如有，请如实说明）。</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二、现己清楚知道参加本项目采购活动的其他所有供应商名称，本单位</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与其他所有供应商之间均不存在利害关系</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 xml:space="preserve">与______________（供应商名称）之间存在下列利害关系: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A．法定代表人或负责人或实际控制人是同一人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B．法定代表人或负责人或实际控制人是夫妻关系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C．法定代表人或负责人或实际控制人是直系血亲关系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D．法定代表人或负责人或实际控制人存在三代以内旁系血亲关系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E．法定代表人或负责人或实际控制人存在近姻亲关系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F．法定代表人或负责人或实际控制人存在股份控制或实际控制关系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G．存在共同直接或间接投资设立子公司、联营企业和合营企业情况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H．存在分级代理或代销关系、同一生产制造商关系、管理关系、重要业务（占主营业务收入 50 ％以上）或重要财务 往来关系（如融资）等其他实质性控制关系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I．其他利害关系情况 ___________________________。</w:t>
      </w:r>
      <w:r>
        <w:rPr>
          <w:rFonts w:hint="eastAsia" w:asciiTheme="minorEastAsia" w:hAnsiTheme="minorEastAsia" w:eastAsiaTheme="minorEastAsia" w:cstheme="minorEastAsia"/>
          <w:sz w:val="24"/>
          <w:szCs w:val="24"/>
          <w:lang w:eastAsia="zh-CN"/>
        </w:rPr>
        <w:t>（如未填写，视同“无”）</w:t>
      </w:r>
      <w:r>
        <w:rPr>
          <w:rFonts w:hint="eastAsia" w:asciiTheme="minorEastAsia" w:hAnsiTheme="minorEastAsia" w:eastAsiaTheme="minorEastAsia" w:cstheme="minorEastAsia"/>
          <w:sz w:val="24"/>
          <w:szCs w:val="24"/>
        </w:rPr>
        <w:t xml:space="preserve">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三、现己清楚知道并严格遵守政府采购法律法规。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四、我发现 ____________________供应商之间存在或可能存在上述第二条第 ____________项利害关系。 </w:t>
      </w:r>
      <w:r>
        <w:rPr>
          <w:rFonts w:hint="eastAsia" w:asciiTheme="minorEastAsia" w:hAnsiTheme="minorEastAsia" w:eastAsiaTheme="minorEastAsia" w:cstheme="minorEastAsia"/>
          <w:sz w:val="24"/>
          <w:szCs w:val="24"/>
          <w:lang w:eastAsia="zh-CN"/>
        </w:rPr>
        <w:t>（如未填写，视同“无”）</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kern w:val="0"/>
          <w:sz w:val="24"/>
          <w:lang w:val="zh-CN"/>
        </w:rPr>
        <w:t>名称（签章）：</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签名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ascii="宋体" w:hAnsi="宋体" w:cs="宋体"/>
          <w:b/>
          <w:sz w:val="32"/>
          <w:szCs w:val="32"/>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9" w:name="_Toc36110187"/>
    <w:bookmarkStart w:id="560" w:name="_Toc91899912"/>
    <w:bookmarkStart w:id="561" w:name="_Toc164085800"/>
    <w:bookmarkStart w:id="562" w:name="_Toc131845147"/>
    <w:r>
      <w:rPr>
        <w:rFonts w:hint="eastAsia" w:ascii="仿宋_GB2312" w:eastAsia="仿宋_GB2312"/>
        <w:kern w:val="0"/>
        <w:szCs w:val="21"/>
      </w:rPr>
      <w:t xml:space="preserve"> 页</w:t>
    </w:r>
    <w:bookmarkEnd w:id="559"/>
    <w:bookmarkEnd w:id="560"/>
    <w:bookmarkEnd w:id="561"/>
    <w:bookmarkEnd w:id="56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D5B66"/>
    <w:multiLevelType w:val="singleLevel"/>
    <w:tmpl w:val="941D5B66"/>
    <w:lvl w:ilvl="0" w:tentative="0">
      <w:start w:val="4"/>
      <w:numFmt w:val="decimal"/>
      <w:lvlText w:val="%1."/>
      <w:lvlJc w:val="left"/>
      <w:pPr>
        <w:tabs>
          <w:tab w:val="left" w:pos="312"/>
        </w:tabs>
      </w:pPr>
    </w:lvl>
  </w:abstractNum>
  <w:abstractNum w:abstractNumId="1">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2">
    <w:nsid w:val="6E230785"/>
    <w:multiLevelType w:val="multilevel"/>
    <w:tmpl w:val="6E230785"/>
    <w:lvl w:ilvl="0" w:tentative="0">
      <w:start w:val="1"/>
      <w:numFmt w:val="bullet"/>
      <w:pStyle w:val="965"/>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4798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41744"/>
    <w:rsid w:val="038968B5"/>
    <w:rsid w:val="03DD35E4"/>
    <w:rsid w:val="04076900"/>
    <w:rsid w:val="041A5A3B"/>
    <w:rsid w:val="042311BA"/>
    <w:rsid w:val="042B157A"/>
    <w:rsid w:val="045C64FC"/>
    <w:rsid w:val="048F763B"/>
    <w:rsid w:val="049F330E"/>
    <w:rsid w:val="04AA775C"/>
    <w:rsid w:val="04AF1889"/>
    <w:rsid w:val="04F66F48"/>
    <w:rsid w:val="05251E14"/>
    <w:rsid w:val="05A16594"/>
    <w:rsid w:val="05A7762D"/>
    <w:rsid w:val="060E5941"/>
    <w:rsid w:val="06110FAF"/>
    <w:rsid w:val="06493CA7"/>
    <w:rsid w:val="065A6178"/>
    <w:rsid w:val="066F1CF3"/>
    <w:rsid w:val="06847D8B"/>
    <w:rsid w:val="06930BB8"/>
    <w:rsid w:val="06A375CA"/>
    <w:rsid w:val="07245D42"/>
    <w:rsid w:val="07264C62"/>
    <w:rsid w:val="075E2244"/>
    <w:rsid w:val="0779354C"/>
    <w:rsid w:val="07DD45C5"/>
    <w:rsid w:val="08061376"/>
    <w:rsid w:val="08452D77"/>
    <w:rsid w:val="086401F8"/>
    <w:rsid w:val="08751CAA"/>
    <w:rsid w:val="087E4C40"/>
    <w:rsid w:val="08A871D0"/>
    <w:rsid w:val="08D66AD6"/>
    <w:rsid w:val="08DA33A3"/>
    <w:rsid w:val="08E80F13"/>
    <w:rsid w:val="08F440C1"/>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618E5"/>
    <w:rsid w:val="0A5B7E63"/>
    <w:rsid w:val="0AA374A5"/>
    <w:rsid w:val="0AAB7649"/>
    <w:rsid w:val="0ABC5606"/>
    <w:rsid w:val="0B30404E"/>
    <w:rsid w:val="0B4C6C14"/>
    <w:rsid w:val="0B547599"/>
    <w:rsid w:val="0B631A88"/>
    <w:rsid w:val="0B683D45"/>
    <w:rsid w:val="0B784F07"/>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B50C7"/>
    <w:rsid w:val="0D827401"/>
    <w:rsid w:val="0D84094E"/>
    <w:rsid w:val="0D8A00E9"/>
    <w:rsid w:val="0D8D589E"/>
    <w:rsid w:val="0DA01C73"/>
    <w:rsid w:val="0DD63300"/>
    <w:rsid w:val="0DF50604"/>
    <w:rsid w:val="0DF702FE"/>
    <w:rsid w:val="0E060E51"/>
    <w:rsid w:val="0E5604B2"/>
    <w:rsid w:val="0E6D5D79"/>
    <w:rsid w:val="0E9D0089"/>
    <w:rsid w:val="0EB803EE"/>
    <w:rsid w:val="0EF92A89"/>
    <w:rsid w:val="0EF94D4B"/>
    <w:rsid w:val="0F260807"/>
    <w:rsid w:val="0F4958DC"/>
    <w:rsid w:val="0F515DF7"/>
    <w:rsid w:val="0F596BA8"/>
    <w:rsid w:val="0F6248D2"/>
    <w:rsid w:val="0F693536"/>
    <w:rsid w:val="0F7B0511"/>
    <w:rsid w:val="0F7B76D9"/>
    <w:rsid w:val="0F816ACD"/>
    <w:rsid w:val="0F8F01F5"/>
    <w:rsid w:val="0F9832DB"/>
    <w:rsid w:val="0FBF3FD2"/>
    <w:rsid w:val="0FBF7FF3"/>
    <w:rsid w:val="102B1894"/>
    <w:rsid w:val="10646583"/>
    <w:rsid w:val="107D4B15"/>
    <w:rsid w:val="108A3C80"/>
    <w:rsid w:val="10C26171"/>
    <w:rsid w:val="10F33360"/>
    <w:rsid w:val="10FC16EA"/>
    <w:rsid w:val="110F1D40"/>
    <w:rsid w:val="11266F33"/>
    <w:rsid w:val="113B0E75"/>
    <w:rsid w:val="114F2B23"/>
    <w:rsid w:val="118963A1"/>
    <w:rsid w:val="11C6522A"/>
    <w:rsid w:val="11E104CC"/>
    <w:rsid w:val="11E20309"/>
    <w:rsid w:val="120D66AC"/>
    <w:rsid w:val="12255233"/>
    <w:rsid w:val="12387CD0"/>
    <w:rsid w:val="12530213"/>
    <w:rsid w:val="127723A9"/>
    <w:rsid w:val="12862074"/>
    <w:rsid w:val="12883966"/>
    <w:rsid w:val="129E45B4"/>
    <w:rsid w:val="12D81596"/>
    <w:rsid w:val="13072A44"/>
    <w:rsid w:val="135F4BE2"/>
    <w:rsid w:val="13913622"/>
    <w:rsid w:val="139B1A0A"/>
    <w:rsid w:val="139D25C7"/>
    <w:rsid w:val="13BF3CE4"/>
    <w:rsid w:val="141008D8"/>
    <w:rsid w:val="14125FE6"/>
    <w:rsid w:val="146D271E"/>
    <w:rsid w:val="148F4A74"/>
    <w:rsid w:val="14982588"/>
    <w:rsid w:val="149A5AD9"/>
    <w:rsid w:val="14A7619D"/>
    <w:rsid w:val="150536C3"/>
    <w:rsid w:val="150C1963"/>
    <w:rsid w:val="151447A0"/>
    <w:rsid w:val="154A6454"/>
    <w:rsid w:val="15762120"/>
    <w:rsid w:val="157F5DCE"/>
    <w:rsid w:val="15CE7986"/>
    <w:rsid w:val="1629245E"/>
    <w:rsid w:val="16A8729C"/>
    <w:rsid w:val="16B33777"/>
    <w:rsid w:val="16BC70A7"/>
    <w:rsid w:val="16C6339E"/>
    <w:rsid w:val="172F2D79"/>
    <w:rsid w:val="17557BEF"/>
    <w:rsid w:val="17D3249E"/>
    <w:rsid w:val="17D349C1"/>
    <w:rsid w:val="18244F26"/>
    <w:rsid w:val="1830729E"/>
    <w:rsid w:val="184026D0"/>
    <w:rsid w:val="185D5E16"/>
    <w:rsid w:val="1870062C"/>
    <w:rsid w:val="18817102"/>
    <w:rsid w:val="18830A15"/>
    <w:rsid w:val="18852B28"/>
    <w:rsid w:val="188B5321"/>
    <w:rsid w:val="189A7721"/>
    <w:rsid w:val="19932372"/>
    <w:rsid w:val="19A20DD5"/>
    <w:rsid w:val="19AE03F1"/>
    <w:rsid w:val="19D46163"/>
    <w:rsid w:val="1A071A03"/>
    <w:rsid w:val="1A1F16AE"/>
    <w:rsid w:val="1A3532D0"/>
    <w:rsid w:val="1A3B5C77"/>
    <w:rsid w:val="1A916375"/>
    <w:rsid w:val="1A984BAD"/>
    <w:rsid w:val="1AB8220E"/>
    <w:rsid w:val="1AE4166C"/>
    <w:rsid w:val="1AF06CFB"/>
    <w:rsid w:val="1AF11B8D"/>
    <w:rsid w:val="1B11359C"/>
    <w:rsid w:val="1B2A271F"/>
    <w:rsid w:val="1B2B4DB2"/>
    <w:rsid w:val="1B530544"/>
    <w:rsid w:val="1B713184"/>
    <w:rsid w:val="1BA209CF"/>
    <w:rsid w:val="1BB4777D"/>
    <w:rsid w:val="1BD75AB8"/>
    <w:rsid w:val="1C0459C2"/>
    <w:rsid w:val="1C1B3B4A"/>
    <w:rsid w:val="1C88086E"/>
    <w:rsid w:val="1C8B0541"/>
    <w:rsid w:val="1C9A1D36"/>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A20BE6"/>
    <w:rsid w:val="1FD52574"/>
    <w:rsid w:val="1FE868A9"/>
    <w:rsid w:val="20034907"/>
    <w:rsid w:val="20173E4B"/>
    <w:rsid w:val="204E48BC"/>
    <w:rsid w:val="20567FD9"/>
    <w:rsid w:val="208921B3"/>
    <w:rsid w:val="20973DEB"/>
    <w:rsid w:val="20B26522"/>
    <w:rsid w:val="20B44310"/>
    <w:rsid w:val="211116EB"/>
    <w:rsid w:val="215C7FCD"/>
    <w:rsid w:val="216133FC"/>
    <w:rsid w:val="2171722F"/>
    <w:rsid w:val="21D56769"/>
    <w:rsid w:val="21E52EF3"/>
    <w:rsid w:val="21FB5D7B"/>
    <w:rsid w:val="22015E94"/>
    <w:rsid w:val="220B1C3D"/>
    <w:rsid w:val="221D1D20"/>
    <w:rsid w:val="22334A87"/>
    <w:rsid w:val="22BE6801"/>
    <w:rsid w:val="233500BF"/>
    <w:rsid w:val="23377FF7"/>
    <w:rsid w:val="236B425F"/>
    <w:rsid w:val="23836192"/>
    <w:rsid w:val="238F6DAD"/>
    <w:rsid w:val="23901F29"/>
    <w:rsid w:val="239C0061"/>
    <w:rsid w:val="23B908A4"/>
    <w:rsid w:val="23C675D5"/>
    <w:rsid w:val="23E95BEF"/>
    <w:rsid w:val="23FD0064"/>
    <w:rsid w:val="23FF70EE"/>
    <w:rsid w:val="24382030"/>
    <w:rsid w:val="245375B0"/>
    <w:rsid w:val="24642C0A"/>
    <w:rsid w:val="24B22173"/>
    <w:rsid w:val="24B60224"/>
    <w:rsid w:val="24B95AD9"/>
    <w:rsid w:val="24BE24DA"/>
    <w:rsid w:val="24CF5825"/>
    <w:rsid w:val="24D663E6"/>
    <w:rsid w:val="24D77F2B"/>
    <w:rsid w:val="258B00E2"/>
    <w:rsid w:val="25A917A6"/>
    <w:rsid w:val="25BE27CC"/>
    <w:rsid w:val="25F74A5C"/>
    <w:rsid w:val="2628662C"/>
    <w:rsid w:val="262D45DE"/>
    <w:rsid w:val="264354A6"/>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A1170"/>
    <w:rsid w:val="28DE40AA"/>
    <w:rsid w:val="29051EF3"/>
    <w:rsid w:val="29345E77"/>
    <w:rsid w:val="294C65AD"/>
    <w:rsid w:val="29806583"/>
    <w:rsid w:val="298B3C4C"/>
    <w:rsid w:val="29F26D24"/>
    <w:rsid w:val="2A15033F"/>
    <w:rsid w:val="2A1662C1"/>
    <w:rsid w:val="2A1C7367"/>
    <w:rsid w:val="2A2815FA"/>
    <w:rsid w:val="2A6D6092"/>
    <w:rsid w:val="2A7D76B4"/>
    <w:rsid w:val="2B1943CD"/>
    <w:rsid w:val="2B437463"/>
    <w:rsid w:val="2B7807EE"/>
    <w:rsid w:val="2B8A0362"/>
    <w:rsid w:val="2BA50BF7"/>
    <w:rsid w:val="2BBF00EC"/>
    <w:rsid w:val="2BC37CFD"/>
    <w:rsid w:val="2BD5237F"/>
    <w:rsid w:val="2BE536CE"/>
    <w:rsid w:val="2BE758D9"/>
    <w:rsid w:val="2BF346BB"/>
    <w:rsid w:val="2C09049E"/>
    <w:rsid w:val="2C0A653C"/>
    <w:rsid w:val="2C191F85"/>
    <w:rsid w:val="2CE82D6F"/>
    <w:rsid w:val="2D343236"/>
    <w:rsid w:val="2D415355"/>
    <w:rsid w:val="2D575011"/>
    <w:rsid w:val="2DD15014"/>
    <w:rsid w:val="2DF72DE4"/>
    <w:rsid w:val="2E0220AF"/>
    <w:rsid w:val="2E0D1259"/>
    <w:rsid w:val="2E4B082A"/>
    <w:rsid w:val="2E5D4E86"/>
    <w:rsid w:val="2E5D790B"/>
    <w:rsid w:val="2E9A3C18"/>
    <w:rsid w:val="2EB03DD6"/>
    <w:rsid w:val="2EBB0FEE"/>
    <w:rsid w:val="2EC63002"/>
    <w:rsid w:val="2F0A6B38"/>
    <w:rsid w:val="2F0E524B"/>
    <w:rsid w:val="2F946CCB"/>
    <w:rsid w:val="2FC26AB1"/>
    <w:rsid w:val="2FD25781"/>
    <w:rsid w:val="2FDC745C"/>
    <w:rsid w:val="2FFD7934"/>
    <w:rsid w:val="30095393"/>
    <w:rsid w:val="304E7608"/>
    <w:rsid w:val="30733ACD"/>
    <w:rsid w:val="3084479E"/>
    <w:rsid w:val="308C3862"/>
    <w:rsid w:val="30935C7B"/>
    <w:rsid w:val="309379D8"/>
    <w:rsid w:val="309500DA"/>
    <w:rsid w:val="309F45CD"/>
    <w:rsid w:val="30A270F7"/>
    <w:rsid w:val="30DF1478"/>
    <w:rsid w:val="30EC586F"/>
    <w:rsid w:val="31070CC6"/>
    <w:rsid w:val="318D4C83"/>
    <w:rsid w:val="319C6071"/>
    <w:rsid w:val="31AC537E"/>
    <w:rsid w:val="31E3679B"/>
    <w:rsid w:val="31E732FD"/>
    <w:rsid w:val="32517576"/>
    <w:rsid w:val="326617DD"/>
    <w:rsid w:val="32BE5C2C"/>
    <w:rsid w:val="32EB259D"/>
    <w:rsid w:val="32FB6478"/>
    <w:rsid w:val="33263B3F"/>
    <w:rsid w:val="332776F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D116E"/>
    <w:rsid w:val="361938F7"/>
    <w:rsid w:val="363A3B40"/>
    <w:rsid w:val="365302AE"/>
    <w:rsid w:val="36607A0A"/>
    <w:rsid w:val="366E227C"/>
    <w:rsid w:val="366F2E0D"/>
    <w:rsid w:val="367B6A5C"/>
    <w:rsid w:val="36A74ADA"/>
    <w:rsid w:val="36AD60D5"/>
    <w:rsid w:val="36B224F9"/>
    <w:rsid w:val="36EC0CC9"/>
    <w:rsid w:val="372E5C25"/>
    <w:rsid w:val="373F410B"/>
    <w:rsid w:val="37EE7094"/>
    <w:rsid w:val="38296C89"/>
    <w:rsid w:val="383002EB"/>
    <w:rsid w:val="38586797"/>
    <w:rsid w:val="385D15DF"/>
    <w:rsid w:val="38BC0149"/>
    <w:rsid w:val="38D87D1C"/>
    <w:rsid w:val="391D6B2B"/>
    <w:rsid w:val="39636459"/>
    <w:rsid w:val="396B7F6C"/>
    <w:rsid w:val="39B417A9"/>
    <w:rsid w:val="39E11168"/>
    <w:rsid w:val="39FC5695"/>
    <w:rsid w:val="3A006D8E"/>
    <w:rsid w:val="3A3651E5"/>
    <w:rsid w:val="3A497F80"/>
    <w:rsid w:val="3A744481"/>
    <w:rsid w:val="3A8C7BEF"/>
    <w:rsid w:val="3A906246"/>
    <w:rsid w:val="3B2349B7"/>
    <w:rsid w:val="3B616CFF"/>
    <w:rsid w:val="3B6259F6"/>
    <w:rsid w:val="3B976654"/>
    <w:rsid w:val="3BC01EFC"/>
    <w:rsid w:val="3BCA786A"/>
    <w:rsid w:val="3BD31E2F"/>
    <w:rsid w:val="3BF15831"/>
    <w:rsid w:val="3C105946"/>
    <w:rsid w:val="3C1D106B"/>
    <w:rsid w:val="3C471448"/>
    <w:rsid w:val="3C5F759A"/>
    <w:rsid w:val="3C6C525A"/>
    <w:rsid w:val="3C9D314A"/>
    <w:rsid w:val="3CCE23CB"/>
    <w:rsid w:val="3CD17D17"/>
    <w:rsid w:val="3D3C7F39"/>
    <w:rsid w:val="3D440F09"/>
    <w:rsid w:val="3D4504A0"/>
    <w:rsid w:val="3D8734BB"/>
    <w:rsid w:val="3D9A11D4"/>
    <w:rsid w:val="3DA16D89"/>
    <w:rsid w:val="3DA364BE"/>
    <w:rsid w:val="3DE041CB"/>
    <w:rsid w:val="3E0D48F6"/>
    <w:rsid w:val="3E1868B4"/>
    <w:rsid w:val="3E377251"/>
    <w:rsid w:val="3E424D41"/>
    <w:rsid w:val="3E42664B"/>
    <w:rsid w:val="3E5A7334"/>
    <w:rsid w:val="3E7B5D6B"/>
    <w:rsid w:val="3E843E66"/>
    <w:rsid w:val="3E8F51FE"/>
    <w:rsid w:val="3E926F87"/>
    <w:rsid w:val="3E9A59DE"/>
    <w:rsid w:val="3EAF4836"/>
    <w:rsid w:val="3EC33DFA"/>
    <w:rsid w:val="3EEB7347"/>
    <w:rsid w:val="3F060E16"/>
    <w:rsid w:val="3F16399E"/>
    <w:rsid w:val="3F1D1096"/>
    <w:rsid w:val="3F2F0234"/>
    <w:rsid w:val="3F6363FE"/>
    <w:rsid w:val="3F756B8F"/>
    <w:rsid w:val="3F95482B"/>
    <w:rsid w:val="3FAE308F"/>
    <w:rsid w:val="4019356B"/>
    <w:rsid w:val="40592157"/>
    <w:rsid w:val="406E1CAE"/>
    <w:rsid w:val="40A0133A"/>
    <w:rsid w:val="40C31A53"/>
    <w:rsid w:val="40D50E19"/>
    <w:rsid w:val="40FF545D"/>
    <w:rsid w:val="410067C8"/>
    <w:rsid w:val="41321D0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C3734"/>
    <w:rsid w:val="43C77C27"/>
    <w:rsid w:val="43D404B3"/>
    <w:rsid w:val="43DE09EE"/>
    <w:rsid w:val="44002FAD"/>
    <w:rsid w:val="441354B3"/>
    <w:rsid w:val="44421B63"/>
    <w:rsid w:val="449101DD"/>
    <w:rsid w:val="44A713C2"/>
    <w:rsid w:val="44DE1391"/>
    <w:rsid w:val="44F56C87"/>
    <w:rsid w:val="451B225C"/>
    <w:rsid w:val="452410C9"/>
    <w:rsid w:val="45317DFB"/>
    <w:rsid w:val="456D3CE4"/>
    <w:rsid w:val="4579042C"/>
    <w:rsid w:val="457F0571"/>
    <w:rsid w:val="45851176"/>
    <w:rsid w:val="45C63B94"/>
    <w:rsid w:val="460E7DA5"/>
    <w:rsid w:val="46422483"/>
    <w:rsid w:val="464C6244"/>
    <w:rsid w:val="4659254A"/>
    <w:rsid w:val="465B0637"/>
    <w:rsid w:val="465E3F0D"/>
    <w:rsid w:val="466A16E6"/>
    <w:rsid w:val="46893F2B"/>
    <w:rsid w:val="46C16025"/>
    <w:rsid w:val="46C4686E"/>
    <w:rsid w:val="476E083A"/>
    <w:rsid w:val="477B778F"/>
    <w:rsid w:val="478203EC"/>
    <w:rsid w:val="47B025FA"/>
    <w:rsid w:val="47C2118D"/>
    <w:rsid w:val="4809698F"/>
    <w:rsid w:val="4811697D"/>
    <w:rsid w:val="48503F16"/>
    <w:rsid w:val="48506734"/>
    <w:rsid w:val="487A3E25"/>
    <w:rsid w:val="488B5503"/>
    <w:rsid w:val="48937E21"/>
    <w:rsid w:val="489A0361"/>
    <w:rsid w:val="48B94FF3"/>
    <w:rsid w:val="48C0568F"/>
    <w:rsid w:val="48E37AAB"/>
    <w:rsid w:val="48FD4B4C"/>
    <w:rsid w:val="490A68E0"/>
    <w:rsid w:val="491055FE"/>
    <w:rsid w:val="49434431"/>
    <w:rsid w:val="495F5B3E"/>
    <w:rsid w:val="496F77D7"/>
    <w:rsid w:val="497654FD"/>
    <w:rsid w:val="49765B82"/>
    <w:rsid w:val="49824F4F"/>
    <w:rsid w:val="49B64211"/>
    <w:rsid w:val="49DA7512"/>
    <w:rsid w:val="49F6167F"/>
    <w:rsid w:val="4A064FA0"/>
    <w:rsid w:val="4A16615C"/>
    <w:rsid w:val="4A1704C6"/>
    <w:rsid w:val="4A2B5751"/>
    <w:rsid w:val="4A4424D7"/>
    <w:rsid w:val="4A8078A1"/>
    <w:rsid w:val="4AB82D0F"/>
    <w:rsid w:val="4AEB7664"/>
    <w:rsid w:val="4AFD7C19"/>
    <w:rsid w:val="4B0567D1"/>
    <w:rsid w:val="4B236AAE"/>
    <w:rsid w:val="4B707271"/>
    <w:rsid w:val="4B8F3628"/>
    <w:rsid w:val="4B9739F7"/>
    <w:rsid w:val="4BC41942"/>
    <w:rsid w:val="4BDE714E"/>
    <w:rsid w:val="4BED4AA4"/>
    <w:rsid w:val="4BEE2503"/>
    <w:rsid w:val="4BF00FF9"/>
    <w:rsid w:val="4C006B77"/>
    <w:rsid w:val="4C245A30"/>
    <w:rsid w:val="4CB6685F"/>
    <w:rsid w:val="4CC367FE"/>
    <w:rsid w:val="4D077F3C"/>
    <w:rsid w:val="4D123355"/>
    <w:rsid w:val="4D2A3B31"/>
    <w:rsid w:val="4D312C52"/>
    <w:rsid w:val="4D8F02FC"/>
    <w:rsid w:val="4D905305"/>
    <w:rsid w:val="4D964A72"/>
    <w:rsid w:val="4D9C1254"/>
    <w:rsid w:val="4E793892"/>
    <w:rsid w:val="4E800872"/>
    <w:rsid w:val="4E935821"/>
    <w:rsid w:val="4EC569ED"/>
    <w:rsid w:val="4ED32939"/>
    <w:rsid w:val="4ED50EA1"/>
    <w:rsid w:val="4EEC050C"/>
    <w:rsid w:val="4F104EC3"/>
    <w:rsid w:val="4F1A0F1E"/>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31A84"/>
    <w:rsid w:val="549B0594"/>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962C0"/>
    <w:rsid w:val="566B6D1E"/>
    <w:rsid w:val="57032A2C"/>
    <w:rsid w:val="570F5219"/>
    <w:rsid w:val="573F692A"/>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034049"/>
    <w:rsid w:val="590B5FB2"/>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23980"/>
    <w:rsid w:val="5B2E1A1D"/>
    <w:rsid w:val="5B6322A1"/>
    <w:rsid w:val="5B7032B3"/>
    <w:rsid w:val="5B843A1C"/>
    <w:rsid w:val="5B873E3F"/>
    <w:rsid w:val="5C02690E"/>
    <w:rsid w:val="5C196DA7"/>
    <w:rsid w:val="5C2A048C"/>
    <w:rsid w:val="5C3054EC"/>
    <w:rsid w:val="5C422DE0"/>
    <w:rsid w:val="5C80234E"/>
    <w:rsid w:val="5C8A680C"/>
    <w:rsid w:val="5D0C4701"/>
    <w:rsid w:val="5D0F0395"/>
    <w:rsid w:val="5D221076"/>
    <w:rsid w:val="5D397964"/>
    <w:rsid w:val="5D572349"/>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01884"/>
    <w:rsid w:val="5F6277C6"/>
    <w:rsid w:val="5F6D0B1D"/>
    <w:rsid w:val="5F8D0B82"/>
    <w:rsid w:val="5FCC5339"/>
    <w:rsid w:val="5FE34A5B"/>
    <w:rsid w:val="5FFE1E36"/>
    <w:rsid w:val="60232584"/>
    <w:rsid w:val="607330CE"/>
    <w:rsid w:val="60825176"/>
    <w:rsid w:val="609F2AC4"/>
    <w:rsid w:val="60E00572"/>
    <w:rsid w:val="60FA2EE8"/>
    <w:rsid w:val="61054A27"/>
    <w:rsid w:val="610A52BC"/>
    <w:rsid w:val="611D2366"/>
    <w:rsid w:val="61421856"/>
    <w:rsid w:val="615227C4"/>
    <w:rsid w:val="61654E3F"/>
    <w:rsid w:val="6182292A"/>
    <w:rsid w:val="619F7F92"/>
    <w:rsid w:val="61D6614A"/>
    <w:rsid w:val="61F94C26"/>
    <w:rsid w:val="62000E56"/>
    <w:rsid w:val="624F3E49"/>
    <w:rsid w:val="62632286"/>
    <w:rsid w:val="62885958"/>
    <w:rsid w:val="62DB0B75"/>
    <w:rsid w:val="62F40B65"/>
    <w:rsid w:val="62FC2CFE"/>
    <w:rsid w:val="63024505"/>
    <w:rsid w:val="63300F74"/>
    <w:rsid w:val="635600A5"/>
    <w:rsid w:val="635B1DB5"/>
    <w:rsid w:val="63711FED"/>
    <w:rsid w:val="63880DDC"/>
    <w:rsid w:val="638D750D"/>
    <w:rsid w:val="63AC6CC0"/>
    <w:rsid w:val="63C95418"/>
    <w:rsid w:val="63DC2A4B"/>
    <w:rsid w:val="64055776"/>
    <w:rsid w:val="64240056"/>
    <w:rsid w:val="643E143A"/>
    <w:rsid w:val="64491666"/>
    <w:rsid w:val="64854E0C"/>
    <w:rsid w:val="648B6EEF"/>
    <w:rsid w:val="64C158BF"/>
    <w:rsid w:val="64CE2EAA"/>
    <w:rsid w:val="65023E37"/>
    <w:rsid w:val="653C3090"/>
    <w:rsid w:val="65854376"/>
    <w:rsid w:val="658767BE"/>
    <w:rsid w:val="65892531"/>
    <w:rsid w:val="66195831"/>
    <w:rsid w:val="662E75B1"/>
    <w:rsid w:val="66342C2E"/>
    <w:rsid w:val="663E784C"/>
    <w:rsid w:val="668B6A45"/>
    <w:rsid w:val="672F3F24"/>
    <w:rsid w:val="673E055F"/>
    <w:rsid w:val="67551CE3"/>
    <w:rsid w:val="67926BCA"/>
    <w:rsid w:val="67A22552"/>
    <w:rsid w:val="67B22DCC"/>
    <w:rsid w:val="67BE71AA"/>
    <w:rsid w:val="67D90273"/>
    <w:rsid w:val="67DE5875"/>
    <w:rsid w:val="67E55852"/>
    <w:rsid w:val="67EB1AB4"/>
    <w:rsid w:val="67FA1285"/>
    <w:rsid w:val="67FF3950"/>
    <w:rsid w:val="685407DA"/>
    <w:rsid w:val="68551F4F"/>
    <w:rsid w:val="687C10C9"/>
    <w:rsid w:val="68840C16"/>
    <w:rsid w:val="68876EFB"/>
    <w:rsid w:val="68884654"/>
    <w:rsid w:val="68904D13"/>
    <w:rsid w:val="689F444F"/>
    <w:rsid w:val="68B96DBB"/>
    <w:rsid w:val="68CA2805"/>
    <w:rsid w:val="68D4635C"/>
    <w:rsid w:val="68E06A29"/>
    <w:rsid w:val="68E937A3"/>
    <w:rsid w:val="693E15D3"/>
    <w:rsid w:val="69627681"/>
    <w:rsid w:val="69700A5E"/>
    <w:rsid w:val="6977531D"/>
    <w:rsid w:val="69CC2BFF"/>
    <w:rsid w:val="69EE1D13"/>
    <w:rsid w:val="69FD55B8"/>
    <w:rsid w:val="6A0B1C62"/>
    <w:rsid w:val="6A2406C8"/>
    <w:rsid w:val="6ADE0BD1"/>
    <w:rsid w:val="6AE96859"/>
    <w:rsid w:val="6B005BA3"/>
    <w:rsid w:val="6B0065C2"/>
    <w:rsid w:val="6B147746"/>
    <w:rsid w:val="6B24787C"/>
    <w:rsid w:val="6B573233"/>
    <w:rsid w:val="6B5B6274"/>
    <w:rsid w:val="6B935D53"/>
    <w:rsid w:val="6BA72F24"/>
    <w:rsid w:val="6C196F71"/>
    <w:rsid w:val="6C226FCB"/>
    <w:rsid w:val="6C31226F"/>
    <w:rsid w:val="6C425976"/>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045EE5"/>
    <w:rsid w:val="6F2A7D94"/>
    <w:rsid w:val="6F8331F1"/>
    <w:rsid w:val="6FAE1A09"/>
    <w:rsid w:val="6FD75BF8"/>
    <w:rsid w:val="707723D0"/>
    <w:rsid w:val="70E64954"/>
    <w:rsid w:val="70E73DC8"/>
    <w:rsid w:val="70F5661B"/>
    <w:rsid w:val="71360107"/>
    <w:rsid w:val="713B688E"/>
    <w:rsid w:val="718F65B9"/>
    <w:rsid w:val="71D43752"/>
    <w:rsid w:val="71F1796A"/>
    <w:rsid w:val="72154626"/>
    <w:rsid w:val="72262B5D"/>
    <w:rsid w:val="72283FF7"/>
    <w:rsid w:val="722E7212"/>
    <w:rsid w:val="723A0474"/>
    <w:rsid w:val="725923E4"/>
    <w:rsid w:val="72864BF7"/>
    <w:rsid w:val="729023FC"/>
    <w:rsid w:val="73423A7A"/>
    <w:rsid w:val="73C0646E"/>
    <w:rsid w:val="742222F5"/>
    <w:rsid w:val="74476126"/>
    <w:rsid w:val="74696558"/>
    <w:rsid w:val="74706664"/>
    <w:rsid w:val="747F3682"/>
    <w:rsid w:val="749C4185"/>
    <w:rsid w:val="74A34568"/>
    <w:rsid w:val="75067759"/>
    <w:rsid w:val="752E6DCD"/>
    <w:rsid w:val="7551380D"/>
    <w:rsid w:val="75600BE5"/>
    <w:rsid w:val="7564475C"/>
    <w:rsid w:val="7583797F"/>
    <w:rsid w:val="75D20F1D"/>
    <w:rsid w:val="75DA2C18"/>
    <w:rsid w:val="75F54412"/>
    <w:rsid w:val="761D08E0"/>
    <w:rsid w:val="765A35BE"/>
    <w:rsid w:val="765D347C"/>
    <w:rsid w:val="76826699"/>
    <w:rsid w:val="76C87133"/>
    <w:rsid w:val="76CD08D5"/>
    <w:rsid w:val="76DB4B92"/>
    <w:rsid w:val="77052AA4"/>
    <w:rsid w:val="77136511"/>
    <w:rsid w:val="77340A39"/>
    <w:rsid w:val="77351FD0"/>
    <w:rsid w:val="77472422"/>
    <w:rsid w:val="776866A2"/>
    <w:rsid w:val="776F5931"/>
    <w:rsid w:val="777F31F2"/>
    <w:rsid w:val="77D1700D"/>
    <w:rsid w:val="77EC04CC"/>
    <w:rsid w:val="78775729"/>
    <w:rsid w:val="78A42DB0"/>
    <w:rsid w:val="78A656AB"/>
    <w:rsid w:val="78B2245C"/>
    <w:rsid w:val="78E172CC"/>
    <w:rsid w:val="78EA1D1F"/>
    <w:rsid w:val="7904172F"/>
    <w:rsid w:val="790F7E27"/>
    <w:rsid w:val="792A231A"/>
    <w:rsid w:val="79316829"/>
    <w:rsid w:val="793516D6"/>
    <w:rsid w:val="797E66A9"/>
    <w:rsid w:val="798518A4"/>
    <w:rsid w:val="79967791"/>
    <w:rsid w:val="79A97383"/>
    <w:rsid w:val="79D43B9F"/>
    <w:rsid w:val="79E27E8B"/>
    <w:rsid w:val="79F850CE"/>
    <w:rsid w:val="79FD443C"/>
    <w:rsid w:val="7A1D1975"/>
    <w:rsid w:val="7A3E5150"/>
    <w:rsid w:val="7A4670D6"/>
    <w:rsid w:val="7A534B63"/>
    <w:rsid w:val="7A615382"/>
    <w:rsid w:val="7A67303B"/>
    <w:rsid w:val="7AAB1D04"/>
    <w:rsid w:val="7ABA4368"/>
    <w:rsid w:val="7AD05746"/>
    <w:rsid w:val="7AD658DD"/>
    <w:rsid w:val="7B257FFD"/>
    <w:rsid w:val="7B343476"/>
    <w:rsid w:val="7B5A2978"/>
    <w:rsid w:val="7B5A7E4C"/>
    <w:rsid w:val="7B667AF9"/>
    <w:rsid w:val="7B7468F8"/>
    <w:rsid w:val="7BD02433"/>
    <w:rsid w:val="7BEE0103"/>
    <w:rsid w:val="7C0A0FE4"/>
    <w:rsid w:val="7C0C23D1"/>
    <w:rsid w:val="7C254906"/>
    <w:rsid w:val="7C590818"/>
    <w:rsid w:val="7C7C10F6"/>
    <w:rsid w:val="7C853BEA"/>
    <w:rsid w:val="7C881368"/>
    <w:rsid w:val="7CE27788"/>
    <w:rsid w:val="7D0C32F1"/>
    <w:rsid w:val="7D0F408D"/>
    <w:rsid w:val="7D491C6C"/>
    <w:rsid w:val="7D5429C0"/>
    <w:rsid w:val="7D6E6D43"/>
    <w:rsid w:val="7D8638E7"/>
    <w:rsid w:val="7D913E97"/>
    <w:rsid w:val="7DB57A34"/>
    <w:rsid w:val="7DCC004D"/>
    <w:rsid w:val="7DE60973"/>
    <w:rsid w:val="7DEF0916"/>
    <w:rsid w:val="7E1E5218"/>
    <w:rsid w:val="7E9A4E1F"/>
    <w:rsid w:val="7EA7723A"/>
    <w:rsid w:val="7EF56FBB"/>
    <w:rsid w:val="7F0768EB"/>
    <w:rsid w:val="7F143BEC"/>
    <w:rsid w:val="7F3802E4"/>
    <w:rsid w:val="7F715AF2"/>
    <w:rsid w:val="7F861DE1"/>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305"/>
    <w:qFormat/>
    <w:uiPriority w:val="0"/>
    <w:pPr>
      <w:spacing w:line="360" w:lineRule="auto"/>
      <w:ind w:firstLine="601"/>
      <w:textAlignment w:val="baseline"/>
    </w:pPr>
    <w:rPr>
      <w:rFonts w:ascii="宋体"/>
      <w:kern w:val="0"/>
      <w:sz w:val="28"/>
      <w:szCs w:val="20"/>
    </w:r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Default"/>
    <w:next w:val="1"/>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6">
    <w:name w:val="Body Text Indent"/>
    <w:basedOn w:val="1"/>
    <w:next w:val="27"/>
    <w:link w:val="262"/>
    <w:qFormat/>
    <w:uiPriority w:val="0"/>
    <w:pPr>
      <w:spacing w:line="480" w:lineRule="exact"/>
      <w:ind w:firstLine="480" w:firstLineChars="200"/>
    </w:pPr>
    <w:rPr>
      <w:rFonts w:ascii="宋体" w:hAnsi="宋体"/>
      <w:sz w:val="24"/>
    </w:rPr>
  </w:style>
  <w:style w:type="paragraph" w:styleId="27">
    <w:name w:val="Body Text First Indent 2"/>
    <w:basedOn w:val="26"/>
    <w:next w:val="28"/>
    <w:link w:val="119"/>
    <w:qFormat/>
    <w:uiPriority w:val="0"/>
    <w:pPr>
      <w:adjustRightInd/>
      <w:spacing w:after="120" w:line="240" w:lineRule="auto"/>
      <w:ind w:left="420" w:leftChars="200" w:firstLine="210"/>
    </w:pPr>
    <w:rPr>
      <w:sz w:val="21"/>
    </w:rPr>
  </w:style>
  <w:style w:type="paragraph" w:styleId="28">
    <w:name w:val="Body Text First Indent"/>
    <w:basedOn w:val="24"/>
    <w:next w:val="29"/>
    <w:link w:val="318"/>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23"/>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79"/>
    <w:qFormat/>
    <w:uiPriority w:val="0"/>
    <w:pPr>
      <w:ind w:left="100" w:leftChars="2500"/>
    </w:pPr>
    <w:rPr>
      <w:rFonts w:ascii="宋体"/>
      <w:sz w:val="24"/>
      <w:szCs w:val="21"/>
      <w:lang w:val="zh-CN"/>
    </w:rPr>
  </w:style>
  <w:style w:type="paragraph" w:styleId="41">
    <w:name w:val="endnote text"/>
    <w:basedOn w:val="1"/>
    <w:link w:val="929"/>
    <w:qFormat/>
    <w:uiPriority w:val="0"/>
    <w:rPr>
      <w:lang w:val="zh-CN"/>
    </w:rPr>
  </w:style>
  <w:style w:type="paragraph" w:styleId="42">
    <w:name w:val="Balloon Text"/>
    <w:basedOn w:val="1"/>
    <w:link w:val="186"/>
    <w:qFormat/>
    <w:uiPriority w:val="0"/>
    <w:rPr>
      <w:sz w:val="18"/>
      <w:szCs w:val="18"/>
    </w:rPr>
  </w:style>
  <w:style w:type="paragraph" w:styleId="43">
    <w:name w:val="footer"/>
    <w:basedOn w:val="1"/>
    <w:link w:val="380"/>
    <w:qFormat/>
    <w:uiPriority w:val="99"/>
    <w:pPr>
      <w:tabs>
        <w:tab w:val="center" w:pos="4153"/>
        <w:tab w:val="right" w:pos="8306"/>
      </w:tabs>
      <w:snapToGrid w:val="0"/>
      <w:jc w:val="left"/>
    </w:pPr>
    <w:rPr>
      <w:sz w:val="18"/>
      <w:szCs w:val="18"/>
    </w:rPr>
  </w:style>
  <w:style w:type="paragraph" w:styleId="44">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299"/>
    <w:qFormat/>
    <w:uiPriority w:val="0"/>
    <w:pPr>
      <w:spacing w:after="120" w:line="480" w:lineRule="auto"/>
    </w:pPr>
  </w:style>
  <w:style w:type="paragraph" w:styleId="59">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4"/>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2"/>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7"/>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50"/>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40"/>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2"/>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4"/>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5"/>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1"/>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9"/>
    <w:qFormat/>
    <w:uiPriority w:val="0"/>
    <w:rPr>
      <w:rFonts w:ascii="黑体" w:hAnsi="Courier New" w:eastAsia="黑体"/>
    </w:rPr>
  </w:style>
  <w:style w:type="character" w:customStyle="1" w:styleId="299">
    <w:name w:val="正文文本 2 Char1"/>
    <w:link w:val="58"/>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2"/>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3"/>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8"/>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5"/>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5"/>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3"/>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4"/>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70"/>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70"/>
    <w:qFormat/>
    <w:uiPriority w:val="0"/>
    <w:rPr>
      <w:rFonts w:ascii="Arial" w:hAnsi="Arial" w:eastAsia="黑体" w:cs="Arial"/>
      <w:snapToGrid w:val="0"/>
      <w:kern w:val="0"/>
      <w:szCs w:val="21"/>
    </w:rPr>
  </w:style>
  <w:style w:type="character" w:customStyle="1" w:styleId="429">
    <w:name w:val="hui"/>
    <w:basedOn w:val="70"/>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5"/>
    <w:next w:val="25"/>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5"/>
    <w:next w:val="25"/>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8"/>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2"/>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2"/>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1"/>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eop"/>
    <w:basedOn w:val="70"/>
    <w:qFormat/>
    <w:uiPriority w:val="0"/>
  </w:style>
  <w:style w:type="paragraph" w:customStyle="1" w:styleId="963">
    <w:name w:val="正文空2字"/>
    <w:basedOn w:val="9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4">
    <w:name w:val="左对齐正文"/>
    <w:qFormat/>
    <w:uiPriority w:val="99"/>
    <w:rPr>
      <w:rFonts w:ascii="Calibri" w:hAnsi="Calibri" w:eastAsia="仿宋_GB2312" w:cs="Calibri"/>
      <w:kern w:val="2"/>
      <w:sz w:val="32"/>
      <w:szCs w:val="32"/>
      <w:lang w:val="en-US" w:eastAsia="zh-CN" w:bidi="ar-SA"/>
    </w:rPr>
  </w:style>
  <w:style w:type="paragraph" w:customStyle="1" w:styleId="965">
    <w:name w:val="Item List in Table"/>
    <w:basedOn w:val="1"/>
    <w:qFormat/>
    <w:uiPriority w:val="0"/>
    <w:pPr>
      <w:widowControl/>
      <w:numPr>
        <w:ilvl w:val="0"/>
        <w:numId w:val="1"/>
      </w:numPr>
      <w:topLinePunct/>
      <w:adjustRightInd w:val="0"/>
      <w:snapToGrid w:val="0"/>
      <w:spacing w:before="80" w:after="80" w:line="240" w:lineRule="atLeast"/>
      <w:jc w:val="left"/>
    </w:pPr>
    <w:rPr>
      <w:rFonts w:hint="eastAsia" w:ascii="Times New Roman" w:hAnsi="Times New Roman" w:eastAsia="宋体" w:cs="Arial"/>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30749</Words>
  <Characters>32454</Characters>
  <Lines>279</Lines>
  <Paragraphs>78</Paragraphs>
  <TotalTime>57</TotalTime>
  <ScaleCrop>false</ScaleCrop>
  <LinksUpToDate>false</LinksUpToDate>
  <CharactersWithSpaces>37757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九日</cp:lastModifiedBy>
  <cp:lastPrinted>2021-12-27T03:06:00Z</cp:lastPrinted>
  <dcterms:modified xsi:type="dcterms:W3CDTF">2024-11-08T08:55:30Z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