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hint="eastAsia" w:ascii="宋体" w:hAnsi="宋体" w:cs="宋体"/>
          <w:sz w:val="48"/>
          <w:szCs w:val="48"/>
        </w:rPr>
      </w:pPr>
      <w:r>
        <w:rPr>
          <w:rFonts w:hint="eastAsia" w:ascii="宋体" w:hAnsi="宋体" w:cs="宋体"/>
          <w:sz w:val="48"/>
          <w:szCs w:val="48"/>
          <w:lang w:eastAsia="zh-CN"/>
        </w:rPr>
        <w:t>杭州市</w:t>
      </w:r>
      <w:r>
        <w:rPr>
          <w:rFonts w:hint="eastAsia" w:ascii="宋体" w:hAnsi="宋体" w:cs="宋体"/>
          <w:sz w:val="48"/>
          <w:szCs w:val="48"/>
        </w:rPr>
        <w:t>临安区中医院</w:t>
      </w:r>
      <w:r>
        <w:rPr>
          <w:rFonts w:hint="eastAsia" w:ascii="宋体" w:hAnsi="宋体" w:cs="宋体"/>
          <w:sz w:val="48"/>
          <w:szCs w:val="48"/>
          <w:highlight w:val="none"/>
        </w:rPr>
        <w:t>服务器</w:t>
      </w:r>
      <w:r>
        <w:rPr>
          <w:rFonts w:hint="eastAsia" w:ascii="宋体" w:hAnsi="宋体" w:cs="宋体"/>
          <w:sz w:val="48"/>
          <w:szCs w:val="48"/>
          <w:highlight w:val="none"/>
          <w:lang w:eastAsia="zh-CN"/>
        </w:rPr>
        <w:t>等设备</w:t>
      </w:r>
      <w:r>
        <w:rPr>
          <w:rFonts w:hint="eastAsia" w:ascii="宋体" w:hAnsi="宋体" w:cs="宋体"/>
          <w:sz w:val="48"/>
          <w:szCs w:val="48"/>
          <w:highlight w:val="none"/>
        </w:rPr>
        <w:t>采购</w:t>
      </w:r>
      <w:r>
        <w:rPr>
          <w:rFonts w:hint="eastAsia" w:ascii="宋体" w:hAnsi="宋体" w:cs="宋体"/>
          <w:sz w:val="48"/>
          <w:szCs w:val="48"/>
        </w:rPr>
        <w:t>项目</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ascii="宋体" w:hAnsi="宋体" w:cs="宋体"/>
          <w:color w:val="auto"/>
          <w:sz w:val="30"/>
          <w:szCs w:val="30"/>
        </w:rPr>
      </w:pPr>
      <w:r>
        <w:rPr>
          <w:rFonts w:hint="eastAsia" w:ascii="宋体" w:hAnsi="宋体" w:cs="宋体"/>
          <w:sz w:val="30"/>
          <w:szCs w:val="30"/>
        </w:rPr>
        <w:t>编号:</w:t>
      </w:r>
      <w:r>
        <w:rPr>
          <w:rFonts w:hint="eastAsia" w:ascii="宋体" w:hAnsi="宋体" w:cs="宋体"/>
          <w:color w:val="auto"/>
          <w:sz w:val="30"/>
          <w:szCs w:val="30"/>
        </w:rPr>
        <w:t>（</w:t>
      </w:r>
      <w:r>
        <w:rPr>
          <w:rFonts w:hint="eastAsia" w:ascii="宋体" w:hAnsi="宋体" w:cs="宋体"/>
          <w:color w:val="auto"/>
          <w:sz w:val="30"/>
          <w:szCs w:val="30"/>
          <w:lang w:val="en-US" w:eastAsia="zh-CN"/>
        </w:rPr>
        <w:t>LZC-GK-临[2024]2841号</w:t>
      </w:r>
      <w:r>
        <w:rPr>
          <w:rFonts w:hint="eastAsia" w:ascii="宋体" w:hAnsi="宋体" w:cs="宋体"/>
          <w:color w:val="auto"/>
          <w:sz w:val="30"/>
          <w:szCs w:val="30"/>
        </w:rPr>
        <w:t>）</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pacing w:line="360" w:lineRule="auto"/>
        <w:jc w:val="center"/>
        <w:rPr>
          <w:rFonts w:hint="eastAsia" w:ascii="宋体" w:hAnsi="宋体" w:cs="宋体"/>
          <w:bCs/>
          <w:sz w:val="32"/>
          <w:szCs w:val="32"/>
          <w:lang w:eastAsia="zh-CN"/>
        </w:rPr>
      </w:pPr>
      <w:r>
        <w:rPr>
          <w:rFonts w:hint="eastAsia" w:ascii="宋体" w:hAnsi="宋体" w:cs="宋体"/>
          <w:bCs/>
          <w:sz w:val="32"/>
          <w:szCs w:val="32"/>
          <w:lang w:eastAsia="zh-CN"/>
        </w:rPr>
        <w:t>杭州市临安区中医院</w:t>
      </w:r>
    </w:p>
    <w:p>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sz w:val="32"/>
          <w:szCs w:val="32"/>
          <w:lang w:eastAsia="zh-CN"/>
        </w:rPr>
        <w:t>杭州市公共资</w:t>
      </w:r>
      <w:r>
        <w:rPr>
          <w:rFonts w:hint="eastAsia" w:ascii="宋体" w:hAnsi="宋体" w:cs="宋体"/>
          <w:bCs/>
          <w:color w:val="auto"/>
          <w:sz w:val="32"/>
          <w:szCs w:val="32"/>
          <w:lang w:eastAsia="zh-CN"/>
        </w:rPr>
        <w:t>源交易</w:t>
      </w:r>
      <w:r>
        <w:rPr>
          <w:rFonts w:hint="eastAsia" w:ascii="宋体" w:hAnsi="宋体" w:cs="宋体"/>
          <w:bCs/>
          <w:color w:val="auto"/>
          <w:sz w:val="32"/>
          <w:szCs w:val="32"/>
          <w:highlight w:val="none"/>
          <w:lang w:eastAsia="zh-CN"/>
        </w:rPr>
        <w:t>中心临安分中心</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十</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eastAsia="zh-CN"/>
        </w:rPr>
        <w:t>十二</w:t>
      </w:r>
      <w:r>
        <w:rPr>
          <w:rFonts w:hint="eastAsia" w:ascii="宋体" w:hAnsi="宋体" w:cs="宋体"/>
          <w:bCs/>
          <w:color w:val="auto"/>
          <w:sz w:val="32"/>
          <w:szCs w:val="32"/>
          <w:highlight w:val="none"/>
        </w:rPr>
        <w:t>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highlight w:val="none"/>
          <w:u w:val="single"/>
        </w:rPr>
      </w:pPr>
      <w:r>
        <w:rPr>
          <w:rFonts w:hint="eastAsia" w:asciiTheme="minorEastAsia" w:hAnsiTheme="minorEastAsia" w:eastAsiaTheme="minorEastAsia"/>
          <w:sz w:val="24"/>
        </w:rPr>
        <w:t>杭州市临安区中医院服务器等设备采购项目的潜在投标人应在政采云平台（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7"/>
          <w:rFonts w:cs="Times New Roman" w:asciiTheme="minorEastAsia" w:hAnsiTheme="minorEastAsia" w:eastAsiaTheme="minorEastAsia"/>
          <w:snapToGrid/>
          <w:kern w:val="2"/>
          <w:sz w:val="24"/>
          <w:szCs w:val="24"/>
          <w:highlight w:val="none"/>
        </w:rPr>
        <w:t>https://www.zcygov.cn/）获取（下载）招标文件，并于</w:t>
      </w:r>
      <w:r>
        <w:rPr>
          <w:rStyle w:val="77"/>
          <w:rFonts w:hint="eastAsia" w:cs="Times New Roman" w:asciiTheme="minorEastAsia" w:hAnsiTheme="minorEastAsia" w:eastAsiaTheme="minorEastAsia"/>
          <w:snapToGrid/>
          <w:kern w:val="2"/>
          <w:sz w:val="24"/>
          <w:szCs w:val="24"/>
          <w:highlight w:val="none"/>
          <w:u w:val="single"/>
        </w:rPr>
        <w:t>202</w:t>
      </w:r>
      <w:r>
        <w:rPr>
          <w:rStyle w:val="77"/>
          <w:rFonts w:hint="eastAsia" w:cs="Times New Roman" w:asciiTheme="minorEastAsia" w:hAnsiTheme="minorEastAsia" w:eastAsiaTheme="minorEastAsia"/>
          <w:snapToGrid/>
          <w:kern w:val="2"/>
          <w:sz w:val="24"/>
          <w:szCs w:val="24"/>
          <w:highlight w:val="none"/>
          <w:u w:val="single"/>
          <w:lang w:val="en-US" w:eastAsia="zh-CN"/>
        </w:rPr>
        <w:t>4</w:t>
      </w:r>
      <w:r>
        <w:rPr>
          <w:rStyle w:val="77"/>
          <w:rFonts w:cs="Times New Roman" w:asciiTheme="minorEastAsia" w:hAnsiTheme="minorEastAsia" w:eastAsiaTheme="minorEastAsia"/>
          <w:snapToGrid/>
          <w:kern w:val="2"/>
          <w:sz w:val="24"/>
          <w:szCs w:val="24"/>
          <w:highlight w:val="none"/>
          <w:u w:val="single"/>
        </w:rPr>
        <w:t>年</w:t>
      </w:r>
      <w:r>
        <w:rPr>
          <w:rStyle w:val="77"/>
          <w:rFonts w:hint="eastAsia" w:cs="Times New Roman" w:asciiTheme="minorEastAsia" w:hAnsiTheme="minorEastAsia" w:eastAsiaTheme="minorEastAsia"/>
          <w:snapToGrid/>
          <w:kern w:val="2"/>
          <w:sz w:val="24"/>
          <w:szCs w:val="24"/>
          <w:highlight w:val="none"/>
          <w:u w:val="single"/>
          <w:lang w:val="en-US" w:eastAsia="zh-CN"/>
        </w:rPr>
        <w:t>11</w:t>
      </w:r>
      <w:r>
        <w:rPr>
          <w:rStyle w:val="77"/>
          <w:rFonts w:hint="eastAsia" w:cs="Times New Roman" w:asciiTheme="minorEastAsia" w:hAnsiTheme="minorEastAsia" w:eastAsiaTheme="minorEastAsia"/>
          <w:snapToGrid/>
          <w:kern w:val="2"/>
          <w:sz w:val="24"/>
          <w:szCs w:val="24"/>
          <w:highlight w:val="none"/>
          <w:u w:val="single"/>
        </w:rPr>
        <w:t>月</w:t>
      </w:r>
      <w:r>
        <w:rPr>
          <w:rStyle w:val="77"/>
          <w:rFonts w:hint="eastAsia" w:cs="Times New Roman" w:asciiTheme="minorEastAsia" w:hAnsiTheme="minorEastAsia" w:eastAsiaTheme="minorEastAsia"/>
          <w:snapToGrid/>
          <w:kern w:val="2"/>
          <w:sz w:val="24"/>
          <w:szCs w:val="24"/>
          <w:highlight w:val="none"/>
          <w:u w:val="single"/>
          <w:lang w:val="en-US" w:eastAsia="zh-CN"/>
        </w:rPr>
        <w:t>7</w:t>
      </w:r>
      <w:r>
        <w:rPr>
          <w:rStyle w:val="77"/>
          <w:rFonts w:hint="eastAsia" w:cs="Times New Roman" w:asciiTheme="minorEastAsia" w:hAnsiTheme="minorEastAsia" w:eastAsiaTheme="minorEastAsia"/>
          <w:snapToGrid/>
          <w:kern w:val="2"/>
          <w:sz w:val="24"/>
          <w:szCs w:val="24"/>
          <w:highlight w:val="none"/>
          <w:u w:val="single"/>
        </w:rPr>
        <w:t>日</w:t>
      </w:r>
      <w:r>
        <w:rPr>
          <w:rStyle w:val="77"/>
          <w:rFonts w:hint="eastAsia" w:cs="Times New Roman" w:asciiTheme="minorEastAsia" w:hAnsiTheme="minorEastAsia" w:eastAsiaTheme="minorEastAsia"/>
          <w:snapToGrid/>
          <w:kern w:val="2"/>
          <w:sz w:val="24"/>
          <w:szCs w:val="24"/>
          <w:highlight w:val="none"/>
          <w:u w:val="single"/>
          <w:lang w:val="en-US" w:eastAsia="zh-CN"/>
        </w:rPr>
        <w:t>13</w:t>
      </w:r>
      <w:r>
        <w:rPr>
          <w:rStyle w:val="77"/>
          <w:rFonts w:hint="eastAsia" w:cs="Times New Roman" w:asciiTheme="minorEastAsia" w:hAnsiTheme="minorEastAsia" w:eastAsiaTheme="minorEastAsia"/>
          <w:snapToGrid/>
          <w:kern w:val="2"/>
          <w:sz w:val="24"/>
          <w:szCs w:val="24"/>
          <w:highlight w:val="none"/>
          <w:u w:val="single"/>
        </w:rPr>
        <w:t>点</w:t>
      </w:r>
      <w:r>
        <w:rPr>
          <w:rStyle w:val="77"/>
          <w:rFonts w:hint="eastAsia" w:cs="Times New Roman" w:asciiTheme="minorEastAsia" w:hAnsiTheme="minorEastAsia" w:eastAsiaTheme="minorEastAsia"/>
          <w:snapToGrid/>
          <w:kern w:val="2"/>
          <w:sz w:val="24"/>
          <w:szCs w:val="24"/>
          <w:highlight w:val="none"/>
          <w:u w:val="single"/>
          <w:lang w:val="en-US" w:eastAsia="zh-CN"/>
        </w:rPr>
        <w:t>30</w:t>
      </w:r>
      <w:r>
        <w:rPr>
          <w:rStyle w:val="77"/>
          <w:rFonts w:hint="eastAsia" w:cs="Times New Roman" w:asciiTheme="minorEastAsia" w:hAnsiTheme="minorEastAsia" w:eastAsiaTheme="minorEastAsia"/>
          <w:snapToGrid/>
          <w:kern w:val="2"/>
          <w:sz w:val="24"/>
          <w:szCs w:val="24"/>
          <w:highlight w:val="none"/>
          <w:u w:val="single"/>
        </w:rPr>
        <w:t>分</w:t>
      </w:r>
      <w:r>
        <w:rPr>
          <w:rStyle w:val="77"/>
          <w:rFonts w:hint="eastAsia" w:cs="Times New Roman" w:asciiTheme="minorEastAsia" w:hAnsiTheme="minorEastAsia" w:eastAsiaTheme="minorEastAsia"/>
          <w:bCs/>
          <w:snapToGrid/>
          <w:kern w:val="2"/>
          <w:sz w:val="24"/>
          <w:szCs w:val="24"/>
          <w:highlight w:val="none"/>
          <w:u w:val="single"/>
        </w:rPr>
        <w:t>00秒</w:t>
      </w:r>
      <w:r>
        <w:rPr>
          <w:rStyle w:val="77"/>
          <w:rFonts w:hint="eastAsia" w:cs="Times New Roman" w:asciiTheme="minorEastAsia" w:hAnsiTheme="minorEastAsia" w:eastAsiaTheme="minorEastAsia"/>
          <w:bCs/>
          <w:snapToGrid/>
          <w:kern w:val="2"/>
          <w:sz w:val="24"/>
          <w:szCs w:val="24"/>
          <w:highlight w:val="none"/>
        </w:rPr>
        <w:fldChar w:fldCharType="end"/>
      </w:r>
      <w:r>
        <w:rPr>
          <w:rFonts w:hint="eastAsia" w:asciiTheme="minorEastAsia" w:hAnsiTheme="minorEastAsia" w:eastAsiaTheme="minorEastAsia"/>
          <w:bCs/>
          <w:sz w:val="24"/>
          <w:highlight w:val="none"/>
        </w:rPr>
        <w:t>（北京时间）前</w:t>
      </w:r>
      <w:r>
        <w:rPr>
          <w:rFonts w:hint="eastAsia" w:asciiTheme="minorEastAsia" w:hAnsiTheme="minorEastAsia" w:eastAsiaTheme="minorEastAsia"/>
          <w:sz w:val="24"/>
          <w:highlight w:val="none"/>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ascii="宋体" w:hAnsi="宋体" w:cs="宋体"/>
          <w:b w:val="0"/>
          <w:bCs/>
          <w:sz w:val="24"/>
        </w:rPr>
      </w:pPr>
      <w:r>
        <w:rPr>
          <w:rFonts w:hint="eastAsia" w:ascii="宋体" w:hAnsi="宋体" w:cs="宋体"/>
          <w:sz w:val="24"/>
        </w:rPr>
        <w:t xml:space="preserve">    </w:t>
      </w:r>
      <w:r>
        <w:rPr>
          <w:rFonts w:hint="eastAsia" w:ascii="宋体" w:hAnsi="宋体" w:cs="宋体"/>
          <w:b/>
          <w:sz w:val="24"/>
        </w:rPr>
        <w:t>项目编号：</w:t>
      </w:r>
      <w:bookmarkStart w:id="11" w:name="OLE_LINK2"/>
      <w:r>
        <w:rPr>
          <w:rFonts w:hint="eastAsia" w:ascii="宋体" w:hAnsi="宋体" w:cs="宋体"/>
          <w:b w:val="0"/>
          <w:bCs/>
          <w:sz w:val="24"/>
          <w:lang w:val="en-US" w:eastAsia="zh-CN"/>
        </w:rPr>
        <w:t>LZC-GK-临[2024]2841号</w:t>
      </w:r>
      <w:bookmarkEnd w:id="11"/>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b w:val="0"/>
          <w:bCs/>
          <w:sz w:val="24"/>
        </w:rPr>
        <w:t>杭州市临安区中医院服务器等设备采购项目</w:t>
      </w:r>
    </w:p>
    <w:p>
      <w:pPr>
        <w:spacing w:line="360" w:lineRule="auto"/>
        <w:rPr>
          <w:rFonts w:hint="default" w:ascii="宋体" w:hAnsi="宋体" w:eastAsia="宋体" w:cs="宋体"/>
          <w:color w:val="0000FF"/>
          <w:sz w:val="24"/>
          <w:lang w:val="en-US" w:eastAsia="zh-CN"/>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
          <w:sz w:val="24"/>
          <w:lang w:val="en-US" w:eastAsia="zh-CN"/>
        </w:rPr>
        <w:t>5000000</w:t>
      </w:r>
    </w:p>
    <w:p>
      <w:pPr>
        <w:spacing w:line="360" w:lineRule="auto"/>
        <w:ind w:firstLine="480"/>
        <w:rPr>
          <w:rFonts w:hint="default" w:ascii="宋体" w:hAnsi="宋体" w:eastAsia="宋体" w:cs="宋体"/>
          <w:color w:val="0000FF"/>
          <w:sz w:val="24"/>
          <w:lang w:val="en-US" w:eastAsia="zh-CN"/>
        </w:rPr>
      </w:pPr>
      <w:r>
        <w:rPr>
          <w:rFonts w:hint="eastAsia" w:ascii="宋体" w:hAnsi="宋体" w:cs="宋体"/>
          <w:b/>
          <w:sz w:val="24"/>
        </w:rPr>
        <w:t>最高限价（元）：</w:t>
      </w:r>
      <w:r>
        <w:rPr>
          <w:rFonts w:hint="eastAsia" w:ascii="宋体" w:hAnsi="宋体" w:cs="宋体"/>
          <w:b/>
          <w:sz w:val="24"/>
          <w:lang w:val="en-US" w:eastAsia="zh-CN"/>
        </w:rPr>
        <w:t>5000000</w:t>
      </w:r>
    </w:p>
    <w:p>
      <w:pPr>
        <w:pStyle w:val="6"/>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pStyle w:val="129"/>
        <w:ind w:firstLine="482"/>
        <w:outlineLvl w:val="2"/>
        <w:rPr>
          <w:rFonts w:hint="eastAsia" w:ascii="宋体" w:hAnsi="宋体" w:eastAsia="宋体" w:cs="宋体"/>
          <w:b w:val="0"/>
          <w:bCs/>
          <w:color w:val="0000FF"/>
          <w:sz w:val="15"/>
          <w:szCs w:val="15"/>
          <w:lang w:eastAsia="zh-CN"/>
        </w:rPr>
      </w:pPr>
      <w:r>
        <w:rPr>
          <w:rFonts w:hint="eastAsia" w:ascii="宋体" w:hAnsi="宋体" w:cs="宋体"/>
          <w:b/>
        </w:rPr>
        <w:t>合同履约期限：</w:t>
      </w:r>
      <w:r>
        <w:rPr>
          <w:rFonts w:hint="eastAsia" w:ascii="宋体" w:hAnsi="宋体" w:cs="宋体"/>
          <w:bCs/>
          <w:sz w:val="24"/>
        </w:rPr>
        <w:t>合同签订后60</w:t>
      </w:r>
      <w:r>
        <w:rPr>
          <w:rFonts w:hint="eastAsia" w:ascii="宋体" w:hAnsi="宋体" w:cs="宋体"/>
          <w:bCs/>
          <w:sz w:val="24"/>
          <w:lang w:eastAsia="zh-CN"/>
        </w:rPr>
        <w:t>日历</w:t>
      </w:r>
      <w:r>
        <w:rPr>
          <w:rFonts w:hint="eastAsia" w:ascii="宋体" w:hAnsi="宋体" w:cs="宋体"/>
          <w:bCs/>
          <w:sz w:val="24"/>
        </w:rPr>
        <w:t>天完成设备采购并安装调试运行完成。</w:t>
      </w:r>
    </w:p>
    <w:p>
      <w:pPr>
        <w:pStyle w:val="6"/>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w:t>
      </w:r>
      <w:bookmarkStart w:id="12" w:name="_Hlk101132948"/>
      <w:r>
        <w:rPr>
          <w:rFonts w:hint="eastAsia" w:ascii="宋体" w:hAnsi="宋体" w:cs="宋体"/>
          <w:b/>
          <w:sz w:val="24"/>
        </w:rPr>
        <w:t>申请人的资格要求</w:t>
      </w:r>
      <w:bookmarkEnd w:id="12"/>
      <w:r>
        <w:rPr>
          <w:rFonts w:hint="eastAsia" w:ascii="宋体" w:hAnsi="宋体" w:cs="宋体"/>
          <w:b/>
          <w:sz w:val="24"/>
        </w:rPr>
        <w:t>：</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kern w:val="28"/>
          <w:sz w:val="24"/>
          <w:szCs w:val="20"/>
        </w:rPr>
        <w:t>3</w:t>
      </w:r>
      <w:r>
        <w:rPr>
          <w:rFonts w:hint="eastAsia" w:ascii="宋体" w:hAnsi="宋体" w:cs="宋体"/>
          <w:snapToGrid w:val="0"/>
          <w:kern w:val="28"/>
          <w:sz w:val="24"/>
          <w:szCs w:val="20"/>
        </w:rPr>
        <w:t>.落实</w:t>
      </w:r>
      <w:r>
        <w:rPr>
          <w:rFonts w:hint="eastAsia" w:ascii="宋体" w:hAnsi="宋体" w:cs="宋体"/>
          <w:snapToGrid w:val="0"/>
          <w:color w:val="auto"/>
          <w:kern w:val="28"/>
          <w:sz w:val="24"/>
          <w:szCs w:val="20"/>
          <w:highlight w:val="none"/>
        </w:rPr>
        <w:t>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货物全部由符合政策要求的中小</w:t>
      </w:r>
      <w:r>
        <w:rPr>
          <w:rFonts w:hint="eastAsia" w:ascii="宋体" w:hAnsi="宋体" w:cs="宋体"/>
          <w:color w:val="auto"/>
          <w:sz w:val="24"/>
          <w:highlight w:val="none"/>
          <w:lang w:val="en-US" w:eastAsia="zh-CN"/>
        </w:rPr>
        <w:t>微</w:t>
      </w:r>
      <w:r>
        <w:rPr>
          <w:rFonts w:hint="eastAsia" w:ascii="宋体" w:hAnsi="宋体" w:cs="宋体"/>
          <w:color w:val="auto"/>
          <w:sz w:val="24"/>
          <w:highlight w:val="none"/>
        </w:rPr>
        <w:t>企业制造，提供中小企业声明函；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3"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3"/>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numPr>
          <w:ilvl w:val="0"/>
          <w:numId w:val="2"/>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本项目的特定资格要求：</w:t>
      </w:r>
    </w:p>
    <w:p>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50898254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p>
    <w:p>
      <w:pPr>
        <w:snapToGrid w:val="0"/>
        <w:spacing w:line="360" w:lineRule="auto"/>
        <w:ind w:firstLine="480" w:firstLineChars="200"/>
        <w:rPr>
          <w:color w:val="auto"/>
          <w:highlight w:val="non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rPr>
      </w:pPr>
      <w:r>
        <w:rPr>
          <w:rFonts w:hint="eastAsia" w:ascii="宋体" w:hAnsi="宋体" w:cs="宋体"/>
          <w:b/>
          <w:sz w:val="24"/>
        </w:rPr>
        <w:t>三、获取招标文</w:t>
      </w:r>
      <w:r>
        <w:rPr>
          <w:rFonts w:hint="eastAsia" w:ascii="宋体" w:hAnsi="宋体" w:cs="宋体"/>
          <w:b/>
          <w:color w:val="auto"/>
          <w:sz w:val="24"/>
        </w:rPr>
        <w:t xml:space="preserve">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 xml:space="preserve"> 1.采购人信息</w:t>
      </w:r>
    </w:p>
    <w:p>
      <w:pPr>
        <w:spacing w:line="360" w:lineRule="auto"/>
        <w:rPr>
          <w:rFonts w:ascii="宋体" w:hAnsi="宋体" w:cs="宋体"/>
          <w:color w:val="auto"/>
          <w:sz w:val="24"/>
        </w:rPr>
      </w:pPr>
      <w:r>
        <w:rPr>
          <w:rFonts w:hint="eastAsia" w:ascii="宋体" w:hAnsi="宋体" w:cs="宋体"/>
          <w:color w:val="auto"/>
          <w:sz w:val="24"/>
        </w:rPr>
        <w:t xml:space="preserve">    名    称：杭州市临安区</w:t>
      </w:r>
      <w:r>
        <w:rPr>
          <w:rFonts w:hint="eastAsia" w:ascii="宋体" w:hAnsi="宋体" w:cs="宋体"/>
          <w:color w:val="auto"/>
          <w:sz w:val="24"/>
          <w:lang w:eastAsia="zh-CN"/>
        </w:rPr>
        <w:t>中医院</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cs="宋体"/>
          <w:color w:val="auto"/>
          <w:sz w:val="24"/>
          <w:lang w:eastAsia="zh-CN"/>
        </w:rPr>
        <w:t>杭州市</w:t>
      </w:r>
      <w:r>
        <w:rPr>
          <w:rFonts w:hint="eastAsia" w:ascii="宋体" w:hAnsi="宋体" w:cs="宋体"/>
          <w:color w:val="auto"/>
          <w:sz w:val="24"/>
        </w:rPr>
        <w:t xml:space="preserve">临安区锦北街道溪水北路288号       </w:t>
      </w:r>
    </w:p>
    <w:p>
      <w:pPr>
        <w:spacing w:line="360" w:lineRule="auto"/>
        <w:ind w:firstLine="480"/>
        <w:rPr>
          <w:rFonts w:ascii="宋体" w:hAnsi="宋体" w:cs="宋体"/>
          <w:color w:val="auto"/>
          <w:sz w:val="24"/>
          <w:highlight w:val="none"/>
        </w:rPr>
      </w:pPr>
      <w:r>
        <w:rPr>
          <w:rFonts w:hint="eastAsia" w:ascii="宋体" w:hAnsi="宋体" w:cs="宋体"/>
          <w:color w:val="auto"/>
          <w:sz w:val="24"/>
        </w:rPr>
        <w:t>传    真：</w:t>
      </w:r>
      <w:r>
        <w:rPr>
          <w:rFonts w:hint="eastAsia"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项目联系人（询问）：朱中樑</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项目联系方式（询问）：0571-61068029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质疑联系人：蔡湘军</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w:t>
      </w:r>
      <w:r>
        <w:rPr>
          <w:rFonts w:hint="eastAsia" w:ascii="宋体" w:hAnsi="宋体" w:cs="宋体"/>
          <w:color w:val="auto"/>
          <w:sz w:val="24"/>
          <w:highlight w:val="none"/>
        </w:rPr>
        <w:t>63819897</w:t>
      </w:r>
    </w:p>
    <w:p>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pPr>
        <w:spacing w:line="360" w:lineRule="auto"/>
        <w:ind w:firstLine="480" w:firstLineChars="200"/>
        <w:rPr>
          <w:rFonts w:hint="eastAsia" w:ascii="宋体" w:hAnsi="宋体" w:cs="宋体"/>
          <w:sz w:val="24"/>
        </w:rPr>
      </w:pPr>
      <w:r>
        <w:rPr>
          <w:rFonts w:hint="eastAsia" w:ascii="宋体" w:hAnsi="宋体" w:cs="宋体"/>
          <w:sz w:val="24"/>
        </w:rPr>
        <w:t>名    称：杭州市公共资源交易中心</w:t>
      </w:r>
      <w:r>
        <w:rPr>
          <w:rFonts w:hint="eastAsia" w:ascii="宋体" w:hAnsi="宋体" w:cs="宋体"/>
          <w:sz w:val="24"/>
          <w:lang w:eastAsia="zh-CN"/>
        </w:rPr>
        <w:t>临安分中心</w:t>
      </w:r>
    </w:p>
    <w:p>
      <w:pPr>
        <w:spacing w:line="360" w:lineRule="auto"/>
        <w:ind w:firstLine="480" w:firstLineChars="200"/>
        <w:rPr>
          <w:rFonts w:hint="eastAsia" w:ascii="宋体" w:hAnsi="宋体" w:cs="宋体"/>
          <w:sz w:val="24"/>
        </w:rPr>
      </w:pPr>
      <w:r>
        <w:rPr>
          <w:rFonts w:hint="eastAsia" w:ascii="宋体" w:hAnsi="宋体" w:cs="宋体"/>
          <w:sz w:val="24"/>
        </w:rPr>
        <w:t>地    址：</w:t>
      </w:r>
      <w:r>
        <w:rPr>
          <w:rFonts w:hint="eastAsia" w:ascii="宋体" w:hAnsi="宋体" w:cs="宋体"/>
          <w:sz w:val="24"/>
          <w:lang w:eastAsia="zh-CN"/>
        </w:rPr>
        <w:t>浙江省杭州市临安区锦北街道科技大道</w:t>
      </w:r>
      <w:r>
        <w:rPr>
          <w:rFonts w:hint="eastAsia" w:ascii="宋体" w:hAnsi="宋体" w:cs="宋体"/>
          <w:sz w:val="24"/>
          <w:lang w:val="en-US" w:eastAsia="zh-CN"/>
        </w:rPr>
        <w:t>4398号市民中心4楼</w:t>
      </w:r>
    </w:p>
    <w:p>
      <w:pPr>
        <w:spacing w:line="360" w:lineRule="auto"/>
        <w:rPr>
          <w:rFonts w:hint="eastAsia" w:ascii="宋体" w:hAnsi="宋体" w:cs="宋体"/>
          <w:sz w:val="24"/>
        </w:rPr>
      </w:pPr>
      <w:r>
        <w:rPr>
          <w:rFonts w:hint="eastAsia" w:ascii="宋体" w:hAnsi="宋体" w:cs="宋体"/>
          <w:sz w:val="24"/>
        </w:rPr>
        <w:t xml:space="preserve">    传    真：</w:t>
      </w:r>
      <w:r>
        <w:rPr>
          <w:rFonts w:hint="eastAsia" w:ascii="宋体" w:hAnsi="宋体" w:cs="宋体"/>
          <w:sz w:val="24"/>
          <w:lang w:val="en-US" w:eastAsia="zh-CN"/>
        </w:rPr>
        <w:t>0571-23616016</w:t>
      </w:r>
      <w:r>
        <w:rPr>
          <w:rFonts w:hint="eastAsia" w:ascii="宋体" w:hAnsi="宋体" w:cs="宋体"/>
          <w:sz w:val="24"/>
        </w:rPr>
        <w:t xml:space="preserve">             </w:t>
      </w:r>
    </w:p>
    <w:p>
      <w:pPr>
        <w:spacing w:line="360" w:lineRule="auto"/>
        <w:rPr>
          <w:rFonts w:hint="eastAsia" w:ascii="宋体" w:hAnsi="宋体" w:cs="宋体"/>
          <w:sz w:val="24"/>
          <w:highlight w:val="none"/>
        </w:rPr>
      </w:pPr>
      <w:r>
        <w:rPr>
          <w:rFonts w:hint="eastAsia" w:ascii="宋体" w:hAnsi="宋体" w:cs="宋体"/>
          <w:sz w:val="24"/>
        </w:rPr>
        <w:t xml:space="preserve">   </w:t>
      </w:r>
      <w:r>
        <w:rPr>
          <w:rFonts w:hint="eastAsia" w:ascii="宋体" w:hAnsi="宋体" w:cs="宋体"/>
          <w:sz w:val="24"/>
          <w:highlight w:val="none"/>
        </w:rPr>
        <w:t xml:space="preserve"> 项目联系人（询问）：</w:t>
      </w:r>
      <w:r>
        <w:rPr>
          <w:rFonts w:hint="eastAsia" w:ascii="宋体" w:hAnsi="宋体" w:cs="宋体"/>
          <w:sz w:val="24"/>
          <w:highlight w:val="none"/>
          <w:lang w:eastAsia="zh-CN"/>
        </w:rPr>
        <w:t>邵旭峰</w:t>
      </w:r>
      <w:r>
        <w:rPr>
          <w:rFonts w:hint="eastAsia" w:ascii="宋体" w:hAnsi="宋体" w:cs="宋体"/>
          <w:sz w:val="24"/>
          <w:highlight w:val="none"/>
        </w:rPr>
        <w:t xml:space="preserve">         </w:t>
      </w:r>
    </w:p>
    <w:p>
      <w:pPr>
        <w:spacing w:line="360" w:lineRule="auto"/>
        <w:ind w:firstLine="480"/>
        <w:rPr>
          <w:rFonts w:hint="eastAsia" w:ascii="宋体" w:hAnsi="宋体" w:cs="宋体"/>
          <w:sz w:val="24"/>
          <w:highlight w:val="none"/>
          <w:lang w:val="en-US" w:eastAsia="zh-CN"/>
        </w:rPr>
      </w:pPr>
      <w:r>
        <w:rPr>
          <w:rFonts w:hint="eastAsia" w:ascii="宋体" w:hAnsi="宋体" w:cs="宋体"/>
          <w:sz w:val="24"/>
          <w:highlight w:val="none"/>
        </w:rPr>
        <w:t>项目联系方式（询问）：</w:t>
      </w:r>
      <w:r>
        <w:rPr>
          <w:rFonts w:hint="eastAsia" w:ascii="宋体" w:hAnsi="宋体" w:cs="宋体"/>
          <w:sz w:val="24"/>
          <w:highlight w:val="none"/>
          <w:lang w:val="en-US" w:eastAsia="zh-CN"/>
        </w:rPr>
        <w:t>0571-89540588</w:t>
      </w:r>
    </w:p>
    <w:p>
      <w:pPr>
        <w:spacing w:line="360" w:lineRule="auto"/>
        <w:ind w:firstLine="480"/>
        <w:rPr>
          <w:rFonts w:hint="eastAsia" w:ascii="宋体" w:hAnsi="宋体" w:cs="宋体"/>
          <w:sz w:val="24"/>
          <w:highlight w:val="none"/>
        </w:rPr>
      </w:pPr>
      <w:r>
        <w:rPr>
          <w:rFonts w:hint="eastAsia" w:ascii="宋体" w:hAnsi="宋体" w:cs="宋体"/>
          <w:sz w:val="24"/>
          <w:highlight w:val="none"/>
        </w:rPr>
        <w:t>质疑联系人：</w:t>
      </w:r>
      <w:r>
        <w:rPr>
          <w:rFonts w:hint="eastAsia" w:ascii="宋体" w:hAnsi="宋体" w:cs="宋体"/>
          <w:sz w:val="24"/>
          <w:highlight w:val="none"/>
          <w:lang w:eastAsia="zh-CN"/>
        </w:rPr>
        <w:t>杨颖</w:t>
      </w:r>
      <w:r>
        <w:rPr>
          <w:rFonts w:hint="eastAsia" w:ascii="宋体" w:hAnsi="宋体" w:cs="宋体"/>
          <w:sz w:val="24"/>
          <w:highlight w:val="none"/>
        </w:rPr>
        <w:t xml:space="preserve">             </w:t>
      </w:r>
    </w:p>
    <w:p>
      <w:pPr>
        <w:spacing w:line="360" w:lineRule="auto"/>
        <w:ind w:firstLine="480"/>
        <w:rPr>
          <w:rFonts w:hint="default" w:ascii="宋体" w:hAnsi="宋体" w:cs="宋体"/>
          <w:sz w:val="24"/>
          <w:highlight w:val="none"/>
          <w:lang w:val="en-US" w:eastAsia="zh-CN"/>
        </w:rPr>
      </w:pPr>
      <w:r>
        <w:rPr>
          <w:rFonts w:hint="eastAsia" w:ascii="宋体" w:hAnsi="宋体" w:cs="宋体"/>
          <w:sz w:val="24"/>
          <w:highlight w:val="none"/>
        </w:rPr>
        <w:t>质疑联系方式：0571-</w:t>
      </w:r>
      <w:r>
        <w:rPr>
          <w:rFonts w:hint="eastAsia" w:ascii="宋体" w:hAnsi="宋体" w:cs="宋体"/>
          <w:sz w:val="24"/>
          <w:highlight w:val="none"/>
          <w:lang w:val="en-US" w:eastAsia="zh-CN"/>
        </w:rPr>
        <w:t>89540611</w:t>
      </w:r>
    </w:p>
    <w:p>
      <w:pPr>
        <w:spacing w:line="360" w:lineRule="auto"/>
        <w:ind w:firstLine="480"/>
        <w:rPr>
          <w:rFonts w:ascii="宋体" w:hAnsi="宋体" w:cs="宋体"/>
          <w:sz w:val="24"/>
          <w:highlight w:val="none"/>
        </w:rPr>
      </w:pPr>
      <w:r>
        <w:rPr>
          <w:rFonts w:hint="eastAsia" w:ascii="宋体" w:hAnsi="宋体" w:cs="宋体"/>
          <w:sz w:val="24"/>
          <w:highlight w:val="none"/>
        </w:rPr>
        <w:t>3.</w:t>
      </w:r>
      <w:r>
        <w:rPr>
          <w:rFonts w:hint="eastAsia"/>
          <w:highlight w:val="none"/>
        </w:rPr>
        <w:t xml:space="preserve"> </w:t>
      </w:r>
      <w:r>
        <w:rPr>
          <w:rFonts w:hint="eastAsia" w:ascii="宋体" w:hAnsi="宋体" w:cs="宋体"/>
          <w:sz w:val="24"/>
          <w:highlight w:val="none"/>
        </w:rPr>
        <w:t xml:space="preserve">同级政府采购监督管理部门            </w:t>
      </w:r>
    </w:p>
    <w:p>
      <w:pPr>
        <w:spacing w:line="360" w:lineRule="auto"/>
        <w:ind w:firstLine="480"/>
        <w:rPr>
          <w:rFonts w:hint="eastAsia" w:ascii="宋体" w:hAnsi="宋体" w:cs="宋体"/>
          <w:sz w:val="24"/>
          <w:highlight w:val="none"/>
        </w:rPr>
      </w:pPr>
      <w:r>
        <w:rPr>
          <w:rFonts w:hint="eastAsia" w:ascii="宋体" w:hAnsi="宋体" w:cs="宋体"/>
          <w:sz w:val="24"/>
          <w:highlight w:val="none"/>
        </w:rPr>
        <w:t>名 称：杭州市临安区财政局政府采购监管科、浙江省政府采购行政裁决服务中心（杭州）</w:t>
      </w:r>
    </w:p>
    <w:p>
      <w:pPr>
        <w:spacing w:line="360" w:lineRule="auto"/>
        <w:ind w:firstLine="480"/>
        <w:rPr>
          <w:rFonts w:hint="eastAsia" w:ascii="宋体" w:hAnsi="宋体" w:cs="宋体"/>
          <w:sz w:val="24"/>
          <w:highlight w:val="none"/>
        </w:rPr>
      </w:pPr>
      <w:r>
        <w:rPr>
          <w:rFonts w:hint="eastAsia" w:ascii="宋体" w:hAnsi="宋体" w:cs="宋体"/>
          <w:sz w:val="24"/>
          <w:highlight w:val="none"/>
        </w:rPr>
        <w:t>地</w:t>
      </w:r>
      <w:r>
        <w:rPr>
          <w:rFonts w:hint="eastAsia" w:ascii="宋体" w:hAnsi="宋体" w:cs="宋体"/>
          <w:sz w:val="24"/>
          <w:highlight w:val="none"/>
          <w:lang w:val="en-US" w:eastAsia="zh-CN"/>
        </w:rPr>
        <w:t xml:space="preserve">    </w:t>
      </w:r>
      <w:r>
        <w:rPr>
          <w:rFonts w:hint="eastAsia" w:ascii="宋体" w:hAnsi="宋体" w:cs="宋体"/>
          <w:sz w:val="24"/>
          <w:highlight w:val="none"/>
        </w:rPr>
        <w:t>址：杭州市上城区清泰街549号城建综合大楼11楼（快递仅限ems或顺丰）</w:t>
      </w:r>
    </w:p>
    <w:p>
      <w:pPr>
        <w:spacing w:line="360" w:lineRule="auto"/>
        <w:ind w:firstLine="480"/>
        <w:rPr>
          <w:rFonts w:hint="eastAsia" w:ascii="宋体" w:hAnsi="宋体" w:cs="宋体"/>
          <w:sz w:val="24"/>
          <w:highlight w:val="none"/>
        </w:rPr>
      </w:pPr>
      <w:r>
        <w:rPr>
          <w:rFonts w:hint="eastAsia" w:ascii="宋体" w:hAnsi="宋体" w:cs="宋体"/>
          <w:sz w:val="24"/>
          <w:highlight w:val="none"/>
        </w:rPr>
        <w:t>传</w:t>
      </w:r>
      <w:r>
        <w:rPr>
          <w:rFonts w:hint="eastAsia" w:ascii="宋体" w:hAnsi="宋体" w:cs="宋体"/>
          <w:sz w:val="24"/>
          <w:highlight w:val="none"/>
          <w:lang w:val="en-US" w:eastAsia="zh-CN"/>
        </w:rPr>
        <w:t xml:space="preserve">    </w:t>
      </w:r>
      <w:r>
        <w:rPr>
          <w:rFonts w:hint="eastAsia" w:ascii="宋体" w:hAnsi="宋体" w:cs="宋体"/>
          <w:sz w:val="24"/>
          <w:highlight w:val="none"/>
        </w:rPr>
        <w:t>真：</w:t>
      </w:r>
      <w:bookmarkStart w:id="14" w:name="OLE_LINK3"/>
      <w:r>
        <w:rPr>
          <w:rFonts w:hint="eastAsia" w:ascii="宋体" w:hAnsi="宋体" w:cs="宋体"/>
          <w:sz w:val="24"/>
          <w:highlight w:val="none"/>
        </w:rPr>
        <w:t>0571-89541600</w:t>
      </w:r>
      <w:bookmarkEnd w:id="14"/>
    </w:p>
    <w:p>
      <w:pPr>
        <w:spacing w:line="360" w:lineRule="auto"/>
        <w:ind w:firstLine="480"/>
        <w:rPr>
          <w:rFonts w:hint="eastAsia" w:ascii="宋体" w:hAnsi="宋体" w:cs="宋体"/>
          <w:sz w:val="24"/>
          <w:highlight w:val="none"/>
        </w:rPr>
      </w:pPr>
      <w:r>
        <w:rPr>
          <w:rFonts w:hint="eastAsia" w:ascii="宋体" w:hAnsi="宋体" w:cs="宋体"/>
          <w:sz w:val="24"/>
          <w:highlight w:val="none"/>
        </w:rPr>
        <w:t>联</w:t>
      </w:r>
      <w:r>
        <w:rPr>
          <w:rFonts w:hint="eastAsia" w:ascii="宋体" w:hAnsi="宋体" w:cs="宋体"/>
          <w:sz w:val="24"/>
          <w:highlight w:val="none"/>
          <w:lang w:val="en-US" w:eastAsia="zh-CN"/>
        </w:rPr>
        <w:t xml:space="preserve"> </w:t>
      </w:r>
      <w:r>
        <w:rPr>
          <w:rFonts w:hint="eastAsia" w:ascii="宋体" w:hAnsi="宋体" w:cs="宋体"/>
          <w:sz w:val="24"/>
          <w:highlight w:val="none"/>
        </w:rPr>
        <w:t>系</w:t>
      </w:r>
      <w:r>
        <w:rPr>
          <w:rFonts w:hint="eastAsia" w:ascii="宋体" w:hAnsi="宋体" w:cs="宋体"/>
          <w:sz w:val="24"/>
          <w:highlight w:val="none"/>
          <w:lang w:val="en-US" w:eastAsia="zh-CN"/>
        </w:rPr>
        <w:t xml:space="preserve"> </w:t>
      </w:r>
      <w:r>
        <w:rPr>
          <w:rFonts w:hint="eastAsia" w:ascii="宋体" w:hAnsi="宋体" w:cs="宋体"/>
          <w:sz w:val="24"/>
          <w:highlight w:val="none"/>
        </w:rPr>
        <w:t>人 ：朱女士、王女士</w:t>
      </w:r>
    </w:p>
    <w:p>
      <w:pPr>
        <w:spacing w:line="360" w:lineRule="auto"/>
        <w:ind w:firstLine="480"/>
        <w:rPr>
          <w:rFonts w:ascii="宋体" w:hAnsi="宋体" w:cs="宋体"/>
          <w:sz w:val="24"/>
          <w:highlight w:val="none"/>
        </w:rPr>
      </w:pPr>
      <w:r>
        <w:rPr>
          <w:rFonts w:hint="eastAsia" w:ascii="宋体" w:hAnsi="宋体" w:cs="宋体"/>
          <w:sz w:val="24"/>
          <w:highlight w:val="none"/>
        </w:rPr>
        <w:t xml:space="preserve">监督投诉电话：0571-87800218、0571-87227671    </w:t>
      </w: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宋体" w:hAnsi="宋体" w:cs="宋体"/>
          <w:sz w:val="24"/>
          <w:highlight w:val="none"/>
        </w:rPr>
        <w:t>95763</w:t>
      </w:r>
      <w:r>
        <w:rPr>
          <w:rFonts w:hint="eastAsia" w:ascii="宋体" w:hAnsi="宋体" w:cs="宋体"/>
          <w:sz w:val="24"/>
        </w:rPr>
        <w:t>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pStyle w:val="37"/>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pPr>
        <w:pStyle w:val="4"/>
        <w:rPr>
          <w:rFonts w:ascii="宋体"/>
          <w:snapToGrid w:val="0"/>
        </w:rPr>
      </w:pPr>
      <w: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 xml:space="preserve"> </w:t>
            </w:r>
            <w:r>
              <w:rPr>
                <w:rFonts w:hint="eastAsia" w:ascii="宋体" w:hAnsi="宋体" w:eastAsia="宋体" w:cs="宋体"/>
                <w:b/>
                <w:bCs/>
                <w:color w:val="auto"/>
                <w:sz w:val="24"/>
                <w:highlight w:val="none"/>
                <w:u w:val="single"/>
                <w:lang w:val="en-US" w:eastAsia="zh-CN"/>
              </w:rPr>
              <w:t>HIS数据库服务器</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rPr>
              <w:t>标的：</w:t>
            </w:r>
            <w:r>
              <w:rPr>
                <w:rFonts w:hint="eastAsia" w:ascii="宋体" w:hAnsi="宋体" w:eastAsia="宋体" w:cs="宋体"/>
                <w:b/>
                <w:bCs/>
                <w:color w:val="auto"/>
                <w:sz w:val="24"/>
                <w:highlight w:val="none"/>
                <w:u w:val="single"/>
                <w:lang w:val="en-US" w:eastAsia="zh-CN"/>
              </w:rPr>
              <w:t xml:space="preserve"> HIS数据库服务器</w:t>
            </w:r>
            <w:r>
              <w:rPr>
                <w:rFonts w:hint="eastAsia" w:ascii="宋体" w:hAnsi="宋体" w:cs="宋体"/>
                <w:b/>
                <w:bCs/>
                <w:color w:val="auto"/>
                <w:sz w:val="24"/>
                <w:highlight w:val="none"/>
                <w:u w:val="single"/>
                <w:lang w:val="en-US" w:eastAsia="zh-CN"/>
              </w:rPr>
              <w:t>、EMR数据库服务器、光纤交换机、全闪存储、内网超融合一体机、业务网络交换机、超融合存储交换机、超融合管理交换设机、EMR文档库服务器、HI-HIS数据库容灾服务器、数据库容灾软件、数据脱敏设备、下一代防火墙</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cs="宋体"/>
                <w:b/>
                <w:bCs/>
                <w:color w:val="auto"/>
                <w:sz w:val="24"/>
                <w:highlight w:val="none"/>
                <w:u w:val="single"/>
                <w:lang w:val="en-US" w:eastAsia="zh-CN"/>
              </w:rPr>
              <w:t>工业</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运输、安装</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color w:val="auto"/>
                <w:kern w:val="0"/>
                <w:sz w:val="24"/>
                <w:highlight w:val="none"/>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w:t>
            </w:r>
            <w:r>
              <w:rPr>
                <w:rFonts w:hint="eastAsia" w:ascii="宋体" w:hAnsi="宋体" w:cs="宋体"/>
                <w:color w:val="auto"/>
                <w:kern w:val="0"/>
                <w:sz w:val="24"/>
                <w:highlight w:val="none"/>
              </w:rPr>
              <w:t>供（未提供样品或提供样品不满足采购需求实质性条件的供应商，投标无效）：</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hint="eastAsia"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pPr>
              <w:spacing w:line="360" w:lineRule="auto"/>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135009224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样品分未超过价格分的50%；</w:t>
            </w:r>
          </w:p>
          <w:p>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14855404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360" w:lineRule="auto"/>
              <w:ind w:firstLine="240" w:firstLineChars="100"/>
              <w:rPr>
                <w:color w:val="auto"/>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评标办分法</w:t>
            </w:r>
            <w:r>
              <w:rPr>
                <w:rFonts w:hint="eastAsia" w:ascii="宋体" w:hAnsi="宋体" w:cs="宋体"/>
                <w:color w:val="auto"/>
                <w:kern w:val="0"/>
                <w:sz w:val="24"/>
                <w:highlight w:val="none"/>
              </w:rPr>
              <w:t xml:space="preserve">。 </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color w:val="auto"/>
                <w:sz w:val="24"/>
                <w:highlight w:val="none"/>
              </w:rPr>
              <w:t xml:space="preserve"> (6)采购活动结束后，对于未中标人提供的样</w:t>
            </w:r>
            <w:r>
              <w:rPr>
                <w:rFonts w:hint="eastAsia" w:ascii="宋体" w:hAnsi="宋体" w:cs="宋体"/>
                <w:sz w:val="24"/>
              </w:rPr>
              <w:t>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highlight w:val="none"/>
              </w:rPr>
            </w:pPr>
            <w:sdt>
              <w:sdtPr>
                <w:rPr>
                  <w:rFonts w:hint="eastAsia" w:ascii="宋体" w:hAnsi="宋体" w:cs="宋体"/>
                  <w:kern w:val="0"/>
                  <w:sz w:val="24"/>
                </w:rPr>
                <w:id w:val="-1859348549"/>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szCs w:val="24"/>
                    <w:highlight w:val="none"/>
                    <w:lang w:val="en-US" w:eastAsia="zh-CN" w:bidi="ar-SA"/>
                  </w:rPr>
                  <w:t>☐</w:t>
                </w:r>
              </w:sdtContent>
            </w:sdt>
            <w:r>
              <w:rPr>
                <w:rFonts w:hint="eastAsia" w:ascii="宋体" w:hAnsi="宋体" w:cs="宋体"/>
                <w:kern w:val="0"/>
                <w:sz w:val="24"/>
                <w:highlight w:val="none"/>
              </w:rPr>
              <w:t>A</w:t>
            </w:r>
            <w:r>
              <w:rPr>
                <w:rFonts w:hint="eastAsia" w:ascii="宋体" w:hAnsi="宋体" w:cs="宋体"/>
                <w:sz w:val="24"/>
                <w:highlight w:val="none"/>
              </w:rPr>
              <w:t>不组织。</w:t>
            </w:r>
          </w:p>
          <w:p>
            <w:pPr>
              <w:spacing w:line="360" w:lineRule="auto"/>
              <w:rPr>
                <w:rFonts w:ascii="宋体" w:hAnsi="宋体" w:cs="宋体"/>
                <w:kern w:val="0"/>
                <w:sz w:val="24"/>
                <w:highlight w:val="none"/>
              </w:rPr>
            </w:pPr>
            <w:sdt>
              <w:sdtPr>
                <w:rPr>
                  <w:rFonts w:hint="eastAsia" w:ascii="宋体" w:hAnsi="宋体" w:cs="宋体"/>
                  <w:kern w:val="0"/>
                  <w:sz w:val="24"/>
                  <w:highlight w:val="none"/>
                </w:rPr>
                <w:id w:val="117407171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kern w:val="0"/>
                <w:sz w:val="24"/>
                <w:highlight w:val="none"/>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lang w:val="en-US" w:eastAsia="zh-CN"/>
              </w:rPr>
              <w:t>2</w:t>
            </w:r>
            <w:r>
              <w:rPr>
                <w:rFonts w:hint="eastAsia" w:ascii="宋体" w:hAnsi="宋体" w:cs="宋体"/>
                <w:kern w:val="0"/>
                <w:sz w:val="24"/>
              </w:rPr>
              <w:t>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w:t>
            </w:r>
            <w:r>
              <w:rPr>
                <w:rFonts w:hint="eastAsia" w:ascii="宋体" w:hAnsi="宋体" w:cs="宋体"/>
                <w:color w:val="auto"/>
                <w:kern w:val="0"/>
                <w:sz w:val="24"/>
              </w:rPr>
              <w:t xml:space="preserve">为 </w:t>
            </w:r>
            <w:r>
              <w:rPr>
                <w:rFonts w:hint="eastAsia" w:ascii="宋体" w:hAnsi="宋体" w:cs="宋体"/>
                <w:b/>
                <w:bCs/>
                <w:color w:val="auto"/>
                <w:kern w:val="0"/>
                <w:sz w:val="24"/>
                <w:u w:val="single"/>
              </w:rPr>
              <w:t>浙江省杭州市临安区锦北街道科技大道4398号市民中心1号楼B座4楼询标室B436</w:t>
            </w:r>
            <w:r>
              <w:rPr>
                <w:rFonts w:hint="eastAsia" w:ascii="宋体" w:hAnsi="宋体" w:cs="宋体"/>
                <w:color w:val="auto"/>
                <w:kern w:val="0"/>
                <w:sz w:val="24"/>
                <w:lang w:eastAsia="zh-CN"/>
              </w:rPr>
              <w:t>，</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8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lang w:val="zh-CN"/>
              </w:rPr>
            </w:pPr>
            <w:sdt>
              <w:sdtPr>
                <w:rPr>
                  <w:rFonts w:hint="eastAsia" w:ascii="宋体" w:hAnsi="宋体" w:cs="宋体"/>
                  <w:kern w:val="0"/>
                  <w:sz w:val="24"/>
                </w:rPr>
                <w:id w:val="386232013"/>
                <w14:checkbox>
                  <w14:checked w14:val="0"/>
                  <w14:checkedState w14:val="00FE" w14:font="Wingdings"/>
                  <w14:uncheckedState w14:val="2610" w14:font="MS Gothic"/>
                </w14:checkbox>
              </w:sdtPr>
              <w:sdtEndPr>
                <w:rPr>
                  <w:rFonts w:hint="eastAsia" w:ascii="宋体" w:hAnsi="宋体" w:cs="宋体"/>
                  <w:kern w:val="0"/>
                  <w:sz w:val="24"/>
                  <w:lang w:val="zh-CN"/>
                </w:rPr>
              </w:sdtEndPr>
              <w:sdtContent>
                <w:r>
                  <w:rPr>
                    <w:rFonts w:hint="eastAsia" w:ascii="MS Gothic" w:hAnsi="MS Gothic" w:eastAsia="宋体" w:cs="宋体"/>
                    <w:kern w:val="0"/>
                    <w:sz w:val="24"/>
                    <w:szCs w:val="24"/>
                    <w:lang w:val="zh-CN" w:eastAsia="zh-CN" w:bidi="ar-SA"/>
                  </w:rPr>
                  <w:t>☐</w:t>
                </w:r>
              </w:sdtContent>
            </w:sdt>
            <w:r>
              <w:rPr>
                <w:rFonts w:hint="eastAsia" w:ascii="宋体" w:hAnsi="宋体" w:cs="宋体"/>
                <w:kern w:val="0"/>
                <w:sz w:val="24"/>
                <w:lang w:val="zh-CN"/>
              </w:rPr>
              <w:t>依据国家确定的认证机构出具的、处于有效期之内的节能产品</w:t>
            </w:r>
            <w:r>
              <w:rPr>
                <w:rFonts w:hint="eastAsia" w:ascii="宋体" w:hAnsi="宋体" w:cs="宋体"/>
                <w:color w:val="auto"/>
                <w:kern w:val="0"/>
                <w:sz w:val="24"/>
                <w:highlight w:val="none"/>
                <w:lang w:val="zh-CN"/>
              </w:rPr>
              <w:t>认证证书，对获得证书的产品实施政府优先采购或强制采购；其中，对</w:t>
            </w:r>
            <w:r>
              <w:rPr>
                <w:rFonts w:hint="eastAsia" w:ascii="宋体" w:hAnsi="宋体" w:cs="宋体"/>
                <w:color w:val="auto"/>
                <w:kern w:val="0"/>
                <w:sz w:val="24"/>
                <w:highlight w:val="none"/>
                <w:u w:val="single"/>
                <w:lang w:val="en-US" w:eastAsia="zh-CN"/>
              </w:rPr>
              <w:t xml:space="preserve">  / </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r>
              <w:rPr>
                <w:rFonts w:hint="eastAsia" w:ascii="宋体" w:hAnsi="宋体" w:cs="宋体"/>
                <w:color w:val="auto"/>
                <w:kern w:val="0"/>
                <w:sz w:val="24"/>
                <w:highlight w:val="none"/>
                <w:lang w:val="zh-CN"/>
              </w:rPr>
              <w:t>对</w:t>
            </w:r>
            <w:r>
              <w:rPr>
                <w:rFonts w:hint="eastAsia" w:ascii="宋体" w:hAnsi="宋体" w:cs="宋体"/>
                <w:color w:val="auto"/>
                <w:kern w:val="0"/>
                <w:sz w:val="24"/>
                <w:highlight w:val="none"/>
                <w:u w:val="single"/>
                <w:lang w:val="en-US" w:eastAsia="zh-CN"/>
              </w:rPr>
              <w:t xml:space="preserve">   /   </w:t>
            </w:r>
            <w:r>
              <w:rPr>
                <w:rFonts w:hint="eastAsia" w:ascii="宋体" w:hAnsi="宋体" w:cs="宋体"/>
                <w:color w:val="auto"/>
                <w:kern w:val="0"/>
                <w:sz w:val="24"/>
                <w:highlight w:val="none"/>
                <w:u w:val="none"/>
                <w:lang w:val="en-US" w:eastAsia="zh-CN"/>
              </w:rPr>
              <w:t>实</w:t>
            </w:r>
            <w:r>
              <w:rPr>
                <w:rFonts w:hint="eastAsia" w:ascii="宋体" w:hAnsi="宋体" w:cs="宋体"/>
                <w:color w:val="auto"/>
                <w:kern w:val="0"/>
                <w:sz w:val="24"/>
                <w:highlight w:val="none"/>
                <w:lang w:val="zh-CN"/>
              </w:rPr>
              <w:t>施政府强制采购，</w:t>
            </w:r>
            <w:r>
              <w:rPr>
                <w:rFonts w:hint="eastAsia" w:ascii="宋体" w:hAnsi="宋体" w:cs="宋体"/>
                <w:b/>
                <w:bCs/>
                <w:color w:val="auto"/>
                <w:kern w:val="0"/>
                <w:sz w:val="24"/>
                <w:highlight w:val="none"/>
                <w:lang w:val="zh-CN"/>
              </w:rPr>
              <w:t>投标人</w:t>
            </w:r>
            <w:r>
              <w:rPr>
                <w:rFonts w:hint="eastAsia" w:ascii="宋体" w:hAnsi="宋体" w:cs="宋体"/>
                <w:b/>
                <w:bCs/>
                <w:color w:val="auto"/>
                <w:kern w:val="0"/>
                <w:sz w:val="24"/>
                <w:highlight w:val="none"/>
              </w:rPr>
              <w:t>就</w:t>
            </w:r>
            <w:r>
              <w:rPr>
                <w:rFonts w:hint="eastAsia" w:ascii="宋体" w:hAnsi="宋体" w:cs="宋体"/>
                <w:b/>
                <w:bCs/>
                <w:color w:val="auto"/>
                <w:kern w:val="0"/>
                <w:sz w:val="24"/>
                <w:highlight w:val="none"/>
                <w:lang w:val="zh-CN"/>
              </w:rPr>
              <w:t>相应的投标产品未</w:t>
            </w:r>
            <w:r>
              <w:rPr>
                <w:rFonts w:hint="eastAsia" w:ascii="宋体" w:hAnsi="宋体" w:cs="宋体"/>
                <w:b/>
                <w:bCs/>
                <w:color w:val="auto"/>
                <w:kern w:val="0"/>
                <w:sz w:val="24"/>
                <w:highlight w:val="none"/>
              </w:rPr>
              <w:t>提供</w:t>
            </w:r>
            <w:r>
              <w:rPr>
                <w:rFonts w:hint="eastAsia" w:ascii="宋体" w:hAnsi="宋体" w:cs="宋体"/>
                <w:b/>
                <w:bCs/>
                <w:color w:val="auto"/>
                <w:kern w:val="0"/>
                <w:sz w:val="24"/>
                <w:highlight w:val="none"/>
                <w:lang w:val="zh-CN"/>
              </w:rPr>
              <w:t>国家确定的认证机构出具的、处于有效期之内的节能产品认证证书的，投标无效</w:t>
            </w:r>
            <w:r>
              <w:rPr>
                <w:rFonts w:hint="eastAsia" w:ascii="宋体" w:hAnsi="宋体" w:cs="宋体"/>
                <w:color w:val="auto"/>
                <w:kern w:val="0"/>
                <w:sz w:val="24"/>
                <w:highlight w:val="none"/>
                <w:lang w:val="zh-CN"/>
              </w:rPr>
              <w:t>。</w:t>
            </w:r>
          </w:p>
          <w:p>
            <w:pPr>
              <w:spacing w:line="360" w:lineRule="auto"/>
              <w:rPr>
                <w:rFonts w:ascii="宋体" w:hAnsi="宋体" w:cs="宋体"/>
                <w:color w:val="auto"/>
                <w:kern w:val="0"/>
                <w:sz w:val="24"/>
                <w:highlight w:val="none"/>
                <w:lang w:val="zh-CN"/>
              </w:rPr>
            </w:pPr>
            <w:sdt>
              <w:sdtPr>
                <w:rPr>
                  <w:rFonts w:hint="eastAsia" w:ascii="宋体" w:hAnsi="宋体" w:cs="宋体"/>
                  <w:color w:val="auto"/>
                  <w:kern w:val="0"/>
                  <w:sz w:val="24"/>
                  <w:highlight w:val="none"/>
                  <w:lang w:val="zh-CN"/>
                </w:rPr>
                <w:id w:val="93515011"/>
                <w14:checkbox>
                  <w14:checked w14:val="0"/>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MS Gothic" w:hAnsi="MS Gothic" w:eastAsia="宋体" w:cs="宋体"/>
                    <w:color w:val="auto"/>
                    <w:kern w:val="0"/>
                    <w:sz w:val="24"/>
                    <w:szCs w:val="24"/>
                    <w:highlight w:val="none"/>
                    <w:lang w:val="zh-CN" w:eastAsia="zh-CN" w:bidi="ar-SA"/>
                  </w:rPr>
                  <w:t>☐</w:t>
                </w:r>
              </w:sdtContent>
            </w:sdt>
            <w:r>
              <w:rPr>
                <w:rFonts w:hint="eastAsia" w:ascii="宋体" w:hAnsi="宋体" w:cs="宋体"/>
                <w:color w:val="auto"/>
                <w:kern w:val="0"/>
                <w:sz w:val="24"/>
                <w:highlight w:val="none"/>
                <w:lang w:val="zh-CN"/>
              </w:rPr>
              <w:t>依据国家确定的认证机构出具的、处于有效期之内的环境标志产品认证证书，对获得证书的</w:t>
            </w:r>
            <w:r>
              <w:rPr>
                <w:rFonts w:hint="eastAsia" w:ascii="宋体" w:hAnsi="宋体" w:cs="宋体"/>
                <w:color w:val="auto"/>
                <w:kern w:val="0"/>
                <w:sz w:val="24"/>
                <w:highlight w:val="none"/>
                <w:u w:val="single"/>
                <w:lang w:val="en-US" w:eastAsia="zh-CN"/>
              </w:rPr>
              <w:t xml:space="preserve"> 投标产品 </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p>
          <w:p>
            <w:pPr>
              <w:snapToGrid w:val="0"/>
              <w:spacing w:line="360" w:lineRule="auto"/>
              <w:rPr>
                <w:rFonts w:ascii="宋体" w:hAnsi="宋体" w:cs="宋体"/>
              </w:rPr>
            </w:pPr>
            <w:sdt>
              <w:sdtPr>
                <w:rPr>
                  <w:rFonts w:hint="eastAsia" w:ascii="宋体" w:hAnsi="宋体" w:cs="宋体"/>
                  <w:color w:val="auto"/>
                  <w:kern w:val="0"/>
                  <w:sz w:val="24"/>
                  <w:highlight w:val="none"/>
                </w:rPr>
                <w:id w:val="-37800363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8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7"/>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kern w:val="28"/>
                <w:sz w:val="24"/>
                <w:szCs w:val="24"/>
                <w:u w:val="single"/>
              </w:rPr>
              <w:t>杭州市</w:t>
            </w:r>
            <w:r>
              <w:rPr>
                <w:rFonts w:hint="eastAsia" w:hAnsi="宋体" w:cs="宋体"/>
                <w:kern w:val="28"/>
                <w:sz w:val="24"/>
                <w:szCs w:val="24"/>
                <w:u w:val="single"/>
                <w:lang w:eastAsia="zh-CN"/>
              </w:rPr>
              <w:t>临安区锦北街道科技大道</w:t>
            </w:r>
            <w:r>
              <w:rPr>
                <w:rFonts w:hint="eastAsia" w:hAnsi="宋体" w:cs="宋体"/>
                <w:kern w:val="28"/>
                <w:sz w:val="24"/>
                <w:szCs w:val="24"/>
                <w:u w:val="single"/>
                <w:lang w:val="en-US" w:eastAsia="zh-CN"/>
              </w:rPr>
              <w:t>4398号市民中心B座B448室</w:t>
            </w:r>
            <w:r>
              <w:rPr>
                <w:rFonts w:hint="eastAsia" w:hAnsi="宋体" w:cs="宋体"/>
                <w:kern w:val="28"/>
                <w:sz w:val="24"/>
                <w:szCs w:val="24"/>
                <w:u w:val="single"/>
              </w:rPr>
              <w:t>（杭州市公共资源交易中心</w:t>
            </w:r>
            <w:r>
              <w:rPr>
                <w:rFonts w:hint="eastAsia" w:hAnsi="宋体" w:cs="宋体"/>
                <w:kern w:val="28"/>
                <w:sz w:val="24"/>
                <w:szCs w:val="24"/>
                <w:u w:val="single"/>
                <w:lang w:eastAsia="zh-CN"/>
              </w:rPr>
              <w:t>临安分中心</w:t>
            </w:r>
            <w:r>
              <w:rPr>
                <w:rFonts w:hint="eastAsia" w:hAnsi="宋体" w:cs="宋体"/>
                <w:kern w:val="28"/>
                <w:sz w:val="24"/>
                <w:szCs w:val="24"/>
                <w:u w:val="single"/>
              </w:rPr>
              <w:t>政府采购</w:t>
            </w:r>
            <w:r>
              <w:rPr>
                <w:rFonts w:hint="eastAsia" w:hAnsi="宋体" w:cs="宋体"/>
                <w:kern w:val="28"/>
                <w:sz w:val="24"/>
                <w:szCs w:val="24"/>
                <w:u w:val="single"/>
                <w:lang w:eastAsia="zh-CN"/>
              </w:rPr>
              <w:t>科</w:t>
            </w:r>
            <w:r>
              <w:rPr>
                <w:rFonts w:hint="eastAsia" w:hAnsi="宋体" w:cs="宋体"/>
                <w:kern w:val="28"/>
                <w:sz w:val="24"/>
                <w:szCs w:val="24"/>
                <w:u w:val="single"/>
              </w:rPr>
              <w:t>）</w:t>
            </w:r>
            <w:r>
              <w:rPr>
                <w:rFonts w:hint="eastAsia" w:hAnsi="宋体" w:cs="宋体"/>
                <w:kern w:val="28"/>
                <w:sz w:val="24"/>
                <w:szCs w:val="24"/>
              </w:rPr>
              <w:t>；备份投标文件签收人员联系电话：</w:t>
            </w:r>
            <w:r>
              <w:rPr>
                <w:rFonts w:hint="eastAsia" w:hAnsi="宋体" w:cs="宋体"/>
                <w:kern w:val="28"/>
                <w:sz w:val="24"/>
                <w:szCs w:val="24"/>
                <w:u w:val="single"/>
              </w:rPr>
              <w:t>0571-</w:t>
            </w:r>
            <w:r>
              <w:rPr>
                <w:rFonts w:hint="eastAsia" w:hAnsi="宋体" w:cs="宋体"/>
                <w:kern w:val="28"/>
                <w:sz w:val="24"/>
                <w:szCs w:val="24"/>
                <w:u w:val="single"/>
                <w:lang w:val="en-US" w:eastAsia="zh-CN"/>
              </w:rPr>
              <w:t>89540588</w:t>
            </w:r>
            <w:r>
              <w:rPr>
                <w:rFonts w:hint="eastAsia" w:hAnsi="宋体" w:cs="宋体"/>
                <w:sz w:val="24"/>
                <w:szCs w:val="24"/>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pPr>
              <w:spacing w:line="360" w:lineRule="auto"/>
              <w:rPr>
                <w:rFonts w:ascii="宋体" w:hAnsi="宋体" w:cs="宋体"/>
                <w:snapToGrid w:val="0"/>
                <w:kern w:val="28"/>
                <w:sz w:val="24"/>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0"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kern w:val="0"/>
                <w:sz w:val="24"/>
                <w:highlight w:val="none"/>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kern w:val="0"/>
                <w:sz w:val="24"/>
                <w:highlight w:val="none"/>
              </w:rPr>
            </w:pPr>
            <w:r>
              <w:rPr>
                <w:rFonts w:hint="eastAsia" w:cs="Arial" w:asciiTheme="minorEastAsia" w:hAnsiTheme="minorEastAsia" w:eastAsiaTheme="minorEastAsia"/>
                <w:kern w:val="0"/>
                <w:sz w:val="24"/>
                <w:highlight w:val="none"/>
              </w:rPr>
              <w:t>本项目评审报告推荐的中标候选人数量：</w:t>
            </w:r>
            <w:r>
              <w:rPr>
                <w:rFonts w:hint="eastAsia" w:cs="Arial" w:asciiTheme="minorEastAsia" w:hAnsiTheme="minorEastAsia" w:eastAsiaTheme="minorEastAsia"/>
                <w:b/>
                <w:bCs/>
                <w:kern w:val="0"/>
                <w:sz w:val="24"/>
                <w:highlight w:val="none"/>
                <w:u w:val="single"/>
              </w:rPr>
              <w:t xml:space="preserve"> 1 </w:t>
            </w:r>
            <w:r>
              <w:rPr>
                <w:rFonts w:hint="eastAsia" w:cs="Arial" w:asciiTheme="minorEastAsia" w:hAnsiTheme="minorEastAsia" w:eastAsiaTheme="minorEastAsia"/>
                <w:kern w:val="0"/>
                <w:sz w:val="24"/>
                <w:highlight w:val="none"/>
              </w:rPr>
              <w:t>。</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5" w:name="_Toc164416483"/>
      <w:bookmarkStart w:id="16" w:name="第三部分"/>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7"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7"/>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w:t>
      </w:r>
      <w:r>
        <w:rPr>
          <w:rFonts w:hint="eastAsia" w:ascii="宋体" w:hAnsi="宋体" w:cs="宋体"/>
          <w:sz w:val="24"/>
          <w:highlight w:val="none"/>
        </w:rPr>
        <w:t>份额专门面向中小企业的政府采购货物项目，以及预留份额政府采购货物项目中的非预留部分标项，对小型和微型企业的投标报价给予10%-</w:t>
      </w:r>
      <w:r>
        <w:rPr>
          <w:rFonts w:ascii="宋体" w:hAnsi="宋体" w:cs="宋体"/>
          <w:sz w:val="24"/>
          <w:highlight w:val="none"/>
        </w:rPr>
        <w:t>20</w:t>
      </w:r>
      <w:r>
        <w:rPr>
          <w:rFonts w:hint="eastAsia" w:ascii="宋体" w:hAnsi="宋体" w:cs="宋体"/>
          <w:sz w:val="24"/>
          <w:highlight w:val="none"/>
        </w:rPr>
        <w:t>%的扣除（</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评标办分法明确具体的扣除比例，未明确的，</w:t>
      </w:r>
      <w:r>
        <w:rPr>
          <w:rFonts w:hint="eastAsia" w:ascii="宋体" w:hAnsi="宋体" w:cs="宋体"/>
          <w:sz w:val="24"/>
          <w:highlight w:val="none"/>
        </w:rPr>
        <w:t>给予</w:t>
      </w:r>
      <w:r>
        <w:rPr>
          <w:rFonts w:ascii="宋体" w:hAnsi="宋体" w:cs="宋体"/>
          <w:sz w:val="24"/>
          <w:highlight w:val="none"/>
        </w:rPr>
        <w:t>20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%的扣除），用扣除后的价格参与评审。接受大中型企业与小微企业组成联合体或者允许大中型企业向一家或者多家小微企业分包的政府采购货物项目，对于</w:t>
      </w:r>
      <w:bookmarkStart w:id="18" w:name="_Hlk101132181"/>
      <w:r>
        <w:rPr>
          <w:rFonts w:hint="eastAsia" w:ascii="宋体" w:hAnsi="宋体" w:cs="宋体"/>
          <w:sz w:val="24"/>
          <w:highlight w:val="none"/>
        </w:rPr>
        <w:t>联合协议或者分包意向协议约定小微企业的合同份额占到合同总金额30%以上的</w:t>
      </w:r>
      <w:bookmarkEnd w:id="18"/>
      <w:r>
        <w:rPr>
          <w:rFonts w:hint="eastAsia" w:ascii="宋体" w:hAnsi="宋体" w:cs="宋体"/>
          <w:sz w:val="24"/>
          <w:highlight w:val="none"/>
        </w:rPr>
        <w:t>，对联合体或者大中型企业的报价给予4%-</w:t>
      </w:r>
      <w:r>
        <w:rPr>
          <w:rFonts w:ascii="宋体" w:hAnsi="宋体" w:cs="宋体"/>
          <w:sz w:val="24"/>
          <w:highlight w:val="none"/>
        </w:rPr>
        <w:t>6</w:t>
      </w:r>
      <w:r>
        <w:rPr>
          <w:rFonts w:hint="eastAsia" w:ascii="宋体" w:hAnsi="宋体" w:cs="宋体"/>
          <w:sz w:val="24"/>
          <w:highlight w:val="none"/>
        </w:rPr>
        <w:t>%（</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评标办分法明确具体的扣除比例，未明确的，</w:t>
      </w:r>
      <w:r>
        <w:rPr>
          <w:rFonts w:hint="eastAsia" w:ascii="宋体" w:hAnsi="宋体" w:cs="宋体"/>
          <w:sz w:val="24"/>
          <w:highlight w:val="none"/>
        </w:rPr>
        <w:t>给予6%的扣除）的扣除，用扣除后的价格参加评审。组成联合体或者接</w:t>
      </w:r>
      <w:r>
        <w:rPr>
          <w:rFonts w:hint="eastAsia" w:ascii="宋体" w:hAnsi="宋体" w:cs="宋体"/>
          <w:sz w:val="24"/>
        </w:rPr>
        <w:t>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keepNext w:val="0"/>
        <w:keepLines w:val="0"/>
        <w:pageBreakBefore w:val="0"/>
        <w:kinsoku/>
        <w:wordWrap/>
        <w:overflowPunct/>
        <w:topLinePunct w:val="0"/>
        <w:bidi w:val="0"/>
        <w:spacing w:line="360" w:lineRule="auto"/>
        <w:ind w:firstLine="480" w:firstLineChars="200"/>
        <w:textAlignment w:val="auto"/>
        <w:rPr>
          <w:rFonts w:ascii="宋体" w:hAnsi="宋体" w:cs="宋体"/>
          <w:sz w:val="24"/>
        </w:rPr>
      </w:pPr>
      <w:r>
        <w:rPr>
          <w:rFonts w:hint="eastAsia" w:ascii="宋体" w:hAnsi="宋体" w:cs="宋体"/>
          <w:sz w:val="24"/>
        </w:rPr>
        <w:t>3.4.1 采购人优先采购被认定为首台套产品和“制造精品”的自主创新产品。</w:t>
      </w:r>
    </w:p>
    <w:p>
      <w:pPr>
        <w:keepNext w:val="0"/>
        <w:keepLines w:val="0"/>
        <w:pageBreakBefore w:val="0"/>
        <w:kinsoku/>
        <w:wordWrap/>
        <w:overflowPunct/>
        <w:topLinePunct w:val="0"/>
        <w:bidi w:val="0"/>
        <w:spacing w:line="360" w:lineRule="auto"/>
        <w:ind w:firstLine="480" w:firstLineChars="200"/>
        <w:textAlignment w:val="auto"/>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keepNext w:val="0"/>
        <w:keepLines w:val="0"/>
        <w:pageBreakBefore w:val="0"/>
        <w:kinsoku/>
        <w:wordWrap/>
        <w:overflowPunct/>
        <w:topLinePunct w:val="0"/>
        <w:bidi w:val="0"/>
        <w:spacing w:line="360" w:lineRule="auto"/>
        <w:ind w:firstLine="240" w:firstLineChars="100"/>
        <w:textAlignment w:val="auto"/>
        <w:rPr>
          <w:rFonts w:ascii="宋体" w:hAnsi="宋体" w:cs="宋体"/>
          <w:sz w:val="24"/>
        </w:rPr>
      </w:pPr>
      <w:r>
        <w:rPr>
          <w:rFonts w:hint="eastAsia" w:ascii="宋体" w:hAnsi="宋体" w:cs="宋体"/>
          <w:sz w:val="24"/>
        </w:rPr>
        <w:t>3.5平等对待内外资企业和符合条件的破产重整企业</w:t>
      </w:r>
    </w:p>
    <w:p>
      <w:pPr>
        <w:keepNext w:val="0"/>
        <w:keepLines w:val="0"/>
        <w:pageBreakBefore w:val="0"/>
        <w:kinsoku/>
        <w:wordWrap/>
        <w:overflowPunct/>
        <w:topLinePunct w:val="0"/>
        <w:bidi w:val="0"/>
        <w:spacing w:line="360" w:lineRule="auto"/>
        <w:ind w:firstLine="480" w:firstLineChars="200"/>
        <w:textAlignment w:val="auto"/>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sz w:val="24"/>
          <w:szCs w:val="32"/>
        </w:rPr>
        <w:t>4. 询问、质疑、投诉</w:t>
      </w:r>
    </w:p>
    <w:p>
      <w:pPr>
        <w:pStyle w:val="886"/>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lang w:val="zh-CN"/>
        </w:rPr>
      </w:pPr>
      <w:r>
        <w:rPr>
          <w:rFonts w:hint="eastAsia"/>
          <w:lang w:val="zh-CN"/>
        </w:rPr>
        <w:t>4.1在线询问、质疑、投诉</w:t>
      </w:r>
    </w:p>
    <w:p>
      <w:pPr>
        <w:pStyle w:val="886"/>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autoSpaceDE w:val="0"/>
        <w:autoSpaceDN w:val="0"/>
        <w:bidi w:val="0"/>
        <w:spacing w:line="360" w:lineRule="auto"/>
        <w:ind w:firstLine="240" w:firstLineChars="100"/>
        <w:jc w:val="left"/>
        <w:textAlignment w:val="auto"/>
        <w:rPr>
          <w:rFonts w:ascii="宋体" w:hAnsi="宋体" w:cs="宋体"/>
          <w:kern w:val="0"/>
          <w:sz w:val="24"/>
          <w:lang w:val="zh-CN"/>
        </w:rPr>
      </w:pPr>
      <w:r>
        <w:rPr>
          <w:rFonts w:hint="eastAsia" w:ascii="宋体" w:hAnsi="宋体" w:cs="宋体"/>
          <w:kern w:val="0"/>
          <w:sz w:val="24"/>
          <w:lang w:val="zh-CN"/>
        </w:rPr>
        <w:t>4.2供应商询问</w:t>
      </w:r>
    </w:p>
    <w:p>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keepNext w:val="0"/>
        <w:keepLines w:val="0"/>
        <w:pageBreakBefore w:val="0"/>
        <w:kinsoku/>
        <w:wordWrap/>
        <w:overflowPunct/>
        <w:topLinePunct w:val="0"/>
        <w:autoSpaceDE w:val="0"/>
        <w:autoSpaceDN w:val="0"/>
        <w:bidi w:val="0"/>
        <w:spacing w:line="360" w:lineRule="auto"/>
        <w:ind w:firstLine="240" w:firstLineChars="100"/>
        <w:jc w:val="left"/>
        <w:textAlignment w:val="auto"/>
        <w:rPr>
          <w:rFonts w:ascii="宋体" w:hAnsi="宋体" w:cs="宋体"/>
          <w:kern w:val="0"/>
          <w:sz w:val="24"/>
          <w:lang w:val="zh-CN"/>
        </w:rPr>
      </w:pPr>
      <w:r>
        <w:rPr>
          <w:rFonts w:hint="eastAsia" w:ascii="宋体" w:hAnsi="宋体" w:cs="宋体"/>
          <w:kern w:val="0"/>
          <w:sz w:val="24"/>
          <w:lang w:val="zh-CN"/>
        </w:rPr>
        <w:t>4.3供应商质疑</w:t>
      </w:r>
    </w:p>
    <w:p>
      <w:pPr>
        <w:pStyle w:val="37"/>
        <w:keepNext w:val="0"/>
        <w:keepLines w:val="0"/>
        <w:pageBreakBefore w:val="0"/>
        <w:kinsoku/>
        <w:wordWrap/>
        <w:overflowPunct/>
        <w:topLinePunct w:val="0"/>
        <w:bidi w:val="0"/>
        <w:spacing w:line="360" w:lineRule="auto"/>
        <w:ind w:firstLine="480" w:firstLineChars="200"/>
        <w:textAlignment w:val="auto"/>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7"/>
        <w:keepNext w:val="0"/>
        <w:keepLines w:val="0"/>
        <w:pageBreakBefore w:val="0"/>
        <w:kinsoku/>
        <w:wordWrap/>
        <w:overflowPunct/>
        <w:topLinePunct w:val="0"/>
        <w:bidi w:val="0"/>
        <w:spacing w:line="360" w:lineRule="auto"/>
        <w:ind w:firstLine="480" w:firstLineChars="200"/>
        <w:textAlignment w:val="auto"/>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pPr>
        <w:pStyle w:val="6"/>
        <w:keepNext w:val="0"/>
        <w:keepLines w:val="0"/>
        <w:pageBreakBefore w:val="0"/>
        <w:kinsoku/>
        <w:wordWrap/>
        <w:overflowPunct/>
        <w:topLinePunct w:val="0"/>
        <w:bidi w:val="0"/>
        <w:spacing w:line="360" w:lineRule="auto"/>
        <w:ind w:firstLine="480" w:firstLineChars="200"/>
        <w:textAlignment w:val="auto"/>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7"/>
        <w:keepNext w:val="0"/>
        <w:keepLines w:val="0"/>
        <w:pageBreakBefore w:val="0"/>
        <w:kinsoku/>
        <w:wordWrap/>
        <w:overflowPunct/>
        <w:topLinePunct w:val="0"/>
        <w:bidi w:val="0"/>
        <w:spacing w:line="360" w:lineRule="auto"/>
        <w:ind w:left="479" w:leftChars="228"/>
        <w:textAlignment w:val="auto"/>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7"/>
        <w:keepNext w:val="0"/>
        <w:keepLines w:val="0"/>
        <w:pageBreakBefore w:val="0"/>
        <w:kinsoku/>
        <w:wordWrap/>
        <w:overflowPunct/>
        <w:topLinePunct w:val="0"/>
        <w:bidi w:val="0"/>
        <w:spacing w:line="360" w:lineRule="auto"/>
        <w:ind w:firstLine="480" w:firstLineChars="200"/>
        <w:textAlignment w:val="auto"/>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7"/>
        <w:keepNext w:val="0"/>
        <w:keepLines w:val="0"/>
        <w:pageBreakBefore w:val="0"/>
        <w:kinsoku/>
        <w:wordWrap/>
        <w:overflowPunct/>
        <w:topLinePunct w:val="0"/>
        <w:bidi w:val="0"/>
        <w:spacing w:line="360" w:lineRule="auto"/>
        <w:ind w:firstLine="480" w:firstLineChars="200"/>
        <w:textAlignment w:val="auto"/>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7"/>
        <w:keepNext w:val="0"/>
        <w:keepLines w:val="0"/>
        <w:pageBreakBefore w:val="0"/>
        <w:kinsoku/>
        <w:wordWrap/>
        <w:overflowPunct/>
        <w:topLinePunct w:val="0"/>
        <w:bidi w:val="0"/>
        <w:spacing w:line="360" w:lineRule="auto"/>
        <w:ind w:firstLine="480" w:firstLineChars="200"/>
        <w:textAlignment w:val="auto"/>
        <w:rPr>
          <w:rFonts w:hAnsi="宋体" w:cs="宋体"/>
          <w:kern w:val="0"/>
          <w:sz w:val="24"/>
          <w:lang w:val="zh-CN"/>
        </w:rPr>
      </w:pPr>
      <w:r>
        <w:rPr>
          <w:rFonts w:hint="eastAsia" w:hAnsi="宋体" w:cs="宋体"/>
          <w:kern w:val="0"/>
          <w:sz w:val="24"/>
          <w:lang w:val="zh-CN"/>
        </w:rPr>
        <w:t>　　4.3.3.2质疑项目的名称、编号；</w:t>
      </w:r>
    </w:p>
    <w:p>
      <w:pPr>
        <w:pStyle w:val="37"/>
        <w:keepNext w:val="0"/>
        <w:keepLines w:val="0"/>
        <w:pageBreakBefore w:val="0"/>
        <w:kinsoku/>
        <w:wordWrap/>
        <w:overflowPunct/>
        <w:topLinePunct w:val="0"/>
        <w:bidi w:val="0"/>
        <w:spacing w:line="360" w:lineRule="auto"/>
        <w:ind w:firstLine="480" w:firstLineChars="200"/>
        <w:textAlignment w:val="auto"/>
        <w:rPr>
          <w:rFonts w:hAnsi="宋体" w:cs="宋体"/>
          <w:kern w:val="0"/>
          <w:sz w:val="24"/>
          <w:lang w:val="zh-CN"/>
        </w:rPr>
      </w:pPr>
      <w:r>
        <w:rPr>
          <w:rFonts w:hint="eastAsia" w:hAnsi="宋体" w:cs="宋体"/>
          <w:kern w:val="0"/>
          <w:sz w:val="24"/>
          <w:lang w:val="zh-CN"/>
        </w:rPr>
        <w:t>　　4.3.3.3具体、明确的质疑事项和与质疑事项相关的请求；</w:t>
      </w:r>
    </w:p>
    <w:p>
      <w:pPr>
        <w:pStyle w:val="37"/>
        <w:keepNext w:val="0"/>
        <w:keepLines w:val="0"/>
        <w:pageBreakBefore w:val="0"/>
        <w:kinsoku/>
        <w:wordWrap/>
        <w:overflowPunct/>
        <w:topLinePunct w:val="0"/>
        <w:bidi w:val="0"/>
        <w:spacing w:line="360" w:lineRule="auto"/>
        <w:ind w:firstLine="480" w:firstLineChars="200"/>
        <w:textAlignment w:val="auto"/>
        <w:rPr>
          <w:rFonts w:hAnsi="宋体" w:cs="宋体"/>
          <w:kern w:val="0"/>
          <w:sz w:val="24"/>
          <w:lang w:val="zh-CN"/>
        </w:rPr>
      </w:pPr>
      <w:r>
        <w:rPr>
          <w:rFonts w:hint="eastAsia" w:hAnsi="宋体" w:cs="宋体"/>
          <w:kern w:val="0"/>
          <w:sz w:val="24"/>
          <w:lang w:val="zh-CN"/>
        </w:rPr>
        <w:t>　　4.3.3.4事实依据；</w:t>
      </w:r>
    </w:p>
    <w:p>
      <w:pPr>
        <w:pStyle w:val="37"/>
        <w:keepNext w:val="0"/>
        <w:keepLines w:val="0"/>
        <w:pageBreakBefore w:val="0"/>
        <w:kinsoku/>
        <w:wordWrap/>
        <w:overflowPunct/>
        <w:topLinePunct w:val="0"/>
        <w:bidi w:val="0"/>
        <w:spacing w:line="360" w:lineRule="auto"/>
        <w:ind w:firstLine="480" w:firstLineChars="200"/>
        <w:textAlignment w:val="auto"/>
        <w:rPr>
          <w:rFonts w:hAnsi="宋体" w:cs="宋体"/>
          <w:kern w:val="0"/>
          <w:sz w:val="24"/>
          <w:lang w:val="zh-CN"/>
        </w:rPr>
      </w:pPr>
      <w:r>
        <w:rPr>
          <w:rFonts w:hint="eastAsia" w:hAnsi="宋体" w:cs="宋体"/>
          <w:kern w:val="0"/>
          <w:sz w:val="24"/>
          <w:lang w:val="zh-CN"/>
        </w:rPr>
        <w:t>　　4.3.3.5必要的法律依据；</w:t>
      </w:r>
    </w:p>
    <w:p>
      <w:pPr>
        <w:pStyle w:val="37"/>
        <w:keepNext w:val="0"/>
        <w:keepLines w:val="0"/>
        <w:pageBreakBefore w:val="0"/>
        <w:kinsoku/>
        <w:wordWrap/>
        <w:overflowPunct/>
        <w:topLinePunct w:val="0"/>
        <w:bidi w:val="0"/>
        <w:spacing w:line="360" w:lineRule="auto"/>
        <w:ind w:firstLine="960" w:firstLineChars="400"/>
        <w:textAlignment w:val="auto"/>
        <w:rPr>
          <w:rFonts w:hAnsi="宋体" w:cs="宋体"/>
          <w:kern w:val="0"/>
          <w:sz w:val="24"/>
          <w:lang w:val="zh-CN"/>
        </w:rPr>
      </w:pPr>
      <w:r>
        <w:rPr>
          <w:rFonts w:hint="eastAsia" w:hAnsi="宋体" w:cs="宋体"/>
          <w:kern w:val="0"/>
          <w:sz w:val="24"/>
          <w:lang w:val="zh-CN"/>
        </w:rPr>
        <w:t>4.3.3.6提出质疑的日期。</w:t>
      </w:r>
    </w:p>
    <w:p>
      <w:pPr>
        <w:pStyle w:val="886"/>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pPr>
      <w:r>
        <w:rPr>
          <w:rFonts w:hint="eastAsia"/>
        </w:rPr>
        <w:t>质疑函范本及制作说明详见附件2。</w:t>
      </w:r>
    </w:p>
    <w:p>
      <w:pPr>
        <w:pStyle w:val="886"/>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6"/>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6"/>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pPr>
        <w:pStyle w:val="886"/>
        <w:shd w:val="clear" w:color="auto" w:fill="FFFFFF"/>
        <w:snapToGrid w:val="0"/>
        <w:spacing w:after="240" w:afterAutospacing="0" w:line="360" w:lineRule="auto"/>
        <w:ind w:firstLine="480" w:firstLineChars="200"/>
        <w:contextualSpacing/>
      </w:pPr>
      <w:r>
        <w:rPr>
          <w:rFonts w:hint="eastAsia"/>
        </w:rPr>
        <w:t>4.4.5根据政府采购行政裁决省市区三级联动试点工作安排，杭州市本级、拱墅区、富阳区政府采购项目投诉材料可寄送至浙江省政府采购行政裁决服务中心（杭州），地址：</w:t>
      </w:r>
      <w:r>
        <w:rPr>
          <w:rFonts w:hint="eastAsia" w:ascii="宋体" w:hAnsi="宋体" w:cs="宋体"/>
          <w:sz w:val="24"/>
          <w:highlight w:val="none"/>
        </w:rPr>
        <w:t>杭州市上城区清泰街549号城建综合大楼11楼</w:t>
      </w:r>
      <w:r>
        <w:rPr>
          <w:rFonts w:hint="eastAsia"/>
        </w:rPr>
        <w:t>，收件人：朱女士、王女士，电话：0571-87800218、0571-87227671。</w:t>
      </w:r>
    </w:p>
    <w:p>
      <w:pPr>
        <w:pStyle w:val="886"/>
        <w:shd w:val="clear" w:color="auto" w:fill="FFFFFF"/>
        <w:snapToGrid w:val="0"/>
        <w:spacing w:after="240" w:afterAutospacing="0" w:line="360" w:lineRule="auto"/>
        <w:ind w:firstLine="400"/>
        <w:contextualSpacing/>
      </w:pPr>
      <w:r>
        <w:rPr>
          <w:rFonts w:hint="eastAsia"/>
        </w:rPr>
        <w:t>投诉书范本及制作说明详见附件3。</w:t>
      </w:r>
    </w:p>
    <w:p>
      <w:pPr>
        <w:pStyle w:val="129"/>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7"/>
        <w:spacing w:line="360" w:lineRule="auto"/>
        <w:rPr>
          <w:rFonts w:hAnsi="宋体" w:cs="宋体"/>
          <w:b/>
          <w:sz w:val="24"/>
          <w:szCs w:val="24"/>
        </w:rPr>
      </w:pPr>
      <w:r>
        <w:rPr>
          <w:rFonts w:hint="eastAsia" w:hAnsi="宋体" w:cs="宋体"/>
          <w:b/>
          <w:sz w:val="24"/>
          <w:szCs w:val="24"/>
        </w:rPr>
        <w:t>5．招标文件的构成</w:t>
      </w:r>
    </w:p>
    <w:p>
      <w:pPr>
        <w:pStyle w:val="37"/>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7"/>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7"/>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7"/>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7"/>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7"/>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7"/>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7"/>
        <w:spacing w:line="360" w:lineRule="auto"/>
        <w:rPr>
          <w:rFonts w:hAnsi="宋体" w:cs="宋体"/>
          <w:b/>
          <w:sz w:val="24"/>
          <w:szCs w:val="24"/>
        </w:rPr>
      </w:pPr>
      <w:r>
        <w:rPr>
          <w:rFonts w:hint="eastAsia" w:hAnsi="宋体" w:cs="宋体"/>
          <w:b/>
          <w:sz w:val="24"/>
          <w:szCs w:val="24"/>
        </w:rPr>
        <w:t>6. 招标文件的澄清、修改</w:t>
      </w:r>
    </w:p>
    <w:p>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pPr>
        <w:pStyle w:val="129"/>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7"/>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7"/>
        <w:spacing w:line="360" w:lineRule="auto"/>
        <w:rPr>
          <w:rFonts w:hAnsi="宋体" w:cs="宋体"/>
          <w:b/>
          <w:sz w:val="24"/>
          <w:szCs w:val="24"/>
        </w:rPr>
      </w:pPr>
      <w:r>
        <w:rPr>
          <w:rFonts w:hint="eastAsia" w:hAnsi="宋体" w:cs="宋体"/>
          <w:b/>
          <w:sz w:val="24"/>
          <w:szCs w:val="24"/>
        </w:rPr>
        <w:t>8.开标前答疑会或现场考察</w:t>
      </w:r>
    </w:p>
    <w:p>
      <w:pPr>
        <w:pStyle w:val="37"/>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7"/>
        <w:spacing w:line="360" w:lineRule="auto"/>
        <w:rPr>
          <w:rFonts w:hAnsi="宋体" w:cs="宋体"/>
          <w:b/>
          <w:szCs w:val="24"/>
        </w:rPr>
      </w:pPr>
      <w:r>
        <w:rPr>
          <w:rFonts w:hint="eastAsia" w:hAnsi="宋体" w:cs="宋体"/>
          <w:b/>
          <w:kern w:val="28"/>
          <w:sz w:val="24"/>
          <w:szCs w:val="24"/>
        </w:rPr>
        <w:t>9.投标保证金</w:t>
      </w:r>
    </w:p>
    <w:p>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7"/>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7"/>
        <w:spacing w:line="360" w:lineRule="auto"/>
        <w:rPr>
          <w:rFonts w:hAnsi="宋体" w:cs="宋体"/>
          <w:b/>
          <w:color w:val="auto"/>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9" w:name="_Hlk101259339"/>
      <w:r>
        <w:rPr>
          <w:rFonts w:hint="eastAsia" w:ascii="宋体" w:hAnsi="宋体" w:cs="宋体"/>
          <w:snapToGrid w:val="0"/>
          <w:color w:val="auto"/>
          <w:kern w:val="28"/>
          <w:sz w:val="24"/>
          <w:szCs w:val="20"/>
        </w:rPr>
        <w:t>联合协议</w:t>
      </w:r>
      <w:bookmarkEnd w:id="19"/>
      <w:r>
        <w:rPr>
          <w:rFonts w:hint="eastAsia" w:ascii="宋体" w:hAnsi="宋体" w:cs="宋体"/>
          <w:snapToGrid w:val="0"/>
          <w:color w:val="auto"/>
          <w:kern w:val="28"/>
          <w:sz w:val="24"/>
          <w:szCs w:val="20"/>
        </w:rPr>
        <w:t>（如果有)；</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p>
    <w:p>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投标人提供虚假材料投标的，投标无效。</w:t>
      </w:r>
    </w:p>
    <w:p>
      <w:pPr>
        <w:pStyle w:val="129"/>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pPr>
        <w:spacing w:line="360" w:lineRule="auto"/>
        <w:ind w:firstLine="480" w:firstLineChars="200"/>
        <w:rPr>
          <w:rFonts w:ascii="宋体" w:hAnsi="宋体" w:cs="宋体"/>
          <w:b/>
          <w:sz w:val="24"/>
        </w:rPr>
      </w:pPr>
      <w:r>
        <w:rPr>
          <w:rFonts w:hint="eastAsia" w:ascii="宋体" w:hAnsi="宋体" w:cs="宋体"/>
          <w:color w:val="auto"/>
          <w:kern w:val="0"/>
          <w:sz w:val="24"/>
          <w:lang w:val="zh-CN"/>
        </w:rPr>
        <w:t>12.1投标文件分为资格文件、商务技术文件</w:t>
      </w:r>
      <w:r>
        <w:rPr>
          <w:rFonts w:hint="eastAsia" w:ascii="宋体" w:hAnsi="宋体" w:cs="宋体"/>
          <w:kern w:val="0"/>
          <w:sz w:val="24"/>
          <w:lang w:val="zh-CN"/>
        </w:rPr>
        <w:t>、报价文件三部分。各投标人在编制投标文件时请按照招标文件第六部分规定的格式进行，混乱的编排导致投标文件被误读或评标委员会查找不到有效文件是投标人的风险。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9"/>
        <w:snapToGrid w:val="0"/>
        <w:spacing w:before="0"/>
        <w:ind w:firstLine="480"/>
        <w:rPr>
          <w:rFonts w:ascii="宋体" w:hAnsi="宋体" w:cs="宋体"/>
          <w:highlight w:val="none"/>
        </w:rPr>
      </w:pPr>
      <w:r>
        <w:rPr>
          <w:rFonts w:hint="eastAsia" w:ascii="宋体" w:hAnsi="宋体" w:cs="宋体"/>
        </w:rPr>
        <w:t>13.2为确保网上操作合法、有效和安全，投标人应当在投标截止时间前完成在“政府采购云平台”的身份认证，</w:t>
      </w:r>
      <w:r>
        <w:rPr>
          <w:rFonts w:hint="eastAsia" w:ascii="宋体" w:hAnsi="宋体" w:cs="宋体"/>
          <w:highlight w:val="none"/>
        </w:rPr>
        <w:t>确保在电子投标过程中能够对相关数据电文进行加密和使用电子签名。</w:t>
      </w:r>
    </w:p>
    <w:p>
      <w:pPr>
        <w:pStyle w:val="129"/>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pPr>
        <w:pStyle w:val="129"/>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pPr>
        <w:pStyle w:val="129"/>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29"/>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宋体" w:hAnsi="宋体" w:cs="宋体"/>
          <w:szCs w:val="24"/>
          <w:highlight w:val="none"/>
        </w:rPr>
      </w:pPr>
      <w:r>
        <w:rPr>
          <w:rFonts w:hint="eastAsia" w:ascii="宋体" w:hAnsi="宋体" w:cs="宋体"/>
          <w:szCs w:val="24"/>
          <w:highlight w:val="none"/>
        </w:rPr>
        <w:t>14.3采购人、</w:t>
      </w:r>
      <w:r>
        <w:rPr>
          <w:rFonts w:hint="eastAsia" w:ascii="宋体" w:hAnsi="宋体" w:cs="宋体"/>
          <w:szCs w:val="24"/>
          <w:highlight w:val="none"/>
          <w:lang w:eastAsia="zh-CN"/>
        </w:rPr>
        <w:t>采购代理机构</w:t>
      </w:r>
      <w:r>
        <w:rPr>
          <w:rFonts w:hint="eastAsia" w:ascii="宋体" w:hAnsi="宋体" w:cs="宋体"/>
          <w:szCs w:val="24"/>
          <w:highlight w:val="none"/>
        </w:rPr>
        <w:t>可以视情况延长投标文件提交的截止时间。在上述情况下，</w:t>
      </w:r>
      <w:r>
        <w:rPr>
          <w:rFonts w:hint="eastAsia" w:ascii="宋体" w:hAnsi="宋体" w:cs="宋体"/>
          <w:szCs w:val="24"/>
          <w:highlight w:val="none"/>
          <w:lang w:eastAsia="zh-CN"/>
        </w:rPr>
        <w:t>采购代理机构</w:t>
      </w:r>
      <w:r>
        <w:rPr>
          <w:rFonts w:hint="eastAsia" w:ascii="宋体" w:hAnsi="宋体" w:cs="宋体"/>
          <w:szCs w:val="24"/>
          <w:highlight w:val="none"/>
        </w:rPr>
        <w:t>与投标人以前在投标截止期方面的全部权利、责任和义务，将适用于延长至新的投标截止期。</w:t>
      </w:r>
    </w:p>
    <w:p>
      <w:pPr>
        <w:pStyle w:val="37"/>
        <w:spacing w:line="360" w:lineRule="auto"/>
        <w:rPr>
          <w:rFonts w:hAnsi="宋体" w:cs="宋体"/>
          <w:b/>
          <w:sz w:val="24"/>
          <w:szCs w:val="24"/>
          <w:highlight w:val="none"/>
        </w:rPr>
      </w:pPr>
      <w:r>
        <w:rPr>
          <w:rFonts w:hint="eastAsia" w:hAnsi="宋体" w:cs="宋体"/>
          <w:b/>
          <w:sz w:val="24"/>
          <w:szCs w:val="24"/>
          <w:highlight w:val="none"/>
        </w:rPr>
        <w:t>15.备份投标文件</w:t>
      </w:r>
    </w:p>
    <w:p>
      <w:pPr>
        <w:pStyle w:val="37"/>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15.1投标人在电子交易平台传输递交投标文件后，还可以在投标截止时间前直接提交或者以快递方式递交备份投标文件1份，</w:t>
      </w:r>
      <w:r>
        <w:rPr>
          <w:rFonts w:hint="eastAsia" w:hAnsi="宋体" w:cs="宋体"/>
          <w:b/>
          <w:sz w:val="24"/>
          <w:szCs w:val="24"/>
          <w:highlight w:val="none"/>
        </w:rPr>
        <w:t>但采购人、</w:t>
      </w:r>
      <w:r>
        <w:rPr>
          <w:rFonts w:hint="eastAsia" w:hAnsi="宋体" w:cs="宋体"/>
          <w:b/>
          <w:sz w:val="24"/>
          <w:szCs w:val="24"/>
          <w:highlight w:val="none"/>
          <w:lang w:eastAsia="zh-CN"/>
        </w:rPr>
        <w:t>采购代理机构</w:t>
      </w:r>
      <w:r>
        <w:rPr>
          <w:rFonts w:hint="eastAsia" w:hAnsi="宋体" w:cs="宋体"/>
          <w:b/>
          <w:sz w:val="24"/>
          <w:szCs w:val="24"/>
          <w:highlight w:val="none"/>
        </w:rPr>
        <w:t>不强制或变相强制投标人提交备份投标文件。</w:t>
      </w:r>
    </w:p>
    <w:p>
      <w:pPr>
        <w:pStyle w:val="37"/>
        <w:spacing w:line="360" w:lineRule="auto"/>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rPr>
        <w:t>DVD光盘</w:t>
      </w:r>
      <w:r>
        <w:rPr>
          <w:rFonts w:hint="eastAsia" w:hAnsi="宋体" w:cs="宋体"/>
          <w:sz w:val="24"/>
          <w:highlight w:val="none"/>
          <w:lang w:val="en-US" w:eastAsia="zh-CN"/>
        </w:rPr>
        <w:t>等存储介质</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pPr>
        <w:pStyle w:val="37"/>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w:t>
      </w:r>
      <w:r>
        <w:rPr>
          <w:rFonts w:hint="eastAsia" w:hAnsi="宋体" w:cs="宋体"/>
          <w:sz w:val="24"/>
          <w:szCs w:val="24"/>
          <w:highlight w:val="none"/>
          <w:lang w:eastAsia="zh-CN"/>
        </w:rPr>
        <w:t>采购代理机构</w:t>
      </w:r>
      <w:r>
        <w:rPr>
          <w:rFonts w:hint="eastAsia" w:hAnsi="宋体" w:cs="宋体"/>
          <w:sz w:val="24"/>
          <w:szCs w:val="24"/>
          <w:highlight w:val="none"/>
        </w:rPr>
        <w:t>，</w:t>
      </w:r>
      <w:r>
        <w:rPr>
          <w:rFonts w:hint="eastAsia" w:hAnsi="宋体" w:cs="宋体"/>
          <w:sz w:val="24"/>
          <w:szCs w:val="24"/>
          <w:highlight w:val="none"/>
          <w:lang w:eastAsia="zh-CN"/>
        </w:rPr>
        <w:t>采购代理机构</w:t>
      </w:r>
      <w:r>
        <w:rPr>
          <w:rFonts w:hint="eastAsia" w:hAnsi="宋体" w:cs="宋体"/>
          <w:sz w:val="24"/>
          <w:szCs w:val="24"/>
          <w:highlight w:val="none"/>
        </w:rPr>
        <w:t>将拒绝接受逾期送达的备份投标文件。</w:t>
      </w:r>
    </w:p>
    <w:p>
      <w:pPr>
        <w:pStyle w:val="37"/>
        <w:spacing w:line="360" w:lineRule="auto"/>
        <w:ind w:firstLine="480" w:firstLineChars="200"/>
        <w:rPr>
          <w:rFonts w:hAnsi="宋体" w:cs="宋体"/>
          <w:sz w:val="24"/>
          <w:szCs w:val="24"/>
          <w:highlight w:val="none"/>
        </w:rPr>
      </w:pPr>
      <w:r>
        <w:rPr>
          <w:rFonts w:hint="eastAsia" w:hAnsi="宋体" w:cs="宋体"/>
          <w:sz w:val="24"/>
          <w:szCs w:val="24"/>
          <w:highlight w:val="none"/>
        </w:rPr>
        <w:t>15.4以快递方式递交备份投标文件的，投标人应先将备份投标文件按要求密封和标记，再进行快递包装后邮寄。备份投标文件须在投标截止时间之前送达</w:t>
      </w:r>
      <w:r>
        <w:rPr>
          <w:rFonts w:hint="eastAsia" w:hAnsi="宋体" w:cs="宋体"/>
          <w:snapToGrid/>
          <w:sz w:val="24"/>
          <w:szCs w:val="24"/>
          <w:highlight w:val="none"/>
        </w:rPr>
        <w:t>招标文件第二部分投标人须知前附表规定的备份投标文件送达地点；</w:t>
      </w:r>
      <w:r>
        <w:rPr>
          <w:rFonts w:hint="eastAsia" w:hAnsi="宋体" w:cs="宋体"/>
          <w:sz w:val="24"/>
          <w:szCs w:val="24"/>
          <w:highlight w:val="none"/>
        </w:rPr>
        <w:t>送达时间以签收人签收时间为准。</w:t>
      </w:r>
      <w:r>
        <w:rPr>
          <w:rFonts w:hint="eastAsia" w:hAnsi="宋体" w:cs="宋体"/>
          <w:sz w:val="24"/>
          <w:szCs w:val="24"/>
          <w:highlight w:val="none"/>
          <w:lang w:eastAsia="zh-CN"/>
        </w:rPr>
        <w:t>采购代理机构</w:t>
      </w:r>
      <w:r>
        <w:rPr>
          <w:rFonts w:hint="eastAsia" w:hAnsi="宋体" w:cs="宋体"/>
          <w:sz w:val="24"/>
          <w:szCs w:val="24"/>
          <w:highlight w:val="none"/>
        </w:rPr>
        <w:t>将拒绝接受逾期送达的备份投标文件。邮寄过程中，电子备份投标文件发生泄露、遗失、损坏或延期送达等情况的，由投标人自行负责。</w:t>
      </w:r>
    </w:p>
    <w:p>
      <w:pPr>
        <w:pStyle w:val="37"/>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pPr>
        <w:pStyle w:val="129"/>
        <w:spacing w:before="0"/>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pPr>
        <w:pStyle w:val="26"/>
        <w:spacing w:line="360" w:lineRule="auto"/>
        <w:ind w:firstLine="360" w:firstLineChars="150"/>
        <w:rPr>
          <w:rFonts w:cs="宋体"/>
          <w:szCs w:val="21"/>
          <w:highlight w:val="none"/>
        </w:rPr>
      </w:pPr>
      <w:r>
        <w:rPr>
          <w:rFonts w:hint="eastAsia" w:cs="宋体"/>
          <w:szCs w:val="21"/>
          <w:highlight w:val="none"/>
        </w:rPr>
        <w:t>有招标文件第四部分</w:t>
      </w:r>
      <w:r>
        <w:rPr>
          <w:rFonts w:cs="宋体"/>
          <w:highlight w:val="none"/>
        </w:rPr>
        <w:t>4.2规定</w:t>
      </w:r>
      <w:r>
        <w:rPr>
          <w:rFonts w:hint="eastAsia" w:cs="宋体"/>
          <w:szCs w:val="21"/>
          <w:highlight w:val="none"/>
        </w:rPr>
        <w:t>的情形之一的，投标无效：</w:t>
      </w:r>
    </w:p>
    <w:p>
      <w:pPr>
        <w:pStyle w:val="129"/>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pPr>
        <w:pStyle w:val="129"/>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pPr>
        <w:pStyle w:val="129"/>
        <w:spacing w:before="0"/>
        <w:ind w:firstLine="480"/>
        <w:rPr>
          <w:rFonts w:ascii="宋体" w:hAnsi="宋体" w:cs="宋体"/>
          <w:highlight w:val="none"/>
        </w:rPr>
      </w:pPr>
      <w:r>
        <w:rPr>
          <w:rFonts w:hint="eastAsia" w:ascii="宋体" w:hAnsi="宋体" w:cs="宋体"/>
          <w:highlight w:val="none"/>
        </w:rPr>
        <w:t>17.3在原定投标有效期满之前，如果出现特殊情况，</w:t>
      </w:r>
      <w:r>
        <w:rPr>
          <w:rFonts w:hint="eastAsia" w:ascii="宋体" w:hAnsi="宋体" w:cs="宋体"/>
          <w:highlight w:val="none"/>
          <w:lang w:eastAsia="zh-CN"/>
        </w:rPr>
        <w:t>采购代理机构</w:t>
      </w:r>
      <w:r>
        <w:rPr>
          <w:rFonts w:hint="eastAsia" w:ascii="宋体" w:hAnsi="宋体" w:cs="宋体"/>
          <w:highlight w:val="none"/>
        </w:rPr>
        <w:t>可以以书面形式通知投标人延长投标有效期。投标人同意延长的，不得要求或被允许修改其投标文件，投标人拒绝延长的，其投标无效。</w:t>
      </w:r>
    </w:p>
    <w:p>
      <w:pPr>
        <w:pStyle w:val="129"/>
        <w:spacing w:before="0"/>
        <w:ind w:firstLine="643"/>
        <w:rPr>
          <w:rFonts w:hint="eastAsia" w:ascii="宋体" w:hAnsi="宋体" w:cs="宋体"/>
          <w:highlight w:val="none"/>
        </w:rPr>
      </w:pPr>
      <w:r>
        <w:rPr>
          <w:rFonts w:hint="eastAsia" w:ascii="宋体" w:hAnsi="宋体" w:cs="宋体"/>
          <w:highlight w:val="none"/>
        </w:rPr>
        <w:t>17.4在投标截止时间起至投标有效期届满，供应商投标文件不可撤销。</w:t>
      </w:r>
    </w:p>
    <w:p>
      <w:pPr>
        <w:pStyle w:val="129"/>
        <w:spacing w:before="0"/>
        <w:ind w:firstLine="643"/>
        <w:rPr>
          <w:rFonts w:hint="eastAsia" w:ascii="宋体" w:hAnsi="宋体" w:cs="宋体"/>
          <w:highlight w:val="none"/>
        </w:rPr>
      </w:pPr>
    </w:p>
    <w:p>
      <w:pPr>
        <w:pStyle w:val="129"/>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pPr>
        <w:pStyle w:val="554"/>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pPr>
        <w:pStyle w:val="554"/>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w:t>
      </w:r>
      <w:r>
        <w:rPr>
          <w:rFonts w:hint="eastAsia" w:ascii="宋体" w:hAnsi="宋体" w:cs="宋体"/>
          <w:sz w:val="24"/>
          <w:highlight w:val="none"/>
          <w:lang w:eastAsia="zh-CN"/>
        </w:rPr>
        <w:t>采购代理机构</w:t>
      </w:r>
      <w:r>
        <w:rPr>
          <w:rFonts w:hint="eastAsia" w:ascii="宋体" w:hAnsi="宋体" w:cs="宋体"/>
          <w:sz w:val="24"/>
          <w:highlight w:val="none"/>
        </w:rPr>
        <w:t>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w:t>
      </w:r>
      <w:r>
        <w:rPr>
          <w:rFonts w:hint="eastAsia" w:ascii="宋体" w:hAnsi="宋体" w:cs="宋体"/>
          <w:sz w:val="24"/>
          <w:highlight w:val="none"/>
          <w:lang w:eastAsia="zh-CN"/>
        </w:rPr>
        <w:t>采购代理机构</w:t>
      </w:r>
      <w:r>
        <w:rPr>
          <w:rFonts w:hint="eastAsia" w:ascii="宋体" w:hAnsi="宋体" w:cs="宋体"/>
          <w:sz w:val="24"/>
          <w:highlight w:val="none"/>
        </w:rPr>
        <w:t>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hint="eastAsia"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pPr>
        <w:pStyle w:val="554"/>
        <w:spacing w:before="0" w:line="360" w:lineRule="auto"/>
        <w:ind w:left="0" w:firstLine="482" w:firstLineChars="200"/>
        <w:contextualSpacing/>
        <w:rPr>
          <w:rFonts w:ascii="宋体" w:hAnsi="宋体" w:cs="宋体"/>
          <w:b/>
          <w:sz w:val="24"/>
          <w:highlight w:val="none"/>
        </w:rPr>
      </w:pPr>
      <w:r>
        <w:rPr>
          <w:rFonts w:hint="eastAsia" w:ascii="宋体" w:hAnsi="宋体" w:cs="宋体"/>
          <w:b/>
          <w:sz w:val="24"/>
          <w:highlight w:val="none"/>
          <w:lang w:val="en-US" w:eastAsia="zh-CN"/>
        </w:rPr>
        <w:t>18.4开标记录开启后，请将附件8《政府采购活动现场确认声明书》填写完整发送至邮箱：3692652350@qq.com。</w:t>
      </w:r>
    </w:p>
    <w:p>
      <w:pPr>
        <w:widowControl/>
        <w:spacing w:before="100" w:beforeAutospacing="1" w:after="240" w:line="360" w:lineRule="auto"/>
        <w:jc w:val="left"/>
        <w:rPr>
          <w:rFonts w:ascii="宋体" w:hAnsi="宋体" w:cs="宋体"/>
          <w:b/>
          <w:sz w:val="24"/>
          <w:szCs w:val="20"/>
          <w:highlight w:val="none"/>
        </w:rPr>
      </w:pPr>
      <w:r>
        <w:rPr>
          <w:rFonts w:hint="eastAsia" w:ascii="宋体" w:hAnsi="宋体" w:cs="宋体"/>
          <w:b/>
          <w:sz w:val="24"/>
          <w:szCs w:val="20"/>
          <w:highlight w:val="none"/>
        </w:rPr>
        <w:t>　19、资格审查</w:t>
      </w:r>
    </w:p>
    <w:p>
      <w:pPr>
        <w:pStyle w:val="129"/>
        <w:spacing w:before="0"/>
        <w:ind w:firstLine="480"/>
        <w:rPr>
          <w:rFonts w:ascii="宋体" w:hAnsi="宋体" w:cs="宋体"/>
          <w:kern w:val="0"/>
          <w:szCs w:val="24"/>
          <w:highlight w:val="none"/>
        </w:rPr>
      </w:pPr>
      <w:r>
        <w:rPr>
          <w:rFonts w:hint="eastAsia" w:ascii="宋体" w:hAnsi="宋体" w:cs="宋体"/>
          <w:kern w:val="0"/>
          <w:szCs w:val="24"/>
          <w:highlight w:val="none"/>
        </w:rPr>
        <w:t>19.1开标后，采购人将依据法律法规和招标文件的规定，对投标人的资格进行审查。</w:t>
      </w:r>
    </w:p>
    <w:p>
      <w:pPr>
        <w:pStyle w:val="129"/>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pPr>
        <w:pStyle w:val="129"/>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3对未通过资格审查的投标人，告知其未通过的原因。</w:t>
      </w:r>
    </w:p>
    <w:p>
      <w:pPr>
        <w:pStyle w:val="129"/>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pPr>
        <w:pStyle w:val="129"/>
        <w:spacing w:before="0"/>
        <w:ind w:firstLine="0" w:firstLineChars="0"/>
        <w:rPr>
          <w:rFonts w:ascii="宋体" w:hAnsi="宋体" w:cs="宋体"/>
          <w:b/>
          <w:szCs w:val="24"/>
          <w:highlight w:val="none"/>
        </w:rPr>
      </w:pPr>
      <w:r>
        <w:rPr>
          <w:rFonts w:hint="eastAsia" w:ascii="宋体" w:hAnsi="宋体" w:cs="宋体"/>
          <w:b/>
          <w:szCs w:val="24"/>
          <w:highlight w:val="none"/>
        </w:rPr>
        <w:t>20、信用信息查询</w:t>
      </w:r>
    </w:p>
    <w:p>
      <w:pPr>
        <w:pStyle w:val="129"/>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w:t>
      </w:r>
      <w:r>
        <w:rPr>
          <w:rFonts w:hint="eastAsia" w:ascii="宋体" w:hAnsi="宋体" w:cs="宋体"/>
          <w:kern w:val="0"/>
          <w:szCs w:val="24"/>
          <w:highlight w:val="none"/>
          <w:lang w:eastAsia="zh-CN"/>
        </w:rPr>
        <w:t>采购代理机构</w:t>
      </w:r>
      <w:r>
        <w:rPr>
          <w:rFonts w:hint="eastAsia" w:ascii="宋体" w:hAnsi="宋体" w:cs="宋体"/>
          <w:kern w:val="0"/>
          <w:szCs w:val="24"/>
          <w:highlight w:val="none"/>
        </w:rPr>
        <w:t>将在资格审查时通过“信用中国”网站(www.creditchina.gov.cn)、中国政府采购网(www.ccgp.gov.cn)渠道查询投标人接受资格审查时的信用记录。</w:t>
      </w:r>
    </w:p>
    <w:p>
      <w:pPr>
        <w:pStyle w:val="129"/>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pPr>
        <w:pStyle w:val="129"/>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pPr>
        <w:pStyle w:val="129"/>
        <w:spacing w:before="0"/>
        <w:ind w:firstLine="0" w:firstLineChars="0"/>
        <w:rPr>
          <w:rFonts w:ascii="宋体" w:hAnsi="宋体" w:cs="宋体"/>
          <w:kern w:val="0"/>
          <w:szCs w:val="24"/>
          <w:highlight w:val="none"/>
        </w:rPr>
      </w:pPr>
    </w:p>
    <w:p>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五、评标</w:t>
      </w:r>
    </w:p>
    <w:p>
      <w:pPr>
        <w:spacing w:line="360" w:lineRule="auto"/>
        <w:rPr>
          <w:rFonts w:ascii="宋体" w:hAnsi="宋体" w:cs="宋体"/>
          <w:b/>
          <w:sz w:val="24"/>
          <w:highlight w:val="none"/>
        </w:rPr>
      </w:pPr>
      <w:bookmarkStart w:id="20"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pPr>
        <w:spacing w:line="360" w:lineRule="auto"/>
        <w:rPr>
          <w:rFonts w:ascii="宋体" w:hAnsi="宋体" w:cs="宋体"/>
          <w:b/>
          <w:sz w:val="24"/>
          <w:highlight w:val="none"/>
        </w:rPr>
      </w:pPr>
    </w:p>
    <w:p>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六、定 标</w:t>
      </w:r>
    </w:p>
    <w:p>
      <w:pPr>
        <w:pStyle w:val="26"/>
        <w:spacing w:line="360" w:lineRule="auto"/>
        <w:ind w:left="479" w:hanging="479" w:hangingChars="199"/>
        <w:rPr>
          <w:rFonts w:cs="宋体"/>
          <w:b/>
          <w:highlight w:val="none"/>
        </w:rPr>
      </w:pPr>
      <w:r>
        <w:rPr>
          <w:rFonts w:hint="eastAsia" w:cs="宋体"/>
          <w:b/>
          <w:highlight w:val="none"/>
        </w:rPr>
        <w:t>22. 确定中标供应商</w:t>
      </w:r>
    </w:p>
    <w:p>
      <w:pPr>
        <w:pStyle w:val="129"/>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候选人撤销投标文件不能成为采购人不确认采购结果的正当理由。中标通知书和中标结果公告应当在规定时间内同时发出。</w:t>
      </w:r>
    </w:p>
    <w:p>
      <w:pPr>
        <w:pStyle w:val="129"/>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w:t>
      </w:r>
      <w:r>
        <w:rPr>
          <w:rFonts w:hint="eastAsia" w:ascii="宋体" w:hAnsi="宋体" w:cs="宋体"/>
          <w:sz w:val="24"/>
          <w:highlight w:val="none"/>
          <w:lang w:eastAsia="zh-CN"/>
        </w:rPr>
        <w:t>采购代理机构</w:t>
      </w:r>
      <w:r>
        <w:rPr>
          <w:rFonts w:hint="eastAsia" w:ascii="宋体" w:hAnsi="宋体" w:cs="宋体"/>
          <w:sz w:val="24"/>
          <w:highlight w:val="none"/>
        </w:rPr>
        <w:t>通过电子交易平台向中标人发出中标通知书，同时编制发布采购结果公告。</w:t>
      </w:r>
      <w:r>
        <w:rPr>
          <w:rFonts w:hint="eastAsia" w:ascii="宋体" w:hAnsi="宋体" w:cs="宋体"/>
          <w:sz w:val="24"/>
          <w:highlight w:val="none"/>
          <w:lang w:eastAsia="zh-CN"/>
        </w:rPr>
        <w:t>采购代理机构</w:t>
      </w:r>
      <w:r>
        <w:rPr>
          <w:rFonts w:hint="eastAsia" w:ascii="宋体" w:hAnsi="宋体" w:cs="宋体"/>
          <w:sz w:val="24"/>
          <w:highlight w:val="none"/>
        </w:rPr>
        <w:t>也可以以纸质形式进行中标通知。</w:t>
      </w:r>
    </w:p>
    <w:p>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w:t>
      </w:r>
      <w:r>
        <w:rPr>
          <w:rFonts w:hint="eastAsia" w:ascii="宋体" w:hAnsi="宋体" w:cs="宋体"/>
          <w:sz w:val="24"/>
          <w:highlight w:val="none"/>
          <w:lang w:eastAsia="zh-CN"/>
        </w:rPr>
        <w:t>采购代理机构</w:t>
      </w:r>
      <w:r>
        <w:rPr>
          <w:rFonts w:hint="eastAsia" w:ascii="宋体" w:hAnsi="宋体" w:cs="宋体"/>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23.3公告期限为1个工作日。</w:t>
      </w:r>
    </w:p>
    <w:p>
      <w:pPr>
        <w:snapToGrid w:val="0"/>
        <w:spacing w:line="360" w:lineRule="auto"/>
        <w:ind w:left="120" w:leftChars="57" w:firstLine="482" w:firstLineChars="150"/>
        <w:jc w:val="center"/>
        <w:rPr>
          <w:rFonts w:ascii="宋体" w:hAnsi="宋体" w:cs="宋体"/>
          <w:b/>
          <w:sz w:val="32"/>
          <w:highlight w:val="none"/>
        </w:rPr>
      </w:pPr>
    </w:p>
    <w:p>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七、合同授予</w:t>
      </w:r>
    </w:p>
    <w:p>
      <w:pPr>
        <w:pStyle w:val="26"/>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pPr>
        <w:pStyle w:val="26"/>
        <w:spacing w:line="360" w:lineRule="auto"/>
        <w:ind w:left="479" w:hanging="479" w:hangingChars="199"/>
        <w:rPr>
          <w:rFonts w:cs="宋体"/>
          <w:b/>
          <w:highlight w:val="none"/>
        </w:rPr>
      </w:pPr>
      <w:r>
        <w:rPr>
          <w:rFonts w:hint="eastAsia" w:cs="宋体"/>
          <w:b/>
          <w:highlight w:val="none"/>
        </w:rPr>
        <w:t>25. 合同的签订</w:t>
      </w:r>
    </w:p>
    <w:p>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pPr>
        <w:pStyle w:val="129"/>
        <w:snapToGrid w:val="0"/>
        <w:spacing w:before="0"/>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pPr>
        <w:pStyle w:val="26"/>
        <w:spacing w:line="360" w:lineRule="auto"/>
        <w:ind w:left="479" w:hanging="479" w:hangingChars="199"/>
        <w:rPr>
          <w:rFonts w:cs="宋体"/>
          <w:b/>
          <w:highlight w:val="none"/>
        </w:rPr>
      </w:pPr>
      <w:r>
        <w:rPr>
          <w:rFonts w:hint="eastAsia" w:cs="宋体"/>
          <w:b/>
          <w:highlight w:val="none"/>
        </w:rPr>
        <w:t>26. 履约保证金</w:t>
      </w:r>
    </w:p>
    <w:p>
      <w:pPr>
        <w:tabs>
          <w:tab w:val="left" w:pos="0"/>
        </w:tabs>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w:t>
      </w:r>
      <w:r>
        <w:rPr>
          <w:rFonts w:ascii="宋体" w:hAnsi="宋体" w:cs="宋体"/>
          <w:sz w:val="24"/>
          <w:highlight w:val="none"/>
        </w:rPr>
        <w:t>1</w:t>
      </w:r>
      <w:r>
        <w:rPr>
          <w:rFonts w:hint="eastAsia" w:ascii="宋体" w:hAnsi="宋体" w:cs="宋体"/>
          <w:sz w:val="24"/>
          <w:highlight w:val="none"/>
        </w:rPr>
        <w:t>%，</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sz w:val="24"/>
          <w:highlight w:val="none"/>
        </w:rPr>
        <w:t>鼓励和支持供应商以银行、保险公司出具的保函形式提供履约保证金。采购人不得拒收履约保函，项目验收结束后应及时退还，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pPr>
        <w:pStyle w:val="4"/>
        <w:ind w:left="0" w:firstLine="480" w:firstLineChars="200"/>
        <w:rPr>
          <w:rFonts w:ascii="宋体" w:hAnsi="宋体" w:eastAsia="宋体" w:cs="宋体"/>
          <w:b w:val="0"/>
          <w:bCs w:val="0"/>
          <w:snapToGrid w:val="0"/>
          <w:kern w:val="28"/>
          <w:sz w:val="24"/>
          <w:highlight w:val="none"/>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rPr>
          <w:highlight w:val="none"/>
        </w:rPr>
      </w:pPr>
      <w:r>
        <w:rPr>
          <w:rFonts w:ascii="宋体" w:hAnsi="宋体" w:eastAsia="宋体" w:cs="Times New Roman"/>
          <w:b/>
          <w:bCs/>
          <w:kern w:val="2"/>
          <w:sz w:val="24"/>
          <w:szCs w:val="32"/>
          <w:highlight w:val="none"/>
          <w:lang w:val="en-US"/>
        </w:rPr>
        <w:t>27.预付款</w:t>
      </w:r>
    </w:p>
    <w:p>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highlight w:val="none"/>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w:t>
      </w:r>
      <w:r>
        <w:rPr>
          <w:rFonts w:hint="eastAsia" w:ascii="宋体" w:hAnsi="宋体" w:cs="Times New Roman"/>
          <w:kern w:val="2"/>
          <w:sz w:val="24"/>
          <w:highlight w:val="none"/>
          <w:lang w:val="en-US" w:eastAsia="zh-CN"/>
        </w:rPr>
        <w:t>7</w:t>
      </w:r>
      <w:r>
        <w:rPr>
          <w:rFonts w:ascii="宋体" w:hAnsi="宋体" w:cs="Times New Roman"/>
          <w:kern w:val="2"/>
          <w:sz w:val="24"/>
          <w:highlight w:val="none"/>
        </w:rPr>
        <w:t>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pPr>
        <w:rPr>
          <w:highlight w:val="none"/>
        </w:rPr>
      </w:pPr>
    </w:p>
    <w:p>
      <w:pPr>
        <w:snapToGrid w:val="0"/>
        <w:spacing w:line="360" w:lineRule="auto"/>
        <w:ind w:firstLine="3357" w:firstLineChars="1045"/>
        <w:rPr>
          <w:rFonts w:ascii="宋体" w:hAnsi="宋体" w:cs="宋体"/>
          <w:b/>
          <w:sz w:val="32"/>
          <w:highlight w:val="none"/>
        </w:rPr>
      </w:pPr>
    </w:p>
    <w:p>
      <w:pPr>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pPr>
        <w:pStyle w:val="129"/>
        <w:snapToGrid w:val="0"/>
        <w:spacing w:before="0"/>
        <w:ind w:firstLine="0" w:firstLineChars="0"/>
        <w:rPr>
          <w:rFonts w:ascii="宋体" w:hAnsi="宋体" w:cs="宋体"/>
          <w:highlight w:val="none"/>
        </w:rPr>
      </w:pPr>
      <w:r>
        <w:rPr>
          <w:rFonts w:ascii="宋体" w:hAnsi="宋体" w:cs="宋体"/>
          <w:b/>
          <w:bCs/>
          <w:kern w:val="2"/>
          <w:sz w:val="24"/>
          <w:szCs w:val="20"/>
          <w:highlight w:val="none"/>
        </w:rPr>
        <w:t>2</w:t>
      </w:r>
      <w:r>
        <w:rPr>
          <w:rFonts w:ascii="宋体" w:hAnsi="宋体" w:cs="宋体"/>
          <w:b/>
          <w:bCs/>
          <w:kern w:val="2"/>
          <w:sz w:val="24"/>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w:t>
      </w:r>
      <w:r>
        <w:rPr>
          <w:rFonts w:hint="eastAsia" w:ascii="宋体" w:hAnsi="宋体" w:cs="宋体"/>
          <w:highlight w:val="none"/>
          <w:lang w:eastAsia="zh-CN"/>
        </w:rPr>
        <w:t>采购代理机构</w:t>
      </w:r>
      <w:r>
        <w:rPr>
          <w:rFonts w:hint="eastAsia" w:ascii="宋体" w:hAnsi="宋体" w:cs="宋体"/>
          <w:highlight w:val="none"/>
        </w:rPr>
        <w:t>可中止电子交易活动：</w:t>
      </w:r>
    </w:p>
    <w:p>
      <w:pPr>
        <w:pStyle w:val="129"/>
        <w:snapToGrid w:val="0"/>
        <w:spacing w:before="0"/>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pPr>
        <w:pStyle w:val="129"/>
        <w:snapToGrid w:val="0"/>
        <w:spacing w:before="0"/>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pPr>
        <w:pStyle w:val="129"/>
        <w:snapToGrid w:val="0"/>
        <w:spacing w:before="0"/>
        <w:ind w:firstLine="480"/>
        <w:rPr>
          <w:rFonts w:ascii="宋体" w:hAnsi="宋体" w:cs="宋体"/>
          <w:highlight w:val="none"/>
        </w:rPr>
      </w:pPr>
      <w:r>
        <w:rPr>
          <w:rFonts w:hint="eastAsia" w:ascii="宋体" w:hAnsi="宋体" w:cs="宋体"/>
          <w:highlight w:val="none"/>
        </w:rPr>
        <w:t>28.3电子交易平台发现严重安全漏洞，有潜在泄密危险的；</w:t>
      </w:r>
    </w:p>
    <w:p>
      <w:pPr>
        <w:pStyle w:val="129"/>
        <w:snapToGrid w:val="0"/>
        <w:spacing w:before="0"/>
        <w:ind w:firstLine="480"/>
        <w:rPr>
          <w:rFonts w:ascii="宋体" w:hAnsi="宋体" w:cs="宋体"/>
          <w:highlight w:val="none"/>
        </w:rPr>
      </w:pPr>
      <w:r>
        <w:rPr>
          <w:rFonts w:hint="eastAsia" w:ascii="宋体" w:hAnsi="宋体" w:cs="宋体"/>
          <w:highlight w:val="none"/>
        </w:rPr>
        <w:t xml:space="preserve">28.4病毒发作导致不能进行正常操作的； </w:t>
      </w:r>
    </w:p>
    <w:p>
      <w:pPr>
        <w:pStyle w:val="129"/>
        <w:snapToGrid w:val="0"/>
        <w:spacing w:before="0"/>
        <w:ind w:firstLine="480"/>
        <w:rPr>
          <w:rFonts w:ascii="宋体" w:hAnsi="宋体" w:cs="宋体"/>
          <w:highlight w:val="none"/>
        </w:rPr>
      </w:pPr>
      <w:r>
        <w:rPr>
          <w:rFonts w:hint="eastAsia" w:ascii="宋体" w:hAnsi="宋体" w:cs="宋体"/>
          <w:highlight w:val="none"/>
        </w:rPr>
        <w:t>28.5其他无法保证电子交易的公平、公正和安全的情况。</w:t>
      </w:r>
    </w:p>
    <w:p>
      <w:pPr>
        <w:pStyle w:val="129"/>
        <w:snapToGrid w:val="0"/>
        <w:spacing w:before="0"/>
        <w:ind w:firstLine="0" w:firstLineChars="0"/>
        <w:rPr>
          <w:rFonts w:ascii="宋体" w:hAnsi="宋体" w:cs="宋体"/>
          <w:highlight w:val="none"/>
        </w:rPr>
      </w:pPr>
      <w:r>
        <w:rPr>
          <w:rFonts w:hint="eastAsia" w:ascii="宋体" w:hAnsi="宋体" w:cs="宋体"/>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highlight w:val="none"/>
        </w:rPr>
      </w:pPr>
    </w:p>
    <w:p>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九、验收</w:t>
      </w:r>
    </w:p>
    <w:p>
      <w:pPr>
        <w:pStyle w:val="26"/>
        <w:spacing w:line="360" w:lineRule="auto"/>
        <w:ind w:firstLine="0" w:firstLineChars="0"/>
        <w:rPr>
          <w:rFonts w:cs="宋体"/>
          <w:b/>
          <w:highlight w:val="none"/>
        </w:rPr>
      </w:pPr>
      <w:r>
        <w:rPr>
          <w:rFonts w:hint="eastAsia" w:cs="宋体"/>
          <w:b/>
          <w:highlight w:val="none"/>
        </w:rPr>
        <w:t>30.验收</w:t>
      </w:r>
    </w:p>
    <w:p>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highlight w:val="none"/>
        </w:r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0"/>
    <w:p>
      <w:pPr>
        <w:tabs>
          <w:tab w:val="left" w:pos="0"/>
        </w:tabs>
        <w:spacing w:line="360" w:lineRule="auto"/>
        <w:ind w:firstLine="480"/>
        <w:rPr>
          <w:rFonts w:ascii="宋体" w:hAnsi="宋体"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21" w:name="_Hlt74730295"/>
      <w:bookmarkEnd w:id="21"/>
      <w:bookmarkStart w:id="22" w:name="_Hlt68072990"/>
      <w:bookmarkEnd w:id="22"/>
      <w:bookmarkStart w:id="23" w:name="_Hlt74707468"/>
      <w:bookmarkEnd w:id="23"/>
      <w:bookmarkStart w:id="24" w:name="_Hlt68072998"/>
      <w:bookmarkEnd w:id="24"/>
      <w:bookmarkStart w:id="25" w:name="_Hlt75236011"/>
      <w:bookmarkEnd w:id="25"/>
      <w:bookmarkStart w:id="26" w:name="_Hlt74714665"/>
      <w:bookmarkEnd w:id="26"/>
      <w:bookmarkStart w:id="27" w:name="_Hlt68403820"/>
      <w:bookmarkEnd w:id="27"/>
      <w:bookmarkStart w:id="28" w:name="_Hlt75236101"/>
      <w:bookmarkEnd w:id="28"/>
      <w:bookmarkStart w:id="29" w:name="_Hlt74729768"/>
      <w:bookmarkEnd w:id="29"/>
      <w:bookmarkStart w:id="30" w:name="_Hlt68073093"/>
      <w:bookmarkEnd w:id="30"/>
      <w:bookmarkStart w:id="31" w:name="_Hlt68057669"/>
      <w:bookmarkEnd w:id="31"/>
      <w:bookmarkStart w:id="32" w:name="_Hlt75236290"/>
      <w:bookmarkEnd w:id="32"/>
    </w:p>
    <w:bookmarkEnd w:id="15"/>
    <w:bookmarkEnd w:id="16"/>
    <w:p>
      <w:pPr>
        <w:spacing w:line="360" w:lineRule="auto"/>
        <w:jc w:val="center"/>
        <w:outlineLvl w:val="0"/>
        <w:rPr>
          <w:rFonts w:hint="eastAsia" w:ascii="宋体" w:hAnsi="宋体" w:cs="宋体"/>
          <w:b/>
          <w:sz w:val="36"/>
          <w:szCs w:val="36"/>
          <w:highlight w:val="none"/>
        </w:rPr>
      </w:pPr>
      <w:bookmarkStart w:id="33" w:name="第四部分"/>
      <w:r>
        <w:rPr>
          <w:rFonts w:hint="eastAsia" w:ascii="宋体" w:hAnsi="宋体" w:cs="宋体"/>
          <w:b/>
          <w:sz w:val="36"/>
          <w:szCs w:val="36"/>
          <w:highlight w:val="none"/>
        </w:rPr>
        <w:t>第三部分   采购需求</w:t>
      </w:r>
    </w:p>
    <w:p>
      <w:pPr>
        <w:pStyle w:val="24"/>
        <w:rPr>
          <w:rFonts w:hint="eastAsia" w:eastAsia="宋体"/>
          <w:b/>
          <w:bCs/>
          <w:lang w:eastAsia="zh-CN"/>
        </w:rPr>
      </w:pPr>
      <w:r>
        <w:rPr>
          <w:rFonts w:hint="eastAsia"/>
          <w:b/>
          <w:bCs/>
        </w:rPr>
        <w:t>“▲” 系指实质性要求条款</w:t>
      </w:r>
      <w:r>
        <w:rPr>
          <w:rFonts w:hint="eastAsia"/>
          <w:b/>
          <w:bCs/>
          <w:lang w:eastAsia="zh-CN"/>
        </w:rPr>
        <w:t>，不满足或未响应招标文件的实质性要求的，投标无效。</w:t>
      </w:r>
      <w:r>
        <w:rPr>
          <w:rFonts w:hint="eastAsia"/>
          <w:b/>
          <w:bCs/>
          <w:lang w:val="zh-CN" w:eastAsia="zh-CN"/>
        </w:rPr>
        <w:t>“★”系产品采购项目中单一产品或核心产品。</w:t>
      </w:r>
    </w:p>
    <w:p>
      <w:pPr>
        <w:tabs>
          <w:tab w:val="left" w:pos="0"/>
        </w:tabs>
        <w:spacing w:line="360" w:lineRule="auto"/>
        <w:ind w:firstLine="480"/>
        <w:rPr>
          <w:rFonts w:hint="eastAsia" w:ascii="宋体" w:hAnsi="宋体" w:eastAsia="宋体" w:cs="宋体"/>
          <w:kern w:val="0"/>
          <w:sz w:val="24"/>
          <w:highlight w:val="none"/>
          <w:lang w:val="en-US" w:eastAsia="zh-CN"/>
        </w:rPr>
      </w:pPr>
      <w:r>
        <w:rPr>
          <w:rFonts w:hint="eastAsia" w:asciiTheme="minorEastAsia" w:hAnsiTheme="minorEastAsia" w:eastAsiaTheme="minorEastAsia" w:cstheme="minorEastAsia"/>
          <w:b/>
          <w:bCs/>
          <w:sz w:val="24"/>
          <w:highlight w:val="none"/>
        </w:rPr>
        <w:t>一、</w:t>
      </w:r>
      <w:bookmarkStart w:id="34" w:name="_Hlk91519282"/>
      <w:r>
        <w:rPr>
          <w:rFonts w:hint="eastAsia" w:asciiTheme="minorEastAsia" w:hAnsiTheme="minorEastAsia" w:eastAsiaTheme="minorEastAsia" w:cstheme="minorEastAsia"/>
          <w:b/>
          <w:bCs/>
          <w:sz w:val="24"/>
          <w:highlight w:val="none"/>
          <w:lang w:eastAsia="zh-CN"/>
        </w:rPr>
        <w:t>采购清单</w:t>
      </w:r>
      <w:bookmarkEnd w:id="34"/>
    </w:p>
    <w:tbl>
      <w:tblPr>
        <w:tblStyle w:val="63"/>
        <w:tblpPr w:leftFromText="180" w:rightFromText="180" w:vertAnchor="text" w:horzAnchor="page" w:tblpX="1730" w:tblpY="327"/>
        <w:tblOverlap w:val="neve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5"/>
        <w:gridCol w:w="2263"/>
        <w:gridCol w:w="2492"/>
        <w:gridCol w:w="1225"/>
        <w:gridCol w:w="1070"/>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序号</w:t>
            </w:r>
          </w:p>
        </w:tc>
        <w:tc>
          <w:tcPr>
            <w:tcW w:w="1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名称</w:t>
            </w:r>
          </w:p>
        </w:tc>
        <w:tc>
          <w:tcPr>
            <w:tcW w:w="1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技术参数</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数量</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单位</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b/>
                <w:bCs/>
                <w:lang w:val="zh-CN" w:eastAsia="zh-CN"/>
              </w:rPr>
              <w:t>★</w:t>
            </w:r>
            <w:r>
              <w:rPr>
                <w:rFonts w:hint="eastAsia" w:asciiTheme="minorEastAsia" w:hAnsiTheme="minorEastAsia" w:eastAsiaTheme="minorEastAsia" w:cstheme="minorEastAsia"/>
                <w:i w:val="0"/>
                <w:iCs w:val="0"/>
                <w:color w:val="000000"/>
                <w:kern w:val="0"/>
                <w:sz w:val="24"/>
                <w:szCs w:val="24"/>
                <w:u w:val="none"/>
                <w:lang w:val="en-US" w:eastAsia="zh-CN" w:bidi="ar"/>
              </w:rPr>
              <w:t>HIS数据库服务器</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详见附件</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台</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EMR数据库服务器</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详见附件</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台</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光纤交换机</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sz w:val="24"/>
                <w:szCs w:val="24"/>
                <w:u w:val="none"/>
                <w:lang w:val="en-US" w:eastAsia="zh-CN"/>
              </w:rPr>
              <w:t>详见附件</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台</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全闪存储</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sz w:val="24"/>
                <w:szCs w:val="24"/>
                <w:u w:val="none"/>
                <w:lang w:val="en-US" w:eastAsia="zh-CN"/>
              </w:rPr>
              <w:t>详见附件</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台</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内网超融合一体机</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sz w:val="24"/>
                <w:szCs w:val="24"/>
                <w:u w:val="none"/>
                <w:lang w:val="en-US" w:eastAsia="zh-CN"/>
              </w:rPr>
              <w:t>详见附件</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台</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业务网络交换机</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sz w:val="24"/>
                <w:szCs w:val="24"/>
                <w:u w:val="none"/>
                <w:lang w:val="en-US" w:eastAsia="zh-CN"/>
              </w:rPr>
              <w:t>详见附件</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台</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1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超融合存储交换机</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sz w:val="24"/>
                <w:szCs w:val="24"/>
                <w:u w:val="none"/>
                <w:lang w:val="en-US" w:eastAsia="zh-CN"/>
              </w:rPr>
              <w:t>详见附件</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台</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超融合管理交换设机</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sz w:val="24"/>
                <w:szCs w:val="24"/>
                <w:u w:val="none"/>
                <w:lang w:val="en-US" w:eastAsia="zh-CN"/>
              </w:rPr>
              <w:t>详见附件</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台</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EMR文档库服务器</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sz w:val="24"/>
                <w:szCs w:val="24"/>
                <w:u w:val="none"/>
                <w:lang w:val="en-US" w:eastAsia="zh-CN"/>
              </w:rPr>
              <w:t>详见附件</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台</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HI-HIS数据库容灾服务器</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sz w:val="24"/>
                <w:szCs w:val="24"/>
                <w:u w:val="none"/>
                <w:lang w:val="en-US" w:eastAsia="zh-CN"/>
              </w:rPr>
              <w:t>详见附件</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台</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1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数据库容灾软件</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sz w:val="24"/>
                <w:szCs w:val="24"/>
                <w:u w:val="none"/>
                <w:lang w:val="en-US" w:eastAsia="zh-CN"/>
              </w:rPr>
              <w:t>详见附件</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台</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1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bidi="ar"/>
              </w:rPr>
              <w:t>数据脱敏</w:t>
            </w:r>
            <w:r>
              <w:rPr>
                <w:rFonts w:hint="eastAsia" w:asciiTheme="minorEastAsia" w:hAnsiTheme="minorEastAsia" w:eastAsiaTheme="minorEastAsia" w:cstheme="minorEastAsia"/>
                <w:sz w:val="24"/>
                <w:szCs w:val="24"/>
                <w:lang w:val="en-US" w:eastAsia="zh-CN" w:bidi="ar"/>
              </w:rPr>
              <w:t>设备</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sz w:val="24"/>
                <w:szCs w:val="24"/>
                <w:u w:val="none"/>
                <w:lang w:val="en-US" w:eastAsia="zh-CN"/>
              </w:rPr>
              <w:t>详见附件</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台</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bidi="ar"/>
              </w:rPr>
              <w:t>下一代防火墙</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sz w:val="24"/>
                <w:szCs w:val="24"/>
                <w:u w:val="none"/>
                <w:lang w:val="en-US" w:eastAsia="zh-CN"/>
              </w:rPr>
              <w:t>详见附件</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台</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1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sz w:val="24"/>
                <w:szCs w:val="24"/>
                <w:lang w:val="en-US" w:eastAsia="zh-CN" w:bidi="ar"/>
              </w:rPr>
              <w:t>辅材</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sz w:val="24"/>
                <w:szCs w:val="24"/>
                <w:u w:val="none"/>
                <w:lang w:val="en-US" w:eastAsia="zh-CN"/>
              </w:rPr>
              <w:t>详见附件</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批</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1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系统集成</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sz w:val="24"/>
                <w:szCs w:val="24"/>
                <w:u w:val="none"/>
                <w:lang w:val="en-US" w:eastAsia="zh-CN"/>
              </w:rPr>
              <w:t>详见附件</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项</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r>
    </w:tbl>
    <w:p>
      <w:pPr>
        <w:tabs>
          <w:tab w:val="left" w:pos="0"/>
        </w:tabs>
        <w:spacing w:line="360" w:lineRule="auto"/>
        <w:ind w:firstLine="480"/>
        <w:rPr>
          <w:rFonts w:hint="eastAsia" w:ascii="宋体" w:hAnsi="宋体" w:eastAsia="宋体" w:cs="宋体"/>
          <w:kern w:val="0"/>
          <w:sz w:val="24"/>
          <w:highlight w:val="none"/>
          <w:lang w:val="en-US" w:eastAsia="zh-CN"/>
        </w:rPr>
      </w:pPr>
    </w:p>
    <w:p>
      <w:pPr>
        <w:pStyle w:val="4"/>
        <w:bidi w:val="0"/>
        <w:rPr>
          <w:rFonts w:hint="eastAsia" w:asciiTheme="minorEastAsia" w:hAnsiTheme="minorEastAsia" w:eastAsiaTheme="minorEastAsia" w:cstheme="minorEastAsia"/>
          <w:b/>
          <w:bCs/>
          <w:sz w:val="24"/>
          <w:highlight w:val="none"/>
          <w:lang w:val="en-US" w:eastAsia="zh-CN"/>
        </w:rPr>
      </w:pPr>
      <w:r>
        <w:rPr>
          <w:rFonts w:hint="eastAsia" w:asciiTheme="minorEastAsia" w:hAnsiTheme="minorEastAsia" w:eastAsiaTheme="minorEastAsia" w:cstheme="minorEastAsia"/>
          <w:b/>
          <w:bCs/>
          <w:sz w:val="24"/>
          <w:highlight w:val="none"/>
          <w:lang w:val="en-US" w:eastAsia="zh-CN"/>
        </w:rPr>
        <w:t>二、技术参数</w:t>
      </w:r>
    </w:p>
    <w:p>
      <w:pPr>
        <w:pStyle w:val="4"/>
        <w:bidi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1.HIS数据库服务器：</w:t>
      </w:r>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000"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000"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≤3U标准服务器，国产品牌，自主研发，非OEM，适用于通用机房环境，支持标准机柜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000"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支持系列处理器，配置4颗Cooper Lake处理器（核数≥24C.主频≥2.0GHz）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000"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总体要求：最大支持48个内存插槽；支持高级内存纠错（ECC）、内存镜像（Ememory mirroring）、内存热备（rank sparing）等高级功能；最大支持18T内存容量，最大支持3200MT/s工作频率，本次配置≥512G DDR4 3200 内存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000" w:type="pct"/>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总体要求：支持最大25个标准硬盘槽位，支持SAS/SATA/NVMe接口，支持24NVMe全闪配置，内置最大支持M.2 SSD硬盘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5000" w:type="pct"/>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本次配置</w:t>
            </w:r>
            <w:r>
              <w:rPr>
                <w:rFonts w:ascii="Times New Roman" w:hAnsi="Times New Roman" w:eastAsia="宋体" w:cs="Times New Roman"/>
                <w:color w:val="000000"/>
                <w:kern w:val="0"/>
                <w:szCs w:val="21"/>
              </w:rPr>
              <w:t>≥</w:t>
            </w:r>
            <w:r>
              <w:rPr>
                <w:rFonts w:ascii="Times New Roman" w:hAnsi="Times New Roman" w:eastAsia="宋体" w:cs="Times New Roman"/>
                <w:kern w:val="0"/>
                <w:szCs w:val="21"/>
              </w:rPr>
              <w:t>3块480G SSD硬盘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支持≥4个USB3.0接口, ≥1个VGA接口, 1个专业管理网口，1个BMC诊断串口，1个系统串口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jc w:val="center"/>
        </w:trPr>
        <w:tc>
          <w:tcPr>
            <w:tcW w:w="5000"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配置raid卡，支持 RAID 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000"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支持OCP网络模块，支持1Gb/10Gb/25Gb/100Gb/s速率，支持1/2/4个以太网或光纤网络接口</w:t>
            </w:r>
            <w:r>
              <w:rPr>
                <w:rFonts w:ascii="Times New Roman" w:hAnsi="Times New Roman" w:eastAsia="宋体" w:cs="Times New Roman"/>
                <w:color w:val="000000"/>
                <w:kern w:val="0"/>
                <w:szCs w:val="21"/>
              </w:rPr>
              <w:br w:type="textWrapping"/>
            </w:r>
            <w:r>
              <w:rPr>
                <w:rFonts w:ascii="Times New Roman" w:hAnsi="Times New Roman" w:eastAsia="宋体" w:cs="Times New Roman"/>
                <w:color w:val="000000"/>
                <w:kern w:val="0"/>
                <w:szCs w:val="21"/>
              </w:rPr>
              <w:t>配置≥4个千兆接口，配置≥4个万兆光口（含光模块），配置≥2块双口16G HBA卡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000"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支持≥12个PCIE标准插槽，其中6个支持板载竖插无需Raiser，支持1个OCP 3.0卡扩展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000"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支持2个双宽GPU、4个单宽GPU，提供电源接口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000"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配置≥2个电源（铂金），支持1+1冗余，支持可选钛金级别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000"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冗余热插拔风扇（双转子）。由风扇控制器、风扇，独立风扇控制；采用双转子大尺寸风扇，支持免工具热插拔维护。风扇转速自动调节，对节点透明；风流向前进后出；具备防回流设计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000"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集成系统管理芯片，支持IPMI2.0、KVM over IP、虚拟媒体等管理功能</w:t>
            </w:r>
            <w:r>
              <w:rPr>
                <w:rFonts w:ascii="Times New Roman" w:hAnsi="Times New Roman" w:eastAsia="宋体" w:cs="Times New Roman"/>
                <w:color w:val="000000"/>
                <w:kern w:val="0"/>
                <w:szCs w:val="21"/>
              </w:rPr>
              <w:br w:type="textWrapping"/>
            </w:r>
            <w:r>
              <w:rPr>
                <w:rFonts w:ascii="Times New Roman" w:hAnsi="Times New Roman" w:eastAsia="宋体" w:cs="Times New Roman"/>
                <w:color w:val="000000"/>
                <w:kern w:val="0"/>
                <w:szCs w:val="21"/>
              </w:rPr>
              <w:t>提供原厂服务器管理套件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000"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remote debug可带外进行debug，不用使用ITP工具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00" w:type="pct"/>
            <w:shd w:val="clear" w:color="auto" w:fill="auto"/>
            <w:vAlign w:val="center"/>
          </w:tcPr>
          <w:p>
            <w:pPr>
              <w:rPr>
                <w:rFonts w:ascii="Times New Roman" w:hAnsi="Times New Roman" w:eastAsia="宋体" w:cs="Times New Roman"/>
                <w:kern w:val="0"/>
                <w:szCs w:val="21"/>
              </w:rPr>
            </w:pPr>
            <w:r>
              <w:rPr>
                <w:rFonts w:ascii="Times New Roman" w:hAnsi="Times New Roman" w:eastAsia="宋体" w:cs="Times New Roman"/>
                <w:kern w:val="0"/>
                <w:szCs w:val="21"/>
              </w:rPr>
              <w:t>板载BMC管理模块，支持带外和带内远程管理控制，如IPMI2.0、KVM Over IP、SOL、SNMP等，可实现与操作系统无关的远程对服务器的完全控制。管理软件支持同时部署多台主机或按照计划时间进行特定部署，可监控服务器CPU、内存等资源使用率，批量日志收集等。支持TPM/TCM安全模块，支持带内和带外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shd w:val="clear" w:color="auto" w:fill="auto"/>
            <w:vAlign w:val="center"/>
          </w:tcPr>
          <w:p>
            <w:pPr>
              <w:rPr>
                <w:rFonts w:ascii="Times New Roman" w:hAnsi="Times New Roman" w:eastAsia="宋体" w:cs="Times New Roman"/>
                <w:kern w:val="0"/>
                <w:szCs w:val="21"/>
              </w:rPr>
            </w:pPr>
            <w:r>
              <w:rPr>
                <w:rFonts w:hint="eastAsia" w:ascii="Times New Roman" w:hAnsi="Times New Roman" w:eastAsia="宋体" w:cs="Times New Roman"/>
                <w:kern w:val="0"/>
                <w:szCs w:val="21"/>
                <w:highlight w:val="none"/>
              </w:rPr>
              <w:t>MTBF 不低于20万小时，</w:t>
            </w:r>
            <w:r>
              <w:rPr>
                <w:rFonts w:hint="eastAsia" w:ascii="Times New Roman" w:hAnsi="Times New Roman" w:eastAsia="宋体" w:cs="Times New Roman"/>
                <w:b/>
                <w:bCs/>
                <w:highlight w:val="none"/>
                <w:lang w:val="en-US" w:eastAsia="zh-CN"/>
              </w:rPr>
              <w:t>需要提供具备CMA</w:t>
            </w:r>
            <w:r>
              <w:rPr>
                <w:rFonts w:hint="eastAsia" w:ascii="Times New Roman" w:hAnsi="Times New Roman" w:cs="Times New Roman"/>
                <w:b/>
                <w:bCs/>
                <w:highlight w:val="none"/>
                <w:lang w:val="en-US" w:eastAsia="zh-CN"/>
              </w:rPr>
              <w:t>或</w:t>
            </w:r>
            <w:r>
              <w:rPr>
                <w:rFonts w:hint="eastAsia" w:ascii="Times New Roman" w:hAnsi="Times New Roman" w:eastAsia="宋体" w:cs="Times New Roman"/>
                <w:b/>
                <w:bCs/>
                <w:highlight w:val="none"/>
                <w:lang w:val="en-US" w:eastAsia="zh-CN"/>
              </w:rPr>
              <w:t>CNAS认证的第三方出具的</w:t>
            </w:r>
            <w:r>
              <w:rPr>
                <w:rFonts w:hint="eastAsia" w:ascii="Times New Roman" w:hAnsi="Times New Roman" w:cs="Times New Roman"/>
                <w:b/>
                <w:bCs/>
                <w:highlight w:val="none"/>
                <w:lang w:val="en-US" w:eastAsia="zh-CN"/>
              </w:rPr>
              <w:t>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000"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支持TPM、TCM安全可信模块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000"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三年免费整机硬件保修，</w:t>
            </w:r>
            <w:r>
              <w:rPr>
                <w:rFonts w:ascii="Times New Roman" w:hAnsi="Times New Roman" w:eastAsia="宋体" w:cs="Times New Roman"/>
                <w:kern w:val="0"/>
                <w:szCs w:val="21"/>
                <w:highlight w:val="none"/>
              </w:rPr>
              <w:t>供货时提供原厂质保函</w:t>
            </w:r>
          </w:p>
        </w:tc>
      </w:tr>
    </w:tbl>
    <w:p>
      <w:pPr>
        <w:rPr>
          <w:rFonts w:ascii="Times New Roman" w:hAnsi="Times New Roman" w:eastAsia="宋体" w:cs="Times New Roman"/>
          <w:szCs w:val="21"/>
        </w:rPr>
      </w:pPr>
    </w:p>
    <w:p>
      <w:pPr>
        <w:pStyle w:val="4"/>
        <w:bidi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2.EMR数据库服务器：</w:t>
      </w:r>
    </w:p>
    <w:tbl>
      <w:tblPr>
        <w:tblStyle w:val="6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8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76"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指标项目</w:t>
            </w:r>
          </w:p>
        </w:tc>
        <w:tc>
          <w:tcPr>
            <w:tcW w:w="4323"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总体要求</w:t>
            </w:r>
          </w:p>
        </w:tc>
        <w:tc>
          <w:tcPr>
            <w:tcW w:w="4323" w:type="pct"/>
            <w:shd w:val="clear" w:color="auto" w:fill="auto"/>
            <w:vAlign w:val="center"/>
          </w:tcPr>
          <w:p>
            <w:pPr>
              <w:widowControl/>
              <w:rPr>
                <w:rFonts w:hint="eastAsia" w:ascii="Times New Roman" w:hAnsi="Times New Roman" w:eastAsia="宋体" w:cs="Times New Roman"/>
                <w:color w:val="000000"/>
                <w:kern w:val="0"/>
                <w:szCs w:val="21"/>
                <w:lang w:val="en-US" w:eastAsia="zh-CN"/>
              </w:rPr>
            </w:pPr>
            <w:r>
              <w:rPr>
                <w:rFonts w:ascii="Times New Roman" w:hAnsi="Times New Roman" w:eastAsia="宋体" w:cs="Times New Roman"/>
                <w:color w:val="000000"/>
                <w:kern w:val="0"/>
                <w:szCs w:val="21"/>
              </w:rPr>
              <w:t>≤3U标准服务器，国产品牌，自主研发，非OEM，适用于通用机房环境，支持标准机柜</w:t>
            </w:r>
            <w:r>
              <w:rPr>
                <w:rFonts w:hint="eastAsia" w:ascii="Times New Roman" w:hAnsi="Times New Roman" w:cs="Times New Roman"/>
                <w:color w:val="000000"/>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676" w:type="pct"/>
            <w:shd w:val="clear" w:color="auto" w:fill="auto"/>
            <w:vAlign w:val="center"/>
          </w:tcPr>
          <w:p>
            <w:pPr>
              <w:widowControl/>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none"/>
              </w:rPr>
              <w:t>处理器要求</w:t>
            </w:r>
          </w:p>
        </w:tc>
        <w:tc>
          <w:tcPr>
            <w:tcW w:w="4323" w:type="pct"/>
            <w:shd w:val="clear" w:color="auto" w:fill="auto"/>
            <w:vAlign w:val="center"/>
          </w:tcPr>
          <w:p>
            <w:pPr>
              <w:widowControl/>
              <w:rPr>
                <w:rFonts w:ascii="Times New Roman" w:hAnsi="Times New Roman" w:eastAsia="宋体" w:cs="Times New Roman"/>
                <w:color w:val="000000"/>
                <w:kern w:val="0"/>
                <w:szCs w:val="21"/>
                <w:highlight w:val="yellow"/>
              </w:rPr>
            </w:pPr>
            <w:r>
              <w:rPr>
                <w:rFonts w:hint="eastAsia" w:ascii="Segoe UI Symbol" w:hAnsi="Segoe UI Symbol" w:eastAsia="宋体" w:cs="Segoe UI Symbol"/>
                <w:b/>
                <w:bCs/>
                <w:color w:val="000000"/>
                <w:kern w:val="0"/>
                <w:szCs w:val="21"/>
                <w:highlight w:val="none"/>
              </w:rPr>
              <w:t>☆</w:t>
            </w:r>
            <w:r>
              <w:rPr>
                <w:rFonts w:ascii="Times New Roman" w:hAnsi="Times New Roman" w:eastAsia="宋体" w:cs="Times New Roman"/>
                <w:b/>
                <w:bCs/>
                <w:color w:val="000000"/>
                <w:kern w:val="0"/>
                <w:szCs w:val="21"/>
                <w:highlight w:val="none"/>
              </w:rPr>
              <w:t>支持系列处理器，配置4颗Cooper Lake处理器（核数≥24C.主频≥2.0GHz）</w:t>
            </w:r>
            <w:r>
              <w:rPr>
                <w:rFonts w:ascii="Times New Roman" w:hAnsi="Times New Roman" w:eastAsia="宋体" w:cs="Times New Roman"/>
                <w:color w:val="000000"/>
                <w:kern w:val="0"/>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76" w:type="pct"/>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内存要求</w:t>
            </w:r>
          </w:p>
        </w:tc>
        <w:tc>
          <w:tcPr>
            <w:tcW w:w="4323"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b w:val="0"/>
                <w:bCs w:val="0"/>
                <w:color w:val="000000"/>
                <w:kern w:val="0"/>
                <w:szCs w:val="21"/>
                <w:highlight w:val="none"/>
              </w:rPr>
              <w:t>总体要求：最大支持48个内存插槽；支持高级内存纠错（ECC）、内存镜像（Ememory mirroring）、内存热备（rank sparing）等高级功能；最大支持18T内存容量，最大支持3200MT/s工作频率，本次配置≥512G DDR4 3200 内存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76" w:type="pct"/>
            <w:vMerge w:val="restart"/>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本地存储</w:t>
            </w:r>
          </w:p>
        </w:tc>
        <w:tc>
          <w:tcPr>
            <w:tcW w:w="4323" w:type="pct"/>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总体要求：支持最大25个标准硬盘槽位，支持SAS/SATA/NVMe接口，支持24NVMe全闪配置，内置最大支持M.2 SSD硬盘，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676" w:type="pct"/>
            <w:vMerge w:val="continue"/>
            <w:shd w:val="clear" w:color="auto" w:fill="auto"/>
            <w:vAlign w:val="center"/>
          </w:tcPr>
          <w:p>
            <w:pPr>
              <w:widowControl/>
              <w:jc w:val="left"/>
              <w:rPr>
                <w:rFonts w:ascii="Times New Roman" w:hAnsi="Times New Roman" w:eastAsia="宋体" w:cs="Times New Roman"/>
                <w:color w:val="000000"/>
                <w:kern w:val="0"/>
                <w:szCs w:val="21"/>
              </w:rPr>
            </w:pPr>
          </w:p>
        </w:tc>
        <w:tc>
          <w:tcPr>
            <w:tcW w:w="4323" w:type="pct"/>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本次配置</w:t>
            </w:r>
            <w:r>
              <w:rPr>
                <w:rFonts w:ascii="Times New Roman" w:hAnsi="Times New Roman" w:eastAsia="宋体" w:cs="Times New Roman"/>
                <w:color w:val="000000"/>
                <w:kern w:val="0"/>
                <w:szCs w:val="21"/>
              </w:rPr>
              <w:t>≥</w:t>
            </w:r>
            <w:r>
              <w:rPr>
                <w:rFonts w:ascii="Times New Roman" w:hAnsi="Times New Roman" w:eastAsia="宋体" w:cs="Times New Roman"/>
                <w:kern w:val="0"/>
                <w:szCs w:val="21"/>
              </w:rPr>
              <w:t>3块480G SSD硬盘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76"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标准接口</w:t>
            </w:r>
          </w:p>
        </w:tc>
        <w:tc>
          <w:tcPr>
            <w:tcW w:w="4323"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支持≥4个USB3.0接口, ≥1个VGA接口, 1个专业管理网口，1个BMC诊断串口，1个系统串口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shd w:val="clear" w:color="auto" w:fill="auto"/>
            <w:vAlign w:val="center"/>
          </w:tcPr>
          <w:p>
            <w:pPr>
              <w:widowControl/>
              <w:rPr>
                <w:rFonts w:ascii="Times New Roman" w:hAnsi="Times New Roman" w:eastAsia="宋体" w:cs="Times New Roman"/>
                <w:color w:val="000000"/>
                <w:kern w:val="0"/>
                <w:szCs w:val="21"/>
                <w:highlight w:val="none"/>
              </w:rPr>
            </w:pPr>
            <w:r>
              <w:rPr>
                <w:rFonts w:ascii="Times New Roman" w:hAnsi="Times New Roman" w:eastAsia="宋体" w:cs="Times New Roman"/>
                <w:color w:val="000000"/>
                <w:kern w:val="0"/>
                <w:szCs w:val="21"/>
                <w:highlight w:val="none"/>
              </w:rPr>
              <w:t>RAID卡</w:t>
            </w:r>
          </w:p>
        </w:tc>
        <w:tc>
          <w:tcPr>
            <w:tcW w:w="4323" w:type="pct"/>
            <w:shd w:val="clear" w:color="auto" w:fill="auto"/>
            <w:vAlign w:val="center"/>
          </w:tcPr>
          <w:p>
            <w:pPr>
              <w:widowControl/>
              <w:rPr>
                <w:rFonts w:ascii="Times New Roman" w:hAnsi="Times New Roman" w:eastAsia="宋体" w:cs="Times New Roman"/>
                <w:color w:val="000000"/>
                <w:kern w:val="0"/>
                <w:szCs w:val="21"/>
                <w:highlight w:val="yellow"/>
              </w:rPr>
            </w:pPr>
            <w:r>
              <w:rPr>
                <w:rFonts w:ascii="Times New Roman" w:hAnsi="Times New Roman" w:eastAsia="宋体" w:cs="Times New Roman"/>
                <w:b w:val="0"/>
                <w:bCs w:val="0"/>
                <w:color w:val="000000"/>
                <w:kern w:val="0"/>
                <w:szCs w:val="21"/>
                <w:highlight w:val="none"/>
              </w:rPr>
              <w:t>配置raid卡，支持 RAID 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76"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网络接口</w:t>
            </w:r>
          </w:p>
        </w:tc>
        <w:tc>
          <w:tcPr>
            <w:tcW w:w="4323"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支持OCP网络模块，支持1Gb/10Gb/25Gb/100Gb/s速率，支持1/2/4个以太网或光纤网络接口</w:t>
            </w:r>
            <w:r>
              <w:rPr>
                <w:rFonts w:ascii="Times New Roman" w:hAnsi="Times New Roman" w:eastAsia="宋体" w:cs="Times New Roman"/>
                <w:color w:val="000000"/>
                <w:kern w:val="0"/>
                <w:szCs w:val="21"/>
              </w:rPr>
              <w:br w:type="textWrapping"/>
            </w:r>
            <w:r>
              <w:rPr>
                <w:rFonts w:ascii="Times New Roman" w:hAnsi="Times New Roman" w:eastAsia="宋体" w:cs="Times New Roman"/>
                <w:color w:val="000000"/>
                <w:kern w:val="0"/>
                <w:szCs w:val="21"/>
              </w:rPr>
              <w:t>配置≥4个千兆接口，配置≥4个万兆光口（含光模块），配置≥2块双口16G HBA卡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Merge w:val="restart"/>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I/O扩展槽</w:t>
            </w:r>
          </w:p>
        </w:tc>
        <w:tc>
          <w:tcPr>
            <w:tcW w:w="4323"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支持≥12个PCIE标准插槽，其中6个支持板载竖插无需Raiser，支持1个OCP 3.0卡扩展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76" w:type="pct"/>
            <w:vMerge w:val="continue"/>
            <w:vAlign w:val="center"/>
          </w:tcPr>
          <w:p>
            <w:pPr>
              <w:widowControl/>
              <w:jc w:val="left"/>
              <w:rPr>
                <w:rFonts w:ascii="Times New Roman" w:hAnsi="Times New Roman" w:eastAsia="宋体" w:cs="Times New Roman"/>
                <w:color w:val="000000"/>
                <w:kern w:val="0"/>
                <w:szCs w:val="21"/>
              </w:rPr>
            </w:pPr>
          </w:p>
        </w:tc>
        <w:tc>
          <w:tcPr>
            <w:tcW w:w="4323"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支持2个双宽GPU、4个单宽GPU，提供电源接口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76"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电源</w:t>
            </w:r>
          </w:p>
        </w:tc>
        <w:tc>
          <w:tcPr>
            <w:tcW w:w="4323"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配置≥2个电源（铂金），支持1+1冗余，支持可选钛金级别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76"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散热</w:t>
            </w:r>
          </w:p>
        </w:tc>
        <w:tc>
          <w:tcPr>
            <w:tcW w:w="4323"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冗余热插拔风扇（双转子）。由风扇控制器、风扇，独立风扇控制；采用双转子大尺寸风扇，支持免工具热插拔维护。风扇转速自动调节，对节点透明；风流向前进后出；具备防回流设计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76" w:type="pct"/>
            <w:vMerge w:val="restart"/>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管理功能</w:t>
            </w:r>
          </w:p>
        </w:tc>
        <w:tc>
          <w:tcPr>
            <w:tcW w:w="4323"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集成系统管理芯片，支持IPMI2.0、KVM over IP、虚拟媒体等管理功能</w:t>
            </w:r>
            <w:r>
              <w:rPr>
                <w:rFonts w:ascii="Times New Roman" w:hAnsi="Times New Roman" w:eastAsia="宋体" w:cs="Times New Roman"/>
                <w:color w:val="000000"/>
                <w:kern w:val="0"/>
                <w:szCs w:val="21"/>
              </w:rPr>
              <w:br w:type="textWrapping"/>
            </w:r>
            <w:r>
              <w:rPr>
                <w:rFonts w:ascii="Times New Roman" w:hAnsi="Times New Roman" w:eastAsia="宋体" w:cs="Times New Roman"/>
                <w:color w:val="000000"/>
                <w:kern w:val="0"/>
                <w:szCs w:val="21"/>
              </w:rPr>
              <w:t>提供原厂服务器管理套件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76" w:type="pct"/>
            <w:vMerge w:val="continue"/>
            <w:vAlign w:val="center"/>
          </w:tcPr>
          <w:p>
            <w:pPr>
              <w:widowControl/>
              <w:jc w:val="left"/>
              <w:rPr>
                <w:rFonts w:ascii="Times New Roman" w:hAnsi="Times New Roman" w:eastAsia="宋体" w:cs="Times New Roman"/>
                <w:color w:val="000000"/>
                <w:kern w:val="0"/>
                <w:szCs w:val="21"/>
              </w:rPr>
            </w:pPr>
          </w:p>
        </w:tc>
        <w:tc>
          <w:tcPr>
            <w:tcW w:w="4323"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remote debug可带外进行debug，不用使用ITP工具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6" w:type="pct"/>
            <w:vMerge w:val="continue"/>
            <w:vAlign w:val="center"/>
          </w:tcPr>
          <w:p>
            <w:pPr>
              <w:widowControl/>
              <w:jc w:val="left"/>
              <w:rPr>
                <w:rFonts w:ascii="Times New Roman" w:hAnsi="Times New Roman" w:eastAsia="宋体" w:cs="Times New Roman"/>
                <w:color w:val="000000"/>
                <w:kern w:val="0"/>
                <w:szCs w:val="21"/>
              </w:rPr>
            </w:pPr>
          </w:p>
        </w:tc>
        <w:tc>
          <w:tcPr>
            <w:tcW w:w="4323" w:type="pct"/>
            <w:shd w:val="clear" w:color="auto" w:fill="auto"/>
            <w:vAlign w:val="center"/>
          </w:tcPr>
          <w:p>
            <w:pPr>
              <w:rPr>
                <w:rFonts w:ascii="Times New Roman" w:hAnsi="Times New Roman" w:eastAsia="宋体" w:cs="Times New Roman"/>
                <w:kern w:val="0"/>
                <w:szCs w:val="21"/>
              </w:rPr>
            </w:pPr>
            <w:r>
              <w:rPr>
                <w:rFonts w:ascii="Times New Roman" w:hAnsi="Times New Roman" w:eastAsia="宋体" w:cs="Times New Roman"/>
                <w:kern w:val="0"/>
                <w:szCs w:val="21"/>
              </w:rPr>
              <w:t>板载BMC管理模块，支持带外和带内远程管理控制，如IPMI2.0、KVM Over IP、SOL、SNMP等，可实现与操作系统无关的远程对服务器的完全控制。管理软件支持同时部署多台主机或按照计划时间进行特定部署，可监控服务器CPU、内存等资源使用率，批量日志收集等。支持TPM/TCM安全模块，支持带内和带外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76"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安全可信</w:t>
            </w:r>
          </w:p>
        </w:tc>
        <w:tc>
          <w:tcPr>
            <w:tcW w:w="4323"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支持TPM、TCM安全可信模块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76"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服务</w:t>
            </w:r>
          </w:p>
        </w:tc>
        <w:tc>
          <w:tcPr>
            <w:tcW w:w="4323"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三年免费整机硬件</w:t>
            </w:r>
            <w:r>
              <w:rPr>
                <w:rFonts w:ascii="Times New Roman" w:hAnsi="Times New Roman" w:eastAsia="宋体" w:cs="Times New Roman"/>
                <w:color w:val="000000"/>
                <w:kern w:val="0"/>
                <w:szCs w:val="21"/>
                <w:highlight w:val="none"/>
              </w:rPr>
              <w:t>保修，</w:t>
            </w:r>
            <w:r>
              <w:rPr>
                <w:rFonts w:ascii="Times New Roman" w:hAnsi="Times New Roman" w:eastAsia="宋体" w:cs="Times New Roman"/>
                <w:kern w:val="0"/>
                <w:szCs w:val="21"/>
                <w:highlight w:val="none"/>
              </w:rPr>
              <w:t>供货时提供原厂质保函</w:t>
            </w:r>
          </w:p>
        </w:tc>
      </w:tr>
    </w:tbl>
    <w:p>
      <w:pPr>
        <w:rPr>
          <w:rFonts w:ascii="Times New Roman" w:hAnsi="Times New Roman" w:eastAsia="宋体" w:cs="Times New Roman"/>
          <w:szCs w:val="21"/>
        </w:rPr>
      </w:pPr>
    </w:p>
    <w:p>
      <w:pPr>
        <w:pStyle w:val="4"/>
        <w:bidi w:val="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3.光纤</w:t>
      </w:r>
      <w:r>
        <w:rPr>
          <w:rFonts w:hint="eastAsia" w:asciiTheme="minorEastAsia" w:hAnsiTheme="minorEastAsia" w:eastAsiaTheme="minorEastAsia" w:cstheme="minorEastAsia"/>
          <w:sz w:val="24"/>
          <w:szCs w:val="24"/>
        </w:rPr>
        <w:t>交换机</w:t>
      </w:r>
      <w:r>
        <w:rPr>
          <w:rFonts w:hint="eastAsia" w:asciiTheme="minorEastAsia" w:hAnsiTheme="minorEastAsia" w:eastAsiaTheme="minorEastAsia" w:cstheme="minorEastAsia"/>
          <w:sz w:val="24"/>
          <w:szCs w:val="24"/>
          <w:lang w:eastAsia="zh-CN"/>
        </w:rPr>
        <w:t>：</w:t>
      </w:r>
    </w:p>
    <w:tbl>
      <w:tblPr>
        <w:tblStyle w:val="6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8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2" w:type="pct"/>
            <w:shd w:val="clear" w:color="auto" w:fill="auto"/>
            <w:noWrap/>
            <w:vAlign w:val="center"/>
          </w:tcPr>
          <w:p>
            <w:pPr>
              <w:widowControl/>
              <w:jc w:val="center"/>
              <w:rPr>
                <w:rFonts w:ascii="Times New Roman" w:hAnsi="Times New Roman" w:eastAsia="宋体" w:cs="Times New Roman"/>
                <w:color w:val="000000"/>
                <w:kern w:val="0"/>
                <w:szCs w:val="21"/>
                <w:highlight w:val="none"/>
              </w:rPr>
            </w:pPr>
            <w:r>
              <w:rPr>
                <w:rFonts w:ascii="Times New Roman" w:hAnsi="Times New Roman" w:eastAsia="宋体" w:cs="Times New Roman"/>
                <w:color w:val="000000"/>
                <w:kern w:val="0"/>
                <w:szCs w:val="21"/>
                <w:highlight w:val="none"/>
              </w:rPr>
              <w:t>要求</w:t>
            </w:r>
          </w:p>
        </w:tc>
        <w:tc>
          <w:tcPr>
            <w:tcW w:w="4347" w:type="pct"/>
            <w:shd w:val="clear" w:color="auto" w:fill="auto"/>
            <w:noWrap/>
            <w:vAlign w:val="center"/>
          </w:tcPr>
          <w:p>
            <w:pPr>
              <w:widowControl/>
              <w:jc w:val="left"/>
              <w:rPr>
                <w:rFonts w:ascii="Times New Roman" w:hAnsi="Times New Roman" w:eastAsia="宋体" w:cs="Times New Roman"/>
                <w:color w:val="000000"/>
                <w:kern w:val="0"/>
                <w:szCs w:val="21"/>
                <w:highlight w:val="none"/>
              </w:rPr>
            </w:pPr>
            <w:r>
              <w:rPr>
                <w:rFonts w:ascii="Times New Roman" w:hAnsi="Times New Roman" w:eastAsia="宋体" w:cs="Times New Roman"/>
                <w:color w:val="000000"/>
                <w:kern w:val="0"/>
                <w:szCs w:val="21"/>
                <w:highlight w:val="none"/>
              </w:rPr>
              <w:t>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2" w:type="pct"/>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架构</w:t>
            </w:r>
          </w:p>
        </w:tc>
        <w:tc>
          <w:tcPr>
            <w:tcW w:w="4347"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SAN存储网络用光纤交换机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2" w:type="pct"/>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接入能力</w:t>
            </w:r>
          </w:p>
        </w:tc>
        <w:tc>
          <w:tcPr>
            <w:tcW w:w="4347"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支持EMC、NETAPP、华为、HPE、华三、浪潮、宏杉等主流存储厂商所有型号的磁带库和磁盘阵列接入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2" w:type="pct"/>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端口数量</w:t>
            </w:r>
          </w:p>
        </w:tc>
        <w:tc>
          <w:tcPr>
            <w:tcW w:w="4347"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单台交换机支持≥24个32Gb固定端口，端口速率支持 32/16/8自适应模式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2" w:type="pct"/>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端口激活</w:t>
            </w:r>
          </w:p>
        </w:tc>
        <w:tc>
          <w:tcPr>
            <w:tcW w:w="4347"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配置16个端口激活（配置16个16G SPF光模块）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652" w:type="pct"/>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管理</w:t>
            </w:r>
          </w:p>
        </w:tc>
        <w:tc>
          <w:tcPr>
            <w:tcW w:w="4347" w:type="pct"/>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Telnet，HTTP，SNMP v1/v3( FE M I B，FC Management MIB )；审核，系统日志，变更管理追踪；符合SMI-S标准，SMI-S脚本工具集，管理域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52" w:type="pct"/>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售后服务</w:t>
            </w:r>
          </w:p>
        </w:tc>
        <w:tc>
          <w:tcPr>
            <w:tcW w:w="4347" w:type="pct"/>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三年原厂质保</w:t>
            </w:r>
          </w:p>
        </w:tc>
      </w:tr>
    </w:tbl>
    <w:p>
      <w:pPr>
        <w:rPr>
          <w:rFonts w:ascii="Times New Roman" w:hAnsi="Times New Roman" w:eastAsia="宋体" w:cs="Times New Roman"/>
          <w:szCs w:val="21"/>
        </w:rPr>
      </w:pPr>
    </w:p>
    <w:p>
      <w:pPr>
        <w:pStyle w:val="4"/>
        <w:bidi w:val="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全闪存储</w:t>
      </w:r>
      <w:r>
        <w:rPr>
          <w:rFonts w:hint="eastAsia" w:asciiTheme="minorEastAsia" w:hAnsiTheme="minorEastAsia" w:eastAsiaTheme="minorEastAsia" w:cstheme="minorEastAsia"/>
          <w:sz w:val="24"/>
          <w:szCs w:val="24"/>
          <w:lang w:eastAsia="zh-CN"/>
        </w:rPr>
        <w:t>：</w:t>
      </w:r>
    </w:p>
    <w:tbl>
      <w:tblPr>
        <w:tblStyle w:val="6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7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55" w:type="pct"/>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名称</w:t>
            </w:r>
          </w:p>
        </w:tc>
        <w:tc>
          <w:tcPr>
            <w:tcW w:w="4344" w:type="pct"/>
            <w:shd w:val="clear" w:color="auto" w:fill="auto"/>
            <w:noWrap/>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配置说明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55" w:type="pct"/>
            <w:shd w:val="clear" w:color="auto" w:fill="auto"/>
            <w:noWrap/>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品牌要求</w:t>
            </w:r>
          </w:p>
        </w:tc>
        <w:tc>
          <w:tcPr>
            <w:tcW w:w="4344" w:type="pct"/>
            <w:shd w:val="clear" w:color="auto" w:fill="auto"/>
            <w:vAlign w:val="center"/>
          </w:tcPr>
          <w:p>
            <w:pPr>
              <w:widowControl/>
              <w:rPr>
                <w:rFonts w:hint="eastAsia" w:ascii="Times New Roman" w:hAnsi="Times New Roman" w:eastAsia="宋体" w:cs="Times New Roman"/>
                <w:color w:val="000000"/>
                <w:kern w:val="0"/>
                <w:szCs w:val="21"/>
                <w:lang w:eastAsia="zh-CN"/>
              </w:rPr>
            </w:pPr>
            <w:r>
              <w:rPr>
                <w:rFonts w:ascii="Times New Roman" w:hAnsi="Times New Roman" w:eastAsia="宋体" w:cs="Times New Roman"/>
                <w:color w:val="000000"/>
                <w:kern w:val="0"/>
                <w:szCs w:val="21"/>
              </w:rPr>
              <w:t>国产知名存储，非OEM或者贴牌产品</w:t>
            </w:r>
            <w:r>
              <w:rPr>
                <w:rFonts w:ascii="Times New Roman" w:hAnsi="Times New Roman" w:eastAsia="宋体" w:cs="Times New Roman"/>
                <w:color w:val="000000"/>
                <w:kern w:val="0"/>
                <w:szCs w:val="21"/>
                <w:highlight w:val="none"/>
              </w:rPr>
              <w:t>。</w:t>
            </w:r>
            <w:r>
              <w:rPr>
                <w:rFonts w:hint="eastAsia" w:ascii="Times New Roman" w:hAnsi="Times New Roman" w:eastAsia="宋体" w:cs="Times New Roman"/>
                <w:color w:val="000000"/>
                <w:kern w:val="0"/>
                <w:szCs w:val="21"/>
                <w:highlight w:val="none"/>
                <w:lang w:val="en-US" w:eastAsia="zh-CN"/>
              </w:rPr>
              <w:t>与HIS数据库服务器</w:t>
            </w:r>
            <w:r>
              <w:rPr>
                <w:rFonts w:hint="eastAsia" w:ascii="Times New Roman" w:hAnsi="Times New Roman" w:cs="Times New Roman"/>
                <w:color w:val="000000"/>
                <w:kern w:val="0"/>
                <w:szCs w:val="21"/>
                <w:highlight w:val="none"/>
                <w:lang w:val="en-US" w:eastAsia="zh-CN"/>
              </w:rPr>
              <w:t>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55" w:type="pct"/>
            <w:vMerge w:val="restart"/>
            <w:shd w:val="clear" w:color="auto" w:fill="auto"/>
            <w:noWrap/>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体系架构</w:t>
            </w:r>
          </w:p>
        </w:tc>
        <w:tc>
          <w:tcPr>
            <w:tcW w:w="4344" w:type="pct"/>
            <w:shd w:val="clear" w:color="auto" w:fill="auto"/>
            <w:vAlign w:val="center"/>
          </w:tcPr>
          <w:p>
            <w:pPr>
              <w:widowControl/>
              <w:rPr>
                <w:rFonts w:ascii="Times New Roman" w:hAnsi="Times New Roman" w:eastAsia="宋体" w:cs="Times New Roman"/>
                <w:color w:val="000000"/>
                <w:kern w:val="0"/>
                <w:szCs w:val="21"/>
              </w:rPr>
            </w:pPr>
            <w:r>
              <w:rPr>
                <w:rFonts w:hint="eastAsia" w:ascii="Segoe UI Symbol" w:hAnsi="Segoe UI Symbol" w:eastAsia="宋体" w:cs="Segoe UI Symbol"/>
                <w:b/>
                <w:bCs/>
                <w:color w:val="000000"/>
                <w:kern w:val="0"/>
                <w:szCs w:val="21"/>
                <w:highlight w:val="none"/>
              </w:rPr>
              <w:t>☆</w:t>
            </w:r>
            <w:r>
              <w:rPr>
                <w:rFonts w:ascii="Times New Roman" w:hAnsi="Times New Roman" w:eastAsia="宋体" w:cs="Times New Roman"/>
                <w:b/>
                <w:bCs/>
                <w:color w:val="000000"/>
                <w:kern w:val="0"/>
                <w:szCs w:val="21"/>
                <w:highlight w:val="none"/>
              </w:rPr>
              <w:t>多控制器架构，SAN+NAS架构采用SAN和NAS统一集成的控制器架构，统一管理；（具备FC/IP SAN和NAS融合组网能力）；控制器扩展能力≥16，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55" w:type="pct"/>
            <w:vMerge w:val="continue"/>
            <w:shd w:val="clear" w:color="auto" w:fill="auto"/>
            <w:noWrap/>
            <w:vAlign w:val="center"/>
          </w:tcPr>
          <w:p>
            <w:pPr>
              <w:widowControl/>
              <w:rPr>
                <w:rFonts w:ascii="Times New Roman" w:hAnsi="Times New Roman" w:eastAsia="宋体" w:cs="Times New Roman"/>
                <w:color w:val="000000"/>
                <w:kern w:val="0"/>
                <w:szCs w:val="21"/>
              </w:rPr>
            </w:pPr>
          </w:p>
        </w:tc>
        <w:tc>
          <w:tcPr>
            <w:tcW w:w="4344"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本次配置控制器数量≥2；控制器冗余设计，支持在线更换控制器；在线升级存储系统，无须停机，具备控制器故障自动切换和自动重建功能，无单点故障影响数据的有效性；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655" w:type="pct"/>
            <w:vMerge w:val="continue"/>
            <w:shd w:val="clear" w:color="auto" w:fill="auto"/>
            <w:noWrap/>
            <w:vAlign w:val="center"/>
          </w:tcPr>
          <w:p>
            <w:pPr>
              <w:widowControl/>
              <w:rPr>
                <w:rFonts w:ascii="Times New Roman" w:hAnsi="Times New Roman" w:eastAsia="宋体" w:cs="Times New Roman"/>
                <w:color w:val="000000"/>
                <w:kern w:val="0"/>
                <w:szCs w:val="21"/>
              </w:rPr>
            </w:pPr>
          </w:p>
        </w:tc>
        <w:tc>
          <w:tcPr>
            <w:tcW w:w="4344" w:type="pct"/>
            <w:shd w:val="clear" w:color="auto" w:fill="auto"/>
            <w:vAlign w:val="center"/>
          </w:tcPr>
          <w:p>
            <w:pPr>
              <w:widowControl/>
              <w:rPr>
                <w:rFonts w:hint="eastAsia" w:ascii="Times New Roman" w:hAnsi="Times New Roman" w:eastAsia="宋体" w:cs="Times New Roman"/>
                <w:color w:val="000000"/>
                <w:kern w:val="0"/>
                <w:szCs w:val="21"/>
                <w:lang w:eastAsia="zh-CN"/>
              </w:rPr>
            </w:pPr>
            <w:r>
              <w:rPr>
                <w:rFonts w:ascii="Times New Roman" w:hAnsi="Times New Roman" w:eastAsia="宋体" w:cs="Times New Roman"/>
                <w:color w:val="000000"/>
                <w:kern w:val="0"/>
                <w:szCs w:val="21"/>
              </w:rPr>
              <w:t>每个控制器中的存储主处理器采用X86架构，核数≥16核，不包括额外的专门处理IO的硬件</w:t>
            </w:r>
            <w:r>
              <w:rPr>
                <w:rFonts w:ascii="Times New Roman" w:hAnsi="Times New Roman" w:eastAsia="宋体" w:cs="Times New Roman"/>
                <w:color w:val="000000"/>
                <w:kern w:val="0"/>
                <w:szCs w:val="21"/>
                <w:highlight w:val="none"/>
              </w:rPr>
              <w:t>芯片</w:t>
            </w:r>
            <w:r>
              <w:rPr>
                <w:rFonts w:hint="eastAsia" w:cs="Times New Roman"/>
                <w:b/>
                <w:bCs/>
                <w:color w:val="000000"/>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55" w:type="pct"/>
            <w:vMerge w:val="continue"/>
            <w:shd w:val="clear" w:color="auto" w:fill="auto"/>
            <w:noWrap/>
            <w:vAlign w:val="center"/>
          </w:tcPr>
          <w:p>
            <w:pPr>
              <w:widowControl/>
              <w:rPr>
                <w:rFonts w:ascii="Times New Roman" w:hAnsi="Times New Roman" w:eastAsia="宋体" w:cs="Times New Roman"/>
                <w:color w:val="000000"/>
                <w:kern w:val="0"/>
                <w:szCs w:val="21"/>
              </w:rPr>
            </w:pPr>
          </w:p>
        </w:tc>
        <w:tc>
          <w:tcPr>
            <w:tcW w:w="4344"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采用内置SSD盘作为存储系统盘，非机械硬盘做Raid模式；同时系统盘可以做cache数据掉电保护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55" w:type="pct"/>
            <w:vMerge w:val="continue"/>
            <w:shd w:val="clear" w:color="auto" w:fill="auto"/>
            <w:noWrap/>
            <w:vAlign w:val="center"/>
          </w:tcPr>
          <w:p>
            <w:pPr>
              <w:widowControl/>
              <w:rPr>
                <w:rFonts w:ascii="Times New Roman" w:hAnsi="Times New Roman" w:eastAsia="宋体" w:cs="Times New Roman"/>
                <w:color w:val="000000"/>
                <w:kern w:val="0"/>
                <w:szCs w:val="21"/>
              </w:rPr>
            </w:pPr>
          </w:p>
        </w:tc>
        <w:tc>
          <w:tcPr>
            <w:tcW w:w="4344" w:type="pct"/>
            <w:shd w:val="clear" w:color="auto" w:fill="auto"/>
            <w:vAlign w:val="center"/>
          </w:tcPr>
          <w:p>
            <w:pPr>
              <w:widowControl/>
              <w:rPr>
                <w:rFonts w:hint="eastAsia" w:ascii="Times New Roman" w:hAnsi="Times New Roman" w:eastAsia="宋体" w:cs="Times New Roman"/>
                <w:color w:val="000000"/>
                <w:kern w:val="0"/>
                <w:szCs w:val="21"/>
                <w:lang w:eastAsia="zh-CN"/>
              </w:rPr>
            </w:pPr>
            <w:r>
              <w:rPr>
                <w:rFonts w:ascii="Times New Roman" w:hAnsi="Times New Roman" w:eastAsia="宋体" w:cs="Times New Roman"/>
                <w:color w:val="000000"/>
                <w:kern w:val="0"/>
                <w:szCs w:val="21"/>
              </w:rPr>
              <w:t>采用独立压缩芯片压缩芯片进行数据压缩，非软件压缩</w:t>
            </w:r>
            <w:r>
              <w:rPr>
                <w:rFonts w:hint="eastAsia" w:cs="Times New Roman"/>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655" w:type="pct"/>
            <w:vMerge w:val="continue"/>
            <w:shd w:val="clear" w:color="auto" w:fill="auto"/>
            <w:noWrap/>
            <w:vAlign w:val="center"/>
          </w:tcPr>
          <w:p>
            <w:pPr>
              <w:widowControl/>
              <w:rPr>
                <w:rFonts w:ascii="Times New Roman" w:hAnsi="Times New Roman" w:eastAsia="宋体" w:cs="Times New Roman"/>
                <w:color w:val="000000"/>
                <w:kern w:val="0"/>
                <w:szCs w:val="21"/>
              </w:rPr>
            </w:pPr>
          </w:p>
        </w:tc>
        <w:tc>
          <w:tcPr>
            <w:tcW w:w="4344"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支持基于控制器的SAN+NAS软件授权，无需额外网关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55" w:type="pct"/>
            <w:vMerge w:val="restart"/>
            <w:shd w:val="clear" w:color="auto" w:fill="auto"/>
            <w:noWrap/>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控制器</w:t>
            </w:r>
          </w:p>
        </w:tc>
        <w:tc>
          <w:tcPr>
            <w:tcW w:w="4344"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每单控制器可扩展最大3个主机扩展卡；配置16Gbps FC主机端口≥8个；配置10G接口≥8个；支持32G FC、16Gb FC、1/10/40Gb Ethernet等，双控最大支持共32个主机端口，集群支持256个主机端口。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55" w:type="pct"/>
            <w:vMerge w:val="continue"/>
            <w:shd w:val="clear" w:color="auto" w:fill="auto"/>
            <w:noWrap/>
            <w:vAlign w:val="center"/>
          </w:tcPr>
          <w:p>
            <w:pPr>
              <w:widowControl/>
              <w:rPr>
                <w:rFonts w:ascii="Times New Roman" w:hAnsi="Times New Roman" w:eastAsia="宋体" w:cs="Times New Roman"/>
                <w:color w:val="000000"/>
                <w:kern w:val="0"/>
                <w:szCs w:val="21"/>
              </w:rPr>
            </w:pPr>
          </w:p>
        </w:tc>
        <w:tc>
          <w:tcPr>
            <w:tcW w:w="4344" w:type="pct"/>
            <w:shd w:val="clear" w:color="auto" w:fill="auto"/>
            <w:vAlign w:val="center"/>
          </w:tcPr>
          <w:p>
            <w:pPr>
              <w:widowControl/>
              <w:rPr>
                <w:rFonts w:ascii="Times New Roman" w:hAnsi="Times New Roman" w:eastAsia="宋体" w:cs="Times New Roman"/>
                <w:color w:val="000000"/>
                <w:kern w:val="0"/>
                <w:szCs w:val="21"/>
              </w:rPr>
            </w:pPr>
            <w:r>
              <w:rPr>
                <w:rFonts w:hint="eastAsia" w:ascii="Segoe UI Symbol" w:hAnsi="Segoe UI Symbol" w:eastAsia="宋体" w:cs="Segoe UI Symbol"/>
                <w:b/>
                <w:bCs/>
                <w:color w:val="000000"/>
                <w:kern w:val="0"/>
                <w:szCs w:val="21"/>
                <w:highlight w:val="none"/>
              </w:rPr>
              <w:t>☆</w:t>
            </w:r>
            <w:r>
              <w:rPr>
                <w:rFonts w:ascii="Times New Roman" w:hAnsi="Times New Roman" w:eastAsia="宋体" w:cs="Times New Roman"/>
                <w:b/>
                <w:bCs/>
                <w:color w:val="000000"/>
                <w:kern w:val="0"/>
                <w:szCs w:val="21"/>
                <w:highlight w:val="none"/>
              </w:rPr>
              <w:t>双控配置高速缓存≥512GB，并且双控可扩展到1TB缓存，集群最大可支持8TB高速缓存（缓存不包含SSD磁盘、PCI-E SSD、闪存、压缩或重删缓存和NAS控制器缓存）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655" w:type="pct"/>
            <w:shd w:val="clear" w:color="auto" w:fill="auto"/>
            <w:noWrap/>
            <w:vAlign w:val="center"/>
          </w:tcPr>
          <w:p>
            <w:pPr>
              <w:widowControl/>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none"/>
              </w:rPr>
              <w:t>硬盘</w:t>
            </w:r>
          </w:p>
        </w:tc>
        <w:tc>
          <w:tcPr>
            <w:tcW w:w="4344" w:type="pct"/>
            <w:shd w:val="clear" w:color="auto" w:fill="auto"/>
            <w:vAlign w:val="center"/>
          </w:tcPr>
          <w:p>
            <w:pPr>
              <w:widowControl/>
              <w:rPr>
                <w:rFonts w:ascii="Times New Roman" w:hAnsi="Times New Roman" w:eastAsia="宋体" w:cs="Times New Roman"/>
                <w:color w:val="000000"/>
                <w:kern w:val="0"/>
                <w:szCs w:val="21"/>
                <w:highlight w:val="yellow"/>
              </w:rPr>
            </w:pPr>
            <w:r>
              <w:rPr>
                <w:rFonts w:ascii="Times New Roman" w:hAnsi="Times New Roman" w:eastAsia="宋体" w:cs="Times New Roman"/>
                <w:b w:val="0"/>
                <w:bCs w:val="0"/>
                <w:color w:val="000000"/>
                <w:kern w:val="0"/>
                <w:szCs w:val="21"/>
                <w:highlight w:val="none"/>
              </w:rPr>
              <w:t>磁盘配置：配置16块1.92T NVMe SSD盘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55" w:type="pct"/>
            <w:vMerge w:val="restart"/>
            <w:shd w:val="clear" w:color="auto" w:fill="auto"/>
            <w:noWrap/>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软件功能</w:t>
            </w:r>
          </w:p>
        </w:tc>
        <w:tc>
          <w:tcPr>
            <w:tcW w:w="4344"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支持寿命预警，实时图形化显示在线SSD使用寿命，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55" w:type="pct"/>
            <w:vMerge w:val="continue"/>
            <w:shd w:val="clear" w:color="auto" w:fill="auto"/>
            <w:noWrap/>
            <w:vAlign w:val="center"/>
          </w:tcPr>
          <w:p>
            <w:pPr>
              <w:widowControl/>
              <w:rPr>
                <w:rFonts w:ascii="Times New Roman" w:hAnsi="Times New Roman" w:eastAsia="宋体" w:cs="Times New Roman"/>
                <w:color w:val="000000"/>
                <w:kern w:val="0"/>
                <w:szCs w:val="21"/>
              </w:rPr>
            </w:pPr>
          </w:p>
        </w:tc>
        <w:tc>
          <w:tcPr>
            <w:tcW w:w="4344"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配置全容量许可精简功能，实现存储空间超分配，精简粒度32K、64K、128K、256K可调节，后续扩容无需额外购买许可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55" w:type="pct"/>
            <w:vMerge w:val="continue"/>
            <w:shd w:val="clear" w:color="auto" w:fill="auto"/>
            <w:noWrap/>
            <w:vAlign w:val="center"/>
          </w:tcPr>
          <w:p>
            <w:pPr>
              <w:widowControl/>
              <w:rPr>
                <w:rFonts w:ascii="Times New Roman" w:hAnsi="Times New Roman" w:eastAsia="宋体" w:cs="Times New Roman"/>
                <w:color w:val="000000"/>
                <w:kern w:val="0"/>
                <w:szCs w:val="21"/>
              </w:rPr>
            </w:pPr>
          </w:p>
        </w:tc>
        <w:tc>
          <w:tcPr>
            <w:tcW w:w="4344"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配置全容量许可的克隆功能，后续扩容无需额外购买许可。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55" w:type="pct"/>
            <w:vMerge w:val="continue"/>
            <w:shd w:val="clear" w:color="auto" w:fill="auto"/>
            <w:noWrap/>
            <w:vAlign w:val="center"/>
          </w:tcPr>
          <w:p>
            <w:pPr>
              <w:widowControl/>
              <w:rPr>
                <w:rFonts w:ascii="Times New Roman" w:hAnsi="Times New Roman" w:eastAsia="宋体" w:cs="Times New Roman"/>
                <w:color w:val="000000"/>
                <w:kern w:val="0"/>
                <w:szCs w:val="21"/>
              </w:rPr>
            </w:pPr>
          </w:p>
        </w:tc>
        <w:tc>
          <w:tcPr>
            <w:tcW w:w="4344"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配置全容量许可快照功能，有效预防各种软故障的发生，快照无需预留空间，后续扩容无需额外购买许可。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55" w:type="pct"/>
            <w:vMerge w:val="continue"/>
            <w:shd w:val="clear" w:color="auto" w:fill="auto"/>
            <w:noWrap/>
            <w:vAlign w:val="center"/>
          </w:tcPr>
          <w:p>
            <w:pPr>
              <w:widowControl/>
              <w:rPr>
                <w:rFonts w:ascii="Times New Roman" w:hAnsi="Times New Roman" w:eastAsia="宋体" w:cs="Times New Roman"/>
                <w:color w:val="000000"/>
                <w:kern w:val="0"/>
                <w:szCs w:val="21"/>
              </w:rPr>
            </w:pPr>
          </w:p>
        </w:tc>
        <w:tc>
          <w:tcPr>
            <w:tcW w:w="4344"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配置全容量许可卷备份功能，有效预防各种软故障的发生，无需预留空间。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55" w:type="pct"/>
            <w:vMerge w:val="continue"/>
            <w:shd w:val="clear" w:color="auto" w:fill="auto"/>
            <w:noWrap/>
            <w:vAlign w:val="center"/>
          </w:tcPr>
          <w:p>
            <w:pPr>
              <w:widowControl/>
              <w:rPr>
                <w:rFonts w:ascii="Times New Roman" w:hAnsi="Times New Roman" w:eastAsia="宋体" w:cs="Times New Roman"/>
                <w:color w:val="000000"/>
                <w:kern w:val="0"/>
                <w:szCs w:val="21"/>
              </w:rPr>
            </w:pPr>
          </w:p>
        </w:tc>
        <w:tc>
          <w:tcPr>
            <w:tcW w:w="4344"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所投产品支持快速重构，重构1TB数据所需时间不大于15分钟，有效保护用户数据；</w:t>
            </w:r>
            <w:r>
              <w:rPr>
                <w:rFonts w:hint="eastAsia" w:ascii="Times New Roman" w:hAnsi="Times New Roman" w:eastAsia="宋体" w:cs="Times New Roman"/>
                <w:b/>
                <w:bCs/>
                <w:highlight w:val="none"/>
                <w:lang w:val="en-US" w:eastAsia="zh-CN"/>
              </w:rPr>
              <w:t>需要提供具备CMA</w:t>
            </w:r>
            <w:r>
              <w:rPr>
                <w:rFonts w:hint="eastAsia" w:ascii="Times New Roman" w:hAnsi="Times New Roman" w:cs="Times New Roman"/>
                <w:b/>
                <w:bCs/>
                <w:highlight w:val="none"/>
                <w:lang w:val="en-US" w:eastAsia="zh-CN"/>
              </w:rPr>
              <w:t>或</w:t>
            </w:r>
            <w:r>
              <w:rPr>
                <w:rFonts w:hint="eastAsia" w:ascii="Times New Roman" w:hAnsi="Times New Roman" w:eastAsia="宋体" w:cs="Times New Roman"/>
                <w:b/>
                <w:bCs/>
                <w:highlight w:val="none"/>
                <w:lang w:val="en-US" w:eastAsia="zh-CN"/>
              </w:rPr>
              <w:t>CNAS认证的第三方出具的</w:t>
            </w:r>
            <w:r>
              <w:rPr>
                <w:rFonts w:hint="eastAsia" w:ascii="Times New Roman" w:hAnsi="Times New Roman" w:cs="Times New Roman"/>
                <w:b/>
                <w:bCs/>
                <w:highlight w:val="none"/>
                <w:lang w:val="en-US" w:eastAsia="zh-CN"/>
              </w:rPr>
              <w:t>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655" w:type="pct"/>
            <w:vMerge w:val="continue"/>
            <w:shd w:val="clear" w:color="auto" w:fill="auto"/>
            <w:noWrap/>
            <w:vAlign w:val="center"/>
          </w:tcPr>
          <w:p>
            <w:pPr>
              <w:widowControl/>
              <w:rPr>
                <w:rFonts w:ascii="Times New Roman" w:hAnsi="Times New Roman" w:eastAsia="宋体" w:cs="Times New Roman"/>
                <w:color w:val="000000"/>
                <w:kern w:val="0"/>
                <w:szCs w:val="21"/>
              </w:rPr>
            </w:pPr>
          </w:p>
        </w:tc>
        <w:tc>
          <w:tcPr>
            <w:tcW w:w="4344"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数据保护：支持将快照直接备份到同集群的其他设备中或异构设备中；支持同集群的其他设备中或异构设备所备份的快照恢复到原磁盘阵列或其他磁盘阵列。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55" w:type="pct"/>
            <w:vMerge w:val="continue"/>
            <w:shd w:val="clear" w:color="auto" w:fill="auto"/>
            <w:noWrap/>
            <w:vAlign w:val="center"/>
          </w:tcPr>
          <w:p>
            <w:pPr>
              <w:widowControl/>
              <w:rPr>
                <w:rFonts w:ascii="Times New Roman" w:hAnsi="Times New Roman" w:eastAsia="宋体" w:cs="Times New Roman"/>
                <w:color w:val="000000"/>
                <w:kern w:val="0"/>
                <w:szCs w:val="21"/>
              </w:rPr>
            </w:pPr>
          </w:p>
        </w:tc>
        <w:tc>
          <w:tcPr>
            <w:tcW w:w="4344"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配置存储QoS授权许可，支持单卷的IOPS、Bandwidth的限制设定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55" w:type="pct"/>
            <w:vMerge w:val="continue"/>
            <w:shd w:val="clear" w:color="auto" w:fill="auto"/>
            <w:noWrap/>
            <w:vAlign w:val="center"/>
          </w:tcPr>
          <w:p>
            <w:pPr>
              <w:widowControl/>
              <w:rPr>
                <w:rFonts w:ascii="Times New Roman" w:hAnsi="Times New Roman" w:eastAsia="宋体" w:cs="Times New Roman"/>
                <w:color w:val="000000"/>
                <w:kern w:val="0"/>
                <w:szCs w:val="21"/>
              </w:rPr>
            </w:pPr>
          </w:p>
        </w:tc>
        <w:tc>
          <w:tcPr>
            <w:tcW w:w="4344"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配置卷镜像功能，可实现存储内部，或者不同存储之间的数据同步功能，当其中一个卷离线时，可实现业务无中断，后续扩容无需额外购买许可；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55" w:type="pct"/>
            <w:vMerge w:val="continue"/>
            <w:shd w:val="clear" w:color="auto" w:fill="auto"/>
            <w:noWrap/>
            <w:vAlign w:val="center"/>
          </w:tcPr>
          <w:p>
            <w:pPr>
              <w:widowControl/>
              <w:rPr>
                <w:rFonts w:ascii="Times New Roman" w:hAnsi="Times New Roman" w:eastAsia="宋体" w:cs="Times New Roman"/>
                <w:color w:val="000000"/>
                <w:kern w:val="0"/>
                <w:szCs w:val="21"/>
              </w:rPr>
            </w:pPr>
          </w:p>
        </w:tc>
        <w:tc>
          <w:tcPr>
            <w:tcW w:w="4344"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支持全面的企业级容灾功能，至少必须包含同步、异步周期和异步复制三种主流模式；支持3DC远程复制组网模式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655" w:type="pct"/>
            <w:vMerge w:val="continue"/>
            <w:shd w:val="clear" w:color="auto" w:fill="auto"/>
            <w:noWrap/>
            <w:vAlign w:val="center"/>
          </w:tcPr>
          <w:p>
            <w:pPr>
              <w:widowControl/>
              <w:rPr>
                <w:rFonts w:ascii="Times New Roman" w:hAnsi="Times New Roman" w:eastAsia="宋体" w:cs="Times New Roman"/>
                <w:color w:val="000000"/>
                <w:kern w:val="0"/>
                <w:szCs w:val="21"/>
              </w:rPr>
            </w:pPr>
          </w:p>
        </w:tc>
        <w:tc>
          <w:tcPr>
            <w:tcW w:w="4344"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支持Active-Active模式双活架构，主机端的LUN多路径为全Active状态；同时支持IP仲裁和FC仲裁，可支持仲裁数量≥4个；在不加额外网关的情况下可以实现和同厂商高中端型号存储组成双活阵列，要求支持VMWare、Windows Server、MS Hyper-V和Oracle RAC等。</w:t>
            </w:r>
          </w:p>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配置双活功能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55" w:type="pct"/>
            <w:vMerge w:val="continue"/>
            <w:shd w:val="clear" w:color="auto" w:fill="auto"/>
            <w:noWrap/>
            <w:vAlign w:val="center"/>
          </w:tcPr>
          <w:p>
            <w:pPr>
              <w:widowControl/>
              <w:rPr>
                <w:rFonts w:ascii="Times New Roman" w:hAnsi="Times New Roman" w:eastAsia="宋体" w:cs="Times New Roman"/>
                <w:color w:val="000000"/>
                <w:kern w:val="0"/>
                <w:szCs w:val="21"/>
              </w:rPr>
            </w:pPr>
          </w:p>
        </w:tc>
        <w:tc>
          <w:tcPr>
            <w:tcW w:w="4344"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支持存储虚拟化功能，可以整合异构厂商的存储阵列，通过虚拟化功能将存储资源统一管理和分配；接管异构存储厂商的空间后，可以把异构空间作为存储的RAID资源池，并且资源池可以划分多个卷对主机提供存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55" w:type="pct"/>
            <w:shd w:val="clear" w:color="auto" w:fill="auto"/>
            <w:noWrap/>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云备份</w:t>
            </w:r>
          </w:p>
        </w:tc>
        <w:tc>
          <w:tcPr>
            <w:tcW w:w="4344"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支持云备份特性，支持存储数据直接备份到公有云和私有云；支持阿里云，Opesnstack等云厂商对接能力。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55" w:type="pct"/>
            <w:shd w:val="clear" w:color="auto" w:fill="auto"/>
            <w:noWrap/>
            <w:vAlign w:val="center"/>
          </w:tcPr>
          <w:p>
            <w:pPr>
              <w:widowControl/>
              <w:rPr>
                <w:rFonts w:ascii="Times New Roman" w:hAnsi="Times New Roman" w:eastAsia="宋体" w:cs="Times New Roman"/>
                <w:color w:val="000000"/>
                <w:kern w:val="0"/>
                <w:szCs w:val="21"/>
                <w:highlight w:val="none"/>
              </w:rPr>
            </w:pPr>
            <w:r>
              <w:rPr>
                <w:rFonts w:hint="eastAsia" w:ascii="宋体" w:hAnsi="宋体" w:eastAsia="宋体" w:cs="宋体"/>
                <w:color w:val="000000"/>
                <w:kern w:val="0"/>
                <w:sz w:val="21"/>
                <w:szCs w:val="21"/>
                <w:highlight w:val="none"/>
              </w:rPr>
              <w:t>缓存保护</w:t>
            </w:r>
          </w:p>
        </w:tc>
        <w:tc>
          <w:tcPr>
            <w:tcW w:w="4344" w:type="pct"/>
            <w:shd w:val="clear" w:color="auto" w:fill="auto"/>
            <w:vAlign w:val="center"/>
          </w:tcPr>
          <w:p>
            <w:pPr>
              <w:widowControl/>
              <w:rPr>
                <w:rFonts w:hint="eastAsia" w:ascii="Times New Roman" w:hAnsi="Times New Roman" w:eastAsia="宋体" w:cs="Times New Roman"/>
                <w:color w:val="000000"/>
                <w:kern w:val="0"/>
                <w:szCs w:val="21"/>
                <w:highlight w:val="none"/>
                <w:lang w:eastAsia="zh-CN"/>
              </w:rPr>
            </w:pPr>
            <w:r>
              <w:rPr>
                <w:rFonts w:hint="eastAsia" w:ascii="宋体" w:hAnsi="宋体" w:eastAsia="宋体" w:cs="宋体"/>
                <w:color w:val="000000"/>
                <w:kern w:val="0"/>
                <w:sz w:val="21"/>
                <w:szCs w:val="21"/>
                <w:highlight w:val="none"/>
              </w:rPr>
              <w:t>支持缓存保护，并配置BBU电池保护模组，支持2次备电，保证掉电时Cache数据可安全写入Flash或硬盘永久保存，可以支撑2次以上的数据备份时间，实现无限时断电保护Cache数据的目的。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655" w:type="pct"/>
            <w:shd w:val="clear" w:color="auto" w:fill="auto"/>
            <w:noWrap/>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操作系统支持</w:t>
            </w:r>
          </w:p>
        </w:tc>
        <w:tc>
          <w:tcPr>
            <w:tcW w:w="4344"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Windows、Linux、VMware、UNIX (HP-UX、AIX、Solaris、K-UX等)；支持国产操作系统（包括但不限于麒麟、UOS）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55" w:type="pct"/>
            <w:shd w:val="clear" w:color="auto" w:fill="auto"/>
            <w:noWrap/>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售后服务</w:t>
            </w:r>
          </w:p>
        </w:tc>
        <w:tc>
          <w:tcPr>
            <w:tcW w:w="4344" w:type="pct"/>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3年原厂质</w:t>
            </w:r>
            <w:r>
              <w:rPr>
                <w:rFonts w:ascii="Times New Roman" w:hAnsi="Times New Roman" w:eastAsia="宋体" w:cs="Times New Roman"/>
                <w:color w:val="000000"/>
                <w:szCs w:val="21"/>
                <w:highlight w:val="none"/>
              </w:rPr>
              <w:t>保</w:t>
            </w:r>
            <w:r>
              <w:rPr>
                <w:rFonts w:ascii="Times New Roman" w:hAnsi="Times New Roman" w:eastAsia="宋体" w:cs="Times New Roman"/>
                <w:color w:val="000000"/>
                <w:kern w:val="0"/>
                <w:szCs w:val="21"/>
                <w:highlight w:val="none"/>
              </w:rPr>
              <w:t>，</w:t>
            </w:r>
            <w:r>
              <w:rPr>
                <w:rFonts w:ascii="Times New Roman" w:hAnsi="Times New Roman" w:eastAsia="宋体" w:cs="Times New Roman"/>
                <w:kern w:val="0"/>
                <w:szCs w:val="21"/>
                <w:highlight w:val="none"/>
              </w:rPr>
              <w:t>供货时提供原厂质保函</w:t>
            </w:r>
            <w:r>
              <w:rPr>
                <w:rFonts w:ascii="Times New Roman" w:hAnsi="Times New Roman" w:eastAsia="宋体" w:cs="Times New Roman"/>
                <w:color w:val="000000"/>
                <w:kern w:val="0"/>
                <w:szCs w:val="21"/>
                <w:highlight w:val="none"/>
              </w:rPr>
              <w:t>。</w:t>
            </w:r>
          </w:p>
        </w:tc>
      </w:tr>
    </w:tbl>
    <w:p>
      <w:pPr>
        <w:pStyle w:val="26"/>
        <w:rPr>
          <w:rFonts w:hint="default"/>
          <w:lang w:val="en-US" w:eastAsia="zh-CN"/>
        </w:rPr>
      </w:pPr>
    </w:p>
    <w:p>
      <w:pPr>
        <w:pStyle w:val="4"/>
        <w:bidi w:val="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内网超融合一体机</w:t>
      </w:r>
      <w:r>
        <w:rPr>
          <w:rFonts w:hint="eastAsia" w:asciiTheme="minorEastAsia" w:hAnsiTheme="minorEastAsia" w:eastAsiaTheme="minorEastAsia" w:cstheme="minorEastAsia"/>
          <w:sz w:val="24"/>
          <w:szCs w:val="24"/>
          <w:lang w:eastAsia="zh-CN"/>
        </w:rPr>
        <w:t>：</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3"/>
        <w:gridCol w:w="7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04" w:type="pct"/>
            <w:shd w:val="clear" w:color="000000" w:fill="FFFFFF"/>
            <w:vAlign w:val="center"/>
          </w:tcPr>
          <w:p>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指标项</w:t>
            </w:r>
          </w:p>
        </w:tc>
        <w:tc>
          <w:tcPr>
            <w:tcW w:w="4195" w:type="pct"/>
            <w:shd w:val="clear" w:color="000000" w:fill="FFFFFF"/>
            <w:vAlign w:val="center"/>
          </w:tcPr>
          <w:p>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kern w:val="0"/>
                <w:szCs w:val="21"/>
              </w:rPr>
              <w:t>参数指标要求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trPr>
        <w:tc>
          <w:tcPr>
            <w:tcW w:w="804" w:type="pct"/>
            <w:shd w:val="clear" w:color="000000" w:fill="FFFFFF"/>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超融合硬件节点</w:t>
            </w:r>
          </w:p>
        </w:tc>
        <w:tc>
          <w:tcPr>
            <w:tcW w:w="4195" w:type="pct"/>
            <w:shd w:val="clear" w:color="000000" w:fill="FFFFFF"/>
            <w:vAlign w:val="center"/>
          </w:tcPr>
          <w:p>
            <w:pPr>
              <w:widowControl/>
              <w:jc w:val="left"/>
              <w:rPr>
                <w:rFonts w:ascii="Times New Roman" w:hAnsi="Times New Roman" w:eastAsia="宋体" w:cs="Times New Roman"/>
                <w:color w:val="000000"/>
                <w:kern w:val="0"/>
                <w:szCs w:val="21"/>
                <w:highlight w:val="red"/>
              </w:rPr>
            </w:pPr>
            <w:r>
              <w:rPr>
                <w:rFonts w:ascii="Times New Roman" w:hAnsi="Times New Roman" w:eastAsia="宋体" w:cs="Times New Roman"/>
                <w:color w:val="000000"/>
                <w:kern w:val="0"/>
                <w:szCs w:val="21"/>
              </w:rPr>
              <w:t>1)  硬件设备采用2U机架式服务器，具备自主产品的研发、生产、售后能力，非OEM产品；</w:t>
            </w:r>
            <w:r>
              <w:rPr>
                <w:rFonts w:hint="eastAsia" w:ascii="Times New Roman" w:hAnsi="Times New Roman" w:eastAsia="宋体" w:cs="Times New Roman"/>
                <w:color w:val="000000"/>
                <w:kern w:val="0"/>
                <w:szCs w:val="21"/>
                <w:highlight w:val="none"/>
              </w:rPr>
              <w:t>与HIS数据库服务器同一品牌。</w:t>
            </w:r>
          </w:p>
          <w:p>
            <w:pPr>
              <w:widowControl/>
              <w:jc w:val="left"/>
              <w:rPr>
                <w:rFonts w:ascii="Times New Roman" w:hAnsi="Times New Roman" w:eastAsia="宋体" w:cs="Times New Roman"/>
                <w:b/>
                <w:bCs/>
                <w:color w:val="000000"/>
                <w:kern w:val="0"/>
                <w:szCs w:val="21"/>
                <w:highlight w:val="none"/>
              </w:rPr>
            </w:pPr>
            <w:r>
              <w:rPr>
                <w:rFonts w:hint="eastAsia" w:ascii="Segoe UI Symbol" w:hAnsi="Segoe UI Symbol" w:eastAsia="宋体" w:cs="Segoe UI Symbol"/>
                <w:b/>
                <w:bCs/>
                <w:color w:val="000000"/>
                <w:kern w:val="0"/>
                <w:szCs w:val="21"/>
                <w:highlight w:val="none"/>
              </w:rPr>
              <w:t>☆</w:t>
            </w:r>
            <w:r>
              <w:rPr>
                <w:rFonts w:ascii="Times New Roman" w:hAnsi="Times New Roman" w:eastAsia="宋体" w:cs="Times New Roman"/>
                <w:b/>
                <w:bCs/>
                <w:color w:val="000000"/>
                <w:kern w:val="0"/>
                <w:szCs w:val="21"/>
                <w:highlight w:val="none"/>
              </w:rPr>
              <w:t>2)处理器：每节点配置≥2颗不低于Ice Lake处理器，CPU核数≥24C，主频≥2.1GHz</w:t>
            </w:r>
          </w:p>
          <w:p>
            <w:pPr>
              <w:widowControl/>
              <w:jc w:val="left"/>
              <w:rPr>
                <w:rFonts w:ascii="Times New Roman" w:hAnsi="Times New Roman" w:eastAsia="宋体" w:cs="Times New Roman"/>
                <w:b w:val="0"/>
                <w:bCs w:val="0"/>
                <w:color w:val="000000"/>
                <w:kern w:val="0"/>
                <w:szCs w:val="21"/>
                <w:highlight w:val="none"/>
              </w:rPr>
            </w:pPr>
            <w:r>
              <w:rPr>
                <w:rFonts w:ascii="Times New Roman" w:hAnsi="Times New Roman" w:eastAsia="宋体" w:cs="Times New Roman"/>
                <w:b w:val="0"/>
                <w:bCs w:val="0"/>
                <w:color w:val="000000"/>
                <w:kern w:val="0"/>
                <w:szCs w:val="21"/>
                <w:highlight w:val="none"/>
              </w:rPr>
              <w:t>3)内存：每节点配置≥512G ECC DDR4内存；</w:t>
            </w:r>
          </w:p>
          <w:p>
            <w:pPr>
              <w:widowControl/>
              <w:ind w:left="211" w:hanging="210" w:hangingChars="100"/>
              <w:jc w:val="left"/>
              <w:rPr>
                <w:rFonts w:ascii="Times New Roman" w:hAnsi="Times New Roman" w:eastAsia="宋体" w:cs="Times New Roman"/>
                <w:b w:val="0"/>
                <w:bCs w:val="0"/>
                <w:color w:val="000000"/>
                <w:kern w:val="0"/>
                <w:szCs w:val="21"/>
                <w:highlight w:val="none"/>
              </w:rPr>
            </w:pPr>
            <w:r>
              <w:rPr>
                <w:rFonts w:ascii="Times New Roman" w:hAnsi="Times New Roman" w:eastAsia="宋体" w:cs="Times New Roman"/>
                <w:b w:val="0"/>
                <w:bCs w:val="0"/>
                <w:color w:val="000000"/>
                <w:kern w:val="0"/>
                <w:szCs w:val="21"/>
                <w:highlight w:val="none"/>
              </w:rPr>
              <w:t>4)硬盘：每节点配置6块≥3.84T NVME SSD硬盘；本次配置2块240G M.2 SSD（raid 1）系统盘；</w:t>
            </w:r>
          </w:p>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5)每节点配置：10G光纤网络接口≥4个（含多模光模块），千兆网络接口≥4个； </w:t>
            </w:r>
          </w:p>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6)电源及外设：冗余热插拔风扇，机架安装导轨；配置冗余电源。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804" w:type="pct"/>
            <w:shd w:val="clear" w:color="000000" w:fill="FFFFFF"/>
            <w:vAlign w:val="center"/>
          </w:tcPr>
          <w:p>
            <w:pPr>
              <w:widowControl/>
              <w:jc w:val="center"/>
              <w:rPr>
                <w:rFonts w:ascii="Times New Roman" w:hAnsi="Times New Roman" w:eastAsia="宋体" w:cs="Times New Roman"/>
                <w:kern w:val="0"/>
                <w:szCs w:val="21"/>
                <w:lang w:val="zh-TW" w:eastAsia="zh-TW"/>
              </w:rPr>
            </w:pPr>
            <w:r>
              <w:rPr>
                <w:rFonts w:ascii="Times New Roman" w:hAnsi="Times New Roman" w:eastAsia="宋体" w:cs="Times New Roman"/>
                <w:kern w:val="0"/>
                <w:szCs w:val="21"/>
                <w:lang w:val="zh-TW" w:eastAsia="zh-TW"/>
              </w:rPr>
              <w:t>管理平台</w:t>
            </w:r>
          </w:p>
        </w:tc>
        <w:tc>
          <w:tcPr>
            <w:tcW w:w="4195" w:type="pct"/>
            <w:shd w:val="clear" w:color="000000" w:fill="FFFFFF"/>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1)超融合是软、硬件一体化产品，平台具备将计算、存储、网络、负载均衡进行融合管理的能力，具备灾难恢复的能力，是一个不可分割的整体，平台软件与底层硬件应属同一品牌，非OEM产品。</w:t>
            </w:r>
          </w:p>
          <w:p>
            <w:pPr>
              <w:widowControl/>
              <w:jc w:val="left"/>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lang w:val="en-US" w:eastAsia="zh-CN"/>
              </w:rPr>
              <w:t>2</w:t>
            </w:r>
            <w:r>
              <w:rPr>
                <w:rFonts w:ascii="Times New Roman" w:hAnsi="Times New Roman" w:eastAsia="宋体" w:cs="Times New Roman"/>
                <w:color w:val="000000"/>
                <w:kern w:val="0"/>
                <w:szCs w:val="21"/>
              </w:rPr>
              <w:t>)支持在线双向跨云迁移功能，在管理界面内将源站点的虚拟机不中断的迁移到目标站点平台内，跨云迁移的站点包括但不限于vSphere、投标品牌虚拟化平台等，</w:t>
            </w:r>
            <w:r>
              <w:rPr>
                <w:rFonts w:ascii="Times New Roman" w:hAnsi="Times New Roman" w:eastAsia="宋体" w:cs="Times New Roman"/>
                <w:b/>
                <w:bCs/>
                <w:color w:val="000000"/>
                <w:kern w:val="0"/>
                <w:szCs w:val="21"/>
                <w:highlight w:val="none"/>
              </w:rPr>
              <w:t>提供CNAS或CMA的第三方测试机构的证明材料</w:t>
            </w:r>
            <w:r>
              <w:rPr>
                <w:rFonts w:ascii="Times New Roman" w:hAnsi="Times New Roman" w:eastAsia="宋体" w:cs="Times New Roman"/>
                <w:color w:val="000000"/>
                <w:kern w:val="0"/>
                <w:szCs w:val="21"/>
                <w:highlight w:val="none"/>
              </w:rPr>
              <w:t>；</w:t>
            </w:r>
          </w:p>
          <w:p>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val="en-US" w:eastAsia="zh-CN"/>
              </w:rPr>
              <w:t>3</w:t>
            </w:r>
            <w:r>
              <w:rPr>
                <w:rFonts w:ascii="Times New Roman" w:hAnsi="Times New Roman" w:eastAsia="宋体" w:cs="Times New Roman"/>
                <w:color w:val="000000"/>
                <w:kern w:val="0"/>
                <w:szCs w:val="21"/>
              </w:rPr>
              <w:t>)</w:t>
            </w:r>
            <w:r>
              <w:rPr>
                <w:rFonts w:ascii="Times New Roman" w:hAnsi="Times New Roman" w:eastAsia="宋体" w:cs="Times New Roman"/>
                <w:szCs w:val="21"/>
              </w:rPr>
              <w:t xml:space="preserve"> </w:t>
            </w:r>
            <w:r>
              <w:rPr>
                <w:rFonts w:ascii="Times New Roman" w:hAnsi="Times New Roman" w:eastAsia="宋体" w:cs="Times New Roman"/>
                <w:color w:val="000000"/>
                <w:kern w:val="0"/>
                <w:szCs w:val="21"/>
              </w:rPr>
              <w:t>支持主机、硬盘、网卡定位功能以快速寻找机房部件，提升运维效率，通过服务器主机的UID指示灯状态可以快速定位识别到目标主机位置</w:t>
            </w:r>
          </w:p>
          <w:p>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val="en-US" w:eastAsia="zh-CN"/>
              </w:rPr>
              <w:t>4</w:t>
            </w:r>
            <w:r>
              <w:rPr>
                <w:rFonts w:ascii="Times New Roman" w:hAnsi="Times New Roman" w:eastAsia="宋体" w:cs="Times New Roman"/>
                <w:color w:val="000000"/>
                <w:kern w:val="0"/>
                <w:szCs w:val="21"/>
              </w:rPr>
              <w:t>）支持云网融合一体化图形管理界面，超融合管理平台支持纳管、配置和监控物理交换机设备，超融合管理平台界面支持设置物理交换机环路检测、端口速率、端口聚合等；支持在超融合管理界面查看物理交换机各个端口信号灯状态</w:t>
            </w:r>
          </w:p>
          <w:p>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val="en-US" w:eastAsia="zh-CN"/>
              </w:rPr>
              <w:t>5</w:t>
            </w:r>
            <w:r>
              <w:rPr>
                <w:rFonts w:ascii="Times New Roman" w:hAnsi="Times New Roman" w:eastAsia="宋体" w:cs="Times New Roman"/>
                <w:color w:val="000000"/>
                <w:kern w:val="0"/>
                <w:szCs w:val="21"/>
              </w:rPr>
              <w:t>）支持系统环境一键巡检，包括不限于资源使用、物理设备、存储空间、网络使用与IP冲突等状况，支持按照每日、每周、每月设置巡检周期，支持设置巡检报告最大保留份数记录，支持自动发送检测报告到指定邮箱</w:t>
            </w:r>
          </w:p>
          <w:p>
            <w:pPr>
              <w:widowControl/>
              <w:jc w:val="left"/>
              <w:rPr>
                <w:rFonts w:hint="eastAsia" w:ascii="Times New Roman" w:hAnsi="Times New Roman" w:eastAsia="宋体" w:cs="Times New Roman"/>
                <w:color w:val="000000"/>
                <w:kern w:val="0"/>
                <w:szCs w:val="21"/>
                <w:lang w:eastAsia="zh-CN"/>
              </w:rPr>
            </w:pPr>
            <w:r>
              <w:rPr>
                <w:rFonts w:hint="eastAsia" w:ascii="Times New Roman" w:hAnsi="Times New Roman" w:eastAsia="宋体" w:cs="Times New Roman"/>
                <w:color w:val="000000"/>
                <w:kern w:val="0"/>
                <w:szCs w:val="21"/>
                <w:lang w:val="en-US" w:eastAsia="zh-CN"/>
              </w:rPr>
              <w:t>6</w:t>
            </w:r>
            <w:r>
              <w:rPr>
                <w:rFonts w:ascii="Times New Roman" w:hAnsi="Times New Roman" w:eastAsia="宋体" w:cs="Times New Roman"/>
                <w:color w:val="000000"/>
                <w:kern w:val="0"/>
                <w:szCs w:val="21"/>
              </w:rPr>
              <w:t>）支持一云多芯，支持一套管理平台纳管不同CPU架构（至少3种）的主机集群</w:t>
            </w:r>
            <w:r>
              <w:rPr>
                <w:rFonts w:hint="eastAsia" w:ascii="Times New Roman" w:hAnsi="Times New Roman" w:eastAsia="宋体" w:cs="Times New Roman"/>
                <w:color w:val="000000"/>
                <w:kern w:val="0"/>
                <w:szCs w:val="21"/>
                <w:lang w:eastAsia="zh-CN"/>
              </w:rPr>
              <w:t>。</w:t>
            </w:r>
          </w:p>
          <w:p>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val="en-US" w:eastAsia="zh-CN"/>
              </w:rPr>
              <w:t>7</w:t>
            </w:r>
            <w:r>
              <w:rPr>
                <w:rFonts w:ascii="Times New Roman" w:hAnsi="Times New Roman" w:eastAsia="宋体" w:cs="Times New Roman"/>
                <w:color w:val="000000"/>
                <w:kern w:val="0"/>
                <w:szCs w:val="21"/>
              </w:rPr>
              <w:t>）支持纳管、配置和监控物理交换机设备，超融合管理平台界面支持设置物理交换机环路检测、端口速率、LLDP功能开关、端口聚合等；支持在超融合管理界面查看物理交换机各个端口信号灯状态、VLAN ID、连接状态、速率、带宽利用率、对端连接设备、光模块类型和匹配状态等信息。</w:t>
            </w:r>
          </w:p>
          <w:p>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val="en-US" w:eastAsia="zh-CN"/>
              </w:rPr>
              <w:t>8</w:t>
            </w:r>
            <w:r>
              <w:rPr>
                <w:rFonts w:ascii="Times New Roman" w:hAnsi="Times New Roman" w:eastAsia="宋体" w:cs="Times New Roman"/>
                <w:color w:val="000000"/>
                <w:kern w:val="0"/>
                <w:szCs w:val="21"/>
              </w:rPr>
              <w:t>）</w:t>
            </w:r>
            <w:r>
              <w:rPr>
                <w:rFonts w:ascii="Times New Roman" w:hAnsi="Times New Roman" w:eastAsia="宋体" w:cs="Times New Roman"/>
                <w:kern w:val="0"/>
                <w:sz w:val="22"/>
              </w:rPr>
              <w:t>支持多租户管理，根据需要对用户进行不同授权。提供B/S和C/S两种虚拟机控制台使用方式，C/S客户端无任何授权限制。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0" w:hRule="atLeast"/>
        </w:trPr>
        <w:tc>
          <w:tcPr>
            <w:tcW w:w="804" w:type="pct"/>
            <w:vAlign w:val="center"/>
          </w:tcPr>
          <w:p>
            <w:pPr>
              <w:widowControl/>
              <w:jc w:val="center"/>
              <w:rPr>
                <w:rFonts w:ascii="Times New Roman" w:hAnsi="Times New Roman" w:eastAsia="宋体" w:cs="Times New Roman"/>
                <w:kern w:val="0"/>
                <w:szCs w:val="21"/>
                <w:lang w:val="zh-TW" w:eastAsia="zh-TW"/>
              </w:rPr>
            </w:pPr>
            <w:r>
              <w:rPr>
                <w:rFonts w:ascii="Times New Roman" w:hAnsi="Times New Roman" w:eastAsia="宋体" w:cs="Times New Roman"/>
                <w:kern w:val="0"/>
                <w:szCs w:val="21"/>
                <w:lang w:val="zh-TW" w:eastAsia="zh-TW"/>
              </w:rPr>
              <w:t>计算虚拟化</w:t>
            </w:r>
          </w:p>
        </w:tc>
        <w:tc>
          <w:tcPr>
            <w:tcW w:w="4195" w:type="pct"/>
            <w:shd w:val="clear" w:color="000000" w:fill="FFFFFF"/>
            <w:vAlign w:val="center"/>
          </w:tcPr>
          <w:p>
            <w:pPr>
              <w:widowControl/>
              <w:jc w:val="left"/>
              <w:rPr>
                <w:rFonts w:ascii="Times New Roman" w:hAnsi="Times New Roman" w:eastAsia="宋体" w:cs="Times New Roman"/>
                <w:color w:val="000000"/>
                <w:kern w:val="0"/>
                <w:szCs w:val="21"/>
                <w:lang w:eastAsia="zh-TW"/>
              </w:rPr>
            </w:pPr>
            <w:r>
              <w:rPr>
                <w:rFonts w:ascii="Times New Roman" w:hAnsi="Times New Roman" w:eastAsia="宋体" w:cs="Times New Roman"/>
                <w:color w:val="000000"/>
                <w:kern w:val="0"/>
                <w:szCs w:val="21"/>
                <w:lang w:eastAsia="zh-TW"/>
              </w:rPr>
              <w:t>1）支持主流的X86架构的操作系统，包括Windows Server 2003/2008/2012/2016/2019/2022， 以及Oracle、Redhat等，支持国产红旗、银河麒麟、统信、凝思等操作系统；</w:t>
            </w:r>
          </w:p>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2)支持DPM动态电源调度，支持虚拟机故障HA功能，可配置HA接入控制策略，HA最大尝试次数，且支持HA故障切换主机设置，达到故障隔离的效果，并支持配置虚拟机自启动策略和启动优先级；</w:t>
            </w:r>
          </w:p>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3)支持大内存页和DPDK加速功能，虚拟化界面可配置内存页大小和页数，支持虚拟机NUMA感知功能，保证虚拟机OS的NUMA与主机的NUMA拓扑保持一致，并显示大内存页的使用量和可用内存；</w:t>
            </w:r>
          </w:p>
          <w:p>
            <w:pPr>
              <w:widowControl/>
              <w:jc w:val="left"/>
              <w:rPr>
                <w:rFonts w:hint="eastAsia"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r>
              <w:rPr>
                <w:rFonts w:hint="eastAsia"/>
              </w:rPr>
              <w:t xml:space="preserve"> </w:t>
            </w:r>
            <w:r>
              <w:rPr>
                <w:rFonts w:hint="eastAsia" w:ascii="Times New Roman" w:hAnsi="Times New Roman" w:eastAsia="宋体" w:cs="Times New Roman"/>
                <w:color w:val="000000"/>
                <w:kern w:val="0"/>
                <w:szCs w:val="21"/>
              </w:rPr>
              <w:t>可指定专用独享迁移网络，隔离迁移网络流量与管理网流量，保障用户业务正常运行</w:t>
            </w:r>
            <w:r>
              <w:rPr>
                <w:rFonts w:ascii="Times New Roman" w:hAnsi="Times New Roman" w:eastAsia="宋体" w:cs="Times New Roman"/>
                <w:color w:val="000000"/>
                <w:kern w:val="0"/>
                <w:szCs w:val="21"/>
              </w:rPr>
              <w:t>；</w:t>
            </w:r>
          </w:p>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5)支持一键开启和关闭数据中心内、集群内的所有虚拟机，并设置虚拟机跟随主机启动策略以及虚拟机启动优先级策略，方便机房搬迁或关电运维场景使用。</w:t>
            </w:r>
          </w:p>
          <w:p>
            <w:pPr>
              <w:widowControl/>
              <w:jc w:val="left"/>
              <w:rPr>
                <w:rFonts w:ascii="Times New Roman" w:hAnsi="Times New Roman" w:eastAsia="宋体" w:cs="Times New Roman"/>
                <w:color w:val="000000"/>
                <w:kern w:val="0"/>
                <w:szCs w:val="21"/>
                <w:highlight w:val="none"/>
              </w:rPr>
            </w:pPr>
            <w:r>
              <w:rPr>
                <w:rFonts w:ascii="Times New Roman" w:hAnsi="Times New Roman" w:eastAsia="宋体" w:cs="Times New Roman"/>
                <w:color w:val="000000"/>
                <w:kern w:val="0"/>
                <w:szCs w:val="21"/>
              </w:rPr>
              <w:t>6)为满足日益增长的容器资源需求，要求同一个超融合节点支持同时运行虚拟机和容器计算资源，非虚拟机内嵌套部署容器方式；容器与虚拟机使用相同的SDN网络、数据存储，</w:t>
            </w:r>
            <w:r>
              <w:rPr>
                <w:rFonts w:ascii="Times New Roman" w:hAnsi="Times New Roman" w:eastAsia="宋体" w:cs="Times New Roman"/>
                <w:b/>
                <w:bCs/>
                <w:color w:val="000000"/>
                <w:kern w:val="0"/>
                <w:szCs w:val="21"/>
                <w:highlight w:val="none"/>
              </w:rPr>
              <w:t>提供CNAS或CMA的第三方测试机构的证明材料或技术白皮书详细说明</w:t>
            </w:r>
            <w:r>
              <w:rPr>
                <w:rFonts w:ascii="Times New Roman" w:hAnsi="Times New Roman" w:eastAsia="宋体" w:cs="Times New Roman"/>
                <w:color w:val="000000"/>
                <w:kern w:val="0"/>
                <w:szCs w:val="21"/>
                <w:highlight w:val="none"/>
              </w:rPr>
              <w:t>；</w:t>
            </w:r>
          </w:p>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7）支持GPU组功能，支持多块GPU透传给一个虚拟机使用，支持vGPU功能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4" w:type="pct"/>
            <w:vAlign w:val="center"/>
          </w:tcPr>
          <w:p>
            <w:pPr>
              <w:widowControl/>
              <w:jc w:val="center"/>
              <w:rPr>
                <w:rFonts w:ascii="Times New Roman" w:hAnsi="Times New Roman" w:eastAsia="宋体" w:cs="Times New Roman"/>
                <w:kern w:val="0"/>
                <w:szCs w:val="21"/>
                <w:lang w:val="zh-TW" w:eastAsia="zh-TW"/>
              </w:rPr>
            </w:pPr>
            <w:r>
              <w:rPr>
                <w:rFonts w:ascii="Times New Roman" w:hAnsi="Times New Roman" w:eastAsia="宋体" w:cs="Times New Roman"/>
                <w:kern w:val="0"/>
                <w:szCs w:val="21"/>
                <w:lang w:val="zh-TW" w:eastAsia="zh-TW"/>
              </w:rPr>
              <w:t>存储虚拟化</w:t>
            </w:r>
          </w:p>
        </w:tc>
        <w:tc>
          <w:tcPr>
            <w:tcW w:w="4195" w:type="pct"/>
            <w:shd w:val="clear" w:color="000000" w:fill="FFFFFF"/>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元数据采用分布式保护机制，分布在不同节点，在节点意外掉电、断网、宕机情况下，系统数据不会丢失，不会影响业务系统正常运行，并且不需要额外硬件对内存中元数据提供保护，产品交付时可接受磁盘（SSD、HDD）、网络、节点故障场景测试；</w:t>
            </w:r>
          </w:p>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 超融合支持同时对接本地分布式存储池和外挂阵列存储资源池，支持通过ISCSI、iSER、NVMe over RoCE协议对接超融合本地分布式存储池，支持通过ISCSI、iSER、NVMe over RoCE、FC、FC-NVMe协议对接外挂阵列存储资源池</w:t>
            </w:r>
          </w:p>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3)支持显示SSD物理磁盘磨损度寿命，运维用户可根据提示及时更换硬盘，避免导致系统故障，界面支持点亮/熄灭硬盘指示灯，便于运维人员对指定磁盘进行维护更换，；</w:t>
            </w:r>
          </w:p>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 数据本地化，本地节点上的虚拟机数据访问在本地节点，随着虚拟机的迁移（手动迁移、故障HA迁移等），数据也随VM自动迁移至其他节点。VM虚拟磁盘有一个完整的副本保存在本地节点，从而实现数据本地化访问提高虚拟机性能，所有数据I/O优先访问本地节点并降低虚拟机跨节点数据读写带来的网络负载</w:t>
            </w:r>
          </w:p>
          <w:p>
            <w:pPr>
              <w:widowControl/>
              <w:jc w:val="left"/>
              <w:rPr>
                <w:rFonts w:ascii="Times New Roman" w:hAnsi="Times New Roman" w:eastAsia="宋体" w:cs="Times New Roman"/>
                <w:color w:val="000000"/>
                <w:kern w:val="0"/>
                <w:szCs w:val="21"/>
                <w:highlight w:val="none"/>
              </w:rPr>
            </w:pPr>
            <w:r>
              <w:rPr>
                <w:rFonts w:ascii="Times New Roman" w:hAnsi="Times New Roman" w:eastAsia="宋体" w:cs="Times New Roman"/>
                <w:color w:val="000000"/>
                <w:kern w:val="0"/>
                <w:szCs w:val="21"/>
              </w:rPr>
              <w:t xml:space="preserve">5) 支持磁盘漫游功能，同一超融合节点内支持任意个存储磁盘交换位置，以防止主机维护时的运维人员误操作, </w:t>
            </w:r>
            <w:r>
              <w:rPr>
                <w:rFonts w:ascii="Times New Roman" w:hAnsi="Times New Roman" w:eastAsia="宋体" w:cs="Times New Roman"/>
                <w:b/>
                <w:bCs/>
                <w:color w:val="000000"/>
                <w:kern w:val="0"/>
                <w:szCs w:val="21"/>
                <w:highlight w:val="none"/>
              </w:rPr>
              <w:t>提供CNAS或CMA的第三方测试机构的证明材料或技术白皮书详细说明</w:t>
            </w:r>
            <w:r>
              <w:rPr>
                <w:rFonts w:ascii="Times New Roman" w:hAnsi="Times New Roman" w:eastAsia="宋体" w:cs="Times New Roman"/>
                <w:color w:val="000000"/>
                <w:kern w:val="0"/>
                <w:szCs w:val="21"/>
                <w:highlight w:val="none"/>
              </w:rPr>
              <w:t>；</w:t>
            </w:r>
          </w:p>
          <w:p>
            <w:pPr>
              <w:widowControl/>
              <w:jc w:val="left"/>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rPr>
              <w:t>6)支持磁盘坏块扫描功能，发现坏块后主动修复坏块区域数据并告警，屏蔽坏快区域，及时维护分布式存储数据冗余性；当坏快数量过多，系统自动进行坏盘隔离，将用户数据自动迁移到健康的硬</w:t>
            </w:r>
            <w:r>
              <w:rPr>
                <w:rFonts w:ascii="Times New Roman" w:hAnsi="Times New Roman" w:eastAsia="宋体" w:cs="Times New Roman"/>
                <w:color w:val="000000"/>
                <w:kern w:val="0"/>
                <w:szCs w:val="21"/>
                <w:highlight w:val="none"/>
              </w:rPr>
              <w:t>盘上；</w:t>
            </w:r>
          </w:p>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  支持裸LUN池化管理，无需登陆集中式SAN存储阵列或分布式存储界面即可划分存储空间，方便运维；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trPr>
        <w:tc>
          <w:tcPr>
            <w:tcW w:w="804" w:type="pct"/>
            <w:vAlign w:val="center"/>
          </w:tcPr>
          <w:p>
            <w:pPr>
              <w:widowControl/>
              <w:jc w:val="center"/>
              <w:rPr>
                <w:rFonts w:ascii="Times New Roman" w:hAnsi="Times New Roman" w:eastAsia="宋体" w:cs="Times New Roman"/>
                <w:kern w:val="0"/>
                <w:szCs w:val="21"/>
                <w:lang w:val="zh-TW" w:eastAsia="zh-TW"/>
              </w:rPr>
            </w:pPr>
            <w:r>
              <w:rPr>
                <w:rFonts w:ascii="Times New Roman" w:hAnsi="Times New Roman" w:eastAsia="宋体" w:cs="Times New Roman"/>
                <w:kern w:val="0"/>
                <w:szCs w:val="21"/>
                <w:lang w:val="zh-TW" w:eastAsia="zh-TW"/>
              </w:rPr>
              <w:t>网络虚拟化</w:t>
            </w:r>
          </w:p>
        </w:tc>
        <w:tc>
          <w:tcPr>
            <w:tcW w:w="4195" w:type="pct"/>
            <w:shd w:val="clear" w:color="000000" w:fill="FFFFFF"/>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1)提供无授权限制的全局分布式SDN功能，以避免SDN控制节点故障，提供分布式SDN硬件加速能力，可提供更高转发性能，SDN支持VLAN/VXLAN模式；</w:t>
            </w:r>
          </w:p>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2)支持全局分布式SDN智能加速，卸载分布式SDN网络的数据平面到硬件网卡，通过对东西向Overlay网络流量和南北向流量卸载，大幅提高网络转发性能并节省主机资源；</w:t>
            </w:r>
          </w:p>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3)同时支持网络sFlow和netFlow功能，配合第三方流量分析工具进行流量监控，支持组播转发、广播抑制、DHCP防护等功能，支持本地端口镜像、本地业务网络镜像、远程端口镜像等多种端口镜像模式，支持分布式DNS服务功能； </w:t>
            </w:r>
          </w:p>
          <w:p>
            <w:pPr>
              <w:widowControl/>
              <w:jc w:val="left"/>
              <w:rPr>
                <w:rFonts w:hint="eastAsia" w:ascii="Times New Roman" w:hAnsi="Times New Roman" w:eastAsia="宋体" w:cs="Times New Roman"/>
                <w:color w:val="000000"/>
                <w:kern w:val="0"/>
                <w:szCs w:val="21"/>
                <w:lang w:eastAsia="zh-CN"/>
              </w:rPr>
            </w:pPr>
            <w:r>
              <w:rPr>
                <w:rFonts w:ascii="Times New Roman" w:hAnsi="Times New Roman" w:eastAsia="宋体" w:cs="Times New Roman"/>
                <w:color w:val="000000"/>
                <w:kern w:val="0"/>
                <w:szCs w:val="21"/>
              </w:rPr>
              <w:t>4）为方便运维操作，支持网络图形化编排，编辑网络拓扑及拖拽网元即可完成网络拓扑的创建、变更、属性编辑</w:t>
            </w:r>
            <w:r>
              <w:rPr>
                <w:rFonts w:hint="eastAsia" w:cs="Times New Roman"/>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trPr>
        <w:tc>
          <w:tcPr>
            <w:tcW w:w="804" w:type="pct"/>
            <w:vAlign w:val="center"/>
          </w:tcPr>
          <w:p>
            <w:pPr>
              <w:widowControl/>
              <w:jc w:val="center"/>
              <w:rPr>
                <w:rFonts w:ascii="Times New Roman" w:hAnsi="Times New Roman" w:eastAsia="宋体" w:cs="Times New Roman"/>
                <w:kern w:val="0"/>
                <w:szCs w:val="21"/>
                <w:lang w:val="zh-TW" w:eastAsia="zh-TW"/>
              </w:rPr>
            </w:pPr>
            <w:r>
              <w:rPr>
                <w:rFonts w:ascii="Times New Roman" w:hAnsi="Times New Roman" w:eastAsia="宋体" w:cs="Times New Roman"/>
                <w:kern w:val="0"/>
                <w:szCs w:val="21"/>
                <w:lang w:val="zh-TW" w:eastAsia="zh-TW"/>
              </w:rPr>
              <w:t>备份容灾</w:t>
            </w:r>
          </w:p>
        </w:tc>
        <w:tc>
          <w:tcPr>
            <w:tcW w:w="4195" w:type="pct"/>
            <w:shd w:val="clear" w:color="000000" w:fill="FFFFFF"/>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1)提供无授权限制的备份功能，支持虚拟机全量备份、增量备份，周期性备份，备份策略可细化到分钟级；</w:t>
            </w:r>
          </w:p>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2)支持批量备份，可设置备份时限速值，可设置保留最近N次备份点；可选择任意备份文件恢复为原虚拟机或新虚拟机，支持恢复过程中对虚拟机进行配置；</w:t>
            </w:r>
          </w:p>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3)支持利用磁盘阵列进行容灾，不依赖分布式存储多副本技术，超融合支持异构不同品牌存储容灾功能，可利旧存储设备与超融合建立容灾或双活存储池，当分布式存储全局损坏时，不影响业务连续性；</w:t>
            </w:r>
            <w:r>
              <w:rPr>
                <w:rFonts w:ascii="Times New Roman" w:hAnsi="Times New Roman" w:eastAsia="宋体" w:cs="Times New Roman"/>
                <w:b/>
                <w:bCs/>
                <w:color w:val="000000"/>
                <w:kern w:val="0"/>
                <w:szCs w:val="21"/>
                <w:highlight w:val="none"/>
              </w:rPr>
              <w:t>提供CNAS或CMA的第三方测试机构的证明材料或技术白皮书详细说明</w:t>
            </w:r>
            <w:r>
              <w:rPr>
                <w:rFonts w:ascii="Times New Roman" w:hAnsi="Times New Roman" w:eastAsia="宋体" w:cs="Times New Roman"/>
                <w:color w:val="000000"/>
                <w:kern w:val="0"/>
                <w:szCs w:val="21"/>
                <w:highlight w:val="none"/>
              </w:rPr>
              <w:t xml:space="preserve">； </w:t>
            </w:r>
            <w:r>
              <w:rPr>
                <w:rFonts w:ascii="Times New Roman" w:hAnsi="Times New Roman" w:eastAsia="宋体" w:cs="Times New Roman"/>
                <w:color w:val="000000"/>
                <w:kern w:val="0"/>
                <w:szCs w:val="21"/>
                <w:highlight w:val="none"/>
              </w:rPr>
              <w:br w:type="textWrapping"/>
            </w:r>
            <w:r>
              <w:rPr>
                <w:rFonts w:ascii="Times New Roman" w:hAnsi="Times New Roman" w:eastAsia="宋体" w:cs="Times New Roman"/>
                <w:color w:val="000000"/>
                <w:kern w:val="0"/>
                <w:szCs w:val="21"/>
              </w:rPr>
              <w:t>4)  提供不少于100个虚拟机数量的的CDP功能授权，通过点击对应时间戳，虚拟机可恢复到任意I/O，交付时提供验证；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804" w:type="pct"/>
            <w:vAlign w:val="center"/>
          </w:tcPr>
          <w:p>
            <w:pPr>
              <w:widowControl/>
              <w:jc w:val="center"/>
              <w:rPr>
                <w:rFonts w:hint="eastAsia" w:ascii="Times New Roman" w:hAnsi="Times New Roman" w:eastAsia="宋体" w:cs="Times New Roman"/>
                <w:color w:val="000000"/>
                <w:kern w:val="0"/>
                <w:szCs w:val="21"/>
                <w:lang w:eastAsia="zh-CN"/>
              </w:rPr>
            </w:pPr>
            <w:r>
              <w:rPr>
                <w:rFonts w:hint="eastAsia" w:cs="Times New Roman"/>
                <w:color w:val="000000"/>
                <w:kern w:val="0"/>
                <w:szCs w:val="21"/>
                <w:lang w:eastAsia="zh-CN"/>
              </w:rPr>
              <w:t>其他</w:t>
            </w:r>
          </w:p>
        </w:tc>
        <w:tc>
          <w:tcPr>
            <w:tcW w:w="4195" w:type="pct"/>
            <w:shd w:val="clear" w:color="000000" w:fill="FFFFFF"/>
            <w:vAlign w:val="center"/>
          </w:tcPr>
          <w:p>
            <w:pPr>
              <w:widowControl/>
              <w:jc w:val="left"/>
              <w:rPr>
                <w:rFonts w:hint="eastAsia" w:ascii="Times New Roman" w:hAnsi="Times New Roman" w:eastAsia="宋体" w:cs="Times New Roman"/>
                <w:b/>
                <w:bCs/>
                <w:color w:val="000000"/>
                <w:kern w:val="0"/>
                <w:szCs w:val="21"/>
                <w:highlight w:val="yellow"/>
                <w:lang w:eastAsia="zh-CN"/>
              </w:rPr>
            </w:pPr>
            <w:r>
              <w:rPr>
                <w:rFonts w:hint="eastAsia" w:ascii="Times New Roman" w:hAnsi="Times New Roman" w:eastAsia="宋体" w:cs="Times New Roman"/>
                <w:b w:val="0"/>
                <w:bCs w:val="0"/>
                <w:color w:val="000000"/>
                <w:kern w:val="0"/>
                <w:szCs w:val="21"/>
                <w:highlight w:val="none"/>
              </w:rPr>
              <w:t>支持虚拟机和裸金属服务器统一管理，支持对裸金属服务器远程电源管理、挂载安装ISO镜像等操作，可将虚拟机镜像部署为裸金属服务器操作系统，可查看裸金属服务器电源状态、CPU、内存、硬盘等硬件信息，支持打开裸金属服务器控制台进行运维操作</w:t>
            </w:r>
            <w:r>
              <w:rPr>
                <w:rFonts w:hint="eastAsia" w:ascii="Times New Roman" w:hAnsi="Times New Roman" w:eastAsia="宋体" w:cs="Times New Roman"/>
                <w:b w:val="0"/>
                <w:bCs w:val="0"/>
                <w:color w:val="000000"/>
                <w:kern w:val="0"/>
                <w:szCs w:val="21"/>
                <w:highlight w:val="none"/>
                <w:lang w:eastAsia="zh-CN"/>
              </w:rPr>
              <w:t>。</w:t>
            </w:r>
            <w:r>
              <w:rPr>
                <w:rFonts w:hint="eastAsia" w:ascii="Times New Roman" w:hAnsi="Times New Roman" w:eastAsia="宋体" w:cs="Times New Roman"/>
                <w:b/>
                <w:bCs/>
                <w:color w:val="000000"/>
                <w:kern w:val="0"/>
                <w:szCs w:val="21"/>
                <w:highlight w:val="none"/>
              </w:rPr>
              <w:t>提供</w:t>
            </w:r>
            <w:r>
              <w:rPr>
                <w:rFonts w:hint="eastAsia" w:cs="Times New Roman"/>
                <w:b/>
                <w:bCs/>
                <w:color w:val="000000"/>
                <w:kern w:val="0"/>
                <w:szCs w:val="21"/>
                <w:highlight w:val="none"/>
                <w:lang w:eastAsia="zh-CN"/>
              </w:rPr>
              <w:t>产品功能截图</w:t>
            </w:r>
            <w:r>
              <w:rPr>
                <w:rFonts w:hint="eastAsia" w:cs="Times New Roman"/>
                <w:b w:val="0"/>
                <w:bCs w:val="0"/>
                <w:color w:val="000000"/>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804" w:type="pct"/>
            <w:vAlign w:val="center"/>
          </w:tcPr>
          <w:p>
            <w:pPr>
              <w:widowControl/>
              <w:jc w:val="center"/>
              <w:rPr>
                <w:rFonts w:ascii="Times New Roman" w:hAnsi="Times New Roman" w:eastAsia="宋体" w:cs="Times New Roman"/>
                <w:kern w:val="0"/>
                <w:szCs w:val="21"/>
                <w:lang w:val="zh-TW" w:eastAsia="zh-TW"/>
              </w:rPr>
            </w:pPr>
            <w:r>
              <w:rPr>
                <w:rFonts w:ascii="Times New Roman" w:hAnsi="Times New Roman" w:eastAsia="宋体" w:cs="Times New Roman"/>
                <w:color w:val="000000"/>
                <w:kern w:val="0"/>
                <w:szCs w:val="21"/>
              </w:rPr>
              <w:t>认证</w:t>
            </w:r>
            <w:r>
              <w:rPr>
                <w:rFonts w:ascii="Times New Roman" w:hAnsi="Times New Roman" w:eastAsia="宋体" w:cs="Times New Roman"/>
                <w:kern w:val="0"/>
                <w:szCs w:val="21"/>
                <w:lang w:val="zh-TW"/>
              </w:rPr>
              <w:t>材料</w:t>
            </w:r>
          </w:p>
        </w:tc>
        <w:tc>
          <w:tcPr>
            <w:tcW w:w="4195" w:type="pct"/>
            <w:shd w:val="clear" w:color="000000" w:fill="FFFFFF"/>
            <w:vAlign w:val="center"/>
          </w:tcPr>
          <w:p>
            <w:pPr>
              <w:widowControl/>
              <w:jc w:val="left"/>
              <w:rPr>
                <w:rFonts w:ascii="Times New Roman" w:hAnsi="Times New Roman" w:eastAsia="宋体" w:cs="Times New Roman"/>
                <w:color w:val="000000"/>
                <w:kern w:val="0"/>
                <w:szCs w:val="21"/>
                <w:highlight w:val="none"/>
              </w:rPr>
            </w:pPr>
            <w:r>
              <w:rPr>
                <w:rFonts w:ascii="Times New Roman" w:hAnsi="Times New Roman" w:eastAsia="宋体" w:cs="Times New Roman"/>
                <w:b/>
                <w:bCs/>
                <w:color w:val="000000"/>
                <w:kern w:val="0"/>
                <w:szCs w:val="21"/>
                <w:highlight w:val="none"/>
              </w:rPr>
              <w:t>1)提供国家版权局颁发的《计算机软件著作权登记证书》证明</w:t>
            </w:r>
            <w:r>
              <w:rPr>
                <w:rFonts w:ascii="Times New Roman" w:hAnsi="Times New Roman" w:eastAsia="宋体" w:cs="Times New Roman"/>
                <w:color w:val="000000"/>
                <w:kern w:val="0"/>
                <w:szCs w:val="21"/>
                <w:highlight w:val="none"/>
              </w:rPr>
              <w:t>；</w:t>
            </w:r>
          </w:p>
          <w:p>
            <w:pPr>
              <w:widowControl/>
              <w:jc w:val="left"/>
              <w:rPr>
                <w:rFonts w:ascii="Times New Roman" w:hAnsi="Times New Roman" w:eastAsia="宋体" w:cs="Times New Roman"/>
                <w:color w:val="000000"/>
                <w:kern w:val="0"/>
                <w:szCs w:val="21"/>
              </w:rPr>
            </w:pPr>
            <w:r>
              <w:rPr>
                <w:rFonts w:ascii="Times New Roman" w:hAnsi="Times New Roman" w:eastAsia="宋体" w:cs="Times New Roman"/>
                <w:b/>
                <w:bCs/>
                <w:color w:val="000000"/>
                <w:kern w:val="0"/>
                <w:szCs w:val="21"/>
                <w:highlight w:val="none"/>
              </w:rPr>
              <w:t>2)超融合内虚拟化产品具备</w:t>
            </w:r>
            <w:bookmarkStart w:id="35" w:name="OLE_LINK1"/>
            <w:r>
              <w:rPr>
                <w:rFonts w:ascii="Times New Roman" w:hAnsi="Times New Roman" w:eastAsia="宋体" w:cs="Times New Roman"/>
                <w:b/>
                <w:bCs/>
                <w:color w:val="000000"/>
                <w:kern w:val="0"/>
                <w:szCs w:val="21"/>
                <w:highlight w:val="none"/>
              </w:rPr>
              <w:t>国家信息安全测评</w:t>
            </w:r>
            <w:r>
              <w:rPr>
                <w:rFonts w:hint="eastAsia" w:cs="Times New Roman"/>
                <w:b/>
                <w:bCs/>
                <w:color w:val="000000"/>
                <w:kern w:val="0"/>
                <w:szCs w:val="21"/>
                <w:highlight w:val="none"/>
                <w:lang w:eastAsia="zh-CN"/>
              </w:rPr>
              <w:t>中心</w:t>
            </w:r>
            <w:r>
              <w:rPr>
                <w:rFonts w:ascii="Times New Roman" w:hAnsi="Times New Roman" w:eastAsia="宋体" w:cs="Times New Roman"/>
                <w:b/>
                <w:bCs/>
                <w:color w:val="000000"/>
                <w:kern w:val="0"/>
                <w:szCs w:val="21"/>
                <w:highlight w:val="none"/>
              </w:rPr>
              <w:t>EAL3+</w:t>
            </w:r>
            <w:bookmarkEnd w:id="35"/>
            <w:r>
              <w:rPr>
                <w:rFonts w:ascii="Times New Roman" w:hAnsi="Times New Roman" w:eastAsia="宋体" w:cs="Times New Roman"/>
                <w:b/>
                <w:bCs/>
                <w:color w:val="000000"/>
                <w:kern w:val="0"/>
                <w:szCs w:val="21"/>
                <w:highlight w:val="none"/>
              </w:rPr>
              <w:t>《信息技术产品安全测评证书》并</w:t>
            </w:r>
            <w:r>
              <w:rPr>
                <w:rFonts w:hint="eastAsia" w:cs="Times New Roman"/>
                <w:b/>
                <w:bCs/>
                <w:color w:val="000000"/>
                <w:kern w:val="0"/>
                <w:szCs w:val="21"/>
                <w:highlight w:val="none"/>
                <w:lang w:eastAsia="zh-CN"/>
              </w:rPr>
              <w:t>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04" w:type="pct"/>
            <w:vAlign w:val="center"/>
          </w:tcPr>
          <w:p>
            <w:pPr>
              <w:widowControl/>
              <w:jc w:val="center"/>
              <w:rPr>
                <w:rFonts w:ascii="Times New Roman" w:hAnsi="Times New Roman" w:eastAsia="宋体" w:cs="Times New Roman"/>
                <w:kern w:val="0"/>
                <w:szCs w:val="21"/>
                <w:lang w:val="zh-TW" w:eastAsia="zh-TW"/>
              </w:rPr>
            </w:pPr>
            <w:r>
              <w:rPr>
                <w:rFonts w:ascii="Times New Roman" w:hAnsi="Times New Roman" w:eastAsia="宋体" w:cs="Times New Roman"/>
                <w:kern w:val="0"/>
                <w:szCs w:val="21"/>
                <w:lang w:val="zh-TW" w:eastAsia="zh-TW"/>
              </w:rPr>
              <w:t>质保期</w:t>
            </w:r>
          </w:p>
        </w:tc>
        <w:tc>
          <w:tcPr>
            <w:tcW w:w="4195" w:type="pct"/>
            <w:shd w:val="clear" w:color="000000" w:fill="FFFFFF"/>
            <w:vAlign w:val="center"/>
          </w:tcPr>
          <w:p>
            <w:pPr>
              <w:widowControl/>
              <w:jc w:val="left"/>
              <w:rPr>
                <w:rFonts w:ascii="Times New Roman" w:hAnsi="Times New Roman" w:eastAsia="宋体" w:cs="Times New Roman"/>
                <w:b/>
                <w:bCs/>
                <w:kern w:val="0"/>
                <w:szCs w:val="21"/>
              </w:rPr>
            </w:pPr>
            <w:r>
              <w:rPr>
                <w:rFonts w:ascii="Times New Roman" w:hAnsi="Times New Roman" w:eastAsia="宋体" w:cs="Times New Roman"/>
                <w:kern w:val="0"/>
                <w:szCs w:val="21"/>
              </w:rPr>
              <w:t>3年7*24小时维保；中</w:t>
            </w:r>
            <w:r>
              <w:rPr>
                <w:rFonts w:ascii="Times New Roman" w:hAnsi="Times New Roman" w:eastAsia="宋体" w:cs="Times New Roman"/>
                <w:kern w:val="0"/>
                <w:szCs w:val="21"/>
                <w:highlight w:val="none"/>
              </w:rPr>
              <w:t>标后提供</w:t>
            </w:r>
            <w:r>
              <w:rPr>
                <w:rFonts w:hint="eastAsia" w:ascii="Times New Roman" w:hAnsi="Times New Roman" w:eastAsia="宋体" w:cs="Times New Roman"/>
                <w:kern w:val="0"/>
                <w:szCs w:val="21"/>
                <w:highlight w:val="none"/>
                <w:lang w:val="en-US" w:eastAsia="zh-CN"/>
              </w:rPr>
              <w:t>原厂</w:t>
            </w:r>
            <w:r>
              <w:rPr>
                <w:rFonts w:ascii="Times New Roman" w:hAnsi="Times New Roman" w:eastAsia="宋体" w:cs="Times New Roman"/>
                <w:kern w:val="0"/>
                <w:szCs w:val="21"/>
                <w:highlight w:val="none"/>
              </w:rPr>
              <w:t>售后服务承诺函</w:t>
            </w:r>
          </w:p>
        </w:tc>
      </w:tr>
    </w:tbl>
    <w:p>
      <w:pPr>
        <w:rPr>
          <w:rFonts w:ascii="Times New Roman" w:hAnsi="Times New Roman" w:eastAsia="宋体" w:cs="Times New Roman"/>
          <w:szCs w:val="21"/>
        </w:rPr>
      </w:pPr>
    </w:p>
    <w:p>
      <w:pPr>
        <w:pStyle w:val="4"/>
        <w:bidi w:val="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业务网交换</w:t>
      </w:r>
      <w:r>
        <w:rPr>
          <w:rFonts w:hint="eastAsia" w:asciiTheme="minorEastAsia" w:hAnsiTheme="minorEastAsia" w:eastAsiaTheme="minorEastAsia" w:cstheme="minorEastAsia"/>
          <w:sz w:val="24"/>
          <w:szCs w:val="24"/>
          <w:lang w:val="en-US" w:eastAsia="zh-CN"/>
        </w:rPr>
        <w:t>机：</w:t>
      </w:r>
    </w:p>
    <w:tbl>
      <w:tblPr>
        <w:tblStyle w:val="6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8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52"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b/>
                <w:szCs w:val="21"/>
              </w:rPr>
              <w:t>技术指标</w:t>
            </w:r>
          </w:p>
        </w:tc>
        <w:tc>
          <w:tcPr>
            <w:tcW w:w="4347" w:type="pct"/>
            <w:shd w:val="clear" w:color="auto" w:fill="auto"/>
            <w:vAlign w:val="center"/>
          </w:tcPr>
          <w:p>
            <w:pPr>
              <w:widowControl/>
              <w:rPr>
                <w:rFonts w:ascii="Times New Roman" w:hAnsi="Times New Roman" w:eastAsia="宋体" w:cs="Times New Roman"/>
                <w:b/>
                <w:szCs w:val="21"/>
              </w:rPr>
            </w:pPr>
            <w:r>
              <w:rPr>
                <w:rFonts w:ascii="Times New Roman" w:hAnsi="Times New Roman" w:eastAsia="宋体" w:cs="Times New Roman"/>
                <w:b/>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52" w:type="pct"/>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端口数量</w:t>
            </w:r>
          </w:p>
        </w:tc>
        <w:tc>
          <w:tcPr>
            <w:tcW w:w="4347" w:type="pct"/>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≥48个10Gbps SFP+端口，≥6个QSFP+端口（支持作为40G或拆分为10G端口使用），≥1*10/100/1000M电口，≥1个USB口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52" w:type="pct"/>
            <w:shd w:val="clear" w:color="auto" w:fill="auto"/>
            <w:vAlign w:val="center"/>
          </w:tcPr>
          <w:p>
            <w:pPr>
              <w:widowControl/>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二层组播协议</w:t>
            </w:r>
          </w:p>
        </w:tc>
        <w:tc>
          <w:tcPr>
            <w:tcW w:w="4347" w:type="pct"/>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IGMP snooping v1v2v3，IGMP proxy，Fast leave，Layer 2 Static Multicast，MVR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52" w:type="pct"/>
            <w:vMerge w:val="restart"/>
            <w:shd w:val="clear" w:color="auto" w:fill="auto"/>
            <w:vAlign w:val="center"/>
          </w:tcPr>
          <w:p>
            <w:pPr>
              <w:widowControl/>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三层功能</w:t>
            </w:r>
          </w:p>
        </w:tc>
        <w:tc>
          <w:tcPr>
            <w:tcW w:w="4347" w:type="pct"/>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IPv4：支持静态路由，RIPv1&amp;v2，OSPF，BGP，ECMP，ECMP self-healing，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52" w:type="pct"/>
            <w:vMerge w:val="continue"/>
            <w:shd w:val="clear" w:color="auto" w:fill="auto"/>
            <w:vAlign w:val="center"/>
          </w:tcPr>
          <w:p>
            <w:pPr>
              <w:widowControl/>
              <w:jc w:val="left"/>
              <w:rPr>
                <w:rFonts w:ascii="Times New Roman" w:hAnsi="Times New Roman" w:eastAsia="宋体" w:cs="Times New Roman"/>
                <w:color w:val="000000" w:themeColor="text1"/>
                <w:szCs w:val="21"/>
                <w14:textFill>
                  <w14:solidFill>
                    <w14:schemeClr w14:val="tx1"/>
                  </w14:solidFill>
                </w14:textFill>
              </w:rPr>
            </w:pPr>
          </w:p>
        </w:tc>
        <w:tc>
          <w:tcPr>
            <w:tcW w:w="4347" w:type="pct"/>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IPv6：支持静态路由，OSPFv3，RIPng，BGPv6，ICMPv6，NDP，PMTU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52" w:type="pct"/>
            <w:vMerge w:val="continue"/>
            <w:shd w:val="clear" w:color="auto" w:fill="auto"/>
            <w:vAlign w:val="center"/>
          </w:tcPr>
          <w:p>
            <w:pPr>
              <w:widowControl/>
              <w:jc w:val="left"/>
              <w:rPr>
                <w:rFonts w:ascii="Times New Roman" w:hAnsi="Times New Roman" w:eastAsia="宋体" w:cs="Times New Roman"/>
                <w:color w:val="000000" w:themeColor="text1"/>
                <w:szCs w:val="21"/>
                <w14:textFill>
                  <w14:solidFill>
                    <w14:schemeClr w14:val="tx1"/>
                  </w14:solidFill>
                </w14:textFill>
              </w:rPr>
            </w:pPr>
          </w:p>
        </w:tc>
        <w:tc>
          <w:tcPr>
            <w:tcW w:w="4347" w:type="pct"/>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组播协议：支持IGMPv1/v2/v3，PIM-SM，PIM-SSM，Static Multicast，MLD v1/v2，MLD Snooping ，PIM-SMv6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52" w:type="pct"/>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配置要求</w:t>
            </w:r>
          </w:p>
        </w:tc>
        <w:tc>
          <w:tcPr>
            <w:tcW w:w="4347" w:type="pct"/>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配置冗余风扇，冗余电源，配置15个万兆多模模块，聚合线缆一根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52" w:type="pct"/>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服务</w:t>
            </w:r>
          </w:p>
        </w:tc>
        <w:tc>
          <w:tcPr>
            <w:tcW w:w="4347" w:type="pct"/>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 xml:space="preserve">三年原厂硬件质保 </w:t>
            </w:r>
          </w:p>
        </w:tc>
      </w:tr>
    </w:tbl>
    <w:p>
      <w:pPr>
        <w:rPr>
          <w:rFonts w:ascii="Times New Roman" w:hAnsi="Times New Roman" w:eastAsia="宋体" w:cs="Times New Roman"/>
          <w:szCs w:val="21"/>
        </w:rPr>
      </w:pPr>
    </w:p>
    <w:p>
      <w:pPr>
        <w:pStyle w:val="4"/>
        <w:bidi w:val="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超融合存储交换</w:t>
      </w:r>
      <w:r>
        <w:rPr>
          <w:rFonts w:hint="eastAsia" w:asciiTheme="minorEastAsia" w:hAnsiTheme="minorEastAsia" w:eastAsiaTheme="minorEastAsia" w:cstheme="minorEastAsia"/>
          <w:sz w:val="24"/>
          <w:szCs w:val="24"/>
          <w:lang w:val="en-US" w:eastAsia="zh-CN"/>
        </w:rPr>
        <w:t>机：</w:t>
      </w:r>
    </w:p>
    <w:tbl>
      <w:tblPr>
        <w:tblStyle w:val="6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8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52"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b/>
                <w:szCs w:val="21"/>
              </w:rPr>
              <w:t>技术指标</w:t>
            </w:r>
          </w:p>
        </w:tc>
        <w:tc>
          <w:tcPr>
            <w:tcW w:w="4347" w:type="pct"/>
            <w:shd w:val="clear" w:color="auto" w:fill="auto"/>
            <w:vAlign w:val="center"/>
          </w:tcPr>
          <w:p>
            <w:pPr>
              <w:widowControl/>
              <w:rPr>
                <w:rFonts w:ascii="Times New Roman" w:hAnsi="Times New Roman" w:eastAsia="宋体" w:cs="Times New Roman"/>
                <w:b/>
                <w:szCs w:val="21"/>
              </w:rPr>
            </w:pPr>
            <w:r>
              <w:rPr>
                <w:rFonts w:ascii="Times New Roman" w:hAnsi="Times New Roman" w:eastAsia="宋体" w:cs="Times New Roman"/>
                <w:b/>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52" w:type="pct"/>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端口数量</w:t>
            </w:r>
          </w:p>
        </w:tc>
        <w:tc>
          <w:tcPr>
            <w:tcW w:w="4347" w:type="pct"/>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≥48个10Gbps SFP+端口，≥6个QSFP+端口（支持作为40G或拆分为10G端口使用），≥1*10/100/1000M电口，≥1个USB口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52" w:type="pct"/>
            <w:shd w:val="clear" w:color="auto" w:fill="auto"/>
            <w:vAlign w:val="center"/>
          </w:tcPr>
          <w:p>
            <w:pPr>
              <w:widowControl/>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二层组播协议</w:t>
            </w:r>
          </w:p>
        </w:tc>
        <w:tc>
          <w:tcPr>
            <w:tcW w:w="4347" w:type="pct"/>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IGMP snooping v1v2v3，IGMP proxy，Fast leave，Layer 2 Static Multicast，MVR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52" w:type="pct"/>
            <w:vMerge w:val="restart"/>
            <w:shd w:val="clear" w:color="auto" w:fill="auto"/>
            <w:vAlign w:val="center"/>
          </w:tcPr>
          <w:p>
            <w:pPr>
              <w:widowControl/>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三层功能</w:t>
            </w:r>
          </w:p>
        </w:tc>
        <w:tc>
          <w:tcPr>
            <w:tcW w:w="4347" w:type="pct"/>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IPv4：支持静态路由，RIPv1&amp;v2，OSPF，BGP，ECMP，ECMP self-healing，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52" w:type="pct"/>
            <w:vMerge w:val="continue"/>
            <w:shd w:val="clear" w:color="auto" w:fill="auto"/>
            <w:vAlign w:val="center"/>
          </w:tcPr>
          <w:p>
            <w:pPr>
              <w:widowControl/>
              <w:jc w:val="left"/>
              <w:rPr>
                <w:rFonts w:ascii="Times New Roman" w:hAnsi="Times New Roman" w:eastAsia="宋体" w:cs="Times New Roman"/>
                <w:color w:val="000000" w:themeColor="text1"/>
                <w:szCs w:val="21"/>
                <w14:textFill>
                  <w14:solidFill>
                    <w14:schemeClr w14:val="tx1"/>
                  </w14:solidFill>
                </w14:textFill>
              </w:rPr>
            </w:pPr>
          </w:p>
        </w:tc>
        <w:tc>
          <w:tcPr>
            <w:tcW w:w="4347" w:type="pct"/>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IPv6：支持静态路由，OSPFv3，RIPng，BGPv6，ICMPv6，NDP，PMTU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52" w:type="pct"/>
            <w:vMerge w:val="continue"/>
            <w:shd w:val="clear" w:color="auto" w:fill="auto"/>
            <w:vAlign w:val="center"/>
          </w:tcPr>
          <w:p>
            <w:pPr>
              <w:widowControl/>
              <w:jc w:val="left"/>
              <w:rPr>
                <w:rFonts w:ascii="Times New Roman" w:hAnsi="Times New Roman" w:eastAsia="宋体" w:cs="Times New Roman"/>
                <w:color w:val="000000" w:themeColor="text1"/>
                <w:szCs w:val="21"/>
                <w14:textFill>
                  <w14:solidFill>
                    <w14:schemeClr w14:val="tx1"/>
                  </w14:solidFill>
                </w14:textFill>
              </w:rPr>
            </w:pPr>
          </w:p>
        </w:tc>
        <w:tc>
          <w:tcPr>
            <w:tcW w:w="4347" w:type="pct"/>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组播协议：支持IGMPv1/v2/v3，PIM-SM，PIM-SSM，Static Multicast，MLD v1/v2，MLD Snooping ，PIM-SMv6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52" w:type="pct"/>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配置要求</w:t>
            </w:r>
          </w:p>
        </w:tc>
        <w:tc>
          <w:tcPr>
            <w:tcW w:w="4347" w:type="pct"/>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配置冗余风扇，冗余电源，配置22个万兆多模模块，聚合线缆一根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52" w:type="pct"/>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服务</w:t>
            </w:r>
          </w:p>
        </w:tc>
        <w:tc>
          <w:tcPr>
            <w:tcW w:w="4347" w:type="pct"/>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 xml:space="preserve">三年原厂硬件质保 </w:t>
            </w:r>
          </w:p>
        </w:tc>
      </w:tr>
    </w:tbl>
    <w:p>
      <w:pPr>
        <w:rPr>
          <w:rFonts w:ascii="Times New Roman" w:hAnsi="Times New Roman" w:eastAsia="宋体" w:cs="Times New Roman"/>
          <w:szCs w:val="21"/>
        </w:rPr>
      </w:pPr>
    </w:p>
    <w:p>
      <w:pPr>
        <w:pStyle w:val="4"/>
        <w:bidi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超融合管理交换</w:t>
      </w:r>
      <w:r>
        <w:rPr>
          <w:rFonts w:hint="eastAsia" w:asciiTheme="minorEastAsia" w:hAnsiTheme="minorEastAsia" w:eastAsiaTheme="minorEastAsia" w:cstheme="minorEastAsia"/>
          <w:sz w:val="24"/>
          <w:szCs w:val="24"/>
          <w:lang w:val="en-US" w:eastAsia="zh-CN"/>
        </w:rPr>
        <w:t>机：</w:t>
      </w:r>
    </w:p>
    <w:tbl>
      <w:tblPr>
        <w:tblStyle w:val="63"/>
        <w:tblW w:w="5218" w:type="pct"/>
        <w:tblInd w:w="-10" w:type="dxa"/>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423"/>
      </w:tblGrid>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656" w:type="pct"/>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指标项</w:t>
            </w:r>
          </w:p>
        </w:tc>
        <w:tc>
          <w:tcPr>
            <w:tcW w:w="4344" w:type="pct"/>
            <w:tcBorders>
              <w:top w:val="single" w:color="auto" w:sz="4" w:space="0"/>
              <w:left w:val="single" w:color="auto" w:sz="4" w:space="0"/>
              <w:bottom w:val="single" w:color="auto" w:sz="4" w:space="0"/>
              <w:right w:val="single" w:color="auto" w:sz="8" w:space="0"/>
            </w:tcBorders>
            <w:shd w:val="clear" w:color="000000" w:fill="FFFFFF"/>
            <w:noWrap/>
            <w:vAlign w:val="center"/>
          </w:tcPr>
          <w:p>
            <w:pPr>
              <w:pStyle w:val="965"/>
              <w:numPr>
                <w:ilvl w:val="0"/>
                <w:numId w:val="0"/>
              </w:numPr>
              <w:ind w:left="284" w:hanging="284"/>
              <w:rPr>
                <w:rFonts w:hint="default" w:cs="Times New Roman"/>
                <w:color w:val="000000"/>
              </w:rPr>
            </w:pPr>
            <w:r>
              <w:rPr>
                <w:rFonts w:hint="default" w:cs="Times New Roman"/>
                <w:color w:val="000000"/>
              </w:rPr>
              <w:t>参数指标要求</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656" w:type="pct"/>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基础要求</w:t>
            </w:r>
          </w:p>
        </w:tc>
        <w:tc>
          <w:tcPr>
            <w:tcW w:w="4344" w:type="pct"/>
            <w:tcBorders>
              <w:top w:val="single" w:color="auto" w:sz="4" w:space="0"/>
              <w:left w:val="single" w:color="auto" w:sz="4" w:space="0"/>
              <w:bottom w:val="single" w:color="auto" w:sz="4" w:space="0"/>
              <w:right w:val="single" w:color="auto" w:sz="8" w:space="0"/>
            </w:tcBorders>
            <w:shd w:val="clear" w:color="000000" w:fill="FFFFFF"/>
            <w:noWrap/>
            <w:vAlign w:val="center"/>
          </w:tcPr>
          <w:p>
            <w:pPr>
              <w:pStyle w:val="965"/>
              <w:numPr>
                <w:ilvl w:val="0"/>
                <w:numId w:val="0"/>
              </w:numPr>
              <w:ind w:left="284" w:hanging="284"/>
              <w:rPr>
                <w:rFonts w:hint="default" w:cs="Times New Roman"/>
                <w:color w:val="000000"/>
              </w:rPr>
            </w:pPr>
            <w:r>
              <w:rPr>
                <w:rFonts w:hint="default" w:cs="Times New Roman"/>
                <w:color w:val="000000"/>
              </w:rPr>
              <w:t>交换容量≥432Gbps,包转发率≥144Mpps</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656" w:type="pct"/>
            <w:noWrap/>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固定端口类型</w:t>
            </w:r>
          </w:p>
        </w:tc>
        <w:tc>
          <w:tcPr>
            <w:tcW w:w="4344" w:type="pct"/>
            <w:noWrap/>
            <w:vAlign w:val="center"/>
          </w:tcPr>
          <w:p>
            <w:pPr>
              <w:pStyle w:val="965"/>
              <w:numPr>
                <w:ilvl w:val="0"/>
                <w:numId w:val="0"/>
              </w:numPr>
              <w:spacing w:before="0" w:after="0"/>
              <w:rPr>
                <w:rFonts w:hint="default" w:cs="Times New Roman"/>
                <w:color w:val="000000"/>
              </w:rPr>
            </w:pPr>
            <w:r>
              <w:rPr>
                <w:rFonts w:hint="default" w:cs="Times New Roman"/>
                <w:color w:val="000000"/>
              </w:rPr>
              <w:t>48个千兆电口，4个万兆光口</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656" w:type="pct"/>
            <w:noWrap/>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三层功能</w:t>
            </w:r>
          </w:p>
        </w:tc>
        <w:tc>
          <w:tcPr>
            <w:tcW w:w="4344" w:type="pct"/>
            <w:noWrap/>
            <w:vAlign w:val="center"/>
          </w:tcPr>
          <w:p>
            <w:pPr>
              <w:widowControl/>
              <w:spacing w:before="46" w:beforeLines="15" w:after="46" w:afterLines="15"/>
              <w:jc w:val="left"/>
              <w:textAlignment w:val="baseline"/>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支持IPv4静态路由、RIPv1/2、OSPFv2；</w:t>
            </w:r>
          </w:p>
          <w:p>
            <w:pPr>
              <w:widowControl/>
              <w:spacing w:before="46" w:beforeLines="15" w:after="46" w:afterLines="15"/>
              <w:jc w:val="left"/>
              <w:textAlignment w:val="baseline"/>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支持IPv6静态路由、RIPng、OSPFv3；</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656" w:type="pct"/>
            <w:noWrap/>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配置</w:t>
            </w:r>
          </w:p>
        </w:tc>
        <w:tc>
          <w:tcPr>
            <w:tcW w:w="4344" w:type="pct"/>
            <w:noWrap/>
            <w:vAlign w:val="center"/>
          </w:tcPr>
          <w:p>
            <w:pPr>
              <w:widowControl/>
              <w:spacing w:before="46" w:beforeLines="15" w:after="46" w:afterLines="15"/>
              <w:jc w:val="left"/>
              <w:textAlignment w:val="baseline"/>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聚合线缆一根、万兆多模光模块2个</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656" w:type="pct"/>
            <w:noWrap/>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维保</w:t>
            </w:r>
          </w:p>
        </w:tc>
        <w:tc>
          <w:tcPr>
            <w:tcW w:w="4344" w:type="pct"/>
            <w:noWrap/>
            <w:vAlign w:val="center"/>
          </w:tcPr>
          <w:p>
            <w:pPr>
              <w:widowControl/>
              <w:spacing w:before="46" w:beforeLines="15" w:after="46" w:afterLines="15"/>
              <w:jc w:val="left"/>
              <w:textAlignment w:val="baseline"/>
              <w:rPr>
                <w:rFonts w:ascii="Times New Roman" w:hAnsi="Times New Roman" w:eastAsia="宋体" w:cs="Times New Roman"/>
                <w:color w:val="000000"/>
                <w:kern w:val="0"/>
                <w:szCs w:val="21"/>
              </w:rPr>
            </w:pPr>
            <w:r>
              <w:rPr>
                <w:rFonts w:ascii="Times New Roman" w:hAnsi="Times New Roman" w:eastAsia="宋体" w:cs="Times New Roman"/>
                <w:kern w:val="0"/>
                <w:szCs w:val="21"/>
              </w:rPr>
              <w:t>三年原厂硬件质保</w:t>
            </w:r>
          </w:p>
        </w:tc>
      </w:tr>
    </w:tbl>
    <w:p>
      <w:pPr>
        <w:rPr>
          <w:rFonts w:ascii="Times New Roman" w:hAnsi="Times New Roman" w:eastAsia="宋体" w:cs="Times New Roman"/>
          <w:szCs w:val="21"/>
        </w:rPr>
      </w:pPr>
    </w:p>
    <w:p>
      <w:pPr>
        <w:pStyle w:val="4"/>
        <w:bidi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EMR文档库</w:t>
      </w:r>
      <w:r>
        <w:rPr>
          <w:rFonts w:hint="eastAsia" w:asciiTheme="minorEastAsia" w:hAnsiTheme="minorEastAsia" w:eastAsiaTheme="minorEastAsia" w:cstheme="minorEastAsia"/>
          <w:sz w:val="24"/>
          <w:szCs w:val="24"/>
          <w:lang w:val="en-US" w:eastAsia="zh-CN"/>
        </w:rPr>
        <w:t>服务器：</w:t>
      </w:r>
    </w:p>
    <w:tbl>
      <w:tblPr>
        <w:tblStyle w:val="63"/>
        <w:tblW w:w="52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4"/>
        <w:gridCol w:w="8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53" w:type="pct"/>
            <w:tcBorders>
              <w:top w:val="single" w:color="auto" w:sz="4" w:space="0"/>
              <w:left w:val="single" w:color="auto" w:sz="4" w:space="0"/>
              <w:bottom w:val="single" w:color="auto" w:sz="4" w:space="0"/>
              <w:right w:val="single" w:color="auto" w:sz="4" w:space="0"/>
            </w:tcBorders>
            <w:vAlign w:val="bottom"/>
          </w:tcPr>
          <w:p>
            <w:pPr>
              <w:widowControl/>
              <w:jc w:val="left"/>
              <w:rPr>
                <w:rFonts w:ascii="Times New Roman" w:hAnsi="Times New Roman" w:eastAsia="宋体" w:cs="Times New Roman"/>
                <w:bCs/>
                <w:kern w:val="0"/>
                <w:szCs w:val="21"/>
              </w:rPr>
            </w:pPr>
            <w:r>
              <w:rPr>
                <w:rFonts w:ascii="Times New Roman" w:hAnsi="Times New Roman" w:eastAsia="宋体" w:cs="Times New Roman"/>
                <w:bCs/>
                <w:kern w:val="0"/>
                <w:szCs w:val="21"/>
              </w:rPr>
              <w:t>指标项目</w:t>
            </w:r>
          </w:p>
        </w:tc>
        <w:tc>
          <w:tcPr>
            <w:tcW w:w="4346" w:type="pct"/>
            <w:tcBorders>
              <w:top w:val="single" w:color="auto" w:sz="4" w:space="0"/>
              <w:left w:val="single" w:color="auto" w:sz="4" w:space="0"/>
              <w:bottom w:val="single" w:color="auto" w:sz="4" w:space="0"/>
              <w:right w:val="single" w:color="auto" w:sz="4" w:space="0"/>
            </w:tcBorders>
            <w:vAlign w:val="bottom"/>
          </w:tcPr>
          <w:p>
            <w:pPr>
              <w:widowControl/>
              <w:jc w:val="left"/>
              <w:rPr>
                <w:rFonts w:ascii="Times New Roman" w:hAnsi="Times New Roman" w:eastAsia="宋体" w:cs="Times New Roman"/>
                <w:bCs/>
                <w:kern w:val="0"/>
                <w:szCs w:val="21"/>
              </w:rPr>
            </w:pPr>
            <w:r>
              <w:rPr>
                <w:rFonts w:ascii="Times New Roman" w:hAnsi="Times New Roman" w:eastAsia="宋体" w:cs="Times New Roman"/>
                <w:bCs/>
                <w:kern w:val="0"/>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53" w:type="pct"/>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总体要求</w:t>
            </w:r>
          </w:p>
        </w:tc>
        <w:tc>
          <w:tcPr>
            <w:tcW w:w="4346" w:type="pct"/>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2U服务器，非OEM，适用于通用机房环境，支持标准机柜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653" w:type="pct"/>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处理器要求</w:t>
            </w:r>
          </w:p>
        </w:tc>
        <w:tc>
          <w:tcPr>
            <w:tcW w:w="4346" w:type="pct"/>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b/>
                <w:bCs/>
                <w:kern w:val="0"/>
                <w:szCs w:val="21"/>
                <w:highlight w:val="yellow"/>
              </w:rPr>
            </w:pPr>
            <w:r>
              <w:rPr>
                <w:rFonts w:hint="eastAsia" w:ascii="Segoe UI Symbol" w:hAnsi="Segoe UI Symbol" w:eastAsia="宋体" w:cs="Segoe UI Symbol"/>
                <w:b/>
                <w:bCs/>
                <w:color w:val="000000"/>
                <w:kern w:val="0"/>
                <w:szCs w:val="21"/>
                <w:highlight w:val="none"/>
              </w:rPr>
              <w:t>☆</w:t>
            </w:r>
            <w:r>
              <w:rPr>
                <w:rFonts w:ascii="Times New Roman" w:hAnsi="Times New Roman" w:eastAsia="宋体" w:cs="Times New Roman"/>
                <w:b/>
                <w:bCs/>
                <w:kern w:val="0"/>
                <w:szCs w:val="21"/>
                <w:highlight w:val="none"/>
              </w:rPr>
              <w:t>≥</w:t>
            </w:r>
            <w:r>
              <w:rPr>
                <w:rFonts w:ascii="Times New Roman" w:hAnsi="Times New Roman" w:eastAsia="宋体" w:cs="Times New Roman"/>
                <w:b/>
                <w:bCs/>
                <w:szCs w:val="21"/>
                <w:highlight w:val="none"/>
              </w:rPr>
              <w:t>2颗Ice Lake处理器，核数</w:t>
            </w:r>
            <w:r>
              <w:rPr>
                <w:rFonts w:ascii="Times New Roman" w:hAnsi="Times New Roman" w:eastAsia="宋体" w:cs="Times New Roman"/>
                <w:b/>
                <w:bCs/>
                <w:kern w:val="0"/>
                <w:szCs w:val="21"/>
                <w:highlight w:val="none"/>
              </w:rPr>
              <w:t>≥12C，主频≥2.1GHz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653" w:type="pc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内存要求</w:t>
            </w:r>
          </w:p>
        </w:tc>
        <w:tc>
          <w:tcPr>
            <w:tcW w:w="4346" w:type="pct"/>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b/>
                <w:bCs/>
                <w:kern w:val="0"/>
                <w:szCs w:val="21"/>
                <w:highlight w:val="yellow"/>
              </w:rPr>
            </w:pPr>
            <w:r>
              <w:rPr>
                <w:rFonts w:ascii="Times New Roman" w:hAnsi="Times New Roman" w:eastAsia="宋体" w:cs="Times New Roman"/>
                <w:b w:val="0"/>
                <w:bCs w:val="0"/>
                <w:szCs w:val="21"/>
                <w:highlight w:val="none"/>
              </w:rPr>
              <w:t>配置</w:t>
            </w:r>
            <w:r>
              <w:rPr>
                <w:rFonts w:ascii="Times New Roman" w:hAnsi="Times New Roman" w:eastAsia="宋体" w:cs="Times New Roman"/>
                <w:b w:val="0"/>
                <w:bCs w:val="0"/>
                <w:kern w:val="0"/>
                <w:szCs w:val="21"/>
                <w:highlight w:val="none"/>
              </w:rPr>
              <w:t>≥</w:t>
            </w:r>
            <w:r>
              <w:rPr>
                <w:rFonts w:ascii="Times New Roman" w:hAnsi="Times New Roman" w:eastAsia="宋体" w:cs="Times New Roman"/>
                <w:b w:val="0"/>
                <w:bCs w:val="0"/>
                <w:szCs w:val="21"/>
                <w:highlight w:val="none"/>
              </w:rPr>
              <w:t>128 GB DDR4内存，32个内存插槽；</w:t>
            </w:r>
            <w:r>
              <w:rPr>
                <w:rFonts w:ascii="Times New Roman" w:hAnsi="Times New Roman" w:eastAsia="宋体" w:cs="Times New Roman"/>
                <w:b/>
                <w:bCs/>
                <w:kern w:val="0"/>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3"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本地存储</w:t>
            </w:r>
          </w:p>
        </w:tc>
        <w:tc>
          <w:tcPr>
            <w:tcW w:w="4346" w:type="pct"/>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支持38块2.5寸或20块3.5寸硬盘，支持28块NVME SSD硬盘扩展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65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p>
        </w:tc>
        <w:tc>
          <w:tcPr>
            <w:tcW w:w="4346" w:type="pct"/>
            <w:tcBorders>
              <w:top w:val="single" w:color="auto" w:sz="4" w:space="0"/>
              <w:left w:val="single" w:color="auto" w:sz="4" w:space="0"/>
              <w:bottom w:val="single" w:color="auto" w:sz="4" w:space="0"/>
              <w:right w:val="single" w:color="auto" w:sz="4" w:space="0"/>
            </w:tcBorders>
            <w:vAlign w:val="center"/>
          </w:tcPr>
          <w:p>
            <w:pPr>
              <w:widowControl/>
              <w:spacing w:line="300" w:lineRule="auto"/>
              <w:rPr>
                <w:rFonts w:ascii="Times New Roman" w:hAnsi="Times New Roman" w:eastAsia="宋体" w:cs="Times New Roman"/>
                <w:szCs w:val="21"/>
              </w:rPr>
            </w:pPr>
            <w:r>
              <w:rPr>
                <w:rFonts w:ascii="Times New Roman" w:hAnsi="Times New Roman" w:eastAsia="宋体" w:cs="Times New Roman"/>
                <w:szCs w:val="21"/>
              </w:rPr>
              <w:t>配置2块480G ssd硬盘，4块3.84T SSD硬盘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53" w:type="pct"/>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RAID支持</w:t>
            </w:r>
          </w:p>
        </w:tc>
        <w:tc>
          <w:tcPr>
            <w:tcW w:w="4346" w:type="pct"/>
            <w:tcBorders>
              <w:top w:val="single" w:color="auto" w:sz="4" w:space="0"/>
              <w:left w:val="single" w:color="auto" w:sz="4" w:space="0"/>
              <w:bottom w:val="single" w:color="auto" w:sz="4" w:space="0"/>
              <w:right w:val="single" w:color="auto" w:sz="4" w:space="0"/>
            </w:tcBorders>
            <w:vAlign w:val="center"/>
          </w:tcPr>
          <w:p>
            <w:pPr>
              <w:widowControl/>
              <w:spacing w:line="300" w:lineRule="auto"/>
              <w:rPr>
                <w:rFonts w:ascii="Times New Roman" w:hAnsi="Times New Roman" w:eastAsia="宋体" w:cs="Times New Roman"/>
                <w:szCs w:val="21"/>
              </w:rPr>
            </w:pPr>
            <w:r>
              <w:rPr>
                <w:rFonts w:ascii="Times New Roman" w:hAnsi="Times New Roman" w:eastAsia="宋体" w:cs="Times New Roman"/>
                <w:szCs w:val="21"/>
              </w:rPr>
              <w:t>配置独立raid卡，支持RAID 0、1、5，支持硬盘直通模式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53" w:type="pct"/>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网络接口</w:t>
            </w:r>
          </w:p>
        </w:tc>
        <w:tc>
          <w:tcPr>
            <w:tcW w:w="4346" w:type="pct"/>
            <w:tcBorders>
              <w:top w:val="single" w:color="auto" w:sz="4" w:space="0"/>
              <w:left w:val="single" w:color="auto" w:sz="4" w:space="0"/>
              <w:bottom w:val="single" w:color="auto" w:sz="4" w:space="0"/>
              <w:right w:val="single" w:color="auto" w:sz="4" w:space="0"/>
            </w:tcBorders>
            <w:vAlign w:val="center"/>
          </w:tcPr>
          <w:p>
            <w:pPr>
              <w:widowControl/>
              <w:spacing w:line="300" w:lineRule="auto"/>
              <w:rPr>
                <w:rFonts w:ascii="Times New Roman" w:hAnsi="Times New Roman" w:eastAsia="宋体" w:cs="Times New Roman"/>
                <w:szCs w:val="21"/>
              </w:rPr>
            </w:pPr>
            <w:r>
              <w:rPr>
                <w:rFonts w:ascii="Times New Roman" w:hAnsi="Times New Roman" w:eastAsia="宋体" w:cs="Times New Roman"/>
                <w:color w:val="000000"/>
                <w:kern w:val="0"/>
                <w:szCs w:val="21"/>
              </w:rPr>
              <w:t>配置≥4个千兆接口，≥4个万兆光口（含光模块）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3" w:type="pc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I/O扩展槽以及扩展模块</w:t>
            </w:r>
          </w:p>
        </w:tc>
        <w:tc>
          <w:tcPr>
            <w:tcW w:w="4346" w:type="pct"/>
            <w:tcBorders>
              <w:top w:val="single" w:color="auto" w:sz="4" w:space="0"/>
              <w:left w:val="single" w:color="auto" w:sz="4" w:space="0"/>
              <w:right w:val="single" w:color="auto" w:sz="4" w:space="0"/>
            </w:tcBorders>
            <w:vAlign w:val="center"/>
          </w:tcPr>
          <w:p>
            <w:pPr>
              <w:widowControl/>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最大支持11个PCIE插槽，最大支持3个双宽GPU或者8个单宽GPU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653" w:type="pct"/>
            <w:tcBorders>
              <w:top w:val="single" w:color="auto" w:sz="4" w:space="0"/>
              <w:left w:val="single" w:color="auto" w:sz="4" w:space="0"/>
              <w:right w:val="single" w:color="auto" w:sz="4" w:space="0"/>
            </w:tcBorders>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管理功能</w:t>
            </w:r>
          </w:p>
        </w:tc>
        <w:tc>
          <w:tcPr>
            <w:tcW w:w="4346" w:type="pct"/>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板载BMC管理模块，支持带外和带内远程管理控制，如IPMI2.0、KVM Over IP、SOL、SNMP等，可实现与操作系统无关的远程对服务器的完全控制。管理软件支持同时部署多台主机或按照计划时间进行特定部署，可监控服务器CPU、内存等资源使用率，批量日志收集等。支持中文BIOS界面设置，支持TPM/TCM安全模块，支持带内和带外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3" w:type="pct"/>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散热</w:t>
            </w:r>
          </w:p>
        </w:tc>
        <w:tc>
          <w:tcPr>
            <w:tcW w:w="4346" w:type="pct"/>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4个热插拔N+1冗余风扇；采用双转子大尺寸风扇，支持免工具热插拔维护。风扇转速自动调节，对节点透明；风流向前进后出；具备防回流设计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3" w:type="pct"/>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性能</w:t>
            </w:r>
          </w:p>
        </w:tc>
        <w:tc>
          <w:tcPr>
            <w:tcW w:w="4346" w:type="pct"/>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SPEC max-jOPS测试中性能</w:t>
            </w:r>
            <w:r>
              <w:rPr>
                <w:rFonts w:ascii="Times New Roman" w:hAnsi="Times New Roman" w:eastAsia="宋体" w:cs="Times New Roman"/>
                <w:color w:val="000000"/>
                <w:kern w:val="0"/>
                <w:szCs w:val="21"/>
              </w:rPr>
              <w:t>≥</w:t>
            </w:r>
            <w:r>
              <w:rPr>
                <w:rFonts w:ascii="Times New Roman" w:hAnsi="Times New Roman" w:eastAsia="宋体" w:cs="Times New Roman"/>
                <w:kern w:val="0"/>
                <w:szCs w:val="21"/>
              </w:rPr>
              <w:t>286000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3" w:type="pct"/>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可靠性硬件设计</w:t>
            </w:r>
          </w:p>
        </w:tc>
        <w:tc>
          <w:tcPr>
            <w:tcW w:w="4346" w:type="pct"/>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所投产品支持BMC/BIOS flash（ROM）硬件冗余、升级失败后自动回退或切换至另一片Flash启动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3" w:type="pct"/>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电源模块</w:t>
            </w:r>
          </w:p>
        </w:tc>
        <w:tc>
          <w:tcPr>
            <w:tcW w:w="4346" w:type="pct"/>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两个冗余热插拔电源; 支持-48V / 336V直流电源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653" w:type="pct"/>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稳定性</w:t>
            </w:r>
          </w:p>
        </w:tc>
        <w:tc>
          <w:tcPr>
            <w:tcW w:w="4346" w:type="pct"/>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产品MTBF 不低于20万小时，</w:t>
            </w:r>
            <w:r>
              <w:rPr>
                <w:rFonts w:ascii="Times New Roman" w:hAnsi="Times New Roman" w:eastAsia="宋体" w:cs="Times New Roman"/>
                <w:b/>
                <w:bCs/>
                <w:color w:val="000000"/>
                <w:kern w:val="0"/>
                <w:szCs w:val="21"/>
                <w:highlight w:val="none"/>
              </w:rPr>
              <w:t>提供CNAS或CMA的第三方测试机构的证明材料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653" w:type="pct"/>
            <w:vMerge w:val="restart"/>
            <w:tcBorders>
              <w:top w:val="single" w:color="auto" w:sz="4" w:space="0"/>
              <w:left w:val="single" w:color="auto" w:sz="4" w:space="0"/>
              <w:right w:val="single" w:color="auto" w:sz="4" w:space="0"/>
            </w:tcBorders>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安全保护</w:t>
            </w:r>
          </w:p>
        </w:tc>
        <w:tc>
          <w:tcPr>
            <w:tcW w:w="4346" w:type="pct"/>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支持TPM安全可信模块，支持双机热备、N+1热备；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653" w:type="pct"/>
            <w:vMerge w:val="continue"/>
            <w:tcBorders>
              <w:left w:val="single" w:color="auto" w:sz="4" w:space="0"/>
              <w:right w:val="single" w:color="auto" w:sz="4" w:space="0"/>
            </w:tcBorders>
            <w:vAlign w:val="center"/>
          </w:tcPr>
          <w:p>
            <w:pPr>
              <w:widowControl/>
              <w:rPr>
                <w:rFonts w:ascii="Times New Roman" w:hAnsi="Times New Roman" w:eastAsia="宋体" w:cs="Times New Roman"/>
                <w:kern w:val="0"/>
                <w:szCs w:val="21"/>
              </w:rPr>
            </w:pPr>
          </w:p>
        </w:tc>
        <w:tc>
          <w:tcPr>
            <w:tcW w:w="4346" w:type="pct"/>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支持硬盘数据安全擦除功能</w:t>
            </w:r>
            <w:r>
              <w:rPr>
                <w:rFonts w:ascii="Times New Roman" w:hAnsi="Times New Roman" w:eastAsia="宋体" w:cs="Times New Roman"/>
                <w:kern w:val="0"/>
                <w:szCs w:val="21"/>
                <w:highlight w:val="none"/>
              </w:rPr>
              <w:t>，</w:t>
            </w:r>
            <w:r>
              <w:rPr>
                <w:rFonts w:ascii="Times New Roman" w:hAnsi="Times New Roman" w:eastAsia="宋体" w:cs="Times New Roman"/>
                <w:b/>
                <w:bCs/>
                <w:kern w:val="0"/>
                <w:szCs w:val="21"/>
                <w:highlight w:val="none"/>
              </w:rPr>
              <w:t>提供界面截图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653" w:type="pct"/>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服务</w:t>
            </w:r>
          </w:p>
        </w:tc>
        <w:tc>
          <w:tcPr>
            <w:tcW w:w="4346" w:type="pct"/>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三年原厂免费上门质保，供货时提供原厂质保函</w:t>
            </w:r>
          </w:p>
        </w:tc>
      </w:tr>
    </w:tbl>
    <w:p>
      <w:pPr>
        <w:rPr>
          <w:rFonts w:hint="eastAsia" w:asciiTheme="minorEastAsia" w:hAnsiTheme="minorEastAsia" w:eastAsiaTheme="minorEastAsia" w:cstheme="minorEastAsia"/>
          <w:color w:val="000000"/>
          <w:kern w:val="0"/>
          <w:sz w:val="24"/>
          <w:szCs w:val="24"/>
          <w:lang w:bidi="ar"/>
        </w:rPr>
      </w:pPr>
    </w:p>
    <w:p>
      <w:pPr>
        <w:pStyle w:val="4"/>
        <w:bidi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数据库容灾</w:t>
      </w:r>
      <w:r>
        <w:rPr>
          <w:rFonts w:hint="eastAsia" w:asciiTheme="minorEastAsia" w:hAnsiTheme="minorEastAsia" w:eastAsiaTheme="minorEastAsia" w:cstheme="minorEastAsia"/>
          <w:sz w:val="24"/>
          <w:szCs w:val="24"/>
          <w:lang w:val="en-US" w:eastAsia="zh-CN"/>
        </w:rPr>
        <w:t>服务器：</w:t>
      </w:r>
    </w:p>
    <w:tbl>
      <w:tblPr>
        <w:tblStyle w:val="6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8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54"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指标项目</w:t>
            </w:r>
          </w:p>
        </w:tc>
        <w:tc>
          <w:tcPr>
            <w:tcW w:w="4345"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54"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总体要求</w:t>
            </w:r>
          </w:p>
        </w:tc>
        <w:tc>
          <w:tcPr>
            <w:tcW w:w="4345"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≤3U标准服务器，国产品牌，自主研发，非OEM，适用于通用机房环境，支持标准机柜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654" w:type="pct"/>
            <w:shd w:val="clear" w:color="auto" w:fill="auto"/>
            <w:vAlign w:val="center"/>
          </w:tcPr>
          <w:p>
            <w:pPr>
              <w:widowControl/>
              <w:rPr>
                <w:rFonts w:ascii="Times New Roman" w:hAnsi="Times New Roman" w:eastAsia="宋体" w:cs="Times New Roman"/>
                <w:color w:val="000000"/>
                <w:kern w:val="0"/>
                <w:szCs w:val="21"/>
                <w:highlight w:val="none"/>
              </w:rPr>
            </w:pPr>
            <w:r>
              <w:rPr>
                <w:rFonts w:ascii="Times New Roman" w:hAnsi="Times New Roman" w:eastAsia="宋体" w:cs="Times New Roman"/>
                <w:color w:val="000000"/>
                <w:kern w:val="0"/>
                <w:szCs w:val="21"/>
                <w:highlight w:val="none"/>
              </w:rPr>
              <w:t>处理器要求</w:t>
            </w:r>
          </w:p>
        </w:tc>
        <w:tc>
          <w:tcPr>
            <w:tcW w:w="4345" w:type="pct"/>
            <w:shd w:val="clear" w:color="auto" w:fill="auto"/>
            <w:vAlign w:val="center"/>
          </w:tcPr>
          <w:p>
            <w:pPr>
              <w:widowControl/>
              <w:rPr>
                <w:rFonts w:ascii="Times New Roman" w:hAnsi="Times New Roman" w:eastAsia="宋体" w:cs="Times New Roman"/>
                <w:b/>
                <w:bCs/>
                <w:color w:val="000000"/>
                <w:kern w:val="0"/>
                <w:szCs w:val="21"/>
                <w:highlight w:val="none"/>
              </w:rPr>
            </w:pPr>
            <w:r>
              <w:rPr>
                <w:rFonts w:hint="eastAsia" w:ascii="Segoe UI Symbol" w:hAnsi="Segoe UI Symbol" w:eastAsia="宋体" w:cs="Segoe UI Symbol"/>
                <w:b/>
                <w:bCs/>
                <w:color w:val="000000"/>
                <w:kern w:val="0"/>
                <w:szCs w:val="21"/>
                <w:highlight w:val="none"/>
              </w:rPr>
              <w:t>☆</w:t>
            </w:r>
            <w:r>
              <w:rPr>
                <w:rFonts w:ascii="Times New Roman" w:hAnsi="Times New Roman" w:eastAsia="宋体" w:cs="Times New Roman"/>
                <w:b/>
                <w:bCs/>
                <w:color w:val="000000"/>
                <w:kern w:val="0"/>
                <w:szCs w:val="21"/>
                <w:highlight w:val="none"/>
              </w:rPr>
              <w:t xml:space="preserve">支持系列处理器，配置4颗Cooper Lake处理器（核数≥18C.主频≥2.5GHz）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54" w:type="pct"/>
            <w:shd w:val="clear" w:color="auto" w:fill="auto"/>
            <w:vAlign w:val="center"/>
          </w:tcPr>
          <w:p>
            <w:pPr>
              <w:widowControl/>
              <w:jc w:val="left"/>
              <w:rPr>
                <w:rFonts w:ascii="Times New Roman" w:hAnsi="Times New Roman" w:eastAsia="宋体" w:cs="Times New Roman"/>
                <w:color w:val="000000"/>
                <w:kern w:val="0"/>
                <w:szCs w:val="21"/>
                <w:highlight w:val="none"/>
              </w:rPr>
            </w:pPr>
            <w:r>
              <w:rPr>
                <w:rFonts w:ascii="Times New Roman" w:hAnsi="Times New Roman" w:eastAsia="宋体" w:cs="Times New Roman"/>
                <w:color w:val="000000"/>
                <w:kern w:val="0"/>
                <w:szCs w:val="21"/>
                <w:highlight w:val="none"/>
              </w:rPr>
              <w:t>内存要求</w:t>
            </w:r>
          </w:p>
        </w:tc>
        <w:tc>
          <w:tcPr>
            <w:tcW w:w="4345" w:type="pct"/>
            <w:shd w:val="clear" w:color="auto" w:fill="auto"/>
            <w:vAlign w:val="center"/>
          </w:tcPr>
          <w:p>
            <w:pPr>
              <w:widowControl/>
              <w:rPr>
                <w:rFonts w:ascii="Times New Roman" w:hAnsi="Times New Roman" w:eastAsia="宋体" w:cs="Times New Roman"/>
                <w:b/>
                <w:bCs/>
                <w:color w:val="000000"/>
                <w:kern w:val="0"/>
                <w:szCs w:val="21"/>
                <w:highlight w:val="yellow"/>
              </w:rPr>
            </w:pPr>
            <w:r>
              <w:rPr>
                <w:rFonts w:ascii="Times New Roman" w:hAnsi="Times New Roman" w:eastAsia="宋体" w:cs="Times New Roman"/>
                <w:b w:val="0"/>
                <w:bCs w:val="0"/>
                <w:color w:val="000000"/>
                <w:kern w:val="0"/>
                <w:szCs w:val="21"/>
                <w:highlight w:val="none"/>
              </w:rPr>
              <w:t>总体要求：最大支持48个内存插槽；支持高级内存纠错（ECC）、内存镜像（Ememory mirroring）、内存热备（rank sparing）等高级功能；最大支持18T内存容量，最大支持3200MT/s工作频率，本次配置≥512G DDR4 3200 内存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54" w:type="pct"/>
            <w:vMerge w:val="restart"/>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本地存储</w:t>
            </w:r>
          </w:p>
        </w:tc>
        <w:tc>
          <w:tcPr>
            <w:tcW w:w="4345" w:type="pct"/>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总体要求：支持最大25个标准硬盘槽位，支持SAS/SATA/NVMe接口，支持24NVMe全闪配置，内置最大支持M.2 SSD硬盘，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654" w:type="pct"/>
            <w:vMerge w:val="continue"/>
            <w:shd w:val="clear" w:color="auto" w:fill="auto"/>
            <w:vAlign w:val="center"/>
          </w:tcPr>
          <w:p>
            <w:pPr>
              <w:widowControl/>
              <w:jc w:val="left"/>
              <w:rPr>
                <w:rFonts w:ascii="Times New Roman" w:hAnsi="Times New Roman" w:eastAsia="宋体" w:cs="Times New Roman"/>
                <w:color w:val="000000"/>
                <w:kern w:val="0"/>
                <w:szCs w:val="21"/>
              </w:rPr>
            </w:pPr>
          </w:p>
        </w:tc>
        <w:tc>
          <w:tcPr>
            <w:tcW w:w="4345" w:type="pct"/>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本次配置</w:t>
            </w:r>
            <w:r>
              <w:rPr>
                <w:rFonts w:ascii="Times New Roman" w:hAnsi="Times New Roman" w:eastAsia="宋体" w:cs="Times New Roman"/>
                <w:color w:val="000000"/>
                <w:kern w:val="0"/>
                <w:szCs w:val="21"/>
              </w:rPr>
              <w:t>≥</w:t>
            </w:r>
            <w:r>
              <w:rPr>
                <w:rFonts w:ascii="Times New Roman" w:hAnsi="Times New Roman" w:eastAsia="宋体" w:cs="Times New Roman"/>
                <w:color w:val="000000"/>
                <w:kern w:val="0"/>
                <w:sz w:val="22"/>
                <w:lang w:bidi="ar"/>
              </w:rPr>
              <w:t>6块3.84TB SSD硬盘；</w:t>
            </w:r>
            <w:r>
              <w:rPr>
                <w:rFonts w:ascii="Times New Roman" w:hAnsi="Times New Roman" w:eastAsia="宋体" w:cs="Times New Roman"/>
                <w:color w:val="000000"/>
                <w:kern w:val="0"/>
                <w:szCs w:val="21"/>
              </w:rPr>
              <w:t>≥</w:t>
            </w:r>
            <w:r>
              <w:rPr>
                <w:rFonts w:ascii="Times New Roman" w:hAnsi="Times New Roman" w:eastAsia="宋体" w:cs="Times New Roman"/>
                <w:color w:val="000000"/>
                <w:kern w:val="0"/>
                <w:sz w:val="22"/>
                <w:lang w:bidi="ar"/>
              </w:rPr>
              <w:t>2块480GB SSD硬盘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4"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标准接口</w:t>
            </w:r>
          </w:p>
        </w:tc>
        <w:tc>
          <w:tcPr>
            <w:tcW w:w="4345"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支持≥4个USB3.0接口, ≥1个VGA接口, 1个专业管理网口，1个BMC诊断串口，1个系统串口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654" w:type="pct"/>
            <w:shd w:val="clear" w:color="auto" w:fill="auto"/>
            <w:vAlign w:val="center"/>
          </w:tcPr>
          <w:p>
            <w:pPr>
              <w:widowControl/>
              <w:rPr>
                <w:rFonts w:ascii="Times New Roman" w:hAnsi="Times New Roman" w:eastAsia="宋体" w:cs="Times New Roman"/>
                <w:color w:val="000000"/>
                <w:kern w:val="0"/>
                <w:szCs w:val="21"/>
                <w:highlight w:val="none"/>
              </w:rPr>
            </w:pPr>
            <w:r>
              <w:rPr>
                <w:rFonts w:ascii="Times New Roman" w:hAnsi="Times New Roman" w:eastAsia="宋体" w:cs="Times New Roman"/>
                <w:color w:val="000000"/>
                <w:kern w:val="0"/>
                <w:szCs w:val="21"/>
                <w:highlight w:val="none"/>
              </w:rPr>
              <w:t>RAID卡</w:t>
            </w:r>
          </w:p>
        </w:tc>
        <w:tc>
          <w:tcPr>
            <w:tcW w:w="4345" w:type="pct"/>
            <w:shd w:val="clear" w:color="auto" w:fill="auto"/>
            <w:vAlign w:val="center"/>
          </w:tcPr>
          <w:p>
            <w:pPr>
              <w:widowControl/>
              <w:rPr>
                <w:rFonts w:ascii="Times New Roman" w:hAnsi="Times New Roman" w:eastAsia="宋体" w:cs="Times New Roman"/>
                <w:color w:val="000000"/>
                <w:kern w:val="0"/>
                <w:szCs w:val="21"/>
                <w:highlight w:val="none"/>
              </w:rPr>
            </w:pPr>
            <w:r>
              <w:rPr>
                <w:rFonts w:ascii="Times New Roman" w:hAnsi="Times New Roman" w:eastAsia="宋体" w:cs="Times New Roman"/>
                <w:b w:val="0"/>
                <w:bCs w:val="0"/>
                <w:color w:val="000000"/>
                <w:kern w:val="0"/>
                <w:szCs w:val="21"/>
                <w:highlight w:val="none"/>
              </w:rPr>
              <w:t>配置raid卡，支持 RAID 0/1/5/6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54"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网络接口</w:t>
            </w:r>
          </w:p>
        </w:tc>
        <w:tc>
          <w:tcPr>
            <w:tcW w:w="4345"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支持OCP网络模块，支持1Gb/10Gb/25Gb/100Gb/s速率，支持1/2/4个以太网或光纤网络接口</w:t>
            </w:r>
            <w:r>
              <w:rPr>
                <w:rFonts w:ascii="Times New Roman" w:hAnsi="Times New Roman" w:eastAsia="宋体" w:cs="Times New Roman"/>
                <w:color w:val="000000"/>
                <w:kern w:val="0"/>
                <w:szCs w:val="21"/>
              </w:rPr>
              <w:br w:type="textWrapping"/>
            </w:r>
            <w:r>
              <w:rPr>
                <w:rFonts w:ascii="Times New Roman" w:hAnsi="Times New Roman" w:eastAsia="宋体" w:cs="Times New Roman"/>
                <w:color w:val="000000"/>
                <w:kern w:val="0"/>
                <w:szCs w:val="21"/>
              </w:rPr>
              <w:t>配置≥4个千兆接口，配置≥4个万兆光口（含光模块）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54" w:type="pct"/>
            <w:vMerge w:val="restart"/>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I/O扩展槽</w:t>
            </w:r>
          </w:p>
        </w:tc>
        <w:tc>
          <w:tcPr>
            <w:tcW w:w="4345"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支持≥12个PCIE标准插槽，其中6个支持板载竖插无需Raiser，支持1个OCP 3.0卡扩展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54" w:type="pct"/>
            <w:vMerge w:val="continue"/>
            <w:vAlign w:val="center"/>
          </w:tcPr>
          <w:p>
            <w:pPr>
              <w:widowControl/>
              <w:jc w:val="left"/>
              <w:rPr>
                <w:rFonts w:ascii="Times New Roman" w:hAnsi="Times New Roman" w:eastAsia="宋体" w:cs="Times New Roman"/>
                <w:color w:val="000000"/>
                <w:kern w:val="0"/>
                <w:szCs w:val="21"/>
              </w:rPr>
            </w:pPr>
          </w:p>
        </w:tc>
        <w:tc>
          <w:tcPr>
            <w:tcW w:w="4345"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支持2个双宽GPU、4个单宽GPU，提供电源接口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54"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电源</w:t>
            </w:r>
          </w:p>
        </w:tc>
        <w:tc>
          <w:tcPr>
            <w:tcW w:w="4345"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配置≥2个电源（铂金），支持1+1冗余，支持可选钛金级别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54"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散热</w:t>
            </w:r>
          </w:p>
        </w:tc>
        <w:tc>
          <w:tcPr>
            <w:tcW w:w="4345"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冗余热插拔风扇（双转子）。由风扇控制器、风扇，独立风扇控制；采用双转子大尺寸风扇，支持免工具热插拔维护。风扇转速自动调节，对节点透明；风流向前进后出；具备防回流设计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54" w:type="pct"/>
            <w:vMerge w:val="restart"/>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管理功能</w:t>
            </w:r>
          </w:p>
        </w:tc>
        <w:tc>
          <w:tcPr>
            <w:tcW w:w="4345"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集成系统管理芯片，支持IPMI2.0、KVM over IP、虚拟媒体等管理功能</w:t>
            </w:r>
            <w:r>
              <w:rPr>
                <w:rFonts w:ascii="Times New Roman" w:hAnsi="Times New Roman" w:eastAsia="宋体" w:cs="Times New Roman"/>
                <w:color w:val="000000"/>
                <w:kern w:val="0"/>
                <w:szCs w:val="21"/>
              </w:rPr>
              <w:br w:type="textWrapping"/>
            </w:r>
            <w:r>
              <w:rPr>
                <w:rFonts w:ascii="Times New Roman" w:hAnsi="Times New Roman" w:eastAsia="宋体" w:cs="Times New Roman"/>
                <w:color w:val="000000"/>
                <w:kern w:val="0"/>
                <w:szCs w:val="21"/>
              </w:rPr>
              <w:t>提供原厂服务器管理套件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54" w:type="pct"/>
            <w:vMerge w:val="continue"/>
            <w:vAlign w:val="center"/>
          </w:tcPr>
          <w:p>
            <w:pPr>
              <w:widowControl/>
              <w:jc w:val="left"/>
              <w:rPr>
                <w:rFonts w:ascii="Times New Roman" w:hAnsi="Times New Roman" w:eastAsia="宋体" w:cs="Times New Roman"/>
                <w:color w:val="000000"/>
                <w:kern w:val="0"/>
                <w:szCs w:val="21"/>
              </w:rPr>
            </w:pPr>
          </w:p>
        </w:tc>
        <w:tc>
          <w:tcPr>
            <w:tcW w:w="4345"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remote debug可带外进行debug，不用使用ITP工具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54" w:type="pct"/>
            <w:vMerge w:val="continue"/>
            <w:vAlign w:val="center"/>
          </w:tcPr>
          <w:p>
            <w:pPr>
              <w:widowControl/>
              <w:jc w:val="left"/>
              <w:rPr>
                <w:rFonts w:ascii="Times New Roman" w:hAnsi="Times New Roman" w:eastAsia="宋体" w:cs="Times New Roman"/>
                <w:color w:val="000000"/>
                <w:kern w:val="0"/>
                <w:szCs w:val="21"/>
              </w:rPr>
            </w:pPr>
          </w:p>
        </w:tc>
        <w:tc>
          <w:tcPr>
            <w:tcW w:w="4345" w:type="pct"/>
            <w:shd w:val="clear" w:color="auto" w:fill="auto"/>
            <w:vAlign w:val="center"/>
          </w:tcPr>
          <w:p>
            <w:pPr>
              <w:rPr>
                <w:rFonts w:ascii="Times New Roman" w:hAnsi="Times New Roman" w:eastAsia="宋体" w:cs="Times New Roman"/>
                <w:kern w:val="0"/>
                <w:szCs w:val="21"/>
              </w:rPr>
            </w:pPr>
            <w:r>
              <w:rPr>
                <w:rFonts w:ascii="Times New Roman" w:hAnsi="Times New Roman" w:eastAsia="宋体" w:cs="Times New Roman"/>
                <w:kern w:val="0"/>
                <w:szCs w:val="21"/>
              </w:rPr>
              <w:t>板载BMC管理模块，支持带外和带内远程管理控制，如IPMI2.0、KVM Over IP、SOL、SNMP等，可实现与操作系统无关的远程对服务器的完全控制。管理软件支持同时部署多台主机或按照计划时间进行特定部署，可监控服务器CPU、内存等资源使用率，批量日志收集等。支持TPM/TCM安全模块，支持带内和带外安全管理。</w:t>
            </w:r>
          </w:p>
          <w:p>
            <w:pPr>
              <w:widowControl/>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支持显示CPU 信息，内存信息（容量，类型，速率）</w:t>
            </w:r>
            <w:r>
              <w:rPr>
                <w:rFonts w:hint="eastAsia" w:ascii="Times New Roman" w:hAnsi="Times New Roman" w:eastAsia="宋体" w:cs="Times New Roman"/>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54"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安全可信</w:t>
            </w:r>
          </w:p>
        </w:tc>
        <w:tc>
          <w:tcPr>
            <w:tcW w:w="4345"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支持TPM、TCM安全可信模块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654" w:type="pct"/>
            <w:shd w:val="clear" w:color="auto" w:fill="auto"/>
            <w:vAlign w:val="center"/>
          </w:tcPr>
          <w:p>
            <w:pPr>
              <w:widowControl/>
              <w:rPr>
                <w:rFonts w:ascii="Times New Roman" w:hAnsi="Times New Roman" w:eastAsia="宋体" w:cs="Times New Roman"/>
                <w:color w:val="000000"/>
                <w:kern w:val="0"/>
                <w:szCs w:val="21"/>
                <w:highlight w:val="none"/>
              </w:rPr>
            </w:pPr>
            <w:r>
              <w:rPr>
                <w:rFonts w:ascii="Times New Roman" w:hAnsi="Times New Roman" w:eastAsia="宋体" w:cs="Times New Roman"/>
                <w:color w:val="000000"/>
                <w:kern w:val="0"/>
                <w:szCs w:val="21"/>
                <w:highlight w:val="none"/>
              </w:rPr>
              <w:t>稳定性</w:t>
            </w:r>
          </w:p>
        </w:tc>
        <w:tc>
          <w:tcPr>
            <w:tcW w:w="4345" w:type="pct"/>
            <w:shd w:val="clear" w:color="auto" w:fill="auto"/>
            <w:vAlign w:val="center"/>
          </w:tcPr>
          <w:p>
            <w:pPr>
              <w:widowControl/>
              <w:rPr>
                <w:rFonts w:ascii="Times New Roman" w:hAnsi="Times New Roman" w:eastAsia="宋体" w:cs="Times New Roman"/>
                <w:color w:val="000000"/>
                <w:kern w:val="0"/>
                <w:szCs w:val="21"/>
                <w:highlight w:val="none"/>
              </w:rPr>
            </w:pPr>
            <w:r>
              <w:rPr>
                <w:rFonts w:ascii="Times New Roman" w:hAnsi="Times New Roman" w:eastAsia="宋体" w:cs="Times New Roman"/>
                <w:color w:val="000000"/>
                <w:kern w:val="0"/>
                <w:szCs w:val="21"/>
                <w:highlight w:val="none"/>
              </w:rPr>
              <w:t>MTBF 不低于20万小时，</w:t>
            </w:r>
            <w:r>
              <w:rPr>
                <w:rFonts w:ascii="Times New Roman" w:hAnsi="Times New Roman" w:eastAsia="宋体" w:cs="Times New Roman"/>
                <w:b/>
                <w:bCs/>
                <w:color w:val="000000"/>
                <w:kern w:val="0"/>
                <w:szCs w:val="21"/>
                <w:highlight w:val="none"/>
              </w:rPr>
              <w:t>提供CNAS或CMA的第三方测试机构的证明材料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54"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服务</w:t>
            </w:r>
          </w:p>
        </w:tc>
        <w:tc>
          <w:tcPr>
            <w:tcW w:w="4345"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三年免费整机硬件保修，</w:t>
            </w:r>
            <w:r>
              <w:rPr>
                <w:rFonts w:ascii="Times New Roman" w:hAnsi="Times New Roman" w:eastAsia="宋体" w:cs="Times New Roman"/>
                <w:kern w:val="0"/>
                <w:szCs w:val="21"/>
              </w:rPr>
              <w:t>供货时提供原厂质保函</w:t>
            </w:r>
          </w:p>
        </w:tc>
      </w:tr>
    </w:tbl>
    <w:p>
      <w:pPr>
        <w:bidi w:val="0"/>
        <w:rPr>
          <w:rFonts w:hint="default"/>
          <w:lang w:val="en-US" w:eastAsia="zh-CN"/>
        </w:rPr>
      </w:pPr>
    </w:p>
    <w:p>
      <w:pPr>
        <w:pStyle w:val="4"/>
        <w:bidi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11.数据库容灾软件：</w:t>
      </w:r>
    </w:p>
    <w:tbl>
      <w:tblPr>
        <w:tblStyle w:val="63"/>
        <w:tblW w:w="4999" w:type="pct"/>
        <w:jc w:val="center"/>
        <w:tblLayout w:type="autofit"/>
        <w:tblCellMar>
          <w:top w:w="0" w:type="dxa"/>
          <w:left w:w="108" w:type="dxa"/>
          <w:bottom w:w="0" w:type="dxa"/>
          <w:right w:w="108" w:type="dxa"/>
        </w:tblCellMar>
      </w:tblPr>
      <w:tblGrid>
        <w:gridCol w:w="1343"/>
        <w:gridCol w:w="7944"/>
      </w:tblGrid>
      <w:tr>
        <w:tblPrEx>
          <w:tblCellMar>
            <w:top w:w="0" w:type="dxa"/>
            <w:left w:w="108" w:type="dxa"/>
            <w:bottom w:w="0" w:type="dxa"/>
            <w:right w:w="108" w:type="dxa"/>
          </w:tblCellMar>
        </w:tblPrEx>
        <w:trPr>
          <w:tblHeader/>
          <w:jc w:val="center"/>
        </w:trPr>
        <w:tc>
          <w:tcPr>
            <w:tcW w:w="723" w:type="pct"/>
            <w:tcBorders>
              <w:top w:val="single" w:color="auto" w:sz="4" w:space="0"/>
              <w:left w:val="single" w:color="auto" w:sz="4" w:space="0"/>
              <w:bottom w:val="single" w:color="auto" w:sz="8" w:space="0"/>
              <w:right w:val="single" w:color="auto" w:sz="8" w:space="0"/>
            </w:tcBorders>
            <w:vAlign w:val="center"/>
          </w:tcPr>
          <w:p>
            <w:pPr>
              <w:widowControl/>
              <w:spacing w:line="276" w:lineRule="auto"/>
              <w:jc w:val="center"/>
              <w:rPr>
                <w:rFonts w:ascii="宋体" w:hAnsi="宋体" w:cs="宋体"/>
                <w:b/>
                <w:kern w:val="0"/>
                <w:szCs w:val="21"/>
              </w:rPr>
            </w:pPr>
            <w:r>
              <w:rPr>
                <w:rFonts w:hint="eastAsia" w:ascii="宋体" w:hAnsi="宋体" w:cs="宋体"/>
                <w:b/>
                <w:kern w:val="0"/>
                <w:szCs w:val="21"/>
              </w:rPr>
              <w:t>功能要求</w:t>
            </w:r>
          </w:p>
        </w:tc>
        <w:tc>
          <w:tcPr>
            <w:tcW w:w="4276" w:type="pct"/>
            <w:tcBorders>
              <w:top w:val="single" w:color="auto" w:sz="4" w:space="0"/>
              <w:left w:val="nil"/>
              <w:bottom w:val="single" w:color="auto" w:sz="8" w:space="0"/>
              <w:right w:val="single" w:color="auto" w:sz="4" w:space="0"/>
            </w:tcBorders>
            <w:vAlign w:val="center"/>
          </w:tcPr>
          <w:p>
            <w:pPr>
              <w:widowControl/>
              <w:spacing w:line="276" w:lineRule="auto"/>
              <w:jc w:val="center"/>
              <w:rPr>
                <w:rFonts w:ascii="宋体" w:hAnsi="宋体" w:cs="宋体"/>
                <w:b/>
                <w:bCs/>
                <w:kern w:val="0"/>
                <w:szCs w:val="21"/>
              </w:rPr>
            </w:pPr>
            <w:r>
              <w:rPr>
                <w:rFonts w:hint="eastAsia" w:ascii="宋体" w:hAnsi="宋体" w:cs="宋体"/>
                <w:b/>
                <w:bCs/>
                <w:kern w:val="0"/>
                <w:szCs w:val="21"/>
              </w:rPr>
              <w:t>技术服务规格参数</w:t>
            </w:r>
          </w:p>
        </w:tc>
      </w:tr>
      <w:tr>
        <w:tblPrEx>
          <w:tblCellMar>
            <w:top w:w="0" w:type="dxa"/>
            <w:left w:w="108" w:type="dxa"/>
            <w:bottom w:w="0" w:type="dxa"/>
            <w:right w:w="108" w:type="dxa"/>
          </w:tblCellMar>
        </w:tblPrEx>
        <w:trPr>
          <w:trHeight w:val="90" w:hRule="atLeast"/>
          <w:tblHeader/>
          <w:jc w:val="center"/>
        </w:trPr>
        <w:tc>
          <w:tcPr>
            <w:tcW w:w="723" w:type="pct"/>
            <w:tcBorders>
              <w:top w:val="single" w:color="auto" w:sz="8" w:space="0"/>
              <w:left w:val="single" w:color="auto" w:sz="4" w:space="0"/>
              <w:bottom w:val="single" w:color="auto" w:sz="8" w:space="0"/>
              <w:right w:val="single" w:color="auto" w:sz="8" w:space="0"/>
            </w:tcBorders>
            <w:vAlign w:val="center"/>
          </w:tcPr>
          <w:p>
            <w:pPr>
              <w:topLinePunct/>
              <w:jc w:val="center"/>
              <w:rPr>
                <w:rFonts w:hint="eastAsia" w:ascii="宋体" w:hAnsi="宋体" w:cs="仿宋_GB2312" w:eastAsiaTheme="minorEastAsia"/>
                <w:kern w:val="2"/>
                <w:sz w:val="21"/>
                <w:szCs w:val="21"/>
                <w:lang w:val="en-US" w:eastAsia="zh-CN" w:bidi="ar-SA"/>
              </w:rPr>
            </w:pPr>
            <w:r>
              <w:rPr>
                <w:rFonts w:hint="eastAsia" w:ascii="宋体" w:hAnsi="宋体" w:cs="仿宋_GB2312"/>
                <w:szCs w:val="21"/>
              </w:rPr>
              <w:t>容灾建设要求</w:t>
            </w:r>
          </w:p>
        </w:tc>
        <w:tc>
          <w:tcPr>
            <w:tcW w:w="4276" w:type="pct"/>
            <w:tcBorders>
              <w:top w:val="single" w:color="auto" w:sz="8" w:space="0"/>
              <w:left w:val="nil"/>
              <w:bottom w:val="single" w:color="auto" w:sz="8" w:space="0"/>
              <w:right w:val="single" w:color="auto" w:sz="4" w:space="0"/>
            </w:tcBorders>
            <w:vAlign w:val="center"/>
          </w:tcPr>
          <w:p>
            <w:pPr>
              <w:topLinePunct/>
              <w:rPr>
                <w:rFonts w:hint="eastAsia" w:ascii="宋体" w:hAnsi="宋体" w:eastAsiaTheme="minorEastAsia" w:cstheme="minorBidi"/>
                <w:kern w:val="2"/>
                <w:sz w:val="21"/>
                <w:szCs w:val="21"/>
                <w:lang w:val="en-US" w:eastAsia="zh-CN" w:bidi="ar-SA"/>
              </w:rPr>
            </w:pPr>
            <w:r>
              <w:rPr>
                <w:rFonts w:hint="eastAsia" w:ascii="宋体" w:hAnsi="宋体" w:cs="宋体"/>
                <w:kern w:val="0"/>
                <w:szCs w:val="21"/>
              </w:rPr>
              <w:t>根据用户数据库系统重要程度，建设相应的容灾保护策略；如：针对</w:t>
            </w:r>
            <w:r>
              <w:rPr>
                <w:rFonts w:hint="eastAsia" w:ascii="宋体" w:hAnsi="宋体" w:cs="宋体"/>
                <w:kern w:val="0"/>
                <w:szCs w:val="21"/>
                <w:lang w:val="en-US" w:eastAsia="zh-Hans"/>
              </w:rPr>
              <w:t>重要</w:t>
            </w:r>
            <w:r>
              <w:rPr>
                <w:rFonts w:hint="eastAsia" w:ascii="宋体" w:hAnsi="宋体" w:cs="宋体"/>
                <w:kern w:val="0"/>
                <w:szCs w:val="21"/>
              </w:rPr>
              <w:t>数据库，容灾要求R</w:t>
            </w:r>
            <w:r>
              <w:rPr>
                <w:rFonts w:ascii="宋体" w:hAnsi="宋体" w:cs="宋体"/>
                <w:kern w:val="0"/>
                <w:szCs w:val="21"/>
              </w:rPr>
              <w:t>TO</w:t>
            </w:r>
            <w:r>
              <w:rPr>
                <w:rFonts w:hint="eastAsia" w:ascii="宋体" w:hAnsi="宋体" w:cs="宋体"/>
                <w:kern w:val="0"/>
                <w:szCs w:val="21"/>
              </w:rPr>
              <w:t>（业务恢复时间）≤</w:t>
            </w:r>
            <w:r>
              <w:rPr>
                <w:rFonts w:ascii="宋体" w:hAnsi="宋体" w:cs="宋体"/>
                <w:kern w:val="0"/>
                <w:szCs w:val="21"/>
              </w:rPr>
              <w:t>30</w:t>
            </w:r>
            <w:r>
              <w:rPr>
                <w:rFonts w:hint="eastAsia" w:ascii="宋体" w:hAnsi="宋体" w:cs="宋体"/>
                <w:kern w:val="0"/>
                <w:szCs w:val="21"/>
              </w:rPr>
              <w:t>分钟、容灾</w:t>
            </w:r>
            <w:r>
              <w:rPr>
                <w:rFonts w:ascii="宋体" w:hAnsi="宋体" w:cs="宋体"/>
                <w:kern w:val="0"/>
                <w:szCs w:val="21"/>
              </w:rPr>
              <w:t>RPO</w:t>
            </w:r>
            <w:r>
              <w:rPr>
                <w:rFonts w:hint="eastAsia" w:ascii="宋体" w:hAnsi="宋体" w:cs="宋体"/>
                <w:kern w:val="0"/>
                <w:szCs w:val="21"/>
              </w:rPr>
              <w:t>（数据丢失量）≤</w:t>
            </w:r>
            <w:r>
              <w:rPr>
                <w:rFonts w:hint="default" w:ascii="宋体" w:hAnsi="宋体" w:cs="宋体"/>
                <w:kern w:val="0"/>
                <w:szCs w:val="21"/>
              </w:rPr>
              <w:t>5</w:t>
            </w:r>
            <w:r>
              <w:rPr>
                <w:rFonts w:hint="eastAsia" w:ascii="宋体" w:hAnsi="宋体" w:cs="宋体"/>
                <w:kern w:val="0"/>
                <w:szCs w:val="21"/>
              </w:rPr>
              <w:t>分钟，一般业务系统</w:t>
            </w:r>
            <w:r>
              <w:rPr>
                <w:rFonts w:hint="eastAsia" w:ascii="宋体" w:hAnsi="宋体" w:cs="宋体"/>
                <w:kern w:val="0"/>
                <w:szCs w:val="21"/>
                <w:lang w:val="en-US" w:eastAsia="zh-Hans"/>
              </w:rPr>
              <w:t>每天定时备份</w:t>
            </w:r>
            <w:r>
              <w:rPr>
                <w:rFonts w:hint="eastAsia" w:ascii="宋体" w:hAnsi="宋体" w:cs="宋体"/>
                <w:kern w:val="0"/>
                <w:szCs w:val="21"/>
              </w:rPr>
              <w:t>；确保计划内和非计划内的数据库容灾切换及回切的有效性建设成果。</w:t>
            </w:r>
          </w:p>
        </w:tc>
      </w:tr>
      <w:tr>
        <w:tblPrEx>
          <w:tblCellMar>
            <w:top w:w="0" w:type="dxa"/>
            <w:left w:w="108" w:type="dxa"/>
            <w:bottom w:w="0" w:type="dxa"/>
            <w:right w:w="108" w:type="dxa"/>
          </w:tblCellMar>
        </w:tblPrEx>
        <w:trPr>
          <w:trHeight w:val="1360" w:hRule="atLeast"/>
          <w:tblHeader/>
          <w:jc w:val="center"/>
        </w:trPr>
        <w:tc>
          <w:tcPr>
            <w:tcW w:w="723" w:type="pct"/>
            <w:tcBorders>
              <w:left w:val="single" w:color="auto" w:sz="4" w:space="0"/>
              <w:right w:val="single" w:color="auto" w:sz="8" w:space="0"/>
            </w:tcBorders>
            <w:vAlign w:val="center"/>
          </w:tcPr>
          <w:p/>
        </w:tc>
        <w:tc>
          <w:tcPr>
            <w:tcW w:w="4276" w:type="pct"/>
            <w:tcBorders>
              <w:top w:val="single" w:color="auto" w:sz="8" w:space="0"/>
              <w:left w:val="nil"/>
              <w:bottom w:val="single" w:color="auto" w:sz="8" w:space="0"/>
              <w:right w:val="single" w:color="auto" w:sz="4" w:space="0"/>
            </w:tcBorders>
          </w:tcPr>
          <w:p>
            <w:pPr>
              <w:rPr>
                <w:rFonts w:hint="eastAsia" w:ascii="宋体" w:hAnsi="宋体"/>
                <w:szCs w:val="21"/>
              </w:rPr>
            </w:pPr>
            <w:r>
              <w:rPr>
                <w:rFonts w:hint="eastAsia" w:ascii="宋体" w:hAnsi="宋体"/>
                <w:szCs w:val="21"/>
                <w:lang w:val="en-US" w:eastAsia="zh-Hans"/>
              </w:rPr>
              <w:t>重要数据库的容灾要求</w:t>
            </w:r>
            <w:r>
              <w:rPr>
                <w:rFonts w:hint="default" w:ascii="宋体" w:hAnsi="宋体"/>
                <w:szCs w:val="21"/>
                <w:lang w:eastAsia="zh-Hans"/>
              </w:rPr>
              <w:t>，</w:t>
            </w:r>
            <w:r>
              <w:rPr>
                <w:rFonts w:hint="eastAsia" w:ascii="宋体" w:hAnsi="宋体"/>
                <w:szCs w:val="21"/>
              </w:rPr>
              <w:t>要求数据库同步容灾软件实现主备中心之间的数据实时复制，一是应用于应用级容灾备份，当生产系统发生故障或灾难时，可以及时启用备用系统，减少业务系统下线时间；二是应用于数据分析、抽取、转换。并要求备用中心数据库始终处于</w:t>
            </w:r>
            <w:r>
              <w:rPr>
                <w:rFonts w:hint="eastAsia" w:ascii="宋体" w:hAnsi="宋体"/>
                <w:szCs w:val="21"/>
                <w:lang w:val="en-US" w:eastAsia="zh-Hans"/>
              </w:rPr>
              <w:t>开启</w:t>
            </w:r>
            <w:r>
              <w:rPr>
                <w:rFonts w:hint="eastAsia" w:ascii="宋体" w:hAnsi="宋体"/>
                <w:szCs w:val="21"/>
              </w:rPr>
              <w:t>状态，用于提供数据查询和统计报表功能</w:t>
            </w:r>
            <w:r>
              <w:rPr>
                <w:rFonts w:hint="eastAsia" w:ascii="宋体" w:hAnsi="宋体"/>
                <w:szCs w:val="21"/>
                <w:lang w:val="en-US" w:eastAsia="zh-Hans"/>
              </w:rPr>
              <w:t>或者作为测试数据库</w:t>
            </w:r>
            <w:r>
              <w:rPr>
                <w:rFonts w:hint="eastAsia" w:ascii="宋体" w:hAnsi="宋体"/>
                <w:szCs w:val="21"/>
              </w:rPr>
              <w:t>。</w:t>
            </w:r>
          </w:p>
        </w:tc>
      </w:tr>
      <w:tr>
        <w:tblPrEx>
          <w:tblCellMar>
            <w:top w:w="0" w:type="dxa"/>
            <w:left w:w="108" w:type="dxa"/>
            <w:bottom w:w="0" w:type="dxa"/>
            <w:right w:w="108" w:type="dxa"/>
          </w:tblCellMar>
        </w:tblPrEx>
        <w:trPr>
          <w:tblHeader/>
          <w:jc w:val="center"/>
        </w:trPr>
        <w:tc>
          <w:tcPr>
            <w:tcW w:w="723" w:type="pct"/>
            <w:tcBorders>
              <w:top w:val="single" w:color="auto" w:sz="8" w:space="0"/>
              <w:left w:val="single" w:color="auto" w:sz="4" w:space="0"/>
              <w:bottom w:val="single" w:color="auto" w:sz="8" w:space="0"/>
              <w:right w:val="single" w:color="auto" w:sz="8" w:space="0"/>
            </w:tcBorders>
            <w:vAlign w:val="center"/>
          </w:tcPr>
          <w:p>
            <w:pPr>
              <w:widowControl/>
              <w:spacing w:line="240" w:lineRule="atLeast"/>
              <w:jc w:val="center"/>
              <w:rPr>
                <w:rFonts w:ascii="宋体" w:hAnsi="宋体"/>
                <w:szCs w:val="21"/>
              </w:rPr>
            </w:pPr>
            <w:r>
              <w:rPr>
                <w:rFonts w:hint="eastAsia" w:ascii="宋体" w:hAnsi="宋体"/>
                <w:szCs w:val="21"/>
              </w:rPr>
              <w:t>基本功能要求</w:t>
            </w:r>
          </w:p>
        </w:tc>
        <w:tc>
          <w:tcPr>
            <w:tcW w:w="4276" w:type="pct"/>
            <w:tcBorders>
              <w:top w:val="single" w:color="auto" w:sz="8" w:space="0"/>
              <w:left w:val="nil"/>
              <w:bottom w:val="single" w:color="auto" w:sz="8" w:space="0"/>
              <w:right w:val="single" w:color="auto" w:sz="4" w:space="0"/>
            </w:tcBorders>
          </w:tcPr>
          <w:p>
            <w:pPr>
              <w:rPr>
                <w:rFonts w:ascii="宋体" w:hAnsi="宋体"/>
                <w:szCs w:val="21"/>
              </w:rPr>
            </w:pPr>
            <w:r>
              <w:rPr>
                <w:rFonts w:hint="eastAsia" w:ascii="宋体" w:hAnsi="宋体"/>
                <w:szCs w:val="21"/>
              </w:rPr>
              <w:t>1、支持对文件数据的同步，包括应用程序、文件等；</w:t>
            </w:r>
          </w:p>
          <w:p>
            <w:pPr>
              <w:rPr>
                <w:rFonts w:hint="default" w:ascii="宋体" w:hAnsi="宋体"/>
                <w:szCs w:val="21"/>
              </w:rPr>
            </w:pPr>
            <w:r>
              <w:rPr>
                <w:rFonts w:hint="eastAsia" w:ascii="宋体" w:hAnsi="宋体"/>
                <w:szCs w:val="21"/>
              </w:rPr>
              <w:t>2、支持Oracle、mysql、SQLServer、达梦、人大金仓等数据库的交易复制，且备用数据库始终处于</w:t>
            </w:r>
            <w:r>
              <w:rPr>
                <w:rFonts w:hint="eastAsia" w:ascii="宋体" w:hAnsi="宋体"/>
                <w:szCs w:val="21"/>
                <w:lang w:val="en-US" w:eastAsia="zh-Hans"/>
              </w:rPr>
              <w:t>只读</w:t>
            </w:r>
            <w:r>
              <w:rPr>
                <w:rFonts w:hint="eastAsia" w:ascii="宋体" w:hAnsi="宋体"/>
                <w:szCs w:val="21"/>
              </w:rPr>
              <w:t>状态</w:t>
            </w:r>
            <w:r>
              <w:rPr>
                <w:rFonts w:hint="default" w:ascii="宋体" w:hAnsi="宋体"/>
                <w:szCs w:val="21"/>
              </w:rPr>
              <w:t>。</w:t>
            </w:r>
          </w:p>
        </w:tc>
      </w:tr>
      <w:tr>
        <w:tblPrEx>
          <w:tblCellMar>
            <w:top w:w="0" w:type="dxa"/>
            <w:left w:w="108" w:type="dxa"/>
            <w:bottom w:w="0" w:type="dxa"/>
            <w:right w:w="108" w:type="dxa"/>
          </w:tblCellMar>
        </w:tblPrEx>
        <w:trPr>
          <w:trHeight w:val="442" w:hRule="atLeast"/>
          <w:tblHeader/>
          <w:jc w:val="center"/>
        </w:trPr>
        <w:tc>
          <w:tcPr>
            <w:tcW w:w="723" w:type="pct"/>
            <w:tcBorders>
              <w:top w:val="single" w:color="auto" w:sz="8" w:space="0"/>
              <w:left w:val="single" w:color="auto" w:sz="4" w:space="0"/>
              <w:bottom w:val="nil"/>
              <w:right w:val="single" w:color="auto" w:sz="8" w:space="0"/>
            </w:tcBorders>
            <w:vAlign w:val="center"/>
          </w:tcPr>
          <w:p>
            <w:pPr>
              <w:widowControl/>
              <w:spacing w:line="240" w:lineRule="atLeast"/>
              <w:jc w:val="center"/>
              <w:rPr>
                <w:rFonts w:ascii="宋体" w:hAnsi="宋体"/>
                <w:szCs w:val="21"/>
              </w:rPr>
            </w:pPr>
            <w:r>
              <w:rPr>
                <w:rFonts w:hint="eastAsia" w:ascii="宋体" w:hAnsi="宋体"/>
                <w:szCs w:val="21"/>
              </w:rPr>
              <w:t>研发要求</w:t>
            </w:r>
          </w:p>
        </w:tc>
        <w:tc>
          <w:tcPr>
            <w:tcW w:w="4276" w:type="pct"/>
            <w:tcBorders>
              <w:top w:val="single" w:color="auto" w:sz="8" w:space="0"/>
              <w:left w:val="nil"/>
              <w:bottom w:val="nil"/>
              <w:right w:val="single" w:color="auto" w:sz="4" w:space="0"/>
            </w:tcBorders>
          </w:tcPr>
          <w:p>
            <w:pPr>
              <w:rPr>
                <w:rFonts w:ascii="宋体" w:hAnsi="宋体"/>
                <w:szCs w:val="21"/>
              </w:rPr>
            </w:pPr>
            <w:r>
              <w:rPr>
                <w:rFonts w:hint="eastAsia" w:ascii="宋体" w:hAnsi="宋体"/>
                <w:szCs w:val="21"/>
              </w:rPr>
              <w:t>通过独立开发实现数据库日志分析、交易排序、数据格式化、传输压缩、高速装载等数据同步全部过程。</w:t>
            </w:r>
          </w:p>
        </w:tc>
      </w:tr>
      <w:tr>
        <w:tblPrEx>
          <w:tblCellMar>
            <w:top w:w="0" w:type="dxa"/>
            <w:left w:w="108" w:type="dxa"/>
            <w:bottom w:w="0" w:type="dxa"/>
            <w:right w:w="108" w:type="dxa"/>
          </w:tblCellMar>
        </w:tblPrEx>
        <w:trPr>
          <w:tblHeader/>
          <w:jc w:val="center"/>
        </w:trPr>
        <w:tc>
          <w:tcPr>
            <w:tcW w:w="723" w:type="pct"/>
            <w:vMerge w:val="restart"/>
            <w:tcBorders>
              <w:top w:val="single" w:color="auto" w:sz="8" w:space="0"/>
              <w:left w:val="single" w:color="auto" w:sz="4" w:space="0"/>
              <w:right w:val="single" w:color="auto" w:sz="8" w:space="0"/>
            </w:tcBorders>
            <w:vAlign w:val="center"/>
          </w:tcPr>
          <w:p>
            <w:pPr>
              <w:widowControl/>
              <w:spacing w:line="240" w:lineRule="atLeast"/>
              <w:jc w:val="center"/>
              <w:rPr>
                <w:rFonts w:hint="eastAsia" w:ascii="宋体" w:hAnsi="宋体"/>
                <w:szCs w:val="21"/>
              </w:rPr>
            </w:pPr>
            <w:r>
              <w:rPr>
                <w:rFonts w:hint="eastAsia" w:ascii="宋体" w:hAnsi="宋体"/>
                <w:szCs w:val="21"/>
                <w:lang w:eastAsia="zh-Hans"/>
              </w:rPr>
              <w:t>操作系统</w:t>
            </w:r>
            <w:r>
              <w:rPr>
                <w:rFonts w:hint="eastAsia" w:ascii="宋体" w:hAnsi="宋体"/>
                <w:szCs w:val="21"/>
                <w:lang w:val="en-US" w:eastAsia="zh-Hans"/>
              </w:rPr>
              <w:t>兼容性</w:t>
            </w:r>
            <w:r>
              <w:rPr>
                <w:rFonts w:hint="eastAsia" w:ascii="宋体" w:hAnsi="宋体"/>
                <w:szCs w:val="21"/>
                <w:lang w:eastAsia="zh-Hans"/>
              </w:rPr>
              <w:t>支持</w:t>
            </w:r>
          </w:p>
        </w:tc>
        <w:tc>
          <w:tcPr>
            <w:tcW w:w="4276" w:type="pct"/>
            <w:tcBorders>
              <w:top w:val="single" w:color="auto" w:sz="8" w:space="0"/>
              <w:left w:val="nil"/>
              <w:bottom w:val="single" w:color="auto" w:sz="8" w:space="0"/>
              <w:right w:val="single" w:color="auto" w:sz="4" w:space="0"/>
            </w:tcBorders>
            <w:vAlign w:val="top"/>
          </w:tcPr>
          <w:p>
            <w:pPr>
              <w:widowControl/>
              <w:spacing w:line="240" w:lineRule="atLeast"/>
              <w:jc w:val="left"/>
              <w:rPr>
                <w:rFonts w:hint="eastAsia" w:ascii="宋体" w:hAnsi="宋体"/>
                <w:szCs w:val="21"/>
              </w:rPr>
            </w:pPr>
            <w:r>
              <w:rPr>
                <w:rFonts w:hint="eastAsia" w:ascii="宋体" w:hAnsi="宋体"/>
                <w:szCs w:val="21"/>
              </w:rPr>
              <w:t>支持主流国产操作系统中标麒麟/银河麒麟，Linux主流品牌和版本（Redhat linux/CentOS</w:t>
            </w:r>
            <w:r>
              <w:rPr>
                <w:rFonts w:hint="default" w:ascii="宋体" w:hAnsi="宋体"/>
                <w:szCs w:val="21"/>
              </w:rPr>
              <w:t xml:space="preserve">/ </w:t>
            </w:r>
            <w:r>
              <w:rPr>
                <w:rFonts w:hint="eastAsia" w:ascii="宋体" w:hAnsi="宋体"/>
                <w:szCs w:val="21"/>
              </w:rPr>
              <w:t>）/Windows</w:t>
            </w:r>
            <w:r>
              <w:rPr>
                <w:rFonts w:hint="eastAsia" w:ascii="宋体" w:hAnsi="宋体"/>
                <w:szCs w:val="21"/>
                <w:lang w:eastAsia="zh-Hans"/>
              </w:rPr>
              <w:t>/</w:t>
            </w:r>
            <w:r>
              <w:rPr>
                <w:rFonts w:hint="eastAsia" w:ascii="宋体" w:hAnsi="宋体"/>
                <w:szCs w:val="21"/>
                <w:lang w:val="en-US" w:eastAsia="zh-Hans"/>
              </w:rPr>
              <w:t>统信</w:t>
            </w:r>
            <w:r>
              <w:rPr>
                <w:rFonts w:hint="default" w:ascii="宋体" w:hAnsi="宋体"/>
                <w:szCs w:val="21"/>
                <w:lang w:eastAsia="zh-Hans"/>
              </w:rPr>
              <w:t>；</w:t>
            </w:r>
          </w:p>
        </w:tc>
      </w:tr>
      <w:tr>
        <w:tblPrEx>
          <w:tblCellMar>
            <w:top w:w="0" w:type="dxa"/>
            <w:left w:w="108" w:type="dxa"/>
            <w:bottom w:w="0" w:type="dxa"/>
            <w:right w:w="108" w:type="dxa"/>
          </w:tblCellMar>
        </w:tblPrEx>
        <w:trPr>
          <w:tblHeader/>
          <w:jc w:val="center"/>
        </w:trPr>
        <w:tc>
          <w:tcPr>
            <w:tcW w:w="723" w:type="pct"/>
            <w:vMerge w:val="continue"/>
            <w:tcBorders>
              <w:left w:val="single" w:color="auto" w:sz="4" w:space="0"/>
              <w:bottom w:val="single" w:color="auto" w:sz="8" w:space="0"/>
              <w:right w:val="single" w:color="auto" w:sz="8" w:space="0"/>
            </w:tcBorders>
            <w:vAlign w:val="center"/>
          </w:tcPr>
          <w:p>
            <w:pPr>
              <w:widowControl/>
              <w:spacing w:line="240" w:lineRule="atLeast"/>
              <w:jc w:val="center"/>
              <w:rPr>
                <w:rFonts w:hint="eastAsia" w:ascii="宋体" w:hAnsi="宋体"/>
                <w:szCs w:val="21"/>
              </w:rPr>
            </w:pPr>
          </w:p>
        </w:tc>
        <w:tc>
          <w:tcPr>
            <w:tcW w:w="4276" w:type="pct"/>
            <w:tcBorders>
              <w:top w:val="single" w:color="auto" w:sz="8" w:space="0"/>
              <w:left w:val="nil"/>
              <w:bottom w:val="single" w:color="auto" w:sz="8" w:space="0"/>
              <w:right w:val="single" w:color="auto" w:sz="4" w:space="0"/>
            </w:tcBorders>
            <w:vAlign w:val="top"/>
          </w:tcPr>
          <w:p>
            <w:pPr>
              <w:widowControl/>
              <w:spacing w:line="240" w:lineRule="atLeast"/>
              <w:jc w:val="left"/>
              <w:rPr>
                <w:rFonts w:hint="eastAsia" w:ascii="宋体" w:hAnsi="宋体"/>
                <w:szCs w:val="21"/>
              </w:rPr>
            </w:pPr>
            <w:r>
              <w:rPr>
                <w:rFonts w:hint="eastAsia" w:ascii="宋体" w:hAnsi="宋体"/>
                <w:szCs w:val="21"/>
                <w:lang w:eastAsia="zh-Hans"/>
              </w:rPr>
              <w:t>HP-UNIX 11.23 v2 for PA/HP-UNIX 11.23 v2 for IA/Sun Solaris 9,10/IBM AIX 5</w:t>
            </w:r>
            <w:r>
              <w:rPr>
                <w:rFonts w:hint="eastAsia" w:ascii="宋体" w:hAnsi="宋体"/>
                <w:szCs w:val="21"/>
              </w:rPr>
              <w:t>/AS400</w:t>
            </w:r>
            <w:r>
              <w:rPr>
                <w:rFonts w:hint="eastAsia" w:ascii="宋体" w:hAnsi="宋体"/>
                <w:szCs w:val="21"/>
                <w:lang w:eastAsia="zh-Hans"/>
              </w:rPr>
              <w:t>以上版本</w:t>
            </w:r>
          </w:p>
        </w:tc>
      </w:tr>
      <w:tr>
        <w:tblPrEx>
          <w:tblCellMar>
            <w:top w:w="0" w:type="dxa"/>
            <w:left w:w="108" w:type="dxa"/>
            <w:bottom w:w="0" w:type="dxa"/>
            <w:right w:w="108" w:type="dxa"/>
          </w:tblCellMar>
        </w:tblPrEx>
        <w:trPr>
          <w:tblHeader/>
          <w:jc w:val="center"/>
        </w:trPr>
        <w:tc>
          <w:tcPr>
            <w:tcW w:w="723" w:type="pct"/>
            <w:vMerge w:val="restart"/>
            <w:tcBorders>
              <w:top w:val="single" w:color="auto" w:sz="8" w:space="0"/>
              <w:left w:val="single" w:color="auto" w:sz="4" w:space="0"/>
              <w:right w:val="single" w:color="auto" w:sz="8" w:space="0"/>
            </w:tcBorders>
            <w:vAlign w:val="center"/>
          </w:tcPr>
          <w:p>
            <w:pPr>
              <w:widowControl/>
              <w:spacing w:line="240" w:lineRule="atLeast"/>
              <w:jc w:val="center"/>
              <w:rPr>
                <w:rFonts w:hint="eastAsia" w:ascii="宋体" w:hAnsi="宋体"/>
                <w:szCs w:val="21"/>
              </w:rPr>
            </w:pPr>
            <w:r>
              <w:rPr>
                <w:rFonts w:hint="eastAsia" w:ascii="宋体" w:hAnsi="宋体"/>
                <w:szCs w:val="21"/>
                <w:lang w:val="en-US" w:eastAsia="zh-Hans"/>
              </w:rPr>
              <w:t>数据库兼容性</w:t>
            </w:r>
            <w:r>
              <w:rPr>
                <w:rFonts w:hint="eastAsia" w:ascii="宋体" w:hAnsi="宋体"/>
                <w:szCs w:val="21"/>
                <w:lang w:eastAsia="zh-Hans"/>
              </w:rPr>
              <w:t>支持</w:t>
            </w:r>
          </w:p>
        </w:tc>
        <w:tc>
          <w:tcPr>
            <w:tcW w:w="4276" w:type="pct"/>
            <w:tcBorders>
              <w:top w:val="single" w:color="auto" w:sz="8" w:space="0"/>
              <w:left w:val="nil"/>
              <w:bottom w:val="single" w:color="auto" w:sz="8" w:space="0"/>
              <w:right w:val="single" w:color="auto" w:sz="4" w:space="0"/>
            </w:tcBorders>
            <w:vAlign w:val="top"/>
          </w:tcPr>
          <w:p>
            <w:pPr>
              <w:widowControl/>
              <w:spacing w:line="240" w:lineRule="atLeast"/>
              <w:jc w:val="center"/>
              <w:rPr>
                <w:rFonts w:hint="eastAsia" w:ascii="宋体" w:hAnsi="宋体"/>
                <w:szCs w:val="21"/>
              </w:rPr>
            </w:pPr>
            <w:r>
              <w:rPr>
                <w:rFonts w:hint="eastAsia" w:ascii="宋体" w:hAnsi="宋体"/>
                <w:szCs w:val="21"/>
                <w:lang w:val="en-US" w:eastAsia="zh-Hans"/>
              </w:rPr>
              <w:t>支持</w:t>
            </w:r>
            <w:r>
              <w:rPr>
                <w:rFonts w:hint="eastAsia" w:ascii="宋体" w:hAnsi="宋体"/>
                <w:szCs w:val="21"/>
              </w:rPr>
              <w:t>Oracle、mysql、SQLServer、达梦、人大金仓数据库</w:t>
            </w:r>
            <w:r>
              <w:rPr>
                <w:rFonts w:hint="eastAsia" w:ascii="宋体" w:hAnsi="宋体"/>
                <w:szCs w:val="21"/>
                <w:lang w:val="en-US" w:eastAsia="zh-Hans"/>
              </w:rPr>
              <w:t>的实时同步容灾</w:t>
            </w:r>
            <w:r>
              <w:rPr>
                <w:rFonts w:hint="default" w:ascii="宋体" w:hAnsi="宋体"/>
                <w:szCs w:val="21"/>
                <w:lang w:eastAsia="zh-Hans"/>
              </w:rPr>
              <w:t>。</w:t>
            </w:r>
          </w:p>
        </w:tc>
      </w:tr>
      <w:tr>
        <w:tblPrEx>
          <w:tblCellMar>
            <w:top w:w="0" w:type="dxa"/>
            <w:left w:w="108" w:type="dxa"/>
            <w:bottom w:w="0" w:type="dxa"/>
            <w:right w:w="108" w:type="dxa"/>
          </w:tblCellMar>
        </w:tblPrEx>
        <w:trPr>
          <w:tblHeader/>
          <w:jc w:val="center"/>
        </w:trPr>
        <w:tc>
          <w:tcPr>
            <w:tcW w:w="723" w:type="pct"/>
            <w:vMerge w:val="continue"/>
            <w:tcBorders>
              <w:left w:val="single" w:color="auto" w:sz="4" w:space="0"/>
              <w:bottom w:val="single" w:color="auto" w:sz="8" w:space="0"/>
              <w:right w:val="single" w:color="auto" w:sz="8" w:space="0"/>
            </w:tcBorders>
            <w:vAlign w:val="center"/>
          </w:tcPr>
          <w:p>
            <w:pPr>
              <w:widowControl/>
              <w:spacing w:line="240" w:lineRule="atLeast"/>
              <w:jc w:val="center"/>
              <w:rPr>
                <w:rFonts w:hint="eastAsia" w:ascii="宋体" w:hAnsi="宋体"/>
                <w:szCs w:val="21"/>
              </w:rPr>
            </w:pPr>
          </w:p>
        </w:tc>
        <w:tc>
          <w:tcPr>
            <w:tcW w:w="4276" w:type="pct"/>
            <w:tcBorders>
              <w:top w:val="single" w:color="auto" w:sz="8" w:space="0"/>
              <w:left w:val="nil"/>
              <w:bottom w:val="single" w:color="auto" w:sz="8" w:space="0"/>
              <w:right w:val="single" w:color="auto" w:sz="4" w:space="0"/>
            </w:tcBorders>
            <w:vAlign w:val="top"/>
          </w:tcPr>
          <w:p>
            <w:pPr>
              <w:rPr>
                <w:rFonts w:hint="eastAsia" w:ascii="宋体" w:hAnsi="宋体" w:eastAsia="宋体"/>
                <w:szCs w:val="21"/>
                <w:lang w:eastAsia="zh-CN"/>
              </w:rPr>
            </w:pPr>
            <w:r>
              <w:rPr>
                <w:rFonts w:hint="eastAsia"/>
              </w:rPr>
              <w:t>与</w:t>
            </w:r>
            <w:r>
              <w:rPr>
                <w:rFonts w:hint="eastAsia" w:ascii="宋体" w:hAnsi="宋体" w:cs="仿宋_GB2312"/>
                <w:szCs w:val="21"/>
              </w:rPr>
              <w:t>antdb、tidb、万里开源、OceanBase、GaussDB</w:t>
            </w:r>
            <w:r>
              <w:rPr>
                <w:rFonts w:hint="default" w:ascii="宋体" w:hAnsi="宋体" w:cs="仿宋_GB2312"/>
                <w:szCs w:val="21"/>
              </w:rPr>
              <w:t>，</w:t>
            </w:r>
            <w:r>
              <w:rPr>
                <w:rFonts w:hint="eastAsia" w:ascii="宋体" w:hAnsi="宋体" w:cs="仿宋_GB2312"/>
                <w:szCs w:val="21"/>
                <w:lang w:val="en-US" w:eastAsia="zh-Hans"/>
              </w:rPr>
              <w:t>tdsql</w:t>
            </w:r>
            <w:r>
              <w:rPr>
                <w:rFonts w:hint="eastAsia"/>
              </w:rPr>
              <w:t>数据库系统兼容</w:t>
            </w:r>
            <w:r>
              <w:rPr>
                <w:rFonts w:hint="eastAsia"/>
                <w:lang w:eastAsia="zh-CN"/>
              </w:rPr>
              <w:t>。</w:t>
            </w:r>
          </w:p>
        </w:tc>
      </w:tr>
      <w:tr>
        <w:tblPrEx>
          <w:tblCellMar>
            <w:top w:w="0" w:type="dxa"/>
            <w:left w:w="108" w:type="dxa"/>
            <w:bottom w:w="0" w:type="dxa"/>
            <w:right w:w="108" w:type="dxa"/>
          </w:tblCellMar>
        </w:tblPrEx>
        <w:trPr>
          <w:tblHeader/>
          <w:jc w:val="center"/>
        </w:trPr>
        <w:tc>
          <w:tcPr>
            <w:tcW w:w="723" w:type="pct"/>
            <w:tcBorders>
              <w:top w:val="single" w:color="auto" w:sz="8" w:space="0"/>
              <w:left w:val="single" w:color="auto" w:sz="4" w:space="0"/>
              <w:bottom w:val="single" w:color="auto" w:sz="8" w:space="0"/>
              <w:right w:val="single" w:color="auto" w:sz="8" w:space="0"/>
            </w:tcBorders>
            <w:vAlign w:val="center"/>
          </w:tcPr>
          <w:p>
            <w:pPr>
              <w:widowControl/>
              <w:spacing w:line="240" w:lineRule="atLeast"/>
              <w:jc w:val="center"/>
              <w:rPr>
                <w:rFonts w:ascii="宋体" w:hAnsi="宋体"/>
                <w:szCs w:val="21"/>
              </w:rPr>
            </w:pPr>
            <w:r>
              <w:rPr>
                <w:rFonts w:hint="eastAsia" w:ascii="宋体" w:hAnsi="宋体"/>
                <w:szCs w:val="21"/>
              </w:rPr>
              <w:t>一体化同步要求</w:t>
            </w:r>
          </w:p>
        </w:tc>
        <w:tc>
          <w:tcPr>
            <w:tcW w:w="4276" w:type="pct"/>
            <w:tcBorders>
              <w:top w:val="single" w:color="auto" w:sz="8" w:space="0"/>
              <w:left w:val="nil"/>
              <w:bottom w:val="single" w:color="auto" w:sz="8" w:space="0"/>
              <w:right w:val="single" w:color="auto" w:sz="4" w:space="0"/>
            </w:tcBorders>
          </w:tcPr>
          <w:p>
            <w:pPr>
              <w:rPr>
                <w:rFonts w:ascii="宋体" w:hAnsi="宋体"/>
                <w:szCs w:val="21"/>
              </w:rPr>
            </w:pPr>
            <w:r>
              <w:rPr>
                <w:rFonts w:hint="eastAsia" w:ascii="宋体" w:hAnsi="宋体"/>
                <w:szCs w:val="21"/>
              </w:rPr>
              <w:t>启动同步后，软件自动实现全同步和增量同步操作，‘一键式’执行，无需人工干预。支持异构平台下的首次数据初始化同步。支持跨数据库版本之间数据库的初始化同步操作。</w:t>
            </w:r>
          </w:p>
        </w:tc>
      </w:tr>
      <w:tr>
        <w:tblPrEx>
          <w:tblCellMar>
            <w:top w:w="0" w:type="dxa"/>
            <w:left w:w="108" w:type="dxa"/>
            <w:bottom w:w="0" w:type="dxa"/>
            <w:right w:w="108" w:type="dxa"/>
          </w:tblCellMar>
        </w:tblPrEx>
        <w:trPr>
          <w:trHeight w:val="507" w:hRule="atLeast"/>
          <w:tblHeader/>
          <w:jc w:val="center"/>
        </w:trPr>
        <w:tc>
          <w:tcPr>
            <w:tcW w:w="723" w:type="pct"/>
            <w:vMerge w:val="restart"/>
            <w:tcBorders>
              <w:top w:val="single" w:color="auto" w:sz="8" w:space="0"/>
              <w:left w:val="single" w:color="auto" w:sz="4" w:space="0"/>
              <w:right w:val="single" w:color="auto" w:sz="8" w:space="0"/>
            </w:tcBorders>
            <w:vAlign w:val="center"/>
          </w:tcPr>
          <w:p>
            <w:pPr>
              <w:widowControl/>
              <w:spacing w:line="240" w:lineRule="atLeast"/>
              <w:jc w:val="center"/>
              <w:rPr>
                <w:rFonts w:ascii="宋体" w:hAnsi="宋体"/>
                <w:szCs w:val="21"/>
              </w:rPr>
            </w:pPr>
            <w:r>
              <w:rPr>
                <w:rFonts w:hint="eastAsia" w:ascii="宋体" w:hAnsi="宋体"/>
                <w:szCs w:val="21"/>
              </w:rPr>
              <w:t>技术指标要求</w:t>
            </w:r>
          </w:p>
        </w:tc>
        <w:tc>
          <w:tcPr>
            <w:tcW w:w="4276" w:type="pct"/>
            <w:tcBorders>
              <w:top w:val="single" w:color="auto" w:sz="8" w:space="0"/>
              <w:left w:val="nil"/>
              <w:bottom w:val="single" w:color="auto" w:sz="8" w:space="0"/>
              <w:right w:val="single" w:color="auto" w:sz="4" w:space="0"/>
            </w:tcBorders>
          </w:tcPr>
          <w:p>
            <w:pPr>
              <w:widowControl/>
              <w:spacing w:line="240" w:lineRule="atLeast"/>
              <w:jc w:val="left"/>
              <w:rPr>
                <w:rFonts w:ascii="宋体" w:hAnsi="宋体"/>
                <w:szCs w:val="21"/>
              </w:rPr>
            </w:pPr>
            <w:r>
              <w:rPr>
                <w:rFonts w:hint="eastAsia" w:ascii="宋体" w:hAnsi="宋体"/>
                <w:szCs w:val="21"/>
              </w:rPr>
              <w:t>1、系统资源占用少，保证主机的正常运行；源端CPU占用小于3％；内存占用小于200M</w:t>
            </w:r>
          </w:p>
        </w:tc>
      </w:tr>
      <w:tr>
        <w:tblPrEx>
          <w:tblCellMar>
            <w:top w:w="0" w:type="dxa"/>
            <w:left w:w="108" w:type="dxa"/>
            <w:bottom w:w="0" w:type="dxa"/>
            <w:right w:w="108" w:type="dxa"/>
          </w:tblCellMar>
        </w:tblPrEx>
        <w:trPr>
          <w:trHeight w:val="482" w:hRule="atLeast"/>
          <w:tblHeader/>
          <w:jc w:val="center"/>
        </w:trPr>
        <w:tc>
          <w:tcPr>
            <w:tcW w:w="723" w:type="pct"/>
            <w:vMerge w:val="continue"/>
            <w:tcBorders>
              <w:left w:val="single" w:color="auto" w:sz="4" w:space="0"/>
              <w:right w:val="single" w:color="auto" w:sz="8" w:space="0"/>
            </w:tcBorders>
            <w:vAlign w:val="center"/>
          </w:tcPr>
          <w:p>
            <w:pPr>
              <w:widowControl/>
              <w:spacing w:line="240" w:lineRule="atLeast"/>
              <w:jc w:val="left"/>
            </w:pPr>
          </w:p>
        </w:tc>
        <w:tc>
          <w:tcPr>
            <w:tcW w:w="4276" w:type="pct"/>
            <w:tcBorders>
              <w:top w:val="single" w:color="auto" w:sz="8" w:space="0"/>
              <w:left w:val="nil"/>
              <w:bottom w:val="single" w:color="auto" w:sz="8" w:space="0"/>
              <w:right w:val="single" w:color="auto" w:sz="4" w:space="0"/>
            </w:tcBorders>
          </w:tcPr>
          <w:p>
            <w:pPr>
              <w:rPr>
                <w:rFonts w:hint="eastAsia" w:ascii="宋体" w:hAnsi="宋体"/>
                <w:szCs w:val="21"/>
              </w:rPr>
            </w:pPr>
            <w:r>
              <w:rPr>
                <w:rFonts w:hint="default" w:ascii="宋体" w:hAnsi="宋体"/>
                <w:szCs w:val="21"/>
              </w:rPr>
              <w:t>2</w:t>
            </w:r>
            <w:r>
              <w:rPr>
                <w:rFonts w:hint="eastAsia" w:ascii="宋体" w:hAnsi="宋体"/>
                <w:szCs w:val="21"/>
              </w:rPr>
              <w:t>、系统资源占用少，保证主机的正常运行；目标端CPU占用小于3％；内存占用小于200M。</w:t>
            </w:r>
          </w:p>
        </w:tc>
      </w:tr>
      <w:tr>
        <w:tblPrEx>
          <w:tblCellMar>
            <w:top w:w="0" w:type="dxa"/>
            <w:left w:w="108" w:type="dxa"/>
            <w:bottom w:w="0" w:type="dxa"/>
            <w:right w:w="108" w:type="dxa"/>
          </w:tblCellMar>
        </w:tblPrEx>
        <w:trPr>
          <w:trHeight w:val="468" w:hRule="atLeast"/>
          <w:tblHeader/>
          <w:jc w:val="center"/>
        </w:trPr>
        <w:tc>
          <w:tcPr>
            <w:tcW w:w="723" w:type="pct"/>
            <w:vMerge w:val="continue"/>
            <w:tcBorders>
              <w:left w:val="single" w:color="auto" w:sz="4" w:space="0"/>
              <w:bottom w:val="single" w:color="auto" w:sz="8" w:space="0"/>
              <w:right w:val="single" w:color="auto" w:sz="8" w:space="0"/>
            </w:tcBorders>
            <w:vAlign w:val="center"/>
          </w:tcPr>
          <w:p>
            <w:pPr>
              <w:widowControl/>
              <w:spacing w:line="240" w:lineRule="atLeast"/>
              <w:jc w:val="left"/>
              <w:rPr>
                <w:rFonts w:hint="eastAsia" w:ascii="宋体" w:hAnsi="宋体"/>
                <w:szCs w:val="21"/>
              </w:rPr>
            </w:pPr>
          </w:p>
        </w:tc>
        <w:tc>
          <w:tcPr>
            <w:tcW w:w="4276" w:type="pct"/>
            <w:tcBorders>
              <w:top w:val="single" w:color="auto" w:sz="8" w:space="0"/>
              <w:left w:val="nil"/>
              <w:bottom w:val="single" w:color="auto" w:sz="8" w:space="0"/>
              <w:right w:val="single" w:color="auto" w:sz="4" w:space="0"/>
            </w:tcBorders>
          </w:tcPr>
          <w:p>
            <w:pPr>
              <w:widowControl/>
              <w:spacing w:line="240" w:lineRule="atLeast"/>
              <w:jc w:val="left"/>
              <w:rPr>
                <w:rFonts w:hint="default" w:ascii="宋体" w:hAnsi="宋体"/>
                <w:szCs w:val="21"/>
              </w:rPr>
            </w:pPr>
            <w:r>
              <w:rPr>
                <w:rFonts w:hint="default" w:ascii="宋体" w:hAnsi="宋体"/>
                <w:szCs w:val="21"/>
              </w:rPr>
              <w:t>3</w:t>
            </w:r>
            <w:r>
              <w:rPr>
                <w:rFonts w:hint="eastAsia" w:ascii="宋体" w:hAnsi="宋体"/>
                <w:szCs w:val="21"/>
              </w:rPr>
              <w:t>、考虑到数据库的重要性，和今后几年的扩展性要求,考虑到备份系统的前瞻性就要完全备份性能：1TB的数据库全备份时间2-4个小时； 1TB的数据库的每天增量备份时间30分钟以内</w:t>
            </w:r>
            <w:r>
              <w:rPr>
                <w:rFonts w:hint="default" w:ascii="宋体" w:hAnsi="宋体"/>
                <w:szCs w:val="21"/>
              </w:rPr>
              <w:t>。</w:t>
            </w:r>
          </w:p>
        </w:tc>
      </w:tr>
      <w:tr>
        <w:tblPrEx>
          <w:tblCellMar>
            <w:top w:w="0" w:type="dxa"/>
            <w:left w:w="108" w:type="dxa"/>
            <w:bottom w:w="0" w:type="dxa"/>
            <w:right w:w="108" w:type="dxa"/>
          </w:tblCellMar>
        </w:tblPrEx>
        <w:trPr>
          <w:trHeight w:val="468" w:hRule="atLeast"/>
          <w:tblHeader/>
          <w:jc w:val="center"/>
        </w:trPr>
        <w:tc>
          <w:tcPr>
            <w:tcW w:w="723" w:type="pct"/>
            <w:vMerge w:val="continue"/>
            <w:tcBorders>
              <w:left w:val="single" w:color="auto" w:sz="4" w:space="0"/>
              <w:bottom w:val="single" w:color="auto" w:sz="8" w:space="0"/>
              <w:right w:val="single" w:color="auto" w:sz="8" w:space="0"/>
            </w:tcBorders>
            <w:vAlign w:val="center"/>
          </w:tcPr>
          <w:p>
            <w:pPr>
              <w:widowControl/>
              <w:spacing w:line="240" w:lineRule="atLeast"/>
              <w:jc w:val="left"/>
            </w:pPr>
          </w:p>
        </w:tc>
        <w:tc>
          <w:tcPr>
            <w:tcW w:w="4276" w:type="pct"/>
            <w:tcBorders>
              <w:top w:val="single" w:color="auto" w:sz="8" w:space="0"/>
              <w:left w:val="nil"/>
              <w:bottom w:val="single" w:color="auto" w:sz="8" w:space="0"/>
              <w:right w:val="single" w:color="auto" w:sz="4" w:space="0"/>
            </w:tcBorders>
          </w:tcPr>
          <w:p>
            <w:pPr>
              <w:widowControl/>
              <w:spacing w:line="240" w:lineRule="atLeast"/>
              <w:jc w:val="left"/>
              <w:rPr>
                <w:rFonts w:hint="default" w:ascii="宋体" w:hAnsi="宋体" w:eastAsiaTheme="minorEastAsia"/>
                <w:szCs w:val="21"/>
                <w:lang w:eastAsia="zh-Hans"/>
              </w:rPr>
            </w:pPr>
            <w:r>
              <w:rPr>
                <w:rFonts w:hint="default" w:ascii="宋体" w:hAnsi="宋体"/>
                <w:szCs w:val="21"/>
              </w:rPr>
              <w:t>4</w:t>
            </w:r>
            <w:r>
              <w:rPr>
                <w:rFonts w:hint="eastAsia" w:ascii="宋体" w:hAnsi="宋体"/>
                <w:szCs w:val="21"/>
                <w:lang w:eastAsia="zh-CN"/>
              </w:rPr>
              <w:t>、</w:t>
            </w:r>
            <w:r>
              <w:rPr>
                <w:rFonts w:hint="eastAsia" w:ascii="宋体" w:hAnsi="宋体"/>
                <w:szCs w:val="21"/>
                <w:lang w:val="en-US" w:eastAsia="zh-Hans"/>
              </w:rPr>
              <w:t>源端插入</w:t>
            </w:r>
            <w:r>
              <w:rPr>
                <w:rFonts w:hint="default" w:ascii="宋体" w:hAnsi="宋体"/>
                <w:szCs w:val="21"/>
                <w:lang w:eastAsia="zh-Hans"/>
              </w:rPr>
              <w:t>100</w:t>
            </w:r>
            <w:r>
              <w:rPr>
                <w:rFonts w:hint="eastAsia" w:ascii="宋体" w:hAnsi="宋体"/>
                <w:szCs w:val="21"/>
                <w:lang w:val="en-US" w:eastAsia="zh-Hans"/>
              </w:rPr>
              <w:t>万条</w:t>
            </w:r>
            <w:r>
              <w:rPr>
                <w:rFonts w:hint="default" w:ascii="宋体" w:hAnsi="宋体"/>
                <w:szCs w:val="21"/>
                <w:lang w:eastAsia="zh-Hans"/>
              </w:rPr>
              <w:t>、</w:t>
            </w:r>
            <w:r>
              <w:rPr>
                <w:rFonts w:hint="eastAsia" w:ascii="宋体" w:hAnsi="宋体"/>
                <w:szCs w:val="21"/>
                <w:lang w:val="en-US" w:eastAsia="zh-Hans"/>
              </w:rPr>
              <w:t>大小为</w:t>
            </w:r>
            <w:r>
              <w:rPr>
                <w:rFonts w:hint="default" w:ascii="宋体" w:hAnsi="宋体"/>
                <w:szCs w:val="21"/>
                <w:lang w:eastAsia="zh-Hans"/>
              </w:rPr>
              <w:t>500</w:t>
            </w:r>
            <w:r>
              <w:rPr>
                <w:rFonts w:hint="eastAsia" w:ascii="宋体" w:hAnsi="宋体"/>
                <w:szCs w:val="21"/>
                <w:lang w:val="en-US" w:eastAsia="zh-Hans"/>
              </w:rPr>
              <w:t>MB的数据</w:t>
            </w:r>
            <w:r>
              <w:rPr>
                <w:rFonts w:hint="default" w:ascii="宋体" w:hAnsi="宋体"/>
                <w:szCs w:val="21"/>
                <w:lang w:eastAsia="zh-Hans"/>
              </w:rPr>
              <w:t>，</w:t>
            </w:r>
            <w:r>
              <w:rPr>
                <w:rFonts w:hint="eastAsia" w:ascii="宋体" w:hAnsi="宋体"/>
                <w:szCs w:val="21"/>
                <w:lang w:val="en-US" w:eastAsia="zh-Hans"/>
              </w:rPr>
              <w:t>同步到目标端</w:t>
            </w:r>
            <w:r>
              <w:rPr>
                <w:rFonts w:hint="default" w:ascii="宋体" w:hAnsi="宋体"/>
                <w:szCs w:val="21"/>
                <w:lang w:eastAsia="zh-Hans"/>
              </w:rPr>
              <w:t>，</w:t>
            </w:r>
            <w:r>
              <w:rPr>
                <w:rFonts w:hint="eastAsia" w:ascii="宋体" w:hAnsi="宋体"/>
                <w:szCs w:val="21"/>
                <w:lang w:val="en-US" w:eastAsia="zh-Hans"/>
              </w:rPr>
              <w:t>平均速度不少于</w:t>
            </w:r>
            <w:r>
              <w:rPr>
                <w:rFonts w:hint="default" w:ascii="宋体" w:hAnsi="宋体"/>
                <w:szCs w:val="21"/>
                <w:lang w:eastAsia="zh-Hans"/>
              </w:rPr>
              <w:t>50</w:t>
            </w:r>
            <w:r>
              <w:rPr>
                <w:rFonts w:hint="eastAsia" w:ascii="宋体" w:hAnsi="宋体"/>
                <w:szCs w:val="21"/>
                <w:lang w:val="en-US" w:eastAsia="zh-Hans"/>
              </w:rPr>
              <w:t>MB</w:t>
            </w:r>
            <w:r>
              <w:rPr>
                <w:rFonts w:hint="default" w:ascii="宋体" w:hAnsi="宋体"/>
                <w:szCs w:val="21"/>
                <w:lang w:eastAsia="zh-Hans"/>
              </w:rPr>
              <w:t>/</w:t>
            </w:r>
            <w:r>
              <w:rPr>
                <w:rFonts w:hint="eastAsia" w:ascii="宋体" w:hAnsi="宋体"/>
                <w:szCs w:val="21"/>
                <w:lang w:val="en-US" w:eastAsia="zh-Hans"/>
              </w:rPr>
              <w:t>秒</w:t>
            </w:r>
            <w:r>
              <w:rPr>
                <w:rFonts w:hint="default" w:ascii="宋体" w:hAnsi="宋体"/>
                <w:szCs w:val="21"/>
                <w:lang w:eastAsia="zh-Hans"/>
              </w:rPr>
              <w:t>。</w:t>
            </w:r>
            <w:r>
              <w:rPr>
                <w:rFonts w:ascii="Times New Roman" w:hAnsi="Times New Roman" w:eastAsia="宋体" w:cs="Times New Roman"/>
                <w:b/>
                <w:bCs/>
                <w:color w:val="000000"/>
                <w:kern w:val="0"/>
                <w:szCs w:val="21"/>
                <w:highlight w:val="none"/>
              </w:rPr>
              <w:t>提供CNAS或CMA的第三方测试机构的证明材料</w:t>
            </w:r>
          </w:p>
        </w:tc>
      </w:tr>
      <w:tr>
        <w:tblPrEx>
          <w:tblCellMar>
            <w:top w:w="0" w:type="dxa"/>
            <w:left w:w="108" w:type="dxa"/>
            <w:bottom w:w="0" w:type="dxa"/>
            <w:right w:w="108" w:type="dxa"/>
          </w:tblCellMar>
        </w:tblPrEx>
        <w:trPr>
          <w:trHeight w:val="273" w:hRule="atLeast"/>
          <w:tblHeader/>
          <w:jc w:val="center"/>
        </w:trPr>
        <w:tc>
          <w:tcPr>
            <w:tcW w:w="723" w:type="pct"/>
            <w:vMerge w:val="continue"/>
            <w:tcBorders>
              <w:left w:val="single" w:color="auto" w:sz="4" w:space="0"/>
              <w:bottom w:val="single" w:color="auto" w:sz="8" w:space="0"/>
              <w:right w:val="single" w:color="auto" w:sz="8" w:space="0"/>
            </w:tcBorders>
            <w:vAlign w:val="center"/>
          </w:tcPr>
          <w:p>
            <w:pPr>
              <w:widowControl/>
              <w:spacing w:line="240" w:lineRule="atLeast"/>
              <w:jc w:val="left"/>
            </w:pPr>
          </w:p>
        </w:tc>
        <w:tc>
          <w:tcPr>
            <w:tcW w:w="4276" w:type="pct"/>
            <w:tcBorders>
              <w:top w:val="single" w:color="auto" w:sz="8" w:space="0"/>
              <w:left w:val="nil"/>
              <w:bottom w:val="single" w:color="auto" w:sz="8" w:space="0"/>
              <w:right w:val="single" w:color="auto" w:sz="4" w:space="0"/>
            </w:tcBorders>
          </w:tcPr>
          <w:p>
            <w:pPr>
              <w:widowControl/>
              <w:spacing w:line="240" w:lineRule="atLeast"/>
              <w:jc w:val="left"/>
              <w:rPr>
                <w:rFonts w:hint="default" w:ascii="宋体" w:hAnsi="宋体" w:eastAsiaTheme="minorEastAsia"/>
                <w:szCs w:val="21"/>
                <w:lang w:eastAsia="zh-Hans"/>
              </w:rPr>
            </w:pPr>
            <w:r>
              <w:rPr>
                <w:rFonts w:hint="default" w:ascii="宋体" w:hAnsi="宋体"/>
                <w:szCs w:val="21"/>
              </w:rPr>
              <w:t>5，</w:t>
            </w:r>
            <w:r>
              <w:rPr>
                <w:rFonts w:hint="eastAsia" w:ascii="宋体" w:hAnsi="宋体"/>
                <w:szCs w:val="21"/>
                <w:lang w:val="en-US" w:eastAsia="zh-Hans"/>
              </w:rPr>
              <w:t>低带宽下</w:t>
            </w:r>
            <w:r>
              <w:rPr>
                <w:rFonts w:hint="default" w:ascii="宋体" w:hAnsi="宋体"/>
                <w:szCs w:val="21"/>
                <w:lang w:eastAsia="zh-Hans"/>
              </w:rPr>
              <w:t>，</w:t>
            </w:r>
            <w:r>
              <w:rPr>
                <w:rFonts w:hint="eastAsia" w:ascii="宋体" w:hAnsi="宋体"/>
                <w:szCs w:val="21"/>
                <w:lang w:val="en-US" w:eastAsia="zh-Hans"/>
              </w:rPr>
              <w:t>数据延时可控</w:t>
            </w:r>
            <w:r>
              <w:rPr>
                <w:rFonts w:hint="default" w:ascii="宋体" w:hAnsi="宋体"/>
                <w:szCs w:val="21"/>
                <w:lang w:eastAsia="zh-Hans"/>
              </w:rPr>
              <w:t>，</w:t>
            </w:r>
            <w:r>
              <w:rPr>
                <w:rFonts w:hint="eastAsia" w:ascii="宋体" w:hAnsi="宋体"/>
                <w:szCs w:val="21"/>
                <w:lang w:val="en-US" w:eastAsia="zh-Hans"/>
              </w:rPr>
              <w:t>比如</w:t>
            </w:r>
            <w:r>
              <w:rPr>
                <w:rFonts w:hint="default" w:ascii="宋体" w:hAnsi="宋体"/>
                <w:szCs w:val="21"/>
                <w:lang w:eastAsia="zh-Hans"/>
              </w:rPr>
              <w:t>30</w:t>
            </w:r>
            <w:r>
              <w:rPr>
                <w:rFonts w:hint="eastAsia" w:ascii="宋体" w:hAnsi="宋体"/>
                <w:szCs w:val="21"/>
                <w:lang w:val="en-US" w:eastAsia="zh-Hans"/>
              </w:rPr>
              <w:t>Mbps</w:t>
            </w:r>
            <w:r>
              <w:rPr>
                <w:rFonts w:hint="default" w:ascii="宋体" w:hAnsi="宋体"/>
                <w:szCs w:val="21"/>
                <w:lang w:eastAsia="zh-Hans"/>
              </w:rPr>
              <w:t>，</w:t>
            </w:r>
            <w:r>
              <w:rPr>
                <w:rFonts w:hint="eastAsia" w:ascii="宋体" w:hAnsi="宋体"/>
                <w:szCs w:val="21"/>
                <w:lang w:val="en-US" w:eastAsia="zh-Hans"/>
              </w:rPr>
              <w:t>数据同步延时不超过</w:t>
            </w:r>
            <w:r>
              <w:rPr>
                <w:rFonts w:hint="default" w:ascii="宋体" w:hAnsi="宋体"/>
                <w:szCs w:val="21"/>
                <w:lang w:eastAsia="zh-Hans"/>
              </w:rPr>
              <w:t>5</w:t>
            </w:r>
            <w:r>
              <w:rPr>
                <w:rFonts w:hint="eastAsia" w:ascii="宋体" w:hAnsi="宋体"/>
                <w:szCs w:val="21"/>
                <w:lang w:val="en-US" w:eastAsia="zh-Hans"/>
              </w:rPr>
              <w:t>秒</w:t>
            </w:r>
            <w:r>
              <w:rPr>
                <w:rFonts w:hint="default" w:ascii="宋体" w:hAnsi="宋体"/>
                <w:szCs w:val="21"/>
                <w:lang w:eastAsia="zh-Hans"/>
              </w:rPr>
              <w:t>。</w:t>
            </w:r>
          </w:p>
        </w:tc>
      </w:tr>
      <w:tr>
        <w:tblPrEx>
          <w:tblCellMar>
            <w:top w:w="0" w:type="dxa"/>
            <w:left w:w="108" w:type="dxa"/>
            <w:bottom w:w="0" w:type="dxa"/>
            <w:right w:w="108" w:type="dxa"/>
          </w:tblCellMar>
        </w:tblPrEx>
        <w:trPr>
          <w:trHeight w:val="385" w:hRule="atLeast"/>
          <w:tblHeader/>
          <w:jc w:val="center"/>
        </w:trPr>
        <w:tc>
          <w:tcPr>
            <w:tcW w:w="723" w:type="pct"/>
            <w:vMerge w:val="restart"/>
            <w:tcBorders>
              <w:top w:val="single" w:color="auto" w:sz="8" w:space="0"/>
              <w:left w:val="single" w:color="auto" w:sz="4" w:space="0"/>
              <w:right w:val="single" w:color="auto" w:sz="8" w:space="0"/>
            </w:tcBorders>
            <w:vAlign w:val="center"/>
          </w:tcPr>
          <w:p>
            <w:pPr>
              <w:widowControl/>
              <w:spacing w:line="240" w:lineRule="atLeast"/>
              <w:jc w:val="center"/>
              <w:rPr>
                <w:rFonts w:ascii="宋体" w:hAnsi="宋体"/>
                <w:szCs w:val="21"/>
              </w:rPr>
            </w:pPr>
            <w:r>
              <w:rPr>
                <w:rFonts w:hint="eastAsia" w:ascii="宋体" w:hAnsi="宋体"/>
                <w:szCs w:val="21"/>
              </w:rPr>
              <w:t>初始化要求</w:t>
            </w:r>
          </w:p>
        </w:tc>
        <w:tc>
          <w:tcPr>
            <w:tcW w:w="4276" w:type="pct"/>
            <w:tcBorders>
              <w:top w:val="single" w:color="auto" w:sz="8" w:space="0"/>
              <w:left w:val="nil"/>
              <w:bottom w:val="single" w:color="auto" w:sz="8" w:space="0"/>
              <w:right w:val="single" w:color="auto" w:sz="4" w:space="0"/>
            </w:tcBorders>
          </w:tcPr>
          <w:p>
            <w:pPr>
              <w:rPr>
                <w:rFonts w:ascii="宋体" w:hAnsi="宋体"/>
                <w:szCs w:val="21"/>
              </w:rPr>
            </w:pPr>
            <w:r>
              <w:rPr>
                <w:rFonts w:hint="eastAsia" w:ascii="宋体" w:hAnsi="宋体"/>
                <w:szCs w:val="21"/>
              </w:rPr>
              <w:t>1、在初始化同步过程中，业务不能停止；初始化过程中不需要人工干预；</w:t>
            </w:r>
          </w:p>
        </w:tc>
      </w:tr>
      <w:tr>
        <w:tblPrEx>
          <w:tblCellMar>
            <w:top w:w="0" w:type="dxa"/>
            <w:left w:w="108" w:type="dxa"/>
            <w:bottom w:w="0" w:type="dxa"/>
            <w:right w:w="108" w:type="dxa"/>
          </w:tblCellMar>
        </w:tblPrEx>
        <w:trPr>
          <w:trHeight w:val="385" w:hRule="atLeast"/>
          <w:tblHeader/>
          <w:jc w:val="center"/>
        </w:trPr>
        <w:tc>
          <w:tcPr>
            <w:tcW w:w="723" w:type="pct"/>
            <w:vMerge w:val="continue"/>
            <w:tcBorders>
              <w:left w:val="single" w:color="auto" w:sz="4" w:space="0"/>
              <w:right w:val="single" w:color="auto" w:sz="8" w:space="0"/>
            </w:tcBorders>
            <w:vAlign w:val="center"/>
          </w:tcPr>
          <w:p/>
        </w:tc>
        <w:tc>
          <w:tcPr>
            <w:tcW w:w="4276" w:type="pct"/>
            <w:tcBorders>
              <w:top w:val="single" w:color="auto" w:sz="8" w:space="0"/>
              <w:left w:val="nil"/>
              <w:bottom w:val="single" w:color="auto" w:sz="8" w:space="0"/>
              <w:right w:val="single" w:color="auto" w:sz="4" w:space="0"/>
            </w:tcBorders>
          </w:tcPr>
          <w:p>
            <w:pPr>
              <w:rPr>
                <w:rFonts w:hint="eastAsia" w:ascii="宋体" w:hAnsi="宋体"/>
                <w:szCs w:val="21"/>
              </w:rPr>
            </w:pPr>
            <w:r>
              <w:rPr>
                <w:rFonts w:hint="eastAsia" w:ascii="宋体" w:hAnsi="宋体"/>
                <w:szCs w:val="21"/>
              </w:rPr>
              <w:t>2、支持200GB数据的全同步时间2小时左右完成；</w:t>
            </w:r>
          </w:p>
        </w:tc>
      </w:tr>
      <w:tr>
        <w:tblPrEx>
          <w:tblCellMar>
            <w:top w:w="0" w:type="dxa"/>
            <w:left w:w="108" w:type="dxa"/>
            <w:bottom w:w="0" w:type="dxa"/>
            <w:right w:w="108" w:type="dxa"/>
          </w:tblCellMar>
        </w:tblPrEx>
        <w:trPr>
          <w:trHeight w:val="90" w:hRule="atLeast"/>
          <w:tblHeader/>
          <w:jc w:val="center"/>
        </w:trPr>
        <w:tc>
          <w:tcPr>
            <w:tcW w:w="723" w:type="pct"/>
            <w:vMerge w:val="continue"/>
            <w:tcBorders>
              <w:left w:val="single" w:color="auto" w:sz="4" w:space="0"/>
              <w:right w:val="single" w:color="auto" w:sz="8" w:space="0"/>
            </w:tcBorders>
            <w:vAlign w:val="center"/>
          </w:tcPr>
          <w:p>
            <w:pPr>
              <w:rPr>
                <w:rFonts w:hint="eastAsia" w:ascii="宋体" w:hAnsi="宋体"/>
                <w:szCs w:val="21"/>
              </w:rPr>
            </w:pPr>
          </w:p>
        </w:tc>
        <w:tc>
          <w:tcPr>
            <w:tcW w:w="4276" w:type="pct"/>
            <w:tcBorders>
              <w:top w:val="single" w:color="auto" w:sz="8" w:space="0"/>
              <w:left w:val="nil"/>
              <w:bottom w:val="single" w:color="auto" w:sz="8" w:space="0"/>
              <w:right w:val="single" w:color="auto" w:sz="4" w:space="0"/>
            </w:tcBorders>
          </w:tcPr>
          <w:p>
            <w:pPr>
              <w:rPr>
                <w:rFonts w:hint="eastAsia" w:ascii="宋体" w:hAnsi="宋体"/>
                <w:szCs w:val="21"/>
              </w:rPr>
            </w:pPr>
            <w:r>
              <w:rPr>
                <w:rFonts w:hint="eastAsia" w:ascii="宋体" w:hAnsi="宋体"/>
                <w:szCs w:val="21"/>
              </w:rPr>
              <w:t>3、支持异构平台下的首次数据初始化同步；</w:t>
            </w:r>
          </w:p>
        </w:tc>
      </w:tr>
      <w:tr>
        <w:tblPrEx>
          <w:tblCellMar>
            <w:top w:w="0" w:type="dxa"/>
            <w:left w:w="108" w:type="dxa"/>
            <w:bottom w:w="0" w:type="dxa"/>
            <w:right w:w="108" w:type="dxa"/>
          </w:tblCellMar>
        </w:tblPrEx>
        <w:trPr>
          <w:trHeight w:val="385" w:hRule="atLeast"/>
          <w:tblHeader/>
          <w:jc w:val="center"/>
        </w:trPr>
        <w:tc>
          <w:tcPr>
            <w:tcW w:w="723" w:type="pct"/>
            <w:vMerge w:val="continue"/>
            <w:tcBorders>
              <w:left w:val="single" w:color="auto" w:sz="4" w:space="0"/>
              <w:bottom w:val="single" w:color="auto" w:sz="8" w:space="0"/>
              <w:right w:val="single" w:color="auto" w:sz="8" w:space="0"/>
            </w:tcBorders>
            <w:vAlign w:val="center"/>
          </w:tcPr>
          <w:p>
            <w:pPr>
              <w:rPr>
                <w:rFonts w:hint="eastAsia" w:ascii="宋体" w:hAnsi="宋体"/>
                <w:szCs w:val="21"/>
              </w:rPr>
            </w:pPr>
          </w:p>
        </w:tc>
        <w:tc>
          <w:tcPr>
            <w:tcW w:w="4276" w:type="pct"/>
            <w:tcBorders>
              <w:top w:val="single" w:color="auto" w:sz="8" w:space="0"/>
              <w:left w:val="nil"/>
              <w:bottom w:val="single" w:color="auto" w:sz="8" w:space="0"/>
              <w:right w:val="single" w:color="auto" w:sz="4" w:space="0"/>
            </w:tcBorders>
          </w:tcPr>
          <w:p>
            <w:pPr>
              <w:rPr>
                <w:rFonts w:hint="eastAsia" w:ascii="宋体" w:hAnsi="宋体"/>
                <w:szCs w:val="21"/>
              </w:rPr>
            </w:pPr>
            <w:r>
              <w:rPr>
                <w:rFonts w:hint="eastAsia" w:ascii="宋体" w:hAnsi="宋体"/>
                <w:szCs w:val="21"/>
              </w:rPr>
              <w:t>4、支持跨数据库版本之间数据库的初始化同步操作。</w:t>
            </w:r>
          </w:p>
        </w:tc>
      </w:tr>
      <w:tr>
        <w:tblPrEx>
          <w:tblCellMar>
            <w:top w:w="0" w:type="dxa"/>
            <w:left w:w="108" w:type="dxa"/>
            <w:bottom w:w="0" w:type="dxa"/>
            <w:right w:w="108" w:type="dxa"/>
          </w:tblCellMar>
        </w:tblPrEx>
        <w:trPr>
          <w:trHeight w:val="513" w:hRule="atLeast"/>
          <w:tblHeader/>
          <w:jc w:val="center"/>
        </w:trPr>
        <w:tc>
          <w:tcPr>
            <w:tcW w:w="723" w:type="pct"/>
            <w:vMerge w:val="restart"/>
            <w:tcBorders>
              <w:top w:val="nil"/>
              <w:left w:val="single" w:color="auto" w:sz="4" w:space="0"/>
              <w:right w:val="single" w:color="auto" w:sz="8" w:space="0"/>
            </w:tcBorders>
            <w:vAlign w:val="center"/>
          </w:tcPr>
          <w:p>
            <w:pPr>
              <w:widowControl/>
              <w:spacing w:line="240" w:lineRule="atLeast"/>
              <w:jc w:val="center"/>
              <w:rPr>
                <w:rFonts w:ascii="宋体" w:hAnsi="宋体"/>
                <w:szCs w:val="21"/>
              </w:rPr>
            </w:pPr>
            <w:r>
              <w:rPr>
                <w:rFonts w:hint="eastAsia" w:ascii="宋体" w:hAnsi="宋体"/>
                <w:szCs w:val="21"/>
              </w:rPr>
              <w:t>数据库的同步容灾功能要求</w:t>
            </w:r>
          </w:p>
        </w:tc>
        <w:tc>
          <w:tcPr>
            <w:tcW w:w="4276" w:type="pct"/>
            <w:tcBorders>
              <w:top w:val="single" w:color="auto" w:sz="8" w:space="0"/>
              <w:left w:val="nil"/>
              <w:bottom w:val="single" w:color="auto" w:sz="8" w:space="0"/>
              <w:right w:val="single" w:color="auto" w:sz="4" w:space="0"/>
            </w:tcBorders>
          </w:tcPr>
          <w:p>
            <w:pPr>
              <w:rPr>
                <w:rFonts w:ascii="宋体" w:hAnsi="宋体"/>
                <w:szCs w:val="21"/>
              </w:rPr>
            </w:pPr>
            <w:r>
              <w:rPr>
                <w:rFonts w:hint="eastAsia" w:ascii="宋体" w:hAnsi="宋体"/>
                <w:szCs w:val="21"/>
              </w:rPr>
              <w:t>1、支持一对一，双向，一对多，多对一，和级联复制；</w:t>
            </w:r>
          </w:p>
        </w:tc>
      </w:tr>
      <w:tr>
        <w:tblPrEx>
          <w:tblCellMar>
            <w:top w:w="0" w:type="dxa"/>
            <w:left w:w="108" w:type="dxa"/>
            <w:bottom w:w="0" w:type="dxa"/>
            <w:right w:w="108" w:type="dxa"/>
          </w:tblCellMar>
        </w:tblPrEx>
        <w:trPr>
          <w:trHeight w:val="417" w:hRule="atLeast"/>
          <w:tblHeader/>
          <w:jc w:val="center"/>
        </w:trPr>
        <w:tc>
          <w:tcPr>
            <w:tcW w:w="723" w:type="pct"/>
            <w:vMerge w:val="continue"/>
            <w:tcBorders>
              <w:left w:val="single" w:color="auto" w:sz="4" w:space="0"/>
              <w:right w:val="single" w:color="auto" w:sz="8" w:space="0"/>
            </w:tcBorders>
            <w:vAlign w:val="center"/>
          </w:tcPr>
          <w:p/>
        </w:tc>
        <w:tc>
          <w:tcPr>
            <w:tcW w:w="4276" w:type="pct"/>
            <w:tcBorders>
              <w:top w:val="single" w:color="auto" w:sz="8" w:space="0"/>
              <w:left w:val="nil"/>
              <w:bottom w:val="single" w:color="auto" w:sz="8" w:space="0"/>
              <w:right w:val="single" w:color="auto" w:sz="4" w:space="0"/>
            </w:tcBorders>
          </w:tcPr>
          <w:p>
            <w:pPr>
              <w:rPr>
                <w:rFonts w:hint="eastAsia" w:ascii="宋体" w:hAnsi="宋体"/>
                <w:szCs w:val="21"/>
              </w:rPr>
            </w:pPr>
            <w:r>
              <w:rPr>
                <w:rFonts w:hint="eastAsia" w:ascii="宋体" w:hAnsi="宋体"/>
                <w:szCs w:val="21"/>
              </w:rPr>
              <w:t>2、支持数据转换、数据拆分及分发；</w:t>
            </w:r>
          </w:p>
        </w:tc>
      </w:tr>
      <w:tr>
        <w:tblPrEx>
          <w:tblCellMar>
            <w:top w:w="0" w:type="dxa"/>
            <w:left w:w="108" w:type="dxa"/>
            <w:bottom w:w="0" w:type="dxa"/>
            <w:right w:w="108" w:type="dxa"/>
          </w:tblCellMar>
        </w:tblPrEx>
        <w:trPr>
          <w:trHeight w:val="449" w:hRule="atLeast"/>
          <w:tblHeader/>
          <w:jc w:val="center"/>
        </w:trPr>
        <w:tc>
          <w:tcPr>
            <w:tcW w:w="723" w:type="pct"/>
            <w:vMerge w:val="continue"/>
            <w:tcBorders>
              <w:left w:val="single" w:color="auto" w:sz="4" w:space="0"/>
              <w:right w:val="single" w:color="auto" w:sz="8" w:space="0"/>
            </w:tcBorders>
            <w:vAlign w:val="center"/>
          </w:tcPr>
          <w:p>
            <w:pPr>
              <w:rPr>
                <w:rFonts w:hint="eastAsia" w:ascii="宋体" w:hAnsi="宋体"/>
                <w:szCs w:val="21"/>
              </w:rPr>
            </w:pPr>
          </w:p>
        </w:tc>
        <w:tc>
          <w:tcPr>
            <w:tcW w:w="4276" w:type="pct"/>
            <w:tcBorders>
              <w:top w:val="single" w:color="auto" w:sz="8" w:space="0"/>
              <w:left w:val="nil"/>
              <w:bottom w:val="single" w:color="auto" w:sz="8" w:space="0"/>
              <w:right w:val="single" w:color="auto" w:sz="4" w:space="0"/>
            </w:tcBorders>
          </w:tcPr>
          <w:p>
            <w:pPr>
              <w:rPr>
                <w:rFonts w:hint="eastAsia" w:ascii="宋体" w:hAnsi="宋体"/>
                <w:szCs w:val="21"/>
              </w:rPr>
            </w:pPr>
            <w:r>
              <w:rPr>
                <w:rFonts w:hint="eastAsia" w:ascii="宋体" w:hAnsi="宋体"/>
                <w:szCs w:val="21"/>
              </w:rPr>
              <w:t>3、支持从多个数据库中同一类型表的记录整合到一个表中去；</w:t>
            </w:r>
          </w:p>
        </w:tc>
      </w:tr>
      <w:tr>
        <w:tblPrEx>
          <w:tblCellMar>
            <w:top w:w="0" w:type="dxa"/>
            <w:left w:w="108" w:type="dxa"/>
            <w:bottom w:w="0" w:type="dxa"/>
            <w:right w:w="108" w:type="dxa"/>
          </w:tblCellMar>
        </w:tblPrEx>
        <w:trPr>
          <w:trHeight w:val="748" w:hRule="atLeast"/>
          <w:tblHeader/>
          <w:jc w:val="center"/>
        </w:trPr>
        <w:tc>
          <w:tcPr>
            <w:tcW w:w="723" w:type="pct"/>
            <w:vMerge w:val="continue"/>
            <w:tcBorders>
              <w:left w:val="single" w:color="auto" w:sz="4" w:space="0"/>
              <w:right w:val="single" w:color="auto" w:sz="8" w:space="0"/>
            </w:tcBorders>
            <w:vAlign w:val="center"/>
          </w:tcPr>
          <w:p>
            <w:pPr>
              <w:rPr>
                <w:rFonts w:hint="eastAsia" w:ascii="宋体" w:hAnsi="宋体"/>
                <w:szCs w:val="21"/>
              </w:rPr>
            </w:pPr>
          </w:p>
        </w:tc>
        <w:tc>
          <w:tcPr>
            <w:tcW w:w="4276" w:type="pct"/>
            <w:tcBorders>
              <w:top w:val="single" w:color="auto" w:sz="8" w:space="0"/>
              <w:left w:val="nil"/>
              <w:bottom w:val="single" w:color="auto" w:sz="8" w:space="0"/>
              <w:right w:val="single" w:color="auto" w:sz="4" w:space="0"/>
            </w:tcBorders>
          </w:tcPr>
          <w:p>
            <w:pPr>
              <w:rPr>
                <w:rFonts w:hint="eastAsia" w:ascii="宋体" w:hAnsi="宋体"/>
                <w:szCs w:val="21"/>
              </w:rPr>
            </w:pPr>
            <w:r>
              <w:rPr>
                <w:rFonts w:hint="eastAsia" w:ascii="宋体" w:hAnsi="宋体"/>
                <w:szCs w:val="21"/>
              </w:rPr>
              <w:t>4、支持对列的数据进行转换，包括列映射、增/删除列、列转换支持DML操作复制、支持SEQUENCE、函数、存储过程、视图、同义词、索引、应用包、用户等数据库对象进行复制；</w:t>
            </w:r>
          </w:p>
        </w:tc>
      </w:tr>
      <w:tr>
        <w:tblPrEx>
          <w:tblCellMar>
            <w:top w:w="0" w:type="dxa"/>
            <w:left w:w="108" w:type="dxa"/>
            <w:bottom w:w="0" w:type="dxa"/>
            <w:right w:w="108" w:type="dxa"/>
          </w:tblCellMar>
        </w:tblPrEx>
        <w:trPr>
          <w:trHeight w:val="628" w:hRule="atLeast"/>
          <w:tblHeader/>
          <w:jc w:val="center"/>
        </w:trPr>
        <w:tc>
          <w:tcPr>
            <w:tcW w:w="723" w:type="pct"/>
            <w:vMerge w:val="continue"/>
            <w:tcBorders>
              <w:left w:val="single" w:color="auto" w:sz="4" w:space="0"/>
              <w:bottom w:val="single" w:color="auto" w:sz="8" w:space="0"/>
              <w:right w:val="single" w:color="auto" w:sz="8" w:space="0"/>
            </w:tcBorders>
            <w:vAlign w:val="center"/>
          </w:tcPr>
          <w:p>
            <w:pPr>
              <w:rPr>
                <w:rFonts w:hint="eastAsia" w:ascii="宋体" w:hAnsi="宋体"/>
                <w:szCs w:val="21"/>
              </w:rPr>
            </w:pPr>
          </w:p>
        </w:tc>
        <w:tc>
          <w:tcPr>
            <w:tcW w:w="4276" w:type="pct"/>
            <w:tcBorders>
              <w:top w:val="single" w:color="auto" w:sz="8" w:space="0"/>
              <w:left w:val="nil"/>
              <w:bottom w:val="single" w:color="auto" w:sz="8" w:space="0"/>
              <w:right w:val="single" w:color="auto" w:sz="4" w:space="0"/>
            </w:tcBorders>
          </w:tcPr>
          <w:p>
            <w:pPr>
              <w:rPr>
                <w:rFonts w:hint="eastAsia" w:ascii="宋体" w:hAnsi="宋体"/>
                <w:szCs w:val="21"/>
              </w:rPr>
            </w:pPr>
            <w:r>
              <w:rPr>
                <w:rFonts w:hint="eastAsia" w:ascii="宋体" w:hAnsi="宋体"/>
                <w:szCs w:val="21"/>
              </w:rPr>
              <w:t>5、支持没有PK/UK字段的表的复制、并无需打开或修改数据库参数，可定义并过滤不需要复制的事务；</w:t>
            </w:r>
          </w:p>
        </w:tc>
      </w:tr>
      <w:tr>
        <w:tblPrEx>
          <w:tblCellMar>
            <w:top w:w="0" w:type="dxa"/>
            <w:left w:w="108" w:type="dxa"/>
            <w:bottom w:w="0" w:type="dxa"/>
            <w:right w:w="108" w:type="dxa"/>
          </w:tblCellMar>
        </w:tblPrEx>
        <w:trPr>
          <w:trHeight w:val="208" w:hRule="atLeast"/>
          <w:tblHeader/>
          <w:jc w:val="center"/>
        </w:trPr>
        <w:tc>
          <w:tcPr>
            <w:tcW w:w="723" w:type="pct"/>
            <w:vMerge w:val="continue"/>
            <w:tcBorders>
              <w:left w:val="single" w:color="auto" w:sz="4" w:space="0"/>
              <w:bottom w:val="single" w:color="auto" w:sz="8" w:space="0"/>
              <w:right w:val="single" w:color="auto" w:sz="8" w:space="0"/>
            </w:tcBorders>
            <w:vAlign w:val="center"/>
          </w:tcPr>
          <w:p/>
        </w:tc>
        <w:tc>
          <w:tcPr>
            <w:tcW w:w="4276" w:type="pct"/>
            <w:tcBorders>
              <w:top w:val="single" w:color="auto" w:sz="8" w:space="0"/>
              <w:left w:val="nil"/>
              <w:bottom w:val="single" w:color="auto" w:sz="8" w:space="0"/>
              <w:right w:val="single" w:color="auto" w:sz="4" w:space="0"/>
            </w:tcBorders>
          </w:tcPr>
          <w:p>
            <w:pPr>
              <w:rPr>
                <w:rFonts w:hint="eastAsia" w:ascii="宋体" w:hAnsi="宋体"/>
                <w:szCs w:val="21"/>
              </w:rPr>
            </w:pPr>
            <w:r>
              <w:rPr>
                <w:rFonts w:hint="eastAsia" w:ascii="宋体" w:hAnsi="宋体"/>
                <w:szCs w:val="21"/>
              </w:rPr>
              <w:t>6、支持按照schema方式设置复制关系，无需单表设置复制关系，支持不同源和目标端在不同的schema名情况下的复制；</w:t>
            </w:r>
          </w:p>
        </w:tc>
      </w:tr>
      <w:tr>
        <w:tblPrEx>
          <w:tblCellMar>
            <w:top w:w="0" w:type="dxa"/>
            <w:left w:w="108" w:type="dxa"/>
            <w:bottom w:w="0" w:type="dxa"/>
            <w:right w:w="108" w:type="dxa"/>
          </w:tblCellMar>
        </w:tblPrEx>
        <w:trPr>
          <w:trHeight w:val="208" w:hRule="atLeast"/>
          <w:tblHeader/>
          <w:jc w:val="center"/>
        </w:trPr>
        <w:tc>
          <w:tcPr>
            <w:tcW w:w="723" w:type="pct"/>
            <w:vMerge w:val="continue"/>
            <w:tcBorders>
              <w:left w:val="single" w:color="auto" w:sz="4" w:space="0"/>
              <w:bottom w:val="single" w:color="auto" w:sz="8" w:space="0"/>
              <w:right w:val="single" w:color="auto" w:sz="8" w:space="0"/>
            </w:tcBorders>
            <w:vAlign w:val="center"/>
          </w:tcPr>
          <w:p/>
        </w:tc>
        <w:tc>
          <w:tcPr>
            <w:tcW w:w="4276" w:type="pct"/>
            <w:tcBorders>
              <w:top w:val="single" w:color="auto" w:sz="8" w:space="0"/>
              <w:left w:val="nil"/>
              <w:bottom w:val="single" w:color="auto" w:sz="8" w:space="0"/>
              <w:right w:val="single" w:color="auto" w:sz="4" w:space="0"/>
            </w:tcBorders>
          </w:tcPr>
          <w:p>
            <w:pPr>
              <w:rPr>
                <w:rFonts w:hint="default" w:ascii="宋体" w:hAnsi="宋体" w:eastAsiaTheme="minorEastAsia"/>
                <w:szCs w:val="21"/>
                <w:lang w:eastAsia="zh-Hans"/>
              </w:rPr>
            </w:pPr>
            <w:r>
              <w:rPr>
                <w:rFonts w:hint="default" w:ascii="宋体" w:hAnsi="宋体"/>
                <w:szCs w:val="21"/>
              </w:rPr>
              <w:t>7，</w:t>
            </w:r>
            <w:r>
              <w:rPr>
                <w:rFonts w:hint="eastAsia" w:ascii="宋体" w:hAnsi="宋体"/>
                <w:szCs w:val="21"/>
                <w:lang w:val="en-US" w:eastAsia="zh-Hans"/>
              </w:rPr>
              <w:t>具有流量控制功能</w:t>
            </w:r>
            <w:r>
              <w:rPr>
                <w:rFonts w:hint="default" w:ascii="宋体" w:hAnsi="宋体"/>
                <w:szCs w:val="21"/>
                <w:lang w:eastAsia="zh-Hans"/>
              </w:rPr>
              <w:t>，</w:t>
            </w:r>
            <w:r>
              <w:rPr>
                <w:rFonts w:hint="eastAsia" w:ascii="宋体" w:hAnsi="宋体"/>
                <w:szCs w:val="21"/>
                <w:lang w:val="en-US" w:eastAsia="zh-Hans"/>
              </w:rPr>
              <w:t>通过限制源端分析速度</w:t>
            </w:r>
            <w:r>
              <w:rPr>
                <w:rFonts w:hint="default" w:ascii="宋体" w:hAnsi="宋体"/>
                <w:szCs w:val="21"/>
                <w:lang w:eastAsia="zh-Hans"/>
              </w:rPr>
              <w:t>，</w:t>
            </w:r>
            <w:r>
              <w:rPr>
                <w:rFonts w:hint="eastAsia" w:ascii="宋体" w:hAnsi="宋体"/>
                <w:szCs w:val="21"/>
                <w:lang w:val="en-US" w:eastAsia="zh-Hans"/>
              </w:rPr>
              <w:t>匹配容灾端接受数据的速度</w:t>
            </w:r>
            <w:r>
              <w:rPr>
                <w:rFonts w:hint="default" w:ascii="宋体" w:hAnsi="宋体"/>
                <w:szCs w:val="21"/>
                <w:lang w:eastAsia="zh-Hans"/>
              </w:rPr>
              <w:t>，</w:t>
            </w:r>
            <w:r>
              <w:rPr>
                <w:rFonts w:ascii="Times New Roman" w:hAnsi="Times New Roman" w:eastAsia="宋体" w:cs="Times New Roman"/>
                <w:b/>
                <w:bCs/>
                <w:color w:val="000000"/>
                <w:kern w:val="0"/>
                <w:szCs w:val="21"/>
                <w:highlight w:val="none"/>
              </w:rPr>
              <w:t>提供CNAS或CMA的第三方测试机构的证明材料</w:t>
            </w:r>
          </w:p>
        </w:tc>
      </w:tr>
      <w:tr>
        <w:tblPrEx>
          <w:tblCellMar>
            <w:top w:w="0" w:type="dxa"/>
            <w:left w:w="108" w:type="dxa"/>
            <w:bottom w:w="0" w:type="dxa"/>
            <w:right w:w="108" w:type="dxa"/>
          </w:tblCellMar>
        </w:tblPrEx>
        <w:trPr>
          <w:trHeight w:val="208" w:hRule="atLeast"/>
          <w:tblHeader/>
          <w:jc w:val="center"/>
        </w:trPr>
        <w:tc>
          <w:tcPr>
            <w:tcW w:w="723" w:type="pct"/>
            <w:vMerge w:val="continue"/>
            <w:tcBorders>
              <w:left w:val="single" w:color="auto" w:sz="4" w:space="0"/>
              <w:bottom w:val="single" w:color="auto" w:sz="8" w:space="0"/>
              <w:right w:val="single" w:color="auto" w:sz="8" w:space="0"/>
            </w:tcBorders>
            <w:vAlign w:val="center"/>
          </w:tcPr>
          <w:p>
            <w:pPr>
              <w:rPr>
                <w:rFonts w:hint="eastAsia" w:ascii="宋体" w:hAnsi="宋体"/>
                <w:szCs w:val="21"/>
              </w:rPr>
            </w:pPr>
          </w:p>
        </w:tc>
        <w:tc>
          <w:tcPr>
            <w:tcW w:w="4276" w:type="pct"/>
            <w:tcBorders>
              <w:top w:val="single" w:color="auto" w:sz="8" w:space="0"/>
              <w:left w:val="nil"/>
              <w:bottom w:val="single" w:color="auto" w:sz="8" w:space="0"/>
              <w:right w:val="single" w:color="auto" w:sz="4" w:space="0"/>
            </w:tcBorders>
          </w:tcPr>
          <w:p>
            <w:pPr>
              <w:rPr>
                <w:rFonts w:hint="default" w:ascii="宋体" w:hAnsi="宋体" w:eastAsiaTheme="minorEastAsia"/>
                <w:szCs w:val="21"/>
                <w:lang w:eastAsia="zh-Hans"/>
              </w:rPr>
            </w:pPr>
            <w:r>
              <w:rPr>
                <w:rFonts w:hint="default" w:ascii="宋体" w:hAnsi="宋体"/>
                <w:szCs w:val="21"/>
              </w:rPr>
              <w:t>8，</w:t>
            </w:r>
            <w:r>
              <w:rPr>
                <w:rFonts w:hint="eastAsia" w:ascii="宋体" w:hAnsi="宋体"/>
                <w:szCs w:val="21"/>
                <w:lang w:val="en-US" w:eastAsia="zh-Hans"/>
              </w:rPr>
              <w:t>在进行数据同步的过程中</w:t>
            </w:r>
            <w:r>
              <w:rPr>
                <w:rFonts w:hint="default" w:ascii="宋体" w:hAnsi="宋体"/>
                <w:szCs w:val="21"/>
                <w:lang w:eastAsia="zh-Hans"/>
              </w:rPr>
              <w:t>，</w:t>
            </w:r>
            <w:r>
              <w:rPr>
                <w:rFonts w:hint="eastAsia" w:ascii="宋体" w:hAnsi="宋体"/>
                <w:szCs w:val="21"/>
                <w:lang w:val="en-US" w:eastAsia="zh-Hans"/>
              </w:rPr>
              <w:t>源端数据库和目标端数据库的常规业务不会被中断</w:t>
            </w:r>
            <w:r>
              <w:rPr>
                <w:rFonts w:hint="default" w:ascii="宋体" w:hAnsi="宋体"/>
                <w:szCs w:val="21"/>
                <w:lang w:eastAsia="zh-Hans"/>
              </w:rPr>
              <w:t>，</w:t>
            </w:r>
            <w:r>
              <w:rPr>
                <w:rFonts w:hint="eastAsia" w:ascii="宋体" w:hAnsi="宋体"/>
                <w:szCs w:val="21"/>
                <w:lang w:val="en-US" w:eastAsia="zh-Hans"/>
              </w:rPr>
              <w:t>可以继续执行数据读取</w:t>
            </w:r>
            <w:r>
              <w:rPr>
                <w:rFonts w:hint="default" w:ascii="宋体" w:hAnsi="宋体"/>
                <w:szCs w:val="21"/>
                <w:lang w:eastAsia="zh-Hans"/>
              </w:rPr>
              <w:t>、</w:t>
            </w:r>
            <w:r>
              <w:rPr>
                <w:rFonts w:hint="eastAsia" w:ascii="宋体" w:hAnsi="宋体"/>
                <w:szCs w:val="21"/>
                <w:lang w:val="en-US" w:eastAsia="zh-Hans"/>
              </w:rPr>
              <w:t>查询等操作</w:t>
            </w:r>
            <w:r>
              <w:rPr>
                <w:rFonts w:hint="default" w:ascii="宋体" w:hAnsi="宋体" w:cs="仿宋_GB2312"/>
                <w:szCs w:val="21"/>
                <w:lang w:eastAsia="zh-Hans"/>
              </w:rPr>
              <w:t>。</w:t>
            </w:r>
          </w:p>
        </w:tc>
      </w:tr>
      <w:tr>
        <w:tblPrEx>
          <w:tblCellMar>
            <w:top w:w="0" w:type="dxa"/>
            <w:left w:w="108" w:type="dxa"/>
            <w:bottom w:w="0" w:type="dxa"/>
            <w:right w:w="108" w:type="dxa"/>
          </w:tblCellMar>
        </w:tblPrEx>
        <w:trPr>
          <w:trHeight w:val="825" w:hRule="atLeast"/>
          <w:tblHeader/>
          <w:jc w:val="center"/>
        </w:trPr>
        <w:tc>
          <w:tcPr>
            <w:tcW w:w="723" w:type="pct"/>
            <w:vMerge w:val="restart"/>
            <w:tcBorders>
              <w:top w:val="single" w:color="auto" w:sz="8" w:space="0"/>
              <w:left w:val="single" w:color="auto" w:sz="4" w:space="0"/>
              <w:right w:val="single" w:color="auto" w:sz="8" w:space="0"/>
            </w:tcBorders>
            <w:vAlign w:val="center"/>
          </w:tcPr>
          <w:p>
            <w:pPr>
              <w:rPr>
                <w:rFonts w:ascii="宋体" w:hAnsi="宋体"/>
                <w:szCs w:val="21"/>
              </w:rPr>
            </w:pPr>
            <w:r>
              <w:rPr>
                <w:rFonts w:hint="eastAsia" w:ascii="宋体" w:hAnsi="宋体"/>
                <w:szCs w:val="21"/>
              </w:rPr>
              <w:t>故障应对能力</w:t>
            </w:r>
          </w:p>
        </w:tc>
        <w:tc>
          <w:tcPr>
            <w:tcW w:w="4276" w:type="pct"/>
            <w:tcBorders>
              <w:top w:val="single" w:color="auto" w:sz="8" w:space="0"/>
              <w:left w:val="nil"/>
              <w:bottom w:val="single" w:color="auto" w:sz="8" w:space="0"/>
              <w:right w:val="single" w:color="auto" w:sz="4" w:space="0"/>
            </w:tcBorders>
          </w:tcPr>
          <w:p>
            <w:pPr>
              <w:rPr>
                <w:rFonts w:ascii="宋体" w:hAnsi="宋体"/>
                <w:szCs w:val="21"/>
              </w:rPr>
            </w:pPr>
            <w:r>
              <w:rPr>
                <w:rFonts w:hint="eastAsia" w:ascii="宋体" w:hAnsi="宋体"/>
                <w:szCs w:val="21"/>
              </w:rPr>
              <w:t>1、在遇到系统错误引起的复制中断时，例如硬件故障、数据库故障、网络中断或延迟，分级存储机制能完好的保存已经合成的交易信息，避免数据丢失，直到系统故障解决，恢复从队列传输的中断点开始；</w:t>
            </w:r>
          </w:p>
        </w:tc>
      </w:tr>
      <w:tr>
        <w:tblPrEx>
          <w:tblCellMar>
            <w:top w:w="0" w:type="dxa"/>
            <w:left w:w="108" w:type="dxa"/>
            <w:bottom w:w="0" w:type="dxa"/>
            <w:right w:w="108" w:type="dxa"/>
          </w:tblCellMar>
        </w:tblPrEx>
        <w:trPr>
          <w:trHeight w:val="825" w:hRule="atLeast"/>
          <w:tblHeader/>
          <w:jc w:val="center"/>
        </w:trPr>
        <w:tc>
          <w:tcPr>
            <w:tcW w:w="723" w:type="pct"/>
            <w:vMerge w:val="continue"/>
            <w:tcBorders>
              <w:left w:val="single" w:color="auto" w:sz="4" w:space="0"/>
              <w:right w:val="single" w:color="auto" w:sz="8" w:space="0"/>
            </w:tcBorders>
            <w:vAlign w:val="center"/>
          </w:tcPr>
          <w:p/>
        </w:tc>
        <w:tc>
          <w:tcPr>
            <w:tcW w:w="4276" w:type="pct"/>
            <w:tcBorders>
              <w:top w:val="single" w:color="auto" w:sz="8" w:space="0"/>
              <w:left w:val="nil"/>
              <w:bottom w:val="single" w:color="auto" w:sz="8" w:space="0"/>
              <w:right w:val="single" w:color="auto" w:sz="4" w:space="0"/>
            </w:tcBorders>
          </w:tcPr>
          <w:p>
            <w:pPr>
              <w:rPr>
                <w:rFonts w:hint="eastAsia" w:ascii="宋体" w:hAnsi="宋体"/>
                <w:szCs w:val="21"/>
              </w:rPr>
            </w:pPr>
            <w:r>
              <w:rPr>
                <w:rFonts w:hint="eastAsia" w:ascii="宋体" w:hAnsi="宋体"/>
                <w:szCs w:val="21"/>
              </w:rPr>
              <w:t>2、系统需提供数据比对功能，如果发现不一致情况后能够提供便利的单表以及单用户的数据修复工作，要求操作简单，修复速度快，且修复过程中不影响业务正常运行。</w:t>
            </w:r>
          </w:p>
        </w:tc>
      </w:tr>
      <w:tr>
        <w:tblPrEx>
          <w:tblCellMar>
            <w:top w:w="0" w:type="dxa"/>
            <w:left w:w="108" w:type="dxa"/>
            <w:bottom w:w="0" w:type="dxa"/>
            <w:right w:w="108" w:type="dxa"/>
          </w:tblCellMar>
        </w:tblPrEx>
        <w:trPr>
          <w:trHeight w:val="200" w:hRule="atLeast"/>
          <w:tblHeader/>
          <w:jc w:val="center"/>
        </w:trPr>
        <w:tc>
          <w:tcPr>
            <w:tcW w:w="723" w:type="pct"/>
            <w:vMerge w:val="continue"/>
            <w:tcBorders>
              <w:left w:val="single" w:color="auto" w:sz="4" w:space="0"/>
              <w:bottom w:val="single" w:color="auto" w:sz="8" w:space="0"/>
              <w:right w:val="single" w:color="auto" w:sz="8" w:space="0"/>
            </w:tcBorders>
            <w:vAlign w:val="center"/>
          </w:tcPr>
          <w:p>
            <w:pPr>
              <w:rPr>
                <w:rFonts w:hint="eastAsia" w:ascii="宋体" w:hAnsi="宋体"/>
                <w:szCs w:val="21"/>
              </w:rPr>
            </w:pPr>
          </w:p>
        </w:tc>
        <w:tc>
          <w:tcPr>
            <w:tcW w:w="4276" w:type="pct"/>
            <w:tcBorders>
              <w:top w:val="single" w:color="auto" w:sz="8" w:space="0"/>
              <w:left w:val="nil"/>
              <w:bottom w:val="single" w:color="auto" w:sz="8" w:space="0"/>
              <w:right w:val="single" w:color="auto" w:sz="4" w:space="0"/>
            </w:tcBorders>
          </w:tcPr>
          <w:p>
            <w:pPr>
              <w:rPr>
                <w:rFonts w:hint="eastAsia" w:ascii="宋体" w:hAnsi="宋体"/>
                <w:szCs w:val="21"/>
              </w:rPr>
            </w:pPr>
            <w:r>
              <w:rPr>
                <w:rFonts w:hint="eastAsia" w:ascii="宋体" w:hAnsi="宋体"/>
                <w:szCs w:val="21"/>
              </w:rPr>
              <w:t>3、主备之间切换后，支持快速的增量回切、全量回切功能。</w:t>
            </w:r>
          </w:p>
        </w:tc>
      </w:tr>
      <w:tr>
        <w:tblPrEx>
          <w:tblCellMar>
            <w:top w:w="0" w:type="dxa"/>
            <w:left w:w="108" w:type="dxa"/>
            <w:bottom w:w="0" w:type="dxa"/>
            <w:right w:w="108" w:type="dxa"/>
          </w:tblCellMar>
        </w:tblPrEx>
        <w:trPr>
          <w:trHeight w:val="200" w:hRule="atLeast"/>
          <w:tblHeader/>
          <w:jc w:val="center"/>
        </w:trPr>
        <w:tc>
          <w:tcPr>
            <w:tcW w:w="723" w:type="pct"/>
            <w:vMerge w:val="continue"/>
            <w:tcBorders>
              <w:left w:val="single" w:color="auto" w:sz="4" w:space="0"/>
              <w:bottom w:val="single" w:color="auto" w:sz="8" w:space="0"/>
              <w:right w:val="single" w:color="auto" w:sz="8" w:space="0"/>
            </w:tcBorders>
            <w:vAlign w:val="center"/>
          </w:tcPr>
          <w:p/>
        </w:tc>
        <w:tc>
          <w:tcPr>
            <w:tcW w:w="4276" w:type="pct"/>
            <w:tcBorders>
              <w:top w:val="single" w:color="auto" w:sz="8" w:space="0"/>
              <w:left w:val="nil"/>
              <w:bottom w:val="single" w:color="auto" w:sz="8" w:space="0"/>
              <w:right w:val="single" w:color="auto" w:sz="4" w:space="0"/>
            </w:tcBorders>
          </w:tcPr>
          <w:p>
            <w:pPr>
              <w:rPr>
                <w:rFonts w:hint="default" w:ascii="宋体" w:hAnsi="宋体" w:eastAsiaTheme="minorEastAsia"/>
                <w:szCs w:val="21"/>
                <w:lang w:eastAsia="zh-Hans"/>
              </w:rPr>
            </w:pPr>
            <w:r>
              <w:rPr>
                <w:rFonts w:hint="default" w:ascii="宋体" w:hAnsi="宋体"/>
                <w:szCs w:val="21"/>
              </w:rPr>
              <w:t>4、</w:t>
            </w:r>
            <w:r>
              <w:rPr>
                <w:rFonts w:hint="eastAsia" w:ascii="宋体" w:hAnsi="宋体"/>
                <w:szCs w:val="21"/>
                <w:lang w:val="en-US" w:eastAsia="zh-Hans"/>
              </w:rPr>
              <w:t>数据修复功能</w:t>
            </w:r>
            <w:r>
              <w:rPr>
                <w:rFonts w:hint="default" w:ascii="宋体" w:hAnsi="宋体"/>
                <w:szCs w:val="21"/>
                <w:lang w:eastAsia="zh-Hans"/>
              </w:rPr>
              <w:t>，</w:t>
            </w:r>
            <w:r>
              <w:rPr>
                <w:rFonts w:hint="eastAsia" w:ascii="宋体" w:hAnsi="宋体"/>
                <w:szCs w:val="21"/>
                <w:lang w:val="en-US" w:eastAsia="zh-Hans"/>
              </w:rPr>
              <w:t>当出现数据不一致的情况时</w:t>
            </w:r>
            <w:r>
              <w:rPr>
                <w:rFonts w:hint="default" w:ascii="宋体" w:hAnsi="宋体"/>
                <w:szCs w:val="21"/>
                <w:lang w:eastAsia="zh-Hans"/>
              </w:rPr>
              <w:t>，</w:t>
            </w:r>
            <w:r>
              <w:rPr>
                <w:rFonts w:hint="eastAsia" w:ascii="宋体" w:hAnsi="宋体"/>
                <w:szCs w:val="21"/>
                <w:lang w:val="en-US" w:eastAsia="zh-Hans"/>
              </w:rPr>
              <w:t>可以对不一致的数据进行同步</w:t>
            </w:r>
            <w:r>
              <w:rPr>
                <w:rFonts w:hint="default" w:ascii="宋体" w:hAnsi="宋体"/>
                <w:szCs w:val="21"/>
                <w:lang w:eastAsia="zh-Hans"/>
              </w:rPr>
              <w:t>。</w:t>
            </w:r>
            <w:r>
              <w:rPr>
                <w:rFonts w:ascii="Times New Roman" w:hAnsi="Times New Roman" w:eastAsia="宋体" w:cs="Times New Roman"/>
                <w:b/>
                <w:bCs/>
                <w:color w:val="000000"/>
                <w:kern w:val="0"/>
                <w:szCs w:val="21"/>
                <w:highlight w:val="none"/>
              </w:rPr>
              <w:t>提供CNAS或CMA的第三方测试机构的证明材料</w:t>
            </w:r>
          </w:p>
        </w:tc>
      </w:tr>
      <w:tr>
        <w:tblPrEx>
          <w:tblCellMar>
            <w:top w:w="0" w:type="dxa"/>
            <w:left w:w="108" w:type="dxa"/>
            <w:bottom w:w="0" w:type="dxa"/>
            <w:right w:w="108" w:type="dxa"/>
          </w:tblCellMar>
        </w:tblPrEx>
        <w:trPr>
          <w:trHeight w:val="325" w:hRule="atLeast"/>
          <w:tblHeader/>
          <w:jc w:val="center"/>
        </w:trPr>
        <w:tc>
          <w:tcPr>
            <w:tcW w:w="723" w:type="pct"/>
            <w:vMerge w:val="restart"/>
            <w:tcBorders>
              <w:top w:val="single" w:color="auto" w:sz="8" w:space="0"/>
              <w:left w:val="single" w:color="auto" w:sz="4" w:space="0"/>
              <w:right w:val="single" w:color="auto" w:sz="8" w:space="0"/>
            </w:tcBorders>
            <w:vAlign w:val="center"/>
          </w:tcPr>
          <w:p>
            <w:pPr>
              <w:widowControl/>
              <w:spacing w:line="240" w:lineRule="atLeast"/>
              <w:jc w:val="center"/>
              <w:rPr>
                <w:rFonts w:ascii="宋体" w:hAnsi="宋体"/>
                <w:szCs w:val="21"/>
              </w:rPr>
            </w:pPr>
            <w:r>
              <w:rPr>
                <w:rFonts w:hint="eastAsia" w:ascii="宋体" w:hAnsi="宋体"/>
                <w:szCs w:val="21"/>
              </w:rPr>
              <w:t>管理监控功能</w:t>
            </w:r>
          </w:p>
        </w:tc>
        <w:tc>
          <w:tcPr>
            <w:tcW w:w="4276" w:type="pct"/>
            <w:tcBorders>
              <w:top w:val="single" w:color="auto" w:sz="8" w:space="0"/>
              <w:left w:val="nil"/>
              <w:bottom w:val="single" w:color="auto" w:sz="8" w:space="0"/>
              <w:right w:val="single" w:color="auto" w:sz="4" w:space="0"/>
            </w:tcBorders>
          </w:tcPr>
          <w:p>
            <w:pPr>
              <w:rPr>
                <w:rFonts w:ascii="宋体" w:hAnsi="宋体"/>
                <w:szCs w:val="21"/>
              </w:rPr>
            </w:pPr>
            <w:r>
              <w:rPr>
                <w:rFonts w:hint="eastAsia" w:ascii="宋体" w:hAnsi="宋体"/>
                <w:szCs w:val="21"/>
              </w:rPr>
              <w:t>1、要求提供中文操作界面；</w:t>
            </w:r>
          </w:p>
        </w:tc>
      </w:tr>
      <w:tr>
        <w:tblPrEx>
          <w:tblCellMar>
            <w:top w:w="0" w:type="dxa"/>
            <w:left w:w="108" w:type="dxa"/>
            <w:bottom w:w="0" w:type="dxa"/>
            <w:right w:w="108" w:type="dxa"/>
          </w:tblCellMar>
        </w:tblPrEx>
        <w:trPr>
          <w:trHeight w:val="463" w:hRule="atLeast"/>
          <w:tblHeader/>
          <w:jc w:val="center"/>
        </w:trPr>
        <w:tc>
          <w:tcPr>
            <w:tcW w:w="723" w:type="pct"/>
            <w:vMerge w:val="continue"/>
            <w:tcBorders>
              <w:left w:val="single" w:color="auto" w:sz="4" w:space="0"/>
              <w:right w:val="single" w:color="auto" w:sz="8" w:space="0"/>
            </w:tcBorders>
            <w:vAlign w:val="center"/>
          </w:tcPr>
          <w:p/>
        </w:tc>
        <w:tc>
          <w:tcPr>
            <w:tcW w:w="4276" w:type="pct"/>
            <w:tcBorders>
              <w:top w:val="single" w:color="auto" w:sz="8" w:space="0"/>
              <w:left w:val="nil"/>
              <w:bottom w:val="single" w:color="auto" w:sz="8" w:space="0"/>
              <w:right w:val="single" w:color="auto" w:sz="4" w:space="0"/>
            </w:tcBorders>
          </w:tcPr>
          <w:p>
            <w:pPr>
              <w:rPr>
                <w:rFonts w:hint="eastAsia" w:ascii="宋体" w:hAnsi="宋体"/>
                <w:szCs w:val="21"/>
              </w:rPr>
            </w:pPr>
            <w:r>
              <w:rPr>
                <w:rFonts w:hint="eastAsia" w:ascii="宋体" w:hAnsi="宋体"/>
                <w:szCs w:val="21"/>
              </w:rPr>
              <w:t>2、复制软件需提供统一的管理监控功能，能实现对复制软件的运行状态、运行日志、系统配置等方面进行统一的管理及监控；</w:t>
            </w:r>
          </w:p>
        </w:tc>
      </w:tr>
      <w:tr>
        <w:tblPrEx>
          <w:tblCellMar>
            <w:top w:w="0" w:type="dxa"/>
            <w:left w:w="108" w:type="dxa"/>
            <w:bottom w:w="0" w:type="dxa"/>
            <w:right w:w="108" w:type="dxa"/>
          </w:tblCellMar>
        </w:tblPrEx>
        <w:trPr>
          <w:trHeight w:val="463" w:hRule="atLeast"/>
          <w:tblHeader/>
          <w:jc w:val="center"/>
        </w:trPr>
        <w:tc>
          <w:tcPr>
            <w:tcW w:w="723" w:type="pct"/>
            <w:vMerge w:val="continue"/>
            <w:tcBorders>
              <w:left w:val="single" w:color="auto" w:sz="4" w:space="0"/>
              <w:right w:val="single" w:color="auto" w:sz="8" w:space="0"/>
            </w:tcBorders>
            <w:vAlign w:val="center"/>
          </w:tcPr>
          <w:p>
            <w:pPr>
              <w:rPr>
                <w:rFonts w:hint="eastAsia" w:ascii="宋体" w:hAnsi="宋体"/>
                <w:szCs w:val="21"/>
              </w:rPr>
            </w:pPr>
          </w:p>
        </w:tc>
        <w:tc>
          <w:tcPr>
            <w:tcW w:w="4276" w:type="pct"/>
            <w:tcBorders>
              <w:top w:val="single" w:color="auto" w:sz="8" w:space="0"/>
              <w:left w:val="nil"/>
              <w:bottom w:val="single" w:color="auto" w:sz="8" w:space="0"/>
              <w:right w:val="single" w:color="auto" w:sz="4" w:space="0"/>
            </w:tcBorders>
          </w:tcPr>
          <w:p>
            <w:pPr>
              <w:rPr>
                <w:rFonts w:hint="eastAsia" w:ascii="宋体" w:hAnsi="宋体"/>
                <w:szCs w:val="21"/>
              </w:rPr>
            </w:pPr>
            <w:r>
              <w:rPr>
                <w:rFonts w:hint="eastAsia" w:ascii="宋体" w:hAnsi="宋体"/>
                <w:szCs w:val="21"/>
              </w:rPr>
              <w:t>3、系统软件应具有故障的监视和诊断能力，出现不正常情况时，应能及时识别并发出告警信息；</w:t>
            </w:r>
          </w:p>
        </w:tc>
      </w:tr>
      <w:tr>
        <w:tblPrEx>
          <w:tblCellMar>
            <w:top w:w="0" w:type="dxa"/>
            <w:left w:w="108" w:type="dxa"/>
            <w:bottom w:w="0" w:type="dxa"/>
            <w:right w:w="108" w:type="dxa"/>
          </w:tblCellMar>
        </w:tblPrEx>
        <w:trPr>
          <w:trHeight w:val="463" w:hRule="atLeast"/>
          <w:tblHeader/>
          <w:jc w:val="center"/>
        </w:trPr>
        <w:tc>
          <w:tcPr>
            <w:tcW w:w="723" w:type="pct"/>
            <w:vMerge w:val="continue"/>
            <w:tcBorders>
              <w:left w:val="single" w:color="auto" w:sz="4" w:space="0"/>
              <w:bottom w:val="single" w:color="auto" w:sz="8" w:space="0"/>
              <w:right w:val="single" w:color="auto" w:sz="8" w:space="0"/>
            </w:tcBorders>
            <w:vAlign w:val="center"/>
          </w:tcPr>
          <w:p>
            <w:pPr>
              <w:rPr>
                <w:rFonts w:hint="eastAsia" w:ascii="宋体" w:hAnsi="宋体"/>
                <w:szCs w:val="21"/>
              </w:rPr>
            </w:pPr>
          </w:p>
        </w:tc>
        <w:tc>
          <w:tcPr>
            <w:tcW w:w="4276" w:type="pct"/>
            <w:tcBorders>
              <w:top w:val="single" w:color="auto" w:sz="8" w:space="0"/>
              <w:left w:val="nil"/>
              <w:bottom w:val="single" w:color="auto" w:sz="8" w:space="0"/>
              <w:right w:val="single" w:color="auto" w:sz="4" w:space="0"/>
            </w:tcBorders>
          </w:tcPr>
          <w:p>
            <w:pPr>
              <w:rPr>
                <w:rFonts w:hint="eastAsia" w:ascii="宋体" w:hAnsi="宋体" w:eastAsiaTheme="minorEastAsia"/>
                <w:szCs w:val="21"/>
                <w:lang w:eastAsia="zh-CN"/>
              </w:rPr>
            </w:pPr>
            <w:r>
              <w:rPr>
                <w:rFonts w:hint="eastAsia" w:ascii="宋体" w:hAnsi="宋体"/>
                <w:szCs w:val="21"/>
              </w:rPr>
              <w:t>4、提供源端与目标端的数据比对功能。</w:t>
            </w:r>
            <w:r>
              <w:rPr>
                <w:rFonts w:hint="eastAsia" w:ascii="宋体" w:hAnsi="宋体"/>
                <w:szCs w:val="21"/>
                <w:lang w:val="en-US" w:eastAsia="zh-Hans"/>
              </w:rPr>
              <w:t>可以对同构数据库中对数据进行比对</w:t>
            </w:r>
            <w:r>
              <w:rPr>
                <w:rFonts w:hint="default" w:ascii="宋体" w:hAnsi="宋体"/>
                <w:szCs w:val="21"/>
                <w:lang w:eastAsia="zh-Hans"/>
              </w:rPr>
              <w:t>，</w:t>
            </w:r>
            <w:r>
              <w:rPr>
                <w:rFonts w:hint="eastAsia" w:ascii="宋体" w:hAnsi="宋体"/>
                <w:szCs w:val="21"/>
                <w:lang w:val="en-US" w:eastAsia="zh-Hans"/>
              </w:rPr>
              <w:t>也可以对异构数据库中对数据进行比对</w:t>
            </w:r>
            <w:r>
              <w:rPr>
                <w:rFonts w:hint="eastAsia" w:ascii="宋体" w:hAnsi="宋体"/>
                <w:szCs w:val="21"/>
                <w:lang w:eastAsia="zh-CN"/>
              </w:rPr>
              <w:t>。</w:t>
            </w:r>
          </w:p>
        </w:tc>
      </w:tr>
      <w:tr>
        <w:tblPrEx>
          <w:tblCellMar>
            <w:top w:w="0" w:type="dxa"/>
            <w:left w:w="108" w:type="dxa"/>
            <w:bottom w:w="0" w:type="dxa"/>
            <w:right w:w="108" w:type="dxa"/>
          </w:tblCellMar>
        </w:tblPrEx>
        <w:trPr>
          <w:tblHeader/>
          <w:jc w:val="center"/>
        </w:trPr>
        <w:tc>
          <w:tcPr>
            <w:tcW w:w="723" w:type="pct"/>
            <w:tcBorders>
              <w:top w:val="single" w:color="auto" w:sz="8" w:space="0"/>
              <w:left w:val="single" w:color="auto" w:sz="4" w:space="0"/>
              <w:bottom w:val="single" w:color="auto" w:sz="8" w:space="0"/>
              <w:right w:val="single" w:color="auto" w:sz="8" w:space="0"/>
            </w:tcBorders>
            <w:vAlign w:val="center"/>
          </w:tcPr>
          <w:p>
            <w:pPr>
              <w:widowControl/>
              <w:spacing w:line="240" w:lineRule="atLeast"/>
              <w:jc w:val="center"/>
              <w:rPr>
                <w:rFonts w:ascii="宋体" w:hAnsi="宋体"/>
                <w:szCs w:val="21"/>
              </w:rPr>
            </w:pPr>
            <w:r>
              <w:rPr>
                <w:rFonts w:hint="eastAsia" w:ascii="宋体" w:hAnsi="宋体"/>
                <w:szCs w:val="21"/>
              </w:rPr>
              <w:t>备份策略</w:t>
            </w:r>
          </w:p>
        </w:tc>
        <w:tc>
          <w:tcPr>
            <w:tcW w:w="4276" w:type="pct"/>
            <w:tcBorders>
              <w:top w:val="single" w:color="auto" w:sz="8" w:space="0"/>
              <w:left w:val="nil"/>
              <w:bottom w:val="single" w:color="auto" w:sz="8" w:space="0"/>
              <w:right w:val="single" w:color="auto" w:sz="4" w:space="0"/>
            </w:tcBorders>
          </w:tcPr>
          <w:p>
            <w:pPr>
              <w:widowControl/>
              <w:spacing w:line="240" w:lineRule="atLeast"/>
              <w:jc w:val="left"/>
              <w:rPr>
                <w:rFonts w:ascii="宋体" w:hAnsi="宋体"/>
                <w:szCs w:val="21"/>
              </w:rPr>
            </w:pPr>
            <w:r>
              <w:rPr>
                <w:rFonts w:hint="eastAsia" w:ascii="宋体" w:hAnsi="宋体"/>
                <w:szCs w:val="21"/>
              </w:rPr>
              <w:t>提供自动备份策略管理，提供备份策略的制定、自动执行、执行结果的报告等支持。</w:t>
            </w:r>
          </w:p>
        </w:tc>
      </w:tr>
      <w:tr>
        <w:tblPrEx>
          <w:tblCellMar>
            <w:top w:w="0" w:type="dxa"/>
            <w:left w:w="108" w:type="dxa"/>
            <w:bottom w:w="0" w:type="dxa"/>
            <w:right w:w="108" w:type="dxa"/>
          </w:tblCellMar>
        </w:tblPrEx>
        <w:trPr>
          <w:tblHeader/>
          <w:jc w:val="center"/>
        </w:trPr>
        <w:tc>
          <w:tcPr>
            <w:tcW w:w="723" w:type="pct"/>
            <w:tcBorders>
              <w:top w:val="single" w:color="auto" w:sz="8" w:space="0"/>
              <w:left w:val="single" w:color="auto" w:sz="4" w:space="0"/>
              <w:bottom w:val="single" w:color="auto" w:sz="4" w:space="0"/>
              <w:right w:val="single" w:color="auto" w:sz="8" w:space="0"/>
            </w:tcBorders>
            <w:vAlign w:val="center"/>
          </w:tcPr>
          <w:p>
            <w:pPr>
              <w:widowControl/>
              <w:spacing w:line="240" w:lineRule="atLeast"/>
              <w:jc w:val="center"/>
              <w:rPr>
                <w:rFonts w:hint="eastAsia" w:ascii="宋体" w:hAnsi="宋体" w:eastAsia="宋体"/>
                <w:szCs w:val="21"/>
                <w:highlight w:val="none"/>
                <w:lang w:eastAsia="zh-CN"/>
              </w:rPr>
            </w:pPr>
            <w:r>
              <w:rPr>
                <w:rFonts w:hint="eastAsia" w:ascii="宋体" w:hAnsi="宋体"/>
                <w:szCs w:val="21"/>
                <w:highlight w:val="none"/>
                <w:lang w:eastAsia="zh-CN"/>
              </w:rPr>
              <w:t>其他</w:t>
            </w:r>
          </w:p>
        </w:tc>
        <w:tc>
          <w:tcPr>
            <w:tcW w:w="4276" w:type="pct"/>
            <w:tcBorders>
              <w:top w:val="single" w:color="auto" w:sz="8" w:space="0"/>
              <w:left w:val="nil"/>
              <w:bottom w:val="single" w:color="auto" w:sz="4" w:space="0"/>
              <w:right w:val="single" w:color="auto" w:sz="4" w:space="0"/>
            </w:tcBorders>
          </w:tcPr>
          <w:p>
            <w:pPr>
              <w:widowControl/>
              <w:spacing w:line="240" w:lineRule="atLeast"/>
              <w:jc w:val="left"/>
              <w:rPr>
                <w:rFonts w:hint="eastAsia" w:ascii="宋体" w:hAnsi="宋体" w:eastAsia="宋体"/>
                <w:szCs w:val="21"/>
                <w:highlight w:val="none"/>
                <w:lang w:val="en-US" w:eastAsia="zh-CN"/>
              </w:rPr>
            </w:pPr>
            <w:r>
              <w:rPr>
                <w:rFonts w:hint="eastAsia"/>
                <w:highlight w:val="none"/>
              </w:rPr>
              <w:t>由于</w:t>
            </w:r>
            <w:r>
              <w:rPr>
                <w:rFonts w:hint="eastAsia"/>
                <w:highlight w:val="none"/>
                <w:lang w:val="en-US" w:eastAsia="zh-Hans"/>
              </w:rPr>
              <w:t>医院</w:t>
            </w:r>
            <w:r>
              <w:rPr>
                <w:rFonts w:hint="eastAsia"/>
                <w:highlight w:val="none"/>
              </w:rPr>
              <w:t>信息不能泄露，要求所投产品具有备份恢复功能</w:t>
            </w:r>
            <w:r>
              <w:rPr>
                <w:rFonts w:hint="eastAsia"/>
                <w:highlight w:val="none"/>
                <w:lang w:eastAsia="zh-CN"/>
              </w:rPr>
              <w:t>。需</w:t>
            </w:r>
            <w:r>
              <w:rPr>
                <w:rFonts w:hint="eastAsia"/>
                <w:b/>
                <w:bCs/>
                <w:highlight w:val="none"/>
              </w:rPr>
              <w:t>提供国家保密科技测评中心</w:t>
            </w:r>
            <w:r>
              <w:rPr>
                <w:rFonts w:hint="eastAsia"/>
                <w:b/>
                <w:bCs/>
                <w:highlight w:val="none"/>
                <w:lang w:eastAsia="zh-CN"/>
              </w:rPr>
              <w:t>或具有</w:t>
            </w:r>
            <w:r>
              <w:rPr>
                <w:rFonts w:hint="eastAsia"/>
                <w:b/>
                <w:bCs/>
                <w:highlight w:val="none"/>
              </w:rPr>
              <w:t>CNAS</w:t>
            </w:r>
            <w:r>
              <w:rPr>
                <w:rFonts w:hint="eastAsia"/>
                <w:b/>
                <w:bCs/>
                <w:highlight w:val="none"/>
                <w:lang w:val="en-US" w:eastAsia="zh-CN"/>
              </w:rPr>
              <w:t>/</w:t>
            </w:r>
            <w:r>
              <w:rPr>
                <w:rFonts w:hint="eastAsia"/>
                <w:b/>
                <w:bCs/>
                <w:highlight w:val="none"/>
              </w:rPr>
              <w:t>CMA</w:t>
            </w:r>
            <w:r>
              <w:rPr>
                <w:rFonts w:hint="eastAsia"/>
                <w:b/>
                <w:bCs/>
                <w:highlight w:val="none"/>
                <w:lang w:eastAsia="zh-CN"/>
              </w:rPr>
              <w:t>检测资质</w:t>
            </w:r>
            <w:r>
              <w:rPr>
                <w:rFonts w:hint="eastAsia"/>
                <w:b/>
                <w:bCs/>
                <w:highlight w:val="none"/>
              </w:rPr>
              <w:t xml:space="preserve">的第三方测试机构的证明材料 </w:t>
            </w:r>
          </w:p>
        </w:tc>
      </w:tr>
    </w:tbl>
    <w:p>
      <w:pPr>
        <w:rPr>
          <w:rFonts w:hint="default" w:ascii="仿宋" w:hAnsi="仿宋" w:eastAsia="仿宋" w:cs="仿宋"/>
          <w:i w:val="0"/>
          <w:iCs w:val="0"/>
          <w:color w:val="000000"/>
          <w:kern w:val="0"/>
          <w:sz w:val="24"/>
          <w:szCs w:val="24"/>
          <w:u w:val="none"/>
          <w:lang w:val="en-US" w:eastAsia="zh-CN" w:bidi="ar"/>
        </w:rPr>
      </w:pPr>
    </w:p>
    <w:p>
      <w:pPr>
        <w:pStyle w:val="4"/>
        <w:bidi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数据脱敏</w:t>
      </w:r>
      <w:r>
        <w:rPr>
          <w:rFonts w:hint="eastAsia" w:asciiTheme="minorEastAsia" w:hAnsiTheme="minorEastAsia" w:eastAsiaTheme="minorEastAsia" w:cstheme="minorEastAsia"/>
          <w:sz w:val="24"/>
          <w:szCs w:val="24"/>
          <w:lang w:val="en-US" w:eastAsia="zh-CN"/>
        </w:rPr>
        <w:t>设备：</w:t>
      </w:r>
    </w:p>
    <w:tbl>
      <w:tblPr>
        <w:tblStyle w:val="6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8"/>
        <w:gridCol w:w="7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2" w:type="pct"/>
            <w:shd w:val="clear" w:color="000000" w:fill="BFBFBF"/>
            <w:vAlign w:val="center"/>
          </w:tcPr>
          <w:p>
            <w:pPr>
              <w:widowControl/>
              <w:jc w:val="center"/>
              <w:rPr>
                <w:rFonts w:ascii="宋体" w:hAnsi="宋体" w:eastAsia="宋体"/>
                <w:b/>
                <w:bCs/>
                <w:color w:val="000000"/>
                <w:kern w:val="0"/>
                <w:szCs w:val="20"/>
              </w:rPr>
            </w:pPr>
            <w:r>
              <w:rPr>
                <w:rFonts w:hint="eastAsia" w:ascii="宋体" w:hAnsi="宋体" w:eastAsia="宋体"/>
                <w:b/>
                <w:bCs/>
                <w:color w:val="000000"/>
                <w:kern w:val="0"/>
                <w:szCs w:val="20"/>
              </w:rPr>
              <w:t>指标项</w:t>
            </w:r>
          </w:p>
        </w:tc>
        <w:tc>
          <w:tcPr>
            <w:tcW w:w="4047" w:type="pct"/>
            <w:shd w:val="clear" w:color="auto" w:fill="BEBEBE" w:themeFill="background1" w:themeFillShade="BF"/>
            <w:vAlign w:val="center"/>
          </w:tcPr>
          <w:p>
            <w:pPr>
              <w:widowControl/>
              <w:jc w:val="center"/>
              <w:rPr>
                <w:rFonts w:ascii="宋体" w:hAnsi="宋体" w:eastAsia="宋体"/>
                <w:b/>
                <w:bCs/>
                <w:color w:val="000000"/>
                <w:kern w:val="0"/>
                <w:szCs w:val="20"/>
              </w:rPr>
            </w:pPr>
            <w:r>
              <w:rPr>
                <w:rFonts w:hint="eastAsia" w:ascii="宋体" w:hAnsi="宋体" w:eastAsia="宋体"/>
                <w:b/>
                <w:bCs/>
                <w:color w:val="000000"/>
                <w:kern w:val="0"/>
                <w:szCs w:val="20"/>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2" w:type="pct"/>
            <w:shd w:val="clear" w:color="auto" w:fill="auto"/>
            <w:vAlign w:val="center"/>
          </w:tcPr>
          <w:p>
            <w:pPr>
              <w:widowControl/>
              <w:spacing w:line="240" w:lineRule="atLeast"/>
              <w:jc w:val="center"/>
              <w:rPr>
                <w:rFonts w:ascii="宋体" w:hAnsi="宋体" w:eastAsia="宋体" w:cs="Times New Roman"/>
                <w:szCs w:val="21"/>
              </w:rPr>
            </w:pPr>
            <w:r>
              <w:rPr>
                <w:rFonts w:ascii="宋体" w:hAnsi="宋体" w:eastAsia="宋体" w:cs="Times New Roman"/>
                <w:szCs w:val="21"/>
              </w:rPr>
              <w:t>硬件</w:t>
            </w:r>
          </w:p>
          <w:p>
            <w:pPr>
              <w:widowControl/>
              <w:spacing w:line="240" w:lineRule="atLeast"/>
              <w:jc w:val="center"/>
              <w:rPr>
                <w:rFonts w:ascii="宋体" w:hAnsi="宋体" w:eastAsia="宋体" w:cs="Times New Roman"/>
                <w:szCs w:val="21"/>
              </w:rPr>
            </w:pPr>
            <w:r>
              <w:rPr>
                <w:rFonts w:ascii="宋体" w:hAnsi="宋体" w:eastAsia="宋体" w:cs="Times New Roman"/>
                <w:szCs w:val="21"/>
              </w:rPr>
              <w:t>要求</w:t>
            </w:r>
          </w:p>
        </w:tc>
        <w:tc>
          <w:tcPr>
            <w:tcW w:w="4047" w:type="pct"/>
            <w:shd w:val="clear" w:color="auto" w:fill="auto"/>
            <w:vAlign w:val="center"/>
          </w:tcPr>
          <w:p>
            <w:pPr>
              <w:jc w:val="left"/>
              <w:rPr>
                <w:rFonts w:hint="eastAsia" w:ascii="Times New Roman" w:hAnsi="Times New Roman" w:eastAsia="宋体" w:cs="Times New Roman"/>
              </w:rPr>
            </w:pPr>
            <w:r>
              <w:rPr>
                <w:rFonts w:hint="eastAsia" w:ascii="Times New Roman" w:hAnsi="Times New Roman" w:eastAsia="宋体" w:cs="Times New Roman"/>
              </w:rPr>
              <w:t>2U，CPU 8核，内存 16GB，硬盘 2T，电源规格 1+1冗余电源 国标，风扇规格 3个）、网络接口（千兆电口 6个，千兆光口 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2" w:type="pct"/>
            <w:shd w:val="clear" w:color="auto" w:fill="auto"/>
            <w:vAlign w:val="center"/>
          </w:tcPr>
          <w:p>
            <w:pPr>
              <w:widowControl/>
              <w:spacing w:line="240" w:lineRule="atLeast"/>
              <w:jc w:val="center"/>
              <w:rPr>
                <w:rFonts w:ascii="宋体" w:hAnsi="宋体" w:eastAsia="宋体" w:cs="Times New Roman"/>
                <w:szCs w:val="21"/>
                <w:lang w:eastAsia="zh-Hans"/>
              </w:rPr>
            </w:pPr>
            <w:r>
              <w:rPr>
                <w:rFonts w:hint="eastAsia" w:ascii="宋体" w:hAnsi="宋体" w:eastAsia="宋体" w:cs="Times New Roman"/>
                <w:szCs w:val="21"/>
                <w:lang w:eastAsia="zh-Hans"/>
              </w:rPr>
              <w:t>支持数据源类别</w:t>
            </w:r>
          </w:p>
        </w:tc>
        <w:tc>
          <w:tcPr>
            <w:tcW w:w="4047" w:type="pct"/>
            <w:shd w:val="clear" w:color="auto" w:fill="auto"/>
            <w:vAlign w:val="center"/>
          </w:tcPr>
          <w:p>
            <w:pPr>
              <w:jc w:val="left"/>
              <w:rPr>
                <w:rFonts w:hint="eastAsia" w:ascii="Times New Roman" w:hAnsi="Times New Roman" w:eastAsia="宋体" w:cs="Times New Roman"/>
              </w:rPr>
            </w:pPr>
            <w:r>
              <w:rPr>
                <w:rFonts w:hint="eastAsia" w:ascii="Times New Roman" w:hAnsi="Times New Roman" w:eastAsia="宋体" w:cs="Times New Roman"/>
              </w:rPr>
              <w:t>MYSQL、ORACLE、MSSQL、DB2、POSTGRESQL、GREENPLUM、INFORMIX、MARIADB、SYBASE、CACHEDB、HANA、FTP、SFTP、LOCAL、DM（达梦）、GBASE（南大通用）、KINGBASE（人大金仓）、GAUSS100（高斯100）、GAUSS200（高斯100）、UXDB（优炫）、HIVE、IMPALA、MONGODB、ELASTICSEARCH、CLICKHOUSE、HBASE、TERADATA、VERTICA、ODPS、OCEANB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2" w:type="pct"/>
            <w:shd w:val="clear" w:color="auto" w:fill="auto"/>
            <w:vAlign w:val="center"/>
          </w:tcPr>
          <w:p>
            <w:pPr>
              <w:widowControl/>
              <w:spacing w:line="240" w:lineRule="atLeast"/>
              <w:jc w:val="center"/>
              <w:rPr>
                <w:rFonts w:ascii="宋体" w:hAnsi="宋体" w:eastAsia="宋体" w:cs="Times New Roman"/>
                <w:szCs w:val="21"/>
                <w:lang w:eastAsia="zh-Hans"/>
              </w:rPr>
            </w:pPr>
            <w:r>
              <w:rPr>
                <w:rFonts w:hint="eastAsia" w:ascii="宋体" w:hAnsi="宋体" w:eastAsia="宋体" w:cs="Times New Roman"/>
                <w:szCs w:val="21"/>
                <w:lang w:eastAsia="zh-Hans"/>
              </w:rPr>
              <w:t>数据源管理</w:t>
            </w:r>
          </w:p>
        </w:tc>
        <w:tc>
          <w:tcPr>
            <w:tcW w:w="4047" w:type="pct"/>
            <w:shd w:val="clear" w:color="auto" w:fill="auto"/>
            <w:vAlign w:val="center"/>
          </w:tcPr>
          <w:p>
            <w:pPr>
              <w:jc w:val="left"/>
            </w:pPr>
            <w:r>
              <w:rPr>
                <w:rFonts w:hint="eastAsia"/>
              </w:rPr>
              <w:t>支持对于数据源进行新增、编辑、删除等操作，并支持对于数据源对应的数据结构进行同步。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2" w:type="pct"/>
            <w:vMerge w:val="restart"/>
            <w:shd w:val="clear" w:color="auto" w:fill="auto"/>
            <w:vAlign w:val="center"/>
          </w:tcPr>
          <w:p>
            <w:pPr>
              <w:widowControl/>
              <w:spacing w:line="240" w:lineRule="atLeast"/>
              <w:jc w:val="center"/>
              <w:rPr>
                <w:rFonts w:ascii="宋体" w:hAnsi="宋体" w:eastAsia="宋体" w:cs="Times New Roman"/>
                <w:szCs w:val="21"/>
                <w:lang w:eastAsia="zh-Hans"/>
              </w:rPr>
            </w:pPr>
            <w:r>
              <w:rPr>
                <w:rFonts w:hint="eastAsia" w:ascii="宋体" w:hAnsi="宋体" w:eastAsia="宋体" w:cs="Times New Roman"/>
                <w:szCs w:val="21"/>
                <w:lang w:eastAsia="zh-Hans"/>
              </w:rPr>
              <w:t>敏感数据发现</w:t>
            </w:r>
          </w:p>
        </w:tc>
        <w:tc>
          <w:tcPr>
            <w:tcW w:w="4047" w:type="pct"/>
            <w:shd w:val="clear" w:color="auto" w:fill="auto"/>
            <w:vAlign w:val="center"/>
          </w:tcPr>
          <w:p>
            <w:pPr>
              <w:tabs>
                <w:tab w:val="left" w:pos="1792"/>
              </w:tabs>
              <w:jc w:val="left"/>
            </w:pPr>
            <w:r>
              <w:rPr>
                <w:rFonts w:hint="eastAsia"/>
              </w:rPr>
              <w:t>支持全量/增量两种方式进行敏感数据发现，同时支持对于数据采样行业、命中阈值、脱敏模版进行配置。</w:t>
            </w:r>
            <w: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2" w:type="pct"/>
            <w:vMerge w:val="continue"/>
            <w:shd w:val="clear" w:color="auto" w:fill="auto"/>
            <w:vAlign w:val="center"/>
          </w:tcPr>
          <w:p>
            <w:pPr>
              <w:widowControl/>
              <w:spacing w:line="240" w:lineRule="atLeast"/>
              <w:jc w:val="center"/>
              <w:rPr>
                <w:rFonts w:ascii="宋体" w:hAnsi="宋体" w:eastAsia="宋体" w:cs="Times New Roman"/>
                <w:szCs w:val="21"/>
                <w:lang w:eastAsia="zh-Hans"/>
              </w:rPr>
            </w:pPr>
          </w:p>
        </w:tc>
        <w:tc>
          <w:tcPr>
            <w:tcW w:w="4047" w:type="pct"/>
            <w:shd w:val="clear" w:color="auto" w:fill="auto"/>
            <w:vAlign w:val="center"/>
          </w:tcPr>
          <w:p>
            <w:pPr>
              <w:tabs>
                <w:tab w:val="left" w:pos="1792"/>
              </w:tabs>
              <w:jc w:val="left"/>
            </w:pPr>
            <w:r>
              <w:rPr>
                <w:rFonts w:hint="eastAsia"/>
              </w:rPr>
              <w:t>支持对于发现任务提供可视化监控，监控信息包括：任务状态、开始运行时间、耗时、已处理表格数、剩余表格数、发现敏感字段数、正在处理表格清单、详细运行日志，并支持原始日志的下载。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2" w:type="pct"/>
            <w:vMerge w:val="continue"/>
            <w:shd w:val="clear" w:color="auto" w:fill="auto"/>
            <w:vAlign w:val="center"/>
          </w:tcPr>
          <w:p>
            <w:pPr>
              <w:widowControl/>
              <w:spacing w:line="240" w:lineRule="atLeast"/>
              <w:jc w:val="center"/>
              <w:rPr>
                <w:rFonts w:ascii="宋体" w:hAnsi="宋体" w:eastAsia="宋体" w:cs="Times New Roman"/>
                <w:szCs w:val="21"/>
              </w:rPr>
            </w:pPr>
          </w:p>
        </w:tc>
        <w:tc>
          <w:tcPr>
            <w:tcW w:w="4047" w:type="pct"/>
            <w:shd w:val="clear" w:color="auto" w:fill="auto"/>
            <w:vAlign w:val="center"/>
          </w:tcPr>
          <w:p>
            <w:pPr>
              <w:tabs>
                <w:tab w:val="left" w:pos="1792"/>
              </w:tabs>
              <w:jc w:val="left"/>
              <w:rPr>
                <w:rFonts w:hint="eastAsia" w:eastAsia="宋体"/>
                <w:lang w:eastAsia="zh-CN"/>
              </w:rPr>
            </w:pPr>
            <w:r>
              <w:rPr>
                <w:rFonts w:hint="eastAsia"/>
              </w:rPr>
              <w:t>支持对于word</w:t>
            </w:r>
            <w:r>
              <w:rPr>
                <w:rFonts w:hint="eastAsia"/>
                <w:lang w:eastAsia="zh-Hans"/>
              </w:rPr>
              <w:t>文件</w:t>
            </w:r>
            <w:r>
              <w:rPr>
                <w:rFonts w:hint="eastAsia"/>
              </w:rPr>
              <w:t>进行敏感数据发现任务的</w:t>
            </w:r>
            <w:r>
              <w:rPr>
                <w:rFonts w:hint="eastAsia"/>
                <w:lang w:eastAsia="zh-Hans"/>
              </w:rPr>
              <w:t>创建</w:t>
            </w:r>
            <w:r>
              <w:rPr>
                <w:rFonts w:hint="eastAsia"/>
              </w:rPr>
              <w:t>，同时支持以可视化方式对于发现结果进行展示并进行人工单个及批量确认</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2" w:type="pct"/>
            <w:vMerge w:val="restart"/>
            <w:shd w:val="clear" w:color="auto" w:fill="auto"/>
            <w:vAlign w:val="center"/>
          </w:tcPr>
          <w:p>
            <w:pPr>
              <w:widowControl/>
              <w:spacing w:line="240" w:lineRule="atLeast"/>
              <w:jc w:val="center"/>
              <w:rPr>
                <w:rFonts w:ascii="宋体" w:hAnsi="宋体" w:eastAsia="宋体" w:cs="Times New Roman"/>
                <w:szCs w:val="21"/>
                <w:lang w:eastAsia="zh-Hans"/>
              </w:rPr>
            </w:pPr>
            <w:r>
              <w:rPr>
                <w:rFonts w:hint="eastAsia" w:ascii="宋体" w:hAnsi="宋体" w:eastAsia="宋体" w:cs="Times New Roman"/>
                <w:szCs w:val="21"/>
              </w:rPr>
              <w:t>数据脱敏</w:t>
            </w:r>
          </w:p>
        </w:tc>
        <w:tc>
          <w:tcPr>
            <w:tcW w:w="4047" w:type="pct"/>
            <w:shd w:val="clear" w:color="auto" w:fill="auto"/>
            <w:vAlign w:val="center"/>
          </w:tcPr>
          <w:p>
            <w:pPr>
              <w:tabs>
                <w:tab w:val="left" w:pos="1792"/>
              </w:tabs>
              <w:jc w:val="left"/>
            </w:pPr>
            <w:r>
              <w:rPr>
                <w:rFonts w:hint="eastAsia"/>
              </w:rPr>
              <w:t>支持对于脱敏任务的基础信息及对应的脱敏规则进行配置，基础信息包括任务名称、数据流向、输入源、对象同步、脱敏表格、增量配置、数据筛选、输出目标、Schema映射、数据覆盖方式。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2" w:type="pct"/>
            <w:vMerge w:val="continue"/>
            <w:shd w:val="clear" w:color="auto" w:fill="auto"/>
            <w:vAlign w:val="center"/>
          </w:tcPr>
          <w:p>
            <w:pPr>
              <w:widowControl/>
              <w:jc w:val="center"/>
            </w:pPr>
          </w:p>
        </w:tc>
        <w:tc>
          <w:tcPr>
            <w:tcW w:w="4047" w:type="pct"/>
            <w:shd w:val="clear" w:color="auto" w:fill="auto"/>
            <w:vAlign w:val="center"/>
          </w:tcPr>
          <w:p>
            <w:pPr>
              <w:tabs>
                <w:tab w:val="left" w:pos="1792"/>
              </w:tabs>
              <w:jc w:val="left"/>
              <w:rPr>
                <w:lang w:eastAsia="zh-Hans"/>
              </w:rPr>
            </w:pPr>
            <w:r>
              <w:rPr>
                <w:rFonts w:hint="eastAsia"/>
                <w:lang w:eastAsia="zh-Hans"/>
              </w:rPr>
              <w:t>支持对于word文件进行数据脱敏任务的创建</w:t>
            </w:r>
            <w:r>
              <w:rPr>
                <w:lang w:eastAsia="zh-Hans"/>
              </w:rPr>
              <w:t>，</w:t>
            </w:r>
            <w:r>
              <w:rPr>
                <w:rFonts w:hint="eastAsia"/>
                <w:lang w:eastAsia="zh-Hans"/>
              </w:rPr>
              <w:t>同时支持以可视化方式对于脱敏过程进行监控</w:t>
            </w:r>
            <w:r>
              <w:rPr>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2" w:type="pct"/>
            <w:vMerge w:val="continue"/>
            <w:shd w:val="clear" w:color="auto" w:fill="auto"/>
            <w:vAlign w:val="center"/>
          </w:tcPr>
          <w:p>
            <w:pPr>
              <w:widowControl/>
              <w:jc w:val="center"/>
            </w:pPr>
          </w:p>
        </w:tc>
        <w:tc>
          <w:tcPr>
            <w:tcW w:w="4047" w:type="pct"/>
            <w:shd w:val="clear" w:color="auto" w:fill="auto"/>
            <w:vAlign w:val="center"/>
          </w:tcPr>
          <w:p>
            <w:pPr>
              <w:tabs>
                <w:tab w:val="left" w:pos="1792"/>
              </w:tabs>
              <w:jc w:val="left"/>
              <w:rPr>
                <w:lang w:eastAsia="zh-Hans"/>
              </w:rPr>
            </w:pPr>
            <w:r>
              <w:rPr>
                <w:rFonts w:hint="eastAsia"/>
                <w:lang w:eastAsia="zh-Hans"/>
              </w:rPr>
              <w:t>支持黑白名单配置</w:t>
            </w:r>
            <w:r>
              <w:rPr>
                <w:lang w:eastAsia="zh-Hans"/>
              </w:rPr>
              <w:t>，</w:t>
            </w:r>
            <w:r>
              <w:rPr>
                <w:rFonts w:hint="eastAsia"/>
                <w:lang w:eastAsia="zh-Hans"/>
              </w:rPr>
              <w:t>对于黑名单中的记录不会同步到目标端</w:t>
            </w:r>
            <w:r>
              <w:rPr>
                <w:lang w:eastAsia="zh-Hans"/>
              </w:rPr>
              <w:t>，</w:t>
            </w:r>
            <w:r>
              <w:rPr>
                <w:rFonts w:hint="eastAsia"/>
                <w:lang w:eastAsia="zh-Hans"/>
              </w:rPr>
              <w:t>对于白名单中的记录不进行数据脱敏处理</w:t>
            </w:r>
            <w:r>
              <w:rPr>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2" w:type="pct"/>
            <w:vMerge w:val="restart"/>
            <w:shd w:val="clear" w:color="auto" w:fill="auto"/>
            <w:vAlign w:val="center"/>
          </w:tcPr>
          <w:p>
            <w:pPr>
              <w:widowControl/>
              <w:jc w:val="center"/>
            </w:pPr>
            <w:r>
              <w:rPr>
                <w:rFonts w:hint="eastAsia"/>
              </w:rPr>
              <w:t>数据水印</w:t>
            </w:r>
          </w:p>
        </w:tc>
        <w:tc>
          <w:tcPr>
            <w:tcW w:w="4047" w:type="pct"/>
            <w:shd w:val="clear" w:color="auto" w:fill="auto"/>
            <w:vAlign w:val="center"/>
          </w:tcPr>
          <w:p>
            <w:pPr>
              <w:tabs>
                <w:tab w:val="left" w:pos="1792"/>
              </w:tabs>
              <w:jc w:val="left"/>
              <w:rPr>
                <w:lang w:eastAsia="zh-Hans"/>
              </w:rPr>
            </w:pPr>
            <w:r>
              <w:rPr>
                <w:rFonts w:hint="eastAsia"/>
                <w:lang w:eastAsia="zh-Hans"/>
              </w:rPr>
              <w:t>支持在同一个任务中先进行数据脱敏处理</w:t>
            </w:r>
            <w:r>
              <w:rPr>
                <w:lang w:eastAsia="zh-Hans"/>
              </w:rPr>
              <w:t>，</w:t>
            </w:r>
            <w:r>
              <w:rPr>
                <w:rFonts w:hint="eastAsia"/>
                <w:lang w:eastAsia="zh-Hans"/>
              </w:rPr>
              <w:t>再进行水印处理</w:t>
            </w:r>
            <w:r>
              <w:rPr>
                <w:lang w:eastAsia="zh-Hans"/>
              </w:rPr>
              <w:t>，</w:t>
            </w:r>
            <w:r>
              <w:rPr>
                <w:rFonts w:hint="eastAsia"/>
                <w:lang w:eastAsia="zh-Hans"/>
              </w:rPr>
              <w:t>以同时满足脱敏和水印要求</w:t>
            </w:r>
            <w:r>
              <w:rPr>
                <w:lang w:eastAsia="zh-Hans"/>
              </w:rPr>
              <w:t>，</w:t>
            </w:r>
            <w:r>
              <w:rPr>
                <w:rFonts w:hint="eastAsia"/>
                <w:lang w:eastAsia="zh-Hans"/>
              </w:rPr>
              <w:t>并大幅减少处理耗时</w:t>
            </w:r>
            <w:r>
              <w:rPr>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2" w:type="pct"/>
            <w:vMerge w:val="continue"/>
            <w:shd w:val="clear" w:color="auto" w:fill="auto"/>
            <w:vAlign w:val="center"/>
          </w:tcPr>
          <w:p>
            <w:pPr>
              <w:widowControl/>
              <w:jc w:val="center"/>
            </w:pPr>
          </w:p>
        </w:tc>
        <w:tc>
          <w:tcPr>
            <w:tcW w:w="4047" w:type="pct"/>
            <w:shd w:val="clear" w:color="auto" w:fill="auto"/>
            <w:vAlign w:val="center"/>
          </w:tcPr>
          <w:p>
            <w:pPr>
              <w:tabs>
                <w:tab w:val="left" w:pos="1792"/>
              </w:tabs>
              <w:jc w:val="left"/>
            </w:pPr>
            <w:r>
              <w:rPr>
                <w:rFonts w:hint="eastAsia"/>
              </w:rPr>
              <w:t>支持脱敏水印、内容修改水印、伪行水印、伪列水印、零宽水印5种水印算法对于数据打上水印信息。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2" w:type="pct"/>
            <w:vMerge w:val="continue"/>
            <w:shd w:val="clear" w:color="auto" w:fill="auto"/>
            <w:vAlign w:val="center"/>
          </w:tcPr>
          <w:p>
            <w:pPr>
              <w:widowControl/>
              <w:jc w:val="center"/>
            </w:pPr>
          </w:p>
        </w:tc>
        <w:tc>
          <w:tcPr>
            <w:tcW w:w="4047" w:type="pct"/>
            <w:shd w:val="clear" w:color="auto" w:fill="auto"/>
            <w:vAlign w:val="center"/>
          </w:tcPr>
          <w:p>
            <w:pPr>
              <w:tabs>
                <w:tab w:val="left" w:pos="1792"/>
              </w:tabs>
              <w:jc w:val="left"/>
            </w:pPr>
            <w:r>
              <w:rPr>
                <w:rFonts w:hint="eastAsia"/>
              </w:rPr>
              <w:t>支持通过excel文件导入或手动输入样本数据两种方式，实现带有水印数据的水印信息溯源。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2" w:type="pct"/>
            <w:shd w:val="clear" w:color="auto" w:fill="auto"/>
            <w:vAlign w:val="center"/>
          </w:tcPr>
          <w:p>
            <w:pPr>
              <w:widowControl/>
              <w:jc w:val="center"/>
              <w:rPr>
                <w:lang w:eastAsia="zh-Hans"/>
              </w:rPr>
            </w:pPr>
            <w:r>
              <w:rPr>
                <w:rFonts w:hint="eastAsia"/>
                <w:lang w:eastAsia="zh-Hans"/>
              </w:rPr>
              <w:t>统计分析报表</w:t>
            </w:r>
          </w:p>
        </w:tc>
        <w:tc>
          <w:tcPr>
            <w:tcW w:w="4047" w:type="pct"/>
            <w:shd w:val="clear" w:color="auto" w:fill="auto"/>
            <w:vAlign w:val="center"/>
          </w:tcPr>
          <w:p>
            <w:pPr>
              <w:tabs>
                <w:tab w:val="left" w:pos="1792"/>
              </w:tabs>
              <w:jc w:val="left"/>
              <w:rPr>
                <w:lang w:eastAsia="zh-Hans"/>
              </w:rPr>
            </w:pPr>
            <w:r>
              <w:rPr>
                <w:rFonts w:hint="eastAsia"/>
                <w:lang w:eastAsia="zh-Hans"/>
              </w:rPr>
              <w:t>系统提供针对数据资产与任务运行的两份统计分析报表</w:t>
            </w:r>
            <w:r>
              <w:rPr>
                <w:lang w:eastAsia="zh-Hans"/>
              </w:rPr>
              <w:t>，</w:t>
            </w:r>
            <w:r>
              <w:rPr>
                <w:rFonts w:hint="eastAsia"/>
                <w:lang w:eastAsia="zh-Hans"/>
              </w:rPr>
              <w:t>数据资产统计包含数据源总量</w:t>
            </w:r>
            <w:r>
              <w:rPr>
                <w:lang w:eastAsia="zh-Hans"/>
              </w:rPr>
              <w:t>、</w:t>
            </w:r>
            <w:r>
              <w:rPr>
                <w:rFonts w:hint="eastAsia"/>
                <w:lang w:eastAsia="zh-Hans"/>
              </w:rPr>
              <w:t>Schema总量</w:t>
            </w:r>
            <w:r>
              <w:rPr>
                <w:lang w:eastAsia="zh-Hans"/>
              </w:rPr>
              <w:t>、</w:t>
            </w:r>
            <w:r>
              <w:rPr>
                <w:rFonts w:hint="eastAsia"/>
                <w:lang w:eastAsia="zh-Hans"/>
              </w:rPr>
              <w:t>数据表总量</w:t>
            </w:r>
            <w:r>
              <w:rPr>
                <w:lang w:eastAsia="zh-Hans"/>
              </w:rPr>
              <w:t>、</w:t>
            </w:r>
            <w:r>
              <w:rPr>
                <w:rFonts w:hint="eastAsia"/>
                <w:lang w:eastAsia="zh-Hans"/>
              </w:rPr>
              <w:t>敏感数据表总量</w:t>
            </w:r>
            <w:r>
              <w:rPr>
                <w:lang w:eastAsia="zh-Hans"/>
              </w:rPr>
              <w:t>、</w:t>
            </w:r>
            <w:r>
              <w:rPr>
                <w:rFonts w:hint="eastAsia"/>
                <w:lang w:eastAsia="zh-Hans"/>
              </w:rPr>
              <w:t>数据字段总量</w:t>
            </w:r>
            <w:r>
              <w:rPr>
                <w:lang w:eastAsia="zh-Hans"/>
              </w:rPr>
              <w:t>、</w:t>
            </w:r>
            <w:r>
              <w:rPr>
                <w:rFonts w:hint="eastAsia"/>
                <w:lang w:eastAsia="zh-Hans"/>
              </w:rPr>
              <w:t>敏感数据字段总量</w:t>
            </w:r>
            <w:r>
              <w:rPr>
                <w:lang w:eastAsia="zh-Hans"/>
              </w:rPr>
              <w:t>、</w:t>
            </w:r>
            <w:r>
              <w:rPr>
                <w:rFonts w:hint="eastAsia"/>
                <w:lang w:eastAsia="zh-Hans"/>
              </w:rPr>
              <w:t>数据源类型分布</w:t>
            </w:r>
            <w:r>
              <w:rPr>
                <w:lang w:eastAsia="zh-Hans"/>
              </w:rPr>
              <w:t>、</w:t>
            </w:r>
            <w:r>
              <w:rPr>
                <w:rFonts w:hint="eastAsia"/>
                <w:lang w:eastAsia="zh-Hans"/>
              </w:rPr>
              <w:t>敏感程度排名</w:t>
            </w:r>
            <w:r>
              <w:rPr>
                <w:lang w:eastAsia="zh-Hans"/>
              </w:rPr>
              <w:t>、</w:t>
            </w:r>
            <w:r>
              <w:rPr>
                <w:rFonts w:hint="eastAsia"/>
                <w:lang w:eastAsia="zh-Hans"/>
              </w:rPr>
              <w:t>敏感标签词云</w:t>
            </w:r>
            <w:r>
              <w:rPr>
                <w:lang w:eastAsia="zh-Hans"/>
              </w:rPr>
              <w:t>，</w:t>
            </w:r>
            <w:r>
              <w:rPr>
                <w:rFonts w:hint="eastAsia"/>
                <w:lang w:eastAsia="zh-Hans"/>
              </w:rPr>
              <w:t>任务运行统计包含任务数量</w:t>
            </w:r>
            <w:r>
              <w:rPr>
                <w:lang w:eastAsia="zh-Hans"/>
              </w:rPr>
              <w:t>、</w:t>
            </w:r>
            <w:r>
              <w:rPr>
                <w:rFonts w:hint="eastAsia"/>
                <w:lang w:eastAsia="zh-Hans"/>
              </w:rPr>
              <w:t>运行实例</w:t>
            </w:r>
            <w:r>
              <w:rPr>
                <w:lang w:eastAsia="zh-Hans"/>
              </w:rPr>
              <w:t>、</w:t>
            </w:r>
            <w:r>
              <w:rPr>
                <w:rFonts w:hint="eastAsia"/>
                <w:lang w:eastAsia="zh-Hans"/>
              </w:rPr>
              <w:t>运行完成个数</w:t>
            </w:r>
            <w:r>
              <w:rPr>
                <w:lang w:eastAsia="zh-Hans"/>
              </w:rPr>
              <w:t>、</w:t>
            </w:r>
            <w:r>
              <w:rPr>
                <w:rFonts w:hint="eastAsia"/>
                <w:lang w:eastAsia="zh-Hans"/>
              </w:rPr>
              <w:t>错误日志个数</w:t>
            </w:r>
            <w:r>
              <w:rPr>
                <w:lang w:eastAsia="zh-Hans"/>
              </w:rPr>
              <w:t>、</w:t>
            </w:r>
            <w:r>
              <w:rPr>
                <w:rFonts w:hint="eastAsia"/>
                <w:lang w:eastAsia="zh-Hans"/>
              </w:rPr>
              <w:t>处理数据表</w:t>
            </w:r>
            <w:r>
              <w:rPr>
                <w:lang w:eastAsia="zh-Hans"/>
              </w:rPr>
              <w:t>、</w:t>
            </w:r>
            <w:r>
              <w:rPr>
                <w:rFonts w:hint="eastAsia"/>
                <w:lang w:eastAsia="zh-Hans"/>
              </w:rPr>
              <w:t>处理数据量</w:t>
            </w:r>
            <w:r>
              <w:rPr>
                <w:lang w:eastAsia="zh-Hans"/>
              </w:rPr>
              <w:t>、</w:t>
            </w:r>
            <w:r>
              <w:rPr>
                <w:rFonts w:hint="eastAsia"/>
                <w:lang w:eastAsia="zh-Hans"/>
              </w:rPr>
              <w:t>数据源类型分布</w:t>
            </w:r>
            <w:r>
              <w:rPr>
                <w:lang w:eastAsia="zh-Hans"/>
              </w:rPr>
              <w:t>、</w:t>
            </w:r>
            <w:r>
              <w:rPr>
                <w:rFonts w:hint="eastAsia"/>
                <w:lang w:eastAsia="zh-Hans"/>
              </w:rPr>
              <w:t>数据流向分布</w:t>
            </w:r>
            <w:r>
              <w:rPr>
                <w:lang w:eastAsia="zh-Hans"/>
              </w:rPr>
              <w:t>、</w:t>
            </w:r>
            <w:r>
              <w:rPr>
                <w:rFonts w:hint="eastAsia"/>
                <w:lang w:eastAsia="zh-Hans"/>
              </w:rPr>
              <w:t>脱敏规则热度</w:t>
            </w:r>
            <w:r>
              <w:rPr>
                <w:lang w:eastAsia="zh-Hans"/>
              </w:rPr>
              <w:t>、</w:t>
            </w:r>
            <w:r>
              <w:rPr>
                <w:rFonts w:hint="eastAsia"/>
                <w:lang w:eastAsia="zh-Hans"/>
              </w:rPr>
              <w:t>任务运行趋势</w:t>
            </w:r>
            <w:r>
              <w:rPr>
                <w:lang w:eastAsia="zh-Hans"/>
              </w:rPr>
              <w:t>、</w:t>
            </w:r>
            <w:r>
              <w:rPr>
                <w:rFonts w:hint="eastAsia"/>
                <w:lang w:eastAsia="zh-Hans"/>
              </w:rPr>
              <w:t>处理数据量趋势</w:t>
            </w:r>
            <w:r>
              <w:rPr>
                <w:lang w:eastAsia="zh-Hans"/>
              </w:rPr>
              <w:t>、</w:t>
            </w:r>
            <w:r>
              <w:rPr>
                <w:rFonts w:hint="eastAsia"/>
                <w:lang w:eastAsia="zh-Hans"/>
              </w:rPr>
              <w:t>运行状态分布</w:t>
            </w:r>
            <w:r>
              <w:rPr>
                <w:lang w:eastAsia="zh-Hans"/>
              </w:rPr>
              <w:t>、</w:t>
            </w:r>
            <w:r>
              <w:rPr>
                <w:rFonts w:hint="eastAsia"/>
                <w:lang w:eastAsia="zh-Hans"/>
              </w:rPr>
              <w:t>运行时段分布</w:t>
            </w:r>
            <w:r>
              <w:rPr>
                <w:lang w:eastAsia="zh-Hans"/>
              </w:rPr>
              <w:t>、</w:t>
            </w:r>
            <w:r>
              <w:rPr>
                <w:rFonts w:hint="eastAsia"/>
                <w:lang w:eastAsia="zh-Hans"/>
              </w:rPr>
              <w:t>处理数据量排名</w:t>
            </w:r>
            <w:r>
              <w:rPr>
                <w:lang w:eastAsia="zh-Hans"/>
              </w:rPr>
              <w:t>、</w:t>
            </w:r>
            <w:r>
              <w:rPr>
                <w:rFonts w:hint="eastAsia"/>
                <w:lang w:eastAsia="zh-Hans"/>
              </w:rPr>
              <w:t>运行次数排名</w:t>
            </w:r>
            <w:r>
              <w:rPr>
                <w:lang w:eastAsia="zh-Hans"/>
              </w:rPr>
              <w:t>、</w:t>
            </w:r>
            <w:r>
              <w:rPr>
                <w:rFonts w:hint="eastAsia"/>
                <w:lang w:eastAsia="zh-Hans"/>
              </w:rPr>
              <w:t>错误日志数量排名</w:t>
            </w:r>
            <w:r>
              <w:rPr>
                <w:lang w:eastAsia="zh-Hans"/>
              </w:rPr>
              <w:t>、</w:t>
            </w:r>
            <w:r>
              <w:rPr>
                <w:rFonts w:hint="eastAsia"/>
                <w:lang w:eastAsia="zh-Hans"/>
              </w:rPr>
              <w:t>平均用时排名</w:t>
            </w:r>
            <w:r>
              <w:rPr>
                <w:lang w:eastAsia="zh-Hans"/>
              </w:rPr>
              <w:t>、</w:t>
            </w:r>
            <w:r>
              <w:rPr>
                <w:rFonts w:hint="eastAsia"/>
                <w:lang w:eastAsia="zh-Hans"/>
              </w:rPr>
              <w:t>热门数据源</w:t>
            </w:r>
            <w:r>
              <w:rPr>
                <w:lang w:eastAsia="zh-Hans"/>
              </w:rPr>
              <w:t>、</w:t>
            </w:r>
            <w:r>
              <w:rPr>
                <w:rFonts w:hint="eastAsia"/>
                <w:lang w:eastAsia="zh-Hans"/>
              </w:rPr>
              <w:t>热门数据目标</w:t>
            </w:r>
            <w:r>
              <w:rPr>
                <w:lang w:eastAsia="zh-Hans"/>
              </w:rPr>
              <w:t>。</w:t>
            </w:r>
            <w:r>
              <w:rPr>
                <w:rFonts w:hint="eastAsia"/>
                <w:b/>
                <w:bCs/>
                <w:highlight w:val="none"/>
              </w:rPr>
              <w:t>（提供</w:t>
            </w:r>
            <w:r>
              <w:rPr>
                <w:rFonts w:hint="eastAsia"/>
                <w:b/>
                <w:bCs/>
                <w:highlight w:val="none"/>
                <w:lang w:eastAsia="zh-CN"/>
              </w:rPr>
              <w:t>统计分析报表</w:t>
            </w:r>
            <w:r>
              <w:rPr>
                <w:rFonts w:hint="eastAsia"/>
                <w:b/>
                <w:bCs/>
                <w:highlight w:val="none"/>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2" w:type="pct"/>
            <w:shd w:val="clear" w:color="auto" w:fill="auto"/>
            <w:vAlign w:val="center"/>
          </w:tcPr>
          <w:p>
            <w:pPr>
              <w:widowControl/>
              <w:jc w:val="center"/>
            </w:pPr>
            <w:r>
              <w:rPr>
                <w:rFonts w:hint="eastAsia"/>
              </w:rPr>
              <w:t>API接口开放</w:t>
            </w:r>
          </w:p>
        </w:tc>
        <w:tc>
          <w:tcPr>
            <w:tcW w:w="4047" w:type="pct"/>
            <w:shd w:val="clear" w:color="auto" w:fill="auto"/>
            <w:vAlign w:val="center"/>
          </w:tcPr>
          <w:p>
            <w:pPr>
              <w:tabs>
                <w:tab w:val="left" w:pos="1792"/>
              </w:tabs>
              <w:jc w:val="left"/>
              <w:rPr>
                <w:rFonts w:hint="eastAsia" w:eastAsiaTheme="minorEastAsia"/>
                <w:lang w:eastAsia="zh-CN"/>
              </w:rPr>
            </w:pPr>
            <w:r>
              <w:rPr>
                <w:rFonts w:hint="eastAsia"/>
              </w:rPr>
              <w:t>支持以API形式将数据脱敏与数据水印能力进行对外提供，具体包括接口包括：数据源清单接口、查询水印算法可用列表接口、水印列表接口、新增水印接口、批量删除水印接口、数据水印处理接口、查询脱敏算法可用列表接口、脱敏算法测试接口、数据脱敏接口</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2" w:type="pct"/>
            <w:vMerge w:val="restart"/>
            <w:shd w:val="clear" w:color="auto" w:fill="auto"/>
            <w:vAlign w:val="center"/>
          </w:tcPr>
          <w:p>
            <w:pPr>
              <w:widowControl/>
              <w:jc w:val="center"/>
              <w:rPr>
                <w:lang w:eastAsia="zh-Hans"/>
              </w:rPr>
            </w:pPr>
            <w:r>
              <w:rPr>
                <w:rFonts w:hint="eastAsia"/>
                <w:lang w:eastAsia="zh-Hans"/>
              </w:rPr>
              <w:t>脱敏算法</w:t>
            </w:r>
          </w:p>
        </w:tc>
        <w:tc>
          <w:tcPr>
            <w:tcW w:w="4047" w:type="pct"/>
            <w:shd w:val="clear" w:color="auto" w:fill="auto"/>
            <w:vAlign w:val="center"/>
          </w:tcPr>
          <w:p>
            <w:pPr>
              <w:tabs>
                <w:tab w:val="left" w:pos="1792"/>
              </w:tabs>
              <w:jc w:val="left"/>
            </w:pPr>
            <w:r>
              <w:rPr>
                <w:rFonts w:hint="eastAsia"/>
              </w:rPr>
              <w:t>静态脱敏支持不低于20类，240种及以上的脱敏算法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2" w:type="pct"/>
            <w:vMerge w:val="continue"/>
            <w:shd w:val="clear" w:color="auto" w:fill="auto"/>
            <w:vAlign w:val="center"/>
          </w:tcPr>
          <w:p>
            <w:pPr>
              <w:widowControl/>
              <w:jc w:val="center"/>
              <w:rPr>
                <w:lang w:eastAsia="zh-Hans"/>
              </w:rPr>
            </w:pPr>
          </w:p>
        </w:tc>
        <w:tc>
          <w:tcPr>
            <w:tcW w:w="4047" w:type="pct"/>
            <w:shd w:val="clear" w:color="auto" w:fill="auto"/>
            <w:vAlign w:val="center"/>
          </w:tcPr>
          <w:p>
            <w:pPr>
              <w:tabs>
                <w:tab w:val="left" w:pos="1792"/>
              </w:tabs>
              <w:jc w:val="left"/>
              <w:rPr>
                <w:lang w:eastAsia="zh-Hans"/>
              </w:rPr>
            </w:pPr>
            <w:r>
              <w:rPr>
                <w:rFonts w:hint="eastAsia"/>
                <w:lang w:eastAsia="zh-Hans"/>
              </w:rPr>
              <w:t>编码</w:t>
            </w:r>
            <w:r>
              <w:rPr>
                <w:lang w:eastAsia="zh-Hans"/>
              </w:rPr>
              <w:t>：根据所选参数指定的编码方式对数据进行编码。支持的编码方式有：UTF-8/GBK。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2" w:type="pct"/>
            <w:vMerge w:val="continue"/>
            <w:shd w:val="clear" w:color="auto" w:fill="auto"/>
            <w:vAlign w:val="center"/>
          </w:tcPr>
          <w:p>
            <w:pPr>
              <w:widowControl/>
              <w:jc w:val="center"/>
              <w:rPr>
                <w:lang w:eastAsia="zh-Hans"/>
              </w:rPr>
            </w:pPr>
          </w:p>
        </w:tc>
        <w:tc>
          <w:tcPr>
            <w:tcW w:w="4047" w:type="pct"/>
            <w:shd w:val="clear" w:color="auto" w:fill="auto"/>
            <w:vAlign w:val="center"/>
          </w:tcPr>
          <w:p>
            <w:pPr>
              <w:tabs>
                <w:tab w:val="left" w:pos="1792"/>
              </w:tabs>
              <w:jc w:val="left"/>
            </w:pPr>
            <w:r>
              <w:rPr>
                <w:rFonts w:hint="eastAsia"/>
                <w:lang w:eastAsia="zh-Hans"/>
              </w:rPr>
              <w:t>标准化</w:t>
            </w:r>
            <w:r>
              <w:rPr>
                <w:lang w:eastAsia="zh-Hans"/>
              </w:rPr>
              <w:t>：</w:t>
            </w:r>
            <w:r>
              <w:rPr>
                <w:rFonts w:hint="eastAsia"/>
              </w:rPr>
              <w:t>对数值类型的数据进行标准化缩放，使得数据均值归为0，方差归为1。本算法脱敏后的数据基本保留数据分布类型，可后续用于常见的分类、聚类等数据分析任务。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2" w:type="pct"/>
            <w:vMerge w:val="continue"/>
            <w:shd w:val="clear" w:color="auto" w:fill="auto"/>
            <w:vAlign w:val="center"/>
          </w:tcPr>
          <w:p>
            <w:pPr>
              <w:widowControl/>
              <w:jc w:val="center"/>
              <w:rPr>
                <w:lang w:eastAsia="zh-Hans"/>
              </w:rPr>
            </w:pPr>
          </w:p>
        </w:tc>
        <w:tc>
          <w:tcPr>
            <w:tcW w:w="4047" w:type="pct"/>
            <w:shd w:val="clear" w:color="auto" w:fill="auto"/>
            <w:vAlign w:val="center"/>
          </w:tcPr>
          <w:p>
            <w:pPr>
              <w:jc w:val="left"/>
              <w:rPr>
                <w:lang w:eastAsia="zh-Hans"/>
              </w:rPr>
            </w:pPr>
            <w:r>
              <w:rPr>
                <w:rFonts w:hint="eastAsia"/>
                <w:lang w:eastAsia="zh-Hans"/>
              </w:rPr>
              <w:t>仿真</w:t>
            </w:r>
            <w:r>
              <w:rPr>
                <w:lang w:eastAsia="zh-Hans"/>
              </w:rPr>
              <w:t>：</w:t>
            </w:r>
            <w:r>
              <w:rPr>
                <w:rFonts w:hint="eastAsia"/>
                <w:lang w:eastAsia="zh-Hans"/>
              </w:rPr>
              <w:t>根据所选的参数生成格式、语义等属性与原数据相同且符合校验规则的仿真数据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2" w:type="pct"/>
            <w:vMerge w:val="continue"/>
            <w:shd w:val="clear" w:color="auto" w:fill="auto"/>
            <w:vAlign w:val="center"/>
          </w:tcPr>
          <w:p>
            <w:pPr>
              <w:widowControl/>
              <w:jc w:val="center"/>
              <w:rPr>
                <w:lang w:eastAsia="zh-Hans"/>
              </w:rPr>
            </w:pPr>
          </w:p>
        </w:tc>
        <w:tc>
          <w:tcPr>
            <w:tcW w:w="4047" w:type="pct"/>
            <w:shd w:val="clear" w:color="auto" w:fill="auto"/>
            <w:vAlign w:val="center"/>
          </w:tcPr>
          <w:p>
            <w:pPr>
              <w:jc w:val="left"/>
              <w:rPr>
                <w:lang w:eastAsia="zh-Hans"/>
              </w:rPr>
            </w:pPr>
            <w:r>
              <w:rPr>
                <w:rFonts w:hint="eastAsia"/>
                <w:lang w:eastAsia="zh-Hans"/>
              </w:rPr>
              <w:t>分布重建</w:t>
            </w:r>
            <w:r>
              <w:rPr>
                <w:lang w:eastAsia="zh-Hans"/>
              </w:rPr>
              <w:t>：</w:t>
            </w:r>
            <w:r>
              <w:rPr>
                <w:rFonts w:hint="eastAsia"/>
                <w:lang w:eastAsia="zh-Hans"/>
              </w:rPr>
              <w:t>根据指定的直方图的数量对原数据分布进行估计和采样重建。本算法可以使得脱敏后的数据保留原数据的高阶统计特征，适用于对数据质量有较高要求的分析场景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2" w:type="pct"/>
            <w:vMerge w:val="continue"/>
            <w:shd w:val="clear" w:color="auto" w:fill="auto"/>
            <w:vAlign w:val="center"/>
          </w:tcPr>
          <w:p>
            <w:pPr>
              <w:widowControl/>
              <w:jc w:val="center"/>
              <w:rPr>
                <w:lang w:eastAsia="zh-Hans"/>
              </w:rPr>
            </w:pPr>
          </w:p>
        </w:tc>
        <w:tc>
          <w:tcPr>
            <w:tcW w:w="4047" w:type="pct"/>
            <w:shd w:val="clear" w:color="auto" w:fill="auto"/>
            <w:vAlign w:val="center"/>
          </w:tcPr>
          <w:p>
            <w:pPr>
              <w:jc w:val="left"/>
              <w:rPr>
                <w:lang w:eastAsia="zh-Hans"/>
              </w:rPr>
            </w:pPr>
            <w:r>
              <w:rPr>
                <w:rFonts w:hint="eastAsia"/>
                <w:lang w:eastAsia="zh-Hans"/>
              </w:rPr>
              <w:t>分割</w:t>
            </w:r>
            <w:r>
              <w:rPr>
                <w:lang w:eastAsia="zh-Hans"/>
              </w:rPr>
              <w:t>：</w:t>
            </w:r>
            <w:r>
              <w:rPr>
                <w:rFonts w:hint="eastAsia"/>
                <w:lang w:eastAsia="zh-Hans"/>
              </w:rPr>
              <w:t>根据所选的参数对数据进行分割，保留指定区域的数据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2" w:type="pct"/>
            <w:vMerge w:val="continue"/>
            <w:shd w:val="clear" w:color="auto" w:fill="auto"/>
            <w:vAlign w:val="center"/>
          </w:tcPr>
          <w:p>
            <w:pPr>
              <w:widowControl/>
              <w:jc w:val="center"/>
              <w:rPr>
                <w:lang w:eastAsia="zh-Hans"/>
              </w:rPr>
            </w:pPr>
          </w:p>
        </w:tc>
        <w:tc>
          <w:tcPr>
            <w:tcW w:w="4047" w:type="pct"/>
            <w:shd w:val="clear" w:color="auto" w:fill="auto"/>
            <w:vAlign w:val="center"/>
          </w:tcPr>
          <w:p>
            <w:pPr>
              <w:jc w:val="left"/>
              <w:rPr>
                <w:lang w:eastAsia="zh-Hans"/>
              </w:rPr>
            </w:pPr>
            <w:r>
              <w:rPr>
                <w:rFonts w:hint="eastAsia"/>
                <w:lang w:eastAsia="zh-Hans"/>
              </w:rPr>
              <w:t>归一化</w:t>
            </w:r>
            <w:r>
              <w:rPr>
                <w:lang w:eastAsia="zh-Hans"/>
              </w:rPr>
              <w:t>：</w:t>
            </w:r>
            <w:r>
              <w:rPr>
                <w:rFonts w:hint="eastAsia"/>
                <w:lang w:eastAsia="zh-Hans"/>
              </w:rPr>
              <w:t>对数值类型的数据进行归一化缩放，将数据线性缩放至[0,1]区间。本算法脱敏后的数据可限定数据范围，保留数据相对大小，剔除量纲影响，可根据分析模型和分析需求选用本算法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2" w:type="pct"/>
            <w:shd w:val="clear" w:color="auto" w:fill="auto"/>
            <w:vAlign w:val="center"/>
          </w:tcPr>
          <w:p>
            <w:pPr>
              <w:widowControl/>
              <w:jc w:val="center"/>
              <w:rPr>
                <w:lang w:eastAsia="zh-Hans"/>
              </w:rPr>
            </w:pPr>
            <w:r>
              <w:rPr>
                <w:rFonts w:hint="eastAsia"/>
                <w:lang w:eastAsia="zh-Hans"/>
              </w:rPr>
              <w:t>数据对比</w:t>
            </w:r>
          </w:p>
        </w:tc>
        <w:tc>
          <w:tcPr>
            <w:tcW w:w="4047" w:type="pct"/>
            <w:shd w:val="clear" w:color="auto" w:fill="auto"/>
            <w:vAlign w:val="center"/>
          </w:tcPr>
          <w:p>
            <w:pPr>
              <w:jc w:val="left"/>
              <w:rPr>
                <w:lang w:eastAsia="zh-Hans"/>
              </w:rPr>
            </w:pPr>
            <w:r>
              <w:rPr>
                <w:rFonts w:hint="eastAsia"/>
                <w:lang w:eastAsia="zh-Hans"/>
              </w:rPr>
              <w:t>提供单独的数据对比能力以对比生产数据和测试数据</w:t>
            </w:r>
            <w:r>
              <w:rPr>
                <w:rFonts w:hint="eastAsia"/>
              </w:rPr>
              <w:t>或</w:t>
            </w:r>
            <w:r>
              <w:rPr>
                <w:rFonts w:hint="eastAsia"/>
                <w:lang w:eastAsia="zh-Hans"/>
              </w:rPr>
              <w:t>脱敏前和脱敏后的数据内容差异。提供数据对比任务新增、管理、运行等功能，可对数据对比任务的采样比例等多项参数进行配置。提供数据对比任务执行后的分析报表，包括任务运行概述、对比结果统计、未脱敏表数量、运行日志、未脱敏字段明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2" w:type="pct"/>
            <w:shd w:val="clear" w:color="auto" w:fill="auto"/>
            <w:vAlign w:val="center"/>
          </w:tcPr>
          <w:p>
            <w:pPr>
              <w:widowControl/>
              <w:jc w:val="center"/>
              <w:rPr>
                <w:rFonts w:hint="eastAsia" w:eastAsia="宋体"/>
                <w:highlight w:val="none"/>
                <w:lang w:eastAsia="zh-CN"/>
              </w:rPr>
            </w:pPr>
            <w:r>
              <w:rPr>
                <w:rFonts w:hint="eastAsia"/>
                <w:highlight w:val="none"/>
                <w:lang w:eastAsia="zh-CN"/>
              </w:rPr>
              <w:t>其他</w:t>
            </w:r>
          </w:p>
        </w:tc>
        <w:tc>
          <w:tcPr>
            <w:tcW w:w="4047" w:type="pct"/>
            <w:shd w:val="clear" w:color="auto" w:fill="auto"/>
            <w:vAlign w:val="center"/>
          </w:tcPr>
          <w:p>
            <w:pPr>
              <w:jc w:val="left"/>
              <w:rPr>
                <w:rFonts w:hint="default" w:eastAsia="宋体"/>
                <w:highlight w:val="none"/>
                <w:lang w:val="en-US" w:eastAsia="zh-CN"/>
              </w:rPr>
            </w:pPr>
            <w:r>
              <w:rPr>
                <w:rFonts w:hint="eastAsia" w:ascii="宋体" w:hAnsi="宋体" w:eastAsia="宋体" w:cs="宋体"/>
                <w:sz w:val="21"/>
                <w:szCs w:val="21"/>
                <w:highlight w:val="none"/>
              </w:rPr>
              <w:t>支持以数据资产目录形式对于数据源对应的元数据信息进行查看，同时支持同步分类分级的结果，以及对于敏感数据列进行手动标记。</w:t>
            </w:r>
            <w:r>
              <w:rPr>
                <w:rFonts w:hint="eastAsia"/>
                <w:b/>
                <w:bCs/>
                <w:highlight w:val="none"/>
              </w:rPr>
              <w:t>提供功能截图</w:t>
            </w:r>
          </w:p>
        </w:tc>
      </w:tr>
    </w:tbl>
    <w:p>
      <w:pPr>
        <w:rPr>
          <w:rFonts w:hint="eastAsia"/>
          <w:lang w:val="en-US" w:eastAsia="zh-CN"/>
        </w:rPr>
      </w:pPr>
    </w:p>
    <w:p>
      <w:pPr>
        <w:pStyle w:val="4"/>
        <w:bidi w:val="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13.</w:t>
      </w:r>
      <w:r>
        <w:rPr>
          <w:rFonts w:hint="eastAsia" w:asciiTheme="minorEastAsia" w:hAnsiTheme="minorEastAsia" w:eastAsiaTheme="minorEastAsia" w:cstheme="minorEastAsia"/>
          <w:sz w:val="24"/>
          <w:szCs w:val="24"/>
        </w:rPr>
        <w:t>下一代防火墙</w:t>
      </w:r>
      <w:r>
        <w:rPr>
          <w:rFonts w:hint="eastAsia" w:asciiTheme="minorEastAsia" w:hAnsiTheme="minorEastAsia" w:eastAsiaTheme="minorEastAsia" w:cstheme="minorEastAsia"/>
          <w:sz w:val="24"/>
          <w:szCs w:val="24"/>
          <w:lang w:eastAsia="zh-CN"/>
        </w:rPr>
        <w:t>：</w:t>
      </w:r>
    </w:p>
    <w:tbl>
      <w:tblPr>
        <w:tblStyle w:val="63"/>
        <w:tblW w:w="4999" w:type="pct"/>
        <w:tblInd w:w="0" w:type="dxa"/>
        <w:tblLayout w:type="autofit"/>
        <w:tblCellMar>
          <w:top w:w="0" w:type="dxa"/>
          <w:left w:w="108" w:type="dxa"/>
          <w:bottom w:w="0" w:type="dxa"/>
          <w:right w:w="108" w:type="dxa"/>
        </w:tblCellMar>
      </w:tblPr>
      <w:tblGrid>
        <w:gridCol w:w="1337"/>
        <w:gridCol w:w="7950"/>
      </w:tblGrid>
      <w:tr>
        <w:tblPrEx>
          <w:tblCellMar>
            <w:top w:w="0" w:type="dxa"/>
            <w:left w:w="108" w:type="dxa"/>
            <w:bottom w:w="0" w:type="dxa"/>
            <w:right w:w="108" w:type="dxa"/>
          </w:tblCellMar>
        </w:tblPrEx>
        <w:trPr>
          <w:trHeight w:val="285" w:hRule="atLeast"/>
        </w:trPr>
        <w:tc>
          <w:tcPr>
            <w:tcW w:w="720" w:type="pct"/>
            <w:tcBorders>
              <w:top w:val="single" w:color="auto" w:sz="4" w:space="0"/>
              <w:left w:val="single" w:color="auto" w:sz="4" w:space="0"/>
              <w:bottom w:val="single" w:color="auto" w:sz="4" w:space="0"/>
              <w:right w:val="single" w:color="auto" w:sz="4" w:space="0"/>
            </w:tcBorders>
            <w:shd w:val="clear" w:color="auto" w:fill="auto"/>
            <w:noWrap w:val="0"/>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产品功能</w:t>
            </w:r>
          </w:p>
        </w:tc>
        <w:tc>
          <w:tcPr>
            <w:tcW w:w="4279" w:type="pct"/>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技术参数要求</w:t>
            </w:r>
          </w:p>
        </w:tc>
      </w:tr>
      <w:tr>
        <w:tblPrEx>
          <w:tblCellMar>
            <w:top w:w="0" w:type="dxa"/>
            <w:left w:w="108" w:type="dxa"/>
            <w:bottom w:w="0" w:type="dxa"/>
            <w:right w:w="108" w:type="dxa"/>
          </w:tblCellMar>
        </w:tblPrEx>
        <w:trPr>
          <w:trHeight w:val="59" w:hRule="atLeast"/>
        </w:trPr>
        <w:tc>
          <w:tcPr>
            <w:tcW w:w="720" w:type="pct"/>
            <w:vMerge w:val="restart"/>
            <w:tcBorders>
              <w:top w:val="nil"/>
              <w:left w:val="single" w:color="auto" w:sz="4" w:space="0"/>
              <w:bottom w:val="single" w:color="auto" w:sz="4" w:space="0"/>
              <w:right w:val="single" w:color="auto" w:sz="4" w:space="0"/>
            </w:tcBorders>
            <w:shd w:val="clear" w:color="auto" w:fill="auto"/>
            <w:noWrap w:val="0"/>
            <w:vAlign w:val="top"/>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硬件规格</w:t>
            </w:r>
          </w:p>
        </w:tc>
        <w:tc>
          <w:tcPr>
            <w:tcW w:w="4279"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所投产品须支持</w:t>
            </w:r>
            <w:r>
              <w:rPr>
                <w:rFonts w:hint="eastAsia" w:ascii="宋体" w:hAnsi="宋体" w:eastAsia="宋体" w:cs="宋体"/>
                <w:bCs/>
                <w:kern w:val="0"/>
                <w:sz w:val="21"/>
                <w:szCs w:val="21"/>
              </w:rPr>
              <w:t>6个GE电口，2个SFP+万兆光口，2个扩展插槽（可选配8电/8光/2万兆光），1+1冗余电源</w:t>
            </w:r>
          </w:p>
        </w:tc>
      </w:tr>
      <w:tr>
        <w:tblPrEx>
          <w:tblCellMar>
            <w:top w:w="0" w:type="dxa"/>
            <w:left w:w="108" w:type="dxa"/>
            <w:bottom w:w="0" w:type="dxa"/>
            <w:right w:w="108" w:type="dxa"/>
          </w:tblCellMar>
        </w:tblPrEx>
        <w:trPr>
          <w:trHeight w:val="285" w:hRule="atLeast"/>
        </w:trPr>
        <w:tc>
          <w:tcPr>
            <w:tcW w:w="720"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内置2T的硬盘存储，可根据要求定制磁盘空间容量</w:t>
            </w:r>
          </w:p>
        </w:tc>
      </w:tr>
      <w:tr>
        <w:tblPrEx>
          <w:tblCellMar>
            <w:top w:w="0" w:type="dxa"/>
            <w:left w:w="108" w:type="dxa"/>
            <w:bottom w:w="0" w:type="dxa"/>
            <w:right w:w="108" w:type="dxa"/>
          </w:tblCellMar>
        </w:tblPrEx>
        <w:trPr>
          <w:trHeight w:val="285" w:hRule="atLeast"/>
        </w:trPr>
        <w:tc>
          <w:tcPr>
            <w:tcW w:w="720"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尺寸大小：2U机架式</w:t>
            </w:r>
          </w:p>
        </w:tc>
      </w:tr>
      <w:tr>
        <w:tblPrEx>
          <w:tblCellMar>
            <w:top w:w="0" w:type="dxa"/>
            <w:left w:w="108" w:type="dxa"/>
            <w:bottom w:w="0" w:type="dxa"/>
            <w:right w:w="108" w:type="dxa"/>
          </w:tblCellMar>
        </w:tblPrEx>
        <w:trPr>
          <w:trHeight w:val="285" w:hRule="atLeast"/>
        </w:trPr>
        <w:tc>
          <w:tcPr>
            <w:tcW w:w="720" w:type="pct"/>
            <w:tcBorders>
              <w:top w:val="nil"/>
              <w:left w:val="single" w:color="auto" w:sz="4" w:space="0"/>
              <w:bottom w:val="single" w:color="auto" w:sz="4" w:space="0"/>
              <w:right w:val="single" w:color="auto" w:sz="4" w:space="0"/>
            </w:tcBorders>
            <w:shd w:val="clear" w:color="auto" w:fill="auto"/>
            <w:noWrap w:val="0"/>
            <w:vAlign w:val="top"/>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配置要求</w:t>
            </w:r>
          </w:p>
        </w:tc>
        <w:tc>
          <w:tcPr>
            <w:tcW w:w="4279"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配置本产品包含的所有功能</w:t>
            </w:r>
          </w:p>
        </w:tc>
      </w:tr>
      <w:tr>
        <w:tblPrEx>
          <w:tblCellMar>
            <w:top w:w="0" w:type="dxa"/>
            <w:left w:w="108" w:type="dxa"/>
            <w:bottom w:w="0" w:type="dxa"/>
            <w:right w:w="108" w:type="dxa"/>
          </w:tblCellMar>
        </w:tblPrEx>
        <w:trPr>
          <w:trHeight w:val="285" w:hRule="atLeast"/>
        </w:trPr>
        <w:tc>
          <w:tcPr>
            <w:tcW w:w="720" w:type="pct"/>
            <w:vMerge w:val="restart"/>
            <w:tcBorders>
              <w:top w:val="nil"/>
              <w:left w:val="single" w:color="auto" w:sz="4" w:space="0"/>
              <w:right w:val="single" w:color="auto" w:sz="4" w:space="0"/>
            </w:tcBorders>
            <w:shd w:val="clear" w:color="auto" w:fill="auto"/>
            <w:noWrap w:val="0"/>
            <w:vAlign w:val="top"/>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性能</w:t>
            </w:r>
          </w:p>
        </w:tc>
        <w:tc>
          <w:tcPr>
            <w:tcW w:w="4279"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设备防火墙</w:t>
            </w:r>
            <w:r>
              <w:rPr>
                <w:rFonts w:hint="eastAsia" w:ascii="宋体" w:hAnsi="宋体" w:eastAsia="宋体" w:cs="宋体"/>
                <w:kern w:val="0"/>
                <w:sz w:val="21"/>
                <w:szCs w:val="21"/>
                <w:lang w:val="en-US" w:eastAsia="zh-CN"/>
              </w:rPr>
              <w:t>吞吐量</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20</w:t>
            </w:r>
            <w:r>
              <w:rPr>
                <w:rFonts w:hint="eastAsia" w:ascii="宋体" w:hAnsi="宋体" w:eastAsia="宋体" w:cs="宋体"/>
                <w:kern w:val="0"/>
                <w:sz w:val="21"/>
                <w:szCs w:val="21"/>
              </w:rPr>
              <w:t>Gbps,应用层吞吐量≥</w:t>
            </w: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Gbps</w:t>
            </w:r>
          </w:p>
        </w:tc>
      </w:tr>
      <w:tr>
        <w:tblPrEx>
          <w:tblCellMar>
            <w:top w:w="0" w:type="dxa"/>
            <w:left w:w="108" w:type="dxa"/>
            <w:bottom w:w="0" w:type="dxa"/>
            <w:right w:w="108" w:type="dxa"/>
          </w:tblCellMar>
        </w:tblPrEx>
        <w:trPr>
          <w:trHeight w:val="283" w:hRule="atLeast"/>
        </w:trPr>
        <w:tc>
          <w:tcPr>
            <w:tcW w:w="720" w:type="pct"/>
            <w:vMerge w:val="continue"/>
            <w:tcBorders>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最大并发连接数800万,最大新建连接数12万</w:t>
            </w:r>
          </w:p>
        </w:tc>
      </w:tr>
      <w:tr>
        <w:tblPrEx>
          <w:tblCellMar>
            <w:top w:w="0" w:type="dxa"/>
            <w:left w:w="108" w:type="dxa"/>
            <w:bottom w:w="0" w:type="dxa"/>
            <w:right w:w="108" w:type="dxa"/>
          </w:tblCellMar>
        </w:tblPrEx>
        <w:trPr>
          <w:trHeight w:val="285" w:hRule="atLeast"/>
        </w:trPr>
        <w:tc>
          <w:tcPr>
            <w:tcW w:w="720" w:type="pct"/>
            <w:vMerge w:val="restart"/>
            <w:tcBorders>
              <w:top w:val="nil"/>
              <w:left w:val="single" w:color="auto" w:sz="4" w:space="0"/>
              <w:right w:val="single" w:color="auto" w:sz="4" w:space="0"/>
            </w:tcBorders>
            <w:noWrap w:val="0"/>
            <w:vAlign w:val="top"/>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设备部署</w:t>
            </w: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支持二层和三层安全域划分，自由定义端口类型和属性</w:t>
            </w:r>
          </w:p>
        </w:tc>
      </w:tr>
      <w:tr>
        <w:tblPrEx>
          <w:tblCellMar>
            <w:top w:w="0" w:type="dxa"/>
            <w:left w:w="108" w:type="dxa"/>
            <w:bottom w:w="0" w:type="dxa"/>
            <w:right w:w="108" w:type="dxa"/>
          </w:tblCellMar>
        </w:tblPrEx>
        <w:trPr>
          <w:trHeight w:val="285" w:hRule="atLeast"/>
        </w:trPr>
        <w:tc>
          <w:tcPr>
            <w:tcW w:w="720" w:type="pct"/>
            <w:vMerge w:val="continue"/>
            <w:tcBorders>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支持网桥部署、路由模式部署、混合部署</w:t>
            </w:r>
          </w:p>
        </w:tc>
      </w:tr>
      <w:tr>
        <w:tblPrEx>
          <w:tblCellMar>
            <w:top w:w="0" w:type="dxa"/>
            <w:left w:w="108" w:type="dxa"/>
            <w:bottom w:w="0" w:type="dxa"/>
            <w:right w:w="108" w:type="dxa"/>
          </w:tblCellMar>
        </w:tblPrEx>
        <w:trPr>
          <w:trHeight w:val="632" w:hRule="atLeast"/>
        </w:trPr>
        <w:tc>
          <w:tcPr>
            <w:tcW w:w="720"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操作管理</w:t>
            </w: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支持以HTTP及SSL加密的WEB图形化接口进行设备配置和管理，支持英语、简体中文、繁体中文语系</w:t>
            </w:r>
          </w:p>
        </w:tc>
      </w:tr>
      <w:tr>
        <w:tblPrEx>
          <w:tblCellMar>
            <w:top w:w="0" w:type="dxa"/>
            <w:left w:w="108" w:type="dxa"/>
            <w:bottom w:w="0" w:type="dxa"/>
            <w:right w:w="108" w:type="dxa"/>
          </w:tblCellMar>
        </w:tblPrEx>
        <w:trPr>
          <w:trHeight w:val="285" w:hRule="atLeast"/>
        </w:trPr>
        <w:tc>
          <w:tcPr>
            <w:tcW w:w="720" w:type="pct"/>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支持Console、SSH和Telnet 命令行管理方式</w:t>
            </w:r>
          </w:p>
        </w:tc>
      </w:tr>
      <w:tr>
        <w:tblPrEx>
          <w:tblCellMar>
            <w:top w:w="0" w:type="dxa"/>
            <w:left w:w="108" w:type="dxa"/>
            <w:bottom w:w="0" w:type="dxa"/>
            <w:right w:w="108" w:type="dxa"/>
          </w:tblCellMar>
        </w:tblPrEx>
        <w:trPr>
          <w:trHeight w:val="510" w:hRule="atLeast"/>
        </w:trPr>
        <w:tc>
          <w:tcPr>
            <w:tcW w:w="720" w:type="pct"/>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管理权限分立，支持系统超级管理员、审计管理员、只读管理员，可根据需要灵活定制管理员角色权限</w:t>
            </w:r>
          </w:p>
        </w:tc>
      </w:tr>
      <w:tr>
        <w:tblPrEx>
          <w:tblCellMar>
            <w:top w:w="0" w:type="dxa"/>
            <w:left w:w="108" w:type="dxa"/>
            <w:bottom w:w="0" w:type="dxa"/>
            <w:right w:w="108" w:type="dxa"/>
          </w:tblCellMar>
        </w:tblPrEx>
        <w:trPr>
          <w:trHeight w:val="59" w:hRule="atLeast"/>
        </w:trPr>
        <w:tc>
          <w:tcPr>
            <w:tcW w:w="720" w:type="pct"/>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支持密码强度、口令尝试死锁、账户激活等安全管理功能，支持密码有效时间管理功能</w:t>
            </w:r>
          </w:p>
        </w:tc>
      </w:tr>
      <w:tr>
        <w:tblPrEx>
          <w:tblCellMar>
            <w:top w:w="0" w:type="dxa"/>
            <w:left w:w="108" w:type="dxa"/>
            <w:bottom w:w="0" w:type="dxa"/>
            <w:right w:w="108" w:type="dxa"/>
          </w:tblCellMar>
        </w:tblPrEx>
        <w:trPr>
          <w:trHeight w:val="381" w:hRule="atLeast"/>
        </w:trPr>
        <w:tc>
          <w:tcPr>
            <w:tcW w:w="720" w:type="pct"/>
            <w:vMerge w:val="restart"/>
            <w:tcBorders>
              <w:top w:val="nil"/>
              <w:left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认证功能</w:t>
            </w: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可建立与企业组织结构相同的网络组织结构，将用户划分到对应用户组中，每个用户或用户组都可以有自己的上网策略及权限</w:t>
            </w:r>
          </w:p>
        </w:tc>
      </w:tr>
      <w:tr>
        <w:tblPrEx>
          <w:tblCellMar>
            <w:top w:w="0" w:type="dxa"/>
            <w:left w:w="108" w:type="dxa"/>
            <w:bottom w:w="0" w:type="dxa"/>
            <w:right w:w="108" w:type="dxa"/>
          </w:tblCellMar>
        </w:tblPrEx>
        <w:trPr>
          <w:trHeight w:val="381" w:hRule="atLeast"/>
        </w:trPr>
        <w:tc>
          <w:tcPr>
            <w:tcW w:w="720"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支持跨三层识别并绑定MAC或绑定IP+MAC进行上网认证</w:t>
            </w:r>
          </w:p>
        </w:tc>
      </w:tr>
      <w:tr>
        <w:tblPrEx>
          <w:tblCellMar>
            <w:top w:w="0" w:type="dxa"/>
            <w:left w:w="108" w:type="dxa"/>
            <w:bottom w:w="0" w:type="dxa"/>
            <w:right w:w="108" w:type="dxa"/>
          </w:tblCellMar>
        </w:tblPrEx>
        <w:trPr>
          <w:trHeight w:val="307" w:hRule="atLeast"/>
        </w:trPr>
        <w:tc>
          <w:tcPr>
            <w:tcW w:w="720"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支持基于MAC地址与KEY免认证，支持本地认证和外部AD/LDAP/Radius等认证方式</w:t>
            </w:r>
          </w:p>
        </w:tc>
      </w:tr>
      <w:tr>
        <w:tblPrEx>
          <w:tblCellMar>
            <w:top w:w="0" w:type="dxa"/>
            <w:left w:w="108" w:type="dxa"/>
            <w:bottom w:w="0" w:type="dxa"/>
            <w:right w:w="108" w:type="dxa"/>
          </w:tblCellMar>
        </w:tblPrEx>
        <w:trPr>
          <w:trHeight w:val="307" w:hRule="atLeast"/>
        </w:trPr>
        <w:tc>
          <w:tcPr>
            <w:tcW w:w="720"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支持短信认证，支持基于浏览器Cookie和MAC地址的免认证功能</w:t>
            </w:r>
          </w:p>
        </w:tc>
      </w:tr>
      <w:tr>
        <w:tblPrEx>
          <w:tblCellMar>
            <w:top w:w="0" w:type="dxa"/>
            <w:left w:w="108" w:type="dxa"/>
            <w:bottom w:w="0" w:type="dxa"/>
            <w:right w:w="108" w:type="dxa"/>
          </w:tblCellMar>
        </w:tblPrEx>
        <w:trPr>
          <w:trHeight w:val="437" w:hRule="atLeast"/>
        </w:trPr>
        <w:tc>
          <w:tcPr>
            <w:tcW w:w="720" w:type="pct"/>
            <w:vMerge w:val="continue"/>
            <w:tcBorders>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shd w:val="clear" w:color="000000" w:fill="FFFFFF"/>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支持临时用户上网认证功能，可由管理员手动或自动进行审批，并以短信或邮件方式发送帐号密码</w:t>
            </w:r>
          </w:p>
        </w:tc>
      </w:tr>
      <w:tr>
        <w:tblPrEx>
          <w:tblCellMar>
            <w:top w:w="0" w:type="dxa"/>
            <w:left w:w="108" w:type="dxa"/>
            <w:bottom w:w="0" w:type="dxa"/>
            <w:right w:w="108" w:type="dxa"/>
          </w:tblCellMar>
        </w:tblPrEx>
        <w:trPr>
          <w:trHeight w:val="59" w:hRule="atLeast"/>
        </w:trPr>
        <w:tc>
          <w:tcPr>
            <w:tcW w:w="720" w:type="pct"/>
            <w:vMerge w:val="restart"/>
            <w:tcBorders>
              <w:top w:val="nil"/>
              <w:left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网络功能</w:t>
            </w: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支持链路聚合功能，可根据负载均衡模式(Hash和RR)或主备模式，将多个物理端口捆绑成1个逻辑端口，以增加带宽和链路备份</w:t>
            </w:r>
          </w:p>
        </w:tc>
      </w:tr>
      <w:tr>
        <w:tblPrEx>
          <w:tblCellMar>
            <w:top w:w="0" w:type="dxa"/>
            <w:left w:w="108" w:type="dxa"/>
            <w:bottom w:w="0" w:type="dxa"/>
            <w:right w:w="108" w:type="dxa"/>
          </w:tblCellMar>
        </w:tblPrEx>
        <w:trPr>
          <w:trHeight w:val="59" w:hRule="atLeast"/>
        </w:trPr>
        <w:tc>
          <w:tcPr>
            <w:tcW w:w="720"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支持网口自定义功能，自由定义物理卡槽和端口位置，灵活管理物理端口与名称</w:t>
            </w:r>
            <w:r>
              <w:rPr>
                <w:rFonts w:hint="eastAsia" w:ascii="宋体" w:hAnsi="宋体" w:eastAsia="宋体" w:cs="宋体"/>
                <w:b/>
                <w:bCs/>
                <w:color w:val="000000"/>
                <w:kern w:val="0"/>
                <w:sz w:val="21"/>
                <w:szCs w:val="21"/>
                <w:highlight w:val="none"/>
              </w:rPr>
              <w:t>（提供功能截图）</w:t>
            </w:r>
          </w:p>
        </w:tc>
      </w:tr>
      <w:tr>
        <w:tblPrEx>
          <w:tblCellMar>
            <w:top w:w="0" w:type="dxa"/>
            <w:left w:w="108" w:type="dxa"/>
            <w:bottom w:w="0" w:type="dxa"/>
            <w:right w:w="108" w:type="dxa"/>
          </w:tblCellMar>
        </w:tblPrEx>
        <w:trPr>
          <w:trHeight w:val="59" w:hRule="atLeast"/>
        </w:trPr>
        <w:tc>
          <w:tcPr>
            <w:tcW w:w="720"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支持6to4隧道功能，为IPv4网络到IPv6的过渡转换传输机制</w:t>
            </w:r>
          </w:p>
        </w:tc>
      </w:tr>
      <w:tr>
        <w:tblPrEx>
          <w:tblCellMar>
            <w:top w:w="0" w:type="dxa"/>
            <w:left w:w="108" w:type="dxa"/>
            <w:bottom w:w="0" w:type="dxa"/>
            <w:right w:w="108" w:type="dxa"/>
          </w:tblCellMar>
        </w:tblPrEx>
        <w:trPr>
          <w:trHeight w:val="59" w:hRule="atLeast"/>
        </w:trPr>
        <w:tc>
          <w:tcPr>
            <w:tcW w:w="720"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支持链路的负载均衡，均衡算法支持固定指派、轮询(源IP)、轮询(源IP+目的IP)、上行流量、下行流量、总流量、最佳路径选择等</w:t>
            </w:r>
          </w:p>
        </w:tc>
      </w:tr>
      <w:tr>
        <w:tblPrEx>
          <w:tblCellMar>
            <w:top w:w="0" w:type="dxa"/>
            <w:left w:w="108" w:type="dxa"/>
            <w:bottom w:w="0" w:type="dxa"/>
            <w:right w:w="108" w:type="dxa"/>
          </w:tblCellMar>
        </w:tblPrEx>
        <w:trPr>
          <w:trHeight w:val="285" w:hRule="atLeast"/>
        </w:trPr>
        <w:tc>
          <w:tcPr>
            <w:tcW w:w="720"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支持主备链路的备份功能，支持侦测Ping、TCP port对象判断链路状态</w:t>
            </w:r>
          </w:p>
        </w:tc>
      </w:tr>
      <w:tr>
        <w:tblPrEx>
          <w:tblCellMar>
            <w:top w:w="0" w:type="dxa"/>
            <w:left w:w="108" w:type="dxa"/>
            <w:bottom w:w="0" w:type="dxa"/>
            <w:right w:w="108" w:type="dxa"/>
          </w:tblCellMar>
        </w:tblPrEx>
        <w:trPr>
          <w:trHeight w:val="285" w:hRule="atLeast"/>
        </w:trPr>
        <w:tc>
          <w:tcPr>
            <w:tcW w:w="720"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设备作为 DNS 透明代理, 缓存 DNS 记录</w:t>
            </w:r>
          </w:p>
        </w:tc>
      </w:tr>
      <w:tr>
        <w:tblPrEx>
          <w:tblCellMar>
            <w:top w:w="0" w:type="dxa"/>
            <w:left w:w="108" w:type="dxa"/>
            <w:bottom w:w="0" w:type="dxa"/>
            <w:right w:w="108" w:type="dxa"/>
          </w:tblCellMar>
        </w:tblPrEx>
        <w:trPr>
          <w:trHeight w:val="285" w:hRule="atLeast"/>
        </w:trPr>
        <w:tc>
          <w:tcPr>
            <w:tcW w:w="720" w:type="pct"/>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支持TCP/UDP/ICMP/Other协议加速功能，通过延时时间阀值、会话容量比例和加速倍数等参数设定，提高整个网络处理性能</w:t>
            </w:r>
            <w:r>
              <w:rPr>
                <w:rFonts w:hint="eastAsia" w:ascii="宋体" w:hAnsi="宋体" w:eastAsia="宋体" w:cs="宋体"/>
                <w:b/>
                <w:bCs/>
                <w:color w:val="000000"/>
                <w:kern w:val="0"/>
                <w:sz w:val="21"/>
                <w:szCs w:val="21"/>
                <w:highlight w:val="none"/>
              </w:rPr>
              <w:t>（提供功能截图）</w:t>
            </w:r>
          </w:p>
        </w:tc>
      </w:tr>
      <w:tr>
        <w:tblPrEx>
          <w:tblCellMar>
            <w:top w:w="0" w:type="dxa"/>
            <w:left w:w="108" w:type="dxa"/>
            <w:bottom w:w="0" w:type="dxa"/>
            <w:right w:w="108" w:type="dxa"/>
          </w:tblCellMar>
        </w:tblPrEx>
        <w:trPr>
          <w:trHeight w:val="510" w:hRule="atLeast"/>
        </w:trPr>
        <w:tc>
          <w:tcPr>
            <w:tcW w:w="720" w:type="pct"/>
            <w:vMerge w:val="restart"/>
            <w:tcBorders>
              <w:top w:val="nil"/>
              <w:left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安全防护</w:t>
            </w: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支持IPv4和IPv6基于状态监测的防火墙，不仅保障网关设备安全，还能保护组织内网安全。</w:t>
            </w:r>
          </w:p>
        </w:tc>
      </w:tr>
      <w:tr>
        <w:tblPrEx>
          <w:tblCellMar>
            <w:top w:w="0" w:type="dxa"/>
            <w:left w:w="108" w:type="dxa"/>
            <w:bottom w:w="0" w:type="dxa"/>
            <w:right w:w="108" w:type="dxa"/>
          </w:tblCellMar>
        </w:tblPrEx>
        <w:trPr>
          <w:trHeight w:val="59" w:hRule="atLeast"/>
        </w:trPr>
        <w:tc>
          <w:tcPr>
            <w:tcW w:w="720"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支持基于源地址转换、目的地址转换和双向地址转换功能，可基于来源IP、来源端口、通讯协议、目的地址和目的端口定义转换策略</w:t>
            </w:r>
          </w:p>
        </w:tc>
      </w:tr>
      <w:tr>
        <w:tblPrEx>
          <w:tblCellMar>
            <w:top w:w="0" w:type="dxa"/>
            <w:left w:w="108" w:type="dxa"/>
            <w:bottom w:w="0" w:type="dxa"/>
            <w:right w:w="108" w:type="dxa"/>
          </w:tblCellMar>
        </w:tblPrEx>
        <w:trPr>
          <w:trHeight w:val="59" w:hRule="atLeast"/>
        </w:trPr>
        <w:tc>
          <w:tcPr>
            <w:tcW w:w="720"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支持ARP洪水攻击防护、ARP广播保护（可手动定义表项与接口）功能</w:t>
            </w:r>
          </w:p>
        </w:tc>
      </w:tr>
      <w:tr>
        <w:tblPrEx>
          <w:tblCellMar>
            <w:top w:w="0" w:type="dxa"/>
            <w:left w:w="108" w:type="dxa"/>
            <w:bottom w:w="0" w:type="dxa"/>
            <w:right w:w="108" w:type="dxa"/>
          </w:tblCellMar>
        </w:tblPrEx>
        <w:trPr>
          <w:trHeight w:val="59" w:hRule="atLeast"/>
        </w:trPr>
        <w:tc>
          <w:tcPr>
            <w:tcW w:w="720"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支持DOS/DDoS攻击防护功能，类型包括扫描防护(地址扫描和端口扫描)、洪水攻击(SYN/UDP/ICMP/DNS)、数据包攻击(TearDrop、LAND、WinNuke、Smurf、Ping of death……等)、异常报文攻击(IP协议和UDP协议选项，包括但不限于IP数据流选项、IP时间戳选项、IP宽松/严格源路由选项、TCP报头标志位全为0防护项、SYN和FIN标志位同时为1防护、仅FIN标志位为1防护……)等各种类型的攻击</w:t>
            </w:r>
          </w:p>
        </w:tc>
      </w:tr>
      <w:tr>
        <w:tblPrEx>
          <w:tblCellMar>
            <w:top w:w="0" w:type="dxa"/>
            <w:left w:w="108" w:type="dxa"/>
            <w:bottom w:w="0" w:type="dxa"/>
            <w:right w:w="108" w:type="dxa"/>
          </w:tblCellMar>
        </w:tblPrEx>
        <w:trPr>
          <w:trHeight w:val="59" w:hRule="atLeast"/>
        </w:trPr>
        <w:tc>
          <w:tcPr>
            <w:tcW w:w="720"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highlight w:val="yellow"/>
              </w:rPr>
            </w:pPr>
            <w:r>
              <w:rPr>
                <w:rFonts w:hint="eastAsia" w:ascii="宋体" w:hAnsi="宋体" w:eastAsia="宋体" w:cs="宋体"/>
                <w:color w:val="000000"/>
                <w:kern w:val="0"/>
                <w:sz w:val="21"/>
                <w:szCs w:val="21"/>
              </w:rPr>
              <w:t>支持基于TCP最大连接数、最大攻击包次数……等类型的攻击防护</w:t>
            </w:r>
          </w:p>
        </w:tc>
      </w:tr>
      <w:tr>
        <w:tblPrEx>
          <w:tblCellMar>
            <w:top w:w="0" w:type="dxa"/>
            <w:left w:w="108" w:type="dxa"/>
            <w:bottom w:w="0" w:type="dxa"/>
            <w:right w:w="108" w:type="dxa"/>
          </w:tblCellMar>
        </w:tblPrEx>
        <w:trPr>
          <w:trHeight w:val="59" w:hRule="atLeast"/>
        </w:trPr>
        <w:tc>
          <w:tcPr>
            <w:tcW w:w="720" w:type="pct"/>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支持上网行为管理功能，应用协议应涵盖在线视频、P2P下载、流媒体、网络游戏、即时通讯、股票交易、移动应用……等当前主流应用；URL类型应涵盖军事、新闻门户、人才招聘、网络购物、电子银行……等</w:t>
            </w:r>
            <w:r>
              <w:rPr>
                <w:rFonts w:hint="eastAsia" w:ascii="宋体" w:hAnsi="宋体" w:eastAsia="宋体" w:cs="宋体"/>
                <w:color w:val="000000"/>
                <w:kern w:val="0"/>
                <w:sz w:val="21"/>
                <w:szCs w:val="21"/>
              </w:rPr>
              <w:t>预分类的海量 URL 地址库，支持手工添加新的 URL 地址和分类。</w:t>
            </w:r>
          </w:p>
        </w:tc>
      </w:tr>
      <w:tr>
        <w:tblPrEx>
          <w:tblCellMar>
            <w:top w:w="0" w:type="dxa"/>
            <w:left w:w="108" w:type="dxa"/>
            <w:bottom w:w="0" w:type="dxa"/>
            <w:right w:w="108" w:type="dxa"/>
          </w:tblCellMar>
        </w:tblPrEx>
        <w:trPr>
          <w:trHeight w:val="59" w:hRule="atLeast"/>
        </w:trPr>
        <w:tc>
          <w:tcPr>
            <w:tcW w:w="720" w:type="pct"/>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支持应用层内容过滤功能，包括关键字过滤（搜索引擎、HTTP上传、收发邮件……等）、文件过滤（HTTP/FTP上传下载、邮件附件……等）</w:t>
            </w:r>
          </w:p>
        </w:tc>
      </w:tr>
      <w:tr>
        <w:tblPrEx>
          <w:tblCellMar>
            <w:top w:w="0" w:type="dxa"/>
            <w:left w:w="108" w:type="dxa"/>
            <w:bottom w:w="0" w:type="dxa"/>
            <w:right w:w="108" w:type="dxa"/>
          </w:tblCellMar>
        </w:tblPrEx>
        <w:trPr>
          <w:trHeight w:val="59" w:hRule="atLeast"/>
        </w:trPr>
        <w:tc>
          <w:tcPr>
            <w:tcW w:w="720" w:type="pct"/>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病毒过滤功能，支持HTTP/FTP/POP3/SMTP协议流量的病毒过滤功能，可自定义所查杀的文件类型</w:t>
            </w:r>
          </w:p>
        </w:tc>
      </w:tr>
      <w:tr>
        <w:tblPrEx>
          <w:tblCellMar>
            <w:top w:w="0" w:type="dxa"/>
            <w:left w:w="108" w:type="dxa"/>
            <w:bottom w:w="0" w:type="dxa"/>
            <w:right w:w="108" w:type="dxa"/>
          </w:tblCellMar>
        </w:tblPrEx>
        <w:trPr>
          <w:trHeight w:val="59" w:hRule="atLeast"/>
        </w:trPr>
        <w:tc>
          <w:tcPr>
            <w:tcW w:w="720" w:type="pct"/>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入侵防御功能，应支持针对服务器和客户端类型的漏洞攻击检测，内置的漏洞特征库数量不少于11000</w:t>
            </w:r>
            <w:r>
              <w:rPr>
                <w:rFonts w:hint="eastAsia" w:ascii="宋体" w:hAnsi="宋体" w:eastAsia="宋体" w:cs="宋体"/>
                <w:b/>
                <w:bCs/>
                <w:color w:val="000000"/>
                <w:kern w:val="0"/>
                <w:sz w:val="21"/>
                <w:szCs w:val="21"/>
                <w:highlight w:val="none"/>
              </w:rPr>
              <w:t>（提供功能截图）</w:t>
            </w:r>
          </w:p>
        </w:tc>
      </w:tr>
      <w:tr>
        <w:tblPrEx>
          <w:tblCellMar>
            <w:top w:w="0" w:type="dxa"/>
            <w:left w:w="108" w:type="dxa"/>
            <w:bottom w:w="0" w:type="dxa"/>
            <w:right w:w="108" w:type="dxa"/>
          </w:tblCellMar>
        </w:tblPrEx>
        <w:trPr>
          <w:trHeight w:val="59" w:hRule="atLeast"/>
        </w:trPr>
        <w:tc>
          <w:tcPr>
            <w:tcW w:w="720" w:type="pct"/>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WEB应用防护功能，应支持针对域名或公网IP的攻击防护，攻击类型应涵盖网站扫描、目录遍历、XSS攻击、Webshell、跨站请求伪造、SQL注入……等，内置应用防护特征库数量不少于4000</w:t>
            </w:r>
            <w:r>
              <w:rPr>
                <w:rFonts w:hint="eastAsia" w:ascii="宋体" w:hAnsi="宋体" w:eastAsia="宋体" w:cs="宋体"/>
                <w:b/>
                <w:bCs/>
                <w:color w:val="000000"/>
                <w:kern w:val="0"/>
                <w:sz w:val="21"/>
                <w:szCs w:val="21"/>
                <w:highlight w:val="none"/>
              </w:rPr>
              <w:t>（提供功能截图）</w:t>
            </w:r>
          </w:p>
        </w:tc>
      </w:tr>
      <w:tr>
        <w:tblPrEx>
          <w:tblCellMar>
            <w:top w:w="0" w:type="dxa"/>
            <w:left w:w="108" w:type="dxa"/>
            <w:bottom w:w="0" w:type="dxa"/>
            <w:right w:w="108" w:type="dxa"/>
          </w:tblCellMar>
        </w:tblPrEx>
        <w:trPr>
          <w:trHeight w:val="59" w:hRule="atLeast"/>
        </w:trPr>
        <w:tc>
          <w:tcPr>
            <w:tcW w:w="720" w:type="pct"/>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共享识别与限制功能，可拒绝内部共享上网，限定共享上网的终端数量</w:t>
            </w:r>
          </w:p>
        </w:tc>
      </w:tr>
      <w:tr>
        <w:tblPrEx>
          <w:tblCellMar>
            <w:top w:w="0" w:type="dxa"/>
            <w:left w:w="108" w:type="dxa"/>
            <w:bottom w:w="0" w:type="dxa"/>
            <w:right w:w="108" w:type="dxa"/>
          </w:tblCellMar>
        </w:tblPrEx>
        <w:trPr>
          <w:trHeight w:val="59" w:hRule="atLeast"/>
        </w:trPr>
        <w:tc>
          <w:tcPr>
            <w:tcW w:w="720" w:type="pct"/>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支持限制单个用户在时间段的并发会话数和新建会话数，如果连续超过，可采用强制下线、降速或下调会话的弹性管理策略</w:t>
            </w:r>
            <w:r>
              <w:rPr>
                <w:rFonts w:hint="eastAsia" w:ascii="宋体" w:hAnsi="宋体" w:eastAsia="宋体" w:cs="宋体"/>
                <w:b/>
                <w:bCs/>
                <w:color w:val="000000"/>
                <w:kern w:val="0"/>
                <w:sz w:val="21"/>
                <w:szCs w:val="21"/>
                <w:highlight w:val="none"/>
              </w:rPr>
              <w:t>（提供功能截图）</w:t>
            </w:r>
          </w:p>
        </w:tc>
      </w:tr>
      <w:tr>
        <w:tblPrEx>
          <w:tblCellMar>
            <w:top w:w="0" w:type="dxa"/>
            <w:left w:w="108" w:type="dxa"/>
            <w:bottom w:w="0" w:type="dxa"/>
            <w:right w:w="108" w:type="dxa"/>
          </w:tblCellMar>
        </w:tblPrEx>
        <w:trPr>
          <w:trHeight w:val="347" w:hRule="atLeast"/>
        </w:trPr>
        <w:tc>
          <w:tcPr>
            <w:tcW w:w="720" w:type="pct"/>
            <w:vMerge w:val="restart"/>
            <w:tcBorders>
              <w:top w:val="nil"/>
              <w:left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VPN功能</w:t>
            </w: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支持PPTP VPN、IPsec VPN、和SSL VPN功能</w:t>
            </w:r>
          </w:p>
        </w:tc>
      </w:tr>
      <w:tr>
        <w:tblPrEx>
          <w:tblCellMar>
            <w:top w:w="0" w:type="dxa"/>
            <w:left w:w="108" w:type="dxa"/>
            <w:bottom w:w="0" w:type="dxa"/>
            <w:right w:w="108" w:type="dxa"/>
          </w:tblCellMar>
        </w:tblPrEx>
        <w:trPr>
          <w:trHeight w:val="347" w:hRule="atLeast"/>
        </w:trPr>
        <w:tc>
          <w:tcPr>
            <w:tcW w:w="720" w:type="pct"/>
            <w:vMerge w:val="continue"/>
            <w:tcBorders>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不限制VPN隧道的数量</w:t>
            </w:r>
          </w:p>
        </w:tc>
      </w:tr>
      <w:tr>
        <w:tblPrEx>
          <w:tblCellMar>
            <w:top w:w="0" w:type="dxa"/>
            <w:left w:w="108" w:type="dxa"/>
            <w:bottom w:w="0" w:type="dxa"/>
            <w:right w:w="108" w:type="dxa"/>
          </w:tblCellMar>
        </w:tblPrEx>
        <w:trPr>
          <w:trHeight w:val="263" w:hRule="atLeast"/>
        </w:trPr>
        <w:tc>
          <w:tcPr>
            <w:tcW w:w="720" w:type="pct"/>
            <w:vMerge w:val="restart"/>
            <w:tcBorders>
              <w:top w:val="nil"/>
              <w:left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流量控制</w:t>
            </w: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根据协议、端口、报文长度、报文特征、目的IP等等信息自定义协议规则</w:t>
            </w:r>
          </w:p>
        </w:tc>
      </w:tr>
      <w:tr>
        <w:tblPrEx>
          <w:tblCellMar>
            <w:top w:w="0" w:type="dxa"/>
            <w:left w:w="108" w:type="dxa"/>
            <w:bottom w:w="0" w:type="dxa"/>
            <w:right w:w="108" w:type="dxa"/>
          </w:tblCellMar>
        </w:tblPrEx>
        <w:trPr>
          <w:trHeight w:val="540" w:hRule="atLeast"/>
        </w:trPr>
        <w:tc>
          <w:tcPr>
            <w:tcW w:w="720"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支持基于HTTP下载、WEB视频、P2P下载、流媒体、网络游戏、即时通讯、股票交易、网上银行、网络电话等应用协议的分项流控策略</w:t>
            </w:r>
          </w:p>
        </w:tc>
      </w:tr>
      <w:tr>
        <w:tblPrEx>
          <w:tblCellMar>
            <w:top w:w="0" w:type="dxa"/>
            <w:left w:w="108" w:type="dxa"/>
            <w:bottom w:w="0" w:type="dxa"/>
            <w:right w:w="108" w:type="dxa"/>
          </w:tblCellMar>
        </w:tblPrEx>
        <w:trPr>
          <w:trHeight w:val="603" w:hRule="atLeast"/>
        </w:trPr>
        <w:tc>
          <w:tcPr>
            <w:tcW w:w="720"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支持基于线路、应用、URL、IP地址、用户组、时间段、优先级……等条件的流控策略</w:t>
            </w:r>
          </w:p>
        </w:tc>
      </w:tr>
      <w:tr>
        <w:tblPrEx>
          <w:tblCellMar>
            <w:top w:w="0" w:type="dxa"/>
            <w:left w:w="108" w:type="dxa"/>
            <w:bottom w:w="0" w:type="dxa"/>
            <w:right w:w="108" w:type="dxa"/>
          </w:tblCellMar>
        </w:tblPrEx>
        <w:trPr>
          <w:trHeight w:val="59" w:hRule="atLeast"/>
        </w:trPr>
        <w:tc>
          <w:tcPr>
            <w:tcW w:w="720"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支持基于日/周/月的流量配额和在线时长的流量控制策略</w:t>
            </w:r>
          </w:p>
        </w:tc>
      </w:tr>
      <w:tr>
        <w:tblPrEx>
          <w:tblCellMar>
            <w:top w:w="0" w:type="dxa"/>
            <w:left w:w="108" w:type="dxa"/>
            <w:bottom w:w="0" w:type="dxa"/>
            <w:right w:w="108" w:type="dxa"/>
          </w:tblCellMar>
        </w:tblPrEx>
        <w:trPr>
          <w:trHeight w:val="59" w:hRule="atLeast"/>
        </w:trPr>
        <w:tc>
          <w:tcPr>
            <w:tcW w:w="720" w:type="pct"/>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黑名单支持流量配额、在线时长、速率控制、并发会话数控制、基于时间段控制、加倍惩罚等方式</w:t>
            </w:r>
            <w:r>
              <w:rPr>
                <w:rFonts w:hint="eastAsia" w:ascii="宋体" w:hAnsi="宋体" w:eastAsia="宋体" w:cs="宋体"/>
                <w:b/>
                <w:bCs/>
                <w:color w:val="000000"/>
                <w:kern w:val="0"/>
                <w:sz w:val="21"/>
                <w:szCs w:val="21"/>
                <w:highlight w:val="none"/>
              </w:rPr>
              <w:t>（提供功能截图）</w:t>
            </w:r>
          </w:p>
        </w:tc>
      </w:tr>
      <w:tr>
        <w:tblPrEx>
          <w:tblCellMar>
            <w:top w:w="0" w:type="dxa"/>
            <w:left w:w="108" w:type="dxa"/>
            <w:bottom w:w="0" w:type="dxa"/>
            <w:right w:w="108" w:type="dxa"/>
          </w:tblCellMar>
        </w:tblPrEx>
        <w:trPr>
          <w:trHeight w:val="59" w:hRule="atLeast"/>
        </w:trPr>
        <w:tc>
          <w:tcPr>
            <w:tcW w:w="720"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统计分析</w:t>
            </w: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分时段对设备资源，包括 CPU使用率、内存使用率、活跃会话数、在线用户数、物理接口等信息进行统计分析</w:t>
            </w:r>
          </w:p>
        </w:tc>
      </w:tr>
      <w:tr>
        <w:tblPrEx>
          <w:tblCellMar>
            <w:top w:w="0" w:type="dxa"/>
            <w:left w:w="108" w:type="dxa"/>
            <w:bottom w:w="0" w:type="dxa"/>
            <w:right w:w="108" w:type="dxa"/>
          </w:tblCellMar>
        </w:tblPrEx>
        <w:trPr>
          <w:trHeight w:val="68" w:hRule="atLeast"/>
        </w:trPr>
        <w:tc>
          <w:tcPr>
            <w:tcW w:w="720" w:type="pct"/>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基于用户、用户组，对其流量、新建会话、活跃会话进行分时段统计分析，并进一步统计分析每个用户使用了哪些服务、访问了哪些网站、通过了哪些链路等更加详细的信息。</w:t>
            </w:r>
          </w:p>
        </w:tc>
      </w:tr>
      <w:tr>
        <w:tblPrEx>
          <w:tblCellMar>
            <w:top w:w="0" w:type="dxa"/>
            <w:left w:w="108" w:type="dxa"/>
            <w:bottom w:w="0" w:type="dxa"/>
            <w:right w:w="108" w:type="dxa"/>
          </w:tblCellMar>
        </w:tblPrEx>
        <w:trPr>
          <w:trHeight w:val="358" w:hRule="atLeast"/>
        </w:trPr>
        <w:tc>
          <w:tcPr>
            <w:tcW w:w="720" w:type="pct"/>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基于服务名称、类型，对其流量、新建会话、活跃会话进行分时段统计分析，并进一步统计分析每种服务有哪些用户/用户组在使用，及每个用户/用户组的使用情况；以及每种服务在各条链路上的分配情况。</w:t>
            </w:r>
          </w:p>
        </w:tc>
      </w:tr>
      <w:tr>
        <w:tblPrEx>
          <w:tblCellMar>
            <w:top w:w="0" w:type="dxa"/>
            <w:left w:w="108" w:type="dxa"/>
            <w:bottom w:w="0" w:type="dxa"/>
            <w:right w:w="108" w:type="dxa"/>
          </w:tblCellMar>
        </w:tblPrEx>
        <w:trPr>
          <w:trHeight w:val="1072" w:hRule="atLeast"/>
        </w:trPr>
        <w:tc>
          <w:tcPr>
            <w:tcW w:w="720" w:type="pct"/>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基于URL、网站类型，对其流量、新建会话、活跃会话进行分时段统计分析，并进一步统计分析每个URL的服务有哪些用户/用户组在使用，及每个用户/用户组的使用情况；以及每种服务类型在各条链路上的分配情况。</w:t>
            </w:r>
          </w:p>
        </w:tc>
      </w:tr>
      <w:tr>
        <w:tblPrEx>
          <w:tblCellMar>
            <w:top w:w="0" w:type="dxa"/>
            <w:left w:w="108" w:type="dxa"/>
            <w:bottom w:w="0" w:type="dxa"/>
            <w:right w:w="108" w:type="dxa"/>
          </w:tblCellMar>
        </w:tblPrEx>
        <w:trPr>
          <w:trHeight w:val="59" w:hRule="atLeast"/>
        </w:trPr>
        <w:tc>
          <w:tcPr>
            <w:tcW w:w="720" w:type="pct"/>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基于主机地址、安全域、攻击类型/子类型、严重等级进行分时段统计分析，展示每一笔安全事件的详细信息。</w:t>
            </w:r>
          </w:p>
        </w:tc>
      </w:tr>
      <w:tr>
        <w:tblPrEx>
          <w:tblCellMar>
            <w:top w:w="0" w:type="dxa"/>
            <w:left w:w="108" w:type="dxa"/>
            <w:bottom w:w="0" w:type="dxa"/>
            <w:right w:w="108" w:type="dxa"/>
          </w:tblCellMar>
        </w:tblPrEx>
        <w:trPr>
          <w:trHeight w:val="59" w:hRule="atLeast"/>
        </w:trPr>
        <w:tc>
          <w:tcPr>
            <w:tcW w:w="720" w:type="pct"/>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详细记录每一个会话的信息，并可导出为EXCEL或者HTML格式的报表</w:t>
            </w:r>
          </w:p>
        </w:tc>
      </w:tr>
      <w:tr>
        <w:tblPrEx>
          <w:tblCellMar>
            <w:top w:w="0" w:type="dxa"/>
            <w:left w:w="108" w:type="dxa"/>
            <w:bottom w:w="0" w:type="dxa"/>
            <w:right w:w="108" w:type="dxa"/>
          </w:tblCellMar>
        </w:tblPrEx>
        <w:trPr>
          <w:trHeight w:val="130" w:hRule="atLeast"/>
        </w:trPr>
        <w:tc>
          <w:tcPr>
            <w:tcW w:w="720"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报表中心</w:t>
            </w: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设备内置报表中心系统，实现安全事件日志的存储、查询、审计，以及报表的生成等</w:t>
            </w:r>
          </w:p>
        </w:tc>
      </w:tr>
      <w:tr>
        <w:tblPrEx>
          <w:tblCellMar>
            <w:top w:w="0" w:type="dxa"/>
            <w:left w:w="108" w:type="dxa"/>
            <w:bottom w:w="0" w:type="dxa"/>
            <w:right w:w="108" w:type="dxa"/>
          </w:tblCellMar>
        </w:tblPrEx>
        <w:trPr>
          <w:trHeight w:val="416" w:hRule="atLeast"/>
        </w:trPr>
        <w:tc>
          <w:tcPr>
            <w:tcW w:w="720" w:type="pct"/>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可将报表数据自动转存于外置独立服务器，支持手动备份与自动备份。</w:t>
            </w:r>
          </w:p>
        </w:tc>
      </w:tr>
      <w:tr>
        <w:tblPrEx>
          <w:tblCellMar>
            <w:top w:w="0" w:type="dxa"/>
            <w:left w:w="108" w:type="dxa"/>
            <w:bottom w:w="0" w:type="dxa"/>
            <w:right w:w="108" w:type="dxa"/>
          </w:tblCellMar>
        </w:tblPrEx>
        <w:trPr>
          <w:trHeight w:val="70" w:hRule="atLeast"/>
        </w:trPr>
        <w:tc>
          <w:tcPr>
            <w:tcW w:w="720" w:type="pct"/>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通过图形化的报表中心，方便用户对安全事件的查询、审计、统计，并支持以图形化方式直观显示统计结果</w:t>
            </w:r>
          </w:p>
        </w:tc>
      </w:tr>
      <w:tr>
        <w:tblPrEx>
          <w:tblCellMar>
            <w:top w:w="0" w:type="dxa"/>
            <w:left w:w="108" w:type="dxa"/>
            <w:bottom w:w="0" w:type="dxa"/>
            <w:right w:w="108" w:type="dxa"/>
          </w:tblCellMar>
        </w:tblPrEx>
        <w:trPr>
          <w:trHeight w:val="285" w:hRule="atLeast"/>
        </w:trPr>
        <w:tc>
          <w:tcPr>
            <w:tcW w:w="720" w:type="pct"/>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可将报表中心相关内容导出为Excel、PDF、HTML报表</w:t>
            </w:r>
          </w:p>
        </w:tc>
      </w:tr>
      <w:tr>
        <w:tblPrEx>
          <w:tblCellMar>
            <w:top w:w="0" w:type="dxa"/>
            <w:left w:w="108" w:type="dxa"/>
            <w:bottom w:w="0" w:type="dxa"/>
            <w:right w:w="108" w:type="dxa"/>
          </w:tblCellMar>
        </w:tblPrEx>
        <w:trPr>
          <w:trHeight w:val="285" w:hRule="atLeast"/>
        </w:trPr>
        <w:tc>
          <w:tcPr>
            <w:tcW w:w="720" w:type="pct"/>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对特定安全事件支持通过邮件、短信方式自动告警</w:t>
            </w:r>
          </w:p>
        </w:tc>
      </w:tr>
    </w:tbl>
    <w:p>
      <w:pPr>
        <w:rPr>
          <w:rFonts w:hint="eastAsia"/>
          <w:lang w:val="en-US" w:eastAsia="zh-CN"/>
        </w:rPr>
      </w:pPr>
    </w:p>
    <w:p>
      <w:pPr>
        <w:pStyle w:val="4"/>
        <w:bidi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14.辅材：</w:t>
      </w:r>
    </w:p>
    <w:tbl>
      <w:tblPr>
        <w:tblStyle w:val="63"/>
        <w:tblW w:w="4999" w:type="pct"/>
        <w:tblInd w:w="0" w:type="dxa"/>
        <w:tblLayout w:type="autofit"/>
        <w:tblCellMar>
          <w:top w:w="0" w:type="dxa"/>
          <w:left w:w="108" w:type="dxa"/>
          <w:bottom w:w="0" w:type="dxa"/>
          <w:right w:w="108" w:type="dxa"/>
        </w:tblCellMar>
      </w:tblPr>
      <w:tblGrid>
        <w:gridCol w:w="1337"/>
        <w:gridCol w:w="7950"/>
      </w:tblGrid>
      <w:tr>
        <w:tblPrEx>
          <w:tblCellMar>
            <w:top w:w="0" w:type="dxa"/>
            <w:left w:w="108" w:type="dxa"/>
            <w:bottom w:w="0" w:type="dxa"/>
            <w:right w:w="108" w:type="dxa"/>
          </w:tblCellMar>
        </w:tblPrEx>
        <w:trPr>
          <w:trHeight w:val="285" w:hRule="atLeast"/>
        </w:trPr>
        <w:tc>
          <w:tcPr>
            <w:tcW w:w="720" w:type="pct"/>
            <w:tcBorders>
              <w:top w:val="single" w:color="auto" w:sz="4" w:space="0"/>
              <w:left w:val="single" w:color="auto" w:sz="4" w:space="0"/>
              <w:bottom w:val="single" w:color="auto" w:sz="4" w:space="0"/>
              <w:right w:val="single" w:color="auto" w:sz="4" w:space="0"/>
            </w:tcBorders>
            <w:shd w:val="clear" w:color="auto" w:fill="auto"/>
            <w:noWrap w:val="0"/>
            <w:vAlign w:val="bottom"/>
          </w:tcPr>
          <w:p>
            <w:pPr>
              <w:widowControl/>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val="en-US" w:eastAsia="zh-CN"/>
              </w:rPr>
              <w:t>名称</w:t>
            </w:r>
          </w:p>
        </w:tc>
        <w:tc>
          <w:tcPr>
            <w:tcW w:w="4279" w:type="pct"/>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技术参数要求</w:t>
            </w:r>
          </w:p>
        </w:tc>
      </w:tr>
      <w:tr>
        <w:tblPrEx>
          <w:tblCellMar>
            <w:top w:w="0" w:type="dxa"/>
            <w:left w:w="108" w:type="dxa"/>
            <w:bottom w:w="0" w:type="dxa"/>
            <w:right w:w="108" w:type="dxa"/>
          </w:tblCellMar>
        </w:tblPrEx>
        <w:trPr>
          <w:trHeight w:val="285" w:hRule="atLeast"/>
        </w:trPr>
        <w:tc>
          <w:tcPr>
            <w:tcW w:w="720" w:type="pct"/>
            <w:tcBorders>
              <w:top w:val="single" w:color="auto" w:sz="4" w:space="0"/>
              <w:left w:val="single" w:color="auto" w:sz="4" w:space="0"/>
              <w:bottom w:val="single" w:color="auto" w:sz="4" w:space="0"/>
              <w:right w:val="single" w:color="auto" w:sz="4" w:space="0"/>
            </w:tcBorders>
            <w:shd w:val="clear" w:color="auto" w:fill="auto"/>
            <w:noWrap w:val="0"/>
            <w:vAlign w:val="bottom"/>
          </w:tcPr>
          <w:p>
            <w:pPr>
              <w:widowControl/>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辅材</w:t>
            </w:r>
          </w:p>
        </w:tc>
        <w:tc>
          <w:tcPr>
            <w:tcW w:w="4279" w:type="pct"/>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涉及本项目实施所需材料，如：光纤跳线、网络跳线、PDU、模块、扎带等</w:t>
            </w:r>
          </w:p>
        </w:tc>
      </w:tr>
    </w:tbl>
    <w:p>
      <w:pPr>
        <w:rPr>
          <w:rFonts w:hint="default"/>
          <w:lang w:val="en-US" w:eastAsia="zh-CN"/>
        </w:rPr>
      </w:pPr>
    </w:p>
    <w:p>
      <w:pPr>
        <w:pStyle w:val="4"/>
        <w:bidi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15.系统集成：</w:t>
      </w:r>
    </w:p>
    <w:tbl>
      <w:tblPr>
        <w:tblStyle w:val="63"/>
        <w:tblW w:w="4999" w:type="pct"/>
        <w:tblInd w:w="0" w:type="dxa"/>
        <w:tblLayout w:type="autofit"/>
        <w:tblCellMar>
          <w:top w:w="0" w:type="dxa"/>
          <w:left w:w="108" w:type="dxa"/>
          <w:bottom w:w="0" w:type="dxa"/>
          <w:right w:w="108" w:type="dxa"/>
        </w:tblCellMar>
      </w:tblPr>
      <w:tblGrid>
        <w:gridCol w:w="1337"/>
        <w:gridCol w:w="7950"/>
      </w:tblGrid>
      <w:tr>
        <w:tblPrEx>
          <w:tblCellMar>
            <w:top w:w="0" w:type="dxa"/>
            <w:left w:w="108" w:type="dxa"/>
            <w:bottom w:w="0" w:type="dxa"/>
            <w:right w:w="108" w:type="dxa"/>
          </w:tblCellMar>
        </w:tblPrEx>
        <w:trPr>
          <w:trHeight w:val="285" w:hRule="atLeast"/>
        </w:trPr>
        <w:tc>
          <w:tcPr>
            <w:tcW w:w="720" w:type="pct"/>
            <w:tcBorders>
              <w:top w:val="single" w:color="auto" w:sz="4" w:space="0"/>
              <w:left w:val="single" w:color="auto" w:sz="4" w:space="0"/>
              <w:bottom w:val="single" w:color="auto" w:sz="4" w:space="0"/>
              <w:right w:val="single" w:color="auto" w:sz="4" w:space="0"/>
            </w:tcBorders>
            <w:shd w:val="clear" w:color="auto" w:fill="auto"/>
            <w:noWrap w:val="0"/>
            <w:vAlign w:val="bottom"/>
          </w:tcPr>
          <w:p>
            <w:pPr>
              <w:widowControl/>
              <w:jc w:val="center"/>
              <w:rPr>
                <w:rFonts w:hint="eastAsia" w:ascii="宋体" w:hAnsi="宋体" w:eastAsia="宋体" w:cs="宋体"/>
                <w:b w:val="0"/>
                <w:bCs w:val="0"/>
                <w:color w:val="000000"/>
                <w:kern w:val="0"/>
                <w:sz w:val="21"/>
                <w:szCs w:val="21"/>
                <w:lang w:eastAsia="zh-CN"/>
              </w:rPr>
            </w:pPr>
            <w:r>
              <w:rPr>
                <w:rFonts w:hint="eastAsia" w:ascii="宋体" w:hAnsi="宋体" w:eastAsia="宋体" w:cs="宋体"/>
                <w:b w:val="0"/>
                <w:bCs w:val="0"/>
                <w:color w:val="000000"/>
                <w:kern w:val="0"/>
                <w:sz w:val="21"/>
                <w:szCs w:val="21"/>
                <w:lang w:val="en-US" w:eastAsia="zh-CN"/>
              </w:rPr>
              <w:t>名称</w:t>
            </w:r>
          </w:p>
        </w:tc>
        <w:tc>
          <w:tcPr>
            <w:tcW w:w="4279" w:type="pct"/>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技术参数要求</w:t>
            </w:r>
          </w:p>
        </w:tc>
      </w:tr>
      <w:tr>
        <w:tblPrEx>
          <w:tblCellMar>
            <w:top w:w="0" w:type="dxa"/>
            <w:left w:w="108" w:type="dxa"/>
            <w:bottom w:w="0" w:type="dxa"/>
            <w:right w:w="108" w:type="dxa"/>
          </w:tblCellMar>
        </w:tblPrEx>
        <w:trPr>
          <w:trHeight w:val="285" w:hRule="atLeast"/>
        </w:trPr>
        <w:tc>
          <w:tcPr>
            <w:tcW w:w="720" w:type="pct"/>
            <w:tcBorders>
              <w:top w:val="single" w:color="auto" w:sz="4" w:space="0"/>
              <w:left w:val="single" w:color="auto" w:sz="4" w:space="0"/>
              <w:bottom w:val="single" w:color="auto" w:sz="4" w:space="0"/>
              <w:right w:val="single" w:color="auto" w:sz="4" w:space="0"/>
            </w:tcBorders>
            <w:shd w:val="clear" w:color="auto" w:fill="auto"/>
            <w:noWrap w:val="0"/>
            <w:vAlign w:val="bottom"/>
          </w:tcPr>
          <w:p>
            <w:pPr>
              <w:widowControl/>
              <w:jc w:val="center"/>
              <w:rPr>
                <w:rFonts w:hint="default"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系统集成</w:t>
            </w:r>
          </w:p>
        </w:tc>
        <w:tc>
          <w:tcPr>
            <w:tcW w:w="4279" w:type="pct"/>
            <w:tcBorders>
              <w:top w:val="single" w:color="auto" w:sz="4" w:space="0"/>
              <w:left w:val="nil"/>
              <w:bottom w:val="single" w:color="auto" w:sz="4" w:space="0"/>
              <w:right w:val="single" w:color="auto" w:sz="4" w:space="0"/>
            </w:tcBorders>
            <w:shd w:val="clear" w:color="000000" w:fill="FFFFFF"/>
            <w:noWrap w:val="0"/>
            <w:vAlign w:val="center"/>
          </w:tcPr>
          <w:p>
            <w:pPr>
              <w:bidi w:val="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一、</w:t>
            </w:r>
            <w:r>
              <w:rPr>
                <w:rFonts w:hint="eastAsia" w:ascii="宋体" w:hAnsi="宋体" w:eastAsia="宋体" w:cs="宋体"/>
                <w:b w:val="0"/>
                <w:bCs w:val="0"/>
                <w:sz w:val="21"/>
                <w:szCs w:val="21"/>
              </w:rPr>
              <w:t>硬件平台集成要求</w:t>
            </w:r>
          </w:p>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（1）所有相关服务器、存储、软件平台的软硬件安装、调试及其新系统环境集成；</w:t>
            </w:r>
          </w:p>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（2）系统软件的安装、调试和维护；</w:t>
            </w:r>
          </w:p>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（3）SAN交换机安装、调试和维护；</w:t>
            </w:r>
          </w:p>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（4）存储设备的安装、调试和维护。</w:t>
            </w:r>
          </w:p>
          <w:p>
            <w:pPr>
              <w:bidi w:val="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二、</w:t>
            </w:r>
            <w:r>
              <w:rPr>
                <w:rFonts w:hint="eastAsia" w:ascii="宋体" w:hAnsi="宋体" w:eastAsia="宋体" w:cs="宋体"/>
                <w:b w:val="0"/>
                <w:bCs w:val="0"/>
                <w:sz w:val="21"/>
                <w:szCs w:val="21"/>
              </w:rPr>
              <w:t>虚拟化平台迁移要求</w:t>
            </w:r>
          </w:p>
          <w:p>
            <w:pPr>
              <w:spacing w:line="360" w:lineRule="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rPr>
              <w:t>（1）根据实际应用需求，提供虚拟化系统迁移</w:t>
            </w:r>
            <w:r>
              <w:rPr>
                <w:rFonts w:hint="eastAsia" w:ascii="宋体" w:hAnsi="宋体" w:cs="宋体"/>
                <w:b w:val="0"/>
                <w:bCs w:val="0"/>
                <w:sz w:val="21"/>
                <w:szCs w:val="21"/>
                <w:lang w:eastAsia="zh-CN"/>
              </w:rPr>
              <w:t>，</w:t>
            </w:r>
            <w:r>
              <w:rPr>
                <w:rFonts w:hint="eastAsia" w:ascii="宋体" w:hAnsi="宋体" w:cs="宋体"/>
                <w:b w:val="0"/>
                <w:bCs w:val="0"/>
                <w:sz w:val="21"/>
                <w:szCs w:val="21"/>
                <w:highlight w:val="none"/>
                <w:lang w:eastAsia="zh-CN"/>
              </w:rPr>
              <w:t>数据需和杭州市临安区卫健局现有机房互联互通。</w:t>
            </w:r>
          </w:p>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2）业务连续性保障：所有单机业务虚拟化部署，通过迁移工具在线迁移到虚拟化平台上来，原有的物理机不关机，只是断开网络连接，把虚拟机接入到业务网络中去，业务上线测试检查（所有虚拟机测试都是放在晚上业务系统使用频率低的时段进行）。测试无误后，原有物理机开机跑一个星期，无误后再利旧他用 ；如果虚拟机上的业务系统上线测试有问题，迅速关闭虚拟机，把原有物理机接入业务网络中，保证在最短时间恢复业务运行。</w:t>
            </w:r>
          </w:p>
          <w:p>
            <w:pPr>
              <w:bidi w:val="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三、</w:t>
            </w:r>
            <w:r>
              <w:rPr>
                <w:rFonts w:hint="eastAsia" w:ascii="宋体" w:hAnsi="宋体" w:eastAsia="宋体" w:cs="宋体"/>
                <w:b w:val="0"/>
                <w:bCs w:val="0"/>
                <w:sz w:val="21"/>
                <w:szCs w:val="21"/>
              </w:rPr>
              <w:t>存储双活平台实施要求</w:t>
            </w:r>
          </w:p>
          <w:p>
            <w:pPr>
              <w:widowControl/>
              <w:jc w:val="both"/>
              <w:rPr>
                <w:rFonts w:hint="default" w:ascii="宋体" w:hAnsi="宋体" w:eastAsia="宋体" w:cs="宋体"/>
                <w:b w:val="0"/>
                <w:bCs w:val="0"/>
                <w:kern w:val="0"/>
                <w:sz w:val="21"/>
                <w:szCs w:val="21"/>
                <w:lang w:val="en-US" w:eastAsia="zh-CN"/>
              </w:rPr>
            </w:pPr>
            <w:r>
              <w:rPr>
                <w:rFonts w:hint="eastAsia" w:ascii="宋体" w:hAnsi="宋体" w:eastAsia="宋体" w:cs="宋体"/>
                <w:b w:val="0"/>
                <w:bCs w:val="0"/>
                <w:sz w:val="21"/>
                <w:szCs w:val="21"/>
              </w:rPr>
              <w:t>本次采购的</w:t>
            </w:r>
            <w:r>
              <w:rPr>
                <w:rFonts w:hint="eastAsia" w:ascii="宋体" w:hAnsi="宋体" w:eastAsia="宋体" w:cs="宋体"/>
                <w:b w:val="0"/>
                <w:bCs w:val="0"/>
                <w:sz w:val="21"/>
                <w:szCs w:val="21"/>
                <w:lang w:val="en-US" w:eastAsia="zh-CN"/>
              </w:rPr>
              <w:t>数据库</w:t>
            </w:r>
            <w:r>
              <w:rPr>
                <w:rFonts w:hint="eastAsia" w:ascii="宋体" w:hAnsi="宋体" w:eastAsia="宋体" w:cs="宋体"/>
                <w:b w:val="0"/>
                <w:bCs w:val="0"/>
                <w:sz w:val="21"/>
                <w:szCs w:val="21"/>
              </w:rPr>
              <w:t>存储设备与现有的</w:t>
            </w:r>
            <w:r>
              <w:rPr>
                <w:rFonts w:hint="eastAsia" w:ascii="宋体" w:hAnsi="宋体" w:eastAsia="宋体" w:cs="宋体"/>
                <w:b w:val="0"/>
                <w:bCs w:val="0"/>
                <w:sz w:val="21"/>
                <w:szCs w:val="21"/>
                <w:lang w:val="en-US" w:eastAsia="zh-CN"/>
              </w:rPr>
              <w:t>数据库</w:t>
            </w:r>
            <w:r>
              <w:rPr>
                <w:rFonts w:hint="eastAsia" w:ascii="宋体" w:hAnsi="宋体" w:eastAsia="宋体" w:cs="宋体"/>
                <w:b w:val="0"/>
                <w:bCs w:val="0"/>
                <w:sz w:val="21"/>
                <w:szCs w:val="21"/>
              </w:rPr>
              <w:t>存储设备</w:t>
            </w:r>
            <w:r>
              <w:rPr>
                <w:rFonts w:hint="eastAsia" w:ascii="宋体" w:hAnsi="宋体" w:eastAsia="宋体" w:cs="宋体"/>
                <w:b w:val="0"/>
                <w:bCs w:val="0"/>
                <w:sz w:val="21"/>
                <w:szCs w:val="21"/>
                <w:lang w:val="en-US" w:eastAsia="zh-CN"/>
              </w:rPr>
              <w:t>打通</w:t>
            </w:r>
            <w:r>
              <w:rPr>
                <w:rFonts w:hint="eastAsia" w:ascii="宋体" w:hAnsi="宋体" w:eastAsia="宋体" w:cs="宋体"/>
                <w:b w:val="0"/>
                <w:bCs w:val="0"/>
                <w:sz w:val="21"/>
                <w:szCs w:val="21"/>
              </w:rPr>
              <w:t>。</w:t>
            </w:r>
          </w:p>
        </w:tc>
      </w:tr>
    </w:tbl>
    <w:p>
      <w:pPr>
        <w:rPr>
          <w:rFonts w:hint="default"/>
          <w:lang w:val="en-US" w:eastAsia="zh-CN"/>
        </w:rPr>
      </w:pPr>
    </w:p>
    <w:p>
      <w:pPr>
        <w:rPr>
          <w:rFonts w:hint="default"/>
          <w:lang w:val="en-US" w:eastAsia="zh-CN"/>
        </w:rPr>
      </w:pPr>
    </w:p>
    <w:p>
      <w:pPr>
        <w:keepNext w:val="0"/>
        <w:keepLines w:val="0"/>
        <w:pageBreakBefore w:val="0"/>
        <w:widowControl w:val="0"/>
        <w:kinsoku/>
        <w:wordWrap/>
        <w:overflowPunct/>
        <w:topLinePunct w:val="0"/>
        <w:autoSpaceDE w:val="0"/>
        <w:autoSpaceDN w:val="0"/>
        <w:bidi w:val="0"/>
        <w:adjustRightInd w:val="0"/>
        <w:spacing w:line="440" w:lineRule="exact"/>
        <w:ind w:firstLine="482" w:firstLineChars="200"/>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lang w:val="en-US" w:eastAsia="zh-CN"/>
        </w:rPr>
        <w:t>三</w:t>
      </w:r>
      <w:r>
        <w:rPr>
          <w:rFonts w:hint="eastAsia" w:asciiTheme="minorEastAsia" w:hAnsiTheme="minorEastAsia" w:eastAsiaTheme="minorEastAsia" w:cstheme="minorEastAsia"/>
          <w:b/>
          <w:bCs/>
          <w:kern w:val="0"/>
          <w:sz w:val="24"/>
          <w:szCs w:val="24"/>
        </w:rPr>
        <w:t>、现场踏勘</w:t>
      </w:r>
    </w:p>
    <w:p>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1、投标人可以自行对项目现场和周围环境进行考察，现场考察的费用由投标人自负。</w:t>
      </w:r>
    </w:p>
    <w:p>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2、现场考察过程中，投标人如发生人身伤亡、财产或其他损失，不论何种原因造成，招标人概不负责。</w:t>
      </w:r>
    </w:p>
    <w:p>
      <w:pPr>
        <w:keepNext w:val="0"/>
        <w:keepLines w:val="0"/>
        <w:pageBreakBefore w:val="0"/>
        <w:widowControl w:val="0"/>
        <w:kinsoku/>
        <w:wordWrap/>
        <w:overflowPunct/>
        <w:topLinePunct w:val="0"/>
        <w:autoSpaceDE w:val="0"/>
        <w:autoSpaceDN w:val="0"/>
        <w:bidi w:val="0"/>
        <w:adjustRightInd w:val="0"/>
        <w:spacing w:line="440" w:lineRule="exact"/>
        <w:ind w:firstLine="482" w:firstLineChars="200"/>
        <w:textAlignment w:val="auto"/>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四、项目实施时间及质保期</w:t>
      </w:r>
    </w:p>
    <w:p>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1、实施时间：合同签订后60日历天完成设备采购并安装调试运行完成。</w:t>
      </w:r>
    </w:p>
    <w:p>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2、质保期：3年。</w:t>
      </w:r>
    </w:p>
    <w:p>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（1）质保期内上门维修，必须出具维修服务单，服务单应包括：用户姓名、联系方式、报修时间、上门时间、完成维修时间、报修设备信息、维修情况等内容，并由用户签字。</w:t>
      </w:r>
    </w:p>
    <w:p>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（2）提供24小时技术支持热线，30分钟内电话响应，1小时之内上门维修，12小时内解决问题；不能当场修复的，必须采取提供备品、备件或备机等措施，以保证采购单位的正常使用。</w:t>
      </w:r>
    </w:p>
    <w:p>
      <w:pPr>
        <w:keepNext w:val="0"/>
        <w:keepLines w:val="0"/>
        <w:pageBreakBefore w:val="0"/>
        <w:widowControl w:val="0"/>
        <w:kinsoku/>
        <w:wordWrap/>
        <w:overflowPunct/>
        <w:topLinePunct w:val="0"/>
        <w:bidi w:val="0"/>
        <w:snapToGrid w:val="0"/>
        <w:spacing w:line="44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五</w:t>
      </w:r>
      <w:r>
        <w:rPr>
          <w:rFonts w:hint="eastAsia" w:asciiTheme="minorEastAsia" w:hAnsiTheme="minorEastAsia" w:eastAsiaTheme="minorEastAsia" w:cstheme="minorEastAsia"/>
          <w:b/>
          <w:bCs/>
          <w:sz w:val="24"/>
          <w:szCs w:val="24"/>
        </w:rPr>
        <w:t>、技术培训</w:t>
      </w:r>
    </w:p>
    <w:p>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1、中标人须在采购人处提供设备操作及维修培训。</w:t>
      </w:r>
    </w:p>
    <w:p>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2、中标人提供的负责培训的人员应具备丰富的维修经验。培训内容包括但不限于设备工作原理、操作使用及日常维护保养。</w:t>
      </w:r>
    </w:p>
    <w:p>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、技术培训费用应包含在投标总价中。</w:t>
      </w:r>
    </w:p>
    <w:p>
      <w:pPr>
        <w:keepNext w:val="0"/>
        <w:keepLines w:val="0"/>
        <w:pageBreakBefore w:val="0"/>
        <w:widowControl w:val="0"/>
        <w:kinsoku/>
        <w:wordWrap/>
        <w:overflowPunct/>
        <w:topLinePunct w:val="0"/>
        <w:autoSpaceDE w:val="0"/>
        <w:autoSpaceDN w:val="0"/>
        <w:bidi w:val="0"/>
        <w:adjustRightInd w:val="0"/>
        <w:spacing w:line="440" w:lineRule="exact"/>
        <w:ind w:firstLine="482" w:firstLineChars="200"/>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lang w:val="en-US" w:eastAsia="zh-CN"/>
        </w:rPr>
        <w:t>六</w:t>
      </w:r>
      <w:r>
        <w:rPr>
          <w:rFonts w:hint="eastAsia" w:asciiTheme="minorEastAsia" w:hAnsiTheme="minorEastAsia" w:eastAsiaTheme="minorEastAsia" w:cstheme="minorEastAsia"/>
          <w:b/>
          <w:bCs/>
          <w:kern w:val="0"/>
          <w:sz w:val="24"/>
          <w:szCs w:val="24"/>
        </w:rPr>
        <w:t>、调试和验收</w:t>
      </w:r>
    </w:p>
    <w:p>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1、依据《临安区政府采购合同履约和验收管理暂行办法》、采购文件要求、响应文件承诺和国家有关质量标准进行验收。设备试机，设备正常运行。</w:t>
      </w:r>
    </w:p>
    <w:p>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2、中标人应按照采购方要求组织验收，验收时中标人须在现场，验收合格后填写验收单。验收费用由中标人负责。</w:t>
      </w:r>
    </w:p>
    <w:p>
      <w:pPr>
        <w:pStyle w:val="37"/>
        <w:keepNext w:val="0"/>
        <w:keepLines w:val="0"/>
        <w:pageBreakBefore w:val="0"/>
        <w:widowControl w:val="0"/>
        <w:kinsoku/>
        <w:wordWrap/>
        <w:overflowPunct/>
        <w:topLinePunct w:val="0"/>
        <w:bidi w:val="0"/>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七、付款方式</w:t>
      </w:r>
    </w:p>
    <w:p>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1、合同生效以及具备实施条件后 7个工作日内，甲方支付合同总价40%的预付款；</w:t>
      </w:r>
    </w:p>
    <w:p>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cs="宋体"/>
          <w:b/>
          <w:sz w:val="36"/>
          <w:szCs w:val="36"/>
        </w:rPr>
      </w:pPr>
      <w:r>
        <w:rPr>
          <w:rFonts w:hint="eastAsia" w:asciiTheme="minorEastAsia" w:hAnsiTheme="minorEastAsia" w:eastAsiaTheme="minorEastAsia" w:cstheme="minorEastAsia"/>
          <w:kern w:val="0"/>
          <w:sz w:val="24"/>
          <w:szCs w:val="24"/>
        </w:rPr>
        <w:t>2、设备安装调试完毕，且甲方验收合格后的一个月内支付合同总价60% 。</w:t>
      </w:r>
    </w:p>
    <w:p>
      <w:pPr>
        <w:keepNext w:val="0"/>
        <w:keepLines w:val="0"/>
        <w:pageBreakBefore w:val="0"/>
        <w:widowControl w:val="0"/>
        <w:kinsoku/>
        <w:wordWrap/>
        <w:overflowPunct/>
        <w:topLinePunct w:val="0"/>
        <w:autoSpaceDE w:val="0"/>
        <w:autoSpaceDN w:val="0"/>
        <w:bidi w:val="0"/>
        <w:adjustRightInd w:val="0"/>
        <w:spacing w:line="440" w:lineRule="exact"/>
        <w:ind w:firstLine="482" w:firstLineChars="200"/>
        <w:textAlignment w:val="auto"/>
        <w:rPr>
          <w:rFonts w:hint="eastAsia" w:asciiTheme="minorEastAsia" w:hAnsiTheme="minorEastAsia" w:eastAsiaTheme="minorEastAsia" w:cstheme="minorEastAsia"/>
          <w:b/>
          <w:bCs/>
          <w:kern w:val="0"/>
          <w:sz w:val="24"/>
          <w:szCs w:val="24"/>
          <w:lang w:eastAsia="zh-CN"/>
        </w:rPr>
      </w:pPr>
      <w:r>
        <w:rPr>
          <w:rFonts w:hint="eastAsia" w:asciiTheme="minorEastAsia" w:hAnsiTheme="minorEastAsia" w:eastAsiaTheme="minorEastAsia" w:cstheme="minorEastAsia"/>
          <w:b/>
          <w:bCs/>
          <w:kern w:val="0"/>
          <w:sz w:val="24"/>
          <w:szCs w:val="24"/>
          <w:lang w:eastAsia="zh-CN"/>
        </w:rPr>
        <w:t>八、其他</w:t>
      </w:r>
    </w:p>
    <w:p>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投标人保证其提供的所有货物、软件及服务等，不会侵犯任何第三方的知识产权和其它权益。如因此发生任何针对甲方的争议、索赔、诉讼等，产生的一切法律责任与费用均由投标人承担。</w:t>
      </w:r>
    </w:p>
    <w:p>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服务内容清单中的货物供货、安装调试、相关费用、税金等服务内容清单中未提到，但在实际安装过程中需要配置的配件均计入投标报价中，不得额外收费。本项目包含系统工程量包括但不仅限于以上清单，乙方应根据自己的工程经验和项目内容完善系统所需设备清单，包括与现有系统集成所需的软件、硬件等，以保证整个系统的完整性；因乙方经验不足或工作失误导致设备未列入报价清单，从而为完善系统增加的设备和费用均由乙方负责。</w:t>
      </w:r>
    </w:p>
    <w:p>
      <w:pPr>
        <w:spacing w:line="360" w:lineRule="auto"/>
        <w:jc w:val="center"/>
        <w:outlineLvl w:val="0"/>
        <w:rPr>
          <w:rFonts w:hint="eastAsia" w:ascii="宋体" w:hAnsi="宋体" w:cs="宋体"/>
          <w:b/>
          <w:sz w:val="36"/>
          <w:szCs w:val="36"/>
        </w:rPr>
      </w:pPr>
    </w:p>
    <w:p>
      <w:pPr>
        <w:spacing w:line="360" w:lineRule="auto"/>
        <w:jc w:val="center"/>
        <w:outlineLvl w:val="0"/>
        <w:rPr>
          <w:rFonts w:hint="eastAsia" w:ascii="宋体" w:hAnsi="宋体" w:cs="宋体"/>
          <w:b/>
          <w:sz w:val="36"/>
          <w:szCs w:val="36"/>
        </w:rPr>
      </w:pPr>
    </w:p>
    <w:p>
      <w:pPr>
        <w:spacing w:line="360" w:lineRule="auto"/>
        <w:jc w:val="center"/>
        <w:outlineLvl w:val="0"/>
        <w:rPr>
          <w:rFonts w:hint="eastAsia" w:ascii="宋体" w:hAnsi="宋体" w:cs="宋体"/>
          <w:b/>
          <w:sz w:val="36"/>
          <w:szCs w:val="36"/>
        </w:rPr>
      </w:pPr>
    </w:p>
    <w:p>
      <w:pPr>
        <w:spacing w:line="360" w:lineRule="auto"/>
        <w:jc w:val="center"/>
        <w:outlineLvl w:val="0"/>
        <w:rPr>
          <w:rFonts w:hint="eastAsia" w:ascii="宋体" w:hAnsi="宋体" w:cs="宋体"/>
          <w:b/>
          <w:sz w:val="36"/>
          <w:szCs w:val="36"/>
        </w:rPr>
      </w:pPr>
    </w:p>
    <w:p>
      <w:pPr>
        <w:spacing w:line="360" w:lineRule="auto"/>
        <w:jc w:val="center"/>
        <w:outlineLvl w:val="0"/>
        <w:rPr>
          <w:rFonts w:hint="eastAsia" w:ascii="宋体" w:hAnsi="宋体" w:cs="宋体"/>
          <w:b/>
          <w:sz w:val="36"/>
          <w:szCs w:val="36"/>
        </w:rPr>
      </w:pPr>
    </w:p>
    <w:p>
      <w:pPr>
        <w:spacing w:line="360" w:lineRule="auto"/>
        <w:jc w:val="center"/>
        <w:outlineLvl w:val="0"/>
        <w:rPr>
          <w:rFonts w:hint="eastAsia" w:ascii="宋体" w:hAnsi="宋体" w:cs="宋体"/>
          <w:b/>
          <w:sz w:val="36"/>
          <w:szCs w:val="36"/>
        </w:rPr>
      </w:pPr>
    </w:p>
    <w:p>
      <w:pPr>
        <w:spacing w:line="360" w:lineRule="auto"/>
        <w:jc w:val="center"/>
        <w:outlineLvl w:val="0"/>
        <w:rPr>
          <w:rFonts w:hint="eastAsia" w:ascii="宋体" w:hAnsi="宋体" w:cs="宋体"/>
          <w:b/>
          <w:sz w:val="36"/>
          <w:szCs w:val="36"/>
        </w:rPr>
      </w:pPr>
    </w:p>
    <w:p>
      <w:pPr>
        <w:spacing w:line="360" w:lineRule="auto"/>
        <w:jc w:val="center"/>
        <w:outlineLvl w:val="0"/>
        <w:rPr>
          <w:rFonts w:hint="eastAsia" w:ascii="宋体" w:hAnsi="宋体" w:cs="宋体"/>
          <w:b/>
          <w:sz w:val="36"/>
          <w:szCs w:val="36"/>
        </w:rPr>
      </w:pPr>
    </w:p>
    <w:p>
      <w:pPr>
        <w:spacing w:line="360" w:lineRule="auto"/>
        <w:jc w:val="center"/>
        <w:outlineLvl w:val="0"/>
        <w:rPr>
          <w:rFonts w:hint="eastAsia" w:ascii="宋体" w:hAnsi="宋体" w:cs="宋体"/>
          <w:b/>
          <w:sz w:val="36"/>
          <w:szCs w:val="36"/>
        </w:rPr>
      </w:pPr>
    </w:p>
    <w:p>
      <w:pPr>
        <w:spacing w:line="360" w:lineRule="auto"/>
        <w:jc w:val="center"/>
        <w:outlineLvl w:val="0"/>
        <w:rPr>
          <w:rFonts w:hint="eastAsia" w:ascii="宋体" w:hAnsi="宋体" w:cs="宋体"/>
          <w:b/>
          <w:sz w:val="36"/>
          <w:szCs w:val="36"/>
        </w:rPr>
      </w:pPr>
    </w:p>
    <w:p>
      <w:pPr>
        <w:spacing w:line="360" w:lineRule="auto"/>
        <w:jc w:val="center"/>
        <w:outlineLvl w:val="0"/>
        <w:rPr>
          <w:rFonts w:hint="eastAsia" w:ascii="宋体" w:hAnsi="宋体" w:cs="宋体"/>
          <w:b/>
          <w:sz w:val="36"/>
          <w:szCs w:val="36"/>
        </w:rPr>
      </w:pPr>
    </w:p>
    <w:p>
      <w:pPr>
        <w:spacing w:line="360" w:lineRule="auto"/>
        <w:jc w:val="both"/>
        <w:outlineLvl w:val="0"/>
        <w:rPr>
          <w:rFonts w:hint="eastAsia" w:ascii="宋体" w:hAnsi="宋体" w:cs="宋体"/>
          <w:b/>
          <w:sz w:val="36"/>
          <w:szCs w:val="36"/>
        </w:rPr>
      </w:pPr>
    </w:p>
    <w:p>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6" w:name="_Toc184313253"/>
      <w:bookmarkEnd w:id="36"/>
      <w:bookmarkStart w:id="37" w:name="_Toc184308075"/>
      <w:bookmarkEnd w:id="37"/>
      <w:bookmarkStart w:id="38" w:name="_Toc184308103"/>
      <w:bookmarkEnd w:id="38"/>
      <w:bookmarkStart w:id="39" w:name="_Toc184312135"/>
      <w:bookmarkEnd w:id="39"/>
      <w:bookmarkStart w:id="40" w:name="_Toc184308098"/>
      <w:bookmarkEnd w:id="40"/>
      <w:bookmarkStart w:id="41" w:name="_Toc184313264"/>
      <w:bookmarkEnd w:id="41"/>
      <w:bookmarkStart w:id="42" w:name="_Toc184310341"/>
      <w:bookmarkEnd w:id="42"/>
      <w:bookmarkStart w:id="43" w:name="_Toc184312136"/>
      <w:bookmarkEnd w:id="43"/>
      <w:bookmarkStart w:id="44" w:name="_Toc184312075"/>
      <w:bookmarkEnd w:id="44"/>
      <w:bookmarkStart w:id="45" w:name="_Toc184310319"/>
      <w:bookmarkEnd w:id="45"/>
      <w:bookmarkStart w:id="46" w:name="_Toc184313304"/>
      <w:bookmarkEnd w:id="46"/>
      <w:bookmarkStart w:id="47" w:name="_Toc184313276"/>
      <w:bookmarkEnd w:id="47"/>
      <w:bookmarkStart w:id="48" w:name="_Toc184308063"/>
      <w:bookmarkEnd w:id="48"/>
      <w:bookmarkStart w:id="49" w:name="_Toc184308091"/>
      <w:bookmarkEnd w:id="49"/>
      <w:bookmarkStart w:id="50" w:name="_Toc184312071"/>
      <w:bookmarkEnd w:id="50"/>
      <w:bookmarkStart w:id="51" w:name="_Toc184310309"/>
      <w:bookmarkEnd w:id="51"/>
      <w:bookmarkStart w:id="52" w:name="_Toc184312080"/>
      <w:bookmarkEnd w:id="52"/>
      <w:bookmarkStart w:id="53" w:name="_Toc184308086"/>
      <w:bookmarkEnd w:id="53"/>
      <w:bookmarkStart w:id="54" w:name="_Toc184312107"/>
      <w:bookmarkEnd w:id="54"/>
      <w:bookmarkStart w:id="55" w:name="_Toc184312108"/>
      <w:bookmarkEnd w:id="55"/>
      <w:bookmarkStart w:id="56" w:name="_Toc184310308"/>
      <w:bookmarkEnd w:id="56"/>
      <w:bookmarkStart w:id="57" w:name="_Toc184308064"/>
      <w:bookmarkEnd w:id="57"/>
      <w:bookmarkStart w:id="58" w:name="_Toc184314472"/>
      <w:bookmarkEnd w:id="58"/>
      <w:bookmarkStart w:id="59" w:name="_Toc184312076"/>
      <w:bookmarkEnd w:id="59"/>
      <w:bookmarkStart w:id="60" w:name="_Toc184313270"/>
      <w:bookmarkEnd w:id="60"/>
      <w:bookmarkStart w:id="61" w:name="_Toc184312095"/>
      <w:bookmarkEnd w:id="61"/>
      <w:bookmarkStart w:id="62" w:name="_Toc184313262"/>
      <w:bookmarkEnd w:id="62"/>
      <w:bookmarkStart w:id="63" w:name="_Toc184313268"/>
      <w:bookmarkEnd w:id="63"/>
      <w:bookmarkStart w:id="64" w:name="_Toc184314435"/>
      <w:bookmarkEnd w:id="64"/>
      <w:bookmarkStart w:id="65" w:name="_Toc184314415"/>
      <w:bookmarkEnd w:id="65"/>
      <w:bookmarkStart w:id="66" w:name="_Toc184308062"/>
      <w:bookmarkEnd w:id="66"/>
      <w:bookmarkStart w:id="67" w:name="_Toc184313260"/>
      <w:bookmarkEnd w:id="67"/>
      <w:bookmarkStart w:id="68" w:name="_Toc184312081"/>
      <w:bookmarkEnd w:id="68"/>
      <w:bookmarkStart w:id="69" w:name="_Toc184314433"/>
      <w:bookmarkEnd w:id="69"/>
      <w:bookmarkStart w:id="70" w:name="_Toc184314426"/>
      <w:bookmarkEnd w:id="70"/>
      <w:bookmarkStart w:id="71" w:name="_Toc184313265"/>
      <w:bookmarkEnd w:id="71"/>
      <w:bookmarkStart w:id="72" w:name="_Toc184314421"/>
      <w:bookmarkEnd w:id="72"/>
      <w:bookmarkStart w:id="73" w:name="_Toc184308097"/>
      <w:bookmarkEnd w:id="73"/>
      <w:bookmarkStart w:id="74" w:name="_Toc184314441"/>
      <w:bookmarkEnd w:id="74"/>
      <w:bookmarkStart w:id="75" w:name="_Toc184314462"/>
      <w:bookmarkEnd w:id="75"/>
      <w:bookmarkStart w:id="76" w:name="_Toc184313296"/>
      <w:bookmarkEnd w:id="76"/>
      <w:bookmarkStart w:id="77" w:name="_Toc184310276"/>
      <w:bookmarkEnd w:id="77"/>
      <w:bookmarkStart w:id="78" w:name="_Toc184312083"/>
      <w:bookmarkEnd w:id="78"/>
      <w:bookmarkStart w:id="79" w:name="_Toc184310316"/>
      <w:bookmarkEnd w:id="79"/>
      <w:bookmarkStart w:id="80" w:name="_Toc184310277"/>
      <w:bookmarkEnd w:id="80"/>
      <w:bookmarkStart w:id="81" w:name="_Toc184313309"/>
      <w:bookmarkEnd w:id="81"/>
      <w:bookmarkStart w:id="82" w:name="_Toc184312084"/>
      <w:bookmarkEnd w:id="82"/>
      <w:bookmarkStart w:id="83" w:name="_Toc184312123"/>
      <w:bookmarkEnd w:id="83"/>
      <w:bookmarkStart w:id="84" w:name="_Toc184313251"/>
      <w:bookmarkEnd w:id="84"/>
      <w:bookmarkStart w:id="85" w:name="_Toc184308083"/>
      <w:bookmarkEnd w:id="85"/>
      <w:bookmarkStart w:id="86" w:name="_Toc184310339"/>
      <w:bookmarkEnd w:id="86"/>
      <w:bookmarkStart w:id="87" w:name="_Toc184308044"/>
      <w:bookmarkEnd w:id="87"/>
      <w:bookmarkStart w:id="88" w:name="_Toc184310284"/>
      <w:bookmarkEnd w:id="88"/>
      <w:bookmarkStart w:id="89" w:name="_Toc184310324"/>
      <w:bookmarkEnd w:id="89"/>
      <w:bookmarkStart w:id="90" w:name="_Toc184310299"/>
      <w:bookmarkEnd w:id="90"/>
      <w:bookmarkStart w:id="91" w:name="_Toc184310288"/>
      <w:bookmarkEnd w:id="91"/>
      <w:bookmarkStart w:id="92" w:name="_Toc184312099"/>
      <w:bookmarkEnd w:id="92"/>
      <w:bookmarkStart w:id="93" w:name="_Toc184308087"/>
      <w:bookmarkEnd w:id="93"/>
      <w:bookmarkStart w:id="94" w:name="_Toc184314440"/>
      <w:bookmarkEnd w:id="94"/>
      <w:bookmarkStart w:id="95" w:name="_Toc184308059"/>
      <w:bookmarkEnd w:id="95"/>
      <w:bookmarkStart w:id="96" w:name="_Toc184314437"/>
      <w:bookmarkEnd w:id="96"/>
      <w:bookmarkStart w:id="97" w:name="_Toc184314448"/>
      <w:bookmarkEnd w:id="97"/>
      <w:bookmarkStart w:id="98" w:name="_Toc184310306"/>
      <w:bookmarkEnd w:id="98"/>
      <w:bookmarkStart w:id="99" w:name="_Toc184313244"/>
      <w:bookmarkEnd w:id="99"/>
      <w:bookmarkStart w:id="100" w:name="_Toc184314481"/>
      <w:bookmarkEnd w:id="100"/>
      <w:bookmarkStart w:id="101" w:name="_Toc184310310"/>
      <w:bookmarkEnd w:id="101"/>
      <w:bookmarkStart w:id="102" w:name="_Toc184314442"/>
      <w:bookmarkEnd w:id="102"/>
      <w:bookmarkStart w:id="103" w:name="_Toc184308060"/>
      <w:bookmarkEnd w:id="103"/>
      <w:bookmarkStart w:id="104" w:name="_Toc184314438"/>
      <w:bookmarkEnd w:id="104"/>
      <w:bookmarkStart w:id="105" w:name="_Toc184314460"/>
      <w:bookmarkEnd w:id="105"/>
      <w:bookmarkStart w:id="106" w:name="_Toc184312073"/>
      <w:bookmarkEnd w:id="106"/>
      <w:bookmarkStart w:id="107" w:name="_Toc184310282"/>
      <w:bookmarkEnd w:id="107"/>
      <w:bookmarkStart w:id="108" w:name="_Toc184310275"/>
      <w:bookmarkEnd w:id="108"/>
      <w:bookmarkStart w:id="109" w:name="_Toc184313266"/>
      <w:bookmarkEnd w:id="109"/>
      <w:bookmarkStart w:id="110" w:name="_Toc184310340"/>
      <w:bookmarkEnd w:id="110"/>
      <w:bookmarkStart w:id="111" w:name="_Toc184312115"/>
      <w:bookmarkEnd w:id="111"/>
      <w:bookmarkStart w:id="112" w:name="_Toc184314420"/>
      <w:bookmarkEnd w:id="112"/>
      <w:bookmarkStart w:id="113" w:name="_Toc184308041"/>
      <w:bookmarkEnd w:id="113"/>
      <w:bookmarkStart w:id="114" w:name="_Toc184314414"/>
      <w:bookmarkEnd w:id="114"/>
      <w:bookmarkStart w:id="115" w:name="_Toc184310334"/>
      <w:bookmarkEnd w:id="115"/>
      <w:bookmarkStart w:id="116" w:name="_Toc184313295"/>
      <w:bookmarkEnd w:id="116"/>
      <w:bookmarkStart w:id="117" w:name="_Toc184314431"/>
      <w:bookmarkEnd w:id="117"/>
      <w:bookmarkStart w:id="118" w:name="_Toc184308071"/>
      <w:bookmarkEnd w:id="118"/>
      <w:bookmarkStart w:id="119" w:name="_Toc184308106"/>
      <w:bookmarkEnd w:id="119"/>
      <w:bookmarkStart w:id="120" w:name="_Toc184308108"/>
      <w:bookmarkEnd w:id="120"/>
      <w:bookmarkStart w:id="121" w:name="_Toc184314410"/>
      <w:bookmarkEnd w:id="121"/>
      <w:bookmarkStart w:id="122" w:name="_Toc184314432"/>
      <w:bookmarkEnd w:id="122"/>
      <w:bookmarkStart w:id="123" w:name="_Toc184314411"/>
      <w:bookmarkEnd w:id="123"/>
      <w:bookmarkStart w:id="124" w:name="_Toc184310314"/>
      <w:bookmarkEnd w:id="124"/>
      <w:bookmarkStart w:id="125" w:name="_Toc184313310"/>
      <w:bookmarkEnd w:id="125"/>
      <w:bookmarkStart w:id="126" w:name="_Toc184312127"/>
      <w:bookmarkEnd w:id="126"/>
      <w:bookmarkStart w:id="127" w:name="_Toc184310325"/>
      <w:bookmarkEnd w:id="127"/>
      <w:bookmarkStart w:id="128" w:name="_Toc184313301"/>
      <w:bookmarkEnd w:id="128"/>
      <w:bookmarkStart w:id="129" w:name="_Toc184313274"/>
      <w:bookmarkEnd w:id="129"/>
      <w:bookmarkStart w:id="130" w:name="_Toc184308100"/>
      <w:bookmarkEnd w:id="130"/>
      <w:bookmarkStart w:id="131" w:name="_Toc184312110"/>
      <w:bookmarkEnd w:id="131"/>
      <w:bookmarkStart w:id="132" w:name="_Toc184312086"/>
      <w:bookmarkEnd w:id="132"/>
      <w:bookmarkStart w:id="133" w:name="_Toc184312106"/>
      <w:bookmarkEnd w:id="133"/>
      <w:bookmarkStart w:id="134" w:name="_Toc184310289"/>
      <w:bookmarkEnd w:id="134"/>
      <w:bookmarkStart w:id="135" w:name="_Toc184310302"/>
      <w:bookmarkEnd w:id="135"/>
      <w:bookmarkStart w:id="136" w:name="_Toc184313285"/>
      <w:bookmarkEnd w:id="136"/>
      <w:bookmarkStart w:id="137" w:name="_Toc184310318"/>
      <w:bookmarkEnd w:id="137"/>
      <w:bookmarkStart w:id="138" w:name="_Toc184310279"/>
      <w:bookmarkEnd w:id="138"/>
      <w:bookmarkStart w:id="139" w:name="_Toc184314463"/>
      <w:bookmarkEnd w:id="139"/>
      <w:bookmarkStart w:id="140" w:name="_Toc184314450"/>
      <w:bookmarkEnd w:id="140"/>
      <w:bookmarkStart w:id="141" w:name="_Toc184310281"/>
      <w:bookmarkEnd w:id="141"/>
      <w:bookmarkStart w:id="142" w:name="_Toc184308094"/>
      <w:bookmarkEnd w:id="142"/>
      <w:bookmarkStart w:id="143" w:name="_Toc184310273"/>
      <w:bookmarkEnd w:id="143"/>
      <w:bookmarkStart w:id="144" w:name="_Toc184313302"/>
      <w:bookmarkEnd w:id="144"/>
      <w:bookmarkStart w:id="145" w:name="_Toc184310303"/>
      <w:bookmarkEnd w:id="145"/>
      <w:bookmarkStart w:id="146" w:name="_Toc184314429"/>
      <w:bookmarkEnd w:id="146"/>
      <w:bookmarkStart w:id="147" w:name="_Toc184312129"/>
      <w:bookmarkEnd w:id="147"/>
      <w:bookmarkStart w:id="148" w:name="_Toc184310342"/>
      <w:bookmarkEnd w:id="148"/>
      <w:bookmarkStart w:id="149" w:name="_Toc184314466"/>
      <w:bookmarkEnd w:id="149"/>
      <w:bookmarkStart w:id="150" w:name="_Toc184310296"/>
      <w:bookmarkEnd w:id="150"/>
      <w:bookmarkStart w:id="151" w:name="_Toc184310328"/>
      <w:bookmarkEnd w:id="151"/>
      <w:bookmarkStart w:id="152" w:name="_Toc184312085"/>
      <w:bookmarkEnd w:id="152"/>
      <w:bookmarkStart w:id="153" w:name="_Toc184313245"/>
      <w:bookmarkEnd w:id="153"/>
      <w:bookmarkStart w:id="154" w:name="_Toc184310272"/>
      <w:bookmarkEnd w:id="154"/>
      <w:bookmarkStart w:id="155" w:name="_Toc184310311"/>
      <w:bookmarkEnd w:id="155"/>
      <w:bookmarkStart w:id="156" w:name="_Toc184312112"/>
      <w:bookmarkEnd w:id="156"/>
      <w:bookmarkStart w:id="157" w:name="_Toc184310332"/>
      <w:bookmarkEnd w:id="157"/>
      <w:bookmarkStart w:id="158" w:name="_Toc184314430"/>
      <w:bookmarkEnd w:id="158"/>
      <w:bookmarkStart w:id="159" w:name="_Toc184313254"/>
      <w:bookmarkEnd w:id="159"/>
      <w:bookmarkStart w:id="160" w:name="_Toc184313282"/>
      <w:bookmarkEnd w:id="160"/>
      <w:bookmarkStart w:id="161" w:name="_Toc184314467"/>
      <w:bookmarkEnd w:id="161"/>
      <w:bookmarkStart w:id="162" w:name="_Toc184310301"/>
      <w:bookmarkEnd w:id="162"/>
      <w:bookmarkStart w:id="163" w:name="_Toc184313246"/>
      <w:bookmarkEnd w:id="163"/>
      <w:bookmarkStart w:id="164" w:name="_Toc184310323"/>
      <w:bookmarkEnd w:id="164"/>
      <w:bookmarkStart w:id="165" w:name="_Toc184310292"/>
      <w:bookmarkEnd w:id="165"/>
      <w:bookmarkStart w:id="166" w:name="_Toc184314447"/>
      <w:bookmarkEnd w:id="166"/>
      <w:bookmarkStart w:id="167" w:name="_Toc184310293"/>
      <w:bookmarkEnd w:id="167"/>
      <w:bookmarkStart w:id="168" w:name="_Toc184312067"/>
      <w:bookmarkEnd w:id="168"/>
      <w:bookmarkStart w:id="169" w:name="_Toc184308101"/>
      <w:bookmarkEnd w:id="169"/>
      <w:bookmarkStart w:id="170" w:name="_Toc184310285"/>
      <w:bookmarkEnd w:id="170"/>
      <w:bookmarkStart w:id="171" w:name="_Toc184313306"/>
      <w:bookmarkEnd w:id="171"/>
      <w:bookmarkStart w:id="172" w:name="_Toc184310333"/>
      <w:bookmarkEnd w:id="172"/>
      <w:bookmarkStart w:id="173" w:name="_Toc184308082"/>
      <w:bookmarkEnd w:id="173"/>
      <w:bookmarkStart w:id="174" w:name="_Toc184312117"/>
      <w:bookmarkEnd w:id="174"/>
      <w:bookmarkStart w:id="175" w:name="_Toc184314418"/>
      <w:bookmarkEnd w:id="175"/>
      <w:bookmarkStart w:id="176" w:name="_Toc184314478"/>
      <w:bookmarkEnd w:id="176"/>
      <w:bookmarkStart w:id="177" w:name="_Toc184310290"/>
      <w:bookmarkEnd w:id="177"/>
      <w:bookmarkStart w:id="178" w:name="_Toc184313303"/>
      <w:bookmarkEnd w:id="178"/>
      <w:bookmarkStart w:id="179" w:name="_Toc184314416"/>
      <w:bookmarkEnd w:id="179"/>
      <w:bookmarkStart w:id="180" w:name="_Toc184312077"/>
      <w:bookmarkEnd w:id="180"/>
      <w:bookmarkStart w:id="181" w:name="_Toc184314423"/>
      <w:bookmarkEnd w:id="181"/>
      <w:bookmarkStart w:id="182" w:name="_Toc184310297"/>
      <w:bookmarkEnd w:id="182"/>
      <w:bookmarkStart w:id="183" w:name="_Toc184314482"/>
      <w:bookmarkEnd w:id="183"/>
      <w:bookmarkStart w:id="184" w:name="_Toc184314444"/>
      <w:bookmarkEnd w:id="184"/>
      <w:bookmarkStart w:id="185" w:name="_Toc184312139"/>
      <w:bookmarkEnd w:id="185"/>
      <w:bookmarkStart w:id="186" w:name="_Toc184312134"/>
      <w:bookmarkEnd w:id="186"/>
      <w:bookmarkStart w:id="187" w:name="_Toc184310304"/>
      <w:bookmarkEnd w:id="187"/>
      <w:bookmarkStart w:id="188" w:name="_Toc184310300"/>
      <w:bookmarkEnd w:id="188"/>
      <w:bookmarkStart w:id="189" w:name="_Toc184314449"/>
      <w:bookmarkEnd w:id="189"/>
      <w:bookmarkStart w:id="190" w:name="_Toc184313273"/>
      <w:bookmarkEnd w:id="190"/>
      <w:bookmarkStart w:id="191" w:name="_Toc184310283"/>
      <w:bookmarkEnd w:id="191"/>
      <w:bookmarkStart w:id="192" w:name="_Toc184313280"/>
      <w:bookmarkEnd w:id="192"/>
      <w:bookmarkStart w:id="193" w:name="_Toc184314424"/>
      <w:bookmarkEnd w:id="193"/>
      <w:bookmarkStart w:id="194" w:name="_Toc184314434"/>
      <w:bookmarkEnd w:id="194"/>
      <w:bookmarkStart w:id="195" w:name="_Toc184308047"/>
      <w:bookmarkEnd w:id="195"/>
      <w:bookmarkStart w:id="196" w:name="_Toc184312093"/>
      <w:bookmarkEnd w:id="196"/>
      <w:bookmarkStart w:id="197" w:name="_Toc184313238"/>
      <w:bookmarkEnd w:id="197"/>
      <w:bookmarkStart w:id="198" w:name="_Toc184308043"/>
      <w:bookmarkEnd w:id="198"/>
      <w:bookmarkStart w:id="199" w:name="_Toc184312070"/>
      <w:bookmarkEnd w:id="199"/>
      <w:bookmarkStart w:id="200" w:name="_Toc184313267"/>
      <w:bookmarkEnd w:id="200"/>
      <w:bookmarkStart w:id="201" w:name="_Toc184308050"/>
      <w:bookmarkEnd w:id="201"/>
      <w:bookmarkStart w:id="202" w:name="_Toc184314473"/>
      <w:bookmarkEnd w:id="202"/>
      <w:bookmarkStart w:id="203" w:name="_Toc184313271"/>
      <w:bookmarkEnd w:id="203"/>
      <w:bookmarkStart w:id="204" w:name="_Toc184314428"/>
      <w:bookmarkEnd w:id="204"/>
      <w:bookmarkStart w:id="205" w:name="_Toc184310305"/>
      <w:bookmarkEnd w:id="205"/>
      <w:bookmarkStart w:id="206" w:name="_Toc184308057"/>
      <w:bookmarkEnd w:id="206"/>
      <w:bookmarkStart w:id="207" w:name="_Toc184313281"/>
      <w:bookmarkEnd w:id="207"/>
      <w:bookmarkStart w:id="208" w:name="_Toc184312105"/>
      <w:bookmarkEnd w:id="208"/>
      <w:bookmarkStart w:id="209" w:name="_Toc184312068"/>
      <w:bookmarkEnd w:id="209"/>
      <w:bookmarkStart w:id="210" w:name="_Toc184313287"/>
      <w:bookmarkEnd w:id="210"/>
      <w:bookmarkStart w:id="211" w:name="_Toc184312088"/>
      <w:bookmarkEnd w:id="211"/>
      <w:bookmarkStart w:id="212" w:name="_Toc184308084"/>
      <w:bookmarkEnd w:id="212"/>
      <w:bookmarkStart w:id="213" w:name="_Toc184312100"/>
      <w:bookmarkEnd w:id="213"/>
      <w:bookmarkStart w:id="214" w:name="_Toc184312098"/>
      <w:bookmarkEnd w:id="214"/>
      <w:bookmarkStart w:id="215" w:name="_Toc184312126"/>
      <w:bookmarkEnd w:id="215"/>
      <w:bookmarkStart w:id="216" w:name="_Toc184308089"/>
      <w:bookmarkEnd w:id="216"/>
      <w:bookmarkStart w:id="217" w:name="_Toc184313275"/>
      <w:bookmarkEnd w:id="217"/>
      <w:bookmarkStart w:id="218" w:name="_Toc184308039"/>
      <w:bookmarkEnd w:id="218"/>
      <w:bookmarkStart w:id="219" w:name="_Toc184313241"/>
      <w:bookmarkEnd w:id="219"/>
      <w:bookmarkStart w:id="220" w:name="_Toc184310329"/>
      <w:bookmarkEnd w:id="220"/>
      <w:bookmarkStart w:id="221" w:name="_Toc184308088"/>
      <w:bookmarkEnd w:id="221"/>
      <w:bookmarkStart w:id="222" w:name="_Toc184312072"/>
      <w:bookmarkEnd w:id="222"/>
      <w:bookmarkStart w:id="223" w:name="_Toc184308045"/>
      <w:bookmarkEnd w:id="223"/>
      <w:bookmarkStart w:id="224" w:name="_Toc184312122"/>
      <w:bookmarkEnd w:id="224"/>
      <w:bookmarkStart w:id="225" w:name="_Toc184314477"/>
      <w:bookmarkEnd w:id="225"/>
      <w:bookmarkStart w:id="226" w:name="_Toc184312132"/>
      <w:bookmarkEnd w:id="226"/>
      <w:bookmarkStart w:id="227" w:name="_Toc184308102"/>
      <w:bookmarkEnd w:id="227"/>
      <w:bookmarkStart w:id="228" w:name="_Toc184312120"/>
      <w:bookmarkEnd w:id="228"/>
      <w:bookmarkStart w:id="229" w:name="_Toc184310287"/>
      <w:bookmarkEnd w:id="229"/>
      <w:bookmarkStart w:id="230" w:name="_Toc184313294"/>
      <w:bookmarkEnd w:id="230"/>
      <w:bookmarkStart w:id="231" w:name="_Toc184314445"/>
      <w:bookmarkEnd w:id="231"/>
      <w:bookmarkStart w:id="232" w:name="_Toc184312131"/>
      <w:bookmarkEnd w:id="232"/>
      <w:bookmarkStart w:id="233" w:name="_Toc184312079"/>
      <w:bookmarkEnd w:id="233"/>
      <w:bookmarkStart w:id="234" w:name="_Toc184312082"/>
      <w:bookmarkEnd w:id="234"/>
      <w:bookmarkStart w:id="235" w:name="_Toc184308095"/>
      <w:bookmarkEnd w:id="235"/>
      <w:bookmarkStart w:id="236" w:name="_Toc184313289"/>
      <w:bookmarkEnd w:id="236"/>
      <w:bookmarkStart w:id="237" w:name="_Toc184314451"/>
      <w:bookmarkEnd w:id="237"/>
      <w:bookmarkStart w:id="238" w:name="_Toc184312087"/>
      <w:bookmarkEnd w:id="238"/>
      <w:bookmarkStart w:id="239" w:name="_Toc184313259"/>
      <w:bookmarkEnd w:id="239"/>
      <w:bookmarkStart w:id="240" w:name="_Toc184314454"/>
      <w:bookmarkEnd w:id="240"/>
      <w:bookmarkStart w:id="241" w:name="_Toc184313239"/>
      <w:bookmarkEnd w:id="241"/>
      <w:bookmarkStart w:id="242" w:name="_Toc184312124"/>
      <w:bookmarkEnd w:id="242"/>
      <w:bookmarkStart w:id="243" w:name="_Toc184308067"/>
      <w:bookmarkEnd w:id="243"/>
      <w:bookmarkStart w:id="244" w:name="_Toc184308052"/>
      <w:bookmarkEnd w:id="244"/>
      <w:bookmarkStart w:id="245" w:name="_Toc184308096"/>
      <w:bookmarkEnd w:id="245"/>
      <w:bookmarkStart w:id="246" w:name="_Toc184313272"/>
      <w:bookmarkEnd w:id="246"/>
      <w:bookmarkStart w:id="247" w:name="_Toc184314456"/>
      <w:bookmarkEnd w:id="247"/>
      <w:bookmarkStart w:id="248" w:name="_Toc184314422"/>
      <w:bookmarkEnd w:id="248"/>
      <w:bookmarkStart w:id="249" w:name="_Toc184313261"/>
      <w:bookmarkEnd w:id="249"/>
      <w:bookmarkStart w:id="250" w:name="_Toc184308070"/>
      <w:bookmarkEnd w:id="250"/>
      <w:bookmarkStart w:id="251" w:name="_Toc184313307"/>
      <w:bookmarkEnd w:id="251"/>
      <w:bookmarkStart w:id="252" w:name="_Toc184313299"/>
      <w:bookmarkEnd w:id="252"/>
      <w:bookmarkStart w:id="253" w:name="_Toc184310313"/>
      <w:bookmarkEnd w:id="253"/>
      <w:bookmarkStart w:id="254" w:name="_Toc184312092"/>
      <w:bookmarkEnd w:id="254"/>
      <w:bookmarkStart w:id="255" w:name="_Toc184312121"/>
      <w:bookmarkEnd w:id="255"/>
      <w:bookmarkStart w:id="256" w:name="_Toc184312102"/>
      <w:bookmarkEnd w:id="256"/>
      <w:bookmarkStart w:id="257" w:name="_Toc184314413"/>
      <w:bookmarkEnd w:id="257"/>
      <w:bookmarkStart w:id="258" w:name="_Toc184308042"/>
      <w:bookmarkEnd w:id="258"/>
      <w:bookmarkStart w:id="259" w:name="_Toc184314461"/>
      <w:bookmarkEnd w:id="259"/>
      <w:bookmarkStart w:id="260" w:name="_Toc184310344"/>
      <w:bookmarkEnd w:id="260"/>
      <w:bookmarkStart w:id="261" w:name="_Toc184312104"/>
      <w:bookmarkEnd w:id="261"/>
      <w:bookmarkStart w:id="262" w:name="_Toc184314457"/>
      <w:bookmarkEnd w:id="262"/>
      <w:bookmarkStart w:id="263" w:name="_Toc184313284"/>
      <w:bookmarkEnd w:id="263"/>
      <w:bookmarkStart w:id="264" w:name="_Toc184310331"/>
      <w:bookmarkEnd w:id="264"/>
      <w:bookmarkStart w:id="265" w:name="_Toc184308061"/>
      <w:bookmarkEnd w:id="265"/>
      <w:bookmarkStart w:id="266" w:name="_Toc184308076"/>
      <w:bookmarkEnd w:id="266"/>
      <w:bookmarkStart w:id="267" w:name="_Toc184308079"/>
      <w:bookmarkEnd w:id="267"/>
      <w:bookmarkStart w:id="268" w:name="_Toc184312074"/>
      <w:bookmarkEnd w:id="268"/>
      <w:bookmarkStart w:id="269" w:name="_Toc184310337"/>
      <w:bookmarkEnd w:id="269"/>
      <w:bookmarkStart w:id="270" w:name="_Toc184310315"/>
      <w:bookmarkEnd w:id="270"/>
      <w:bookmarkStart w:id="271" w:name="_Toc184308040"/>
      <w:bookmarkEnd w:id="271"/>
      <w:bookmarkStart w:id="272" w:name="_Toc184310326"/>
      <w:bookmarkEnd w:id="272"/>
      <w:bookmarkStart w:id="273" w:name="_Toc184314458"/>
      <w:bookmarkEnd w:id="273"/>
      <w:bookmarkStart w:id="274" w:name="_Toc184310336"/>
      <w:bookmarkEnd w:id="274"/>
      <w:bookmarkStart w:id="275" w:name="_Toc184308046"/>
      <w:bookmarkEnd w:id="275"/>
      <w:bookmarkStart w:id="276" w:name="_Toc184313249"/>
      <w:bookmarkEnd w:id="276"/>
      <w:bookmarkStart w:id="277" w:name="_Toc184310343"/>
      <w:bookmarkEnd w:id="277"/>
      <w:bookmarkStart w:id="278" w:name="_Toc184308074"/>
      <w:bookmarkEnd w:id="278"/>
      <w:bookmarkStart w:id="279" w:name="_Toc184314427"/>
      <w:bookmarkEnd w:id="279"/>
      <w:bookmarkStart w:id="280" w:name="_Toc184313291"/>
      <w:bookmarkEnd w:id="280"/>
      <w:bookmarkStart w:id="281" w:name="_Toc184313269"/>
      <w:bookmarkEnd w:id="281"/>
      <w:bookmarkStart w:id="282" w:name="_Toc184313243"/>
      <w:bookmarkEnd w:id="282"/>
      <w:bookmarkStart w:id="283" w:name="_Toc184313308"/>
      <w:bookmarkEnd w:id="283"/>
      <w:bookmarkStart w:id="284" w:name="_Toc184314475"/>
      <w:bookmarkEnd w:id="284"/>
      <w:bookmarkStart w:id="285" w:name="_Toc184312138"/>
      <w:bookmarkEnd w:id="285"/>
      <w:bookmarkStart w:id="286" w:name="_Toc184314474"/>
      <w:bookmarkEnd w:id="286"/>
      <w:bookmarkStart w:id="287" w:name="_Toc184312111"/>
      <w:bookmarkEnd w:id="287"/>
      <w:bookmarkStart w:id="288" w:name="_Toc184310312"/>
      <w:bookmarkEnd w:id="288"/>
      <w:bookmarkStart w:id="289" w:name="_Toc184308105"/>
      <w:bookmarkEnd w:id="289"/>
      <w:bookmarkStart w:id="290" w:name="_Toc184313250"/>
      <w:bookmarkEnd w:id="290"/>
      <w:bookmarkStart w:id="291" w:name="_Toc184313288"/>
      <w:bookmarkEnd w:id="291"/>
      <w:bookmarkStart w:id="292" w:name="_Toc184312091"/>
      <w:bookmarkEnd w:id="292"/>
      <w:bookmarkStart w:id="293" w:name="_Toc184313252"/>
      <w:bookmarkEnd w:id="293"/>
      <w:bookmarkStart w:id="294" w:name="_Toc184308038"/>
      <w:bookmarkEnd w:id="294"/>
      <w:bookmarkStart w:id="295" w:name="_Toc184314417"/>
      <w:bookmarkEnd w:id="295"/>
      <w:bookmarkStart w:id="296" w:name="_Toc184313300"/>
      <w:bookmarkEnd w:id="296"/>
      <w:bookmarkStart w:id="297" w:name="_Toc184310274"/>
      <w:bookmarkEnd w:id="297"/>
      <w:bookmarkStart w:id="298" w:name="_Toc184314470"/>
      <w:bookmarkEnd w:id="298"/>
      <w:bookmarkStart w:id="299" w:name="_Toc184314453"/>
      <w:bookmarkEnd w:id="299"/>
      <w:bookmarkStart w:id="300" w:name="_Toc184314469"/>
      <w:bookmarkEnd w:id="300"/>
      <w:bookmarkStart w:id="301" w:name="_Toc184310294"/>
      <w:bookmarkEnd w:id="301"/>
      <w:bookmarkStart w:id="302" w:name="_Toc184308054"/>
      <w:bookmarkEnd w:id="302"/>
      <w:bookmarkStart w:id="303" w:name="_Toc184308049"/>
      <w:bookmarkEnd w:id="303"/>
      <w:bookmarkStart w:id="304" w:name="_Toc184310278"/>
      <w:bookmarkEnd w:id="304"/>
      <w:bookmarkStart w:id="305" w:name="_Toc184313256"/>
      <w:bookmarkEnd w:id="305"/>
      <w:bookmarkStart w:id="306" w:name="_Toc184312069"/>
      <w:bookmarkEnd w:id="306"/>
      <w:bookmarkStart w:id="307" w:name="_Toc184314471"/>
      <w:bookmarkEnd w:id="307"/>
      <w:bookmarkStart w:id="308" w:name="_Toc184313305"/>
      <w:bookmarkEnd w:id="308"/>
      <w:bookmarkStart w:id="309" w:name="_Toc184313283"/>
      <w:bookmarkEnd w:id="309"/>
      <w:bookmarkStart w:id="310" w:name="_Toc184312103"/>
      <w:bookmarkEnd w:id="310"/>
      <w:bookmarkStart w:id="311" w:name="_Toc184308053"/>
      <w:bookmarkEnd w:id="311"/>
      <w:bookmarkStart w:id="312" w:name="_Toc184312096"/>
      <w:bookmarkEnd w:id="312"/>
      <w:bookmarkStart w:id="313" w:name="_Toc184312133"/>
      <w:bookmarkEnd w:id="313"/>
      <w:bookmarkStart w:id="314" w:name="_Toc184310295"/>
      <w:bookmarkEnd w:id="314"/>
      <w:bookmarkStart w:id="315" w:name="_Toc184314412"/>
      <w:bookmarkEnd w:id="315"/>
      <w:bookmarkStart w:id="316" w:name="_Toc184312101"/>
      <w:bookmarkEnd w:id="316"/>
      <w:bookmarkStart w:id="317" w:name="_Toc184312089"/>
      <w:bookmarkEnd w:id="317"/>
      <w:bookmarkStart w:id="318" w:name="_Toc184313292"/>
      <w:bookmarkEnd w:id="318"/>
      <w:bookmarkStart w:id="319" w:name="_Toc184308066"/>
      <w:bookmarkEnd w:id="319"/>
      <w:bookmarkStart w:id="320" w:name="_Toc184308078"/>
      <w:bookmarkEnd w:id="320"/>
      <w:bookmarkStart w:id="321" w:name="_Toc184308048"/>
      <w:bookmarkEnd w:id="321"/>
      <w:bookmarkStart w:id="322" w:name="_Toc184313277"/>
      <w:bookmarkEnd w:id="322"/>
      <w:bookmarkStart w:id="323" w:name="_Toc184310307"/>
      <w:bookmarkEnd w:id="323"/>
      <w:bookmarkStart w:id="324" w:name="_Toc184314459"/>
      <w:bookmarkEnd w:id="324"/>
      <w:bookmarkStart w:id="325" w:name="_Toc184310320"/>
      <w:bookmarkEnd w:id="325"/>
      <w:bookmarkStart w:id="326" w:name="_Toc184312078"/>
      <w:bookmarkEnd w:id="326"/>
      <w:bookmarkStart w:id="327" w:name="_Toc184313240"/>
      <w:bookmarkEnd w:id="327"/>
      <w:bookmarkStart w:id="328" w:name="_Toc184308093"/>
      <w:bookmarkEnd w:id="328"/>
      <w:bookmarkStart w:id="329" w:name="_Toc184314464"/>
      <w:bookmarkEnd w:id="329"/>
      <w:bookmarkStart w:id="330" w:name="_Toc184308081"/>
      <w:bookmarkEnd w:id="330"/>
      <w:bookmarkStart w:id="331" w:name="_Toc184308107"/>
      <w:bookmarkEnd w:id="331"/>
      <w:bookmarkStart w:id="332" w:name="_Toc184308051"/>
      <w:bookmarkEnd w:id="332"/>
      <w:bookmarkStart w:id="333" w:name="_Toc184308085"/>
      <w:bookmarkEnd w:id="333"/>
      <w:bookmarkStart w:id="334" w:name="_Toc184308090"/>
      <w:bookmarkEnd w:id="334"/>
      <w:bookmarkStart w:id="335" w:name="_Toc184313242"/>
      <w:bookmarkEnd w:id="335"/>
      <w:bookmarkStart w:id="336" w:name="_Toc184308077"/>
      <w:bookmarkEnd w:id="336"/>
      <w:bookmarkStart w:id="337" w:name="_Toc184312125"/>
      <w:bookmarkEnd w:id="337"/>
      <w:bookmarkStart w:id="338" w:name="_Toc184308072"/>
      <w:bookmarkEnd w:id="338"/>
      <w:bookmarkStart w:id="339" w:name="_Toc184314479"/>
      <w:bookmarkEnd w:id="339"/>
      <w:bookmarkStart w:id="340" w:name="_Toc184308055"/>
      <w:bookmarkEnd w:id="340"/>
      <w:bookmarkStart w:id="341" w:name="_Toc184314439"/>
      <w:bookmarkEnd w:id="341"/>
      <w:bookmarkStart w:id="342" w:name="_Toc184314476"/>
      <w:bookmarkEnd w:id="342"/>
      <w:bookmarkStart w:id="343" w:name="_Toc184313286"/>
      <w:bookmarkEnd w:id="343"/>
      <w:bookmarkStart w:id="344" w:name="_Toc184310280"/>
      <w:bookmarkEnd w:id="344"/>
      <w:bookmarkStart w:id="345" w:name="_Toc184314436"/>
      <w:bookmarkEnd w:id="345"/>
      <w:bookmarkStart w:id="346" w:name="_Toc184313258"/>
      <w:bookmarkEnd w:id="346"/>
      <w:bookmarkStart w:id="347" w:name="_Toc184314443"/>
      <w:bookmarkEnd w:id="347"/>
      <w:bookmarkStart w:id="348" w:name="_Toc184310286"/>
      <w:bookmarkEnd w:id="348"/>
      <w:bookmarkStart w:id="349" w:name="_Toc184310327"/>
      <w:bookmarkEnd w:id="349"/>
      <w:bookmarkStart w:id="350" w:name="_Toc184314452"/>
      <w:bookmarkEnd w:id="350"/>
      <w:bookmarkStart w:id="351" w:name="_Toc184310338"/>
      <w:bookmarkEnd w:id="351"/>
      <w:bookmarkStart w:id="352" w:name="_Toc184312119"/>
      <w:bookmarkEnd w:id="352"/>
      <w:bookmarkStart w:id="353" w:name="_Toc184310317"/>
      <w:bookmarkEnd w:id="353"/>
      <w:bookmarkStart w:id="354" w:name="_Toc184313293"/>
      <w:bookmarkEnd w:id="354"/>
      <w:bookmarkStart w:id="355" w:name="_Toc184308104"/>
      <w:bookmarkEnd w:id="355"/>
      <w:bookmarkStart w:id="356" w:name="_Toc184312130"/>
      <w:bookmarkEnd w:id="356"/>
      <w:bookmarkStart w:id="357" w:name="_Toc184312118"/>
      <w:bookmarkEnd w:id="357"/>
      <w:bookmarkStart w:id="358" w:name="_Toc184314465"/>
      <w:bookmarkEnd w:id="358"/>
      <w:bookmarkStart w:id="359" w:name="_Toc184312116"/>
      <w:bookmarkEnd w:id="359"/>
      <w:bookmarkStart w:id="360" w:name="_Toc184314468"/>
      <w:bookmarkEnd w:id="360"/>
      <w:bookmarkStart w:id="361" w:name="_Toc184313298"/>
      <w:bookmarkEnd w:id="361"/>
      <w:bookmarkStart w:id="362" w:name="_Toc184308037"/>
      <w:bookmarkEnd w:id="362"/>
      <w:bookmarkStart w:id="363" w:name="_Toc184312114"/>
      <w:bookmarkEnd w:id="363"/>
      <w:bookmarkStart w:id="364" w:name="_Toc184312094"/>
      <w:bookmarkEnd w:id="364"/>
      <w:bookmarkStart w:id="365" w:name="_Toc184313247"/>
      <w:bookmarkEnd w:id="365"/>
      <w:bookmarkStart w:id="366" w:name="_Toc184308099"/>
      <w:bookmarkEnd w:id="366"/>
      <w:bookmarkStart w:id="367" w:name="_Toc184308056"/>
      <w:bookmarkEnd w:id="367"/>
      <w:bookmarkStart w:id="368" w:name="_Toc184313290"/>
      <w:bookmarkEnd w:id="368"/>
      <w:bookmarkStart w:id="369" w:name="_Toc184313279"/>
      <w:bookmarkEnd w:id="369"/>
      <w:bookmarkStart w:id="370" w:name="_Toc184308073"/>
      <w:bookmarkEnd w:id="370"/>
      <w:bookmarkStart w:id="371" w:name="_Toc184312090"/>
      <w:bookmarkEnd w:id="371"/>
      <w:bookmarkStart w:id="372" w:name="_Toc184308058"/>
      <w:bookmarkEnd w:id="372"/>
      <w:bookmarkStart w:id="373" w:name="_Toc184308069"/>
      <w:bookmarkEnd w:id="373"/>
      <w:bookmarkStart w:id="374" w:name="_Toc184310330"/>
      <w:bookmarkEnd w:id="374"/>
      <w:bookmarkStart w:id="375" w:name="_Toc184310321"/>
      <w:bookmarkEnd w:id="375"/>
      <w:bookmarkStart w:id="376" w:name="_Toc184308068"/>
      <w:bookmarkEnd w:id="376"/>
      <w:bookmarkStart w:id="377" w:name="_Toc184310291"/>
      <w:bookmarkEnd w:id="377"/>
      <w:bookmarkStart w:id="378" w:name="_Toc184312137"/>
      <w:bookmarkEnd w:id="378"/>
      <w:bookmarkStart w:id="379" w:name="_Toc184313297"/>
      <w:bookmarkEnd w:id="379"/>
      <w:bookmarkStart w:id="380" w:name="_Toc184312097"/>
      <w:bookmarkEnd w:id="380"/>
      <w:bookmarkStart w:id="381" w:name="_Toc184314480"/>
      <w:bookmarkEnd w:id="381"/>
      <w:bookmarkStart w:id="382" w:name="_Toc184312113"/>
      <w:bookmarkEnd w:id="382"/>
      <w:bookmarkStart w:id="383" w:name="_Toc184310335"/>
      <w:bookmarkEnd w:id="383"/>
      <w:bookmarkStart w:id="384" w:name="_Toc184313278"/>
      <w:bookmarkEnd w:id="384"/>
      <w:bookmarkStart w:id="385" w:name="_Toc184312128"/>
      <w:bookmarkEnd w:id="385"/>
      <w:bookmarkStart w:id="386" w:name="_Toc184313257"/>
      <w:bookmarkEnd w:id="386"/>
      <w:bookmarkStart w:id="387" w:name="_Toc184308065"/>
      <w:bookmarkEnd w:id="387"/>
      <w:bookmarkStart w:id="388" w:name="_Toc184308080"/>
      <w:bookmarkEnd w:id="388"/>
      <w:bookmarkStart w:id="389" w:name="_Toc184310298"/>
      <w:bookmarkEnd w:id="389"/>
      <w:bookmarkStart w:id="390" w:name="_Toc184314419"/>
      <w:bookmarkEnd w:id="390"/>
      <w:bookmarkStart w:id="391" w:name="_Toc184313263"/>
      <w:bookmarkEnd w:id="391"/>
      <w:bookmarkStart w:id="392" w:name="_Toc184313248"/>
      <w:bookmarkEnd w:id="392"/>
      <w:bookmarkStart w:id="393" w:name="_Toc184313255"/>
      <w:bookmarkEnd w:id="393"/>
      <w:bookmarkStart w:id="394" w:name="_Toc184310322"/>
      <w:bookmarkEnd w:id="394"/>
      <w:bookmarkStart w:id="395" w:name="_Toc184308092"/>
      <w:bookmarkEnd w:id="395"/>
      <w:bookmarkStart w:id="396" w:name="_Toc184314446"/>
      <w:bookmarkEnd w:id="396"/>
      <w:bookmarkStart w:id="397" w:name="_Toc184308036"/>
      <w:bookmarkEnd w:id="397"/>
      <w:bookmarkStart w:id="398" w:name="_Toc184314425"/>
      <w:bookmarkEnd w:id="398"/>
      <w:bookmarkStart w:id="399" w:name="_Toc184312109"/>
      <w:bookmarkEnd w:id="399"/>
      <w:bookmarkStart w:id="400" w:name="_Toc184314455"/>
      <w:bookmarkEnd w:id="400"/>
      <w:r>
        <w:rPr>
          <w:rFonts w:hint="eastAsia" w:ascii="宋体" w:hAnsi="宋体" w:cs="宋体"/>
          <w:b/>
          <w:sz w:val="36"/>
          <w:szCs w:val="36"/>
        </w:rPr>
        <w:t>评标办法</w:t>
      </w:r>
    </w:p>
    <w:p>
      <w:pPr>
        <w:snapToGrid w:val="0"/>
        <w:spacing w:line="360" w:lineRule="auto"/>
        <w:jc w:val="center"/>
      </w:pPr>
      <w:r>
        <w:rPr>
          <w:rFonts w:hint="eastAsia" w:ascii="宋体" w:hAnsi="宋体" w:cs="宋体"/>
          <w:b/>
          <w:sz w:val="32"/>
          <w:szCs w:val="20"/>
        </w:rPr>
        <w:t>评标办法前附表</w:t>
      </w:r>
    </w:p>
    <w:tbl>
      <w:tblPr>
        <w:tblStyle w:val="64"/>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63"/>
        <w:gridCol w:w="5249"/>
        <w:gridCol w:w="889"/>
        <w:gridCol w:w="1039"/>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1" w:type="pct"/>
            <w:shd w:val="clear" w:color="auto" w:fill="auto"/>
            <w:vAlign w:val="center"/>
          </w:tcPr>
          <w:p>
            <w:pPr>
              <w:keepNext w:val="0"/>
              <w:keepLines w:val="0"/>
              <w:pageBreakBefore w:val="0"/>
              <w:kinsoku/>
              <w:wordWrap/>
              <w:overflowPunct/>
              <w:topLinePunct w:val="0"/>
              <w:autoSpaceDE/>
              <w:autoSpaceDN/>
              <w:bidi w:val="0"/>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2828" w:type="pct"/>
            <w:shd w:val="clear" w:color="auto" w:fill="auto"/>
            <w:vAlign w:val="center"/>
          </w:tcPr>
          <w:p>
            <w:pPr>
              <w:keepNext w:val="0"/>
              <w:keepLines w:val="0"/>
              <w:pageBreakBefore w:val="0"/>
              <w:kinsoku/>
              <w:wordWrap/>
              <w:overflowPunct/>
              <w:topLinePunct w:val="0"/>
              <w:autoSpaceDE/>
              <w:autoSpaceDN/>
              <w:bidi w:val="0"/>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479" w:type="pct"/>
            <w:shd w:val="clear" w:color="auto" w:fill="auto"/>
            <w:vAlign w:val="center"/>
          </w:tcPr>
          <w:p>
            <w:pPr>
              <w:keepNext w:val="0"/>
              <w:keepLines w:val="0"/>
              <w:pageBreakBefore w:val="0"/>
              <w:kinsoku/>
              <w:wordWrap/>
              <w:overflowPunct/>
              <w:topLinePunct w:val="0"/>
              <w:autoSpaceDE/>
              <w:autoSpaceDN/>
              <w:bidi w:val="0"/>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560" w:type="pct"/>
            <w:shd w:val="clear" w:color="auto" w:fill="auto"/>
            <w:vAlign w:val="center"/>
          </w:tcPr>
          <w:p>
            <w:pPr>
              <w:keepNext w:val="0"/>
              <w:keepLines w:val="0"/>
              <w:pageBreakBefore w:val="0"/>
              <w:kinsoku/>
              <w:wordWrap/>
              <w:overflowPunct/>
              <w:topLinePunct w:val="0"/>
              <w:autoSpaceDE/>
              <w:autoSpaceDN/>
              <w:bidi w:val="0"/>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721" w:type="pct"/>
            <w:shd w:val="clear" w:color="auto" w:fill="auto"/>
          </w:tcPr>
          <w:p>
            <w:pPr>
              <w:keepNext w:val="0"/>
              <w:keepLines w:val="0"/>
              <w:pageBreakBefore w:val="0"/>
              <w:kinsoku/>
              <w:wordWrap/>
              <w:overflowPunct/>
              <w:topLinePunct w:val="0"/>
              <w:autoSpaceDE/>
              <w:autoSpaceDN/>
              <w:bidi w:val="0"/>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1" w:type="pct"/>
            <w:shd w:val="clear" w:color="auto" w:fill="auto"/>
            <w:vAlign w:val="center"/>
          </w:tcPr>
          <w:p>
            <w:pPr>
              <w:keepNext w:val="0"/>
              <w:keepLines w:val="0"/>
              <w:pageBreakBefore w:val="0"/>
              <w:kinsoku/>
              <w:wordWrap/>
              <w:overflowPunct/>
              <w:topLinePunct w:val="0"/>
              <w:autoSpaceDE/>
              <w:autoSpaceDN/>
              <w:bidi w:val="0"/>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1</w:t>
            </w:r>
          </w:p>
        </w:tc>
        <w:tc>
          <w:tcPr>
            <w:tcW w:w="2828" w:type="pct"/>
            <w:shd w:val="clear" w:color="auto" w:fill="auto"/>
            <w:vAlign w:val="center"/>
          </w:tcPr>
          <w:p>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投标产品的技术指标的吻合程度和偏差情况（包括所投标产品的规格型号、详细配置、主要技术参数、随机软件、证明材料、产品售后等），满足采购文件技术指标的得基准分26分，带“▲”为实际业务需要，不得出现负偏离，否则做无效标处理，标“☆”参数每负偏离一项扣减2分，对其他参数或功能要求负偏离或未响应的每项扣1分。共26分。</w:t>
            </w:r>
          </w:p>
          <w:p>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注：要求提供测试报告复印件、证书复印件等证明材料而未提供视作一项负偏离。</w:t>
            </w:r>
          </w:p>
        </w:tc>
        <w:tc>
          <w:tcPr>
            <w:tcW w:w="479" w:type="pct"/>
            <w:shd w:val="clear" w:color="auto" w:fill="auto"/>
            <w:vAlign w:val="center"/>
          </w:tcPr>
          <w:p>
            <w:pPr>
              <w:keepNext w:val="0"/>
              <w:keepLines w:val="0"/>
              <w:pageBreakBefore w:val="0"/>
              <w:kinsoku/>
              <w:wordWrap/>
              <w:overflowPunct/>
              <w:topLinePunct w:val="0"/>
              <w:autoSpaceDE/>
              <w:autoSpaceDN/>
              <w:bidi w:val="0"/>
              <w:spacing w:line="360" w:lineRule="auto"/>
              <w:jc w:val="center"/>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26</w:t>
            </w:r>
          </w:p>
        </w:tc>
        <w:tc>
          <w:tcPr>
            <w:tcW w:w="560" w:type="pct"/>
            <w:shd w:val="clear" w:color="auto" w:fill="auto"/>
            <w:vAlign w:val="center"/>
          </w:tcPr>
          <w:p>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客观分</w:t>
            </w:r>
          </w:p>
        </w:tc>
        <w:tc>
          <w:tcPr>
            <w:tcW w:w="721" w:type="pct"/>
            <w:shd w:val="clear" w:color="auto" w:fill="auto"/>
            <w:vAlign w:val="center"/>
          </w:tcPr>
          <w:p>
            <w:pPr>
              <w:keepNext w:val="0"/>
              <w:keepLines w:val="0"/>
              <w:pageBreakBefore w:val="0"/>
              <w:kinsoku/>
              <w:wordWrap/>
              <w:overflowPunct/>
              <w:topLinePunct w:val="0"/>
              <w:autoSpaceDE/>
              <w:autoSpaceDN/>
              <w:bidi w:val="0"/>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投标产品情况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1" w:type="pct"/>
            <w:shd w:val="clear" w:color="auto" w:fill="auto"/>
            <w:vAlign w:val="center"/>
          </w:tcPr>
          <w:p>
            <w:pPr>
              <w:keepNext w:val="0"/>
              <w:keepLines w:val="0"/>
              <w:pageBreakBefore w:val="0"/>
              <w:kinsoku/>
              <w:wordWrap/>
              <w:overflowPunct/>
              <w:topLinePunct w:val="0"/>
              <w:autoSpaceDE/>
              <w:autoSpaceDN/>
              <w:bidi w:val="0"/>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w:t>
            </w:r>
          </w:p>
        </w:tc>
        <w:tc>
          <w:tcPr>
            <w:tcW w:w="2828" w:type="pct"/>
            <w:shd w:val="clear" w:color="auto" w:fill="auto"/>
            <w:vAlign w:val="center"/>
          </w:tcPr>
          <w:p>
            <w:pPr>
              <w:keepNext w:val="0"/>
              <w:keepLines w:val="0"/>
              <w:pageBreakBefore w:val="0"/>
              <w:widowControl/>
              <w:kinsoku/>
              <w:wordWrap/>
              <w:overflowPunct/>
              <w:topLinePunct w:val="0"/>
              <w:autoSpaceDE/>
              <w:autoSpaceDN/>
              <w:bidi w:val="0"/>
              <w:spacing w:line="360" w:lineRule="auto"/>
              <w:textAlignment w:val="center"/>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投标人针对本项目的现状、建设需求，结合本项目建设目标，提供详细的设备集成完整</w:t>
            </w:r>
            <w:r>
              <w:rPr>
                <w:rFonts w:hint="eastAsia" w:asciiTheme="minorEastAsia" w:hAnsiTheme="minorEastAsia" w:eastAsiaTheme="minorEastAsia" w:cstheme="minorEastAsia"/>
                <w:color w:val="auto"/>
                <w:sz w:val="24"/>
                <w:szCs w:val="24"/>
                <w:highlight w:val="none"/>
                <w:lang w:val="en-US" w:eastAsia="zh-CN"/>
              </w:rPr>
              <w:t>项目技术方案。</w:t>
            </w:r>
            <w:r>
              <w:rPr>
                <w:rFonts w:hint="eastAsia" w:asciiTheme="minorEastAsia" w:hAnsiTheme="minorEastAsia" w:eastAsiaTheme="minorEastAsia" w:cstheme="minorEastAsia"/>
                <w:b w:val="0"/>
                <w:bCs w:val="0"/>
                <w:color w:val="auto"/>
                <w:kern w:val="2"/>
                <w:sz w:val="24"/>
                <w:szCs w:val="24"/>
                <w:highlight w:val="none"/>
                <w:lang w:val="en-US" w:eastAsia="zh-CN" w:bidi="ar-SA"/>
              </w:rPr>
              <w:t>方案全面详实，针对性强，完全满足采购项目实施的视为符合。全部符合得5分，基本符合得3分，部分符合得1分，不符合或未提供不得分。共5分。</w:t>
            </w:r>
          </w:p>
        </w:tc>
        <w:tc>
          <w:tcPr>
            <w:tcW w:w="479" w:type="pct"/>
            <w:shd w:val="clear" w:color="auto" w:fill="auto"/>
            <w:vAlign w:val="center"/>
          </w:tcPr>
          <w:p>
            <w:pPr>
              <w:keepNext w:val="0"/>
              <w:keepLines w:val="0"/>
              <w:pageBreakBefore w:val="0"/>
              <w:kinsoku/>
              <w:wordWrap/>
              <w:overflowPunct/>
              <w:topLinePunct w:val="0"/>
              <w:autoSpaceDE/>
              <w:autoSpaceDN/>
              <w:bidi w:val="0"/>
              <w:spacing w:line="360" w:lineRule="auto"/>
              <w:jc w:val="center"/>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5</w:t>
            </w:r>
          </w:p>
        </w:tc>
        <w:tc>
          <w:tcPr>
            <w:tcW w:w="560" w:type="pct"/>
            <w:shd w:val="clear" w:color="auto" w:fill="auto"/>
            <w:vAlign w:val="center"/>
          </w:tcPr>
          <w:p>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主观分</w:t>
            </w:r>
          </w:p>
        </w:tc>
        <w:tc>
          <w:tcPr>
            <w:tcW w:w="721" w:type="pct"/>
            <w:shd w:val="clear" w:color="auto" w:fill="auto"/>
            <w:vAlign w:val="center"/>
          </w:tcPr>
          <w:p>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项目技术方案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1" w:type="pct"/>
            <w:shd w:val="clear" w:color="auto" w:fill="auto"/>
            <w:vAlign w:val="center"/>
          </w:tcPr>
          <w:p>
            <w:pPr>
              <w:keepNext w:val="0"/>
              <w:keepLines w:val="0"/>
              <w:pageBreakBefore w:val="0"/>
              <w:kinsoku/>
              <w:wordWrap/>
              <w:overflowPunct/>
              <w:topLinePunct w:val="0"/>
              <w:autoSpaceDE/>
              <w:autoSpaceDN/>
              <w:bidi w:val="0"/>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2828" w:type="pct"/>
            <w:shd w:val="clear" w:color="auto" w:fill="auto"/>
            <w:vAlign w:val="center"/>
          </w:tcPr>
          <w:p>
            <w:pPr>
              <w:keepNext w:val="0"/>
              <w:keepLines w:val="0"/>
              <w:pageBreakBefore w:val="0"/>
              <w:kinsoku/>
              <w:wordWrap/>
              <w:overflowPunct/>
              <w:topLinePunct w:val="0"/>
              <w:autoSpaceDE/>
              <w:autoSpaceDN/>
              <w:bidi w:val="0"/>
              <w:spacing w:line="360" w:lineRule="auto"/>
              <w:rPr>
                <w:rFonts w:hint="default"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投标人承诺：本次采购的数据库容灾软件能对接临安区卫健局一体化数据中心数据库容灾软件。提供相应承诺的得2分，未提供不得分。共2分。</w:t>
            </w:r>
          </w:p>
        </w:tc>
        <w:tc>
          <w:tcPr>
            <w:tcW w:w="479" w:type="pct"/>
            <w:shd w:val="clear" w:color="auto" w:fill="auto"/>
            <w:vAlign w:val="center"/>
          </w:tcPr>
          <w:p>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2</w:t>
            </w:r>
          </w:p>
        </w:tc>
        <w:tc>
          <w:tcPr>
            <w:tcW w:w="560" w:type="pct"/>
            <w:shd w:val="clear" w:color="auto" w:fill="auto"/>
            <w:vAlign w:val="center"/>
          </w:tcPr>
          <w:p>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客观分</w:t>
            </w:r>
          </w:p>
        </w:tc>
        <w:tc>
          <w:tcPr>
            <w:tcW w:w="721" w:type="pct"/>
            <w:shd w:val="clear" w:color="auto" w:fill="auto"/>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相关承诺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1" w:type="pct"/>
            <w:shd w:val="clear" w:color="auto" w:fill="auto"/>
            <w:vAlign w:val="center"/>
          </w:tcPr>
          <w:p>
            <w:pPr>
              <w:keepNext w:val="0"/>
              <w:keepLines w:val="0"/>
              <w:pageBreakBefore w:val="0"/>
              <w:kinsoku/>
              <w:wordWrap/>
              <w:overflowPunct/>
              <w:topLinePunct w:val="0"/>
              <w:autoSpaceDE/>
              <w:autoSpaceDN/>
              <w:bidi w:val="0"/>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w:t>
            </w:r>
          </w:p>
        </w:tc>
        <w:tc>
          <w:tcPr>
            <w:tcW w:w="2828" w:type="pct"/>
            <w:shd w:val="clear" w:color="auto" w:fill="auto"/>
            <w:vAlign w:val="center"/>
          </w:tcPr>
          <w:p>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系统演示：</w:t>
            </w:r>
          </w:p>
          <w:p>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一、内网超融合一体机的管理平台演示如下功能（5分）：</w:t>
            </w:r>
          </w:p>
          <w:p>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1、可指定专用独享迁移网络，隔离迁移网络流量与管理网流量，保障用户业务正常运行。（完整演示且满足的得2分，不满足或没有演示的不得分）</w:t>
            </w:r>
          </w:p>
          <w:p>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2、支持纳管、配置和监控物理交换机设备，超融合管理平台界面支持设置物理交换机环路检测、端口速率、LLDP功能开关、端口聚合等；支持在超融合管理界面查看物理交换机各个端口信号灯状态、VLAN ID、连接状态、速率、带宽利用率、对端连接设备、光模块类型和匹配状态等信息。（完整演示且满足的得1分，不满足或没有演示的不得分）</w:t>
            </w:r>
          </w:p>
          <w:p>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3、支持多租户管理，根据需要对用户进行不同授权。提供B/S和C/S两种虚拟机控制台使用方式，C/S客户端无任何授权限制。（完整演示且满足的得1分，不满足或没有演示的不得分）</w:t>
            </w:r>
          </w:p>
          <w:p>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4、支持一云多芯，支持一套管理平台纳管不同CPU架构（至少3种）的主机集群。（完整演示且满足的得1分，不满足或没有演示的不得分）</w:t>
            </w:r>
          </w:p>
          <w:p>
            <w:pPr>
              <w:spacing w:line="360" w:lineRule="auto"/>
              <w:ind w:left="0" w:leftChars="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二、数据脱敏</w:t>
            </w:r>
            <w:r>
              <w:rPr>
                <w:rFonts w:hint="eastAsia" w:ascii="宋体" w:hAnsi="宋体" w:cs="宋体"/>
                <w:color w:val="auto"/>
                <w:sz w:val="24"/>
                <w:highlight w:val="none"/>
                <w:lang w:val="en-US" w:eastAsia="zh-CN"/>
              </w:rPr>
              <w:t>功能</w:t>
            </w:r>
            <w:r>
              <w:rPr>
                <w:rFonts w:hint="eastAsia" w:ascii="宋体" w:hAnsi="宋体" w:eastAsia="宋体" w:cs="宋体"/>
                <w:color w:val="auto"/>
                <w:sz w:val="24"/>
                <w:highlight w:val="none"/>
                <w:lang w:val="en-US" w:eastAsia="zh-CN"/>
              </w:rPr>
              <w:t>演示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支持在同一个任务中先进行数据脱敏处理，再进行水印处理，以同时满足脱敏和水印要求，并大幅减少处理耗时。（完整演示且满足的得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分，不满足或没有演示的不得分）</w:t>
            </w:r>
          </w:p>
          <w:p>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支持对于word文件进行数据脱敏任务的创建，同时支持以可视化方式对于脱敏过程进行监控</w:t>
            </w:r>
            <w:r>
              <w:rPr>
                <w:rFonts w:hint="eastAsia" w:ascii="宋体" w:hAnsi="宋体" w:cs="宋体"/>
                <w:color w:val="auto"/>
                <w:sz w:val="24"/>
                <w:highlight w:val="none"/>
                <w:lang w:eastAsia="zh-CN"/>
              </w:rPr>
              <w:t>。</w:t>
            </w:r>
            <w:r>
              <w:rPr>
                <w:rFonts w:hint="eastAsia" w:ascii="宋体" w:hAnsi="宋体" w:cs="宋体"/>
                <w:color w:val="auto"/>
                <w:sz w:val="24"/>
                <w:highlight w:val="none"/>
              </w:rPr>
              <w:t>（完整演示且满足的得</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rPr>
              <w:t>分，不满足或没有演示的不得分）</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提供单独的数据对比能力以对比生产数据和测试数据或脱敏前和脱敏后的数据内容差异。提供数据对比任务新增、管理、运行等功能，可对数据对比任务的采样比例等多项参数进行配置。提供数据对比任务执行后的分析报表，包括任务运行概述、对比结果统计、未脱敏表数量、运行日志、未脱敏字段明细等。（完整演示且满足的得</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rPr>
              <w:t>分，不满足或没有演示的不得分）</w:t>
            </w:r>
          </w:p>
          <w:p>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支持黑白名单配置，对于黑名单中的记录不会同步到目标端，对于白名单中的记录不进行数据脱敏处理。</w:t>
            </w:r>
            <w:r>
              <w:rPr>
                <w:rFonts w:hint="eastAsia" w:ascii="宋体" w:hAnsi="宋体" w:eastAsia="宋体" w:cs="宋体"/>
                <w:color w:val="auto"/>
                <w:sz w:val="24"/>
                <w:highlight w:val="none"/>
              </w:rPr>
              <w:t>（完整演示且满足的得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分，不满足或没有演示的不得分）</w:t>
            </w:r>
          </w:p>
        </w:tc>
        <w:tc>
          <w:tcPr>
            <w:tcW w:w="479" w:type="pct"/>
            <w:shd w:val="clear" w:color="auto" w:fill="auto"/>
            <w:vAlign w:val="center"/>
          </w:tcPr>
          <w:p>
            <w:pPr>
              <w:keepNext w:val="0"/>
              <w:keepLines w:val="0"/>
              <w:pageBreakBefore w:val="0"/>
              <w:kinsoku/>
              <w:wordWrap/>
              <w:overflowPunct/>
              <w:topLinePunct w:val="0"/>
              <w:autoSpaceDE/>
              <w:autoSpaceDN/>
              <w:bidi w:val="0"/>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p>
        </w:tc>
        <w:tc>
          <w:tcPr>
            <w:tcW w:w="560" w:type="pct"/>
            <w:shd w:val="clear" w:color="auto" w:fill="auto"/>
            <w:vAlign w:val="center"/>
          </w:tcPr>
          <w:p>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客观分</w:t>
            </w:r>
          </w:p>
        </w:tc>
        <w:tc>
          <w:tcPr>
            <w:tcW w:w="721" w:type="pct"/>
            <w:shd w:val="clear" w:color="auto" w:fill="auto"/>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系统演示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1" w:type="pct"/>
            <w:shd w:val="clear" w:color="auto" w:fill="auto"/>
            <w:vAlign w:val="center"/>
          </w:tcPr>
          <w:p>
            <w:pPr>
              <w:keepNext w:val="0"/>
              <w:keepLines w:val="0"/>
              <w:pageBreakBefore w:val="0"/>
              <w:kinsoku/>
              <w:wordWrap/>
              <w:overflowPunct/>
              <w:topLinePunct w:val="0"/>
              <w:autoSpaceDE/>
              <w:autoSpaceDN/>
              <w:bidi w:val="0"/>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2828" w:type="pct"/>
            <w:shd w:val="clear" w:color="auto" w:fill="auto"/>
            <w:vAlign w:val="center"/>
          </w:tcPr>
          <w:p>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项目实施方案:</w:t>
            </w:r>
            <w:r>
              <w:rPr>
                <w:rFonts w:hint="eastAsia" w:asciiTheme="minorEastAsia" w:hAnsiTheme="minorEastAsia" w:eastAsiaTheme="minorEastAsia" w:cstheme="minorEastAsia"/>
                <w:b w:val="0"/>
                <w:bCs w:val="0"/>
                <w:color w:val="auto"/>
                <w:kern w:val="2"/>
                <w:sz w:val="24"/>
                <w:szCs w:val="24"/>
                <w:highlight w:val="none"/>
                <w:lang w:val="en-US" w:eastAsia="zh-CN" w:bidi="ar-SA"/>
              </w:rPr>
              <w:t>投标人应根据采购需求中工作内容提供一份完整的项目进度计划，以确定各阶段的主要工作内容、成果及其进度。进度安排合理，能确保项目的顺利完成的视为符合，符合得5分，基本符合得3分，部分符合得1分，其余不得分，共5分。</w:t>
            </w:r>
          </w:p>
        </w:tc>
        <w:tc>
          <w:tcPr>
            <w:tcW w:w="479" w:type="pct"/>
            <w:shd w:val="clear" w:color="auto" w:fill="auto"/>
            <w:vAlign w:val="center"/>
          </w:tcPr>
          <w:p>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5</w:t>
            </w:r>
          </w:p>
        </w:tc>
        <w:tc>
          <w:tcPr>
            <w:tcW w:w="560" w:type="pct"/>
            <w:shd w:val="clear" w:color="auto" w:fill="auto"/>
            <w:vAlign w:val="center"/>
          </w:tcPr>
          <w:p>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主观分</w:t>
            </w:r>
          </w:p>
        </w:tc>
        <w:tc>
          <w:tcPr>
            <w:tcW w:w="721" w:type="pct"/>
            <w:shd w:val="clear" w:color="auto" w:fill="auto"/>
            <w:vAlign w:val="center"/>
          </w:tcPr>
          <w:p>
            <w:pPr>
              <w:keepNext w:val="0"/>
              <w:keepLines w:val="0"/>
              <w:pageBreakBefore w:val="0"/>
              <w:kinsoku/>
              <w:wordWrap/>
              <w:overflowPunct/>
              <w:topLinePunct w:val="0"/>
              <w:autoSpaceDE/>
              <w:autoSpaceDN/>
              <w:bidi w:val="0"/>
              <w:snapToGrid w:val="0"/>
              <w:spacing w:line="360" w:lineRule="auto"/>
              <w:jc w:val="center"/>
              <w:rPr>
                <w:rFonts w:cs="仿宋_GB2312" w:asciiTheme="minorEastAsia" w:hAnsiTheme="minorEastAsia" w:eastAsiaTheme="minorEastAsia"/>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1" w:type="pct"/>
            <w:shd w:val="clear" w:color="auto" w:fill="auto"/>
            <w:vAlign w:val="center"/>
          </w:tcPr>
          <w:p>
            <w:pPr>
              <w:keepNext w:val="0"/>
              <w:keepLines w:val="0"/>
              <w:pageBreakBefore w:val="0"/>
              <w:kinsoku/>
              <w:wordWrap/>
              <w:overflowPunct/>
              <w:topLinePunct w:val="0"/>
              <w:autoSpaceDE/>
              <w:autoSpaceDN/>
              <w:bidi w:val="0"/>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2828" w:type="pct"/>
            <w:shd w:val="clear" w:color="auto" w:fill="auto"/>
            <w:vAlign w:val="center"/>
          </w:tcPr>
          <w:p>
            <w:pPr>
              <w:keepNext w:val="0"/>
              <w:keepLines w:val="0"/>
              <w:pageBreakBefore w:val="0"/>
              <w:widowControl/>
              <w:kinsoku/>
              <w:wordWrap/>
              <w:overflowPunct/>
              <w:topLinePunct w:val="0"/>
              <w:autoSpaceDE/>
              <w:autoSpaceDN/>
              <w:bidi w:val="0"/>
              <w:spacing w:line="360" w:lineRule="auto"/>
              <w:textAlignment w:val="center"/>
              <w:rPr>
                <w:rFonts w:hint="default"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本项目拟派项目经理：</w:t>
            </w:r>
            <w:r>
              <w:rPr>
                <w:rFonts w:hint="eastAsia" w:asciiTheme="minorEastAsia" w:hAnsiTheme="minorEastAsia" w:eastAsiaTheme="minorEastAsia" w:cstheme="minorEastAsia"/>
                <w:b w:val="0"/>
                <w:bCs w:val="0"/>
                <w:color w:val="auto"/>
                <w:kern w:val="2"/>
                <w:sz w:val="24"/>
                <w:szCs w:val="24"/>
                <w:highlight w:val="none"/>
                <w:lang w:val="zh-CN" w:eastAsia="zh-CN" w:bidi="ar-SA"/>
              </w:rPr>
              <w:t>具有</w:t>
            </w:r>
            <w:r>
              <w:rPr>
                <w:rFonts w:hint="eastAsia" w:asciiTheme="minorEastAsia" w:hAnsiTheme="minorEastAsia" w:eastAsiaTheme="minorEastAsia" w:cstheme="minorEastAsia"/>
                <w:b w:val="0"/>
                <w:bCs w:val="0"/>
                <w:color w:val="auto"/>
                <w:kern w:val="2"/>
                <w:sz w:val="24"/>
                <w:szCs w:val="24"/>
                <w:highlight w:val="none"/>
                <w:lang w:val="en-US" w:eastAsia="zh-CN" w:bidi="ar-SA"/>
              </w:rPr>
              <w:t>中国信息安全测评中心颁发的注册信息安全专业人员证书</w:t>
            </w:r>
            <w:r>
              <w:rPr>
                <w:rFonts w:hint="eastAsia" w:asciiTheme="minorEastAsia" w:hAnsiTheme="minorEastAsia" w:eastAsiaTheme="minorEastAsia" w:cstheme="minorEastAsia"/>
                <w:b w:val="0"/>
                <w:bCs w:val="0"/>
                <w:color w:val="auto"/>
                <w:kern w:val="2"/>
                <w:sz w:val="24"/>
                <w:szCs w:val="24"/>
                <w:highlight w:val="none"/>
                <w:lang w:val="zh-CN" w:eastAsia="zh-CN" w:bidi="ar-SA"/>
              </w:rPr>
              <w:t>的得</w:t>
            </w:r>
            <w:r>
              <w:rPr>
                <w:rFonts w:hint="eastAsia" w:asciiTheme="minorEastAsia" w:hAnsiTheme="minorEastAsia" w:eastAsiaTheme="minorEastAsia" w:cstheme="minorEastAsia"/>
                <w:b w:val="0"/>
                <w:bCs w:val="0"/>
                <w:color w:val="auto"/>
                <w:kern w:val="2"/>
                <w:sz w:val="24"/>
                <w:szCs w:val="24"/>
                <w:highlight w:val="none"/>
                <w:lang w:val="en-US" w:eastAsia="zh-CN" w:bidi="ar-SA"/>
              </w:rPr>
              <w:t>2</w:t>
            </w:r>
            <w:r>
              <w:rPr>
                <w:rFonts w:hint="eastAsia" w:asciiTheme="minorEastAsia" w:hAnsiTheme="minorEastAsia" w:eastAsiaTheme="minorEastAsia" w:cstheme="minorEastAsia"/>
                <w:b w:val="0"/>
                <w:bCs w:val="0"/>
                <w:color w:val="auto"/>
                <w:kern w:val="2"/>
                <w:sz w:val="24"/>
                <w:szCs w:val="24"/>
                <w:highlight w:val="none"/>
                <w:lang w:val="zh-CN" w:eastAsia="zh-CN" w:bidi="ar-SA"/>
              </w:rPr>
              <w:t>分。</w:t>
            </w:r>
          </w:p>
          <w:p>
            <w:pPr>
              <w:keepNext w:val="0"/>
              <w:keepLines w:val="0"/>
              <w:pageBreakBefore w:val="0"/>
              <w:widowControl/>
              <w:kinsoku/>
              <w:wordWrap/>
              <w:overflowPunct/>
              <w:topLinePunct w:val="0"/>
              <w:autoSpaceDE/>
              <w:autoSpaceDN/>
              <w:bidi w:val="0"/>
              <w:spacing w:line="360" w:lineRule="auto"/>
              <w:textAlignment w:val="center"/>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证明材料：提供拟派人员清单（包括但不限于：姓名、身份证、项目职责）、近3个月社保证明、相关证书，证明材料不全或不满足要求的不得分。</w:t>
            </w:r>
          </w:p>
        </w:tc>
        <w:tc>
          <w:tcPr>
            <w:tcW w:w="479" w:type="pct"/>
            <w:shd w:val="clear" w:color="auto" w:fill="auto"/>
            <w:vAlign w:val="center"/>
          </w:tcPr>
          <w:p>
            <w:pPr>
              <w:keepNext w:val="0"/>
              <w:keepLines w:val="0"/>
              <w:pageBreakBefore w:val="0"/>
              <w:kinsoku/>
              <w:wordWrap/>
              <w:overflowPunct/>
              <w:topLinePunct w:val="0"/>
              <w:autoSpaceDE/>
              <w:autoSpaceDN/>
              <w:bidi w:val="0"/>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560" w:type="pct"/>
            <w:shd w:val="clear" w:color="auto" w:fill="auto"/>
            <w:vAlign w:val="center"/>
          </w:tcPr>
          <w:p>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客观分</w:t>
            </w:r>
          </w:p>
        </w:tc>
        <w:tc>
          <w:tcPr>
            <w:tcW w:w="721" w:type="pct"/>
            <w:shd w:val="clear" w:color="auto" w:fill="auto"/>
            <w:vAlign w:val="center"/>
          </w:tcPr>
          <w:p>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项目组成员情况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1" w:type="pct"/>
            <w:shd w:val="clear" w:color="auto" w:fill="auto"/>
            <w:vAlign w:val="center"/>
          </w:tcPr>
          <w:p>
            <w:pPr>
              <w:keepNext w:val="0"/>
              <w:keepLines w:val="0"/>
              <w:pageBreakBefore w:val="0"/>
              <w:kinsoku/>
              <w:wordWrap/>
              <w:overflowPunct/>
              <w:topLinePunct w:val="0"/>
              <w:autoSpaceDE/>
              <w:autoSpaceDN/>
              <w:bidi w:val="0"/>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7</w:t>
            </w:r>
          </w:p>
        </w:tc>
        <w:tc>
          <w:tcPr>
            <w:tcW w:w="2828" w:type="pct"/>
            <w:shd w:val="clear" w:color="auto" w:fill="auto"/>
            <w:vAlign w:val="center"/>
          </w:tcPr>
          <w:p>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品控管理方案。</w:t>
            </w:r>
            <w:r>
              <w:rPr>
                <w:rFonts w:hint="eastAsia" w:asciiTheme="minorEastAsia" w:hAnsiTheme="minorEastAsia" w:eastAsiaTheme="minorEastAsia" w:cstheme="minorEastAsia"/>
                <w:b w:val="0"/>
                <w:bCs w:val="0"/>
                <w:color w:val="auto"/>
                <w:kern w:val="2"/>
                <w:sz w:val="24"/>
                <w:szCs w:val="24"/>
                <w:highlight w:val="none"/>
                <w:lang w:val="en-US" w:eastAsia="zh-CN" w:bidi="ar-SA"/>
              </w:rPr>
              <w:t>投标人对产品品质有管理管控过程。交货前，需对交货前产品进行检查以满足本项目要求。方案内容完整、满足采购需求视为符合，全部符合得3分，基本符合得2分，部分符合得1分，不符合或未提供不得分。共3分。</w:t>
            </w:r>
          </w:p>
        </w:tc>
        <w:tc>
          <w:tcPr>
            <w:tcW w:w="479" w:type="pct"/>
            <w:shd w:val="clear" w:color="auto" w:fill="auto"/>
            <w:vAlign w:val="center"/>
          </w:tcPr>
          <w:p>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3</w:t>
            </w:r>
          </w:p>
        </w:tc>
        <w:tc>
          <w:tcPr>
            <w:tcW w:w="560" w:type="pct"/>
            <w:shd w:val="clear" w:color="auto" w:fill="auto"/>
            <w:vAlign w:val="center"/>
          </w:tcPr>
          <w:p>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主观分</w:t>
            </w:r>
          </w:p>
        </w:tc>
        <w:tc>
          <w:tcPr>
            <w:tcW w:w="721" w:type="pct"/>
            <w:shd w:val="clear" w:color="auto" w:fill="auto"/>
            <w:vAlign w:val="center"/>
          </w:tcPr>
          <w:p>
            <w:pPr>
              <w:keepNext w:val="0"/>
              <w:keepLines w:val="0"/>
              <w:pageBreakBefore w:val="0"/>
              <w:kinsoku/>
              <w:wordWrap/>
              <w:overflowPunct/>
              <w:topLinePunct w:val="0"/>
              <w:autoSpaceDE/>
              <w:autoSpaceDN/>
              <w:bidi w:val="0"/>
              <w:snapToGrid w:val="0"/>
              <w:spacing w:line="360" w:lineRule="auto"/>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品控管理方案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1" w:type="pct"/>
            <w:shd w:val="clear" w:color="auto" w:fill="auto"/>
            <w:vAlign w:val="center"/>
          </w:tcPr>
          <w:p>
            <w:pPr>
              <w:keepNext w:val="0"/>
              <w:keepLines w:val="0"/>
              <w:pageBreakBefore w:val="0"/>
              <w:kinsoku/>
              <w:wordWrap/>
              <w:overflowPunct/>
              <w:topLinePunct w:val="0"/>
              <w:autoSpaceDE/>
              <w:autoSpaceDN/>
              <w:bidi w:val="0"/>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8</w:t>
            </w:r>
          </w:p>
        </w:tc>
        <w:tc>
          <w:tcPr>
            <w:tcW w:w="2828" w:type="pct"/>
            <w:shd w:val="clear" w:color="auto" w:fill="auto"/>
            <w:vAlign w:val="center"/>
          </w:tcPr>
          <w:p>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售后服务措施和方案。</w:t>
            </w:r>
            <w:r>
              <w:rPr>
                <w:rFonts w:hint="eastAsia" w:asciiTheme="minorEastAsia" w:hAnsiTheme="minorEastAsia" w:eastAsiaTheme="minorEastAsia" w:cstheme="minorEastAsia"/>
                <w:b w:val="0"/>
                <w:bCs w:val="0"/>
                <w:color w:val="auto"/>
                <w:kern w:val="2"/>
                <w:sz w:val="24"/>
                <w:szCs w:val="24"/>
                <w:highlight w:val="none"/>
                <w:lang w:val="en-US" w:eastAsia="zh-CN" w:bidi="ar-SA"/>
              </w:rPr>
              <w:t>投标人提出合理的售后服务措施和方案，包括①售后服务保障能力；②售后服务措施；③售后服务机构。方案内容详细完整、保障性强，满足采购需求视为符合，全部符合得5分，基本符合得3分，部分符合得1分，不符合或未提供不得分。共5分。</w:t>
            </w:r>
          </w:p>
        </w:tc>
        <w:tc>
          <w:tcPr>
            <w:tcW w:w="479" w:type="pct"/>
            <w:shd w:val="clear" w:color="auto" w:fill="auto"/>
            <w:vAlign w:val="center"/>
          </w:tcPr>
          <w:p>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5</w:t>
            </w:r>
          </w:p>
        </w:tc>
        <w:tc>
          <w:tcPr>
            <w:tcW w:w="560" w:type="pct"/>
            <w:shd w:val="clear" w:color="auto" w:fill="auto"/>
            <w:vAlign w:val="center"/>
          </w:tcPr>
          <w:p>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主观分</w:t>
            </w:r>
          </w:p>
        </w:tc>
        <w:tc>
          <w:tcPr>
            <w:tcW w:w="721" w:type="pct"/>
            <w:vMerge w:val="restart"/>
            <w:shd w:val="clear" w:color="auto" w:fill="auto"/>
            <w:vAlign w:val="center"/>
          </w:tcPr>
          <w:p>
            <w:pPr>
              <w:keepNext w:val="0"/>
              <w:keepLines w:val="0"/>
              <w:pageBreakBefore w:val="0"/>
              <w:kinsoku/>
              <w:wordWrap/>
              <w:overflowPunct/>
              <w:topLinePunct w:val="0"/>
              <w:autoSpaceDE/>
              <w:autoSpaceDN/>
              <w:bidi w:val="0"/>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cs="仿宋"/>
                <w:sz w:val="24"/>
                <w:highlight w:val="none"/>
              </w:rPr>
              <w:t>售后服务措施和方案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1" w:type="pct"/>
            <w:shd w:val="clear" w:color="auto" w:fill="auto"/>
            <w:vAlign w:val="center"/>
          </w:tcPr>
          <w:p>
            <w:pPr>
              <w:keepNext w:val="0"/>
              <w:keepLines w:val="0"/>
              <w:pageBreakBefore w:val="0"/>
              <w:kinsoku/>
              <w:wordWrap/>
              <w:overflowPunct/>
              <w:topLinePunct w:val="0"/>
              <w:autoSpaceDE/>
              <w:autoSpaceDN/>
              <w:bidi w:val="0"/>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9</w:t>
            </w:r>
          </w:p>
        </w:tc>
        <w:tc>
          <w:tcPr>
            <w:tcW w:w="2828" w:type="pct"/>
            <w:shd w:val="clear" w:color="auto" w:fill="auto"/>
            <w:vAlign w:val="center"/>
          </w:tcPr>
          <w:p>
            <w:pPr>
              <w:keepNext w:val="0"/>
              <w:keepLines w:val="0"/>
              <w:pageBreakBefore w:val="0"/>
              <w:widowControl/>
              <w:kinsoku/>
              <w:wordWrap/>
              <w:overflowPunct/>
              <w:topLinePunct w:val="0"/>
              <w:autoSpaceDE/>
              <w:autoSpaceDN/>
              <w:bidi w:val="0"/>
              <w:spacing w:line="360" w:lineRule="auto"/>
              <w:jc w:val="left"/>
              <w:textAlignment w:val="center"/>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投标人提供满足项目需要的备品备件（易损件），并制定更换与使用计划。备品备件清单内容完整、价格明确、规格产地清楚，且与本项目设施设备相匹配，计划安排科学合理，保证项目正常运行的视为符合，全部</w:t>
            </w:r>
            <w:r>
              <w:rPr>
                <w:rFonts w:hint="eastAsia" w:asciiTheme="minorEastAsia" w:hAnsiTheme="minorEastAsia" w:eastAsiaTheme="minorEastAsia" w:cstheme="minorEastAsia"/>
                <w:color w:val="auto"/>
                <w:kern w:val="2"/>
                <w:sz w:val="24"/>
                <w:szCs w:val="24"/>
                <w:highlight w:val="none"/>
                <w:lang w:val="en-US" w:eastAsia="zh-CN" w:bidi="ar-SA"/>
              </w:rPr>
              <w:t>符合得2分，部分符合得1分，方案未提供或不合理的不得分，共2分。</w:t>
            </w:r>
          </w:p>
        </w:tc>
        <w:tc>
          <w:tcPr>
            <w:tcW w:w="479" w:type="pct"/>
            <w:shd w:val="clear" w:color="auto" w:fill="auto"/>
            <w:vAlign w:val="center"/>
          </w:tcPr>
          <w:p>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lang w:val="en-US" w:eastAsia="zh-CN"/>
              </w:rPr>
              <w:t>2</w:t>
            </w:r>
          </w:p>
        </w:tc>
        <w:tc>
          <w:tcPr>
            <w:tcW w:w="560" w:type="pct"/>
            <w:shd w:val="clear" w:color="auto" w:fill="auto"/>
            <w:vAlign w:val="center"/>
          </w:tcPr>
          <w:p>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主</w:t>
            </w:r>
            <w:bookmarkStart w:id="563" w:name="_GoBack"/>
            <w:bookmarkEnd w:id="563"/>
            <w:r>
              <w:rPr>
                <w:rFonts w:hint="eastAsia" w:asciiTheme="minorEastAsia" w:hAnsiTheme="minorEastAsia" w:eastAsiaTheme="minorEastAsia" w:cstheme="minorEastAsia"/>
                <w:color w:val="auto"/>
                <w:sz w:val="24"/>
                <w:szCs w:val="24"/>
                <w:highlight w:val="none"/>
                <w:lang w:val="en-US" w:eastAsia="zh-CN"/>
              </w:rPr>
              <w:t>观分</w:t>
            </w:r>
          </w:p>
        </w:tc>
        <w:tc>
          <w:tcPr>
            <w:tcW w:w="721" w:type="pct"/>
            <w:vMerge w:val="continue"/>
            <w:shd w:val="clear" w:color="auto" w:fill="auto"/>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宋体" w:hAnsi="宋体"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1" w:type="pct"/>
            <w:shd w:val="clear" w:color="auto" w:fill="auto"/>
            <w:vAlign w:val="center"/>
          </w:tcPr>
          <w:p>
            <w:pPr>
              <w:keepNext w:val="0"/>
              <w:keepLines w:val="0"/>
              <w:pageBreakBefore w:val="0"/>
              <w:kinsoku/>
              <w:wordWrap/>
              <w:overflowPunct/>
              <w:topLinePunct w:val="0"/>
              <w:autoSpaceDE/>
              <w:autoSpaceDN/>
              <w:bidi w:val="0"/>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2828" w:type="pct"/>
            <w:shd w:val="clear" w:color="auto" w:fill="auto"/>
            <w:vAlign w:val="center"/>
          </w:tcPr>
          <w:p>
            <w:pPr>
              <w:keepNext w:val="0"/>
              <w:keepLines w:val="0"/>
              <w:pageBreakBefore w:val="0"/>
              <w:kinsoku/>
              <w:wordWrap/>
              <w:overflowPunct/>
              <w:topLinePunct w:val="0"/>
              <w:autoSpaceDE/>
              <w:autoSpaceDN/>
              <w:bidi w:val="0"/>
              <w:spacing w:line="360" w:lineRule="auto"/>
              <w:rPr>
                <w:rFonts w:hint="default"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投标人承诺：①质保期内上门维修，必须出具维修服务单，服务单应包括：用户姓名、联系方式、报修时间、上门时间、完成维修时间、报修设备信息、维修情况等内容，并由用户签字。②质保期内，提供24小时技术支持热线，30分钟内电话响应，1小时之内上门维修，12小时内解决问题；不能当场修复的，必须采取提供备品、备件或备机等措施，以保证采购单位的正常使用。需提供相关承诺，每项符合的得1分，不满足或未提供不得分。共2分。</w:t>
            </w:r>
          </w:p>
        </w:tc>
        <w:tc>
          <w:tcPr>
            <w:tcW w:w="479" w:type="pct"/>
            <w:shd w:val="clear" w:color="auto" w:fill="auto"/>
            <w:vAlign w:val="center"/>
          </w:tcPr>
          <w:p>
            <w:pPr>
              <w:keepNext w:val="0"/>
              <w:keepLines w:val="0"/>
              <w:pageBreakBefore w:val="0"/>
              <w:kinsoku/>
              <w:wordWrap/>
              <w:overflowPunct/>
              <w:topLinePunct w:val="0"/>
              <w:autoSpaceDE/>
              <w:autoSpaceDN/>
              <w:bidi w:val="0"/>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560" w:type="pct"/>
            <w:shd w:val="clear" w:color="auto" w:fill="auto"/>
            <w:vAlign w:val="center"/>
          </w:tcPr>
          <w:p>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客观分</w:t>
            </w:r>
          </w:p>
        </w:tc>
        <w:tc>
          <w:tcPr>
            <w:tcW w:w="721" w:type="pct"/>
            <w:vMerge w:val="continue"/>
            <w:shd w:val="clear" w:color="auto" w:fill="auto"/>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宋体" w:hAnsi="宋体"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1" w:type="pct"/>
            <w:shd w:val="clear" w:color="auto" w:fill="auto"/>
            <w:vAlign w:val="center"/>
          </w:tcPr>
          <w:p>
            <w:pPr>
              <w:keepNext w:val="0"/>
              <w:keepLines w:val="0"/>
              <w:pageBreakBefore w:val="0"/>
              <w:kinsoku/>
              <w:wordWrap/>
              <w:overflowPunct/>
              <w:topLinePunct w:val="0"/>
              <w:autoSpaceDE/>
              <w:autoSpaceDN/>
              <w:bidi w:val="0"/>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11</w:t>
            </w:r>
          </w:p>
        </w:tc>
        <w:tc>
          <w:tcPr>
            <w:tcW w:w="2828" w:type="pct"/>
            <w:shd w:val="clear" w:color="auto" w:fill="auto"/>
            <w:vAlign w:val="center"/>
          </w:tcPr>
          <w:p>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投标人根据采购需求制定相关操作培训方案，培训方案包括：包括培训内容、培训计划、培训管理、培训质量控制等；根据培训方案内容进行评分，方案科学合理，利于实际操作，能有效达到培训目的的视为符合，全部符合得3分，基本符合得2分，部分符合得1分，方案未提供或不合理的不得分，共3分。</w:t>
            </w:r>
          </w:p>
        </w:tc>
        <w:tc>
          <w:tcPr>
            <w:tcW w:w="479" w:type="pct"/>
            <w:shd w:val="clear" w:color="auto" w:fill="auto"/>
            <w:vAlign w:val="center"/>
          </w:tcPr>
          <w:p>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3</w:t>
            </w:r>
          </w:p>
        </w:tc>
        <w:tc>
          <w:tcPr>
            <w:tcW w:w="560" w:type="pct"/>
            <w:shd w:val="clear" w:color="auto" w:fill="auto"/>
            <w:vAlign w:val="center"/>
          </w:tcPr>
          <w:p>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主观分</w:t>
            </w:r>
          </w:p>
        </w:tc>
        <w:tc>
          <w:tcPr>
            <w:tcW w:w="721" w:type="pct"/>
            <w:shd w:val="clear" w:color="auto" w:fill="auto"/>
            <w:vAlign w:val="center"/>
          </w:tcPr>
          <w:p>
            <w:pPr>
              <w:keepNext w:val="0"/>
              <w:keepLines w:val="0"/>
              <w:pageBreakBefore w:val="0"/>
              <w:kinsoku/>
              <w:wordWrap/>
              <w:overflowPunct/>
              <w:topLinePunct w:val="0"/>
              <w:autoSpaceDE/>
              <w:autoSpaceDN/>
              <w:bidi w:val="0"/>
              <w:snapToGrid w:val="0"/>
              <w:spacing w:line="360" w:lineRule="auto"/>
              <w:jc w:val="center"/>
              <w:rPr>
                <w:rFonts w:cs="仿宋_GB2312" w:asciiTheme="minorEastAsia" w:hAnsiTheme="minorEastAsia" w:eastAsiaTheme="minorEastAsia"/>
                <w:color w:val="auto"/>
                <w:sz w:val="24"/>
                <w:highlight w:val="none"/>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技术培训方案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1" w:type="pct"/>
            <w:shd w:val="clear" w:color="auto" w:fill="auto"/>
            <w:vAlign w:val="center"/>
          </w:tcPr>
          <w:p>
            <w:pPr>
              <w:keepNext w:val="0"/>
              <w:keepLines w:val="0"/>
              <w:pageBreakBefore w:val="0"/>
              <w:kinsoku/>
              <w:wordWrap/>
              <w:overflowPunct/>
              <w:topLinePunct w:val="0"/>
              <w:autoSpaceDE/>
              <w:autoSpaceDN/>
              <w:bidi w:val="0"/>
              <w:snapToGrid w:val="0"/>
              <w:spacing w:line="360" w:lineRule="auto"/>
              <w:jc w:val="center"/>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12</w:t>
            </w:r>
          </w:p>
        </w:tc>
        <w:tc>
          <w:tcPr>
            <w:tcW w:w="2828" w:type="pct"/>
            <w:shd w:val="clear" w:color="auto" w:fill="auto"/>
            <w:vAlign w:val="center"/>
          </w:tcPr>
          <w:p>
            <w:pPr>
              <w:pStyle w:val="255"/>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sz w:val="24"/>
                <w:szCs w:val="24"/>
                <w:highlight w:val="none"/>
                <w:lang w:eastAsia="zh-CN"/>
              </w:rPr>
              <w:t>投标人</w:t>
            </w:r>
            <w:r>
              <w:rPr>
                <w:rFonts w:hint="eastAsia" w:asciiTheme="minorEastAsia" w:hAnsiTheme="minorEastAsia" w:eastAsiaTheme="minorEastAsia" w:cstheme="minorEastAsia"/>
                <w:b w:val="0"/>
                <w:bCs w:val="0"/>
                <w:color w:val="auto"/>
                <w:sz w:val="24"/>
                <w:szCs w:val="24"/>
                <w:highlight w:val="none"/>
              </w:rPr>
              <w:t>具有质量管理体系认证</w:t>
            </w:r>
            <w:r>
              <w:rPr>
                <w:rFonts w:hint="eastAsia" w:asciiTheme="minorEastAsia" w:hAnsiTheme="minorEastAsia" w:eastAsiaTheme="minorEastAsia" w:cstheme="minorEastAsia"/>
                <w:b w:val="0"/>
                <w:bCs w:val="0"/>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信息技术服务管理体系认证</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信息安全管理体系认证</w:t>
            </w:r>
            <w:r>
              <w:rPr>
                <w:rFonts w:hint="eastAsia" w:asciiTheme="minorEastAsia" w:hAnsiTheme="minorEastAsia" w:eastAsiaTheme="minorEastAsia" w:cstheme="minorEastAsia"/>
                <w:b w:val="0"/>
                <w:bCs w:val="0"/>
                <w:color w:val="auto"/>
                <w:sz w:val="24"/>
                <w:szCs w:val="24"/>
                <w:highlight w:val="none"/>
                <w:lang w:eastAsia="zh-CN"/>
              </w:rPr>
              <w:t>，提供相关有效证书，每项得</w:t>
            </w:r>
            <w:r>
              <w:rPr>
                <w:rFonts w:hint="eastAsia" w:asciiTheme="minorEastAsia" w:hAnsiTheme="minorEastAsia" w:eastAsiaTheme="minorEastAsia" w:cstheme="minorEastAsia"/>
                <w:b w:val="0"/>
                <w:bCs w:val="0"/>
                <w:color w:val="auto"/>
                <w:sz w:val="24"/>
                <w:szCs w:val="24"/>
                <w:highlight w:val="none"/>
                <w:lang w:val="en-US" w:eastAsia="zh-CN"/>
              </w:rPr>
              <w:t>1分，共3分。</w:t>
            </w:r>
          </w:p>
        </w:tc>
        <w:tc>
          <w:tcPr>
            <w:tcW w:w="479" w:type="pct"/>
            <w:shd w:val="clear" w:color="auto" w:fill="auto"/>
            <w:vAlign w:val="center"/>
          </w:tcPr>
          <w:p>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rPr>
              <w:t>3</w:t>
            </w:r>
          </w:p>
        </w:tc>
        <w:tc>
          <w:tcPr>
            <w:tcW w:w="560" w:type="pct"/>
            <w:shd w:val="clear" w:color="auto" w:fill="auto"/>
            <w:vAlign w:val="center"/>
          </w:tcPr>
          <w:p>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客观分</w:t>
            </w:r>
          </w:p>
        </w:tc>
        <w:tc>
          <w:tcPr>
            <w:tcW w:w="721" w:type="pct"/>
            <w:shd w:val="clear" w:color="auto" w:fill="auto"/>
            <w:vAlign w:val="center"/>
          </w:tcPr>
          <w:p>
            <w:pPr>
              <w:keepNext w:val="0"/>
              <w:keepLines w:val="0"/>
              <w:pageBreakBefore w:val="0"/>
              <w:kinsoku/>
              <w:wordWrap/>
              <w:overflowPunct/>
              <w:topLinePunct w:val="0"/>
              <w:autoSpaceDE/>
              <w:autoSpaceDN/>
              <w:bidi w:val="0"/>
              <w:snapToGrid w:val="0"/>
              <w:spacing w:line="360" w:lineRule="auto"/>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rPr>
              <w:t>投标人资信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1" w:type="pct"/>
            <w:shd w:val="clear" w:color="auto" w:fill="auto"/>
            <w:vAlign w:val="center"/>
          </w:tcPr>
          <w:p>
            <w:pPr>
              <w:keepNext w:val="0"/>
              <w:keepLines w:val="0"/>
              <w:pageBreakBefore w:val="0"/>
              <w:kinsoku/>
              <w:wordWrap/>
              <w:overflowPunct/>
              <w:topLinePunct w:val="0"/>
              <w:autoSpaceDE/>
              <w:autoSpaceDN/>
              <w:bidi w:val="0"/>
              <w:snapToGrid w:val="0"/>
              <w:spacing w:line="360" w:lineRule="auto"/>
              <w:jc w:val="center"/>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13</w:t>
            </w:r>
          </w:p>
        </w:tc>
        <w:tc>
          <w:tcPr>
            <w:tcW w:w="2828" w:type="pct"/>
            <w:shd w:val="clear" w:color="auto" w:fill="auto"/>
            <w:vAlign w:val="center"/>
          </w:tcPr>
          <w:p>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投标人自2020年1月1日至开标时间止（以合同签订时间为准）具有同类项目（服务器或网络安全设备项目），需同时提供合同和中标通知书，每提供一个得1分，共2分。</w:t>
            </w:r>
          </w:p>
        </w:tc>
        <w:tc>
          <w:tcPr>
            <w:tcW w:w="479" w:type="pct"/>
            <w:shd w:val="clear" w:color="auto" w:fill="auto"/>
            <w:vAlign w:val="center"/>
          </w:tcPr>
          <w:p>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2</w:t>
            </w:r>
          </w:p>
        </w:tc>
        <w:tc>
          <w:tcPr>
            <w:tcW w:w="560" w:type="pct"/>
            <w:shd w:val="clear" w:color="auto" w:fill="auto"/>
            <w:vAlign w:val="center"/>
          </w:tcPr>
          <w:p>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客观分</w:t>
            </w:r>
          </w:p>
        </w:tc>
        <w:tc>
          <w:tcPr>
            <w:tcW w:w="721" w:type="pct"/>
            <w:shd w:val="clear" w:color="auto" w:fill="auto"/>
            <w:vAlign w:val="center"/>
          </w:tcPr>
          <w:p>
            <w:pPr>
              <w:keepNext w:val="0"/>
              <w:keepLines w:val="0"/>
              <w:pageBreakBefore w:val="0"/>
              <w:kinsoku/>
              <w:wordWrap/>
              <w:overflowPunct/>
              <w:topLinePunct w:val="0"/>
              <w:autoSpaceDE/>
              <w:autoSpaceDN/>
              <w:bidi w:val="0"/>
              <w:snapToGrid w:val="0"/>
              <w:spacing w:line="360" w:lineRule="auto"/>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eastAsia="zh-CN"/>
              </w:rPr>
              <w:t>同类</w:t>
            </w:r>
            <w:r>
              <w:rPr>
                <w:rFonts w:hint="eastAsia" w:cs="仿宋_GB2312" w:asciiTheme="minorEastAsia" w:hAnsiTheme="minorEastAsia" w:eastAsiaTheme="minorEastAsia"/>
                <w:color w:val="auto"/>
                <w:sz w:val="24"/>
                <w:highlight w:val="none"/>
              </w:rPr>
              <w:t>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1" w:type="pct"/>
            <w:shd w:val="clear" w:color="auto" w:fill="auto"/>
            <w:vAlign w:val="center"/>
          </w:tcPr>
          <w:p>
            <w:pPr>
              <w:keepNext w:val="0"/>
              <w:keepLines w:val="0"/>
              <w:pageBreakBefore w:val="0"/>
              <w:kinsoku/>
              <w:wordWrap/>
              <w:overflowPunct/>
              <w:topLinePunct w:val="0"/>
              <w:autoSpaceDE/>
              <w:autoSpaceDN/>
              <w:bidi w:val="0"/>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14</w:t>
            </w:r>
          </w:p>
        </w:tc>
        <w:tc>
          <w:tcPr>
            <w:tcW w:w="2828" w:type="pct"/>
            <w:shd w:val="clear" w:color="auto" w:fill="auto"/>
          </w:tcPr>
          <w:p>
            <w:pPr>
              <w:keepNext w:val="0"/>
              <w:keepLines w:val="0"/>
              <w:pageBreakBefore w:val="0"/>
              <w:kinsoku/>
              <w:wordWrap/>
              <w:overflowPunct/>
              <w:topLinePunct w:val="0"/>
              <w:autoSpaceDE/>
              <w:autoSpaceDN/>
              <w:bidi w:val="0"/>
              <w:spacing w:line="360" w:lineRule="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 w:val="24"/>
                <w:highlight w:val="none"/>
                <w:lang w:val="en-US" w:eastAsia="zh-CN"/>
              </w:rPr>
              <w:t>30</w:t>
            </w:r>
            <w:r>
              <w:rPr>
                <w:rFonts w:cs="仿宋_GB2312" w:asciiTheme="minorEastAsia" w:hAnsiTheme="minorEastAsia" w:eastAsiaTheme="minorEastAsia"/>
                <w:color w:val="auto"/>
                <w:sz w:val="24"/>
                <w:highlight w:val="none"/>
              </w:rPr>
              <w:t>］的计算公式计算。</w:t>
            </w:r>
          </w:p>
          <w:p>
            <w:pPr>
              <w:keepNext w:val="0"/>
              <w:keepLines w:val="0"/>
              <w:pageBreakBefore w:val="0"/>
              <w:widowControl/>
              <w:shd w:val="clear" w:color="auto" w:fill="FFFFFF"/>
              <w:kinsoku/>
              <w:wordWrap/>
              <w:overflowPunct/>
              <w:topLinePunct w:val="0"/>
              <w:autoSpaceDE/>
              <w:autoSpaceDN/>
              <w:bidi w:val="0"/>
              <w:adjustRightInd/>
              <w:spacing w:after="225" w:line="360" w:lineRule="auto"/>
              <w:ind w:firstLine="420"/>
              <w:jc w:val="left"/>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评标过程中，不得去掉报价中的最高报价和最低报价。</w:t>
            </w:r>
          </w:p>
          <w:p>
            <w:pPr>
              <w:keepNext w:val="0"/>
              <w:keepLines w:val="0"/>
              <w:pageBreakBefore w:val="0"/>
              <w:widowControl/>
              <w:shd w:val="clear" w:color="auto" w:fill="FFFFFF"/>
              <w:kinsoku/>
              <w:wordWrap/>
              <w:overflowPunct/>
              <w:topLinePunct w:val="0"/>
              <w:autoSpaceDE/>
              <w:autoSpaceDN/>
              <w:bidi w:val="0"/>
              <w:adjustRightInd/>
              <w:spacing w:after="225" w:line="360" w:lineRule="auto"/>
              <w:ind w:firstLine="420"/>
              <w:jc w:val="left"/>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对于未预留份额专门面向中小企业的政府采购货物项目，以及预留份额政府采购货物项目中的非预留部分标项，对小型和微型企业的投标报价给予</w:t>
            </w:r>
            <w:r>
              <w:rPr>
                <w:rFonts w:hint="eastAsia" w:cs="仿宋_GB2312" w:asciiTheme="minorEastAsia" w:hAnsiTheme="minorEastAsia" w:eastAsiaTheme="minorEastAsia"/>
                <w:b/>
                <w:bCs/>
                <w:color w:val="auto"/>
                <w:sz w:val="24"/>
                <w:highlight w:val="none"/>
                <w:lang w:val="en-US" w:eastAsia="zh-CN"/>
              </w:rPr>
              <w:t>10</w:t>
            </w:r>
            <w:r>
              <w:rPr>
                <w:rFonts w:hint="eastAsia" w:cs="仿宋_GB2312" w:asciiTheme="minorEastAsia" w:hAnsiTheme="minorEastAsia" w:eastAsiaTheme="minorEastAsia"/>
                <w:b/>
                <w:bCs/>
                <w:color w:val="auto"/>
                <w:sz w:val="24"/>
                <w:highlight w:val="none"/>
              </w:rPr>
              <w:t>%</w:t>
            </w:r>
            <w:r>
              <w:rPr>
                <w:rFonts w:hint="eastAsia" w:cs="仿宋_GB2312" w:asciiTheme="minorEastAsia" w:hAnsiTheme="minorEastAsia" w:eastAsiaTheme="minorEastAsia"/>
                <w:color w:val="auto"/>
                <w:sz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b/>
                <w:bCs/>
                <w:color w:val="auto"/>
                <w:sz w:val="24"/>
                <w:highlight w:val="none"/>
                <w:lang w:val="en-US" w:eastAsia="zh-CN"/>
              </w:rPr>
              <w:t>4</w:t>
            </w:r>
            <w:r>
              <w:rPr>
                <w:rFonts w:hint="eastAsia" w:cs="仿宋_GB2312" w:asciiTheme="minorEastAsia" w:hAnsiTheme="minorEastAsia" w:eastAsiaTheme="minorEastAsia"/>
                <w:b/>
                <w:bCs/>
                <w:color w:val="auto"/>
                <w:sz w:val="24"/>
                <w:highlight w:val="none"/>
              </w:rPr>
              <w:t>%</w:t>
            </w:r>
            <w:r>
              <w:rPr>
                <w:rFonts w:hint="eastAsia" w:cs="仿宋_GB2312" w:asciiTheme="minorEastAsia" w:hAnsiTheme="minorEastAsia" w:eastAsiaTheme="minorEastAsia"/>
                <w:color w:val="auto"/>
                <w:sz w:val="24"/>
                <w:highlight w:val="none"/>
              </w:rPr>
              <w:t>的扣除，用扣除后的价格参加评审。</w:t>
            </w:r>
          </w:p>
        </w:tc>
        <w:tc>
          <w:tcPr>
            <w:tcW w:w="479" w:type="pct"/>
            <w:shd w:val="clear" w:color="auto" w:fill="auto"/>
            <w:vAlign w:val="center"/>
          </w:tcPr>
          <w:p>
            <w:pPr>
              <w:keepNext w:val="0"/>
              <w:keepLines w:val="0"/>
              <w:pageBreakBefore w:val="0"/>
              <w:kinsoku/>
              <w:wordWrap/>
              <w:overflowPunct/>
              <w:topLinePunct w:val="0"/>
              <w:autoSpaceDE/>
              <w:autoSpaceDN/>
              <w:bidi w:val="0"/>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30</w:t>
            </w:r>
          </w:p>
        </w:tc>
        <w:tc>
          <w:tcPr>
            <w:tcW w:w="560" w:type="pct"/>
            <w:shd w:val="clear" w:color="auto" w:fill="auto"/>
            <w:vAlign w:val="center"/>
          </w:tcPr>
          <w:p>
            <w:pPr>
              <w:keepNext w:val="0"/>
              <w:keepLines w:val="0"/>
              <w:pageBreakBefore w:val="0"/>
              <w:kinsoku/>
              <w:wordWrap/>
              <w:overflowPunct/>
              <w:topLinePunct w:val="0"/>
              <w:autoSpaceDE/>
              <w:autoSpaceDN/>
              <w:bidi w:val="0"/>
              <w:spacing w:line="360" w:lineRule="auto"/>
              <w:jc w:val="center"/>
              <w:outlineLvl w:val="0"/>
              <w:rPr>
                <w:rFonts w:cs="仿宋_GB2312" w:asciiTheme="minorEastAsia" w:hAnsiTheme="minorEastAsia" w:eastAsiaTheme="minorEastAsia"/>
                <w:color w:val="auto"/>
                <w:sz w:val="24"/>
                <w:highlight w:val="none"/>
              </w:rPr>
            </w:pPr>
            <w:r>
              <w:rPr>
                <w:rFonts w:hint="eastAsia" w:asciiTheme="minorEastAsia" w:hAnsiTheme="minorEastAsia" w:eastAsiaTheme="minorEastAsia" w:cstheme="minorEastAsia"/>
                <w:bCs/>
                <w:color w:val="auto"/>
                <w:sz w:val="24"/>
                <w:szCs w:val="24"/>
                <w:highlight w:val="none"/>
                <w:lang w:val="en-US" w:eastAsia="zh-CN"/>
              </w:rPr>
              <w:t>客观分</w:t>
            </w:r>
          </w:p>
        </w:tc>
        <w:tc>
          <w:tcPr>
            <w:tcW w:w="721" w:type="pct"/>
            <w:shd w:val="clear" w:color="auto" w:fill="auto"/>
            <w:vAlign w:val="center"/>
          </w:tcPr>
          <w:p>
            <w:pPr>
              <w:keepNext w:val="0"/>
              <w:keepLines w:val="0"/>
              <w:pageBreakBefore w:val="0"/>
              <w:kinsoku/>
              <w:wordWrap/>
              <w:overflowPunct/>
              <w:topLinePunct w:val="0"/>
              <w:autoSpaceDE/>
              <w:autoSpaceDN/>
              <w:bidi w:val="0"/>
              <w:spacing w:line="360" w:lineRule="auto"/>
              <w:jc w:val="center"/>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w:t>
            </w:r>
          </w:p>
        </w:tc>
      </w:tr>
    </w:tbl>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highlight w:val="none"/>
        </w:rPr>
      </w:pPr>
      <w:r>
        <w:rPr>
          <w:rFonts w:hint="eastAsia" w:ascii="宋体" w:hAnsi="宋体" w:cs="宋体"/>
          <w:kern w:val="0"/>
          <w:sz w:val="24"/>
        </w:rPr>
        <w:t xml:space="preserve">  4.2.11投标人</w:t>
      </w:r>
      <w:r>
        <w:rPr>
          <w:rFonts w:hint="eastAsia" w:ascii="宋体" w:hAnsi="宋体" w:cs="宋体"/>
          <w:kern w:val="0"/>
          <w:sz w:val="24"/>
          <w:highlight w:val="none"/>
        </w:rPr>
        <w:t>有恶意串通、妨碍其他投标人的竞争行为、损害采购人或者其他投标人的合法权益情形的；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4.2.13投标人未提供样品或提供的样品不满足采购需求实质性条件的，投标无效；</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4.2.14 投标文件不满足招标文件的其它实质性要求的；</w:t>
      </w:r>
    </w:p>
    <w:p>
      <w:pPr>
        <w:pStyle w:val="2"/>
        <w:ind w:left="0" w:leftChars="0" w:firstLine="480" w:firstLineChars="200"/>
        <w:rPr>
          <w:rFonts w:hint="default" w:eastAsia="宋体"/>
          <w:lang w:val="en-US" w:eastAsia="zh-CN"/>
        </w:rPr>
      </w:pPr>
      <w:r>
        <w:rPr>
          <w:rFonts w:hint="eastAsia" w:hAnsi="宋体" w:cs="宋体"/>
          <w:kern w:val="0"/>
          <w:sz w:val="24"/>
          <w:highlight w:val="none"/>
          <w:lang w:val="en-US" w:eastAsia="zh-CN"/>
        </w:rPr>
        <w:t>4.2.15供应商IP、MAC、设备硬件信息一致；</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w:t>
      </w:r>
      <w:r>
        <w:rPr>
          <w:rFonts w:hint="eastAsia" w:ascii="宋体" w:hAnsi="宋体" w:cs="宋体"/>
          <w:kern w:val="0"/>
          <w:sz w:val="24"/>
          <w:highlight w:val="none"/>
          <w:lang w:val="en-US" w:eastAsia="zh-CN"/>
        </w:rPr>
        <w:t>6</w:t>
      </w:r>
      <w:r>
        <w:rPr>
          <w:rFonts w:hint="eastAsia" w:ascii="宋体" w:hAnsi="宋体" w:cs="宋体"/>
          <w:kern w:val="0"/>
          <w:sz w:val="24"/>
          <w:highlight w:val="none"/>
        </w:rPr>
        <w:t>法律、法规、规章（适用本市的）及省级以上规范性文件（适用本市的）规定的其他无效情形。</w:t>
      </w:r>
    </w:p>
    <w:p>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6"/>
        <w:snapToGrid w:val="0"/>
        <w:spacing w:line="360" w:lineRule="auto"/>
        <w:rPr>
          <w:rFonts w:cs="宋体"/>
        </w:rPr>
      </w:pPr>
      <w:r>
        <w:rPr>
          <w:rFonts w:hint="eastAsia" w:cs="宋体"/>
        </w:rPr>
        <w:t>5.1符合专业条件的供应商或者对招标文件作实质响应的供应商不足3家的；</w:t>
      </w:r>
    </w:p>
    <w:p>
      <w:pPr>
        <w:pStyle w:val="26"/>
        <w:snapToGrid w:val="0"/>
        <w:spacing w:line="360" w:lineRule="auto"/>
        <w:rPr>
          <w:rFonts w:cs="宋体"/>
        </w:rPr>
      </w:pPr>
      <w:r>
        <w:rPr>
          <w:rFonts w:hint="eastAsia" w:cs="宋体"/>
        </w:rPr>
        <w:t>5.2出现影响采购公正的违法、违规行为的；</w:t>
      </w:r>
    </w:p>
    <w:p>
      <w:pPr>
        <w:pStyle w:val="26"/>
        <w:snapToGrid w:val="0"/>
        <w:spacing w:line="360" w:lineRule="auto"/>
        <w:rPr>
          <w:rFonts w:cs="宋体"/>
        </w:rPr>
      </w:pPr>
      <w:r>
        <w:rPr>
          <w:rFonts w:hint="eastAsia" w:cs="宋体"/>
        </w:rPr>
        <w:t>5.3投标人的报价均超过了采购预算，采购人不能支付的；</w:t>
      </w:r>
    </w:p>
    <w:p>
      <w:pPr>
        <w:pStyle w:val="26"/>
        <w:snapToGrid w:val="0"/>
        <w:spacing w:line="360" w:lineRule="auto"/>
        <w:rPr>
          <w:rFonts w:cs="宋体"/>
        </w:rPr>
      </w:pPr>
      <w:r>
        <w:rPr>
          <w:rFonts w:hint="eastAsia" w:cs="宋体"/>
        </w:rPr>
        <w:t>5.4因重大变故，采购任务取消的。</w:t>
      </w:r>
    </w:p>
    <w:p>
      <w:pPr>
        <w:pStyle w:val="26"/>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6"/>
        <w:snapToGrid w:val="0"/>
        <w:spacing w:line="360" w:lineRule="auto"/>
        <w:rPr>
          <w:rFonts w:cs="宋体"/>
        </w:rPr>
      </w:pPr>
      <w:r>
        <w:rPr>
          <w:rFonts w:hint="eastAsia" w:cs="宋体"/>
        </w:rPr>
        <w:t>7.1未确定中标供应商的，终止本次政府采购活动，重新开展政府采购活动。</w:t>
      </w:r>
    </w:p>
    <w:p>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7.4政府采购合同已经履行，给采购人、供应商造成损失的，由责任人承担赔偿责任。</w:t>
      </w:r>
    </w:p>
    <w:p>
      <w:pPr>
        <w:pStyle w:val="2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6"/>
        <w:snapToGrid w:val="0"/>
        <w:spacing w:line="360" w:lineRule="auto"/>
        <w:ind w:firstLine="0" w:firstLineChars="0"/>
        <w:rPr>
          <w:rFonts w:cs="宋体"/>
        </w:rPr>
      </w:pPr>
    </w:p>
    <w:bookmarkEnd w:id="33"/>
    <w:p>
      <w:pPr>
        <w:spacing w:line="360" w:lineRule="auto"/>
        <w:ind w:left="720" w:leftChars="343" w:firstLine="1084" w:firstLineChars="300"/>
        <w:outlineLvl w:val="0"/>
        <w:rPr>
          <w:rFonts w:ascii="宋体" w:hAnsi="宋体" w:cs="宋体"/>
          <w:b/>
          <w:sz w:val="36"/>
          <w:szCs w:val="36"/>
        </w:rPr>
      </w:pPr>
      <w:bookmarkStart w:id="401" w:name="第五部分"/>
      <w:bookmarkStart w:id="402" w:name="_Toc86217003"/>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pStyle w:val="24"/>
        <w:rPr>
          <w:rFonts w:hint="eastAsia"/>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699"/>
        <w:rPr>
          <w:rFonts w:ascii="宋体" w:hAnsi="宋体" w:cs="宋体"/>
          <w:szCs w:val="24"/>
        </w:rPr>
      </w:pPr>
    </w:p>
    <w:p>
      <w:pPr>
        <w:pStyle w:val="699"/>
        <w:rPr>
          <w:rFonts w:ascii="宋体" w:hAnsi="宋体" w:cs="宋体"/>
          <w:szCs w:val="24"/>
        </w:rPr>
      </w:pPr>
    </w:p>
    <w:p>
      <w:pPr>
        <w:pStyle w:val="699"/>
        <w:jc w:val="center"/>
        <w:rPr>
          <w:rFonts w:ascii="宋体" w:hAnsi="宋体" w:cs="宋体"/>
          <w:szCs w:val="24"/>
        </w:rPr>
      </w:pPr>
    </w:p>
    <w:p>
      <w:pPr>
        <w:pStyle w:val="699"/>
        <w:ind w:firstLine="2843" w:firstLineChars="1180"/>
        <w:rPr>
          <w:rFonts w:ascii="宋体" w:hAnsi="宋体" w:cs="宋体"/>
          <w:b/>
          <w:szCs w:val="24"/>
        </w:rPr>
      </w:pPr>
      <w:r>
        <w:rPr>
          <w:rFonts w:hint="eastAsia" w:ascii="宋体" w:hAnsi="宋体" w:cs="宋体"/>
          <w:b/>
          <w:szCs w:val="24"/>
        </w:rPr>
        <w:t>第一部分 合同书</w:t>
      </w:r>
    </w:p>
    <w:p>
      <w:pPr>
        <w:pStyle w:val="699"/>
        <w:rPr>
          <w:rFonts w:ascii="宋体" w:hAnsi="宋体" w:cs="宋体"/>
          <w:szCs w:val="24"/>
        </w:rPr>
      </w:pPr>
    </w:p>
    <w:p>
      <w:pPr>
        <w:pStyle w:val="699"/>
        <w:rPr>
          <w:rFonts w:ascii="宋体" w:hAnsi="宋体" w:cs="宋体"/>
          <w:szCs w:val="24"/>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6"/>
        <w:spacing w:before="120" w:line="22" w:lineRule="atLeast"/>
        <w:rPr>
          <w:rFonts w:ascii="宋体" w:hAnsi="宋体" w:eastAsia="宋体" w:cs="宋体"/>
          <w:szCs w:val="24"/>
        </w:rPr>
      </w:pPr>
    </w:p>
    <w:p>
      <w:pPr>
        <w:pStyle w:val="596"/>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680" w:right="1417" w:bottom="471" w:left="1417" w:header="851" w:footer="851" w:gutter="0"/>
          <w:cols w:space="720" w:num="1"/>
        </w:sectPr>
      </w:pPr>
    </w:p>
    <w:p>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color w:val="auto"/>
          <w:sz w:val="24"/>
          <w:u w:val="single"/>
          <w:lang w:val="zh-CN"/>
        </w:rPr>
        <w:t xml:space="preserve">  </w:t>
      </w:r>
      <w:r>
        <w:rPr>
          <w:rFonts w:hint="eastAsia" w:ascii="宋体" w:hAnsi="宋体" w:cs="宋体"/>
          <w:color w:val="auto"/>
          <w:sz w:val="24"/>
          <w:lang w:val="zh-CN"/>
        </w:rPr>
        <w:t>日</w:t>
      </w:r>
      <w:r>
        <w:rPr>
          <w:rFonts w:hint="eastAsia" w:ascii="宋体" w:hAnsi="宋体" w:cs="宋体"/>
          <w:color w:val="auto"/>
          <w:sz w:val="24"/>
        </w:rPr>
        <w:t>，</w:t>
      </w:r>
      <w:r>
        <w:rPr>
          <w:rFonts w:hint="eastAsia" w:ascii="宋体" w:hAnsi="宋体" w:cs="宋体"/>
          <w:color w:val="auto"/>
          <w:sz w:val="24"/>
          <w:u w:val="single"/>
        </w:rPr>
        <w:t xml:space="preserve">   （采购人）   </w:t>
      </w:r>
      <w:r>
        <w:rPr>
          <w:rFonts w:hint="eastAsia" w:ascii="宋体" w:hAnsi="宋体" w:cs="宋体"/>
          <w:color w:val="auto"/>
          <w:sz w:val="24"/>
        </w:rPr>
        <w:t>以</w:t>
      </w:r>
      <w:r>
        <w:rPr>
          <w:rFonts w:hint="eastAsia" w:ascii="宋体" w:hAnsi="宋体" w:cs="宋体"/>
          <w:color w:val="auto"/>
          <w:sz w:val="24"/>
          <w:u w:val="single"/>
        </w:rPr>
        <w:t xml:space="preserve">   （政府采购方式）  </w:t>
      </w:r>
      <w:r>
        <w:rPr>
          <w:rFonts w:hint="eastAsia" w:ascii="宋体" w:hAnsi="宋体" w:cs="宋体"/>
          <w:color w:val="auto"/>
          <w:sz w:val="24"/>
        </w:rPr>
        <w:t>对</w:t>
      </w:r>
      <w:r>
        <w:rPr>
          <w:rFonts w:hint="eastAsia" w:ascii="宋体" w:hAnsi="宋体" w:cs="宋体"/>
          <w:color w:val="auto"/>
          <w:sz w:val="24"/>
          <w:u w:val="single"/>
        </w:rPr>
        <w:t xml:space="preserve">   （项目名称、编号）   </w:t>
      </w:r>
      <w:r>
        <w:rPr>
          <w:rFonts w:hint="eastAsia" w:ascii="宋体" w:hAnsi="宋体" w:cs="宋体"/>
          <w:color w:val="auto"/>
          <w:sz w:val="24"/>
        </w:rPr>
        <w:t>项目进行了采购。经</w:t>
      </w:r>
      <w:r>
        <w:rPr>
          <w:rFonts w:hint="eastAsia" w:ascii="宋体" w:hAnsi="宋体" w:cs="宋体"/>
          <w:color w:val="auto"/>
          <w:sz w:val="24"/>
          <w:u w:val="single"/>
        </w:rPr>
        <w:t xml:space="preserve">   （相关评定主体名称）   </w:t>
      </w:r>
      <w:r>
        <w:rPr>
          <w:rFonts w:hint="eastAsia" w:ascii="宋体" w:hAnsi="宋体" w:cs="宋体"/>
          <w:color w:val="auto"/>
          <w:sz w:val="24"/>
        </w:rPr>
        <w:t>评定，</w:t>
      </w:r>
      <w:r>
        <w:rPr>
          <w:rFonts w:hint="eastAsia" w:ascii="宋体" w:hAnsi="宋体" w:cs="宋体"/>
          <w:color w:val="auto"/>
          <w:sz w:val="24"/>
          <w:u w:val="single"/>
        </w:rPr>
        <w:t xml:space="preserve">   （中标或者成交供应商名称）</w:t>
      </w:r>
      <w:r>
        <w:rPr>
          <w:rFonts w:hint="eastAsia" w:ascii="宋体" w:hAnsi="宋体" w:cs="宋体"/>
          <w:color w:val="auto"/>
          <w:sz w:val="24"/>
        </w:rPr>
        <w:t>为该项目</w:t>
      </w:r>
      <w:r>
        <w:rPr>
          <w:rFonts w:hint="eastAsia" w:ascii="宋体" w:hAnsi="宋体" w:cs="宋体"/>
          <w:sz w:val="24"/>
        </w:rPr>
        <w:t>中标或者成交供应商。现于中标或者成交通知书发出之日起10个工作日内，按照采购文件等确定的事项签订本合同。</w:t>
      </w:r>
    </w:p>
    <w:p>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560" w:lineRule="exact"/>
        <w:ind w:firstLine="482" w:firstLineChars="200"/>
        <w:outlineLvl w:val="0"/>
        <w:rPr>
          <w:rFonts w:ascii="宋体" w:hAnsi="宋体" w:cs="宋体"/>
          <w:b/>
          <w:sz w:val="24"/>
        </w:rPr>
      </w:pPr>
      <w:bookmarkStart w:id="403" w:name="_Toc3029"/>
      <w:bookmarkStart w:id="404" w:name="_Toc24059"/>
      <w:bookmarkStart w:id="405" w:name="_Toc2232"/>
      <w:r>
        <w:rPr>
          <w:rFonts w:hint="eastAsia" w:ascii="宋体" w:hAnsi="宋体" w:cs="宋体"/>
          <w:b/>
          <w:sz w:val="24"/>
        </w:rPr>
        <w:t>1.1 合同组成部分</w:t>
      </w:r>
      <w:bookmarkEnd w:id="403"/>
      <w:bookmarkEnd w:id="404"/>
      <w:bookmarkEnd w:id="405"/>
    </w:p>
    <w:p>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pPr>
        <w:spacing w:line="560" w:lineRule="exact"/>
        <w:ind w:firstLine="480" w:firstLineChars="200"/>
        <w:rPr>
          <w:rFonts w:ascii="宋体" w:hAnsi="宋体" w:cs="宋体"/>
          <w:sz w:val="24"/>
        </w:rPr>
      </w:pPr>
      <w:r>
        <w:rPr>
          <w:rFonts w:hint="eastAsia" w:ascii="宋体" w:hAnsi="宋体" w:cs="宋体"/>
          <w:sz w:val="24"/>
        </w:rPr>
        <w:t>1.1.2 中标或者成交通知书；</w:t>
      </w:r>
    </w:p>
    <w:p>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pPr>
        <w:spacing w:line="560" w:lineRule="exact"/>
        <w:ind w:firstLine="480" w:firstLineChars="200"/>
        <w:rPr>
          <w:rFonts w:ascii="宋体" w:hAnsi="宋体" w:cs="宋体"/>
          <w:sz w:val="24"/>
        </w:rPr>
      </w:pPr>
      <w:r>
        <w:rPr>
          <w:rFonts w:hint="eastAsia" w:ascii="宋体" w:hAnsi="宋体" w:cs="宋体"/>
          <w:sz w:val="24"/>
        </w:rPr>
        <w:t>1.1.5 其他相关采购文件。</w:t>
      </w:r>
    </w:p>
    <w:p>
      <w:pPr>
        <w:spacing w:line="560" w:lineRule="exact"/>
        <w:ind w:firstLine="482" w:firstLineChars="200"/>
        <w:outlineLvl w:val="0"/>
        <w:rPr>
          <w:rFonts w:ascii="宋体" w:hAnsi="宋体" w:cs="宋体"/>
          <w:b/>
          <w:sz w:val="24"/>
        </w:rPr>
      </w:pPr>
      <w:bookmarkStart w:id="406" w:name="_Toc27126"/>
      <w:bookmarkStart w:id="407" w:name="_Toc21295"/>
      <w:bookmarkStart w:id="408" w:name="_Toc24300"/>
      <w:r>
        <w:rPr>
          <w:rFonts w:hint="eastAsia" w:ascii="宋体" w:hAnsi="宋体" w:cs="宋体"/>
          <w:b/>
          <w:sz w:val="24"/>
        </w:rPr>
        <w:t>1.2 货物</w:t>
      </w:r>
      <w:bookmarkEnd w:id="406"/>
      <w:bookmarkEnd w:id="407"/>
      <w:bookmarkEnd w:id="408"/>
    </w:p>
    <w:p>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pPr>
        <w:spacing w:line="560" w:lineRule="exact"/>
        <w:ind w:firstLine="482" w:firstLineChars="200"/>
        <w:outlineLvl w:val="0"/>
        <w:rPr>
          <w:rFonts w:ascii="宋体" w:hAnsi="宋体" w:cs="宋体"/>
          <w:b/>
          <w:sz w:val="24"/>
        </w:rPr>
      </w:pPr>
      <w:bookmarkStart w:id="409" w:name="_Toc21551"/>
      <w:bookmarkStart w:id="410" w:name="_Toc21631"/>
      <w:bookmarkStart w:id="411" w:name="_Toc23292"/>
      <w:r>
        <w:rPr>
          <w:rFonts w:hint="eastAsia" w:ascii="宋体" w:hAnsi="宋体" w:cs="宋体"/>
          <w:b/>
          <w:sz w:val="24"/>
        </w:rPr>
        <w:t>1.3 价款</w:t>
      </w:r>
      <w:bookmarkEnd w:id="409"/>
      <w:bookmarkEnd w:id="410"/>
      <w:bookmarkEnd w:id="411"/>
    </w:p>
    <w:p>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bl>
    <w:p>
      <w:pPr>
        <w:pStyle w:val="957"/>
        <w:spacing w:before="0" w:beforeAutospacing="0" w:after="0" w:afterAutospacing="0" w:line="360" w:lineRule="auto"/>
        <w:ind w:firstLine="480"/>
        <w:rPr>
          <w:b/>
        </w:rPr>
      </w:pPr>
      <w:bookmarkStart w:id="412" w:name="_Toc10340"/>
      <w:bookmarkStart w:id="413" w:name="_Toc1814"/>
      <w:bookmarkStart w:id="414" w:name="_Toc22618"/>
      <w:r>
        <w:rPr>
          <w:rFonts w:hint="eastAsia"/>
          <w:b/>
        </w:rPr>
        <w:t>1.4履约保证金</w:t>
      </w:r>
    </w:p>
    <w:p>
      <w:pPr>
        <w:pStyle w:val="957"/>
        <w:spacing w:before="0" w:beforeAutospacing="0" w:after="0" w:afterAutospacing="0" w:line="360" w:lineRule="auto"/>
        <w:ind w:firstLine="480"/>
        <w:rPr>
          <w:highlight w:val="none"/>
        </w:rPr>
      </w:pPr>
      <w:r>
        <w:rPr>
          <w:rFonts w:hint="eastAsia"/>
          <w:highlight w:val="none"/>
        </w:rPr>
        <w:t>乙方</w:t>
      </w:r>
      <w:r>
        <w:rPr>
          <w:rFonts w:hint="eastAsia"/>
          <w:highlight w:val="none"/>
          <w:u w:val="single"/>
        </w:rPr>
        <w:t xml:space="preserve">  </w:t>
      </w:r>
      <w:r>
        <w:rPr>
          <w:rFonts w:hint="eastAsia"/>
          <w:highlight w:val="none"/>
        </w:rPr>
        <w:t>否</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否）需要支付履约保证金。若需要支付履约保证金的，则：</w:t>
      </w:r>
    </w:p>
    <w:p>
      <w:pPr>
        <w:spacing w:line="560" w:lineRule="exact"/>
        <w:ind w:firstLine="480" w:firstLineChars="200"/>
        <w:outlineLvl w:val="0"/>
        <w:rPr>
          <w:rFonts w:ascii="宋体" w:hAnsi="宋体" w:cs="宋体"/>
          <w:kern w:val="0"/>
          <w:sz w:val="24"/>
          <w:highlight w:val="none"/>
        </w:rPr>
      </w:pPr>
      <w:r>
        <w:rPr>
          <w:rFonts w:hint="eastAsia" w:ascii="宋体" w:hAnsi="宋体" w:cs="宋体"/>
          <w:kern w:val="0"/>
          <w:sz w:val="24"/>
          <w:highlight w:val="none"/>
        </w:rPr>
        <w:t>1.4.1履约保证金的比例为合同金额的</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val="en-US" w:eastAsia="zh-CN"/>
        </w:rPr>
        <w:t>/</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highlight w:val="none"/>
        </w:rPr>
        <w:t>1.4.2履约保证金支付方式详见</w:t>
      </w:r>
      <w:r>
        <w:rPr>
          <w:rFonts w:hint="eastAsia" w:ascii="宋体" w:hAnsi="宋体" w:cs="宋体"/>
          <w:kern w:val="0"/>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kern w:val="0"/>
          <w:sz w:val="24"/>
          <w:highlight w:val="none"/>
          <w:u w:val="single"/>
        </w:rPr>
        <w:t xml:space="preserve"> </w:t>
      </w:r>
      <w:r>
        <w:rPr>
          <w:rFonts w:hint="eastAsia" w:ascii="宋体" w:hAnsi="宋体" w:cs="宋体"/>
          <w:kern w:val="0"/>
          <w:sz w:val="24"/>
          <w:u w:val="single"/>
        </w:rPr>
        <w:t xml:space="preserve">          </w:t>
      </w:r>
      <w:r>
        <w:rPr>
          <w:rFonts w:hint="eastAsia" w:ascii="宋体" w:hAnsi="宋体" w:cs="宋体"/>
          <w:kern w:val="0"/>
          <w:sz w:val="24"/>
        </w:rPr>
        <w:t>；</w:t>
      </w:r>
    </w:p>
    <w:p>
      <w:pPr>
        <w:pStyle w:val="4"/>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2"/>
      <w:bookmarkEnd w:id="413"/>
      <w:bookmarkEnd w:id="414"/>
      <w:r>
        <w:rPr>
          <w:rFonts w:hint="eastAsia" w:ascii="宋体" w:hAnsi="宋体" w:cs="宋体"/>
          <w:b/>
          <w:sz w:val="24"/>
        </w:rPr>
        <w:t>预付款</w:t>
      </w:r>
    </w:p>
    <w:p>
      <w:pPr>
        <w:pStyle w:val="957"/>
        <w:spacing w:before="0" w:beforeAutospacing="0" w:after="0" w:afterAutospacing="0" w:line="360" w:lineRule="auto"/>
        <w:ind w:firstLine="480"/>
      </w:pPr>
      <w:r>
        <w:rPr>
          <w:rFonts w:hint="eastAsia"/>
        </w:rPr>
        <w:t>甲方</w:t>
      </w:r>
      <w:r>
        <w:rPr>
          <w:rFonts w:hint="eastAsia"/>
          <w:u w:val="single"/>
        </w:rPr>
        <w:t xml:space="preserve"> </w:t>
      </w:r>
      <w:r>
        <w:rPr>
          <w:rFonts w:hint="eastAsia"/>
          <w:u w:val="single"/>
          <w:lang w:eastAsia="zh-CN"/>
        </w:rPr>
        <w:t>是</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957"/>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7"/>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7"/>
        <w:spacing w:before="0" w:beforeAutospacing="0" w:after="0" w:afterAutospacing="0" w:line="360" w:lineRule="auto"/>
        <w:ind w:firstLine="480"/>
        <w:rPr>
          <w:b/>
          <w:bCs/>
        </w:rPr>
      </w:pPr>
      <w:r>
        <w:rPr>
          <w:rFonts w:hint="eastAsia"/>
          <w:b/>
          <w:bCs/>
        </w:rPr>
        <w:t>1.6资金支付</w:t>
      </w:r>
    </w:p>
    <w:p>
      <w:pPr>
        <w:pStyle w:val="957"/>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15" w:name="_Toc2846"/>
      <w:bookmarkStart w:id="416" w:name="_Toc32071"/>
      <w:bookmarkStart w:id="417" w:name="_Toc19304"/>
      <w:r>
        <w:rPr>
          <w:rFonts w:hint="eastAsia" w:ascii="宋体" w:hAnsi="宋体" w:cs="宋体"/>
          <w:b/>
          <w:sz w:val="24"/>
        </w:rPr>
        <w:t>1.7货物交付期限、地点和方式</w:t>
      </w:r>
      <w:bookmarkEnd w:id="415"/>
      <w:bookmarkEnd w:id="416"/>
      <w:bookmarkEnd w:id="417"/>
    </w:p>
    <w:p>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18" w:name="_Toc27250"/>
      <w:bookmarkStart w:id="419" w:name="_Toc19554"/>
      <w:bookmarkStart w:id="420" w:name="_Toc21423"/>
      <w:r>
        <w:rPr>
          <w:rFonts w:hint="eastAsia" w:ascii="宋体" w:hAnsi="宋体" w:cs="宋体"/>
          <w:b/>
          <w:sz w:val="24"/>
        </w:rPr>
        <w:t>1.8违约责任</w:t>
      </w:r>
      <w:bookmarkEnd w:id="418"/>
      <w:bookmarkEnd w:id="419"/>
      <w:bookmarkEnd w:id="420"/>
    </w:p>
    <w:p>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pPr>
        <w:spacing w:line="560" w:lineRule="exact"/>
        <w:ind w:firstLine="482" w:firstLineChars="200"/>
        <w:outlineLvl w:val="0"/>
        <w:rPr>
          <w:rFonts w:ascii="宋体" w:hAnsi="宋体" w:cs="宋体"/>
          <w:b/>
          <w:sz w:val="24"/>
        </w:rPr>
      </w:pPr>
      <w:bookmarkStart w:id="421" w:name="_Toc15583"/>
      <w:bookmarkStart w:id="422" w:name="_Toc28375"/>
      <w:bookmarkStart w:id="423" w:name="_Toc16021"/>
      <w:r>
        <w:rPr>
          <w:rFonts w:hint="eastAsia" w:ascii="宋体" w:hAnsi="宋体" w:cs="宋体"/>
          <w:b/>
          <w:sz w:val="24"/>
        </w:rPr>
        <w:t>1.9合同争议的解决</w:t>
      </w:r>
      <w:bookmarkEnd w:id="421"/>
      <w:bookmarkEnd w:id="422"/>
      <w:bookmarkEnd w:id="423"/>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24" w:name="_Toc7245"/>
      <w:bookmarkStart w:id="425" w:name="_Toc11173"/>
      <w:bookmarkStart w:id="426" w:name="_Toc15322"/>
      <w:r>
        <w:rPr>
          <w:rFonts w:hint="eastAsia" w:ascii="宋体" w:hAnsi="宋体" w:cs="宋体"/>
          <w:b/>
          <w:sz w:val="24"/>
        </w:rPr>
        <w:t>2.0 合同生效</w:t>
      </w:r>
      <w:bookmarkEnd w:id="424"/>
      <w:bookmarkEnd w:id="425"/>
      <w:bookmarkEnd w:id="426"/>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pPr>
        <w:pStyle w:val="4"/>
        <w:rPr>
          <w:rFonts w:ascii="宋体" w:hAnsi="宋体" w:cs="宋体"/>
          <w:sz w:val="24"/>
        </w:rPr>
      </w:pPr>
    </w:p>
    <w:p>
      <w:pPr>
        <w:rPr>
          <w:rFonts w:ascii="宋体" w:hAnsi="宋体" w:cs="宋体"/>
          <w:sz w:val="24"/>
        </w:rPr>
      </w:pPr>
    </w:p>
    <w:p>
      <w:pPr>
        <w:pStyle w:val="4"/>
        <w:rPr>
          <w:rFonts w:ascii="宋体" w:hAnsi="宋体" w:cs="宋体"/>
          <w:sz w:val="24"/>
        </w:rPr>
      </w:pPr>
    </w:p>
    <w:p>
      <w:pPr>
        <w:rPr>
          <w:rFonts w:ascii="宋体" w:hAnsi="宋体" w:cs="宋体"/>
          <w:sz w:val="24"/>
        </w:rPr>
      </w:pPr>
    </w:p>
    <w:p>
      <w:pPr>
        <w:pStyle w:val="4"/>
        <w:rPr>
          <w:rFonts w:ascii="宋体" w:hAnsi="宋体" w:cs="宋体"/>
          <w:sz w:val="24"/>
        </w:rPr>
      </w:pPr>
    </w:p>
    <w:p>
      <w:pPr>
        <w:rPr>
          <w:rFonts w:ascii="宋体" w:hAnsi="宋体" w:cs="宋体"/>
          <w:sz w:val="24"/>
        </w:rPr>
      </w:pPr>
    </w:p>
    <w:p>
      <w:pPr>
        <w:pStyle w:val="699"/>
        <w:spacing w:line="560" w:lineRule="exact"/>
        <w:ind w:firstLine="482"/>
        <w:jc w:val="center"/>
        <w:rPr>
          <w:rFonts w:ascii="宋体" w:hAnsi="宋体" w:cs="宋体"/>
          <w:b/>
          <w:szCs w:val="24"/>
        </w:rPr>
      </w:pPr>
      <w:r>
        <w:rPr>
          <w:rFonts w:hint="eastAsia" w:ascii="宋体" w:hAnsi="宋体" w:cs="宋体"/>
          <w:b/>
          <w:szCs w:val="24"/>
        </w:rPr>
        <w:t>第二部分 合同一般条款</w:t>
      </w:r>
    </w:p>
    <w:p>
      <w:pPr>
        <w:spacing w:line="560" w:lineRule="exact"/>
        <w:ind w:firstLine="482" w:firstLineChars="200"/>
        <w:outlineLvl w:val="0"/>
        <w:rPr>
          <w:rFonts w:ascii="宋体" w:hAnsi="宋体" w:cs="宋体"/>
          <w:b/>
          <w:sz w:val="24"/>
        </w:rPr>
      </w:pPr>
      <w:bookmarkStart w:id="427" w:name="_Ref467379214"/>
      <w:bookmarkStart w:id="428" w:name="_Toc279701240"/>
      <w:bookmarkStart w:id="429" w:name="_Ref467378404"/>
      <w:bookmarkStart w:id="430" w:name="_Toc28763"/>
      <w:bookmarkStart w:id="431" w:name="_Ref467379094"/>
      <w:bookmarkStart w:id="432" w:name="_Toc487900349"/>
      <w:bookmarkStart w:id="433" w:name="_Ref467379205"/>
      <w:bookmarkStart w:id="434" w:name="_Ref467379109"/>
      <w:bookmarkStart w:id="435" w:name="_Ref467379195"/>
      <w:bookmarkStart w:id="436" w:name="_Ref467378499"/>
      <w:bookmarkStart w:id="437" w:name="_Toc16917"/>
      <w:bookmarkStart w:id="438" w:name="_Ref467379101"/>
      <w:bookmarkStart w:id="439" w:name="_Toc259093669"/>
      <w:bookmarkStart w:id="440" w:name="_Ref467379225"/>
      <w:bookmarkStart w:id="441" w:name="_Toc19614"/>
      <w:bookmarkStart w:id="442" w:name="_Ref467378463"/>
      <w:r>
        <w:rPr>
          <w:rFonts w:hint="eastAsia" w:ascii="宋体" w:hAnsi="宋体" w:cs="宋体"/>
          <w:b/>
          <w:sz w:val="24"/>
        </w:rPr>
        <w:t>2.1 定义</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sz w:val="24"/>
        </w:rPr>
      </w:pPr>
      <w:bookmarkStart w:id="443" w:name="_Ref467378840"/>
      <w:r>
        <w:rPr>
          <w:rFonts w:hint="eastAsia" w:ascii="宋体" w:hAnsi="宋体" w:cs="宋体"/>
          <w:sz w:val="24"/>
        </w:rPr>
        <w:t>2.1.4 “甲方”系指与中标或成交供应商签署合同的采购人</w:t>
      </w:r>
      <w:bookmarkEnd w:id="443"/>
      <w:r>
        <w:rPr>
          <w:rFonts w:hint="eastAsia" w:ascii="宋体" w:hAnsi="宋体" w:cs="宋体"/>
          <w:sz w:val="24"/>
        </w:rPr>
        <w:t>；采购人委托采购代理机构代表其与乙方签订合同的，采购人的授权委托书作为合同附件。</w:t>
      </w:r>
    </w:p>
    <w:p>
      <w:pPr>
        <w:spacing w:line="560" w:lineRule="exact"/>
        <w:ind w:firstLine="480" w:firstLineChars="200"/>
        <w:rPr>
          <w:rFonts w:ascii="宋体" w:hAnsi="宋体" w:cs="宋体"/>
          <w:sz w:val="24"/>
        </w:rPr>
      </w:pPr>
      <w:bookmarkStart w:id="444" w:name="_Ref467379400"/>
      <w:r>
        <w:rPr>
          <w:rFonts w:hint="eastAsia" w:ascii="宋体" w:hAnsi="宋体" w:cs="宋体"/>
          <w:sz w:val="24"/>
        </w:rPr>
        <w:t>2.1.5 “乙方”系指根据合同约定交付货物的中标或成交供应商</w:t>
      </w:r>
      <w:bookmarkEnd w:id="444"/>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sz w:val="24"/>
        </w:rPr>
      </w:pPr>
      <w:bookmarkStart w:id="445" w:name="_Ref467379436"/>
      <w:r>
        <w:rPr>
          <w:rFonts w:hint="eastAsia" w:ascii="宋体" w:hAnsi="宋体" w:cs="宋体"/>
          <w:sz w:val="24"/>
        </w:rPr>
        <w:t>2.1.6 “现场”系指合同约定货物将要运至或者安装的地点。</w:t>
      </w:r>
      <w:bookmarkEnd w:id="445"/>
    </w:p>
    <w:p>
      <w:pPr>
        <w:spacing w:line="560" w:lineRule="exact"/>
        <w:ind w:firstLine="482" w:firstLineChars="200"/>
        <w:outlineLvl w:val="0"/>
        <w:rPr>
          <w:rFonts w:ascii="宋体" w:hAnsi="宋体" w:cs="宋体"/>
          <w:b/>
          <w:sz w:val="24"/>
        </w:rPr>
      </w:pPr>
      <w:bookmarkStart w:id="446" w:name="_Toc279701241"/>
      <w:bookmarkStart w:id="447" w:name="_Toc27635"/>
      <w:bookmarkStart w:id="448" w:name="_Toc13336"/>
      <w:bookmarkStart w:id="449" w:name="_Toc487900350"/>
      <w:bookmarkStart w:id="450" w:name="_Toc32504"/>
      <w:bookmarkStart w:id="451" w:name="_Toc259093670"/>
      <w:r>
        <w:rPr>
          <w:rFonts w:hint="eastAsia" w:ascii="宋体" w:hAnsi="宋体" w:cs="宋体"/>
          <w:b/>
          <w:sz w:val="24"/>
        </w:rPr>
        <w:t>2.2 技术规范</w:t>
      </w:r>
      <w:bookmarkEnd w:id="446"/>
      <w:bookmarkEnd w:id="447"/>
      <w:bookmarkEnd w:id="448"/>
      <w:bookmarkEnd w:id="449"/>
      <w:bookmarkEnd w:id="450"/>
      <w:bookmarkEnd w:id="451"/>
    </w:p>
    <w:p>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sz w:val="24"/>
        </w:rPr>
      </w:pPr>
      <w:bookmarkStart w:id="452" w:name="_Toc9829"/>
      <w:bookmarkStart w:id="453" w:name="_Toc27853"/>
      <w:bookmarkStart w:id="454" w:name="_Toc31634"/>
      <w:bookmarkStart w:id="455" w:name="_Toc279701242"/>
      <w:bookmarkStart w:id="456" w:name="_Toc487900351"/>
      <w:bookmarkStart w:id="457" w:name="_Toc259093671"/>
      <w:r>
        <w:rPr>
          <w:rFonts w:hint="eastAsia" w:ascii="宋体" w:hAnsi="宋体" w:cs="宋体"/>
          <w:b/>
          <w:sz w:val="24"/>
        </w:rPr>
        <w:t>2.3 知识产权</w:t>
      </w:r>
      <w:bookmarkEnd w:id="452"/>
      <w:bookmarkEnd w:id="453"/>
      <w:bookmarkEnd w:id="454"/>
      <w:bookmarkEnd w:id="455"/>
      <w:bookmarkEnd w:id="456"/>
      <w:bookmarkEnd w:id="457"/>
    </w:p>
    <w:p>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58" w:name="_Toc29149"/>
      <w:bookmarkStart w:id="459" w:name="_Toc11932"/>
      <w:bookmarkStart w:id="460" w:name="_Toc4194"/>
      <w:r>
        <w:rPr>
          <w:rFonts w:hint="eastAsia" w:ascii="宋体" w:hAnsi="宋体" w:cs="宋体"/>
          <w:b/>
          <w:sz w:val="24"/>
        </w:rPr>
        <w:t>2.4 包装和装运</w:t>
      </w:r>
      <w:bookmarkEnd w:id="458"/>
      <w:bookmarkEnd w:id="459"/>
      <w:bookmarkEnd w:id="460"/>
    </w:p>
    <w:p>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61" w:name="_Toc259093674"/>
      <w:bookmarkStart w:id="462" w:name="_Toc487900354"/>
      <w:bookmarkStart w:id="463" w:name="_Toc279701245"/>
      <w:bookmarkStart w:id="464" w:name="_Ref467378591"/>
      <w:bookmarkStart w:id="465" w:name="_Ref467379527"/>
      <w:bookmarkStart w:id="466" w:name="_Ref467378541"/>
      <w:bookmarkStart w:id="467" w:name="_Ref467379542"/>
      <w:bookmarkStart w:id="468" w:name="_Ref467379536"/>
      <w:bookmarkStart w:id="469" w:name="_Toc19074"/>
      <w:bookmarkStart w:id="470" w:name="_Toc30272"/>
      <w:bookmarkStart w:id="471" w:name="_Toc26182"/>
      <w:r>
        <w:rPr>
          <w:rFonts w:hint="eastAsia" w:ascii="宋体" w:hAnsi="宋体" w:cs="宋体"/>
          <w:b/>
          <w:sz w:val="24"/>
        </w:rPr>
        <w:t>2.</w:t>
      </w:r>
      <w:bookmarkEnd w:id="461"/>
      <w:bookmarkEnd w:id="462"/>
      <w:bookmarkEnd w:id="463"/>
      <w:bookmarkEnd w:id="464"/>
      <w:bookmarkEnd w:id="465"/>
      <w:bookmarkEnd w:id="466"/>
      <w:bookmarkEnd w:id="467"/>
      <w:bookmarkEnd w:id="468"/>
      <w:r>
        <w:rPr>
          <w:rFonts w:hint="eastAsia" w:ascii="宋体" w:hAnsi="宋体" w:cs="宋体"/>
          <w:b/>
          <w:sz w:val="24"/>
        </w:rPr>
        <w:t>5 履约检查和问题反馈</w:t>
      </w:r>
      <w:bookmarkEnd w:id="469"/>
      <w:bookmarkEnd w:id="470"/>
      <w:bookmarkEnd w:id="471"/>
    </w:p>
    <w:p>
      <w:pPr>
        <w:spacing w:line="560" w:lineRule="exact"/>
        <w:ind w:firstLine="480" w:firstLineChars="200"/>
        <w:rPr>
          <w:rFonts w:ascii="宋体" w:hAnsi="宋体" w:cs="宋体"/>
          <w:sz w:val="24"/>
        </w:rPr>
      </w:pPr>
      <w:bookmarkStart w:id="472" w:name="_Ref467379657"/>
      <w:r>
        <w:rPr>
          <w:rFonts w:hint="eastAsia" w:ascii="宋体" w:hAnsi="宋体" w:cs="宋体"/>
          <w:sz w:val="24"/>
        </w:rPr>
        <w:t>2.5.1</w:t>
      </w:r>
      <w:bookmarkEnd w:id="472"/>
      <w:bookmarkStart w:id="473" w:name="_Toc186431854"/>
      <w:bookmarkStart w:id="474" w:name="_Ref467379793"/>
      <w:bookmarkStart w:id="475" w:name="_Toc279701247"/>
      <w:bookmarkStart w:id="476" w:name="_Toc259093676"/>
      <w:bookmarkStart w:id="477" w:name="_Toc487900357"/>
      <w:bookmarkStart w:id="478" w:name="_Ref46737980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73"/>
      <w:bookmarkStart w:id="479" w:name="_Toc186431855"/>
      <w:r>
        <w:rPr>
          <w:rFonts w:hint="eastAsia" w:ascii="宋体" w:hAnsi="宋体" w:cs="宋体"/>
          <w:sz w:val="24"/>
        </w:rPr>
        <w:t>。</w:t>
      </w:r>
    </w:p>
    <w:bookmarkEnd w:id="474"/>
    <w:bookmarkEnd w:id="475"/>
    <w:bookmarkEnd w:id="476"/>
    <w:bookmarkEnd w:id="477"/>
    <w:bookmarkEnd w:id="478"/>
    <w:bookmarkEnd w:id="479"/>
    <w:p>
      <w:pPr>
        <w:spacing w:line="560" w:lineRule="exact"/>
        <w:ind w:firstLine="482" w:firstLineChars="200"/>
        <w:outlineLvl w:val="0"/>
        <w:rPr>
          <w:rFonts w:ascii="宋体" w:hAnsi="宋体" w:cs="宋体"/>
          <w:b/>
          <w:sz w:val="24"/>
        </w:rPr>
      </w:pPr>
      <w:bookmarkStart w:id="480" w:name="_Toc279701248"/>
      <w:bookmarkStart w:id="481" w:name="_Ref467379863"/>
      <w:bookmarkStart w:id="482" w:name="_Toc259093677"/>
      <w:bookmarkStart w:id="483" w:name="_Ref467379852"/>
      <w:bookmarkStart w:id="484" w:name="_Ref467379923"/>
      <w:bookmarkStart w:id="485" w:name="_Toc487900358"/>
      <w:bookmarkStart w:id="486" w:name="_Toc16110"/>
      <w:bookmarkStart w:id="487" w:name="_Toc774"/>
      <w:bookmarkStart w:id="488" w:name="_Toc3225"/>
      <w:r>
        <w:rPr>
          <w:rFonts w:hint="eastAsia" w:ascii="宋体" w:hAnsi="宋体" w:cs="宋体"/>
          <w:b/>
          <w:sz w:val="24"/>
        </w:rPr>
        <w:t>2.6 技术资料</w:t>
      </w:r>
      <w:bookmarkEnd w:id="480"/>
      <w:bookmarkEnd w:id="481"/>
      <w:bookmarkEnd w:id="482"/>
      <w:bookmarkEnd w:id="483"/>
      <w:bookmarkEnd w:id="484"/>
      <w:bookmarkEnd w:id="485"/>
      <w:r>
        <w:rPr>
          <w:rFonts w:hint="eastAsia" w:ascii="宋体" w:hAnsi="宋体" w:cs="宋体"/>
          <w:b/>
          <w:sz w:val="24"/>
        </w:rPr>
        <w:t>和保密义务</w:t>
      </w:r>
      <w:bookmarkEnd w:id="486"/>
      <w:bookmarkEnd w:id="487"/>
      <w:bookmarkEnd w:id="488"/>
    </w:p>
    <w:p>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sz w:val="24"/>
        </w:rPr>
      </w:pPr>
      <w:bookmarkStart w:id="489" w:name="_Toc7860"/>
      <w:r>
        <w:rPr>
          <w:rFonts w:hint="eastAsia" w:ascii="宋体" w:hAnsi="宋体" w:cs="宋体"/>
          <w:b/>
          <w:sz w:val="24"/>
        </w:rPr>
        <w:t>2.7 质量保证</w:t>
      </w:r>
      <w:bookmarkEnd w:id="489"/>
    </w:p>
    <w:p>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sz w:val="24"/>
        </w:rPr>
      </w:pPr>
      <w:bookmarkStart w:id="490" w:name="_Toc17244"/>
      <w:bookmarkStart w:id="491" w:name="_Toc259093681"/>
      <w:bookmarkStart w:id="492" w:name="_Toc487900362"/>
      <w:bookmarkStart w:id="493" w:name="_Toc279701252"/>
      <w:r>
        <w:rPr>
          <w:rFonts w:hint="eastAsia" w:ascii="宋体" w:hAnsi="宋体" w:cs="宋体"/>
          <w:b/>
          <w:sz w:val="24"/>
        </w:rPr>
        <w:t>2.8 货物的风险负担</w:t>
      </w:r>
      <w:bookmarkEnd w:id="490"/>
    </w:p>
    <w:p>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94" w:name="_Toc14055"/>
      <w:r>
        <w:rPr>
          <w:rFonts w:hint="eastAsia" w:ascii="宋体" w:hAnsi="宋体" w:cs="宋体"/>
          <w:b/>
          <w:sz w:val="24"/>
        </w:rPr>
        <w:t>2.9 延迟交货</w:t>
      </w:r>
      <w:bookmarkEnd w:id="491"/>
      <w:bookmarkEnd w:id="492"/>
      <w:bookmarkEnd w:id="493"/>
      <w:bookmarkEnd w:id="494"/>
    </w:p>
    <w:p>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sz w:val="24"/>
        </w:rPr>
      </w:pPr>
      <w:bookmarkStart w:id="495" w:name="_Toc7502"/>
      <w:bookmarkStart w:id="496" w:name="_Ref467378121"/>
      <w:bookmarkStart w:id="497" w:name="_Toc279701254"/>
      <w:bookmarkStart w:id="498" w:name="_Toc487900364"/>
      <w:bookmarkStart w:id="499" w:name="_Toc259093683"/>
      <w:r>
        <w:rPr>
          <w:rFonts w:hint="eastAsia" w:ascii="宋体" w:hAnsi="宋体" w:cs="宋体"/>
          <w:b/>
          <w:sz w:val="24"/>
        </w:rPr>
        <w:t>2.10 合同变更</w:t>
      </w:r>
      <w:bookmarkEnd w:id="495"/>
    </w:p>
    <w:p>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500" w:name="_Toc259093688"/>
      <w:bookmarkStart w:id="501" w:name="_Toc487900369"/>
      <w:bookmarkStart w:id="502" w:name="_Toc279701259"/>
    </w:p>
    <w:p>
      <w:pPr>
        <w:spacing w:line="560" w:lineRule="exact"/>
        <w:ind w:firstLine="482" w:firstLineChars="200"/>
        <w:outlineLvl w:val="0"/>
        <w:rPr>
          <w:rFonts w:ascii="宋体" w:hAnsi="宋体" w:cs="宋体"/>
          <w:b/>
          <w:sz w:val="24"/>
        </w:rPr>
      </w:pPr>
      <w:bookmarkStart w:id="503" w:name="_Toc15237"/>
      <w:bookmarkStart w:id="504" w:name="_Toc10366"/>
      <w:bookmarkStart w:id="505" w:name="_Toc22955"/>
      <w:r>
        <w:rPr>
          <w:rFonts w:hint="eastAsia" w:ascii="宋体" w:hAnsi="宋体" w:cs="宋体"/>
          <w:b/>
          <w:sz w:val="24"/>
        </w:rPr>
        <w:t>2.11 合同转让</w:t>
      </w:r>
      <w:bookmarkEnd w:id="500"/>
      <w:bookmarkEnd w:id="501"/>
      <w:bookmarkEnd w:id="502"/>
      <w:r>
        <w:rPr>
          <w:rFonts w:hint="eastAsia" w:ascii="宋体" w:hAnsi="宋体" w:cs="宋体"/>
          <w:b/>
          <w:sz w:val="24"/>
        </w:rPr>
        <w:t>和分包</w:t>
      </w:r>
      <w:bookmarkEnd w:id="503"/>
      <w:bookmarkEnd w:id="504"/>
      <w:bookmarkEnd w:id="505"/>
    </w:p>
    <w:p>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pPr>
        <w:spacing w:line="560" w:lineRule="exact"/>
        <w:ind w:firstLine="482" w:firstLineChars="200"/>
        <w:outlineLvl w:val="0"/>
        <w:rPr>
          <w:rFonts w:ascii="宋体" w:hAnsi="宋体" w:cs="宋体"/>
          <w:b/>
          <w:sz w:val="24"/>
        </w:rPr>
      </w:pPr>
      <w:bookmarkStart w:id="506" w:name="_Toc16508"/>
      <w:bookmarkStart w:id="507" w:name="_Toc13566"/>
      <w:bookmarkStart w:id="508" w:name="_Toc14066"/>
      <w:r>
        <w:rPr>
          <w:rFonts w:hint="eastAsia" w:ascii="宋体" w:hAnsi="宋体" w:cs="宋体"/>
          <w:b/>
          <w:sz w:val="24"/>
        </w:rPr>
        <w:t>2.12 不可抗力</w:t>
      </w:r>
      <w:bookmarkEnd w:id="506"/>
      <w:bookmarkEnd w:id="507"/>
      <w:bookmarkEnd w:id="508"/>
    </w:p>
    <w:p>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pPr>
        <w:spacing w:line="560" w:lineRule="exact"/>
        <w:ind w:firstLine="482" w:firstLineChars="200"/>
        <w:outlineLvl w:val="0"/>
        <w:rPr>
          <w:rFonts w:ascii="宋体" w:hAnsi="宋体" w:cs="宋体"/>
          <w:b/>
          <w:sz w:val="24"/>
        </w:rPr>
      </w:pPr>
      <w:bookmarkStart w:id="509" w:name="_Toc259093684"/>
      <w:bookmarkStart w:id="510" w:name="_Toc689"/>
      <w:bookmarkStart w:id="511" w:name="_Toc487900365"/>
      <w:bookmarkStart w:id="512" w:name="_Toc6969"/>
      <w:bookmarkStart w:id="513" w:name="_Toc30676"/>
      <w:bookmarkStart w:id="514" w:name="_Toc279701255"/>
      <w:r>
        <w:rPr>
          <w:rFonts w:hint="eastAsia" w:ascii="宋体" w:hAnsi="宋体" w:cs="宋体"/>
          <w:b/>
          <w:sz w:val="24"/>
        </w:rPr>
        <w:t>2.13 税费</w:t>
      </w:r>
      <w:bookmarkEnd w:id="509"/>
      <w:bookmarkEnd w:id="510"/>
      <w:bookmarkEnd w:id="511"/>
      <w:bookmarkEnd w:id="512"/>
      <w:bookmarkEnd w:id="513"/>
      <w:bookmarkEnd w:id="514"/>
    </w:p>
    <w:p>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560" w:lineRule="exact"/>
        <w:ind w:firstLine="482" w:firstLineChars="200"/>
        <w:outlineLvl w:val="0"/>
        <w:rPr>
          <w:rFonts w:ascii="宋体" w:hAnsi="宋体" w:cs="宋体"/>
          <w:b/>
          <w:sz w:val="24"/>
        </w:rPr>
      </w:pPr>
      <w:bookmarkStart w:id="515" w:name="_Toc7102"/>
      <w:bookmarkStart w:id="516" w:name="_Toc279701258"/>
      <w:bookmarkStart w:id="517" w:name="_Toc16959"/>
      <w:bookmarkStart w:id="518" w:name="_Toc487900368"/>
      <w:bookmarkStart w:id="519" w:name="_Toc259093687"/>
      <w:bookmarkStart w:id="520" w:name="_Toc8298"/>
      <w:r>
        <w:rPr>
          <w:rFonts w:hint="eastAsia" w:ascii="宋体" w:hAnsi="宋体" w:cs="宋体"/>
          <w:b/>
          <w:sz w:val="24"/>
        </w:rPr>
        <w:t>2.14乙方破产</w:t>
      </w:r>
      <w:bookmarkEnd w:id="515"/>
      <w:bookmarkEnd w:id="516"/>
      <w:bookmarkEnd w:id="517"/>
      <w:bookmarkEnd w:id="518"/>
      <w:bookmarkEnd w:id="519"/>
      <w:bookmarkEnd w:id="520"/>
    </w:p>
    <w:p>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sz w:val="24"/>
        </w:rPr>
      </w:pPr>
      <w:bookmarkStart w:id="521" w:name="_Toc6134"/>
      <w:bookmarkStart w:id="522" w:name="_Toc29333"/>
      <w:bookmarkStart w:id="523" w:name="_Toc15387"/>
      <w:r>
        <w:rPr>
          <w:rFonts w:hint="eastAsia" w:ascii="宋体" w:hAnsi="宋体" w:cs="宋体"/>
          <w:b/>
          <w:sz w:val="24"/>
        </w:rPr>
        <w:t>2.15 合同中止、终止</w:t>
      </w:r>
      <w:bookmarkEnd w:id="521"/>
      <w:bookmarkEnd w:id="522"/>
      <w:bookmarkEnd w:id="523"/>
    </w:p>
    <w:p>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sz w:val="24"/>
        </w:rPr>
      </w:pPr>
      <w:bookmarkStart w:id="524" w:name="_Toc1125"/>
      <w:bookmarkStart w:id="525" w:name="_Toc6596"/>
      <w:bookmarkStart w:id="526" w:name="_Toc14563"/>
      <w:r>
        <w:rPr>
          <w:rFonts w:hint="eastAsia" w:ascii="宋体" w:hAnsi="宋体" w:cs="宋体"/>
          <w:b/>
          <w:sz w:val="24"/>
        </w:rPr>
        <w:t>2.16检验和验收</w:t>
      </w:r>
      <w:bookmarkEnd w:id="524"/>
      <w:bookmarkEnd w:id="525"/>
      <w:bookmarkEnd w:id="526"/>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6"/>
    <w:bookmarkEnd w:id="497"/>
    <w:bookmarkEnd w:id="498"/>
    <w:bookmarkEnd w:id="499"/>
    <w:p>
      <w:pPr>
        <w:spacing w:line="560" w:lineRule="exact"/>
        <w:ind w:firstLine="482" w:firstLineChars="200"/>
        <w:outlineLvl w:val="0"/>
        <w:rPr>
          <w:rFonts w:ascii="宋体" w:hAnsi="宋体" w:cs="宋体"/>
          <w:b/>
          <w:sz w:val="24"/>
        </w:rPr>
      </w:pPr>
      <w:bookmarkStart w:id="527" w:name="_Toc487900371"/>
      <w:bookmarkStart w:id="528" w:name="_Toc279701261"/>
      <w:bookmarkStart w:id="529" w:name="_Toc259093690"/>
      <w:bookmarkStart w:id="530" w:name="_Toc11284"/>
      <w:bookmarkStart w:id="531" w:name="_Toc25182"/>
      <w:bookmarkStart w:id="532" w:name="_Toc19604"/>
      <w:r>
        <w:rPr>
          <w:rFonts w:hint="eastAsia" w:ascii="宋体" w:hAnsi="宋体" w:cs="宋体"/>
          <w:b/>
          <w:sz w:val="24"/>
        </w:rPr>
        <w:t>2.17 通知</w:t>
      </w:r>
      <w:bookmarkEnd w:id="527"/>
      <w:bookmarkEnd w:id="528"/>
      <w:bookmarkEnd w:id="529"/>
      <w:r>
        <w:rPr>
          <w:rFonts w:hint="eastAsia" w:ascii="宋体" w:hAnsi="宋体" w:cs="宋体"/>
          <w:b/>
          <w:sz w:val="24"/>
        </w:rPr>
        <w:t>和送达</w:t>
      </w:r>
      <w:bookmarkEnd w:id="530"/>
      <w:bookmarkEnd w:id="531"/>
      <w:bookmarkEnd w:id="532"/>
    </w:p>
    <w:p>
      <w:pPr>
        <w:spacing w:line="560" w:lineRule="exact"/>
        <w:ind w:firstLine="480" w:firstLineChars="200"/>
        <w:rPr>
          <w:rFonts w:ascii="宋体" w:hAnsi="宋体" w:cs="宋体"/>
          <w:sz w:val="24"/>
        </w:rPr>
      </w:pPr>
      <w:bookmarkStart w:id="533" w:name="_Toc6698"/>
      <w:bookmarkStart w:id="534" w:name="_Toc3135"/>
      <w:bookmarkStart w:id="535" w:name="_Toc487900372"/>
      <w:bookmarkStart w:id="536" w:name="_Toc279701262"/>
      <w:bookmarkStart w:id="537" w:name="_Toc259093691"/>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33"/>
      <w:bookmarkEnd w:id="534"/>
    </w:p>
    <w:p>
      <w:pPr>
        <w:spacing w:line="560" w:lineRule="exact"/>
        <w:ind w:firstLine="480" w:firstLineChars="200"/>
        <w:rPr>
          <w:rFonts w:ascii="宋体" w:hAnsi="宋体" w:cs="宋体"/>
          <w:sz w:val="24"/>
        </w:rPr>
      </w:pPr>
      <w:bookmarkStart w:id="538" w:name="_Toc23128"/>
      <w:bookmarkStart w:id="539" w:name="_Toc23294"/>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8"/>
      <w:bookmarkEnd w:id="539"/>
    </w:p>
    <w:p>
      <w:pPr>
        <w:spacing w:line="560" w:lineRule="exact"/>
        <w:ind w:firstLine="482" w:firstLineChars="200"/>
        <w:outlineLvl w:val="0"/>
        <w:rPr>
          <w:rFonts w:ascii="宋体" w:hAnsi="宋体" w:cs="宋体"/>
          <w:b/>
          <w:sz w:val="24"/>
        </w:rPr>
      </w:pPr>
      <w:bookmarkStart w:id="540" w:name="_Toc4355"/>
      <w:bookmarkStart w:id="541" w:name="_Toc18540"/>
      <w:bookmarkStart w:id="542" w:name="_Toc30599"/>
      <w:r>
        <w:rPr>
          <w:rFonts w:hint="eastAsia" w:ascii="宋体" w:hAnsi="宋体" w:cs="宋体"/>
          <w:b/>
          <w:sz w:val="24"/>
        </w:rPr>
        <w:t>2.18 计量单位</w:t>
      </w:r>
      <w:bookmarkEnd w:id="535"/>
      <w:bookmarkEnd w:id="536"/>
      <w:bookmarkEnd w:id="537"/>
      <w:bookmarkEnd w:id="540"/>
      <w:bookmarkEnd w:id="541"/>
      <w:bookmarkEnd w:id="542"/>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outlineLvl w:val="0"/>
        <w:rPr>
          <w:rFonts w:ascii="宋体" w:hAnsi="宋体" w:cs="宋体"/>
          <w:b/>
          <w:sz w:val="24"/>
        </w:rPr>
      </w:pPr>
      <w:bookmarkStart w:id="543" w:name="_Toc18567"/>
      <w:bookmarkStart w:id="544" w:name="_Toc259093692"/>
      <w:bookmarkStart w:id="545" w:name="_Toc10330"/>
      <w:bookmarkStart w:id="546" w:name="_Toc12773"/>
      <w:bookmarkStart w:id="547" w:name="_Toc487900373"/>
      <w:bookmarkStart w:id="548" w:name="_Toc279701263"/>
      <w:r>
        <w:rPr>
          <w:rFonts w:hint="eastAsia" w:ascii="宋体" w:hAnsi="宋体" w:cs="宋体"/>
          <w:b/>
          <w:sz w:val="24"/>
        </w:rPr>
        <w:t>2.19 合同使用的文字和适用的法律</w:t>
      </w:r>
      <w:bookmarkEnd w:id="543"/>
      <w:bookmarkEnd w:id="544"/>
      <w:bookmarkEnd w:id="545"/>
      <w:bookmarkEnd w:id="546"/>
      <w:bookmarkEnd w:id="547"/>
      <w:bookmarkEnd w:id="548"/>
    </w:p>
    <w:p>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pPr>
        <w:spacing w:line="560" w:lineRule="exact"/>
        <w:ind w:firstLine="482" w:firstLineChars="200"/>
        <w:outlineLvl w:val="0"/>
        <w:rPr>
          <w:rFonts w:ascii="宋体" w:hAnsi="宋体" w:cs="宋体"/>
          <w:b/>
          <w:sz w:val="24"/>
        </w:rPr>
      </w:pPr>
      <w:bookmarkStart w:id="549" w:name="_Toc14001"/>
      <w:bookmarkStart w:id="550" w:name="_Toc19890"/>
      <w:bookmarkStart w:id="551" w:name="_Toc6885"/>
      <w:r>
        <w:rPr>
          <w:rFonts w:hint="eastAsia" w:ascii="宋体" w:hAnsi="宋体" w:cs="宋体"/>
          <w:b/>
          <w:sz w:val="24"/>
        </w:rPr>
        <w:t>2.20 合同份数</w:t>
      </w:r>
      <w:bookmarkEnd w:id="549"/>
      <w:bookmarkEnd w:id="550"/>
      <w:bookmarkEnd w:id="551"/>
    </w:p>
    <w:p>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456"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26"/>
        <w:gridCol w:w="90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465"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534"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4534" w:type="pct"/>
            <w:vAlign w:val="center"/>
          </w:tcPr>
          <w:p>
            <w:pPr>
              <w:spacing w:line="360" w:lineRule="auto"/>
              <w:rPr>
                <w:rFonts w:ascii="宋体" w:hAnsi="宋体" w:cs="宋体"/>
                <w:sz w:val="24"/>
              </w:rPr>
            </w:pPr>
            <w:r>
              <w:rPr>
                <w:rFonts w:hint="eastAsia" w:ascii="宋体" w:hAnsi="宋体" w:cs="宋体"/>
                <w:sz w:val="24"/>
              </w:rPr>
              <w:t>合同签订后7个工作日内以支票、汇票、本票或者金融机构、担保机构出具的保函等非现金形式，提交履约保证金；鼓励和支持乙方以银行、保险公司出具的保函形式提供履约保证，乙方以银行、保险公司出具保函形式提交履约保证金的，甲方不得拒收</w:t>
            </w:r>
            <w:r>
              <w:rPr>
                <w:rFonts w:hint="eastAsia" w:ascii="宋体" w:hAnsi="宋体" w:cs="宋体"/>
                <w:sz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1.5.1</w:t>
            </w:r>
          </w:p>
        </w:tc>
        <w:tc>
          <w:tcPr>
            <w:tcW w:w="4534" w:type="pct"/>
            <w:vAlign w:val="center"/>
          </w:tcPr>
          <w:p>
            <w:pPr>
              <w:spacing w:line="360" w:lineRule="auto"/>
              <w:rPr>
                <w:rFonts w:hint="eastAsia" w:ascii="宋体" w:hAnsi="宋体" w:cs="宋体"/>
                <w:color w:val="000000"/>
                <w:sz w:val="24"/>
              </w:rPr>
            </w:pPr>
            <w:r>
              <w:rPr>
                <w:rFonts w:hint="eastAsia" w:ascii="宋体" w:hAnsi="宋体" w:cs="宋体"/>
                <w:color w:val="000000"/>
                <w:sz w:val="24"/>
              </w:rPr>
              <w:t>1、合同生效以及具备实施条件后 7个工作日内，甲方支付合同总价40%的预付款；</w:t>
            </w:r>
          </w:p>
          <w:p>
            <w:pPr>
              <w:spacing w:line="360" w:lineRule="auto"/>
              <w:rPr>
                <w:rFonts w:ascii="宋体" w:hAnsi="宋体" w:eastAsia="宋体" w:cs="宋体"/>
                <w:kern w:val="2"/>
                <w:sz w:val="24"/>
                <w:szCs w:val="24"/>
                <w:lang w:val="en-US" w:eastAsia="zh-CN" w:bidi="ar-SA"/>
              </w:rPr>
            </w:pPr>
            <w:r>
              <w:rPr>
                <w:rFonts w:hint="eastAsia" w:ascii="宋体" w:hAnsi="宋体" w:cs="宋体"/>
                <w:color w:val="000000"/>
                <w:sz w:val="24"/>
              </w:rPr>
              <w:t>2、设备安装调试完毕，且甲方验收合格后的一个月内支付合同总价60%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1.5.2 </w:t>
            </w:r>
          </w:p>
        </w:tc>
        <w:tc>
          <w:tcPr>
            <w:tcW w:w="4534" w:type="pct"/>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1.5.3</w:t>
            </w:r>
          </w:p>
        </w:tc>
        <w:tc>
          <w:tcPr>
            <w:tcW w:w="4534" w:type="pct"/>
            <w:vAlign w:val="center"/>
          </w:tcPr>
          <w:p>
            <w:pPr>
              <w:spacing w:line="360" w:lineRule="auto"/>
              <w:rPr>
                <w:rFonts w:hint="default" w:ascii="宋体" w:hAnsi="宋体" w:eastAsia="宋体" w:cs="宋体"/>
                <w:kern w:val="2"/>
                <w:sz w:val="24"/>
                <w:szCs w:val="24"/>
                <w:lang w:val="en-US" w:eastAsia="zh-CN" w:bidi="ar-SA"/>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4534" w:type="pct"/>
            <w:vAlign w:val="center"/>
          </w:tcPr>
          <w:p>
            <w:pPr>
              <w:spacing w:line="360" w:lineRule="auto"/>
              <w:rPr>
                <w:rFonts w:hint="eastAsia" w:ascii="宋体" w:hAnsi="宋体" w:cs="宋体"/>
                <w:color w:val="000000"/>
                <w:sz w:val="24"/>
              </w:rPr>
            </w:pPr>
            <w:r>
              <w:rPr>
                <w:rFonts w:hint="eastAsia" w:ascii="宋体" w:hAnsi="宋体" w:cs="宋体"/>
                <w:color w:val="000000"/>
                <w:sz w:val="24"/>
              </w:rPr>
              <w:t>1、合同生效以及具备实施条件后 7个工作日内，甲方支付合同总价40%的预付款；</w:t>
            </w:r>
          </w:p>
          <w:p>
            <w:pPr>
              <w:spacing w:line="360" w:lineRule="auto"/>
              <w:rPr>
                <w:rFonts w:ascii="宋体" w:hAnsi="宋体" w:cs="宋体"/>
                <w:sz w:val="24"/>
              </w:rPr>
            </w:pPr>
            <w:r>
              <w:rPr>
                <w:rFonts w:hint="eastAsia" w:ascii="宋体" w:hAnsi="宋体" w:cs="宋体"/>
                <w:color w:val="000000"/>
                <w:sz w:val="24"/>
              </w:rPr>
              <w:t>2、设备安装调试完毕，且甲方验收合格后的一个月内支付合同总价60%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534" w:type="pct"/>
            <w:vAlign w:val="center"/>
          </w:tcPr>
          <w:p>
            <w:pPr>
              <w:spacing w:line="360" w:lineRule="auto"/>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合同签订后60日历天完成设备采购并安装调试运行完成。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534" w:type="pct"/>
            <w:vAlign w:val="center"/>
          </w:tcPr>
          <w:p>
            <w:pPr>
              <w:spacing w:line="360" w:lineRule="auto"/>
              <w:rPr>
                <w:rFonts w:ascii="宋体" w:hAnsi="宋体" w:cs="宋体" w:eastAsiaTheme="minorEastAsia"/>
                <w:kern w:val="2"/>
                <w:sz w:val="24"/>
                <w:szCs w:val="24"/>
                <w:lang w:val="en-US" w:eastAsia="zh-CN" w:bidi="ar-SA"/>
              </w:rPr>
            </w:pPr>
            <w:r>
              <w:rPr>
                <w:rFonts w:hint="eastAsia" w:ascii="宋体" w:hAnsi="宋体" w:cs="宋体"/>
                <w:sz w:val="24"/>
                <w:lang w:bidi="ar"/>
              </w:rPr>
              <w:t>招标人指定地点。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4534" w:type="pct"/>
            <w:vAlign w:val="center"/>
          </w:tcPr>
          <w:p>
            <w:pPr>
              <w:spacing w:line="360" w:lineRule="auto"/>
              <w:rPr>
                <w:rFonts w:ascii="宋体" w:hAnsi="宋体" w:cs="宋体" w:eastAsiaTheme="minorEastAsia"/>
                <w:kern w:val="2"/>
                <w:sz w:val="24"/>
                <w:szCs w:val="24"/>
                <w:lang w:val="en-US" w:eastAsia="zh-CN" w:bidi="ar-SA"/>
              </w:rPr>
            </w:pPr>
            <w:r>
              <w:rPr>
                <w:rFonts w:hint="eastAsia" w:ascii="宋体" w:hAnsi="宋体" w:cs="宋体"/>
                <w:sz w:val="24"/>
                <w:lang w:bidi="ar"/>
              </w:rPr>
              <w:t>货到现场，包安装、调试、验收等交钥匙项目。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1.8.6</w:t>
            </w:r>
          </w:p>
        </w:tc>
        <w:tc>
          <w:tcPr>
            <w:tcW w:w="4534" w:type="pct"/>
            <w:vAlign w:val="center"/>
          </w:tcPr>
          <w:p>
            <w:pPr>
              <w:spacing w:line="360" w:lineRule="auto"/>
              <w:rPr>
                <w:rFonts w:ascii="宋体" w:hAnsi="宋体" w:cs="宋体"/>
                <w:sz w:val="24"/>
              </w:rPr>
            </w:pPr>
            <w:r>
              <w:rPr>
                <w:rFonts w:hint="eastAsia" w:ascii="宋体" w:hAnsi="宋体" w:cs="宋体"/>
                <w:sz w:val="24"/>
              </w:rPr>
              <w:t>如产品质量未达到投标承诺技术要求及品牌、型号的；采购人将退货处理，乙方承担项目总额20%的违约金。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w:t>
            </w:r>
          </w:p>
        </w:tc>
        <w:tc>
          <w:tcPr>
            <w:tcW w:w="4534" w:type="pct"/>
            <w:vAlign w:val="center"/>
          </w:tcPr>
          <w:p>
            <w:pPr>
              <w:spacing w:line="360" w:lineRule="auto"/>
              <w:rPr>
                <w:rFonts w:ascii="宋体" w:hAnsi="宋体" w:cs="宋体"/>
                <w:sz w:val="24"/>
              </w:rPr>
            </w:pPr>
            <w:r>
              <w:rPr>
                <w:rFonts w:hint="eastAsia" w:ascii="宋体" w:hAnsi="宋体" w:cs="宋体"/>
                <w:sz w:val="24"/>
                <w:lang w:bidi="ar"/>
              </w:rPr>
              <w:t>1.</w:t>
            </w:r>
            <w:r>
              <w:rPr>
                <w:rFonts w:hint="eastAsia" w:ascii="宋体" w:hAnsi="宋体" w:cs="宋体"/>
                <w:sz w:val="24"/>
                <w:lang w:val="en-US" w:eastAsia="zh-CN" w:bidi="ar"/>
              </w:rPr>
              <w:t>9</w:t>
            </w:r>
            <w:r>
              <w:rPr>
                <w:rFonts w:hint="eastAsia" w:ascii="宋体" w:hAnsi="宋体" w:cs="宋体"/>
                <w:sz w:val="24"/>
                <w:lang w:bidi="ar"/>
              </w:rPr>
              <w:t>.2(诉讼)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pPr>
              <w:spacing w:line="360" w:lineRule="auto"/>
              <w:rPr>
                <w:rFonts w:hint="eastAsia" w:ascii="宋体" w:hAnsi="宋体" w:cs="宋体"/>
                <w:sz w:val="24"/>
              </w:rPr>
            </w:pPr>
            <w:r>
              <w:rPr>
                <w:rFonts w:hint="eastAsia" w:ascii="宋体" w:hAnsi="宋体" w:cs="宋体"/>
                <w:sz w:val="24"/>
                <w:lang w:val="en-US" w:eastAsia="zh-CN"/>
              </w:rPr>
              <w:t>1.9.1</w:t>
            </w:r>
          </w:p>
        </w:tc>
        <w:tc>
          <w:tcPr>
            <w:tcW w:w="4534" w:type="pct"/>
            <w:vAlign w:val="center"/>
          </w:tcPr>
          <w:p>
            <w:pPr>
              <w:spacing w:line="360" w:lineRule="auto"/>
              <w:ind w:left="-420" w:leftChars="-200" w:right="-420" w:rightChars="-200" w:firstLine="480" w:firstLineChars="200"/>
              <w:rPr>
                <w:rFonts w:ascii="宋体" w:hAnsi="宋体" w:cs="宋体"/>
                <w:sz w:val="24"/>
              </w:rPr>
            </w:pPr>
            <w:r>
              <w:rPr>
                <w:rFonts w:hint="eastAsia" w:ascii="宋体" w:hAnsi="宋体" w:cs="宋体"/>
                <w:sz w:val="24"/>
                <w:lang w:val="en-US" w:eastAsia="zh-CN"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pPr>
              <w:spacing w:line="360" w:lineRule="auto"/>
              <w:rPr>
                <w:rFonts w:hint="eastAsia" w:ascii="宋体" w:hAnsi="宋体" w:cs="宋体"/>
                <w:sz w:val="24"/>
              </w:rPr>
            </w:pPr>
            <w:r>
              <w:rPr>
                <w:rFonts w:hint="eastAsia" w:ascii="宋体" w:hAnsi="宋体" w:cs="宋体"/>
                <w:sz w:val="24"/>
                <w:lang w:val="en-US" w:eastAsia="zh-CN"/>
              </w:rPr>
              <w:t>1.9.2</w:t>
            </w:r>
          </w:p>
        </w:tc>
        <w:tc>
          <w:tcPr>
            <w:tcW w:w="4534" w:type="pct"/>
            <w:vAlign w:val="center"/>
          </w:tcPr>
          <w:p>
            <w:pPr>
              <w:spacing w:line="360" w:lineRule="auto"/>
              <w:ind w:left="-420" w:leftChars="-200" w:right="-420" w:rightChars="-200" w:firstLine="480" w:firstLineChars="200"/>
              <w:rPr>
                <w:rFonts w:ascii="宋体" w:hAnsi="宋体" w:cs="宋体"/>
                <w:sz w:val="24"/>
              </w:rPr>
            </w:pPr>
            <w:r>
              <w:rPr>
                <w:rFonts w:hint="eastAsia" w:ascii="宋体" w:hAnsi="宋体" w:cs="宋体"/>
                <w:sz w:val="24"/>
                <w:lang w:bidi="ar"/>
              </w:rPr>
              <w:t>项目所在地的人民法院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534" w:type="pct"/>
            <w:vAlign w:val="center"/>
          </w:tcPr>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lang w:bidi="ar"/>
              </w:rPr>
              <w:t>归乙方所有，但针对本项目，甲方有无限使用权。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2.4.1</w:t>
            </w:r>
          </w:p>
        </w:tc>
        <w:tc>
          <w:tcPr>
            <w:tcW w:w="4534" w:type="pct"/>
            <w:vAlign w:val="center"/>
          </w:tcPr>
          <w:p>
            <w:pPr>
              <w:spacing w:line="360" w:lineRule="auto"/>
              <w:ind w:left="-420" w:leftChars="-200" w:right="-420" w:rightChars="-200" w:firstLine="480" w:firstLineChars="200"/>
              <w:rPr>
                <w:rFonts w:ascii="宋体" w:hAnsi="宋体" w:cs="宋体"/>
                <w:sz w:val="24"/>
              </w:rPr>
            </w:pPr>
            <w:r>
              <w:rPr>
                <w:rFonts w:hint="eastAsia" w:ascii="宋体" w:hAnsi="宋体" w:cs="宋体"/>
                <w:sz w:val="24"/>
                <w:lang w:bidi="ar"/>
              </w:rPr>
              <w:t>按行业及通用条款要求。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2.4.3</w:t>
            </w:r>
          </w:p>
        </w:tc>
        <w:tc>
          <w:tcPr>
            <w:tcW w:w="4534" w:type="pct"/>
            <w:vAlign w:val="center"/>
          </w:tcPr>
          <w:p>
            <w:pPr>
              <w:spacing w:line="360" w:lineRule="auto"/>
              <w:rPr>
                <w:rFonts w:ascii="宋体" w:hAnsi="宋体" w:cs="宋体"/>
                <w:sz w:val="24"/>
              </w:rPr>
            </w:pPr>
            <w:r>
              <w:rPr>
                <w:rFonts w:hint="eastAsia" w:ascii="宋体" w:hAnsi="宋体" w:cs="宋体"/>
                <w:sz w:val="24"/>
                <w:lang w:bidi="ar"/>
              </w:rPr>
              <w:t>装运货物的要求和通知，乙方应提前7天通知甲方并协调设备的卸货及安装事宜。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tcPr>
          <w:p>
            <w:pPr>
              <w:spacing w:line="360" w:lineRule="auto"/>
              <w:rPr>
                <w:rFonts w:ascii="宋体" w:hAnsi="宋体" w:cs="宋体"/>
                <w:sz w:val="24"/>
              </w:rPr>
            </w:pPr>
            <w:r>
              <w:rPr>
                <w:rFonts w:hint="eastAsia" w:ascii="宋体" w:hAnsi="宋体" w:cs="宋体"/>
                <w:sz w:val="24"/>
              </w:rPr>
              <w:t xml:space="preserve">2.8 </w:t>
            </w:r>
          </w:p>
        </w:tc>
        <w:tc>
          <w:tcPr>
            <w:tcW w:w="4534" w:type="pct"/>
            <w:vAlign w:val="top"/>
          </w:tcPr>
          <w:p>
            <w:pPr>
              <w:spacing w:line="360" w:lineRule="auto"/>
              <w:rPr>
                <w:rFonts w:ascii="宋体" w:hAnsi="宋体" w:eastAsia="宋体" w:cs="宋体"/>
                <w:kern w:val="2"/>
                <w:sz w:val="24"/>
                <w:szCs w:val="24"/>
                <w:lang w:val="en-US" w:eastAsia="zh-CN" w:bidi="ar-SA"/>
              </w:rPr>
            </w:pPr>
            <w:r>
              <w:rPr>
                <w:rFonts w:hint="eastAsia" w:ascii="宋体" w:hAnsi="宋体" w:cs="宋体"/>
                <w:sz w:val="24"/>
                <w:lang w:bidi="ar"/>
              </w:rPr>
              <w:t>货物或者在途货物或者交付给第一承运人后的货物毁损、灭失的风险负担均由乙方负责，并承担延期交货的违约责任。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2.12.3</w:t>
            </w:r>
          </w:p>
        </w:tc>
        <w:tc>
          <w:tcPr>
            <w:tcW w:w="4534" w:type="pct"/>
            <w:vAlign w:val="center"/>
          </w:tcPr>
          <w:p>
            <w:pPr>
              <w:spacing w:line="360" w:lineRule="auto"/>
              <w:rPr>
                <w:rFonts w:ascii="宋体" w:hAnsi="宋体" w:cs="宋体" w:eastAsiaTheme="minorEastAsia"/>
                <w:kern w:val="2"/>
                <w:sz w:val="24"/>
                <w:szCs w:val="24"/>
                <w:lang w:val="en-US" w:eastAsia="zh-CN" w:bidi="ar-SA"/>
              </w:rPr>
            </w:pPr>
            <w:r>
              <w:rPr>
                <w:rFonts w:hint="eastAsia" w:ascii="宋体" w:hAnsi="宋体" w:cs="宋体"/>
                <w:sz w:val="24"/>
                <w:lang w:bidi="ar"/>
              </w:rPr>
              <w:t>不可抗力时间发生后7天内以书面形式变更合同。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2.12.4</w:t>
            </w:r>
          </w:p>
        </w:tc>
        <w:tc>
          <w:tcPr>
            <w:tcW w:w="4534" w:type="pct"/>
            <w:vAlign w:val="center"/>
          </w:tcPr>
          <w:p>
            <w:pPr>
              <w:spacing w:line="360" w:lineRule="auto"/>
              <w:rPr>
                <w:rFonts w:ascii="宋体" w:hAnsi="宋体" w:cs="宋体" w:eastAsiaTheme="minorEastAsia"/>
                <w:kern w:val="2"/>
                <w:sz w:val="24"/>
                <w:szCs w:val="24"/>
                <w:lang w:val="en-US" w:eastAsia="zh-CN" w:bidi="ar-SA"/>
              </w:rPr>
            </w:pPr>
            <w:r>
              <w:rPr>
                <w:rFonts w:hint="eastAsia" w:ascii="宋体" w:hAnsi="宋体" w:cs="宋体"/>
                <w:sz w:val="24"/>
                <w:lang w:bidi="ar"/>
              </w:rPr>
              <w:t>受不可抗力影响的一方在不可抗力发生后，应在1个工作日内以书面形式通知对方当事人，并在3个工作日内，将有关部门出具的证明文件送达对方当事人。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2.16.1</w:t>
            </w:r>
          </w:p>
        </w:tc>
        <w:tc>
          <w:tcPr>
            <w:tcW w:w="4534" w:type="pct"/>
            <w:vAlign w:val="center"/>
          </w:tcPr>
          <w:p>
            <w:pPr>
              <w:spacing w:line="360" w:lineRule="auto"/>
              <w:rPr>
                <w:rFonts w:ascii="宋体" w:hAnsi="宋体" w:cs="宋体" w:eastAsiaTheme="minorEastAsia"/>
                <w:kern w:val="2"/>
                <w:sz w:val="24"/>
                <w:szCs w:val="24"/>
                <w:lang w:val="en-US" w:eastAsia="zh-CN" w:bidi="ar-SA"/>
              </w:rPr>
            </w:pPr>
            <w:r>
              <w:rPr>
                <w:rFonts w:hint="eastAsia" w:ascii="宋体" w:hAnsi="宋体" w:cs="宋体"/>
                <w:sz w:val="24"/>
                <w:lang w:bidi="ar"/>
              </w:rPr>
              <w:t>提交申请后30天内。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2.16.3</w:t>
            </w:r>
          </w:p>
        </w:tc>
        <w:tc>
          <w:tcPr>
            <w:tcW w:w="4534" w:type="pct"/>
            <w:vAlign w:val="center"/>
          </w:tcPr>
          <w:p>
            <w:pPr>
              <w:spacing w:line="360" w:lineRule="auto"/>
              <w:rPr>
                <w:rFonts w:ascii="宋体" w:hAnsi="宋体" w:cs="宋体" w:eastAsiaTheme="minorEastAsia"/>
                <w:kern w:val="2"/>
                <w:sz w:val="24"/>
                <w:szCs w:val="24"/>
                <w:lang w:val="en-US" w:eastAsia="zh-CN" w:bidi="ar-SA"/>
              </w:rPr>
            </w:pPr>
            <w:r>
              <w:rPr>
                <w:rFonts w:hint="eastAsia" w:ascii="宋体" w:hAnsi="宋体" w:cs="宋体"/>
                <w:sz w:val="24"/>
                <w:lang w:bidi="ar"/>
              </w:rPr>
              <w:t>检验和验收标准，以及前述验收文件的有效性以招标采购需求为准。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65"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4534" w:type="pct"/>
            <w:vAlign w:val="center"/>
          </w:tcPr>
          <w:p>
            <w:pPr>
              <w:spacing w:line="360" w:lineRule="auto"/>
              <w:rPr>
                <w:rFonts w:ascii="宋体" w:hAnsi="宋体" w:eastAsia="宋体" w:cs="宋体"/>
                <w:kern w:val="2"/>
                <w:sz w:val="24"/>
                <w:szCs w:val="24"/>
                <w:lang w:val="en-US" w:eastAsia="zh-CN" w:bidi="ar-SA"/>
              </w:rPr>
            </w:pPr>
            <w:r>
              <w:rPr>
                <w:rFonts w:hint="eastAsia" w:cs="仿宋" w:asciiTheme="minorEastAsia" w:hAnsiTheme="minorEastAsia"/>
                <w:color w:val="auto"/>
                <w:sz w:val="24"/>
              </w:rPr>
              <w:t>本合同一式六份，双方各执三份。</w:t>
            </w: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rPr>
          <w:rFonts w:ascii="宋体" w:hAnsi="宋体" w:cs="宋体"/>
          <w:sz w:val="24"/>
        </w:rPr>
      </w:pPr>
    </w:p>
    <w:p>
      <w:pPr>
        <w:pStyle w:val="4"/>
      </w:pPr>
    </w:p>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401"/>
      <w:r>
        <w:rPr>
          <w:rFonts w:hint="eastAsia" w:ascii="宋体" w:hAnsi="宋体" w:cs="宋体"/>
          <w:b/>
          <w:sz w:val="36"/>
          <w:szCs w:val="20"/>
        </w:rPr>
        <w:t xml:space="preserve"> </w:t>
      </w:r>
      <w:bookmarkEnd w:id="402"/>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w:t>
      </w:r>
      <w:r>
        <w:rPr>
          <w:rFonts w:hint="eastAsia" w:ascii="宋体" w:hAnsi="宋体" w:cs="宋体"/>
          <w:b/>
          <w:color w:val="auto"/>
          <w:kern w:val="0"/>
          <w:sz w:val="32"/>
          <w:szCs w:val="32"/>
        </w:rPr>
        <w:t xml:space="preserve"> 一、 符合参加政府采购活动应当具备的一般条件的承诺函</w:t>
      </w:r>
    </w:p>
    <w:p>
      <w:pPr>
        <w:snapToGrid w:val="0"/>
        <w:spacing w:line="360" w:lineRule="auto"/>
        <w:rPr>
          <w:rFonts w:ascii="宋体" w:hAnsi="宋体" w:cs="宋体"/>
          <w:color w:val="auto"/>
          <w:sz w:val="24"/>
        </w:rPr>
      </w:pPr>
      <w:r>
        <w:rPr>
          <w:rFonts w:hint="eastAsia" w:ascii="宋体" w:hAnsi="宋体" w:cs="宋体"/>
          <w:color w:val="auto"/>
          <w:sz w:val="24"/>
        </w:rPr>
        <w:t>（采购人）、</w:t>
      </w:r>
      <w:r>
        <w:rPr>
          <w:rFonts w:hint="eastAsia" w:ascii="宋体" w:hAnsi="宋体" w:cs="宋体"/>
          <w:color w:val="auto"/>
          <w:sz w:val="24"/>
          <w:lang w:eastAsia="zh-CN"/>
        </w:rPr>
        <w:t>杭州市公共资源交易中心临安分中心</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color w:val="auto"/>
          <w:sz w:val="24"/>
        </w:rPr>
        <w:t>2、具有良好的商业信誉和健全的财务会计制度</w:t>
      </w:r>
      <w:r>
        <w:rPr>
          <w:rFonts w:hint="eastAsia" w:ascii="宋体" w:hAnsi="宋体" w:cs="宋体"/>
          <w:sz w:val="24"/>
        </w:rPr>
        <w:t xml:space="preserve">；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highlight w:val="none"/>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firstLine="559" w:firstLineChars="233"/>
        <w:jc w:val="left"/>
        <w:rPr>
          <w:rFonts w:ascii="宋体" w:hAnsi="宋体" w:cs="宋体"/>
          <w:b/>
          <w:kern w:val="0"/>
          <w:sz w:val="32"/>
          <w:szCs w:val="32"/>
          <w:highlight w:val="none"/>
        </w:rPr>
      </w:pPr>
      <w:r>
        <w:rPr>
          <w:rFonts w:hint="eastAsia" w:cs="仿宋_GB2312" w:asciiTheme="minorEastAsia" w:hAnsiTheme="minorEastAsia" w:eastAsiaTheme="minorEastAsia"/>
          <w:sz w:val="24"/>
          <w:highlight w:val="none"/>
        </w:rPr>
        <w:t>注：根据《</w:t>
      </w:r>
      <w:r>
        <w:rPr>
          <w:rFonts w:cs="仿宋_GB2312" w:asciiTheme="minorEastAsia" w:hAnsiTheme="minorEastAsia" w:eastAsiaTheme="minorEastAsia"/>
          <w:sz w:val="24"/>
          <w:highlight w:val="none"/>
        </w:rPr>
        <w:t>关于规范政府采购供应商资格设定及资格审查的通知</w:t>
      </w:r>
      <w:r>
        <w:rPr>
          <w:rFonts w:hint="eastAsia" w:cs="仿宋_GB2312" w:asciiTheme="minorEastAsia" w:hAnsiTheme="minorEastAsia" w:eastAsiaTheme="minorEastAsia"/>
          <w:sz w:val="24"/>
          <w:highlight w:val="none"/>
        </w:rPr>
        <w:t>》（</w:t>
      </w:r>
      <w:r>
        <w:rPr>
          <w:rFonts w:cs="仿宋_GB2312" w:asciiTheme="minorEastAsia" w:hAnsiTheme="minorEastAsia" w:eastAsiaTheme="minorEastAsia"/>
          <w:sz w:val="24"/>
          <w:highlight w:val="none"/>
        </w:rPr>
        <w:t>浙财采监[2013]24号</w:t>
      </w:r>
      <w:r>
        <w:rPr>
          <w:rFonts w:hint="eastAsia" w:cs="仿宋_GB2312" w:asciiTheme="minorEastAsia" w:hAnsiTheme="minorEastAsia" w:eastAsiaTheme="minorEastAsia"/>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kern w:val="0"/>
          <w:sz w:val="32"/>
          <w:szCs w:val="32"/>
          <w:highlight w:val="none"/>
        </w:rPr>
        <w:t>二、联</w:t>
      </w:r>
      <w:r>
        <w:rPr>
          <w:rFonts w:hint="eastAsia" w:ascii="宋体" w:hAnsi="宋体" w:cs="宋体"/>
          <w:b/>
          <w:color w:val="auto"/>
          <w:kern w:val="0"/>
          <w:sz w:val="32"/>
          <w:szCs w:val="32"/>
          <w:highlight w:val="none"/>
        </w:rPr>
        <w:t>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.专门面向中小企业，货物全部由符合政策要求的中小企业（或小微企业）制造的，提供相应的中小企业声明函（附件</w:t>
      </w:r>
      <w:r>
        <w:rPr>
          <w:rFonts w:ascii="宋体" w:hAnsi="宋体" w:cs="宋体"/>
          <w:sz w:val="24"/>
          <w:highlight w:val="none"/>
        </w:rPr>
        <w:t>7</w:t>
      </w:r>
      <w:r>
        <w:rPr>
          <w:rFonts w:hint="eastAsia" w:ascii="宋体" w:hAnsi="宋体" w:cs="宋体"/>
          <w:sz w:val="24"/>
          <w:highlight w:val="none"/>
        </w:rPr>
        <w:t xml:space="preserve">）。 </w:t>
      </w:r>
    </w:p>
    <w:p>
      <w:pPr>
        <w:widowControl/>
        <w:spacing w:line="360" w:lineRule="auto"/>
        <w:ind w:firstLine="480"/>
        <w:jc w:val="left"/>
        <w:rPr>
          <w:rFonts w:ascii="宋体" w:hAnsi="宋体" w:cs="宋体"/>
          <w:sz w:val="24"/>
          <w:highlight w:val="none"/>
        </w:rPr>
      </w:pPr>
    </w:p>
    <w:p>
      <w:pPr>
        <w:widowControl/>
        <w:spacing w:line="360" w:lineRule="auto"/>
        <w:ind w:firstLine="472" w:firstLineChars="196"/>
        <w:jc w:val="left"/>
        <w:rPr>
          <w:rFonts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w:t>
      </w:r>
      <w:r>
        <w:rPr>
          <w:rFonts w:ascii="宋体" w:hAnsi="宋体" w:cs="宋体"/>
          <w:sz w:val="24"/>
          <w:highlight w:val="none"/>
        </w:rPr>
        <w:t>5</w:t>
      </w:r>
      <w:r>
        <w:rPr>
          <w:rFonts w:hint="eastAsia" w:ascii="宋体" w:hAnsi="宋体" w:cs="宋体"/>
          <w:sz w:val="24"/>
          <w:highlight w:val="none"/>
        </w:rPr>
        <w:t>）和中小企业声明函（附件</w:t>
      </w:r>
      <w:r>
        <w:rPr>
          <w:rFonts w:ascii="宋体" w:hAnsi="宋体" w:cs="宋体"/>
          <w:sz w:val="24"/>
          <w:highlight w:val="none"/>
        </w:rPr>
        <w:t>7</w:t>
      </w:r>
      <w:r>
        <w:rPr>
          <w:rFonts w:hint="eastAsia" w:ascii="宋体" w:hAnsi="宋体" w:cs="宋体"/>
          <w:sz w:val="24"/>
          <w:highlight w:val="none"/>
        </w:rPr>
        <w:t>），联合协议中中小企业合同金额应当达到招标公告载明的比例；如果供应商本身提供所有标的均由中小企业制造的，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highlight w:val="none"/>
        </w:rPr>
      </w:pPr>
      <w:r>
        <w:rPr>
          <w:rFonts w:hint="eastAsia" w:ascii="宋体" w:hAnsi="宋体" w:cs="宋体"/>
          <w:b/>
          <w:sz w:val="24"/>
          <w:highlight w:val="none"/>
        </w:rPr>
        <w:t xml:space="preserve">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C、</w:t>
      </w:r>
      <w:r>
        <w:rPr>
          <w:rFonts w:hint="eastAsia" w:ascii="宋体" w:hAnsi="宋体" w:cs="宋体"/>
          <w:sz w:val="24"/>
          <w:highlight w:val="none"/>
        </w:rPr>
        <w:t>要求合同分包的，提供分包意向协议（附件6）和中小企业声明函（附件</w:t>
      </w:r>
      <w:r>
        <w:rPr>
          <w:rFonts w:ascii="宋体" w:hAnsi="宋体" w:cs="宋体"/>
          <w:sz w:val="24"/>
          <w:highlight w:val="none"/>
        </w:rPr>
        <w:t>7</w:t>
      </w:r>
      <w:r>
        <w:rPr>
          <w:rFonts w:hint="eastAsia" w:ascii="宋体" w:hAnsi="宋体" w:cs="宋体"/>
          <w:sz w:val="24"/>
          <w:highlight w:val="none"/>
        </w:rPr>
        <w:t>），分包意向协议中中小企业合同金额应当达到招标公告载明的比例；如果供应商本身提供所有标的均由中小企业制造的，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视同符合了资格条件，无需再向中小企业分包，无需提供分包意向协议。</w:t>
      </w:r>
    </w:p>
    <w:p>
      <w:pPr>
        <w:widowControl/>
        <w:spacing w:line="360" w:lineRule="auto"/>
        <w:ind w:left="150"/>
        <w:jc w:val="center"/>
        <w:rPr>
          <w:rFonts w:ascii="宋体" w:hAnsi="宋体" w:cs="宋体"/>
          <w:b/>
          <w:kern w:val="0"/>
          <w:sz w:val="32"/>
          <w:szCs w:val="32"/>
          <w:highlight w:val="none"/>
        </w:rPr>
      </w:pPr>
    </w:p>
    <w:p>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pPr>
        <w:rPr>
          <w:rFonts w:ascii="宋体" w:hAnsi="宋体" w:cs="宋体"/>
          <w:highlight w:val="none"/>
        </w:rPr>
      </w:pPr>
    </w:p>
    <w:p>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pStyle w:val="4"/>
        <w:rPr>
          <w:lang w:val="en-US"/>
        </w:rPr>
      </w:pPr>
    </w:p>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ind w:firstLine="3855" w:firstLineChars="1200"/>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pPr>
        <w:snapToGrid w:val="0"/>
        <w:spacing w:line="360" w:lineRule="auto"/>
        <w:rPr>
          <w:rFonts w:ascii="宋体" w:hAnsi="宋体" w:cs="宋体"/>
          <w:color w:val="auto"/>
          <w:sz w:val="24"/>
        </w:rPr>
      </w:pPr>
      <w:r>
        <w:rPr>
          <w:rFonts w:hint="eastAsia" w:ascii="宋体" w:hAnsi="宋体" w:cs="宋体"/>
          <w:color w:val="auto"/>
          <w:sz w:val="24"/>
        </w:rPr>
        <w:t>（采购人）、</w:t>
      </w:r>
      <w:r>
        <w:rPr>
          <w:rFonts w:hint="eastAsia" w:ascii="宋体" w:hAnsi="宋体" w:cs="宋体"/>
          <w:color w:val="auto"/>
          <w:sz w:val="24"/>
          <w:lang w:eastAsia="zh-CN"/>
        </w:rPr>
        <w:t>杭州市公共资源交易中心临安分中心</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snapToGrid w:val="0"/>
        <w:spacing w:line="360" w:lineRule="auto"/>
        <w:ind w:left="420" w:leftChars="200" w:firstLine="4200" w:firstLineChars="1750"/>
        <w:rPr>
          <w:rFonts w:ascii="宋体" w:hAnsi="宋体" w:cs="宋体"/>
          <w:color w:val="auto"/>
          <w:kern w:val="0"/>
          <w:sz w:val="24"/>
          <w:u w:val="single"/>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napToGrid w:val="0"/>
        <w:spacing w:line="360" w:lineRule="auto"/>
        <w:jc w:val="center"/>
        <w:rPr>
          <w:rFonts w:ascii="宋体" w:hAnsi="宋体" w:cs="宋体"/>
          <w:b/>
          <w:color w:val="auto"/>
          <w:kern w:val="0"/>
          <w:sz w:val="32"/>
          <w:szCs w:val="32"/>
        </w:rPr>
      </w:pPr>
    </w:p>
    <w:p>
      <w:pPr>
        <w:snapToGrid w:val="0"/>
        <w:spacing w:line="360" w:lineRule="auto"/>
        <w:rPr>
          <w:rFonts w:ascii="宋体" w:hAnsi="宋体" w:cs="宋体"/>
          <w:color w:val="auto"/>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rPr>
        <w:t>（采购人）、</w:t>
      </w:r>
      <w:r>
        <w:rPr>
          <w:rFonts w:hint="eastAsia" w:ascii="宋体" w:hAnsi="宋体" w:cs="宋体"/>
          <w:color w:val="auto"/>
          <w:sz w:val="24"/>
          <w:lang w:eastAsia="zh-CN"/>
        </w:rPr>
        <w:t>杭州市公共资源交易中心临安分中心</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rPr>
        <w:t>（采购人）、</w:t>
      </w:r>
      <w:r>
        <w:rPr>
          <w:rFonts w:hint="eastAsia" w:ascii="宋体" w:hAnsi="宋体" w:cs="宋体"/>
          <w:color w:val="auto"/>
          <w:sz w:val="24"/>
          <w:lang w:eastAsia="zh-CN"/>
        </w:rPr>
        <w:t>杭州市公共资源交易中心临安分中心</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b/>
          <w:kern w:val="0"/>
          <w:sz w:val="32"/>
          <w:szCs w:val="32"/>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hint="eastAsia" w:ascii="宋体" w:hAnsi="宋体" w:cs="宋体"/>
          <w:kern w:val="0"/>
          <w:sz w:val="24"/>
          <w:highlight w:val="none"/>
          <w:lang w:val="zh-CN"/>
        </w:rPr>
      </w:pPr>
      <w:r>
        <w:rPr>
          <w:rFonts w:hint="eastAsia" w:ascii="宋体" w:hAnsi="宋体" w:cs="宋体"/>
          <w:kern w:val="0"/>
          <w:sz w:val="24"/>
          <w:lang w:val="zh-CN"/>
        </w:rPr>
        <w:t xml:space="preserve">    </w:t>
      </w:r>
      <w:r>
        <w:rPr>
          <w:rFonts w:hint="eastAsia" w:ascii="宋体" w:hAnsi="宋体" w:cs="宋体"/>
          <w:kern w:val="0"/>
          <w:sz w:val="24"/>
          <w:highlight w:val="none"/>
          <w:lang w:val="zh-CN"/>
        </w:rPr>
        <w:t xml:space="preserve">                                           日期：  年  月   日</w:t>
      </w:r>
    </w:p>
    <w:p>
      <w:pPr>
        <w:pStyle w:val="4"/>
        <w:rPr>
          <w:rFonts w:hint="eastAsia" w:asciiTheme="minorEastAsia" w:hAnsiTheme="minorEastAsia" w:eastAsiaTheme="minorEastAsia" w:cstheme="minorEastAsia"/>
          <w:b w:val="0"/>
          <w:bCs w:val="0"/>
          <w:highlight w:val="none"/>
          <w:lang w:val="zh-CN"/>
        </w:rPr>
      </w:pPr>
      <w:r>
        <w:rPr>
          <w:rFonts w:hint="eastAsia" w:asciiTheme="minorEastAsia" w:hAnsiTheme="minorEastAsia" w:eastAsiaTheme="minorEastAsia" w:cstheme="minorEastAsia"/>
          <w:b w:val="0"/>
          <w:bCs w:val="0"/>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autoSpaceDE w:val="0"/>
        <w:autoSpaceDN w:val="0"/>
        <w:spacing w:line="360" w:lineRule="auto"/>
        <w:jc w:val="center"/>
        <w:rPr>
          <w:rFonts w:hint="eastAsia"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7"/>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Ansi="宋体" w:cs="宋体"/>
                <w:bCs/>
                <w:sz w:val="24"/>
              </w:rPr>
            </w:pPr>
            <w:r>
              <w:rPr>
                <w:rFonts w:hint="eastAsia" w:hAnsi="宋体" w:cs="宋体"/>
                <w:bCs/>
                <w:sz w:val="24"/>
              </w:rPr>
              <w:t>正面：                                 反面：</w:t>
            </w:r>
          </w:p>
          <w:p>
            <w:pPr>
              <w:pStyle w:val="147"/>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color w:val="auto"/>
          <w:kern w:val="0"/>
          <w:sz w:val="32"/>
          <w:szCs w:val="32"/>
        </w:rPr>
      </w:pPr>
      <w:r>
        <w:rPr>
          <w:rFonts w:hint="eastAsia" w:ascii="宋体" w:hAnsi="宋体" w:cs="宋体"/>
          <w:b/>
          <w:kern w:val="0"/>
          <w:sz w:val="32"/>
          <w:szCs w:val="32"/>
        </w:rPr>
        <w:t>三、分</w:t>
      </w:r>
      <w:r>
        <w:rPr>
          <w:rFonts w:hint="eastAsia" w:ascii="宋体" w:hAnsi="宋体" w:cs="宋体"/>
          <w:b/>
          <w:color w:val="auto"/>
          <w:kern w:val="0"/>
          <w:sz w:val="32"/>
          <w:szCs w:val="32"/>
        </w:rPr>
        <w:t>包意向协议（如果有）</w:t>
      </w:r>
    </w:p>
    <w:p>
      <w:pPr>
        <w:widowControl/>
        <w:spacing w:line="360" w:lineRule="auto"/>
        <w:ind w:firstLine="120" w:firstLineChars="50"/>
        <w:jc w:val="left"/>
        <w:rPr>
          <w:rFonts w:ascii="宋体" w:hAnsi="宋体" w:cs="宋体"/>
          <w:color w:val="auto"/>
          <w:sz w:val="24"/>
        </w:rPr>
      </w:pPr>
      <w:bookmarkStart w:id="552" w:name="_Hlk101169080"/>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bookmarkEnd w:id="552"/>
    <w:p>
      <w:pPr>
        <w:snapToGrid w:val="0"/>
        <w:spacing w:line="360" w:lineRule="auto"/>
        <w:rPr>
          <w:rFonts w:ascii="宋体" w:hAnsi="宋体" w:cs="宋体"/>
          <w:color w:val="auto"/>
          <w:kern w:val="0"/>
          <w:sz w:val="24"/>
        </w:rPr>
      </w:pPr>
    </w:p>
    <w:p>
      <w:pPr>
        <w:jc w:val="center"/>
        <w:rPr>
          <w:rFonts w:ascii="宋体" w:hAnsi="宋体" w:cs="宋体"/>
          <w:b/>
          <w:color w:val="auto"/>
          <w:kern w:val="0"/>
          <w:sz w:val="32"/>
          <w:szCs w:val="32"/>
        </w:rPr>
      </w:pPr>
    </w:p>
    <w:p>
      <w:pPr>
        <w:pStyle w:val="4"/>
        <w:rPr>
          <w:color w:val="auto"/>
          <w:lang w:val="en-US"/>
        </w:rPr>
      </w:pPr>
    </w:p>
    <w:p>
      <w:pPr>
        <w:rPr>
          <w:color w:val="auto"/>
        </w:rPr>
      </w:pPr>
    </w:p>
    <w:p>
      <w:pPr>
        <w:pStyle w:val="4"/>
        <w:rPr>
          <w:color w:val="auto"/>
          <w:lang w:val="en-US"/>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pPr>
        <w:jc w:val="center"/>
        <w:rPr>
          <w:rFonts w:ascii="宋体" w:hAnsi="宋体" w:cs="宋体"/>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1</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pPr>
              <w:rPr>
                <w:rFonts w:ascii="宋体" w:hAnsi="宋体" w:cs="宋体"/>
                <w:color w:val="auto"/>
                <w:sz w:val="24"/>
              </w:rPr>
            </w:pPr>
          </w:p>
          <w:p>
            <w:pPr>
              <w:rPr>
                <w:rFonts w:ascii="宋体" w:hAnsi="宋体" w:cs="宋体"/>
                <w:color w:val="auto"/>
                <w:sz w:val="24"/>
              </w:rPr>
            </w:pPr>
            <w:r>
              <w:rPr>
                <w:rFonts w:hint="eastAsia" w:ascii="宋体" w:hAnsi="宋体" w:cs="宋体"/>
                <w:color w:val="auto"/>
                <w:sz w:val="24"/>
              </w:rPr>
              <w:t>见投标文件</w:t>
            </w:r>
          </w:p>
          <w:p>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2</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pPr>
              <w:rPr>
                <w:rFonts w:ascii="宋体" w:hAnsi="宋体" w:cs="宋体"/>
                <w:color w:val="auto"/>
                <w:sz w:val="24"/>
              </w:rPr>
            </w:pPr>
            <w:r>
              <w:rPr>
                <w:rFonts w:hint="eastAsia" w:ascii="宋体" w:hAnsi="宋体" w:cs="宋体"/>
                <w:color w:val="auto"/>
                <w:sz w:val="24"/>
              </w:rPr>
              <w:t>投标函</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3</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3612"/>
        <w:gridCol w:w="347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jc w:val="center"/>
              <w:rPr>
                <w:rFonts w:ascii="宋体" w:hAnsi="宋体" w:cs="宋体"/>
                <w:b/>
                <w:bCs/>
                <w:sz w:val="24"/>
              </w:rPr>
            </w:pPr>
            <w:r>
              <w:rPr>
                <w:rFonts w:hint="eastAsia" w:ascii="宋体" w:hAnsi="宋体" w:cs="宋体"/>
                <w:b/>
                <w:bCs/>
                <w:sz w:val="24"/>
              </w:rPr>
              <w:t>序号</w:t>
            </w:r>
          </w:p>
        </w:tc>
        <w:tc>
          <w:tcPr>
            <w:tcW w:w="1945" w:type="pct"/>
          </w:tcPr>
          <w:p>
            <w:pPr>
              <w:jc w:val="center"/>
              <w:rPr>
                <w:rFonts w:ascii="宋体" w:hAnsi="宋体" w:cs="宋体"/>
                <w:b/>
                <w:bCs/>
                <w:sz w:val="24"/>
              </w:rPr>
            </w:pPr>
            <w:r>
              <w:rPr>
                <w:rFonts w:hint="eastAsia" w:ascii="宋体" w:hAnsi="宋体" w:cs="宋体"/>
                <w:b/>
                <w:bCs/>
                <w:sz w:val="24"/>
              </w:rPr>
              <w:t>招标文件章节及具体内容</w:t>
            </w:r>
          </w:p>
        </w:tc>
        <w:tc>
          <w:tcPr>
            <w:tcW w:w="1873" w:type="pct"/>
          </w:tcPr>
          <w:p>
            <w:pPr>
              <w:jc w:val="center"/>
              <w:rPr>
                <w:rFonts w:ascii="宋体" w:hAnsi="宋体" w:cs="宋体"/>
                <w:b/>
                <w:bCs/>
                <w:sz w:val="24"/>
              </w:rPr>
            </w:pPr>
            <w:r>
              <w:rPr>
                <w:rFonts w:hint="eastAsia" w:ascii="宋体" w:hAnsi="宋体" w:cs="宋体"/>
                <w:b/>
                <w:bCs/>
                <w:sz w:val="24"/>
              </w:rPr>
              <w:t>投标文件章节及具体内容</w:t>
            </w:r>
          </w:p>
        </w:tc>
        <w:tc>
          <w:tcPr>
            <w:tcW w:w="674" w:type="pct"/>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jc w:val="center"/>
              <w:rPr>
                <w:rFonts w:ascii="宋体" w:hAnsi="宋体" w:cs="宋体"/>
                <w:kern w:val="0"/>
                <w:sz w:val="24"/>
              </w:rPr>
            </w:pPr>
            <w:r>
              <w:rPr>
                <w:rFonts w:hint="eastAsia" w:ascii="宋体" w:hAnsi="宋体" w:cs="宋体"/>
                <w:kern w:val="0"/>
                <w:sz w:val="24"/>
              </w:rPr>
              <w:t>1</w:t>
            </w:r>
          </w:p>
        </w:tc>
        <w:tc>
          <w:tcPr>
            <w:tcW w:w="1945" w:type="pct"/>
          </w:tcPr>
          <w:p>
            <w:pPr>
              <w:jc w:val="center"/>
              <w:rPr>
                <w:rFonts w:ascii="宋体" w:hAnsi="宋体" w:cs="宋体"/>
                <w:b/>
                <w:kern w:val="0"/>
                <w:sz w:val="32"/>
                <w:szCs w:val="32"/>
              </w:rPr>
            </w:pPr>
          </w:p>
        </w:tc>
        <w:tc>
          <w:tcPr>
            <w:tcW w:w="1873" w:type="pct"/>
          </w:tcPr>
          <w:p>
            <w:pPr>
              <w:jc w:val="center"/>
              <w:rPr>
                <w:rFonts w:ascii="宋体" w:hAnsi="宋体" w:cs="宋体"/>
                <w:b/>
                <w:kern w:val="0"/>
                <w:sz w:val="32"/>
                <w:szCs w:val="32"/>
              </w:rPr>
            </w:pPr>
          </w:p>
        </w:tc>
        <w:tc>
          <w:tcPr>
            <w:tcW w:w="674" w:type="pct"/>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jc w:val="center"/>
              <w:rPr>
                <w:rFonts w:ascii="宋体" w:hAnsi="宋体" w:cs="宋体"/>
                <w:kern w:val="0"/>
                <w:sz w:val="24"/>
              </w:rPr>
            </w:pPr>
            <w:r>
              <w:rPr>
                <w:rFonts w:hint="eastAsia" w:ascii="宋体" w:hAnsi="宋体" w:cs="宋体"/>
                <w:kern w:val="0"/>
                <w:sz w:val="24"/>
              </w:rPr>
              <w:t>2</w:t>
            </w:r>
          </w:p>
        </w:tc>
        <w:tc>
          <w:tcPr>
            <w:tcW w:w="1945" w:type="pct"/>
          </w:tcPr>
          <w:p>
            <w:pPr>
              <w:jc w:val="center"/>
              <w:rPr>
                <w:rFonts w:ascii="宋体" w:hAnsi="宋体" w:cs="宋体"/>
                <w:b/>
                <w:kern w:val="0"/>
                <w:sz w:val="32"/>
                <w:szCs w:val="32"/>
              </w:rPr>
            </w:pPr>
          </w:p>
        </w:tc>
        <w:tc>
          <w:tcPr>
            <w:tcW w:w="1873" w:type="pct"/>
          </w:tcPr>
          <w:p>
            <w:pPr>
              <w:jc w:val="center"/>
              <w:rPr>
                <w:rFonts w:ascii="宋体" w:hAnsi="宋体" w:cs="宋体"/>
                <w:b/>
                <w:kern w:val="0"/>
                <w:sz w:val="32"/>
                <w:szCs w:val="32"/>
              </w:rPr>
            </w:pPr>
          </w:p>
        </w:tc>
        <w:tc>
          <w:tcPr>
            <w:tcW w:w="674" w:type="pct"/>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jc w:val="center"/>
              <w:rPr>
                <w:rFonts w:ascii="宋体" w:hAnsi="宋体" w:cs="宋体"/>
                <w:kern w:val="0"/>
                <w:sz w:val="24"/>
              </w:rPr>
            </w:pPr>
            <w:r>
              <w:rPr>
                <w:rFonts w:hint="eastAsia" w:ascii="宋体" w:hAnsi="宋体" w:cs="宋体"/>
                <w:kern w:val="0"/>
                <w:sz w:val="24"/>
              </w:rPr>
              <w:t>……</w:t>
            </w:r>
          </w:p>
        </w:tc>
        <w:tc>
          <w:tcPr>
            <w:tcW w:w="1945" w:type="pct"/>
          </w:tcPr>
          <w:p>
            <w:pPr>
              <w:jc w:val="center"/>
              <w:rPr>
                <w:rFonts w:ascii="宋体" w:hAnsi="宋体" w:cs="宋体"/>
                <w:b/>
                <w:kern w:val="0"/>
                <w:sz w:val="32"/>
                <w:szCs w:val="32"/>
              </w:rPr>
            </w:pPr>
          </w:p>
        </w:tc>
        <w:tc>
          <w:tcPr>
            <w:tcW w:w="1873" w:type="pct"/>
          </w:tcPr>
          <w:p>
            <w:pPr>
              <w:jc w:val="center"/>
              <w:rPr>
                <w:rFonts w:ascii="宋体" w:hAnsi="宋体" w:cs="宋体"/>
                <w:b/>
                <w:kern w:val="0"/>
                <w:sz w:val="32"/>
                <w:szCs w:val="32"/>
              </w:rPr>
            </w:pPr>
          </w:p>
        </w:tc>
        <w:tc>
          <w:tcPr>
            <w:tcW w:w="674" w:type="pct"/>
          </w:tcPr>
          <w:p>
            <w:pPr>
              <w:jc w:val="center"/>
              <w:rPr>
                <w:rFonts w:ascii="宋体" w:hAnsi="宋体" w:cs="宋体"/>
                <w:b/>
                <w:kern w:val="0"/>
                <w:sz w:val="32"/>
                <w:szCs w:val="32"/>
              </w:rPr>
            </w:pPr>
          </w:p>
        </w:tc>
      </w:tr>
    </w:tbl>
    <w:p>
      <w:pPr>
        <w:jc w:val="left"/>
        <w:rPr>
          <w:rFonts w:hint="eastAsia" w:ascii="宋体" w:hAnsi="宋体" w:eastAsia="宋体" w:cs="宋体"/>
          <w:kern w:val="0"/>
          <w:sz w:val="24"/>
          <w:lang w:eastAsia="zh-CN"/>
        </w:rPr>
      </w:pPr>
      <w:r>
        <w:rPr>
          <w:rFonts w:hint="eastAsia" w:ascii="宋体" w:hAnsi="宋体" w:cs="宋体"/>
          <w:kern w:val="0"/>
          <w:sz w:val="24"/>
        </w:rPr>
        <w:t>投标人保证：除商务技术偏离表列出的偏离外，投标人响应招标文件的全部要求</w:t>
      </w:r>
      <w:r>
        <w:rPr>
          <w:rFonts w:hint="eastAsia" w:ascii="宋体" w:hAnsi="宋体" w:cs="宋体"/>
          <w:kern w:val="0"/>
          <w:sz w:val="24"/>
          <w:lang w:eastAsia="zh-CN"/>
        </w:rPr>
        <w:t>（实质性条款需逐条进行响应）。</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rPr>
      </w:pPr>
      <w:r>
        <w:rPr>
          <w:rFonts w:hint="eastAsia" w:ascii="宋体" w:hAnsi="宋体" w:cs="宋体"/>
          <w:color w:val="auto"/>
          <w:sz w:val="24"/>
        </w:rPr>
        <w:t>（采购人）、</w:t>
      </w:r>
      <w:r>
        <w:rPr>
          <w:rFonts w:hint="eastAsia" w:ascii="宋体" w:hAnsi="宋体" w:cs="宋体"/>
          <w:color w:val="auto"/>
          <w:sz w:val="24"/>
          <w:lang w:eastAsia="zh-CN"/>
        </w:rPr>
        <w:t>杭州市公共资源交易中心临安分中心</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w:t>
      </w:r>
      <w:r>
        <w:rPr>
          <w:rFonts w:hint="eastAsia" w:ascii="宋体" w:hAnsi="宋体" w:cs="宋体"/>
          <w:kern w:val="0"/>
          <w:sz w:val="24"/>
          <w:lang w:val="zh-CN"/>
        </w:rPr>
        <w:t>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color w:val="auto"/>
          <w:kern w:val="0"/>
          <w:sz w:val="24"/>
        </w:rPr>
      </w:pPr>
      <w:r>
        <w:rPr>
          <w:rFonts w:hint="eastAsia" w:ascii="宋体" w:hAnsi="宋体" w:cs="宋体"/>
          <w:color w:val="auto"/>
          <w:sz w:val="24"/>
        </w:rPr>
        <w:t>（采购人）、</w:t>
      </w:r>
      <w:r>
        <w:rPr>
          <w:rFonts w:hint="eastAsia" w:ascii="宋体" w:hAnsi="宋体" w:cs="宋体"/>
          <w:color w:val="auto"/>
          <w:sz w:val="24"/>
          <w:lang w:val="en-US" w:eastAsia="zh-CN"/>
        </w:rPr>
        <w:t>杭州市公共资源交易中心临安分中心</w:t>
      </w:r>
      <w:r>
        <w:rPr>
          <w:rFonts w:hint="eastAsia" w:ascii="宋体" w:hAnsi="宋体" w:cs="宋体"/>
          <w:color w:val="auto"/>
          <w:kern w:val="0"/>
          <w:sz w:val="24"/>
          <w:lang w:val="zh-CN"/>
        </w:rPr>
        <w:t>：</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color w:val="auto"/>
          <w:kern w:val="0"/>
          <w:sz w:val="24"/>
          <w:lang w:val="zh-CN"/>
        </w:rPr>
        <w:t>开标一览表（报价表）(单位均为</w:t>
      </w:r>
      <w:r>
        <w:rPr>
          <w:rFonts w:hint="eastAsia" w:ascii="宋体" w:hAnsi="宋体" w:cs="宋体"/>
          <w:b/>
          <w:kern w:val="0"/>
          <w:sz w:val="24"/>
          <w:lang w:val="zh-CN"/>
        </w:rPr>
        <w:t>人民币元)</w:t>
      </w:r>
    </w:p>
    <w:tbl>
      <w:tblPr>
        <w:tblStyle w:val="63"/>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959"/>
        <w:gridCol w:w="2807"/>
        <w:gridCol w:w="1953"/>
        <w:gridCol w:w="1707"/>
        <w:gridCol w:w="1934"/>
        <w:gridCol w:w="1783"/>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39" w:type="pct"/>
            <w:vAlign w:val="center"/>
          </w:tcPr>
          <w:p>
            <w:pPr>
              <w:spacing w:line="360" w:lineRule="auto"/>
              <w:jc w:val="center"/>
              <w:rPr>
                <w:rFonts w:ascii="宋体" w:hAnsi="宋体" w:cs="宋体"/>
                <w:b/>
                <w:sz w:val="24"/>
              </w:rPr>
            </w:pPr>
            <w:r>
              <w:rPr>
                <w:rFonts w:hint="eastAsia" w:ascii="宋体" w:hAnsi="宋体" w:cs="宋体"/>
                <w:b/>
                <w:sz w:val="24"/>
              </w:rPr>
              <w:t>序号</w:t>
            </w:r>
          </w:p>
        </w:tc>
        <w:tc>
          <w:tcPr>
            <w:tcW w:w="675" w:type="pct"/>
            <w:vAlign w:val="center"/>
          </w:tcPr>
          <w:p>
            <w:pPr>
              <w:spacing w:line="360" w:lineRule="auto"/>
              <w:jc w:val="center"/>
              <w:rPr>
                <w:rFonts w:ascii="宋体" w:hAnsi="宋体" w:cs="宋体"/>
                <w:b/>
                <w:sz w:val="24"/>
              </w:rPr>
            </w:pPr>
            <w:r>
              <w:rPr>
                <w:rFonts w:hint="eastAsia" w:ascii="宋体" w:hAnsi="宋体" w:cs="宋体"/>
                <w:b/>
                <w:sz w:val="24"/>
              </w:rPr>
              <w:t>名称</w:t>
            </w:r>
          </w:p>
        </w:tc>
        <w:tc>
          <w:tcPr>
            <w:tcW w:w="967" w:type="pct"/>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w:t>
            </w:r>
          </w:p>
        </w:tc>
        <w:tc>
          <w:tcPr>
            <w:tcW w:w="671" w:type="pct"/>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588" w:type="pct"/>
            <w:vAlign w:val="center"/>
          </w:tcPr>
          <w:p>
            <w:pPr>
              <w:spacing w:line="360" w:lineRule="auto"/>
              <w:jc w:val="center"/>
              <w:rPr>
                <w:rFonts w:ascii="宋体" w:hAnsi="宋体" w:cs="宋体"/>
                <w:b/>
                <w:sz w:val="24"/>
              </w:rPr>
            </w:pPr>
            <w:r>
              <w:rPr>
                <w:rFonts w:hint="eastAsia" w:ascii="宋体" w:hAnsi="宋体" w:cs="宋体"/>
                <w:b/>
                <w:sz w:val="24"/>
              </w:rPr>
              <w:t>数量</w:t>
            </w:r>
          </w:p>
        </w:tc>
        <w:tc>
          <w:tcPr>
            <w:tcW w:w="666" w:type="pct"/>
            <w:vAlign w:val="center"/>
          </w:tcPr>
          <w:p>
            <w:pPr>
              <w:spacing w:line="360" w:lineRule="auto"/>
              <w:jc w:val="center"/>
              <w:rPr>
                <w:rFonts w:hint="eastAsia" w:ascii="宋体" w:hAnsi="宋体" w:cs="宋体"/>
                <w:b/>
                <w:sz w:val="24"/>
                <w:lang w:eastAsia="zh-CN"/>
              </w:rPr>
            </w:pPr>
            <w:r>
              <w:rPr>
                <w:rFonts w:hint="eastAsia" w:ascii="宋体" w:hAnsi="宋体" w:cs="宋体"/>
                <w:b/>
                <w:sz w:val="24"/>
                <w:lang w:eastAsia="zh-CN"/>
              </w:rPr>
              <w:t>单价</w:t>
            </w:r>
          </w:p>
        </w:tc>
        <w:tc>
          <w:tcPr>
            <w:tcW w:w="614" w:type="pct"/>
            <w:vAlign w:val="center"/>
          </w:tcPr>
          <w:p>
            <w:pPr>
              <w:spacing w:line="360" w:lineRule="auto"/>
              <w:jc w:val="center"/>
              <w:rPr>
                <w:rFonts w:hint="eastAsia" w:ascii="宋体" w:hAnsi="宋体" w:eastAsia="宋体" w:cs="宋体"/>
                <w:b/>
                <w:sz w:val="24"/>
                <w:lang w:eastAsia="zh-CN"/>
              </w:rPr>
            </w:pPr>
            <w:r>
              <w:rPr>
                <w:rFonts w:hint="eastAsia" w:ascii="宋体" w:hAnsi="宋体" w:cs="宋体"/>
                <w:b/>
                <w:sz w:val="24"/>
                <w:lang w:eastAsia="zh-CN"/>
              </w:rPr>
              <w:t>合计</w:t>
            </w:r>
          </w:p>
        </w:tc>
        <w:tc>
          <w:tcPr>
            <w:tcW w:w="577" w:type="pct"/>
            <w:vAlign w:val="center"/>
          </w:tcPr>
          <w:p>
            <w:pPr>
              <w:spacing w:line="360" w:lineRule="auto"/>
              <w:jc w:val="center"/>
              <w:rPr>
                <w:rFonts w:ascii="宋体" w:hAnsi="宋体" w:cs="宋体"/>
                <w:b/>
                <w:sz w:val="24"/>
              </w:rPr>
            </w:pPr>
            <w:r>
              <w:rPr>
                <w:rFonts w:hint="eastAsia" w:ascii="宋体" w:hAnsi="宋体" w:cs="宋体"/>
                <w:b/>
                <w:sz w:val="24"/>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9" w:type="pct"/>
            <w:vAlign w:val="center"/>
          </w:tcPr>
          <w:p>
            <w:pPr>
              <w:tabs>
                <w:tab w:val="left" w:pos="0"/>
              </w:tabs>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w:t>
            </w:r>
          </w:p>
        </w:tc>
        <w:tc>
          <w:tcPr>
            <w:tcW w:w="675" w:type="pct"/>
            <w:vAlign w:val="center"/>
          </w:tcPr>
          <w:p>
            <w:pPr>
              <w:tabs>
                <w:tab w:val="left" w:pos="0"/>
              </w:tabs>
              <w:spacing w:line="360" w:lineRule="auto"/>
              <w:jc w:val="center"/>
              <w:rPr>
                <w:rFonts w:hint="eastAsia" w:ascii="宋体" w:hAnsi="宋体" w:eastAsia="宋体" w:cs="宋体"/>
                <w:kern w:val="0"/>
                <w:sz w:val="24"/>
                <w:lang w:val="en-US" w:eastAsia="zh-CN"/>
              </w:rPr>
            </w:pPr>
          </w:p>
        </w:tc>
        <w:tc>
          <w:tcPr>
            <w:tcW w:w="967" w:type="pct"/>
            <w:vAlign w:val="center"/>
          </w:tcPr>
          <w:p>
            <w:pPr>
              <w:snapToGrid w:val="0"/>
              <w:spacing w:line="360" w:lineRule="auto"/>
              <w:jc w:val="center"/>
              <w:rPr>
                <w:rFonts w:ascii="宋体" w:hAnsi="宋体" w:cs="宋体"/>
                <w:color w:val="0000FF"/>
                <w:sz w:val="24"/>
              </w:rPr>
            </w:pPr>
          </w:p>
        </w:tc>
        <w:tc>
          <w:tcPr>
            <w:tcW w:w="671" w:type="pct"/>
            <w:vAlign w:val="center"/>
          </w:tcPr>
          <w:p>
            <w:pPr>
              <w:snapToGrid w:val="0"/>
              <w:spacing w:line="360" w:lineRule="auto"/>
              <w:jc w:val="center"/>
              <w:rPr>
                <w:rFonts w:ascii="宋体" w:hAnsi="宋体" w:cs="宋体"/>
                <w:color w:val="0000FF"/>
                <w:sz w:val="24"/>
              </w:rPr>
            </w:pPr>
          </w:p>
        </w:tc>
        <w:tc>
          <w:tcPr>
            <w:tcW w:w="588" w:type="pct"/>
            <w:vAlign w:val="center"/>
          </w:tcPr>
          <w:p>
            <w:pPr>
              <w:tabs>
                <w:tab w:val="left" w:pos="0"/>
              </w:tabs>
              <w:spacing w:line="360" w:lineRule="auto"/>
              <w:jc w:val="center"/>
              <w:rPr>
                <w:rFonts w:hint="default" w:ascii="宋体" w:hAnsi="宋体" w:eastAsia="宋体" w:cs="宋体"/>
                <w:kern w:val="0"/>
                <w:sz w:val="24"/>
                <w:szCs w:val="24"/>
                <w:lang w:val="en-US" w:eastAsia="zh-CN" w:bidi="ar-SA"/>
              </w:rPr>
            </w:pPr>
          </w:p>
        </w:tc>
        <w:tc>
          <w:tcPr>
            <w:tcW w:w="666" w:type="pct"/>
            <w:vAlign w:val="center"/>
          </w:tcPr>
          <w:p>
            <w:pPr>
              <w:tabs>
                <w:tab w:val="left" w:pos="0"/>
              </w:tabs>
              <w:spacing w:line="360" w:lineRule="auto"/>
              <w:jc w:val="center"/>
              <w:rPr>
                <w:rFonts w:hint="eastAsia" w:ascii="宋体" w:hAnsi="宋体" w:eastAsia="宋体" w:cs="宋体"/>
                <w:kern w:val="0"/>
                <w:sz w:val="24"/>
                <w:lang w:val="en-US" w:eastAsia="zh-CN"/>
              </w:rPr>
            </w:pPr>
          </w:p>
        </w:tc>
        <w:tc>
          <w:tcPr>
            <w:tcW w:w="614" w:type="pct"/>
            <w:vAlign w:val="center"/>
          </w:tcPr>
          <w:p>
            <w:pPr>
              <w:tabs>
                <w:tab w:val="left" w:pos="0"/>
              </w:tabs>
              <w:spacing w:line="360" w:lineRule="auto"/>
              <w:jc w:val="center"/>
              <w:rPr>
                <w:rFonts w:hint="default" w:ascii="宋体" w:hAnsi="宋体" w:eastAsia="宋体" w:cs="宋体"/>
                <w:b/>
                <w:bCs/>
                <w:kern w:val="0"/>
                <w:sz w:val="24"/>
                <w:szCs w:val="24"/>
                <w:highlight w:val="none"/>
                <w:lang w:val="en-US" w:eastAsia="zh-CN" w:bidi="ar-SA"/>
              </w:rPr>
            </w:pPr>
          </w:p>
        </w:tc>
        <w:tc>
          <w:tcPr>
            <w:tcW w:w="577" w:type="pct"/>
            <w:vAlign w:val="center"/>
          </w:tcPr>
          <w:p>
            <w:pPr>
              <w:spacing w:line="360" w:lineRule="auto"/>
              <w:jc w:val="both"/>
              <w:rPr>
                <w:rFonts w:hint="default" w:ascii="宋体" w:hAnsi="宋体" w:eastAsia="宋体" w:cs="宋体"/>
                <w:color w:val="0000FF"/>
                <w:sz w:val="24"/>
                <w:highlight w:val="red"/>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39" w:type="pct"/>
            <w:vAlign w:val="center"/>
          </w:tcPr>
          <w:p>
            <w:pPr>
              <w:tabs>
                <w:tab w:val="left" w:pos="0"/>
              </w:tabs>
              <w:spacing w:line="360" w:lineRule="auto"/>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c>
          <w:tcPr>
            <w:tcW w:w="675" w:type="pct"/>
            <w:vAlign w:val="center"/>
          </w:tcPr>
          <w:p>
            <w:pPr>
              <w:tabs>
                <w:tab w:val="left" w:pos="0"/>
              </w:tabs>
              <w:spacing w:line="360" w:lineRule="auto"/>
              <w:jc w:val="center"/>
              <w:rPr>
                <w:rFonts w:hint="eastAsia" w:ascii="宋体" w:hAnsi="宋体" w:eastAsia="宋体" w:cs="宋体"/>
                <w:kern w:val="0"/>
                <w:sz w:val="24"/>
                <w:lang w:val="en-US" w:eastAsia="zh-CN"/>
              </w:rPr>
            </w:pPr>
          </w:p>
        </w:tc>
        <w:tc>
          <w:tcPr>
            <w:tcW w:w="967" w:type="pct"/>
            <w:vAlign w:val="center"/>
          </w:tcPr>
          <w:p>
            <w:pPr>
              <w:snapToGrid w:val="0"/>
              <w:spacing w:line="360" w:lineRule="auto"/>
              <w:jc w:val="center"/>
              <w:rPr>
                <w:rFonts w:ascii="宋体" w:hAnsi="宋体" w:cs="宋体"/>
                <w:color w:val="0000FF"/>
                <w:sz w:val="24"/>
              </w:rPr>
            </w:pPr>
          </w:p>
        </w:tc>
        <w:tc>
          <w:tcPr>
            <w:tcW w:w="671" w:type="pct"/>
            <w:vAlign w:val="center"/>
          </w:tcPr>
          <w:p>
            <w:pPr>
              <w:snapToGrid w:val="0"/>
              <w:spacing w:line="360" w:lineRule="auto"/>
              <w:jc w:val="center"/>
              <w:rPr>
                <w:rFonts w:ascii="宋体" w:hAnsi="宋体" w:cs="宋体"/>
                <w:color w:val="0000FF"/>
                <w:sz w:val="24"/>
              </w:rPr>
            </w:pPr>
          </w:p>
        </w:tc>
        <w:tc>
          <w:tcPr>
            <w:tcW w:w="588" w:type="pct"/>
            <w:vAlign w:val="center"/>
          </w:tcPr>
          <w:p>
            <w:pPr>
              <w:tabs>
                <w:tab w:val="left" w:pos="0"/>
              </w:tabs>
              <w:spacing w:line="360" w:lineRule="auto"/>
              <w:jc w:val="center"/>
              <w:rPr>
                <w:rFonts w:hint="eastAsia" w:ascii="宋体" w:hAnsi="宋体" w:eastAsia="宋体" w:cs="宋体"/>
                <w:kern w:val="0"/>
                <w:sz w:val="24"/>
                <w:szCs w:val="24"/>
                <w:lang w:val="en-US" w:eastAsia="zh-CN" w:bidi="ar-SA"/>
              </w:rPr>
            </w:pPr>
          </w:p>
        </w:tc>
        <w:tc>
          <w:tcPr>
            <w:tcW w:w="666" w:type="pct"/>
            <w:vAlign w:val="center"/>
          </w:tcPr>
          <w:p>
            <w:pPr>
              <w:tabs>
                <w:tab w:val="left" w:pos="0"/>
              </w:tabs>
              <w:spacing w:line="360" w:lineRule="auto"/>
              <w:jc w:val="center"/>
              <w:rPr>
                <w:rFonts w:hint="eastAsia" w:ascii="宋体" w:hAnsi="宋体" w:eastAsia="宋体" w:cs="宋体"/>
                <w:kern w:val="0"/>
                <w:sz w:val="24"/>
                <w:lang w:val="en-US" w:eastAsia="zh-CN"/>
              </w:rPr>
            </w:pPr>
          </w:p>
        </w:tc>
        <w:tc>
          <w:tcPr>
            <w:tcW w:w="614" w:type="pct"/>
            <w:vAlign w:val="center"/>
          </w:tcPr>
          <w:p>
            <w:pPr>
              <w:tabs>
                <w:tab w:val="left" w:pos="0"/>
              </w:tabs>
              <w:spacing w:line="360" w:lineRule="auto"/>
              <w:jc w:val="center"/>
              <w:rPr>
                <w:rFonts w:hint="default" w:ascii="宋体" w:hAnsi="宋体" w:eastAsia="宋体" w:cs="宋体"/>
                <w:b/>
                <w:bCs/>
                <w:kern w:val="0"/>
                <w:sz w:val="24"/>
                <w:szCs w:val="24"/>
                <w:highlight w:val="none"/>
                <w:lang w:val="en-US" w:eastAsia="zh-CN" w:bidi="ar-SA"/>
              </w:rPr>
            </w:pPr>
          </w:p>
        </w:tc>
        <w:tc>
          <w:tcPr>
            <w:tcW w:w="577" w:type="pct"/>
            <w:vAlign w:val="center"/>
          </w:tcPr>
          <w:p>
            <w:pPr>
              <w:spacing w:line="360" w:lineRule="auto"/>
              <w:jc w:val="center"/>
              <w:rPr>
                <w:rFonts w:hint="default" w:ascii="宋体" w:hAnsi="宋体" w:eastAsia="宋体" w:cs="宋体"/>
                <w:color w:val="0000FF"/>
                <w:sz w:val="24"/>
                <w:highlight w:val="red"/>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39" w:type="pct"/>
            <w:vAlign w:val="center"/>
          </w:tcPr>
          <w:p>
            <w:pPr>
              <w:tabs>
                <w:tab w:val="left" w:pos="0"/>
              </w:tabs>
              <w:spacing w:line="360" w:lineRule="auto"/>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w:t>
            </w:r>
          </w:p>
        </w:tc>
        <w:tc>
          <w:tcPr>
            <w:tcW w:w="675" w:type="pct"/>
            <w:vAlign w:val="center"/>
          </w:tcPr>
          <w:p>
            <w:pPr>
              <w:tabs>
                <w:tab w:val="left" w:pos="0"/>
              </w:tabs>
              <w:spacing w:line="360" w:lineRule="auto"/>
              <w:jc w:val="center"/>
              <w:rPr>
                <w:rFonts w:hint="eastAsia" w:ascii="宋体" w:hAnsi="宋体" w:eastAsia="宋体" w:cs="宋体"/>
                <w:kern w:val="0"/>
                <w:sz w:val="24"/>
                <w:lang w:val="en-US" w:eastAsia="zh-CN"/>
              </w:rPr>
            </w:pPr>
          </w:p>
        </w:tc>
        <w:tc>
          <w:tcPr>
            <w:tcW w:w="967" w:type="pct"/>
            <w:vAlign w:val="center"/>
          </w:tcPr>
          <w:p>
            <w:pPr>
              <w:snapToGrid w:val="0"/>
              <w:spacing w:line="360" w:lineRule="auto"/>
              <w:jc w:val="center"/>
              <w:rPr>
                <w:rFonts w:ascii="宋体" w:hAnsi="宋体" w:cs="宋体"/>
                <w:sz w:val="24"/>
              </w:rPr>
            </w:pPr>
          </w:p>
        </w:tc>
        <w:tc>
          <w:tcPr>
            <w:tcW w:w="671" w:type="pct"/>
            <w:vAlign w:val="center"/>
          </w:tcPr>
          <w:p>
            <w:pPr>
              <w:snapToGrid w:val="0"/>
              <w:spacing w:line="360" w:lineRule="auto"/>
              <w:jc w:val="center"/>
              <w:rPr>
                <w:rFonts w:ascii="宋体" w:hAnsi="宋体" w:cs="宋体"/>
                <w:sz w:val="24"/>
              </w:rPr>
            </w:pPr>
          </w:p>
        </w:tc>
        <w:tc>
          <w:tcPr>
            <w:tcW w:w="588" w:type="pct"/>
            <w:vAlign w:val="center"/>
          </w:tcPr>
          <w:p>
            <w:pPr>
              <w:tabs>
                <w:tab w:val="left" w:pos="0"/>
              </w:tabs>
              <w:spacing w:line="360" w:lineRule="auto"/>
              <w:jc w:val="center"/>
              <w:rPr>
                <w:rFonts w:hint="eastAsia" w:ascii="宋体" w:hAnsi="宋体" w:eastAsia="宋体" w:cs="宋体"/>
                <w:kern w:val="0"/>
                <w:sz w:val="24"/>
                <w:szCs w:val="24"/>
                <w:lang w:val="en-US" w:eastAsia="zh-CN" w:bidi="ar-SA"/>
              </w:rPr>
            </w:pPr>
          </w:p>
        </w:tc>
        <w:tc>
          <w:tcPr>
            <w:tcW w:w="666" w:type="pct"/>
            <w:vAlign w:val="center"/>
          </w:tcPr>
          <w:p>
            <w:pPr>
              <w:tabs>
                <w:tab w:val="left" w:pos="0"/>
              </w:tabs>
              <w:spacing w:line="360" w:lineRule="auto"/>
              <w:jc w:val="center"/>
              <w:rPr>
                <w:rFonts w:hint="eastAsia" w:ascii="宋体" w:hAnsi="宋体" w:eastAsia="宋体" w:cs="宋体"/>
                <w:kern w:val="0"/>
                <w:sz w:val="24"/>
                <w:lang w:val="en-US" w:eastAsia="zh-CN"/>
              </w:rPr>
            </w:pPr>
          </w:p>
        </w:tc>
        <w:tc>
          <w:tcPr>
            <w:tcW w:w="614" w:type="pct"/>
            <w:vAlign w:val="center"/>
          </w:tcPr>
          <w:p>
            <w:pPr>
              <w:tabs>
                <w:tab w:val="left" w:pos="0"/>
              </w:tabs>
              <w:spacing w:line="360" w:lineRule="auto"/>
              <w:jc w:val="center"/>
              <w:rPr>
                <w:rFonts w:hint="default" w:ascii="宋体" w:hAnsi="宋体" w:eastAsia="宋体" w:cs="宋体"/>
                <w:b/>
                <w:bCs/>
                <w:kern w:val="0"/>
                <w:sz w:val="24"/>
                <w:szCs w:val="24"/>
                <w:highlight w:val="none"/>
                <w:lang w:val="en-US" w:eastAsia="zh-CN" w:bidi="ar-SA"/>
              </w:rPr>
            </w:pPr>
          </w:p>
        </w:tc>
        <w:tc>
          <w:tcPr>
            <w:tcW w:w="577" w:type="pct"/>
            <w:vAlign w:val="center"/>
          </w:tcPr>
          <w:p>
            <w:pPr>
              <w:spacing w:line="360" w:lineRule="auto"/>
              <w:jc w:val="center"/>
              <w:rPr>
                <w:rFonts w:hint="default" w:ascii="宋体" w:hAnsi="宋体" w:eastAsia="宋体" w:cs="宋体"/>
                <w:sz w:val="24"/>
                <w:highlight w:val="red"/>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39" w:type="pct"/>
            <w:vAlign w:val="center"/>
          </w:tcPr>
          <w:p>
            <w:pPr>
              <w:spacing w:line="360" w:lineRule="auto"/>
              <w:jc w:val="center"/>
              <w:rPr>
                <w:rFonts w:hint="eastAsia" w:ascii="宋体" w:hAnsi="宋体" w:eastAsia="宋体" w:cs="宋体"/>
                <w:sz w:val="24"/>
                <w:lang w:eastAsia="zh-CN"/>
              </w:rPr>
            </w:pPr>
            <w:r>
              <w:rPr>
                <w:rFonts w:hint="eastAsia" w:ascii="宋体" w:hAnsi="宋体" w:cs="宋体"/>
                <w:sz w:val="24"/>
                <w:lang w:eastAsia="zh-CN"/>
              </w:rPr>
              <w:t>……</w:t>
            </w:r>
          </w:p>
        </w:tc>
        <w:tc>
          <w:tcPr>
            <w:tcW w:w="675" w:type="pct"/>
            <w:vAlign w:val="center"/>
          </w:tcPr>
          <w:p>
            <w:pPr>
              <w:snapToGrid w:val="0"/>
              <w:spacing w:line="360" w:lineRule="auto"/>
              <w:jc w:val="center"/>
              <w:rPr>
                <w:rFonts w:ascii="宋体" w:hAnsi="宋体" w:cs="宋体"/>
                <w:sz w:val="24"/>
              </w:rPr>
            </w:pPr>
          </w:p>
        </w:tc>
        <w:tc>
          <w:tcPr>
            <w:tcW w:w="967" w:type="pct"/>
            <w:vAlign w:val="center"/>
          </w:tcPr>
          <w:p>
            <w:pPr>
              <w:snapToGrid w:val="0"/>
              <w:spacing w:line="360" w:lineRule="auto"/>
              <w:jc w:val="center"/>
              <w:rPr>
                <w:rFonts w:ascii="宋体" w:hAnsi="宋体" w:cs="宋体"/>
                <w:sz w:val="24"/>
              </w:rPr>
            </w:pPr>
          </w:p>
        </w:tc>
        <w:tc>
          <w:tcPr>
            <w:tcW w:w="671" w:type="pct"/>
            <w:vAlign w:val="center"/>
          </w:tcPr>
          <w:p>
            <w:pPr>
              <w:snapToGrid w:val="0"/>
              <w:spacing w:line="360" w:lineRule="auto"/>
              <w:jc w:val="center"/>
              <w:rPr>
                <w:rFonts w:ascii="宋体" w:hAnsi="宋体" w:cs="宋体"/>
                <w:sz w:val="24"/>
              </w:rPr>
            </w:pPr>
          </w:p>
        </w:tc>
        <w:tc>
          <w:tcPr>
            <w:tcW w:w="588" w:type="pct"/>
            <w:vAlign w:val="center"/>
          </w:tcPr>
          <w:p>
            <w:pPr>
              <w:snapToGrid w:val="0"/>
              <w:spacing w:line="360" w:lineRule="auto"/>
              <w:jc w:val="center"/>
              <w:rPr>
                <w:rFonts w:ascii="宋体" w:hAnsi="宋体" w:cs="宋体"/>
                <w:sz w:val="24"/>
              </w:rPr>
            </w:pPr>
          </w:p>
        </w:tc>
        <w:tc>
          <w:tcPr>
            <w:tcW w:w="666" w:type="pct"/>
            <w:vAlign w:val="center"/>
          </w:tcPr>
          <w:p>
            <w:pPr>
              <w:spacing w:line="360" w:lineRule="auto"/>
              <w:jc w:val="center"/>
              <w:rPr>
                <w:rFonts w:ascii="宋体" w:hAnsi="宋体" w:cs="宋体"/>
                <w:sz w:val="24"/>
              </w:rPr>
            </w:pPr>
          </w:p>
        </w:tc>
        <w:tc>
          <w:tcPr>
            <w:tcW w:w="614" w:type="pct"/>
            <w:vAlign w:val="center"/>
          </w:tcPr>
          <w:p>
            <w:pPr>
              <w:spacing w:line="360" w:lineRule="auto"/>
              <w:jc w:val="center"/>
              <w:rPr>
                <w:rFonts w:ascii="宋体" w:hAnsi="宋体" w:cs="宋体"/>
                <w:sz w:val="24"/>
              </w:rPr>
            </w:pPr>
          </w:p>
        </w:tc>
        <w:tc>
          <w:tcPr>
            <w:tcW w:w="577" w:type="pct"/>
            <w:vAlign w:val="center"/>
          </w:tcPr>
          <w:p>
            <w:pPr>
              <w:spacing w:line="360" w:lineRule="auto"/>
              <w:jc w:val="center"/>
              <w:rPr>
                <w:rFonts w:hint="default" w:ascii="宋体" w:hAnsi="宋体" w:eastAsia="宋体" w:cs="宋体"/>
                <w:sz w:val="24"/>
                <w:highlight w:val="red"/>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39" w:type="pct"/>
            <w:vAlign w:val="center"/>
          </w:tcPr>
          <w:p>
            <w:pPr>
              <w:spacing w:line="360" w:lineRule="auto"/>
              <w:jc w:val="center"/>
              <w:rPr>
                <w:rFonts w:hint="eastAsia" w:ascii="宋体" w:hAnsi="宋体" w:cs="宋体"/>
                <w:sz w:val="24"/>
                <w:lang w:eastAsia="zh-CN"/>
              </w:rPr>
            </w:pPr>
          </w:p>
        </w:tc>
        <w:tc>
          <w:tcPr>
            <w:tcW w:w="675" w:type="pct"/>
            <w:vAlign w:val="center"/>
          </w:tcPr>
          <w:p>
            <w:pPr>
              <w:snapToGrid w:val="0"/>
              <w:spacing w:line="360" w:lineRule="auto"/>
              <w:jc w:val="center"/>
              <w:rPr>
                <w:rFonts w:ascii="宋体" w:hAnsi="宋体" w:cs="宋体"/>
                <w:sz w:val="24"/>
              </w:rPr>
            </w:pPr>
          </w:p>
        </w:tc>
        <w:tc>
          <w:tcPr>
            <w:tcW w:w="967" w:type="pct"/>
            <w:vAlign w:val="center"/>
          </w:tcPr>
          <w:p>
            <w:pPr>
              <w:snapToGrid w:val="0"/>
              <w:spacing w:line="360" w:lineRule="auto"/>
              <w:jc w:val="center"/>
              <w:rPr>
                <w:rFonts w:ascii="宋体" w:hAnsi="宋体" w:cs="宋体"/>
                <w:sz w:val="24"/>
              </w:rPr>
            </w:pPr>
          </w:p>
        </w:tc>
        <w:tc>
          <w:tcPr>
            <w:tcW w:w="671" w:type="pct"/>
            <w:vAlign w:val="center"/>
          </w:tcPr>
          <w:p>
            <w:pPr>
              <w:snapToGrid w:val="0"/>
              <w:spacing w:line="360" w:lineRule="auto"/>
              <w:jc w:val="center"/>
              <w:rPr>
                <w:rFonts w:ascii="宋体" w:hAnsi="宋体" w:cs="宋体"/>
                <w:sz w:val="24"/>
              </w:rPr>
            </w:pPr>
          </w:p>
        </w:tc>
        <w:tc>
          <w:tcPr>
            <w:tcW w:w="588" w:type="pct"/>
            <w:vAlign w:val="center"/>
          </w:tcPr>
          <w:p>
            <w:pPr>
              <w:snapToGrid w:val="0"/>
              <w:spacing w:line="360" w:lineRule="auto"/>
              <w:jc w:val="center"/>
              <w:rPr>
                <w:rFonts w:ascii="宋体" w:hAnsi="宋体" w:cs="宋体"/>
                <w:sz w:val="24"/>
              </w:rPr>
            </w:pPr>
          </w:p>
        </w:tc>
        <w:tc>
          <w:tcPr>
            <w:tcW w:w="666" w:type="pct"/>
            <w:vAlign w:val="center"/>
          </w:tcPr>
          <w:p>
            <w:pPr>
              <w:spacing w:line="360" w:lineRule="auto"/>
              <w:jc w:val="center"/>
              <w:rPr>
                <w:rFonts w:ascii="宋体" w:hAnsi="宋体" w:cs="宋体"/>
                <w:sz w:val="24"/>
              </w:rPr>
            </w:pPr>
          </w:p>
        </w:tc>
        <w:tc>
          <w:tcPr>
            <w:tcW w:w="614" w:type="pct"/>
            <w:vAlign w:val="center"/>
          </w:tcPr>
          <w:p>
            <w:pPr>
              <w:spacing w:line="360" w:lineRule="auto"/>
              <w:jc w:val="center"/>
              <w:rPr>
                <w:rFonts w:ascii="宋体" w:hAnsi="宋体" w:cs="宋体"/>
                <w:sz w:val="24"/>
              </w:rPr>
            </w:pPr>
          </w:p>
        </w:tc>
        <w:tc>
          <w:tcPr>
            <w:tcW w:w="577" w:type="pct"/>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554" w:type="pct"/>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2445" w:type="pct"/>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554" w:type="pct"/>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2445" w:type="pct"/>
            <w:gridSpan w:val="4"/>
            <w:vAlign w:val="center"/>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kern w:val="0"/>
          <w:sz w:val="24"/>
          <w:highlight w:val="none"/>
          <w:lang w:val="zh-CN"/>
        </w:rPr>
        <w:t>2、有关本项目实施所涉及的一切费用均计入报价。总价不为零，报价明细表中部分产品、服务单价为零的，视作已包含在总价中。</w:t>
      </w:r>
      <w:r>
        <w:rPr>
          <w:rFonts w:hint="eastAsia" w:ascii="宋体" w:hAnsi="宋体" w:cs="宋体"/>
          <w:b/>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sz w:val="24"/>
          <w:highlight w:val="cyan"/>
        </w:rPr>
      </w:pPr>
      <w:r>
        <w:rPr>
          <w:rFonts w:hint="eastAsia" w:ascii="宋体" w:hAnsi="宋体" w:cs="宋体"/>
          <w:b/>
          <w:sz w:val="24"/>
          <w:highlight w:val="none"/>
        </w:rPr>
        <w:t>5、特别说明：供应商报价低于项目预算50%的，应当在报价文件中详细阐述不影响产品质量或者诚信履约的具体原因。</w:t>
      </w:r>
    </w:p>
    <w:p>
      <w:pPr>
        <w:spacing w:line="360" w:lineRule="auto"/>
        <w:ind w:firstLine="482" w:firstLineChars="200"/>
        <w:rPr>
          <w:rFonts w:ascii="宋体" w:hAnsi="宋体" w:cs="宋体"/>
          <w:b/>
          <w:kern w:val="0"/>
          <w:sz w:val="24"/>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w:t>
      </w:r>
      <w:bookmarkStart w:id="553" w:name="_Hlk101259491"/>
      <w:r>
        <w:rPr>
          <w:rFonts w:hint="eastAsia" w:ascii="宋体" w:hAnsi="宋体" w:eastAsia="宋体" w:cs="宋体"/>
          <w:color w:val="auto"/>
          <w:sz w:val="32"/>
          <w:szCs w:val="32"/>
        </w:rPr>
        <w:t>（如果有）</w:t>
      </w:r>
      <w:bookmarkEnd w:id="553"/>
    </w:p>
    <w:p>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pStyle w:val="690"/>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54" w:name="_Toc465665161"/>
      <w:r>
        <w:rPr>
          <w:rFonts w:hint="eastAsia" w:ascii="宋体" w:hAnsi="宋体" w:cs="宋体"/>
        </w:rPr>
        <w:t>附件</w:t>
      </w:r>
      <w:bookmarkEnd w:id="554"/>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55" w:name="OLE_LINK14"/>
      <w:bookmarkStart w:id="556" w:name="OLE_LINK13"/>
      <w:r>
        <w:rPr>
          <w:rFonts w:hint="eastAsia" w:ascii="宋体" w:hAnsi="宋体" w:cs="宋体"/>
          <w:b/>
          <w:spacing w:val="6"/>
          <w:sz w:val="32"/>
          <w:szCs w:val="32"/>
        </w:rPr>
        <w:t>残疾人福利性单位声明函</w:t>
      </w:r>
    </w:p>
    <w:bookmarkEnd w:id="555"/>
    <w:bookmarkEnd w:id="556"/>
    <w:p>
      <w:pPr>
        <w:spacing w:line="360" w:lineRule="auto"/>
        <w:rPr>
          <w:rFonts w:ascii="宋体" w:hAnsi="宋体" w:cs="宋体"/>
          <w:b/>
          <w:spacing w:val="6"/>
          <w:sz w:val="30"/>
          <w:szCs w:val="30"/>
        </w:rPr>
      </w:pPr>
    </w:p>
    <w:p>
      <w:pPr>
        <w:spacing w:line="360" w:lineRule="auto"/>
        <w:ind w:firstLine="480" w:firstLineChars="200"/>
        <w:rPr>
          <w:rFonts w:ascii="宋体" w:hAnsi="宋体" w:cs="宋体"/>
          <w:color w:val="auto"/>
          <w:sz w:val="24"/>
        </w:rPr>
      </w:pPr>
      <w:r>
        <w:rPr>
          <w:rFonts w:hint="eastAsia" w:ascii="宋体" w:hAnsi="宋体" w:cs="宋体"/>
          <w:sz w:val="24"/>
        </w:rPr>
        <w:t>本单位郑重声明，根据《</w:t>
      </w:r>
      <w:r>
        <w:rPr>
          <w:rFonts w:hint="eastAsia" w:ascii="宋体" w:hAnsi="宋体" w:cs="宋体"/>
          <w:color w:val="auto"/>
          <w:sz w:val="24"/>
        </w:rPr>
        <w:t>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pPr>
        <w:spacing w:line="360" w:lineRule="auto"/>
        <w:ind w:firstLine="480" w:firstLineChars="200"/>
        <w:rPr>
          <w:rFonts w:ascii="宋体" w:hAnsi="宋体" w:cs="宋体"/>
          <w:color w:val="auto"/>
          <w:sz w:val="24"/>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rPr>
        <w:t>（采购人）、（采购代理机构）：</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投标</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bookmarkStart w:id="557"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57"/>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color w:val="auto"/>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w:t>
      </w:r>
      <w:r>
        <w:rPr>
          <w:rFonts w:hint="eastAsia" w:ascii="宋体" w:hAnsi="宋体" w:cs="宋体"/>
          <w:b/>
          <w:color w:val="auto"/>
          <w:sz w:val="24"/>
        </w:rPr>
        <w:t>合同的，则不需要提供。</w:t>
      </w:r>
      <w:r>
        <w:rPr>
          <w:rFonts w:hint="eastAsia" w:ascii="宋体" w:hAnsi="宋体" w:cs="宋体"/>
          <w:color w:val="auto"/>
          <w:sz w:val="24"/>
        </w:rPr>
        <w:t>）</w:t>
      </w:r>
    </w:p>
    <w:p>
      <w:pPr>
        <w:snapToGrid w:val="0"/>
        <w:spacing w:line="360" w:lineRule="auto"/>
        <w:ind w:firstLine="576"/>
        <w:rPr>
          <w:rFonts w:ascii="宋体" w:hAnsi="宋体" w:cs="宋体"/>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w:t>
      </w:r>
      <w:r>
        <w:rPr>
          <w:rFonts w:hint="eastAsia" w:ascii="宋体" w:hAnsi="宋体" w:cs="宋体"/>
          <w:kern w:val="0"/>
          <w:sz w:val="24"/>
          <w:u w:val="single"/>
        </w:rPr>
        <w:t>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58"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58"/>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pStyle w:val="4"/>
        <w:rPr>
          <w:rFonts w:ascii="宋体" w:hAnsi="宋体" w:cs="宋体"/>
          <w:b/>
          <w:spacing w:val="6"/>
          <w:sz w:val="32"/>
          <w:szCs w:val="32"/>
        </w:rPr>
      </w:pPr>
    </w:p>
    <w:p>
      <w:pPr>
        <w:rPr>
          <w:rFonts w:ascii="宋体" w:hAnsi="宋体" w:cs="宋体"/>
          <w:b/>
          <w:spacing w:val="6"/>
          <w:sz w:val="32"/>
          <w:szCs w:val="32"/>
        </w:rPr>
      </w:pPr>
    </w:p>
    <w:p>
      <w:pPr>
        <w:pStyle w:val="4"/>
        <w:rPr>
          <w:rFonts w:ascii="宋体" w:hAnsi="宋体" w:cs="宋体"/>
          <w:b/>
          <w:spacing w:val="6"/>
          <w:sz w:val="32"/>
          <w:szCs w:val="32"/>
        </w:rPr>
      </w:pPr>
    </w:p>
    <w:p>
      <w:pPr>
        <w:rPr>
          <w:rFonts w:ascii="宋体" w:hAnsi="宋体" w:cs="宋体"/>
          <w:b/>
          <w:spacing w:val="6"/>
          <w:sz w:val="32"/>
          <w:szCs w:val="32"/>
        </w:rPr>
      </w:pPr>
    </w:p>
    <w:p>
      <w:pPr>
        <w:pStyle w:val="4"/>
        <w:rPr>
          <w:rFonts w:ascii="宋体" w:hAnsi="宋体" w:cs="宋体"/>
          <w:b/>
          <w:spacing w:val="6"/>
          <w:sz w:val="32"/>
          <w:szCs w:val="32"/>
        </w:rPr>
      </w:pPr>
    </w:p>
    <w:p>
      <w:pPr>
        <w:rPr>
          <w:rFonts w:ascii="宋体" w:hAnsi="宋体" w:cs="宋体"/>
          <w:b/>
          <w:spacing w:val="6"/>
          <w:sz w:val="32"/>
          <w:szCs w:val="32"/>
        </w:rPr>
      </w:pPr>
    </w:p>
    <w:p>
      <w:pPr>
        <w:pStyle w:val="4"/>
        <w:rPr>
          <w:rFonts w:ascii="宋体" w:hAnsi="宋体" w:cs="宋体"/>
          <w:b/>
          <w:spacing w:val="6"/>
          <w:sz w:val="32"/>
          <w:szCs w:val="32"/>
        </w:rPr>
      </w:pPr>
    </w:p>
    <w:p>
      <w:pPr>
        <w:rPr>
          <w:rFonts w:ascii="宋体" w:hAnsi="宋体" w:cs="宋体"/>
          <w:b/>
          <w:spacing w:val="6"/>
          <w:sz w:val="32"/>
          <w:szCs w:val="32"/>
        </w:rPr>
      </w:pPr>
    </w:p>
    <w:p>
      <w:pPr>
        <w:pStyle w:val="4"/>
        <w:rPr>
          <w:rFonts w:ascii="宋体" w:hAnsi="宋体" w:cs="宋体"/>
          <w:b/>
          <w:spacing w:val="6"/>
          <w:sz w:val="32"/>
          <w:szCs w:val="32"/>
        </w:rPr>
      </w:pPr>
    </w:p>
    <w:p>
      <w:pP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7</w:t>
      </w:r>
      <w:r>
        <w:rPr>
          <w:rFonts w:hint="eastAsia" w:ascii="宋体" w:hAnsi="宋体" w:cs="宋体"/>
          <w:b/>
          <w:kern w:val="0"/>
          <w:sz w:val="32"/>
          <w:szCs w:val="32"/>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color w:val="auto"/>
          <w:sz w:val="24"/>
        </w:rPr>
      </w:pPr>
      <w:r>
        <w:rPr>
          <w:rFonts w:hint="eastAsia" w:ascii="宋体" w:hAnsi="宋体" w:cs="宋体"/>
          <w:sz w:val="24"/>
        </w:rPr>
        <w:t>本公司（联合体）郑重声明，根据《政府采购促进中小企业发展管理办法》（财库﹝2020﹞46 号）的规定，本</w:t>
      </w:r>
      <w:r>
        <w:rPr>
          <w:rFonts w:hint="eastAsia" w:ascii="宋体" w:hAnsi="宋体" w:cs="宋体"/>
          <w:color w:val="auto"/>
          <w:sz w:val="24"/>
        </w:rPr>
        <w:t xml:space="preserve">公司（联合体）参加 </w:t>
      </w:r>
      <w:r>
        <w:rPr>
          <w:rFonts w:hint="eastAsia" w:ascii="宋体" w:hAnsi="宋体" w:cs="宋体"/>
          <w:color w:val="auto"/>
          <w:sz w:val="24"/>
          <w:u w:val="single"/>
        </w:rPr>
        <w:t xml:space="preserve">（采购人） </w:t>
      </w:r>
      <w:r>
        <w:rPr>
          <w:rFonts w:hint="eastAsia" w:ascii="宋体" w:hAnsi="宋体" w:cs="宋体"/>
          <w:color w:val="auto"/>
          <w:sz w:val="24"/>
        </w:rPr>
        <w:t xml:space="preserve">的 </w:t>
      </w:r>
      <w:r>
        <w:rPr>
          <w:rFonts w:hint="eastAsia" w:ascii="宋体" w:hAnsi="宋体" w:cs="宋体"/>
          <w:color w:val="auto"/>
          <w:sz w:val="24"/>
          <w:u w:val="single"/>
        </w:rPr>
        <w:t>（项目名称）</w:t>
      </w:r>
      <w:r>
        <w:rPr>
          <w:rFonts w:hint="eastAsia" w:ascii="宋体" w:hAnsi="宋体" w:cs="宋体"/>
          <w:color w:val="auto"/>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pPr>
        <w:spacing w:line="360" w:lineRule="auto"/>
        <w:ind w:firstLine="480" w:firstLineChars="200"/>
        <w:rPr>
          <w:rFonts w:ascii="宋体" w:hAnsi="宋体" w:cs="宋体"/>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pStyle w:val="24"/>
        <w:jc w:val="both"/>
        <w:rPr>
          <w:rFonts w:hint="eastAsia" w:cs="仿宋_GB2312" w:asciiTheme="minorEastAsia" w:hAnsiTheme="minorEastAsia" w:eastAsiaTheme="minorEastAsia"/>
          <w:b/>
          <w:sz w:val="32"/>
          <w:szCs w:val="32"/>
        </w:rPr>
      </w:pPr>
    </w:p>
    <w:p>
      <w:pPr>
        <w:pStyle w:val="24"/>
        <w:jc w:val="both"/>
        <w:rPr>
          <w:rFonts w:hint="eastAsia" w:cs="仿宋_GB2312" w:asciiTheme="minorEastAsia" w:hAnsiTheme="minorEastAsia" w:eastAsiaTheme="minorEastAsia"/>
          <w:b/>
          <w:sz w:val="32"/>
          <w:szCs w:val="32"/>
        </w:rPr>
      </w:pPr>
    </w:p>
    <w:p>
      <w:pPr>
        <w:pStyle w:val="25"/>
        <w:rPr>
          <w:rFonts w:hint="eastAsia" w:cs="仿宋_GB2312" w:asciiTheme="minorEastAsia" w:hAnsiTheme="minorEastAsia" w:eastAsiaTheme="minorEastAsia"/>
          <w:b/>
          <w:sz w:val="32"/>
          <w:szCs w:val="32"/>
        </w:rPr>
      </w:pPr>
    </w:p>
    <w:p>
      <w:pPr>
        <w:rPr>
          <w:rFonts w:hint="eastAsia" w:cs="仿宋_GB2312" w:asciiTheme="minorEastAsia" w:hAnsiTheme="minorEastAsia" w:eastAsiaTheme="minorEastAsia"/>
          <w:b/>
          <w:sz w:val="32"/>
          <w:szCs w:val="32"/>
        </w:rPr>
      </w:pPr>
    </w:p>
    <w:p>
      <w:pPr>
        <w:pStyle w:val="2"/>
        <w:rPr>
          <w:rFonts w:hint="eastAsia"/>
        </w:rPr>
      </w:pPr>
    </w:p>
    <w:p>
      <w:pPr>
        <w:pStyle w:val="24"/>
        <w:jc w:val="both"/>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sz w:val="32"/>
          <w:szCs w:val="32"/>
        </w:rPr>
        <w:t>附件</w:t>
      </w:r>
      <w:r>
        <w:rPr>
          <w:rFonts w:hint="eastAsia" w:asciiTheme="minorEastAsia" w:hAnsiTheme="minorEastAsia" w:eastAsiaTheme="minorEastAsia" w:cstheme="minorEastAsia"/>
          <w:b/>
          <w:sz w:val="32"/>
          <w:szCs w:val="32"/>
          <w:lang w:val="en-US" w:eastAsia="zh-CN"/>
        </w:rPr>
        <w:t>8:</w:t>
      </w:r>
      <w:r>
        <w:rPr>
          <w:rFonts w:hint="eastAsia" w:asciiTheme="minorEastAsia" w:hAnsiTheme="minorEastAsia" w:eastAsiaTheme="minorEastAsia" w:cstheme="minorEastAsia"/>
          <w:b/>
          <w:bCs/>
          <w:sz w:val="32"/>
          <w:szCs w:val="32"/>
          <w:lang w:val="en-US" w:eastAsia="zh-CN"/>
        </w:rPr>
        <w:t>（开标记录开启后，请将此附件填写完整发送至邮箱： 3692652350@qq.com）</w:t>
      </w:r>
    </w:p>
    <w:p>
      <w:pPr>
        <w:pStyle w:val="24"/>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政府采购活动现场确认声明书</w:t>
      </w:r>
    </w:p>
    <w:p>
      <w:pPr>
        <w:pStyle w:val="24"/>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杭州市公共资源交易中心临安分中心</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w:t>
      </w:r>
    </w:p>
    <w:p>
      <w:pPr>
        <w:pStyle w:val="24"/>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本人 ____________（授权代表姓名），经由______________________________（单位） ____________ （法定代表人姓名）合法授权参加</w:t>
      </w:r>
      <w:r>
        <w:rPr>
          <w:rFonts w:hint="eastAsia" w:asciiTheme="minorEastAsia" w:hAnsiTheme="minorEastAsia" w:eastAsiaTheme="minorEastAsia" w:cstheme="minorEastAsia"/>
          <w:sz w:val="24"/>
          <w:szCs w:val="24"/>
          <w:lang w:eastAsia="zh-CN"/>
        </w:rPr>
        <w:t>项目名称：</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（编号：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）政府采购活动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经与本单位法人代表（负责人）联系确认，现就有关公平竞争事项郑重声明如下: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一、</w:t>
      </w:r>
      <w:r>
        <w:rPr>
          <w:rFonts w:hint="eastAsia" w:asciiTheme="minorEastAsia" w:hAnsiTheme="minorEastAsia" w:eastAsiaTheme="minorEastAsia" w:cstheme="minorEastAsia"/>
          <w:sz w:val="24"/>
          <w:szCs w:val="24"/>
        </w:rPr>
        <w:t>本单位与采购人之间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不存在利害关系</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存在下列利害关系:</w:t>
      </w:r>
    </w:p>
    <w:p>
      <w:pPr>
        <w:pStyle w:val="24"/>
        <w:keepNext w:val="0"/>
        <w:keepLines w:val="0"/>
        <w:pageBreakBefore w:val="0"/>
        <w:widowControl w:val="0"/>
        <w:numPr>
          <w:ilvl w:val="0"/>
          <w:numId w:val="3"/>
        </w:numPr>
        <w:kinsoku/>
        <w:wordWrap/>
        <w:overflowPunct/>
        <w:topLinePunct w:val="0"/>
        <w:autoSpaceDE w:val="0"/>
        <w:autoSpaceDN w:val="0"/>
        <w:bidi w:val="0"/>
        <w:adjustRightInd w:val="0"/>
        <w:snapToGrid/>
        <w:spacing w:line="400" w:lineRule="exact"/>
        <w:ind w:left="120" w:lef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投资关系 B．行政隶属关系 C．业务指导关系</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12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D．其他可能影响采购公正的利害关系（如有，请如实说明）。</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二、现己清楚知道参加本项目采购活动的其他所有供应商名称，本单位</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与其他所有供应商之间均不存在利害关系</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 xml:space="preserve">与______________（供应商名称）之间存在下列利害关系: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A．法定代表人或负责人或实际控制人是同一人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B．法定代表人或负责人或实际控制人是夫妻关系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C．法定代表人或负责人或实际控制人是直系血亲关系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D．法定代表人或负责人或实际控制人存在三代以内旁系血亲关系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E．法定代表人或负责人或实际控制人存在近姻亲关系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F．法定代表人或负责人或实际控制人存在股份控制或实际控制关系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G．存在共同直接或间接投资设立子公司、联营企业和合营企业情况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H．存在分级代理或代销关系、同一生产制造商关系、管理关系、重要业务（占主营业务收入 50 ％以上）或重要财务 往来关系（如融资）等其他实质性控制关系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I．其他利害关系情况 ___________________________。</w:t>
      </w:r>
      <w:r>
        <w:rPr>
          <w:rFonts w:hint="eastAsia" w:asciiTheme="minorEastAsia" w:hAnsiTheme="minorEastAsia" w:eastAsiaTheme="minorEastAsia" w:cstheme="minorEastAsia"/>
          <w:sz w:val="24"/>
          <w:szCs w:val="24"/>
          <w:lang w:eastAsia="zh-CN"/>
        </w:rPr>
        <w:t>（如未填写，视同“无”）</w:t>
      </w:r>
      <w:r>
        <w:rPr>
          <w:rFonts w:hint="eastAsia" w:asciiTheme="minorEastAsia" w:hAnsiTheme="minorEastAsia" w:eastAsiaTheme="minorEastAsia" w:cstheme="minorEastAsia"/>
          <w:sz w:val="24"/>
          <w:szCs w:val="24"/>
        </w:rPr>
        <w:t xml:space="preserve">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三、现己清楚知道并严格遵守政府采购法律法规。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四、我发现 ____________________供应商之间存在或可能存在上述第二条第 ____________项利害关系。 </w:t>
      </w:r>
      <w:r>
        <w:rPr>
          <w:rFonts w:hint="eastAsia" w:asciiTheme="minorEastAsia" w:hAnsiTheme="minorEastAsia" w:eastAsiaTheme="minorEastAsia" w:cstheme="minorEastAsia"/>
          <w:sz w:val="24"/>
          <w:szCs w:val="24"/>
          <w:lang w:eastAsia="zh-CN"/>
        </w:rPr>
        <w:t>（如未填写，视同“无”）</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w:t>
      </w:r>
      <w:r>
        <w:rPr>
          <w:rFonts w:hint="eastAsia" w:asciiTheme="minorEastAsia" w:hAnsiTheme="minorEastAsia" w:eastAsiaTheme="minorEastAsia" w:cstheme="minorEastAsia"/>
          <w:kern w:val="0"/>
          <w:sz w:val="24"/>
          <w:lang w:val="zh-CN"/>
        </w:rPr>
        <w:t>名称（签章）：</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供应商代表</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签名</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 xml:space="preserve">: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ascii="宋体" w:hAnsi="宋体" w:cs="宋体"/>
          <w:b/>
          <w:sz w:val="32"/>
          <w:szCs w:val="32"/>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w:t>
      </w:r>
    </w:p>
    <w:p>
      <w:pPr>
        <w:spacing w:line="360" w:lineRule="auto"/>
        <w:jc w:val="center"/>
        <w:rPr>
          <w:rFonts w:ascii="宋体" w:hAnsi="宋体" w:cs="宋体"/>
          <w:b/>
          <w:sz w:val="32"/>
          <w:szCs w:val="32"/>
        </w:rPr>
      </w:pPr>
    </w:p>
    <w:p>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moder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Wingdings 2">
    <w:panose1 w:val="050201020105070707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3"/>
      </w:rPr>
    </w:pPr>
    <w:r>
      <w:fldChar w:fldCharType="begin"/>
    </w:r>
    <w:r>
      <w:rPr>
        <w:rStyle w:val="73"/>
      </w:rPr>
      <w:instrText xml:space="preserve">PAGE  </w:instrText>
    </w:r>
    <w:r>
      <w:fldChar w:fldCharType="end"/>
    </w:r>
  </w:p>
  <w:p>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9" w:name="_Toc36110187"/>
    <w:bookmarkStart w:id="560" w:name="_Toc91899912"/>
    <w:bookmarkStart w:id="561" w:name="_Toc164085800"/>
    <w:bookmarkStart w:id="562" w:name="_Toc131845147"/>
    <w:r>
      <w:rPr>
        <w:rFonts w:hint="eastAsia" w:ascii="仿宋_GB2312" w:eastAsia="仿宋_GB2312"/>
        <w:kern w:val="0"/>
        <w:szCs w:val="21"/>
      </w:rPr>
      <w:t xml:space="preserve"> 页</w:t>
    </w:r>
    <w:bookmarkEnd w:id="559"/>
    <w:bookmarkEnd w:id="560"/>
    <w:bookmarkEnd w:id="561"/>
    <w:bookmarkEnd w:id="56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3"/>
      </w:rPr>
    </w:pPr>
    <w:r>
      <w:fldChar w:fldCharType="begin"/>
    </w:r>
    <w:r>
      <w:rPr>
        <w:rStyle w:val="73"/>
      </w:rPr>
      <w:instrText xml:space="preserve">PAGE  </w:instrText>
    </w:r>
    <w: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w:t>
    </w:r>
    <w:r>
      <w:rPr>
        <w:rFonts w:hint="eastAsia"/>
      </w:rPr>
      <w:t xml:space="preserve">             </w:t>
    </w:r>
    <w:r>
      <w:t>杭州市政府采购公开招标文件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D5B66"/>
    <w:multiLevelType w:val="singleLevel"/>
    <w:tmpl w:val="941D5B66"/>
    <w:lvl w:ilvl="0" w:tentative="0">
      <w:start w:val="4"/>
      <w:numFmt w:val="decimal"/>
      <w:lvlText w:val="%1."/>
      <w:lvlJc w:val="left"/>
      <w:pPr>
        <w:tabs>
          <w:tab w:val="left" w:pos="312"/>
        </w:tabs>
      </w:pPr>
    </w:lvl>
  </w:abstractNum>
  <w:abstractNum w:abstractNumId="1">
    <w:nsid w:val="0A060BBE"/>
    <w:multiLevelType w:val="singleLevel"/>
    <w:tmpl w:val="0A060BBE"/>
    <w:lvl w:ilvl="0" w:tentative="0">
      <w:start w:val="1"/>
      <w:numFmt w:val="upperLetter"/>
      <w:suff w:val="nothing"/>
      <w:lvlText w:val="%1．"/>
      <w:lvlJc w:val="left"/>
      <w:pPr>
        <w:ind w:left="120" w:leftChars="0" w:firstLine="0" w:firstLineChars="0"/>
      </w:pPr>
    </w:lvl>
  </w:abstractNum>
  <w:abstractNum w:abstractNumId="2">
    <w:nsid w:val="6E230785"/>
    <w:multiLevelType w:val="multilevel"/>
    <w:tmpl w:val="6E230785"/>
    <w:lvl w:ilvl="0" w:tentative="0">
      <w:start w:val="1"/>
      <w:numFmt w:val="bullet"/>
      <w:pStyle w:val="965"/>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YmY4OGYyYWMxMWVhZDVhNmM4YzZhN2FjM2FiMz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24798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841744"/>
    <w:rsid w:val="038968B5"/>
    <w:rsid w:val="03DD35E4"/>
    <w:rsid w:val="04076900"/>
    <w:rsid w:val="041A5A3B"/>
    <w:rsid w:val="042311BA"/>
    <w:rsid w:val="042B157A"/>
    <w:rsid w:val="045C64FC"/>
    <w:rsid w:val="048F763B"/>
    <w:rsid w:val="049F330E"/>
    <w:rsid w:val="04AA775C"/>
    <w:rsid w:val="04AF1889"/>
    <w:rsid w:val="04F66F48"/>
    <w:rsid w:val="05251E14"/>
    <w:rsid w:val="05A16594"/>
    <w:rsid w:val="05A7762D"/>
    <w:rsid w:val="060E5941"/>
    <w:rsid w:val="06110FAF"/>
    <w:rsid w:val="06493CA7"/>
    <w:rsid w:val="065A6178"/>
    <w:rsid w:val="066F1CF3"/>
    <w:rsid w:val="06847D8B"/>
    <w:rsid w:val="06930BB8"/>
    <w:rsid w:val="06A375CA"/>
    <w:rsid w:val="07245D42"/>
    <w:rsid w:val="07264C62"/>
    <w:rsid w:val="075E2244"/>
    <w:rsid w:val="0779354C"/>
    <w:rsid w:val="07DD45C5"/>
    <w:rsid w:val="08061376"/>
    <w:rsid w:val="08452D77"/>
    <w:rsid w:val="086401F8"/>
    <w:rsid w:val="08751CAA"/>
    <w:rsid w:val="087E4C40"/>
    <w:rsid w:val="08A871D0"/>
    <w:rsid w:val="08D66AD6"/>
    <w:rsid w:val="08DA33A3"/>
    <w:rsid w:val="08E80F13"/>
    <w:rsid w:val="08F440C1"/>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618E5"/>
    <w:rsid w:val="0A5B7E63"/>
    <w:rsid w:val="0AA374A5"/>
    <w:rsid w:val="0AAB7649"/>
    <w:rsid w:val="0ABC5606"/>
    <w:rsid w:val="0B30404E"/>
    <w:rsid w:val="0B4C6C14"/>
    <w:rsid w:val="0B547599"/>
    <w:rsid w:val="0B631A88"/>
    <w:rsid w:val="0B683D45"/>
    <w:rsid w:val="0B784F07"/>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5B50C7"/>
    <w:rsid w:val="0D827401"/>
    <w:rsid w:val="0D84094E"/>
    <w:rsid w:val="0D8A00E9"/>
    <w:rsid w:val="0D8D589E"/>
    <w:rsid w:val="0DA01C73"/>
    <w:rsid w:val="0DD63300"/>
    <w:rsid w:val="0DF50604"/>
    <w:rsid w:val="0DF702FE"/>
    <w:rsid w:val="0E060E51"/>
    <w:rsid w:val="0E5604B2"/>
    <w:rsid w:val="0E6D5D79"/>
    <w:rsid w:val="0E9D0089"/>
    <w:rsid w:val="0EB803EE"/>
    <w:rsid w:val="0EF92A89"/>
    <w:rsid w:val="0EF94D4B"/>
    <w:rsid w:val="0F260807"/>
    <w:rsid w:val="0F4958DC"/>
    <w:rsid w:val="0F515DF7"/>
    <w:rsid w:val="0F596BA8"/>
    <w:rsid w:val="0F6248D2"/>
    <w:rsid w:val="0F693536"/>
    <w:rsid w:val="0F7B0511"/>
    <w:rsid w:val="0F7B76D9"/>
    <w:rsid w:val="0F816ACD"/>
    <w:rsid w:val="0F8F01F5"/>
    <w:rsid w:val="0F9832DB"/>
    <w:rsid w:val="0FBF3FD2"/>
    <w:rsid w:val="0FBF7FF3"/>
    <w:rsid w:val="102B1894"/>
    <w:rsid w:val="10646583"/>
    <w:rsid w:val="107D4B15"/>
    <w:rsid w:val="108A3C80"/>
    <w:rsid w:val="10C26171"/>
    <w:rsid w:val="10F33360"/>
    <w:rsid w:val="10FC16EA"/>
    <w:rsid w:val="110F1D40"/>
    <w:rsid w:val="11266F33"/>
    <w:rsid w:val="113B0E75"/>
    <w:rsid w:val="114F2B23"/>
    <w:rsid w:val="118963A1"/>
    <w:rsid w:val="11C6522A"/>
    <w:rsid w:val="11E104CC"/>
    <w:rsid w:val="11E20309"/>
    <w:rsid w:val="120D66AC"/>
    <w:rsid w:val="12255233"/>
    <w:rsid w:val="12387CD0"/>
    <w:rsid w:val="12530213"/>
    <w:rsid w:val="127723A9"/>
    <w:rsid w:val="12862074"/>
    <w:rsid w:val="12883966"/>
    <w:rsid w:val="129E45B4"/>
    <w:rsid w:val="12D81596"/>
    <w:rsid w:val="13072A44"/>
    <w:rsid w:val="135F4BE2"/>
    <w:rsid w:val="13913622"/>
    <w:rsid w:val="139B1A0A"/>
    <w:rsid w:val="139D25C7"/>
    <w:rsid w:val="13BF3CE4"/>
    <w:rsid w:val="141008D8"/>
    <w:rsid w:val="14125FE6"/>
    <w:rsid w:val="146D271E"/>
    <w:rsid w:val="148F4A74"/>
    <w:rsid w:val="14982588"/>
    <w:rsid w:val="149A5AD9"/>
    <w:rsid w:val="14A7619D"/>
    <w:rsid w:val="150536C3"/>
    <w:rsid w:val="150C1963"/>
    <w:rsid w:val="151447A0"/>
    <w:rsid w:val="154A6454"/>
    <w:rsid w:val="15762120"/>
    <w:rsid w:val="157F5DCE"/>
    <w:rsid w:val="15CE7986"/>
    <w:rsid w:val="1629245E"/>
    <w:rsid w:val="16A8729C"/>
    <w:rsid w:val="16B33777"/>
    <w:rsid w:val="16BC70A7"/>
    <w:rsid w:val="16C6339E"/>
    <w:rsid w:val="172F2D79"/>
    <w:rsid w:val="17557BEF"/>
    <w:rsid w:val="17D3249E"/>
    <w:rsid w:val="17D349C1"/>
    <w:rsid w:val="18244F26"/>
    <w:rsid w:val="1830729E"/>
    <w:rsid w:val="184026D0"/>
    <w:rsid w:val="185D5E16"/>
    <w:rsid w:val="1870062C"/>
    <w:rsid w:val="18817102"/>
    <w:rsid w:val="18830A15"/>
    <w:rsid w:val="18852B28"/>
    <w:rsid w:val="188B5321"/>
    <w:rsid w:val="189A7721"/>
    <w:rsid w:val="19932372"/>
    <w:rsid w:val="19A20DD5"/>
    <w:rsid w:val="19AE03F1"/>
    <w:rsid w:val="19D46163"/>
    <w:rsid w:val="1A071A03"/>
    <w:rsid w:val="1A1F16AE"/>
    <w:rsid w:val="1A3532D0"/>
    <w:rsid w:val="1A3B5C77"/>
    <w:rsid w:val="1A916375"/>
    <w:rsid w:val="1A984BAD"/>
    <w:rsid w:val="1AB8220E"/>
    <w:rsid w:val="1AE4166C"/>
    <w:rsid w:val="1AF06CFB"/>
    <w:rsid w:val="1AF11B8D"/>
    <w:rsid w:val="1B11359C"/>
    <w:rsid w:val="1B2A271F"/>
    <w:rsid w:val="1B2B4DB2"/>
    <w:rsid w:val="1B530544"/>
    <w:rsid w:val="1B713184"/>
    <w:rsid w:val="1BA209CF"/>
    <w:rsid w:val="1BB4777D"/>
    <w:rsid w:val="1BD75AB8"/>
    <w:rsid w:val="1C0459C2"/>
    <w:rsid w:val="1C1B3B4A"/>
    <w:rsid w:val="1C88086E"/>
    <w:rsid w:val="1C8B0541"/>
    <w:rsid w:val="1C9A1D36"/>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A20BE6"/>
    <w:rsid w:val="1FD52574"/>
    <w:rsid w:val="1FE868A9"/>
    <w:rsid w:val="20034907"/>
    <w:rsid w:val="20173E4B"/>
    <w:rsid w:val="204E48BC"/>
    <w:rsid w:val="20567FD9"/>
    <w:rsid w:val="208921B3"/>
    <w:rsid w:val="20973DEB"/>
    <w:rsid w:val="20B26522"/>
    <w:rsid w:val="20B44310"/>
    <w:rsid w:val="211116EB"/>
    <w:rsid w:val="216133FC"/>
    <w:rsid w:val="2171722F"/>
    <w:rsid w:val="21D56769"/>
    <w:rsid w:val="21E52EF3"/>
    <w:rsid w:val="21FB5D7B"/>
    <w:rsid w:val="22015E94"/>
    <w:rsid w:val="220B1C3D"/>
    <w:rsid w:val="221D1D20"/>
    <w:rsid w:val="22334A87"/>
    <w:rsid w:val="22BE6801"/>
    <w:rsid w:val="233500BF"/>
    <w:rsid w:val="23377FF7"/>
    <w:rsid w:val="236B425F"/>
    <w:rsid w:val="23836192"/>
    <w:rsid w:val="238F6DAD"/>
    <w:rsid w:val="23901F29"/>
    <w:rsid w:val="239C0061"/>
    <w:rsid w:val="23B908A4"/>
    <w:rsid w:val="23C675D5"/>
    <w:rsid w:val="23E95BEF"/>
    <w:rsid w:val="23FD0064"/>
    <w:rsid w:val="23FF70EE"/>
    <w:rsid w:val="24382030"/>
    <w:rsid w:val="245375B0"/>
    <w:rsid w:val="24642C0A"/>
    <w:rsid w:val="24B22173"/>
    <w:rsid w:val="24B60224"/>
    <w:rsid w:val="24B95AD9"/>
    <w:rsid w:val="24BE24DA"/>
    <w:rsid w:val="24CF5825"/>
    <w:rsid w:val="24D663E6"/>
    <w:rsid w:val="24D77F2B"/>
    <w:rsid w:val="258B00E2"/>
    <w:rsid w:val="25A917A6"/>
    <w:rsid w:val="25BE27CC"/>
    <w:rsid w:val="25F74A5C"/>
    <w:rsid w:val="2628662C"/>
    <w:rsid w:val="262D45DE"/>
    <w:rsid w:val="264354A6"/>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A1170"/>
    <w:rsid w:val="28DE40AA"/>
    <w:rsid w:val="29051EF3"/>
    <w:rsid w:val="29345E77"/>
    <w:rsid w:val="294C65AD"/>
    <w:rsid w:val="29806583"/>
    <w:rsid w:val="298B3C4C"/>
    <w:rsid w:val="29F26D24"/>
    <w:rsid w:val="2A15033F"/>
    <w:rsid w:val="2A1662C1"/>
    <w:rsid w:val="2A1C7367"/>
    <w:rsid w:val="2A2815FA"/>
    <w:rsid w:val="2A6D6092"/>
    <w:rsid w:val="2A7D76B4"/>
    <w:rsid w:val="2B1943CD"/>
    <w:rsid w:val="2B437463"/>
    <w:rsid w:val="2B7807EE"/>
    <w:rsid w:val="2B8A0362"/>
    <w:rsid w:val="2BA50BF7"/>
    <w:rsid w:val="2BBF00EC"/>
    <w:rsid w:val="2BC37CFD"/>
    <w:rsid w:val="2BD5237F"/>
    <w:rsid w:val="2BE536CE"/>
    <w:rsid w:val="2BE758D9"/>
    <w:rsid w:val="2BF346BB"/>
    <w:rsid w:val="2C09049E"/>
    <w:rsid w:val="2C0A653C"/>
    <w:rsid w:val="2C191F85"/>
    <w:rsid w:val="2CE82D6F"/>
    <w:rsid w:val="2D343236"/>
    <w:rsid w:val="2D415355"/>
    <w:rsid w:val="2D575011"/>
    <w:rsid w:val="2DD15014"/>
    <w:rsid w:val="2DF72DE4"/>
    <w:rsid w:val="2E0220AF"/>
    <w:rsid w:val="2E0D1259"/>
    <w:rsid w:val="2E4B082A"/>
    <w:rsid w:val="2E5D4E86"/>
    <w:rsid w:val="2E5D790B"/>
    <w:rsid w:val="2E9A3C18"/>
    <w:rsid w:val="2EB03DD6"/>
    <w:rsid w:val="2EBB0FEE"/>
    <w:rsid w:val="2EC63002"/>
    <w:rsid w:val="2F0A6B38"/>
    <w:rsid w:val="2F0E524B"/>
    <w:rsid w:val="2F946CCB"/>
    <w:rsid w:val="2FC26AB1"/>
    <w:rsid w:val="2FD25781"/>
    <w:rsid w:val="2FDC745C"/>
    <w:rsid w:val="2FFD7934"/>
    <w:rsid w:val="30095393"/>
    <w:rsid w:val="304E7608"/>
    <w:rsid w:val="30733ACD"/>
    <w:rsid w:val="3084479E"/>
    <w:rsid w:val="308C3862"/>
    <w:rsid w:val="30935C7B"/>
    <w:rsid w:val="309379D8"/>
    <w:rsid w:val="309500DA"/>
    <w:rsid w:val="309F45CD"/>
    <w:rsid w:val="30A270F7"/>
    <w:rsid w:val="30DF1478"/>
    <w:rsid w:val="30EC586F"/>
    <w:rsid w:val="31070CC6"/>
    <w:rsid w:val="318D4C83"/>
    <w:rsid w:val="319C6071"/>
    <w:rsid w:val="31AC537E"/>
    <w:rsid w:val="31E3679B"/>
    <w:rsid w:val="31E732FD"/>
    <w:rsid w:val="32517576"/>
    <w:rsid w:val="326617DD"/>
    <w:rsid w:val="32BE5C2C"/>
    <w:rsid w:val="32EB259D"/>
    <w:rsid w:val="32FB6478"/>
    <w:rsid w:val="33263B3F"/>
    <w:rsid w:val="332776F8"/>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0D116E"/>
    <w:rsid w:val="361938F7"/>
    <w:rsid w:val="363A3B40"/>
    <w:rsid w:val="365302AE"/>
    <w:rsid w:val="36607A0A"/>
    <w:rsid w:val="366E227C"/>
    <w:rsid w:val="366F2E0D"/>
    <w:rsid w:val="367B6A5C"/>
    <w:rsid w:val="36A74ADA"/>
    <w:rsid w:val="36AD60D5"/>
    <w:rsid w:val="36B224F9"/>
    <w:rsid w:val="36EC0CC9"/>
    <w:rsid w:val="372E5C25"/>
    <w:rsid w:val="373F410B"/>
    <w:rsid w:val="37EE7094"/>
    <w:rsid w:val="38296C89"/>
    <w:rsid w:val="383002EB"/>
    <w:rsid w:val="38586797"/>
    <w:rsid w:val="385D15DF"/>
    <w:rsid w:val="38BC0149"/>
    <w:rsid w:val="38D87D1C"/>
    <w:rsid w:val="391D6B2B"/>
    <w:rsid w:val="39636459"/>
    <w:rsid w:val="396B7F6C"/>
    <w:rsid w:val="39B417A9"/>
    <w:rsid w:val="39E11168"/>
    <w:rsid w:val="39FC5695"/>
    <w:rsid w:val="3A006D8E"/>
    <w:rsid w:val="3A3651E5"/>
    <w:rsid w:val="3A497F80"/>
    <w:rsid w:val="3A744481"/>
    <w:rsid w:val="3A8C7BEF"/>
    <w:rsid w:val="3A906246"/>
    <w:rsid w:val="3B2349B7"/>
    <w:rsid w:val="3B616CFF"/>
    <w:rsid w:val="3B6259F6"/>
    <w:rsid w:val="3B976654"/>
    <w:rsid w:val="3BC01EFC"/>
    <w:rsid w:val="3BCA786A"/>
    <w:rsid w:val="3BD31E2F"/>
    <w:rsid w:val="3BF15831"/>
    <w:rsid w:val="3C105946"/>
    <w:rsid w:val="3C1D106B"/>
    <w:rsid w:val="3C471448"/>
    <w:rsid w:val="3C5F759A"/>
    <w:rsid w:val="3C6C525A"/>
    <w:rsid w:val="3C9D314A"/>
    <w:rsid w:val="3CCE23CB"/>
    <w:rsid w:val="3CD17D17"/>
    <w:rsid w:val="3D3C7F39"/>
    <w:rsid w:val="3D440F09"/>
    <w:rsid w:val="3D4504A0"/>
    <w:rsid w:val="3D8734BB"/>
    <w:rsid w:val="3D9A11D4"/>
    <w:rsid w:val="3DA16D89"/>
    <w:rsid w:val="3DA364BE"/>
    <w:rsid w:val="3DE041CB"/>
    <w:rsid w:val="3E0D48F6"/>
    <w:rsid w:val="3E1868B4"/>
    <w:rsid w:val="3E377251"/>
    <w:rsid w:val="3E424D41"/>
    <w:rsid w:val="3E42664B"/>
    <w:rsid w:val="3E5A7334"/>
    <w:rsid w:val="3E7B5D6B"/>
    <w:rsid w:val="3E843E66"/>
    <w:rsid w:val="3E8F51FE"/>
    <w:rsid w:val="3E926F87"/>
    <w:rsid w:val="3E9A59DE"/>
    <w:rsid w:val="3EAF4836"/>
    <w:rsid w:val="3EC33DFA"/>
    <w:rsid w:val="3EEB7347"/>
    <w:rsid w:val="3F060E16"/>
    <w:rsid w:val="3F16399E"/>
    <w:rsid w:val="3F1D1096"/>
    <w:rsid w:val="3F2F0234"/>
    <w:rsid w:val="3F6363FE"/>
    <w:rsid w:val="3F756B8F"/>
    <w:rsid w:val="3F95482B"/>
    <w:rsid w:val="3FAE308F"/>
    <w:rsid w:val="4019356B"/>
    <w:rsid w:val="40592157"/>
    <w:rsid w:val="406E1CAE"/>
    <w:rsid w:val="40A0133A"/>
    <w:rsid w:val="40C31A53"/>
    <w:rsid w:val="40D50E19"/>
    <w:rsid w:val="40FF545D"/>
    <w:rsid w:val="410067C8"/>
    <w:rsid w:val="41321D02"/>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BC3734"/>
    <w:rsid w:val="43C77C27"/>
    <w:rsid w:val="43D404B3"/>
    <w:rsid w:val="43DE09EE"/>
    <w:rsid w:val="44002FAD"/>
    <w:rsid w:val="441354B3"/>
    <w:rsid w:val="44421B63"/>
    <w:rsid w:val="449101DD"/>
    <w:rsid w:val="44A713C2"/>
    <w:rsid w:val="44DE1391"/>
    <w:rsid w:val="44F56C87"/>
    <w:rsid w:val="451B225C"/>
    <w:rsid w:val="452410C9"/>
    <w:rsid w:val="45317DFB"/>
    <w:rsid w:val="456D3CE4"/>
    <w:rsid w:val="4579042C"/>
    <w:rsid w:val="457F0571"/>
    <w:rsid w:val="45851176"/>
    <w:rsid w:val="45C63B94"/>
    <w:rsid w:val="460E7DA5"/>
    <w:rsid w:val="46422483"/>
    <w:rsid w:val="464C6244"/>
    <w:rsid w:val="4659254A"/>
    <w:rsid w:val="465B0637"/>
    <w:rsid w:val="465E3F0D"/>
    <w:rsid w:val="466A16E6"/>
    <w:rsid w:val="46893F2B"/>
    <w:rsid w:val="46C16025"/>
    <w:rsid w:val="46C4686E"/>
    <w:rsid w:val="476E083A"/>
    <w:rsid w:val="477B778F"/>
    <w:rsid w:val="478203EC"/>
    <w:rsid w:val="47B025FA"/>
    <w:rsid w:val="47C2118D"/>
    <w:rsid w:val="4809698F"/>
    <w:rsid w:val="4811697D"/>
    <w:rsid w:val="48503F16"/>
    <w:rsid w:val="48506734"/>
    <w:rsid w:val="487A3E25"/>
    <w:rsid w:val="488B5503"/>
    <w:rsid w:val="48937E21"/>
    <w:rsid w:val="489A0361"/>
    <w:rsid w:val="48B94FF3"/>
    <w:rsid w:val="48C0568F"/>
    <w:rsid w:val="48E37AAB"/>
    <w:rsid w:val="48FD4B4C"/>
    <w:rsid w:val="490A68E0"/>
    <w:rsid w:val="491055FE"/>
    <w:rsid w:val="49434431"/>
    <w:rsid w:val="495F5B3E"/>
    <w:rsid w:val="496F77D7"/>
    <w:rsid w:val="497654FD"/>
    <w:rsid w:val="49765B82"/>
    <w:rsid w:val="49824F4F"/>
    <w:rsid w:val="49B64211"/>
    <w:rsid w:val="49DA7512"/>
    <w:rsid w:val="49F6167F"/>
    <w:rsid w:val="4A064FA0"/>
    <w:rsid w:val="4A16615C"/>
    <w:rsid w:val="4A1704C6"/>
    <w:rsid w:val="4A2B5751"/>
    <w:rsid w:val="4A4424D7"/>
    <w:rsid w:val="4A8078A1"/>
    <w:rsid w:val="4AB82D0F"/>
    <w:rsid w:val="4AEB7664"/>
    <w:rsid w:val="4AFD7C19"/>
    <w:rsid w:val="4B0567D1"/>
    <w:rsid w:val="4B236AAE"/>
    <w:rsid w:val="4B707271"/>
    <w:rsid w:val="4B8F3628"/>
    <w:rsid w:val="4B9739F7"/>
    <w:rsid w:val="4BC41942"/>
    <w:rsid w:val="4BDE714E"/>
    <w:rsid w:val="4BED4AA4"/>
    <w:rsid w:val="4BEE2503"/>
    <w:rsid w:val="4BF00FF9"/>
    <w:rsid w:val="4C006B77"/>
    <w:rsid w:val="4C245A30"/>
    <w:rsid w:val="4CB6685F"/>
    <w:rsid w:val="4CC367FE"/>
    <w:rsid w:val="4D077F3C"/>
    <w:rsid w:val="4D123355"/>
    <w:rsid w:val="4D2A3B31"/>
    <w:rsid w:val="4D312C52"/>
    <w:rsid w:val="4D8F02FC"/>
    <w:rsid w:val="4D905305"/>
    <w:rsid w:val="4D964A72"/>
    <w:rsid w:val="4D9C1254"/>
    <w:rsid w:val="4E793892"/>
    <w:rsid w:val="4E800872"/>
    <w:rsid w:val="4E935821"/>
    <w:rsid w:val="4EC569ED"/>
    <w:rsid w:val="4ED32939"/>
    <w:rsid w:val="4ED50EA1"/>
    <w:rsid w:val="4EEC050C"/>
    <w:rsid w:val="4F104EC3"/>
    <w:rsid w:val="4F1A0F1E"/>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731A84"/>
    <w:rsid w:val="549B0594"/>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962C0"/>
    <w:rsid w:val="566B6D1E"/>
    <w:rsid w:val="57032A2C"/>
    <w:rsid w:val="570F5219"/>
    <w:rsid w:val="573F692A"/>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034049"/>
    <w:rsid w:val="590B5FB2"/>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AF23980"/>
    <w:rsid w:val="5B2E1A1D"/>
    <w:rsid w:val="5B6322A1"/>
    <w:rsid w:val="5B7032B3"/>
    <w:rsid w:val="5B843A1C"/>
    <w:rsid w:val="5B873E3F"/>
    <w:rsid w:val="5C02690E"/>
    <w:rsid w:val="5C196DA7"/>
    <w:rsid w:val="5C2A048C"/>
    <w:rsid w:val="5C3054EC"/>
    <w:rsid w:val="5C422DE0"/>
    <w:rsid w:val="5C80234E"/>
    <w:rsid w:val="5C8A680C"/>
    <w:rsid w:val="5D0C4701"/>
    <w:rsid w:val="5D0F0395"/>
    <w:rsid w:val="5D221076"/>
    <w:rsid w:val="5D397964"/>
    <w:rsid w:val="5D572349"/>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501884"/>
    <w:rsid w:val="5F6277C6"/>
    <w:rsid w:val="5F6D0B1D"/>
    <w:rsid w:val="5F8D0B82"/>
    <w:rsid w:val="5FCC5339"/>
    <w:rsid w:val="5FE34A5B"/>
    <w:rsid w:val="5FFE1E36"/>
    <w:rsid w:val="60232584"/>
    <w:rsid w:val="607330CE"/>
    <w:rsid w:val="60825176"/>
    <w:rsid w:val="609F2AC4"/>
    <w:rsid w:val="60E00572"/>
    <w:rsid w:val="60FA2EE8"/>
    <w:rsid w:val="61054A27"/>
    <w:rsid w:val="610A52BC"/>
    <w:rsid w:val="611D2366"/>
    <w:rsid w:val="61421856"/>
    <w:rsid w:val="615227C4"/>
    <w:rsid w:val="61654E3F"/>
    <w:rsid w:val="6182292A"/>
    <w:rsid w:val="619F7F92"/>
    <w:rsid w:val="61D6614A"/>
    <w:rsid w:val="61F94C26"/>
    <w:rsid w:val="62000E56"/>
    <w:rsid w:val="624F3E49"/>
    <w:rsid w:val="62632286"/>
    <w:rsid w:val="62885958"/>
    <w:rsid w:val="62DB0B75"/>
    <w:rsid w:val="62F40B65"/>
    <w:rsid w:val="62FC2CFE"/>
    <w:rsid w:val="63024505"/>
    <w:rsid w:val="63300F74"/>
    <w:rsid w:val="635600A5"/>
    <w:rsid w:val="635B1DB5"/>
    <w:rsid w:val="63711FED"/>
    <w:rsid w:val="63880DDC"/>
    <w:rsid w:val="638D750D"/>
    <w:rsid w:val="63AC6CC0"/>
    <w:rsid w:val="63C95418"/>
    <w:rsid w:val="63DC2A4B"/>
    <w:rsid w:val="64055776"/>
    <w:rsid w:val="64240056"/>
    <w:rsid w:val="643E143A"/>
    <w:rsid w:val="64491666"/>
    <w:rsid w:val="64854E0C"/>
    <w:rsid w:val="648B6EEF"/>
    <w:rsid w:val="64C158BF"/>
    <w:rsid w:val="64CE2EAA"/>
    <w:rsid w:val="65023E37"/>
    <w:rsid w:val="653C3090"/>
    <w:rsid w:val="65854376"/>
    <w:rsid w:val="658767BE"/>
    <w:rsid w:val="65892531"/>
    <w:rsid w:val="66195831"/>
    <w:rsid w:val="662E75B1"/>
    <w:rsid w:val="66342C2E"/>
    <w:rsid w:val="663E784C"/>
    <w:rsid w:val="668B6A45"/>
    <w:rsid w:val="672F3F24"/>
    <w:rsid w:val="673E055F"/>
    <w:rsid w:val="67551CE3"/>
    <w:rsid w:val="67926BCA"/>
    <w:rsid w:val="67A22552"/>
    <w:rsid w:val="67B22DCC"/>
    <w:rsid w:val="67BE71AA"/>
    <w:rsid w:val="67D90273"/>
    <w:rsid w:val="67DE5875"/>
    <w:rsid w:val="67E55852"/>
    <w:rsid w:val="67EB1AB4"/>
    <w:rsid w:val="67FA1285"/>
    <w:rsid w:val="67FF3950"/>
    <w:rsid w:val="685407DA"/>
    <w:rsid w:val="68551F4F"/>
    <w:rsid w:val="687C10C9"/>
    <w:rsid w:val="68840C16"/>
    <w:rsid w:val="68876EFB"/>
    <w:rsid w:val="68884654"/>
    <w:rsid w:val="68904D13"/>
    <w:rsid w:val="689F444F"/>
    <w:rsid w:val="68B96DBB"/>
    <w:rsid w:val="68CA2805"/>
    <w:rsid w:val="68D4635C"/>
    <w:rsid w:val="68E06A29"/>
    <w:rsid w:val="68E937A3"/>
    <w:rsid w:val="693E15D3"/>
    <w:rsid w:val="69627681"/>
    <w:rsid w:val="69700A5E"/>
    <w:rsid w:val="6977531D"/>
    <w:rsid w:val="69CC2BFF"/>
    <w:rsid w:val="69EE1D13"/>
    <w:rsid w:val="69FD55B8"/>
    <w:rsid w:val="6A0B1C62"/>
    <w:rsid w:val="6A2406C8"/>
    <w:rsid w:val="6ADE0BD1"/>
    <w:rsid w:val="6AE96859"/>
    <w:rsid w:val="6B005BA3"/>
    <w:rsid w:val="6B0065C2"/>
    <w:rsid w:val="6B147746"/>
    <w:rsid w:val="6B24787C"/>
    <w:rsid w:val="6B573233"/>
    <w:rsid w:val="6B5B6274"/>
    <w:rsid w:val="6B935D53"/>
    <w:rsid w:val="6BA72F24"/>
    <w:rsid w:val="6C196F71"/>
    <w:rsid w:val="6C226FCB"/>
    <w:rsid w:val="6C31226F"/>
    <w:rsid w:val="6C425976"/>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045EE5"/>
    <w:rsid w:val="6F2A7D94"/>
    <w:rsid w:val="6F8331F1"/>
    <w:rsid w:val="6FAE1A09"/>
    <w:rsid w:val="6FD75BF8"/>
    <w:rsid w:val="707723D0"/>
    <w:rsid w:val="70E64954"/>
    <w:rsid w:val="70E73DC8"/>
    <w:rsid w:val="70F5661B"/>
    <w:rsid w:val="71360107"/>
    <w:rsid w:val="713B688E"/>
    <w:rsid w:val="718F65B9"/>
    <w:rsid w:val="71D43752"/>
    <w:rsid w:val="71F1796A"/>
    <w:rsid w:val="72154626"/>
    <w:rsid w:val="72262B5D"/>
    <w:rsid w:val="72283FF7"/>
    <w:rsid w:val="722E7212"/>
    <w:rsid w:val="723A0474"/>
    <w:rsid w:val="725923E4"/>
    <w:rsid w:val="72864BF7"/>
    <w:rsid w:val="729023FC"/>
    <w:rsid w:val="73423A7A"/>
    <w:rsid w:val="73C0646E"/>
    <w:rsid w:val="742222F5"/>
    <w:rsid w:val="74476126"/>
    <w:rsid w:val="74696558"/>
    <w:rsid w:val="74706664"/>
    <w:rsid w:val="747F3682"/>
    <w:rsid w:val="749C4185"/>
    <w:rsid w:val="74A34568"/>
    <w:rsid w:val="75067759"/>
    <w:rsid w:val="752E6DCD"/>
    <w:rsid w:val="7551380D"/>
    <w:rsid w:val="75600BE5"/>
    <w:rsid w:val="7564475C"/>
    <w:rsid w:val="7583797F"/>
    <w:rsid w:val="75D20F1D"/>
    <w:rsid w:val="75DA2C18"/>
    <w:rsid w:val="75F54412"/>
    <w:rsid w:val="761D08E0"/>
    <w:rsid w:val="765A35BE"/>
    <w:rsid w:val="765D347C"/>
    <w:rsid w:val="76826699"/>
    <w:rsid w:val="76C87133"/>
    <w:rsid w:val="76CD08D5"/>
    <w:rsid w:val="76DB4B92"/>
    <w:rsid w:val="77052AA4"/>
    <w:rsid w:val="77136511"/>
    <w:rsid w:val="77340A39"/>
    <w:rsid w:val="77351FD0"/>
    <w:rsid w:val="77472422"/>
    <w:rsid w:val="776866A2"/>
    <w:rsid w:val="776F5931"/>
    <w:rsid w:val="777F31F2"/>
    <w:rsid w:val="77D1700D"/>
    <w:rsid w:val="77EC04CC"/>
    <w:rsid w:val="78775729"/>
    <w:rsid w:val="78A42DB0"/>
    <w:rsid w:val="78A656AB"/>
    <w:rsid w:val="78B2245C"/>
    <w:rsid w:val="78E172CC"/>
    <w:rsid w:val="78EA1D1F"/>
    <w:rsid w:val="7904172F"/>
    <w:rsid w:val="790F7E27"/>
    <w:rsid w:val="792A231A"/>
    <w:rsid w:val="79316829"/>
    <w:rsid w:val="793516D6"/>
    <w:rsid w:val="797E66A9"/>
    <w:rsid w:val="798518A4"/>
    <w:rsid w:val="79A97383"/>
    <w:rsid w:val="79D43B9F"/>
    <w:rsid w:val="79E27E8B"/>
    <w:rsid w:val="79F850CE"/>
    <w:rsid w:val="79FD443C"/>
    <w:rsid w:val="7A1D1975"/>
    <w:rsid w:val="7A3E5150"/>
    <w:rsid w:val="7A4670D6"/>
    <w:rsid w:val="7A534B63"/>
    <w:rsid w:val="7A615382"/>
    <w:rsid w:val="7A67303B"/>
    <w:rsid w:val="7AAB1D04"/>
    <w:rsid w:val="7ABA4368"/>
    <w:rsid w:val="7AD05746"/>
    <w:rsid w:val="7AD658DD"/>
    <w:rsid w:val="7B257FFD"/>
    <w:rsid w:val="7B343476"/>
    <w:rsid w:val="7B5A2978"/>
    <w:rsid w:val="7B5A7E4C"/>
    <w:rsid w:val="7B667AF9"/>
    <w:rsid w:val="7B7468F8"/>
    <w:rsid w:val="7BD02433"/>
    <w:rsid w:val="7BEE0103"/>
    <w:rsid w:val="7C0A0FE4"/>
    <w:rsid w:val="7C0C23D1"/>
    <w:rsid w:val="7C254906"/>
    <w:rsid w:val="7C590818"/>
    <w:rsid w:val="7C7C10F6"/>
    <w:rsid w:val="7C853BEA"/>
    <w:rsid w:val="7C881368"/>
    <w:rsid w:val="7CE27788"/>
    <w:rsid w:val="7D0C32F1"/>
    <w:rsid w:val="7D0F408D"/>
    <w:rsid w:val="7D491C6C"/>
    <w:rsid w:val="7D5429C0"/>
    <w:rsid w:val="7D6E6D43"/>
    <w:rsid w:val="7D8638E7"/>
    <w:rsid w:val="7D913E97"/>
    <w:rsid w:val="7DB57A34"/>
    <w:rsid w:val="7DCC004D"/>
    <w:rsid w:val="7DE60973"/>
    <w:rsid w:val="7DEF0916"/>
    <w:rsid w:val="7E1E5218"/>
    <w:rsid w:val="7E9A4E1F"/>
    <w:rsid w:val="7EA7723A"/>
    <w:rsid w:val="7EF56FBB"/>
    <w:rsid w:val="7F0768EB"/>
    <w:rsid w:val="7F143BEC"/>
    <w:rsid w:val="7F3802E4"/>
    <w:rsid w:val="7F715AF2"/>
    <w:rsid w:val="7F861DE1"/>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305"/>
    <w:qFormat/>
    <w:uiPriority w:val="0"/>
    <w:pPr>
      <w:spacing w:line="360" w:lineRule="auto"/>
      <w:ind w:firstLine="601"/>
      <w:textAlignment w:val="baseline"/>
    </w:pPr>
    <w:rPr>
      <w:rFonts w:ascii="宋体"/>
      <w:kern w:val="0"/>
      <w:sz w:val="28"/>
      <w:szCs w:val="20"/>
    </w:rPr>
  </w:style>
  <w:style w:type="paragraph" w:styleId="6">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1"/>
    <w:qFormat/>
    <w:uiPriority w:val="99"/>
    <w:pPr>
      <w:jc w:val="left"/>
    </w:pPr>
  </w:style>
  <w:style w:type="paragraph" w:styleId="21">
    <w:name w:val="Salutation"/>
    <w:basedOn w:val="1"/>
    <w:next w:val="1"/>
    <w:link w:val="295"/>
    <w:qFormat/>
    <w:uiPriority w:val="0"/>
    <w:rPr>
      <w:rFonts w:ascii="仿宋_GB2312" w:eastAsia="仿宋_GB2312"/>
      <w:sz w:val="28"/>
      <w:szCs w:val="20"/>
    </w:rPr>
  </w:style>
  <w:style w:type="paragraph" w:styleId="22">
    <w:name w:val="Body Text 3"/>
    <w:basedOn w:val="1"/>
    <w:link w:val="32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7"/>
    <w:qFormat/>
    <w:uiPriority w:val="0"/>
    <w:pPr>
      <w:autoSpaceDE w:val="0"/>
      <w:autoSpaceDN w:val="0"/>
      <w:spacing w:line="360" w:lineRule="auto"/>
    </w:pPr>
    <w:rPr>
      <w:rFonts w:ascii="宋体" w:hAnsi="Arial" w:cs="Arial"/>
      <w:snapToGrid w:val="0"/>
      <w:sz w:val="24"/>
      <w:szCs w:val="21"/>
      <w:lang w:val="zh-CN"/>
    </w:rPr>
  </w:style>
  <w:style w:type="paragraph" w:customStyle="1" w:styleId="25">
    <w:name w:val="Default"/>
    <w:next w:val="1"/>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26">
    <w:name w:val="Body Text Indent"/>
    <w:basedOn w:val="1"/>
    <w:next w:val="27"/>
    <w:link w:val="262"/>
    <w:qFormat/>
    <w:uiPriority w:val="0"/>
    <w:pPr>
      <w:spacing w:line="480" w:lineRule="exact"/>
      <w:ind w:firstLine="480" w:firstLineChars="200"/>
    </w:pPr>
    <w:rPr>
      <w:rFonts w:ascii="宋体" w:hAnsi="宋体"/>
      <w:sz w:val="24"/>
    </w:rPr>
  </w:style>
  <w:style w:type="paragraph" w:styleId="27">
    <w:name w:val="Body Text First Indent 2"/>
    <w:basedOn w:val="26"/>
    <w:next w:val="28"/>
    <w:link w:val="119"/>
    <w:qFormat/>
    <w:uiPriority w:val="0"/>
    <w:pPr>
      <w:adjustRightInd/>
      <w:spacing w:after="120" w:line="240" w:lineRule="auto"/>
      <w:ind w:left="420" w:leftChars="200" w:firstLine="210"/>
    </w:pPr>
    <w:rPr>
      <w:sz w:val="21"/>
    </w:rPr>
  </w:style>
  <w:style w:type="paragraph" w:styleId="28">
    <w:name w:val="Body Text First Indent"/>
    <w:basedOn w:val="24"/>
    <w:next w:val="29"/>
    <w:link w:val="318"/>
    <w:qFormat/>
    <w:uiPriority w:val="0"/>
    <w:pPr>
      <w:ind w:firstLine="420"/>
    </w:pPr>
    <w:rPr>
      <w:rFonts w:hAnsi="Calibri" w:cs="Times New Roman"/>
      <w:snapToGrid/>
      <w:szCs w:val="20"/>
    </w:rPr>
  </w:style>
  <w:style w:type="paragraph" w:styleId="29">
    <w:name w:val="toc 6"/>
    <w:basedOn w:val="1"/>
    <w:next w:val="1"/>
    <w:qFormat/>
    <w:uiPriority w:val="0"/>
    <w:pPr>
      <w:ind w:left="2100" w:leftChars="1000"/>
    </w:pPr>
  </w:style>
  <w:style w:type="paragraph" w:styleId="30">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7">
    <w:name w:val="Plain Text"/>
    <w:basedOn w:val="1"/>
    <w:next w:val="1"/>
    <w:link w:val="123"/>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179"/>
    <w:qFormat/>
    <w:uiPriority w:val="0"/>
    <w:pPr>
      <w:ind w:left="100" w:leftChars="2500"/>
    </w:pPr>
    <w:rPr>
      <w:rFonts w:ascii="宋体"/>
      <w:sz w:val="24"/>
      <w:szCs w:val="21"/>
      <w:lang w:val="zh-CN"/>
    </w:rPr>
  </w:style>
  <w:style w:type="paragraph" w:styleId="41">
    <w:name w:val="endnote text"/>
    <w:basedOn w:val="1"/>
    <w:link w:val="929"/>
    <w:qFormat/>
    <w:uiPriority w:val="0"/>
    <w:rPr>
      <w:lang w:val="zh-CN"/>
    </w:rPr>
  </w:style>
  <w:style w:type="paragraph" w:styleId="42">
    <w:name w:val="Balloon Text"/>
    <w:basedOn w:val="1"/>
    <w:link w:val="186"/>
    <w:qFormat/>
    <w:uiPriority w:val="0"/>
    <w:rPr>
      <w:sz w:val="18"/>
      <w:szCs w:val="18"/>
    </w:rPr>
  </w:style>
  <w:style w:type="paragraph" w:styleId="43">
    <w:name w:val="footer"/>
    <w:basedOn w:val="1"/>
    <w:link w:val="380"/>
    <w:qFormat/>
    <w:uiPriority w:val="99"/>
    <w:pPr>
      <w:tabs>
        <w:tab w:val="center" w:pos="4153"/>
        <w:tab w:val="right" w:pos="8306"/>
      </w:tabs>
      <w:snapToGrid w:val="0"/>
      <w:jc w:val="left"/>
    </w:pPr>
    <w:rPr>
      <w:sz w:val="18"/>
      <w:szCs w:val="18"/>
    </w:rPr>
  </w:style>
  <w:style w:type="paragraph" w:styleId="44">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6"/>
    <w:link w:val="307"/>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2"/>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299"/>
    <w:qFormat/>
    <w:uiPriority w:val="0"/>
    <w:pPr>
      <w:spacing w:after="120" w:line="480" w:lineRule="auto"/>
    </w:pPr>
  </w:style>
  <w:style w:type="paragraph" w:styleId="59">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94"/>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basedOn w:val="70"/>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2"/>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27"/>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7"/>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50"/>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9"/>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40"/>
    <w:qFormat/>
    <w:uiPriority w:val="0"/>
    <w:rPr>
      <w:rFonts w:ascii="宋体"/>
      <w:kern w:val="2"/>
      <w:sz w:val="24"/>
      <w:szCs w:val="21"/>
      <w:lang w:val="zh-CN"/>
    </w:rPr>
  </w:style>
  <w:style w:type="character" w:customStyle="1" w:styleId="180">
    <w:name w:val="标题 9 Char"/>
    <w:link w:val="12"/>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0"/>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42"/>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4"/>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7"/>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5"/>
    <w:qFormat/>
    <w:uiPriority w:val="0"/>
    <w:rPr>
      <w:rFonts w:ascii="仿宋_GB2312"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6"/>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61"/>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8"/>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1"/>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9"/>
    <w:qFormat/>
    <w:uiPriority w:val="0"/>
    <w:rPr>
      <w:rFonts w:ascii="黑体" w:hAnsi="Courier New" w:eastAsia="黑体"/>
    </w:rPr>
  </w:style>
  <w:style w:type="character" w:customStyle="1" w:styleId="299">
    <w:name w:val="正文文本 2 Char1"/>
    <w:link w:val="58"/>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7"/>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0"/>
    <w:qFormat/>
    <w:uiPriority w:val="0"/>
    <w:rPr>
      <w:b/>
      <w:bCs/>
      <w:kern w:val="2"/>
      <w:sz w:val="24"/>
      <w:szCs w:val="24"/>
    </w:rPr>
  </w:style>
  <w:style w:type="character" w:customStyle="1" w:styleId="305">
    <w:name w:val="正文文本缩进 2 Char"/>
    <w:link w:val="2"/>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3"/>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28"/>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7"/>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2"/>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0"/>
    <w:qFormat/>
    <w:uiPriority w:val="0"/>
    <w:rPr>
      <w:kern w:val="2"/>
      <w:sz w:val="21"/>
      <w:szCs w:val="24"/>
    </w:rPr>
  </w:style>
  <w:style w:type="character" w:customStyle="1" w:styleId="342">
    <w:name w:val="签名 Char"/>
    <w:link w:val="45"/>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1"/>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5"/>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3"/>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4"/>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70"/>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6"/>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8">
    <w:name w:val="gray6"/>
    <w:basedOn w:val="70"/>
    <w:qFormat/>
    <w:uiPriority w:val="0"/>
    <w:rPr>
      <w:rFonts w:ascii="Arial" w:hAnsi="Arial" w:eastAsia="黑体" w:cs="Arial"/>
      <w:snapToGrid w:val="0"/>
      <w:kern w:val="0"/>
      <w:szCs w:val="21"/>
    </w:rPr>
  </w:style>
  <w:style w:type="character" w:customStyle="1" w:styleId="429">
    <w:name w:val="hui"/>
    <w:basedOn w:val="70"/>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5"/>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8"/>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5"/>
    <w:next w:val="25"/>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5"/>
    <w:next w:val="25"/>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8"/>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3"/>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2"/>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2"/>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6"/>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41"/>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eop"/>
    <w:basedOn w:val="70"/>
    <w:qFormat/>
    <w:uiPriority w:val="0"/>
  </w:style>
  <w:style w:type="paragraph" w:customStyle="1" w:styleId="963">
    <w:name w:val="正文空2字"/>
    <w:basedOn w:val="96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4">
    <w:name w:val="左对齐正文"/>
    <w:qFormat/>
    <w:uiPriority w:val="99"/>
    <w:rPr>
      <w:rFonts w:ascii="Calibri" w:hAnsi="Calibri" w:eastAsia="仿宋_GB2312" w:cs="Calibri"/>
      <w:kern w:val="2"/>
      <w:sz w:val="32"/>
      <w:szCs w:val="32"/>
      <w:lang w:val="en-US" w:eastAsia="zh-CN" w:bidi="ar-SA"/>
    </w:rPr>
  </w:style>
  <w:style w:type="paragraph" w:customStyle="1" w:styleId="965">
    <w:name w:val="Item List in Table"/>
    <w:basedOn w:val="1"/>
    <w:qFormat/>
    <w:uiPriority w:val="0"/>
    <w:pPr>
      <w:widowControl/>
      <w:numPr>
        <w:ilvl w:val="0"/>
        <w:numId w:val="1"/>
      </w:numPr>
      <w:topLinePunct/>
      <w:adjustRightInd w:val="0"/>
      <w:snapToGrid w:val="0"/>
      <w:spacing w:before="80" w:after="80" w:line="240" w:lineRule="atLeast"/>
      <w:jc w:val="left"/>
    </w:pPr>
    <w:rPr>
      <w:rFonts w:hint="eastAsia" w:ascii="Times New Roman" w:hAnsi="Times New Roman" w:eastAsia="宋体" w:cs="Arial"/>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672B4D-9256-4782-95A6-08916EF33AD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69</Pages>
  <Words>30749</Words>
  <Characters>32454</Characters>
  <Lines>279</Lines>
  <Paragraphs>78</Paragraphs>
  <TotalTime>49</TotalTime>
  <ScaleCrop>false</ScaleCrop>
  <LinksUpToDate>false</LinksUpToDate>
  <CharactersWithSpaces>37757</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九日</cp:lastModifiedBy>
  <cp:lastPrinted>2021-12-27T03:06:00Z</cp:lastPrinted>
  <dcterms:modified xsi:type="dcterms:W3CDTF">2024-10-17T07:25:17Z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