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封闭式框架协议采购</w:t>
      </w:r>
    </w:p>
    <w:p>
      <w:pPr>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公开征集文件</w:t>
      </w:r>
    </w:p>
    <w:p>
      <w:pPr>
        <w:widowControl/>
        <w:jc w:val="center"/>
        <w:rPr>
          <w:rFonts w:hint="eastAsia" w:ascii="宋体" w:hAnsi="宋体" w:eastAsia="宋体" w:cs="宋体"/>
          <w:b/>
          <w:color w:val="auto"/>
          <w:sz w:val="48"/>
          <w:szCs w:val="48"/>
          <w:highlight w:val="none"/>
        </w:rPr>
      </w:pPr>
    </w:p>
    <w:p>
      <w:pPr>
        <w:widowControl/>
        <w:jc w:val="center"/>
        <w:rPr>
          <w:rFonts w:hint="eastAsia" w:ascii="宋体" w:hAnsi="宋体" w:eastAsia="宋体" w:cs="宋体"/>
          <w:b/>
          <w:color w:val="auto"/>
          <w:sz w:val="48"/>
          <w:szCs w:val="48"/>
          <w:highlight w:val="none"/>
        </w:rPr>
      </w:pPr>
    </w:p>
    <w:p>
      <w:pPr>
        <w:widowControl/>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（电子采购）</w:t>
      </w:r>
    </w:p>
    <w:tbl>
      <w:tblPr>
        <w:tblStyle w:val="62"/>
        <w:tblpPr w:leftFromText="180" w:rightFromText="180" w:vertAnchor="text" w:horzAnchor="page" w:tblpX="2288" w:tblpY="441"/>
        <w:tblOverlap w:val="never"/>
        <w:tblW w:w="7859" w:type="dxa"/>
        <w:tblInd w:w="0" w:type="dxa"/>
        <w:tblLayout w:type="fixed"/>
        <w:tblCellMar>
          <w:top w:w="0" w:type="dxa"/>
          <w:left w:w="108" w:type="dxa"/>
          <w:bottom w:w="0" w:type="dxa"/>
          <w:right w:w="108" w:type="dxa"/>
        </w:tblCellMar>
      </w:tblPr>
      <w:tblGrid>
        <w:gridCol w:w="1864"/>
        <w:gridCol w:w="5995"/>
      </w:tblGrid>
      <w:tr>
        <w:tblPrEx>
          <w:tblCellMar>
            <w:top w:w="0" w:type="dxa"/>
            <w:left w:w="108" w:type="dxa"/>
            <w:bottom w:w="0" w:type="dxa"/>
            <w:right w:w="108" w:type="dxa"/>
          </w:tblCellMar>
        </w:tblPrEx>
        <w:trPr>
          <w:trHeight w:val="902" w:hRule="atLeast"/>
        </w:trPr>
        <w:tc>
          <w:tcPr>
            <w:tcW w:w="1864" w:type="dxa"/>
          </w:tcPr>
          <w:p>
            <w:pPr>
              <w:spacing w:line="440" w:lineRule="exact"/>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项目名称：</w:t>
            </w:r>
          </w:p>
        </w:tc>
        <w:tc>
          <w:tcPr>
            <w:tcW w:w="5995" w:type="dxa"/>
          </w:tcPr>
          <w:p>
            <w:pPr>
              <w:pStyle w:val="34"/>
              <w:snapToGrid w:val="0"/>
              <w:spacing w:line="440" w:lineRule="exact"/>
              <w:rPr>
                <w:rFonts w:hint="eastAsia" w:ascii="宋体" w:hAnsi="宋体" w:eastAsia="宋体" w:cs="宋体"/>
                <w:b/>
                <w:bCs/>
                <w:color w:val="auto"/>
                <w:sz w:val="28"/>
                <w:szCs w:val="28"/>
                <w:highlight w:val="none"/>
                <w:lang w:eastAsia="zh-CN"/>
              </w:rPr>
            </w:pPr>
            <w:r>
              <w:rPr>
                <w:rFonts w:hint="eastAsia" w:hAnsi="宋体" w:cs="宋体"/>
                <w:b/>
                <w:bCs/>
                <w:color w:val="auto"/>
                <w:sz w:val="28"/>
                <w:szCs w:val="28"/>
                <w:highlight w:val="none"/>
                <w:lang w:eastAsia="zh-CN"/>
              </w:rPr>
              <w:t>建德市发展和改革局2025-2026年度节能审查委托咨询评估项目</w:t>
            </w:r>
          </w:p>
        </w:tc>
      </w:tr>
      <w:tr>
        <w:tblPrEx>
          <w:tblCellMar>
            <w:top w:w="0" w:type="dxa"/>
            <w:left w:w="108" w:type="dxa"/>
            <w:bottom w:w="0" w:type="dxa"/>
            <w:right w:w="108" w:type="dxa"/>
          </w:tblCellMar>
        </w:tblPrEx>
        <w:trPr>
          <w:trHeight w:val="768" w:hRule="atLeast"/>
        </w:trPr>
        <w:tc>
          <w:tcPr>
            <w:tcW w:w="1864" w:type="dxa"/>
            <w:vAlign w:val="center"/>
          </w:tcPr>
          <w:p>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tc>
        <w:tc>
          <w:tcPr>
            <w:tcW w:w="5995" w:type="dxa"/>
            <w:vAlign w:val="center"/>
          </w:tcPr>
          <w:p>
            <w:pPr>
              <w:spacing w:line="440" w:lineRule="exact"/>
              <w:rPr>
                <w:rFonts w:hint="default" w:ascii="宋体" w:hAnsi="宋体" w:eastAsia="宋体" w:cs="宋体"/>
                <w:b/>
                <w:bCs/>
                <w:snapToGrid w:val="0"/>
                <w:color w:val="auto"/>
                <w:sz w:val="28"/>
                <w:szCs w:val="28"/>
                <w:highlight w:val="none"/>
                <w:lang w:val="en-US"/>
              </w:rPr>
            </w:pPr>
            <w:r>
              <w:rPr>
                <w:rFonts w:hint="eastAsia" w:ascii="宋体" w:hAnsi="宋体" w:cs="宋体"/>
                <w:b/>
                <w:bCs/>
                <w:snapToGrid w:val="0"/>
                <w:color w:val="auto"/>
                <w:sz w:val="28"/>
                <w:szCs w:val="28"/>
                <w:highlight w:val="none"/>
                <w:lang w:eastAsia="zh-CN"/>
              </w:rPr>
              <w:t>JD2025BF-011</w:t>
            </w:r>
            <w:r>
              <w:rPr>
                <w:rFonts w:hint="eastAsia" w:ascii="宋体" w:hAnsi="宋体" w:cs="宋体"/>
                <w:b/>
                <w:bCs/>
                <w:snapToGrid w:val="0"/>
                <w:color w:val="auto"/>
                <w:sz w:val="28"/>
                <w:szCs w:val="28"/>
                <w:highlight w:val="none"/>
                <w:lang w:val="en-US" w:eastAsia="zh-CN"/>
              </w:rPr>
              <w:t>11</w:t>
            </w:r>
          </w:p>
        </w:tc>
      </w:tr>
    </w:tbl>
    <w:p>
      <w:pPr>
        <w:spacing w:line="440" w:lineRule="exact"/>
        <w:jc w:val="center"/>
        <w:rPr>
          <w:rFonts w:hint="eastAsia" w:ascii="宋体" w:hAnsi="宋体" w:eastAsia="宋体" w:cs="宋体"/>
          <w:b/>
          <w:color w:val="auto"/>
          <w:sz w:val="28"/>
          <w:szCs w:val="28"/>
          <w:highlight w:val="none"/>
        </w:rPr>
      </w:pPr>
    </w:p>
    <w:p>
      <w:pPr>
        <w:spacing w:line="440" w:lineRule="exact"/>
        <w:jc w:val="center"/>
        <w:rPr>
          <w:rFonts w:hint="eastAsia" w:ascii="宋体" w:hAnsi="宋体" w:eastAsia="宋体" w:cs="宋体"/>
          <w:color w:val="auto"/>
          <w:kern w:val="0"/>
          <w:sz w:val="28"/>
          <w:szCs w:val="28"/>
          <w:highlight w:val="none"/>
        </w:rPr>
      </w:pPr>
    </w:p>
    <w:p>
      <w:pPr>
        <w:spacing w:line="440" w:lineRule="exact"/>
        <w:jc w:val="center"/>
        <w:rPr>
          <w:rFonts w:hint="eastAsia" w:ascii="宋体" w:hAnsi="宋体" w:eastAsia="宋体" w:cs="宋体"/>
          <w:color w:val="auto"/>
          <w:sz w:val="28"/>
          <w:szCs w:val="28"/>
          <w:highlight w:val="none"/>
        </w:rPr>
      </w:pPr>
    </w:p>
    <w:p>
      <w:pPr>
        <w:spacing w:line="440" w:lineRule="exact"/>
        <w:jc w:val="center"/>
        <w:rPr>
          <w:rFonts w:hint="eastAsia" w:ascii="宋体" w:hAnsi="宋体" w:eastAsia="宋体" w:cs="宋体"/>
          <w:color w:val="auto"/>
          <w:sz w:val="28"/>
          <w:szCs w:val="28"/>
          <w:highlight w:val="none"/>
        </w:rPr>
      </w:pPr>
    </w:p>
    <w:p>
      <w:pPr>
        <w:spacing w:line="440" w:lineRule="exact"/>
        <w:jc w:val="center"/>
        <w:rPr>
          <w:rFonts w:hint="eastAsia" w:ascii="宋体" w:hAnsi="宋体" w:eastAsia="宋体" w:cs="宋体"/>
          <w:color w:val="auto"/>
          <w:sz w:val="28"/>
          <w:szCs w:val="28"/>
          <w:highlight w:val="none"/>
        </w:rPr>
      </w:pPr>
    </w:p>
    <w:p>
      <w:pPr>
        <w:spacing w:line="440" w:lineRule="exact"/>
        <w:jc w:val="center"/>
        <w:rPr>
          <w:rFonts w:hint="eastAsia" w:ascii="宋体" w:hAnsi="宋体" w:eastAsia="宋体" w:cs="宋体"/>
          <w:color w:val="auto"/>
          <w:sz w:val="28"/>
          <w:szCs w:val="28"/>
          <w:highlight w:val="none"/>
        </w:rPr>
      </w:pPr>
    </w:p>
    <w:p>
      <w:pPr>
        <w:spacing w:line="440" w:lineRule="exact"/>
        <w:rPr>
          <w:rFonts w:hint="eastAsia" w:ascii="宋体" w:hAnsi="宋体" w:eastAsia="宋体" w:cs="宋体"/>
          <w:color w:val="auto"/>
          <w:sz w:val="28"/>
          <w:szCs w:val="28"/>
          <w:highlight w:val="none"/>
        </w:rPr>
      </w:pPr>
    </w:p>
    <w:p>
      <w:pPr>
        <w:pStyle w:val="962"/>
        <w:spacing w:line="440" w:lineRule="exact"/>
        <w:rPr>
          <w:rFonts w:hint="eastAsia" w:ascii="宋体" w:hAnsi="宋体" w:eastAsia="宋体" w:cs="宋体"/>
          <w:color w:val="auto"/>
          <w:sz w:val="28"/>
          <w:szCs w:val="28"/>
          <w:highlight w:val="none"/>
        </w:rPr>
      </w:pPr>
    </w:p>
    <w:p>
      <w:pPr>
        <w:pStyle w:val="962"/>
        <w:spacing w:line="440" w:lineRule="exact"/>
        <w:rPr>
          <w:rFonts w:hint="eastAsia" w:ascii="宋体" w:hAnsi="宋体" w:eastAsia="宋体" w:cs="宋体"/>
          <w:color w:val="auto"/>
          <w:sz w:val="28"/>
          <w:szCs w:val="28"/>
          <w:highlight w:val="none"/>
        </w:rPr>
      </w:pPr>
    </w:p>
    <w:p>
      <w:pPr>
        <w:pStyle w:val="962"/>
        <w:spacing w:line="440" w:lineRule="exact"/>
        <w:rPr>
          <w:rFonts w:hint="eastAsia" w:ascii="宋体" w:hAnsi="宋体" w:eastAsia="宋体" w:cs="宋体"/>
          <w:color w:val="auto"/>
          <w:sz w:val="28"/>
          <w:szCs w:val="28"/>
          <w:highlight w:val="none"/>
        </w:rPr>
      </w:pPr>
    </w:p>
    <w:p>
      <w:pPr>
        <w:pStyle w:val="962"/>
        <w:spacing w:line="440" w:lineRule="exact"/>
        <w:rPr>
          <w:rFonts w:hint="eastAsia" w:ascii="宋体" w:hAnsi="宋体" w:eastAsia="宋体" w:cs="宋体"/>
          <w:color w:val="auto"/>
          <w:sz w:val="28"/>
          <w:szCs w:val="28"/>
          <w:highlight w:val="none"/>
        </w:rPr>
      </w:pPr>
    </w:p>
    <w:p>
      <w:pPr>
        <w:pStyle w:val="962"/>
        <w:spacing w:line="440" w:lineRule="exact"/>
        <w:rPr>
          <w:rFonts w:hint="eastAsia" w:ascii="宋体" w:hAnsi="宋体" w:eastAsia="宋体" w:cs="宋体"/>
          <w:color w:val="auto"/>
          <w:sz w:val="28"/>
          <w:szCs w:val="28"/>
          <w:highlight w:val="none"/>
        </w:rPr>
      </w:pPr>
    </w:p>
    <w:p>
      <w:pPr>
        <w:pStyle w:val="962"/>
        <w:spacing w:line="440" w:lineRule="exact"/>
        <w:rPr>
          <w:rFonts w:hint="eastAsia" w:ascii="宋体" w:hAnsi="宋体" w:eastAsia="宋体" w:cs="宋体"/>
          <w:color w:val="auto"/>
          <w:sz w:val="28"/>
          <w:szCs w:val="28"/>
          <w:highlight w:val="none"/>
        </w:rPr>
      </w:pPr>
    </w:p>
    <w:p>
      <w:pPr>
        <w:pStyle w:val="962"/>
        <w:spacing w:line="440" w:lineRule="exact"/>
        <w:rPr>
          <w:rFonts w:hint="eastAsia" w:ascii="宋体" w:hAnsi="宋体" w:eastAsia="宋体" w:cs="宋体"/>
          <w:color w:val="auto"/>
          <w:sz w:val="28"/>
          <w:szCs w:val="28"/>
          <w:highlight w:val="none"/>
        </w:rPr>
      </w:pPr>
    </w:p>
    <w:p>
      <w:pPr>
        <w:pStyle w:val="962"/>
        <w:spacing w:line="440" w:lineRule="exact"/>
        <w:rPr>
          <w:rFonts w:hint="eastAsia" w:ascii="宋体" w:hAnsi="宋体" w:eastAsia="宋体" w:cs="宋体"/>
          <w:color w:val="auto"/>
          <w:sz w:val="28"/>
          <w:szCs w:val="28"/>
          <w:highlight w:val="none"/>
        </w:rPr>
      </w:pPr>
    </w:p>
    <w:p>
      <w:pPr>
        <w:pStyle w:val="962"/>
        <w:spacing w:line="440" w:lineRule="exact"/>
        <w:rPr>
          <w:rFonts w:hint="eastAsia" w:ascii="宋体" w:hAnsi="宋体" w:eastAsia="宋体" w:cs="宋体"/>
          <w:color w:val="auto"/>
          <w:sz w:val="28"/>
          <w:szCs w:val="28"/>
          <w:highlight w:val="none"/>
        </w:rPr>
      </w:pPr>
    </w:p>
    <w:tbl>
      <w:tblPr>
        <w:tblStyle w:val="62"/>
        <w:tblW w:w="8976" w:type="dxa"/>
        <w:jc w:val="center"/>
        <w:tblLayout w:type="fixed"/>
        <w:tblCellMar>
          <w:top w:w="0" w:type="dxa"/>
          <w:left w:w="108" w:type="dxa"/>
          <w:bottom w:w="0" w:type="dxa"/>
          <w:right w:w="108" w:type="dxa"/>
        </w:tblCellMar>
      </w:tblPr>
      <w:tblGrid>
        <w:gridCol w:w="2247"/>
        <w:gridCol w:w="6729"/>
      </w:tblGrid>
      <w:tr>
        <w:tblPrEx>
          <w:tblCellMar>
            <w:top w:w="0" w:type="dxa"/>
            <w:left w:w="108" w:type="dxa"/>
            <w:bottom w:w="0" w:type="dxa"/>
            <w:right w:w="108" w:type="dxa"/>
          </w:tblCellMar>
        </w:tblPrEx>
        <w:trPr>
          <w:trHeight w:val="959" w:hRule="atLeast"/>
          <w:jc w:val="center"/>
        </w:trPr>
        <w:tc>
          <w:tcPr>
            <w:tcW w:w="2247" w:type="dxa"/>
            <w:vAlign w:val="center"/>
          </w:tcPr>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征 集 人：</w:t>
            </w:r>
          </w:p>
        </w:tc>
        <w:tc>
          <w:tcPr>
            <w:tcW w:w="6729" w:type="dxa"/>
            <w:vAlign w:val="center"/>
          </w:tcPr>
          <w:p>
            <w:pPr>
              <w:pStyle w:val="34"/>
              <w:snapToGrid w:val="0"/>
              <w:rPr>
                <w:rFonts w:hint="eastAsia" w:ascii="宋体" w:hAnsi="宋体" w:eastAsia="宋体" w:cs="宋体"/>
                <w:color w:val="auto"/>
                <w:sz w:val="28"/>
                <w:szCs w:val="28"/>
                <w:highlight w:val="none"/>
                <w:lang w:eastAsia="zh-CN"/>
              </w:rPr>
            </w:pPr>
            <w:r>
              <w:rPr>
                <w:rFonts w:hint="eastAsia" w:hAnsi="宋体" w:cs="宋体"/>
                <w:b/>
                <w:bCs/>
                <w:color w:val="auto"/>
                <w:sz w:val="28"/>
                <w:szCs w:val="28"/>
                <w:highlight w:val="none"/>
                <w:lang w:eastAsia="zh-CN"/>
              </w:rPr>
              <w:t>建德市发展和改革局</w:t>
            </w:r>
          </w:p>
        </w:tc>
      </w:tr>
      <w:tr>
        <w:tblPrEx>
          <w:tblCellMar>
            <w:top w:w="0" w:type="dxa"/>
            <w:left w:w="108" w:type="dxa"/>
            <w:bottom w:w="0" w:type="dxa"/>
            <w:right w:w="108" w:type="dxa"/>
          </w:tblCellMar>
        </w:tblPrEx>
        <w:trPr>
          <w:trHeight w:val="706" w:hRule="atLeast"/>
          <w:jc w:val="center"/>
        </w:trPr>
        <w:tc>
          <w:tcPr>
            <w:tcW w:w="2247" w:type="dxa"/>
            <w:vAlign w:val="center"/>
          </w:tcPr>
          <w:p>
            <w:pP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代理机构：</w:t>
            </w:r>
          </w:p>
        </w:tc>
        <w:tc>
          <w:tcPr>
            <w:tcW w:w="6729" w:type="dxa"/>
            <w:vAlign w:val="center"/>
          </w:tcPr>
          <w:p>
            <w:pPr>
              <w:pStyle w:val="34"/>
              <w:snapToGrid w:val="0"/>
              <w:rPr>
                <w:rFonts w:hint="eastAsia" w:ascii="宋体" w:hAnsi="宋体" w:eastAsia="宋体" w:cs="宋体"/>
                <w:color w:val="auto"/>
                <w:sz w:val="28"/>
                <w:szCs w:val="28"/>
                <w:highlight w:val="none"/>
                <w:lang w:eastAsia="zh-CN"/>
              </w:rPr>
            </w:pPr>
            <w:r>
              <w:rPr>
                <w:rFonts w:hint="eastAsia" w:hAnsi="宋体" w:cs="宋体"/>
                <w:b/>
                <w:bCs/>
                <w:color w:val="auto"/>
                <w:sz w:val="28"/>
                <w:szCs w:val="28"/>
                <w:highlight w:val="none"/>
                <w:lang w:eastAsia="zh-CN"/>
              </w:rPr>
              <w:t>建德市森得工程造价咨询有限公司</w:t>
            </w:r>
          </w:p>
        </w:tc>
      </w:tr>
      <w:tr>
        <w:tblPrEx>
          <w:tblCellMar>
            <w:top w:w="0" w:type="dxa"/>
            <w:left w:w="108" w:type="dxa"/>
            <w:bottom w:w="0" w:type="dxa"/>
            <w:right w:w="108" w:type="dxa"/>
          </w:tblCellMar>
        </w:tblPrEx>
        <w:trPr>
          <w:trHeight w:val="929" w:hRule="atLeast"/>
          <w:jc w:val="center"/>
        </w:trPr>
        <w:tc>
          <w:tcPr>
            <w:tcW w:w="2247" w:type="dxa"/>
            <w:vAlign w:val="center"/>
          </w:tcPr>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日    期：</w:t>
            </w:r>
          </w:p>
        </w:tc>
        <w:tc>
          <w:tcPr>
            <w:tcW w:w="6729" w:type="dxa"/>
            <w:vAlign w:val="center"/>
          </w:tcPr>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月</w:t>
            </w: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日</w:t>
            </w:r>
          </w:p>
        </w:tc>
      </w:tr>
    </w:tbl>
    <w:p>
      <w:pPr>
        <w:spacing w:line="360" w:lineRule="auto"/>
        <w:jc w:val="center"/>
        <w:rPr>
          <w:rFonts w:hint="eastAsia" w:ascii="宋体" w:hAnsi="宋体" w:eastAsia="宋体" w:cs="宋体"/>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5" w:h="16838"/>
          <w:pgMar w:top="652" w:right="1417" w:bottom="680" w:left="1417" w:header="539" w:footer="482" w:gutter="0"/>
          <w:cols w:space="0" w:num="1"/>
          <w:titlePg/>
          <w:docGrid w:linePitch="312" w:charSpace="0"/>
        </w:sect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bCs/>
          <w:color w:val="auto"/>
          <w:sz w:val="44"/>
          <w:szCs w:val="44"/>
          <w:highlight w:val="none"/>
        </w:rPr>
      </w:pPr>
      <w:bookmarkStart w:id="0" w:name="_Hlt91233176"/>
      <w:bookmarkEnd w:id="0"/>
      <w:bookmarkStart w:id="1" w:name="_Toc91899869"/>
      <w:r>
        <w:rPr>
          <w:rFonts w:hint="eastAsia" w:ascii="宋体" w:hAnsi="宋体" w:eastAsia="宋体" w:cs="宋体"/>
          <w:b/>
          <w:bCs/>
          <w:color w:val="auto"/>
          <w:sz w:val="44"/>
          <w:szCs w:val="44"/>
          <w:highlight w:val="none"/>
        </w:rPr>
        <w:t>目录</w:t>
      </w:r>
    </w:p>
    <w:p>
      <w:pPr>
        <w:pStyle w:val="44"/>
        <w:tabs>
          <w:tab w:val="right" w:leader="hyphen" w:pos="9071"/>
        </w:tabs>
        <w:spacing w:line="480" w:lineRule="auto"/>
        <w:rPr>
          <w:rFonts w:hint="eastAsia" w:ascii="宋体" w:hAnsi="宋体" w:eastAsia="宋体" w:cs="宋体"/>
          <w:color w:val="auto"/>
          <w:sz w:val="28"/>
          <w:szCs w:val="28"/>
          <w:highlight w:val="none"/>
        </w:rPr>
      </w:pPr>
    </w:p>
    <w:p>
      <w:pPr>
        <w:pStyle w:val="44"/>
        <w:tabs>
          <w:tab w:val="right" w:leader="hyphen"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第一部分 征集公告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_Toc21938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4"/>
        <w:tabs>
          <w:tab w:val="right" w:leader="hyphen"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"_Toc24127"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第二部分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_Toc24127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4"/>
        <w:tabs>
          <w:tab w:val="right" w:leader="hyphen"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"_Toc25207"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_Toc25207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4"/>
        <w:tabs>
          <w:tab w:val="right" w:leader="hyphen" w:pos="9071"/>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"_Toc26722"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第四部分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_Toc26722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pPr>
        <w:pStyle w:val="44"/>
        <w:tabs>
          <w:tab w:val="right" w:leader="hyphen" w:pos="9071"/>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44"/>
        <w:tabs>
          <w:tab w:val="right" w:leader="hyphen" w:pos="9071"/>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"_Toc25425"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pPr>
        <w:pStyle w:val="44"/>
        <w:tabs>
          <w:tab w:val="right" w:leader="hyphen" w:pos="9071"/>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政府采购支持中小企业信用融资相关事项通知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pPr>
        <w:pStyle w:val="44"/>
        <w:tabs>
          <w:tab w:val="right" w:leader="dot" w:pos="9071"/>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fldChar w:fldCharType="end"/>
      </w: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bookmarkEnd w:id="1"/>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24"/>
          <w:highlight w:val="none"/>
        </w:rPr>
        <w:sectPr>
          <w:footerReference r:id="rId10" w:type="first"/>
          <w:footerReference r:id="rId9" w:type="default"/>
          <w:pgSz w:w="11905" w:h="16838"/>
          <w:pgMar w:top="652" w:right="1417" w:bottom="680" w:left="1417" w:header="539" w:footer="482" w:gutter="0"/>
          <w:pgNumType w:start="1"/>
          <w:cols w:space="0" w:num="1"/>
          <w:docGrid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_Toc20296"/>
      <w:bookmarkStart w:id="7" w:name="_Toc18065"/>
      <w:bookmarkStart w:id="8" w:name="_Toc31815"/>
      <w:bookmarkStart w:id="9" w:name="_Toc22995"/>
      <w:bookmarkStart w:id="10" w:name="第二部分"/>
      <w:bookmarkStart w:id="11" w:name="_Toc91899870"/>
      <w:bookmarkStart w:id="12" w:name="_Toc91899871"/>
    </w:p>
    <w:p>
      <w:pPr>
        <w:adjustRightInd/>
        <w:spacing w:line="360" w:lineRule="auto"/>
        <w:jc w:val="center"/>
        <w:outlineLvl w:val="0"/>
        <w:rPr>
          <w:rFonts w:hint="eastAsia" w:ascii="宋体" w:hAnsi="宋体" w:eastAsia="宋体" w:cs="宋体"/>
          <w:b/>
          <w:color w:val="auto"/>
          <w:sz w:val="32"/>
          <w:szCs w:val="32"/>
          <w:highlight w:val="none"/>
        </w:rPr>
      </w:pPr>
      <w:bookmarkStart w:id="13" w:name="_Toc21938"/>
      <w:r>
        <w:rPr>
          <w:rFonts w:hint="eastAsia" w:ascii="宋体" w:hAnsi="宋体" w:eastAsia="宋体" w:cs="宋体"/>
          <w:b/>
          <w:color w:val="auto"/>
          <w:sz w:val="32"/>
          <w:szCs w:val="32"/>
          <w:highlight w:val="none"/>
        </w:rPr>
        <w:t>第一部分 征集公告</w:t>
      </w:r>
      <w:bookmarkEnd w:id="6"/>
      <w:bookmarkEnd w:id="7"/>
      <w:bookmarkEnd w:id="8"/>
      <w:bookmarkEnd w:id="9"/>
      <w:bookmarkEnd w:id="13"/>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建德市发展和改革局2025-2026年度节能审查委托咨询评估项目</w:t>
      </w:r>
      <w:r>
        <w:rPr>
          <w:rFonts w:hint="eastAsia" w:ascii="宋体" w:hAnsi="宋体" w:eastAsia="宋体" w:cs="宋体"/>
          <w:color w:val="auto"/>
          <w:sz w:val="24"/>
          <w:highlight w:val="none"/>
        </w:rPr>
        <w:t>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"https://www.zcygov.cn/）获取（下载）征集文件，并于2022年10月20日9点30分00秒"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https://www.zcygov.cn/）获取（下载）征集文件，并于202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26 </w:t>
      </w:r>
      <w:r>
        <w:rPr>
          <w:rStyle w:val="76"/>
          <w:rFonts w:hint="eastAsia" w:ascii="宋体" w:hAnsi="宋体" w:eastAsia="宋体" w:cs="宋体"/>
          <w:snapToGrid/>
          <w:color w:val="auto"/>
          <w:kern w:val="2"/>
          <w:sz w:val="24"/>
          <w:szCs w:val="24"/>
          <w:highlight w:val="none"/>
        </w:rPr>
        <w:t>日9时30分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递交（上传）响应文件。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JD2025BF-011</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建德市发展和改革局2025-2026年度节能审查委托咨询评估项目</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8</w:t>
      </w:r>
      <w:r>
        <w:rPr>
          <w:rFonts w:hint="eastAsia" w:ascii="宋体" w:hAnsi="宋体" w:eastAsia="宋体" w:cs="宋体"/>
          <w:b w:val="0"/>
          <w:bCs/>
          <w:color w:val="auto"/>
          <w:sz w:val="24"/>
          <w:highlight w:val="none"/>
        </w:rPr>
        <w:t>00000.00元</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eastAsia="zh-CN"/>
        </w:rPr>
        <w:t>最高限价</w:t>
      </w:r>
      <w:r>
        <w:rPr>
          <w:rFonts w:hint="eastAsia" w:ascii="宋体" w:hAnsi="宋体" w:eastAsia="宋体" w:cs="宋体"/>
          <w:b/>
          <w:color w:val="auto"/>
          <w:sz w:val="24"/>
          <w:highlight w:val="none"/>
        </w:rPr>
        <w:t>（元）：</w:t>
      </w:r>
      <w:r>
        <w:rPr>
          <w:rFonts w:hint="eastAsia" w:ascii="宋体" w:hAnsi="宋体" w:eastAsia="宋体" w:cs="宋体"/>
          <w:b w:val="0"/>
          <w:bCs/>
          <w:color w:val="auto"/>
          <w:sz w:val="24"/>
          <w:highlight w:val="none"/>
        </w:rPr>
        <w:t>1.</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万元/个</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最高限制单价）</w:t>
      </w:r>
      <w:r>
        <w:rPr>
          <w:rFonts w:hint="eastAsia" w:ascii="宋体" w:hAnsi="宋体" w:eastAsia="宋体" w:cs="宋体"/>
          <w:b w:val="0"/>
          <w:bCs/>
          <w:color w:val="auto"/>
          <w:sz w:val="24"/>
          <w:highlight w:val="none"/>
          <w:lang w:eastAsia="zh-CN"/>
        </w:rPr>
        <w:t>。</w:t>
      </w:r>
    </w:p>
    <w:p>
      <w:pPr>
        <w:pStyle w:val="15"/>
        <w:spacing w:line="360" w:lineRule="auto"/>
        <w:ind w:firstLine="48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rPr>
        <w:t>202</w:t>
      </w:r>
      <w:r>
        <w:rPr>
          <w:rFonts w:hint="eastAsia" w:hAnsi="宋体" w:cs="宋体"/>
          <w:b w:val="0"/>
          <w:bCs/>
          <w:color w:val="auto"/>
          <w:sz w:val="24"/>
          <w:szCs w:val="24"/>
          <w:highlight w:val="none"/>
          <w:lang w:val="en-US" w:eastAsia="zh-CN"/>
        </w:rPr>
        <w:t>5-2026</w:t>
      </w:r>
      <w:r>
        <w:rPr>
          <w:rFonts w:hint="eastAsia" w:ascii="宋体" w:hAnsi="宋体" w:eastAsia="宋体" w:cs="宋体"/>
          <w:b w:val="0"/>
          <w:bCs/>
          <w:color w:val="auto"/>
          <w:sz w:val="24"/>
          <w:szCs w:val="24"/>
          <w:highlight w:val="none"/>
        </w:rPr>
        <w:t>年度固定资产投资项目节能报告评审服务，具体详见“第三部分 采购需求”。</w:t>
      </w:r>
    </w:p>
    <w:p>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具体详见“第三部分 采购需求”。</w:t>
      </w:r>
    </w:p>
    <w:p>
      <w:pPr>
        <w:pStyle w:val="128"/>
        <w:spacing w:before="0"/>
        <w:ind w:firstLine="48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框架协议期限：</w:t>
      </w:r>
      <w:r>
        <w:rPr>
          <w:rFonts w:hint="eastAsia" w:ascii="宋体" w:hAnsi="宋体" w:eastAsia="宋体" w:cs="宋体"/>
          <w:b w:val="0"/>
          <w:bCs/>
          <w:color w:val="auto"/>
          <w:szCs w:val="24"/>
          <w:highlight w:val="none"/>
        </w:rPr>
        <w:t>框架协议签订之日起</w:t>
      </w:r>
      <w:r>
        <w:rPr>
          <w:rFonts w:hint="eastAsia"/>
          <w:color w:val="000000" w:themeColor="text1"/>
          <w:lang w:val="en-US" w:eastAsia="zh-CN"/>
          <w14:textFill>
            <w14:solidFill>
              <w14:schemeClr w14:val="tx1"/>
            </w14:solidFill>
          </w14:textFill>
        </w:rPr>
        <w:t>2年</w:t>
      </w:r>
      <w:r>
        <w:rPr>
          <w:rFonts w:hint="eastAsia" w:ascii="宋体" w:hAnsi="宋体" w:eastAsia="宋体" w:cs="宋体"/>
          <w:b w:val="0"/>
          <w:bCs/>
          <w:color w:val="auto"/>
          <w:szCs w:val="24"/>
          <w:highlight w:val="none"/>
        </w:rPr>
        <w:t>。</w:t>
      </w:r>
    </w:p>
    <w:p>
      <w:pPr>
        <w:pStyle w:val="128"/>
        <w:spacing w:before="0"/>
        <w:ind w:firstLine="482"/>
        <w:rPr>
          <w:rFonts w:hint="eastAsia" w:ascii="宋体" w:hAnsi="宋体" w:eastAsia="宋体" w:cs="宋体"/>
          <w:color w:val="auto"/>
          <w:szCs w:val="24"/>
          <w:highlight w:val="none"/>
          <w:lang w:eastAsia="zh-CN"/>
        </w:rPr>
      </w:pPr>
      <w:r>
        <w:rPr>
          <w:rFonts w:hint="eastAsia" w:ascii="宋体" w:hAnsi="宋体" w:eastAsia="宋体" w:cs="宋体"/>
          <w:b/>
          <w:bCs/>
          <w:color w:val="auto"/>
          <w:szCs w:val="24"/>
          <w:highlight w:val="none"/>
        </w:rPr>
        <w:t>适用框架协议的采购人：</w:t>
      </w:r>
      <w:r>
        <w:rPr>
          <w:rFonts w:hint="eastAsia" w:ascii="宋体" w:hAnsi="宋体" w:cs="宋体"/>
          <w:color w:val="auto"/>
          <w:szCs w:val="24"/>
          <w:highlight w:val="none"/>
          <w:lang w:eastAsia="zh-CN"/>
        </w:rPr>
        <w:t>建德市发展和改革局</w:t>
      </w:r>
    </w:p>
    <w:p>
      <w:pPr>
        <w:pStyle w:val="15"/>
        <w:spacing w:line="360" w:lineRule="auto"/>
        <w:ind w:firstLine="480"/>
        <w:rPr>
          <w:rFonts w:hint="eastAsia" w:ascii="宋体" w:hAnsi="宋体" w:eastAsia="宋体" w:cs="宋体"/>
          <w:b/>
          <w:snapToGrid/>
          <w:color w:val="auto"/>
          <w:kern w:val="2"/>
          <w:sz w:val="24"/>
          <w:szCs w:val="24"/>
          <w:highlight w:val="none"/>
        </w:rPr>
      </w:pPr>
      <w:r>
        <w:rPr>
          <w:rFonts w:hint="eastAsia" w:ascii="宋体" w:hAnsi="宋体" w:eastAsia="宋体" w:cs="宋体"/>
          <w:b/>
          <w:snapToGrid/>
          <w:color w:val="auto"/>
          <w:kern w:val="2"/>
          <w:sz w:val="24"/>
          <w:szCs w:val="24"/>
          <w:highlight w:val="none"/>
        </w:rPr>
        <w:t>本项目</w:t>
      </w:r>
      <w:r>
        <w:rPr>
          <w:rFonts w:hint="eastAsia" w:ascii="宋体" w:hAnsi="宋体" w:eastAsia="宋体" w:cs="宋体"/>
          <w:b/>
          <w:snapToGrid/>
          <w:color w:val="auto"/>
          <w:kern w:val="2"/>
          <w:sz w:val="24"/>
          <w:szCs w:val="24"/>
          <w:highlight w:val="none"/>
          <w:u w:val="single"/>
        </w:rPr>
        <w:t>（接受）</w:t>
      </w:r>
      <w:r>
        <w:rPr>
          <w:rFonts w:hint="eastAsia" w:ascii="宋体" w:hAnsi="宋体" w:eastAsia="宋体" w:cs="宋体"/>
          <w:b/>
          <w:snapToGrid/>
          <w:color w:val="auto"/>
          <w:kern w:val="2"/>
          <w:sz w:val="24"/>
          <w:szCs w:val="24"/>
          <w:highlight w:val="none"/>
        </w:rPr>
        <w:t>联合体参加。</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adjustRightInd/>
        <w:spacing w:line="360" w:lineRule="auto"/>
        <w:ind w:firstLine="48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1.满足《中华人民共和国政府采购法》第二十二条规定；未被“信用中国”（www.creditchina.gov.cn</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、中国政府采购网（www.ccgp.gov.cn）列入失信被执行人、重大税收违法案件当事人名单、政府采购严重违法失信行为记录名单；</w:t>
      </w:r>
    </w:p>
    <w:p>
      <w:pPr>
        <w:adjustRightInd/>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2.以联合体形式投标的，提供联合协议</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本项目不接受联合体投标或者投标人不以联合体形式投标的，则不需要提供</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 xml:space="preserve"> ；</w:t>
      </w:r>
    </w:p>
    <w:p>
      <w:pPr>
        <w:adjustRightInd/>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3.落实政府采购政策需满足的资格要求：</w:t>
      </w:r>
    </w:p>
    <w:p>
      <w:pPr>
        <w:adjustRightInd/>
        <w:spacing w:line="360" w:lineRule="auto"/>
        <w:ind w:firstLine="480" w:firstLineChars="200"/>
        <w:rPr>
          <w:rFonts w:hint="eastAsia" w:ascii="宋体" w:hAnsi="宋体" w:eastAsia="宋体" w:cs="宋体"/>
          <w:snapToGrid w:val="0"/>
          <w:color w:val="auto"/>
          <w:kern w:val="28"/>
          <w:sz w:val="24"/>
          <w:highlight w:val="none"/>
        </w:rPr>
      </w:pPr>
      <w:sdt>
        <w:sdtPr>
          <w:rPr>
            <w:rFonts w:hint="eastAsia" w:ascii="宋体" w:hAnsi="宋体" w:eastAsia="宋体" w:cs="宋体"/>
            <w:snapToGrid w:val="0"/>
            <w:color w:val="auto"/>
            <w:kern w:val="28"/>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highlight w:val="none"/>
          </w:rPr>
        </w:sdtEndPr>
        <w:sdtContent>
          <w:r>
            <w:rPr>
              <w:rFonts w:hint="eastAsia" w:ascii="宋体" w:hAnsi="宋体" w:eastAsia="宋体" w:cs="宋体"/>
              <w:snapToGrid w:val="0"/>
              <w:color w:val="auto"/>
              <w:kern w:val="28"/>
              <w:sz w:val="24"/>
              <w:highlight w:val="none"/>
            </w:rPr>
            <w:t>☐</w:t>
          </w:r>
        </w:sdtContent>
      </w:sdt>
      <w:r>
        <w:rPr>
          <w:rFonts w:hint="eastAsia" w:ascii="宋体" w:hAnsi="宋体" w:eastAsia="宋体" w:cs="宋体"/>
          <w:snapToGrid w:val="0"/>
          <w:color w:val="auto"/>
          <w:kern w:val="28"/>
          <w:sz w:val="24"/>
          <w:highlight w:val="none"/>
        </w:rPr>
        <w:t>无（注：不得限制大中型企业与小微企业组成联合体参与投标）；</w:t>
      </w:r>
    </w:p>
    <w:p>
      <w:pPr>
        <w:adjustRightInd/>
        <w:spacing w:line="360" w:lineRule="auto"/>
        <w:ind w:firstLine="480" w:firstLineChars="200"/>
        <w:rPr>
          <w:rFonts w:hint="eastAsia" w:ascii="宋体" w:hAnsi="宋体" w:eastAsia="宋体" w:cs="宋体"/>
          <w:snapToGrid w:val="0"/>
          <w:color w:val="auto"/>
          <w:kern w:val="28"/>
          <w:sz w:val="24"/>
          <w:highlight w:val="none"/>
        </w:rPr>
      </w:pPr>
      <w:sdt>
        <w:sdtPr>
          <w:rPr>
            <w:rFonts w:hint="eastAsia" w:ascii="宋体" w:hAnsi="宋体" w:eastAsia="宋体" w:cs="宋体"/>
            <w:snapToGrid w:val="0"/>
            <w:color w:val="auto"/>
            <w:kern w:val="28"/>
            <w:sz w:val="24"/>
            <w:highlight w:val="none"/>
          </w:rPr>
          <w:id w:val="1352448786"/>
          <w14:checkbox>
            <w14:checked w14:val="1"/>
            <w14:checkedState w14:val="00FE" w14:font="Wingdings"/>
            <w14:uncheckedState w14:val="2610" w14:font="MS Gothic"/>
          </w14:checkbox>
        </w:sdtPr>
        <w:sdtEndPr>
          <w:rPr>
            <w:rFonts w:hint="eastAsia" w:ascii="宋体" w:hAnsi="宋体" w:eastAsia="宋体" w:cs="宋体"/>
            <w:snapToGrid w:val="0"/>
            <w:color w:val="auto"/>
            <w:kern w:val="28"/>
            <w:sz w:val="24"/>
            <w:highlight w:val="none"/>
          </w:rPr>
        </w:sdtEndPr>
        <w:sdtContent>
          <w:r>
            <w:rPr>
              <w:rFonts w:hint="eastAsia" w:ascii="Wingdings" w:hAnsi="Wingdings" w:eastAsia="宋体" w:cs="宋体"/>
              <w:snapToGrid w:val="0"/>
              <w:color w:val="auto"/>
              <w:kern w:val="28"/>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专门面向中小企业；</w:t>
      </w:r>
    </w:p>
    <w:p>
      <w:pPr>
        <w:adjustRightInd/>
        <w:spacing w:line="360" w:lineRule="auto"/>
        <w:ind w:firstLine="480" w:firstLineChars="200"/>
        <w:rPr>
          <w:rFonts w:hint="eastAsia" w:ascii="宋体" w:hAnsi="宋体" w:eastAsia="宋体" w:cs="宋体"/>
          <w:snapToGrid w:val="0"/>
          <w:color w:val="auto"/>
          <w:kern w:val="28"/>
          <w:sz w:val="24"/>
          <w:highlight w:val="none"/>
        </w:rPr>
      </w:pPr>
      <w:sdt>
        <w:sdtPr>
          <w:rPr>
            <w:rFonts w:hint="eastAsia" w:ascii="宋体" w:hAnsi="宋体" w:eastAsia="宋体" w:cs="宋体"/>
            <w:snapToGrid w:val="0"/>
            <w:color w:val="auto"/>
            <w:kern w:val="28"/>
            <w:sz w:val="24"/>
            <w:highlight w:val="none"/>
          </w:rPr>
          <w:id w:val="137393832"/>
          <w14:checkbox>
            <w14:checked w14:val="1"/>
            <w14:checkedState w14:val="00FE" w14:font="Wingdings"/>
            <w14:uncheckedState w14:val="2610" w14:font="MS Gothic"/>
          </w14:checkbox>
        </w:sdtPr>
        <w:sdtEndPr>
          <w:rPr>
            <w:rFonts w:hint="eastAsia" w:ascii="宋体" w:hAnsi="宋体" w:eastAsia="宋体" w:cs="宋体"/>
            <w:snapToGrid w:val="0"/>
            <w:color w:val="auto"/>
            <w:kern w:val="28"/>
            <w:sz w:val="24"/>
            <w:highlight w:val="none"/>
          </w:rPr>
        </w:sdtEndPr>
        <w:sdtContent>
          <w:r>
            <w:rPr>
              <w:rFonts w:hint="eastAsia" w:ascii="Wingdings" w:hAnsi="Wingdings" w:eastAsia="宋体" w:cs="宋体"/>
              <w:snapToGrid w:val="0"/>
              <w:color w:val="auto"/>
              <w:kern w:val="28"/>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服务全部由符合政策要求的中小企业承接，提供中小企业声明函；</w:t>
      </w:r>
    </w:p>
    <w:p>
      <w:pPr>
        <w:adjustRightInd/>
        <w:spacing w:line="360" w:lineRule="auto"/>
        <w:ind w:firstLine="480" w:firstLineChars="200"/>
        <w:rPr>
          <w:rFonts w:hint="eastAsia" w:ascii="宋体" w:hAnsi="宋体" w:eastAsia="宋体" w:cs="宋体"/>
          <w:snapToGrid w:val="0"/>
          <w:color w:val="auto"/>
          <w:kern w:val="28"/>
          <w:sz w:val="24"/>
          <w:highlight w:val="none"/>
        </w:rPr>
      </w:pPr>
      <w:sdt>
        <w:sdtPr>
          <w:rPr>
            <w:rFonts w:hint="eastAsia" w:ascii="宋体" w:hAnsi="宋体" w:eastAsia="宋体" w:cs="宋体"/>
            <w:snapToGrid w:val="0"/>
            <w:color w:val="auto"/>
            <w:kern w:val="28"/>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highlight w:val="none"/>
          </w:rPr>
        </w:sdtEndPr>
        <w:sdtContent>
          <w:r>
            <w:rPr>
              <w:rFonts w:hint="eastAsia" w:ascii="宋体" w:hAnsi="宋体" w:eastAsia="宋体" w:cs="宋体"/>
              <w:snapToGrid w:val="0"/>
              <w:color w:val="auto"/>
              <w:kern w:val="28"/>
              <w:sz w:val="24"/>
              <w:highlight w:val="none"/>
            </w:rPr>
            <w:t>☐</w:t>
          </w:r>
        </w:sdtContent>
      </w:sdt>
      <w:r>
        <w:rPr>
          <w:rFonts w:hint="eastAsia" w:ascii="宋体" w:hAnsi="宋体" w:eastAsia="宋体" w:cs="宋体"/>
          <w:snapToGrid w:val="0"/>
          <w:color w:val="auto"/>
          <w:kern w:val="28"/>
          <w:sz w:val="24"/>
          <w:highlight w:val="none"/>
        </w:rPr>
        <w:t>服务全部由符合政策要求的小微企业承接，提供中小企业声明函；</w:t>
      </w:r>
    </w:p>
    <w:p>
      <w:pPr>
        <w:adjustRightInd/>
        <w:spacing w:line="360" w:lineRule="auto"/>
        <w:ind w:firstLine="480" w:firstLineChars="200"/>
        <w:rPr>
          <w:rFonts w:hint="eastAsia" w:ascii="宋体" w:hAnsi="宋体" w:eastAsia="宋体" w:cs="宋体"/>
          <w:snapToGrid w:val="0"/>
          <w:color w:val="auto"/>
          <w:kern w:val="28"/>
          <w:sz w:val="24"/>
          <w:highlight w:val="none"/>
        </w:rPr>
      </w:pPr>
      <w:sdt>
        <w:sdtPr>
          <w:rPr>
            <w:rFonts w:hint="eastAsia" w:ascii="宋体" w:hAnsi="宋体" w:eastAsia="宋体" w:cs="宋体"/>
            <w:snapToGrid w:val="0"/>
            <w:color w:val="auto"/>
            <w:kern w:val="28"/>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highlight w:val="none"/>
          </w:rPr>
        </w:sdtEndPr>
        <w:sdtContent>
          <w:bookmarkStart w:id="14" w:name="_Hlk101132524"/>
          <w:r>
            <w:rPr>
              <w:rFonts w:hint="eastAsia" w:ascii="宋体" w:hAnsi="宋体" w:eastAsia="宋体" w:cs="宋体"/>
              <w:snapToGrid w:val="0"/>
              <w:color w:val="auto"/>
              <w:kern w:val="28"/>
              <w:sz w:val="24"/>
              <w:highlight w:val="none"/>
            </w:rPr>
            <w:t>☐</w:t>
          </w:r>
        </w:sdtContent>
      </w:sdt>
      <w:r>
        <w:rPr>
          <w:rFonts w:hint="eastAsia" w:ascii="宋体" w:hAnsi="宋体" w:eastAsia="宋体" w:cs="宋体"/>
          <w:snapToGrid w:val="0"/>
          <w:color w:val="auto"/>
          <w:kern w:val="28"/>
          <w:sz w:val="24"/>
          <w:highlight w:val="none"/>
        </w:rPr>
        <w:t>要求以联合体形式参加，提供联合协议和中小企业声明函，联合协议中中小企业合同金额应当达到</w:t>
      </w:r>
      <w:r>
        <w:rPr>
          <w:rFonts w:hint="eastAsia" w:ascii="宋体" w:hAnsi="宋体" w:eastAsia="宋体" w:cs="宋体"/>
          <w:snapToGrid w:val="0"/>
          <w:color w:val="auto"/>
          <w:kern w:val="28"/>
          <w:sz w:val="24"/>
          <w:highlight w:val="none"/>
          <w:u w:val="single"/>
        </w:rPr>
        <w:t xml:space="preserve">  </w:t>
      </w:r>
      <w:r>
        <w:rPr>
          <w:rFonts w:hint="eastAsia" w:ascii="宋体" w:hAnsi="宋体" w:eastAsia="宋体" w:cs="宋体"/>
          <w:snapToGrid w:val="0"/>
          <w:color w:val="auto"/>
          <w:kern w:val="28"/>
          <w:sz w:val="24"/>
          <w:highlight w:val="none"/>
        </w:rPr>
        <w:t>%，其中小微企业合同金额应当达到</w:t>
      </w:r>
      <w:r>
        <w:rPr>
          <w:rFonts w:hint="eastAsia" w:ascii="宋体" w:hAnsi="宋体" w:eastAsia="宋体" w:cs="宋体"/>
          <w:snapToGrid w:val="0"/>
          <w:color w:val="auto"/>
          <w:kern w:val="28"/>
          <w:sz w:val="24"/>
          <w:highlight w:val="none"/>
          <w:u w:val="single"/>
        </w:rPr>
        <w:t xml:space="preserve"> </w:t>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bookmarkEnd w:id="14"/>
    <w:p>
      <w:pPr>
        <w:adjustRightInd/>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snapToGrid w:val="0"/>
            <w:color w:val="auto"/>
            <w:kern w:val="28"/>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highlight w:val="none"/>
          </w:rPr>
        </w:sdtEndPr>
        <w:sdtContent>
          <w:r>
            <w:rPr>
              <w:rFonts w:hint="eastAsia" w:ascii="宋体" w:hAnsi="宋体" w:eastAsia="宋体" w:cs="宋体"/>
              <w:snapToGrid w:val="0"/>
              <w:color w:val="auto"/>
              <w:kern w:val="28"/>
              <w:sz w:val="24"/>
              <w:highlight w:val="none"/>
            </w:rPr>
            <w:t>☐</w:t>
          </w:r>
        </w:sdtContent>
      </w:sdt>
      <w:r>
        <w:rPr>
          <w:rFonts w:hint="eastAsia" w:ascii="宋体" w:hAnsi="宋体" w:eastAsia="宋体" w:cs="宋体"/>
          <w:snapToGrid w:val="0"/>
          <w:color w:val="auto"/>
          <w:kern w:val="28"/>
          <w:sz w:val="24"/>
          <w:highlight w:val="none"/>
        </w:rPr>
        <w:t>要求合同分包，提供分包意向协议和中小企业声明函，分包意向协议中中小企业合同金额应当</w:t>
      </w:r>
      <w:r>
        <w:rPr>
          <w:rFonts w:hint="eastAsia" w:ascii="宋体" w:hAnsi="宋体" w:cs="宋体"/>
          <w:snapToGrid w:val="0"/>
          <w:color w:val="auto"/>
          <w:kern w:val="28"/>
          <w:sz w:val="24"/>
          <w:highlight w:val="none"/>
          <w:lang w:eastAsia="zh-CN"/>
        </w:rPr>
        <w:t>达到</w:t>
      </w:r>
      <w:r>
        <w:rPr>
          <w:rFonts w:hint="eastAsia" w:ascii="宋体" w:hAnsi="宋体" w:eastAsia="宋体" w:cs="宋体"/>
          <w:snapToGrid w:val="0"/>
          <w:color w:val="auto"/>
          <w:kern w:val="28"/>
          <w:sz w:val="24"/>
          <w:highlight w:val="none"/>
          <w:u w:val="single"/>
        </w:rPr>
        <w:t xml:space="preserve"> </w:t>
      </w:r>
      <w:r>
        <w:rPr>
          <w:rFonts w:hint="eastAsia" w:ascii="宋体" w:hAnsi="宋体" w:eastAsia="宋体" w:cs="宋体"/>
          <w:snapToGrid w:val="0"/>
          <w:color w:val="auto"/>
          <w:kern w:val="28"/>
          <w:sz w:val="24"/>
          <w:highlight w:val="none"/>
        </w:rPr>
        <w:t>% ，其中小微企业合同金额应当达到</w:t>
      </w:r>
      <w:r>
        <w:rPr>
          <w:rFonts w:hint="eastAsia" w:ascii="宋体" w:hAnsi="宋体" w:eastAsia="宋体" w:cs="宋体"/>
          <w:snapToGrid w:val="0"/>
          <w:color w:val="auto"/>
          <w:kern w:val="28"/>
          <w:sz w:val="24"/>
          <w:highlight w:val="none"/>
          <w:u w:val="single"/>
        </w:rPr>
        <w:t xml:space="preserve"> </w:t>
      </w:r>
      <w:r>
        <w:rPr>
          <w:rFonts w:hint="eastAsia" w:ascii="宋体" w:hAnsi="宋体" w:eastAsia="宋体" w:cs="宋体"/>
          <w:snapToGrid w:val="0"/>
          <w:color w:val="auto"/>
          <w:kern w:val="28"/>
          <w:sz w:val="24"/>
          <w:highlight w:val="none"/>
        </w:rPr>
        <w:t xml:space="preserve">% </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如果供应商本身提供所有标的均由中小企业制造、承建或承接，并相应达到了前述比例要求，视同符合了资格条件，无需再向中小企业分包，无需提供分包意向协议；</w:t>
      </w:r>
    </w:p>
    <w:p>
      <w:pPr>
        <w:widowControl/>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4.本项目的特定资格条件：</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pPr>
        <w:shd w:val="clea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adjustRightInd/>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三、获取征集文件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四、提交响应文件截止时间、开启时间和地点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日9时30分00秒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递交响应文件地点（网址）：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开启响应文件时间：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日9时30分00秒</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开启响应文件地点（网址）：</w:t>
      </w:r>
      <w:r>
        <w:rPr>
          <w:rFonts w:hint="eastAsia" w:ascii="宋体" w:hAnsi="宋体" w:eastAsia="宋体" w:cs="宋体"/>
          <w:color w:val="auto"/>
          <w:sz w:val="24"/>
          <w:highlight w:val="none"/>
        </w:rPr>
        <w:t>政采云平台（https://www.zcygov.cn/），开启现场会议组织地点：浙江省建德市洋溪街道荷映路113号杭州市公共资源交易中心建德分中心</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五、采购意向公开链接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https://zfcg.czt.zj.gov.cn/site/detail?parentId=600007&amp;articleId=Wdzo9UU2dbWx3jc1pwc7SQ%3D%3D&amp;utm=site.site-PC-37000.979-pc-websitegroup-zhejiang-secondPage-front.6.1c4c58909d3f11ee8181c7faa6ee7a77</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认为采购文件使自己的权益受到损害的，可以自获取采购文件之日或者采购公告期限届满之日（公告期限届满后获取采购文件的，以公告期限届满之日为准）起7个工作日内，对采购文件需求的以书面形式向征集人提出质疑，对其他内容的以书面形式向征集人和采购代理机构提出质疑。质疑供应商对征集人、采购代理机构的答复不满意或者征集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事项：（1）需要落实的政府采购政策：包括节约资源、保护环境、支持创新、促进中小企业发展等。详见征集文件的第二部分总则。（2）电子采购的说明：①本项目以数据电文形式，依托“政府采购云平台（www.zcygov.cn）”进行采购活动，不接受纸质响应文件；②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征集文件的获取：使用账号登录或者使用CA登录政采云平台；进入“项目采购”应用，在获取采购文件菜单中选择项目，获取征集文件；④响应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导入响应文件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响应文件关联</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响应文件检查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生成电子响应文件”等操作；⑤征集人、采购代理机构将依托政采云平台完成本项目的电子交易活动，平台不接受未按上述方式获取征集文件的供应商进行响应活动；⑥对未按上述方式获取征集文件的供应商对该文件提出的质疑，征集人或采购代理机构将不予处理；⑦不提供征集文件纸质版；⑧响应文件的传输递交：供应商在响应截止时间前将加密的响应文件上传至政府采购云平台，还可以在响应截止时间前直接提交或者以邮政快递方式递交备份响应文件1份。备份响应文件的制作、存储、密封详见征集文件第二部分第15点—“备份投标文件”；⑨响应文件的解密：供应商按照平台提示和征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3）为支持和促进中小企业发展，进一步发挥政府采购政策，</w:t>
      </w:r>
      <w:r>
        <w:rPr>
          <w:rFonts w:hint="eastAsia" w:ascii="宋体" w:hAnsi="宋体" w:cs="宋体"/>
          <w:color w:val="auto"/>
          <w:sz w:val="24"/>
          <w:highlight w:val="none"/>
          <w:lang w:eastAsia="zh-CN"/>
        </w:rPr>
        <w:t>建德市发展和改革局</w:t>
      </w:r>
      <w:r>
        <w:rPr>
          <w:rFonts w:hint="eastAsia" w:ascii="宋体" w:hAnsi="宋体" w:eastAsia="宋体" w:cs="宋体"/>
          <w:color w:val="auto"/>
          <w:sz w:val="24"/>
          <w:highlight w:val="none"/>
        </w:rPr>
        <w:t>、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w:t>
      </w:r>
      <w:r>
        <w:rPr>
          <w:rFonts w:hint="eastAsia" w:ascii="宋体" w:hAnsi="宋体" w:cs="宋体"/>
          <w:color w:val="auto"/>
          <w:sz w:val="24"/>
          <w:highlight w:val="none"/>
          <w:lang w:eastAsia="zh-CN"/>
        </w:rPr>
        <w:t>建德市</w:t>
      </w:r>
      <w:r>
        <w:rPr>
          <w:rFonts w:hint="eastAsia" w:ascii="宋体" w:hAnsi="宋体" w:cs="宋体"/>
          <w:color w:val="auto"/>
          <w:sz w:val="24"/>
          <w:highlight w:val="none"/>
          <w:lang w:val="en-US" w:eastAsia="zh-CN"/>
        </w:rPr>
        <w:t>财政局</w:t>
      </w:r>
      <w:r>
        <w:rPr>
          <w:rFonts w:hint="eastAsia" w:ascii="宋体" w:hAnsi="宋体" w:eastAsia="宋体" w:cs="宋体"/>
          <w:color w:val="auto"/>
          <w:sz w:val="24"/>
          <w:highlight w:val="none"/>
        </w:rPr>
        <w:t>采购办，联系电话：64718168。（4）征集文件的公告期限与征集公告的公告期限一致。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1.征集人信息</w:t>
      </w:r>
    </w:p>
    <w:p>
      <w:pPr>
        <w:spacing w:line="360" w:lineRule="auto"/>
        <w:ind w:firstLine="480" w:firstLineChars="200"/>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TW" w:eastAsia="zh-TW"/>
        </w:rPr>
        <w:t>名    称：</w:t>
      </w:r>
      <w:r>
        <w:rPr>
          <w:rFonts w:hint="eastAsia" w:ascii="宋体" w:hAnsi="宋体" w:cs="宋体"/>
          <w:color w:val="auto"/>
          <w:sz w:val="24"/>
          <w:highlight w:val="none"/>
          <w:lang w:val="zh-TW" w:eastAsia="zh-CN"/>
        </w:rPr>
        <w:t>建德市发展和改革局</w:t>
      </w:r>
    </w:p>
    <w:p>
      <w:pPr>
        <w:spacing w:line="360" w:lineRule="auto"/>
        <w:ind w:firstLine="480" w:firstLineChars="200"/>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lang w:val="zh-TW" w:eastAsia="zh-TW"/>
        </w:rPr>
        <w:t>地    址：建德市新安东路553号</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eastAsia="zh-TW"/>
        </w:rPr>
        <w:t>项目联系人（询问）：</w:t>
      </w:r>
      <w:r>
        <w:rPr>
          <w:rFonts w:hint="eastAsia" w:ascii="宋体" w:hAnsi="宋体" w:cs="宋体"/>
          <w:color w:val="auto"/>
          <w:sz w:val="24"/>
          <w:highlight w:val="none"/>
          <w:lang w:val="zh-TW" w:eastAsia="zh-CN"/>
        </w:rPr>
        <w:t>许茜楠</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eastAsia="zh-TW"/>
        </w:rPr>
        <w:t>项目联系方式（询问）：13989800499</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eastAsia="zh-TW"/>
        </w:rPr>
        <w:t>质疑联系人：</w:t>
      </w:r>
      <w:r>
        <w:rPr>
          <w:rFonts w:hint="eastAsia" w:ascii="宋体" w:hAnsi="宋体" w:cs="宋体"/>
          <w:color w:val="auto"/>
          <w:sz w:val="24"/>
          <w:highlight w:val="none"/>
          <w:lang w:val="en-US" w:eastAsia="zh-CN"/>
        </w:rPr>
        <w:t>陈则文</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eastAsia="zh-TW"/>
        </w:rPr>
        <w:t>质疑联系方式：</w:t>
      </w:r>
      <w:r>
        <w:rPr>
          <w:rFonts w:hint="eastAsia" w:ascii="宋体" w:hAnsi="宋体" w:cs="宋体"/>
          <w:color w:val="auto"/>
          <w:sz w:val="24"/>
          <w:highlight w:val="none"/>
          <w:lang w:val="en-US" w:eastAsia="zh-CN"/>
        </w:rPr>
        <w:t>17826857509</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firstLine="480" w:firstLineChars="200"/>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TW" w:eastAsia="zh-TW"/>
        </w:rPr>
        <w:t>名称：</w:t>
      </w:r>
      <w:r>
        <w:rPr>
          <w:rFonts w:hint="eastAsia" w:ascii="宋体" w:hAnsi="宋体" w:cs="宋体"/>
          <w:color w:val="auto"/>
          <w:sz w:val="24"/>
          <w:highlight w:val="none"/>
          <w:lang w:val="zh-TW" w:eastAsia="zh-CN"/>
        </w:rPr>
        <w:t>建德市森得工程造价咨询有限公司</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eastAsia="zh-TW"/>
        </w:rPr>
        <w:t>地址：建德市新安</w:t>
      </w:r>
      <w:r>
        <w:rPr>
          <w:rFonts w:hint="eastAsia" w:ascii="宋体" w:hAnsi="宋体" w:cs="宋体"/>
          <w:color w:val="auto"/>
          <w:sz w:val="24"/>
          <w:highlight w:val="none"/>
          <w:lang w:val="zh-TW" w:eastAsia="zh-CN"/>
        </w:rPr>
        <w:t>东路</w:t>
      </w:r>
      <w:r>
        <w:rPr>
          <w:rFonts w:hint="eastAsia" w:ascii="宋体" w:hAnsi="宋体" w:cs="宋体"/>
          <w:color w:val="auto"/>
          <w:sz w:val="24"/>
          <w:highlight w:val="none"/>
          <w:lang w:val="en-US" w:eastAsia="zh-CN"/>
        </w:rPr>
        <w:t>271号永兴商厦5楼西侧</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eastAsia="zh-TW"/>
        </w:rPr>
        <w:t>项目联系人（询问）：</w:t>
      </w:r>
      <w:r>
        <w:rPr>
          <w:rFonts w:hint="eastAsia" w:ascii="宋体" w:hAnsi="宋体" w:cs="宋体"/>
          <w:color w:val="auto"/>
          <w:sz w:val="24"/>
          <w:highlight w:val="none"/>
          <w:lang w:val="zh-TW" w:eastAsia="zh-CN"/>
        </w:rPr>
        <w:t>甘卫芬</w:t>
      </w:r>
      <w:r>
        <w:rPr>
          <w:rFonts w:hint="eastAsia" w:ascii="宋体" w:hAnsi="宋体" w:cs="宋体"/>
          <w:color w:val="auto"/>
          <w:sz w:val="24"/>
          <w:highlight w:val="none"/>
          <w:lang w:val="en-US" w:eastAsia="zh-CN"/>
        </w:rPr>
        <w:t xml:space="preserve">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zh-TW" w:eastAsia="zh-TW"/>
        </w:rPr>
        <w:t>项目联系方式（询问）：</w:t>
      </w:r>
      <w:r>
        <w:rPr>
          <w:rFonts w:hint="eastAsia" w:ascii="宋体" w:hAnsi="宋体" w:cs="宋体"/>
          <w:color w:val="auto"/>
          <w:sz w:val="24"/>
          <w:highlight w:val="none"/>
          <w:lang w:val="en-US" w:eastAsia="zh-CN"/>
        </w:rPr>
        <w:t xml:space="preserve">13588420058 </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eastAsia="zh-TW"/>
        </w:rPr>
        <w:t>质疑联系人：</w:t>
      </w:r>
      <w:r>
        <w:rPr>
          <w:rFonts w:hint="eastAsia" w:ascii="宋体" w:hAnsi="宋体" w:cs="宋体"/>
          <w:color w:val="auto"/>
          <w:sz w:val="24"/>
          <w:highlight w:val="none"/>
          <w:lang w:val="en-US" w:eastAsia="zh-CN"/>
        </w:rPr>
        <w:t xml:space="preserve"> 陈丹</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eastAsia="zh-TW"/>
        </w:rPr>
        <w:t>质疑联系方式：</w:t>
      </w:r>
      <w:r>
        <w:rPr>
          <w:rFonts w:hint="eastAsia" w:ascii="宋体" w:hAnsi="宋体" w:cs="宋体"/>
          <w:color w:val="auto"/>
          <w:sz w:val="24"/>
          <w:highlight w:val="none"/>
          <w:lang w:val="en-US" w:eastAsia="zh-CN"/>
        </w:rPr>
        <w:t xml:space="preserve"> 13735563112</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ind w:firstLine="480" w:firstLineChars="200"/>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lang w:val="zh-TW" w:eastAsia="zh-TW"/>
        </w:rPr>
        <w:t>名    称：建德市财政局、浙江省政府采购行政裁决服务中心（杭州）</w:t>
      </w:r>
    </w:p>
    <w:p>
      <w:pPr>
        <w:spacing w:line="360" w:lineRule="auto"/>
        <w:ind w:firstLine="480" w:firstLineChars="200"/>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lang w:val="zh-TW" w:eastAsia="zh-TW"/>
        </w:rPr>
        <w:t>地    址：杭州市上城区四季青街道新业路市民之家G03办公室（快递仅限ems或顺丰）</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eastAsia="zh-TW"/>
        </w:rPr>
        <w:t>传    真</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lang w:val="zh-TW" w:eastAsia="zh-TW"/>
        </w:rPr>
        <w:t>联系人：朱女士、王女士</w:t>
      </w:r>
    </w:p>
    <w:p>
      <w:pPr>
        <w:spacing w:line="360" w:lineRule="auto"/>
        <w:ind w:firstLine="480" w:firstLineChars="200"/>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lang w:val="zh-TW" w:eastAsia="zh-TW"/>
        </w:rPr>
        <w:t>监督投诉电话：0571-85252453</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），点击右侧咨询小采，获取采小蜜智能服务管家帮助，或拨打政采云服务热线400-8</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bookmarkStart w:id="15" w:name="_Toc27972"/>
      <w:bookmarkStart w:id="16" w:name="_Toc26106"/>
      <w:bookmarkStart w:id="17" w:name="_Toc24127"/>
      <w:bookmarkStart w:id="18" w:name="_Toc17756"/>
      <w:bookmarkStart w:id="19" w:name="_Toc25593"/>
      <w:r>
        <w:rPr>
          <w:rFonts w:hint="eastAsia" w:ascii="宋体" w:hAnsi="宋体" w:eastAsia="宋体" w:cs="宋体"/>
          <w:b/>
          <w:color w:val="auto"/>
          <w:sz w:val="32"/>
          <w:szCs w:val="32"/>
          <w:highlight w:val="none"/>
        </w:rPr>
        <w:t>第二部分</w:t>
      </w:r>
      <w:bookmarkEnd w:id="10"/>
      <w:r>
        <w:rPr>
          <w:rFonts w:hint="eastAsia" w:ascii="宋体" w:hAnsi="宋体" w:eastAsia="宋体" w:cs="宋体"/>
          <w:b/>
          <w:color w:val="auto"/>
          <w:sz w:val="32"/>
          <w:szCs w:val="32"/>
          <w:highlight w:val="none"/>
        </w:rPr>
        <w:t xml:space="preserve"> 供应商须知</w:t>
      </w:r>
      <w:bookmarkEnd w:id="11"/>
      <w:bookmarkEnd w:id="15"/>
      <w:bookmarkEnd w:id="16"/>
      <w:bookmarkEnd w:id="17"/>
      <w:bookmarkEnd w:id="18"/>
      <w:bookmarkEnd w:id="19"/>
    </w:p>
    <w:p>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77"/>
        <w:gridCol w:w="6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框架协议有效期内，具体采购项目</w:t>
            </w:r>
            <w:r>
              <w:rPr>
                <w:rFonts w:hint="eastAsia" w:ascii="宋体" w:hAnsi="宋体" w:eastAsia="宋体" w:cs="宋体"/>
                <w:color w:val="auto"/>
                <w:kern w:val="0"/>
                <w:sz w:val="24"/>
                <w:highlight w:val="none"/>
                <w:lang w:val="zh-CN"/>
              </w:rPr>
              <w:t>实施所需的所有费用[应考虑人工费、差旅费、交通费、会议组织费（包括但不限于场地租赁费、物料制作费、专家评审费）、打印费、企业管理费、利润、采购代理服务费、税金等]均计入报价。</w:t>
            </w:r>
            <w:r>
              <w:rPr>
                <w:rFonts w:hint="eastAsia" w:ascii="宋体" w:hAnsi="宋体" w:eastAsia="宋体" w:cs="宋体"/>
                <w:color w:val="auto"/>
                <w:sz w:val="24"/>
                <w:highlight w:val="none"/>
              </w:rPr>
              <w:t>开启一览表（报价表）是报价的唯一载体</w:t>
            </w:r>
            <w:r>
              <w:rPr>
                <w:rFonts w:hint="eastAsia" w:ascii="宋体" w:hAnsi="宋体" w:eastAsia="宋体" w:cs="宋体"/>
                <w:color w:val="auto"/>
                <w:kern w:val="0"/>
                <w:sz w:val="24"/>
                <w:highlight w:val="none"/>
                <w:lang w:val="zh-CN"/>
              </w:rPr>
              <w:t>。响应文件中价格全部采用人民币报价。征集文件未列明，而供应商认为必需的费用也需列入报价。</w:t>
            </w:r>
          </w:p>
          <w:p>
            <w:pPr>
              <w:snapToGrid w:val="0"/>
              <w:spacing w:line="360" w:lineRule="exact"/>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提醒：</w:t>
            </w:r>
            <w:r>
              <w:rPr>
                <w:rFonts w:hint="eastAsia" w:ascii="宋体" w:hAnsi="宋体" w:eastAsia="宋体" w:cs="宋体"/>
                <w:b/>
                <w:color w:val="auto"/>
                <w:kern w:val="0"/>
                <w:sz w:val="24"/>
                <w:highlight w:val="none"/>
                <w:lang w:val="zh-CN"/>
              </w:rPr>
              <w:sym w:font="Wingdings" w:char="00A8"/>
            </w:r>
            <w:r>
              <w:rPr>
                <w:rFonts w:hint="eastAsia" w:ascii="宋体" w:hAnsi="宋体" w:eastAsia="宋体" w:cs="宋体"/>
                <w:b/>
                <w:color w:val="auto"/>
                <w:kern w:val="0"/>
                <w:sz w:val="24"/>
                <w:highlight w:val="none"/>
              </w:rPr>
              <w:t>本项目履约验收时委托第三方检测，</w:t>
            </w:r>
            <w:r>
              <w:rPr>
                <w:rFonts w:hint="eastAsia" w:ascii="宋体" w:hAnsi="宋体" w:eastAsia="宋体" w:cs="宋体"/>
                <w:b/>
                <w:color w:val="auto"/>
                <w:kern w:val="0"/>
                <w:sz w:val="24"/>
                <w:highlight w:val="none"/>
                <w:lang w:val="zh-CN"/>
              </w:rPr>
              <w:t>验收时检测费用由征集人承担，不包含在</w:t>
            </w:r>
            <w:r>
              <w:rPr>
                <w:rFonts w:hint="eastAsia" w:ascii="宋体" w:hAnsi="宋体" w:eastAsia="宋体" w:cs="宋体"/>
                <w:b/>
                <w:color w:val="auto"/>
                <w:kern w:val="0"/>
                <w:sz w:val="24"/>
                <w:highlight w:val="none"/>
              </w:rPr>
              <w:t>报</w:t>
            </w:r>
            <w:r>
              <w:rPr>
                <w:rFonts w:hint="eastAsia" w:ascii="宋体" w:hAnsi="宋体" w:eastAsia="宋体" w:cs="宋体"/>
                <w:b/>
                <w:color w:val="auto"/>
                <w:kern w:val="0"/>
                <w:sz w:val="24"/>
                <w:highlight w:val="none"/>
                <w:lang w:val="zh-CN"/>
              </w:rPr>
              <w:t>价中。</w:t>
            </w:r>
            <w:r>
              <w:rPr>
                <w:rFonts w:hint="eastAsia" w:ascii="宋体" w:hAnsi="宋体" w:eastAsia="宋体" w:cs="宋体"/>
                <w:b/>
                <w:color w:val="auto"/>
                <w:kern w:val="0"/>
                <w:sz w:val="24"/>
                <w:highlight w:val="none"/>
                <w:lang w:val="zh-CN"/>
              </w:rPr>
              <w:sym w:font="Wingdings" w:char="00FE"/>
            </w:r>
            <w:r>
              <w:rPr>
                <w:rFonts w:hint="eastAsia" w:ascii="宋体" w:hAnsi="宋体" w:eastAsia="宋体" w:cs="宋体"/>
                <w:b/>
                <w:color w:val="auto"/>
                <w:kern w:val="0"/>
                <w:sz w:val="24"/>
                <w:highlight w:val="none"/>
              </w:rPr>
              <w:t>本项目履约验收时不委托第三方检测。</w:t>
            </w:r>
          </w:p>
          <w:p>
            <w:pPr>
              <w:snapToGrid w:val="0"/>
              <w:spacing w:line="360" w:lineRule="exact"/>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报价出现下列情形的，</w:t>
            </w:r>
            <w:r>
              <w:rPr>
                <w:rFonts w:hint="eastAsia" w:ascii="宋体" w:hAnsi="宋体" w:eastAsia="宋体" w:cs="宋体"/>
                <w:b/>
                <w:color w:val="auto"/>
                <w:kern w:val="0"/>
                <w:sz w:val="24"/>
                <w:highlight w:val="none"/>
              </w:rPr>
              <w:t>响应</w:t>
            </w:r>
            <w:r>
              <w:rPr>
                <w:rFonts w:hint="eastAsia" w:ascii="宋体" w:hAnsi="宋体" w:eastAsia="宋体" w:cs="宋体"/>
                <w:b/>
                <w:color w:val="auto"/>
                <w:kern w:val="0"/>
                <w:sz w:val="24"/>
                <w:highlight w:val="none"/>
                <w:lang w:val="zh-CN"/>
              </w:rPr>
              <w:t>无效：</w:t>
            </w:r>
          </w:p>
          <w:p>
            <w:pPr>
              <w:snapToGrid w:val="0"/>
              <w:spacing w:line="360" w:lineRule="exact"/>
              <w:ind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响应文件出现不是唯一的、有选择性报价的；</w:t>
            </w:r>
          </w:p>
          <w:p>
            <w:pPr>
              <w:snapToGrid w:val="0"/>
              <w:spacing w:line="360" w:lineRule="exact"/>
              <w:ind w:firstLine="482" w:firstLineChars="2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报价超过征集文件中规定的预算金额或者最高限价的</w:t>
            </w:r>
            <w:r>
              <w:rPr>
                <w:rFonts w:hint="eastAsia" w:ascii="宋体" w:hAnsi="宋体" w:cs="宋体"/>
                <w:b/>
                <w:color w:val="auto"/>
                <w:kern w:val="0"/>
                <w:sz w:val="24"/>
                <w:highlight w:val="none"/>
                <w:lang w:val="zh-CN"/>
              </w:rPr>
              <w:t>；</w:t>
            </w:r>
          </w:p>
          <w:p>
            <w:pPr>
              <w:spacing w:line="3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报价明显低于其他通过符合性审查供应商的报价，有可能影响服务质量或者不能诚信履约的，未能按要求提供书面说明或者未提交相关证明材料证明其报价合理性的</w:t>
            </w:r>
            <w:r>
              <w:rPr>
                <w:rFonts w:hint="eastAsia" w:ascii="宋体" w:hAnsi="宋体" w:cs="宋体"/>
                <w:b/>
                <w:color w:val="auto"/>
                <w:kern w:val="0"/>
                <w:sz w:val="24"/>
                <w:highlight w:val="none"/>
                <w:lang w:eastAsia="zh-CN"/>
              </w:rPr>
              <w:t>；</w:t>
            </w:r>
          </w:p>
          <w:p>
            <w:pPr>
              <w:spacing w:line="36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服务工作内容</w:t>
            </w:r>
          </w:p>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61"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5"/>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A1同意分包，同意将“/”工作分包。</w:t>
            </w:r>
          </w:p>
          <w:p>
            <w:pPr>
              <w:spacing w:line="360" w:lineRule="exact"/>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041255082"/>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sym w:font="Wingdings" w:char="F0FE"/>
                </w:r>
              </w:sdtContent>
            </w:sdt>
            <w:r>
              <w:rPr>
                <w:rFonts w:hint="eastAsia" w:ascii="宋体" w:hAnsi="宋体" w:eastAsia="宋体" w:cs="宋体"/>
                <w:color w:val="auto"/>
                <w:sz w:val="24"/>
                <w:highlight w:val="none"/>
              </w:rPr>
              <w:t>B不同意分包。</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▲注：分包单位根据分包工作内容满足相应资格要求，分包份额不得超过总包单位。分包意向协议格式详见附件7。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77" w:type="dxa"/>
            <w:vMerge w:val="restart"/>
            <w:tcBorders>
              <w:top w:val="single" w:color="000000" w:sz="8" w:space="0"/>
              <w:left w:val="single" w:color="auto" w:sz="4"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261" w:type="dxa"/>
            <w:tcBorders>
              <w:top w:val="single" w:color="000000" w:sz="8" w:space="0"/>
              <w:left w:val="single" w:color="000000" w:sz="2" w:space="0"/>
              <w:bottom w:val="single" w:color="auto" w:sz="4" w:space="0"/>
              <w:right w:val="single" w:color="000000" w:sz="8" w:space="0"/>
            </w:tcBorders>
            <w:vAlign w:val="center"/>
          </w:tcPr>
          <w:p>
            <w:pPr>
              <w:spacing w:line="360" w:lineRule="exact"/>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（1）资格证明文件：见征集文件第二部分11.1。</w:t>
            </w:r>
            <w:r>
              <w:rPr>
                <w:rFonts w:hint="eastAsia" w:ascii="宋体" w:hAnsi="宋体" w:eastAsia="宋体" w:cs="宋体"/>
                <w:color w:val="auto"/>
                <w:kern w:val="0"/>
                <w:sz w:val="24"/>
                <w:highlight w:val="none"/>
                <w:lang w:val="zh-CN"/>
              </w:rPr>
              <w:t>供应商未提供有效的资格证明文件的，视为供应商不具备征集文件中规定的资格要求，</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2"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p>
        </w:tc>
        <w:tc>
          <w:tcPr>
            <w:tcW w:w="1677" w:type="dxa"/>
            <w:vMerge w:val="continue"/>
            <w:tcBorders>
              <w:left w:val="single" w:color="auto" w:sz="4"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p>
        </w:tc>
        <w:tc>
          <w:tcPr>
            <w:tcW w:w="6261" w:type="dxa"/>
            <w:tcBorders>
              <w:top w:val="single" w:color="auto" w:sz="4"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（2）资信证明文件：根据征集文件第四部分评审标准提供。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开启前答疑会或现场考察</w:t>
            </w:r>
          </w:p>
        </w:tc>
        <w:tc>
          <w:tcPr>
            <w:tcW w:w="6261"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61"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评审办法</w:t>
            </w:r>
            <w:r>
              <w:rPr>
                <w:rFonts w:hint="eastAsia" w:ascii="宋体" w:hAnsi="宋体" w:eastAsia="宋体" w:cs="宋体"/>
                <w:color w:val="auto"/>
                <w:kern w:val="0"/>
                <w:sz w:val="24"/>
                <w:highlight w:val="none"/>
              </w:rPr>
              <w:t>；</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。请供应商在上述时间内提供样品并按规定位置安装完毕。超过截止时间的，征集人或采购代理机构将不予接收，并将清场并封闭样品现场。</w:t>
            </w:r>
          </w:p>
          <w:p>
            <w:pPr>
              <w:spacing w:line="36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活动结束后，对于未入围人提供的样品，征集人、采购代理机构将通知未入围人在规定的时间内取回，逾期未取回的，征集人、采购代理机构不负保管义务；对于入围人提供的样品，征集人将进行保管、封存，并作为履约验收的参考。</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77" w:type="dxa"/>
            <w:tcBorders>
              <w:top w:val="single" w:color="000000" w:sz="8" w:space="0"/>
              <w:left w:val="single" w:color="auto" w:sz="4"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6261" w:type="dxa"/>
            <w:tcBorders>
              <w:top w:val="single" w:color="000000" w:sz="8" w:space="0"/>
              <w:left w:val="single" w:color="000000" w:sz="2" w:space="0"/>
              <w:right w:val="single" w:color="000000" w:sz="8" w:space="0"/>
            </w:tcBorders>
            <w:vAlign w:val="center"/>
          </w:tcPr>
          <w:p>
            <w:pPr>
              <w:spacing w:line="36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1614749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08167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讲解。每个供应商时间不超过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分钟，讲解次序以响应文件解密时间先后次序为准，讲解人员要求为</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讲解演示结束后按要求解答评审小组提问。</w:t>
            </w:r>
          </w:p>
          <w:p>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（2）方案讲解演示按以下方式</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方式二：代理机构评审场所现场讲解演示。现场讲解地点为，讲解演示所用电脑等设备由供应商自备。现场讲解演示人员进场时提供讲解人员名单（加盖公章）及身份证明，否则不得讲解演示。</w:t>
            </w:r>
          </w:p>
          <w:p>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方式三：采用视频录制方式，用U盘介质储存快递或邮寄至代理机构（公告中列明的地址），视频中演示人应出示身份证。未派遣响应文件中的</w:t>
            </w:r>
            <w:r>
              <w:rPr>
                <w:rFonts w:hint="eastAsia" w:ascii="宋体" w:hAnsi="宋体" w:eastAsia="宋体" w:cs="宋体"/>
                <w:color w:val="auto"/>
                <w:kern w:val="0"/>
                <w:sz w:val="24"/>
                <w:highlight w:val="none"/>
                <w:u w:val="single"/>
              </w:rPr>
              <w:t>项目组人员</w:t>
            </w:r>
            <w:r>
              <w:rPr>
                <w:rFonts w:hint="eastAsia" w:ascii="宋体" w:hAnsi="宋体" w:eastAsia="宋体" w:cs="宋体"/>
                <w:color w:val="auto"/>
                <w:kern w:val="0"/>
                <w:sz w:val="24"/>
                <w:highlight w:val="none"/>
              </w:rPr>
              <w:t>进行演示讲解或未提供身份证明的，评分项不得分。若因U盘损坏或打不开</w:t>
            </w:r>
            <w:r>
              <w:rPr>
                <w:rFonts w:hint="eastAsia" w:ascii="宋体" w:hAnsi="宋体" w:cs="宋体"/>
                <w:color w:val="auto"/>
                <w:kern w:val="0"/>
                <w:sz w:val="24"/>
                <w:highlight w:val="none"/>
                <w:lang w:eastAsia="zh-CN"/>
              </w:rPr>
              <w:t>则</w:t>
            </w:r>
            <w:r>
              <w:rPr>
                <w:rFonts w:hint="eastAsia" w:ascii="宋体" w:hAnsi="宋体" w:eastAsia="宋体" w:cs="宋体"/>
                <w:color w:val="auto"/>
                <w:kern w:val="0"/>
                <w:sz w:val="24"/>
                <w:highlight w:val="none"/>
              </w:rPr>
              <w:t>视为未提交。</w:t>
            </w:r>
          </w:p>
          <w:p>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方式四：采用现场钉钉直播演示的。开启后，演示人请加钉钉号</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，请求发送后，代理工作人员将通过好友验证。直播演示前，首先演示人进行身份信息直播核对。未派遣符合要求的讲解演示人员进行直播演示讲解或未提供身份证明的，评分项不得分。</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w:t>
            </w:r>
          </w:p>
          <w:p>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进口产品（服务项目不适用）</w:t>
            </w:r>
          </w:p>
        </w:tc>
        <w:tc>
          <w:tcPr>
            <w:tcW w:w="62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napToGrid w:val="0"/>
              <w:spacing w:line="36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征集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w:t>
            </w:r>
          </w:p>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核心产品</w:t>
            </w:r>
          </w:p>
        </w:tc>
        <w:tc>
          <w:tcPr>
            <w:tcW w:w="6261"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9"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pacing w:val="-6"/>
                <w:sz w:val="24"/>
                <w:highlight w:val="none"/>
              </w:rPr>
              <w:t>采购标的对应的中小企业划分标准所属行业</w:t>
            </w:r>
          </w:p>
        </w:tc>
        <w:tc>
          <w:tcPr>
            <w:tcW w:w="62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sz w:val="24"/>
                <w:highlight w:val="none"/>
                <w:u w:val="single"/>
                <w:lang w:eastAsia="zh-CN"/>
              </w:rPr>
              <w:t>建德市发展和改革局2025-2026年度节能审查委托咨询评估项目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61"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征集人拟采购的产品</w:t>
            </w:r>
            <w:r>
              <w:rPr>
                <w:rFonts w:hint="eastAsia" w:ascii="宋体" w:hAnsi="宋体" w:eastAsia="宋体" w:cs="宋体"/>
                <w:snapToGrid w:val="0"/>
                <w:color w:val="auto"/>
                <w:kern w:val="28"/>
                <w:sz w:val="24"/>
                <w:highlight w:val="none"/>
                <w:u w:val="single"/>
              </w:rPr>
              <w:t xml:space="preserve">   /  </w:t>
            </w:r>
            <w:r>
              <w:rPr>
                <w:rFonts w:hint="eastAsia" w:ascii="宋体" w:hAnsi="宋体" w:eastAsia="宋体" w:cs="宋体"/>
                <w:snapToGrid w:val="0"/>
                <w:color w:val="auto"/>
                <w:kern w:val="28"/>
                <w:sz w:val="24"/>
                <w:highlight w:val="none"/>
              </w:rPr>
              <w:t>属于品目清单范围，征集人及其委托的采购代理机构将依据国家确定的认证机构出具的、处于有效期之内的节能产品、环境标志产品认证证书，对获得证书的产品实施政府优先采购或强制采购。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77" w:type="dxa"/>
            <w:vMerge w:val="restart"/>
            <w:tcBorders>
              <w:top w:val="single" w:color="000000" w:sz="8" w:space="0"/>
              <w:left w:val="single" w:color="000000" w:sz="2"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w:t>
            </w:r>
          </w:p>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融资</w:t>
            </w:r>
          </w:p>
        </w:tc>
        <w:tc>
          <w:tcPr>
            <w:tcW w:w="6261"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为支持和促进中小企业发展，进一步发挥政府采购政策，</w:t>
            </w:r>
            <w:r>
              <w:rPr>
                <w:rFonts w:hint="eastAsia" w:ascii="宋体" w:hAnsi="宋体" w:eastAsia="宋体" w:cs="宋体"/>
                <w:snapToGrid w:val="0"/>
                <w:color w:val="auto"/>
                <w:kern w:val="28"/>
                <w:sz w:val="24"/>
                <w:highlight w:val="none"/>
                <w:lang w:eastAsia="zh-CN"/>
              </w:rPr>
              <w:t>建德市</w:t>
            </w:r>
            <w:r>
              <w:rPr>
                <w:rFonts w:hint="eastAsia" w:ascii="宋体" w:hAnsi="宋体" w:eastAsia="宋体" w:cs="宋体"/>
                <w:snapToGrid w:val="0"/>
                <w:color w:val="auto"/>
                <w:kern w:val="28"/>
                <w:sz w:val="24"/>
                <w:highlight w:val="none"/>
                <w:lang w:val="en-US" w:eastAsia="zh-CN"/>
              </w:rPr>
              <w:t>财政局</w:t>
            </w:r>
            <w:r>
              <w:rPr>
                <w:rFonts w:hint="eastAsia" w:ascii="宋体" w:hAnsi="宋体" w:eastAsia="宋体" w:cs="宋体"/>
                <w:snapToGrid w:val="0"/>
                <w:color w:val="auto"/>
                <w:kern w:val="28"/>
                <w:sz w:val="24"/>
                <w:highlight w:val="none"/>
              </w:rPr>
              <w:t>、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w:t>
            </w:r>
            <w:r>
              <w:rPr>
                <w:rFonts w:hint="eastAsia" w:ascii="宋体" w:hAnsi="宋体" w:eastAsia="宋体" w:cs="宋体"/>
                <w:snapToGrid w:val="0"/>
                <w:color w:val="auto"/>
                <w:kern w:val="28"/>
                <w:sz w:val="24"/>
                <w:highlight w:val="none"/>
                <w:lang w:eastAsia="zh-CN"/>
              </w:rPr>
              <w:t>建德市</w:t>
            </w:r>
            <w:r>
              <w:rPr>
                <w:rFonts w:hint="eastAsia" w:ascii="宋体" w:hAnsi="宋体" w:eastAsia="宋体" w:cs="宋体"/>
                <w:snapToGrid w:val="0"/>
                <w:color w:val="auto"/>
                <w:kern w:val="28"/>
                <w:sz w:val="24"/>
                <w:highlight w:val="none"/>
                <w:lang w:val="en-US" w:eastAsia="zh-CN"/>
              </w:rPr>
              <w:t>财政局</w:t>
            </w:r>
            <w:r>
              <w:rPr>
                <w:rFonts w:hint="eastAsia" w:ascii="宋体" w:hAnsi="宋体" w:eastAsia="宋体" w:cs="宋体"/>
                <w:snapToGrid w:val="0"/>
                <w:color w:val="auto"/>
                <w:kern w:val="28"/>
                <w:sz w:val="24"/>
                <w:highlight w:val="none"/>
              </w:rPr>
              <w:t>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57" w:hRule="atLeast"/>
        </w:trPr>
        <w:tc>
          <w:tcPr>
            <w:tcW w:w="629" w:type="dxa"/>
            <w:vMerge w:val="continue"/>
            <w:tcBorders>
              <w:left w:val="single" w:color="000000" w:sz="8" w:space="0"/>
              <w:right w:val="single" w:color="000000" w:sz="2" w:space="0"/>
            </w:tcBorders>
            <w:vAlign w:val="center"/>
          </w:tcPr>
          <w:p>
            <w:pPr>
              <w:spacing w:line="360" w:lineRule="exact"/>
              <w:ind w:firstLine="480" w:firstLineChars="200"/>
              <w:rPr>
                <w:rFonts w:hint="eastAsia" w:ascii="宋体" w:hAnsi="宋体" w:eastAsia="宋体" w:cs="宋体"/>
                <w:color w:val="auto"/>
                <w:sz w:val="24"/>
                <w:highlight w:val="none"/>
              </w:rPr>
            </w:pPr>
          </w:p>
        </w:tc>
        <w:tc>
          <w:tcPr>
            <w:tcW w:w="1677" w:type="dxa"/>
            <w:vMerge w:val="continue"/>
            <w:tcBorders>
              <w:left w:val="single" w:color="000000" w:sz="2" w:space="0"/>
              <w:right w:val="single" w:color="000000" w:sz="8" w:space="0"/>
            </w:tcBorders>
            <w:vAlign w:val="center"/>
          </w:tcPr>
          <w:p>
            <w:pPr>
              <w:spacing w:line="360" w:lineRule="exact"/>
              <w:ind w:firstLine="480" w:firstLineChars="200"/>
              <w:rPr>
                <w:rFonts w:hint="eastAsia" w:ascii="宋体" w:hAnsi="宋体" w:eastAsia="宋体" w:cs="宋体"/>
                <w:color w:val="auto"/>
                <w:sz w:val="24"/>
                <w:highlight w:val="none"/>
              </w:rPr>
            </w:pPr>
          </w:p>
        </w:tc>
        <w:tc>
          <w:tcPr>
            <w:tcW w:w="6261"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备份响应文件送达地点和签收人员</w:t>
            </w:r>
          </w:p>
        </w:tc>
        <w:tc>
          <w:tcPr>
            <w:tcW w:w="6261"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供应商如提交备份响应文件的，请送至</w:t>
            </w:r>
            <w:r>
              <w:rPr>
                <w:rFonts w:hint="eastAsia" w:hAnsi="宋体" w:cs="宋体"/>
                <w:color w:val="auto"/>
                <w:kern w:val="28"/>
                <w:sz w:val="24"/>
                <w:szCs w:val="24"/>
                <w:highlight w:val="none"/>
                <w:lang w:eastAsia="zh-CN"/>
              </w:rPr>
              <w:t>建德市森得工程造价咨询有限公司（</w:t>
            </w:r>
            <w:r>
              <w:rPr>
                <w:rFonts w:hint="eastAsia" w:ascii="宋体" w:hAnsi="宋体" w:eastAsia="宋体" w:cs="宋体"/>
                <w:color w:val="auto"/>
                <w:sz w:val="24"/>
                <w:highlight w:val="none"/>
                <w:lang w:val="zh-TW" w:eastAsia="zh-TW"/>
              </w:rPr>
              <w:t>建德市新安</w:t>
            </w:r>
            <w:r>
              <w:rPr>
                <w:rFonts w:hint="eastAsia" w:ascii="宋体" w:hAnsi="宋体" w:cs="宋体"/>
                <w:color w:val="auto"/>
                <w:sz w:val="24"/>
                <w:highlight w:val="none"/>
                <w:lang w:val="zh-TW" w:eastAsia="zh-CN"/>
              </w:rPr>
              <w:t>东路</w:t>
            </w:r>
            <w:r>
              <w:rPr>
                <w:rFonts w:hint="eastAsia" w:ascii="宋体" w:hAnsi="宋体" w:cs="宋体"/>
                <w:color w:val="auto"/>
                <w:sz w:val="24"/>
                <w:highlight w:val="none"/>
                <w:lang w:val="en-US" w:eastAsia="zh-CN"/>
              </w:rPr>
              <w:t>271号永兴商厦5楼西侧</w:t>
            </w:r>
            <w:r>
              <w:rPr>
                <w:rFonts w:hint="eastAsia" w:hAnsi="宋体" w:cs="宋体"/>
                <w:color w:val="auto"/>
                <w:sz w:val="24"/>
                <w:highlight w:val="none"/>
                <w:lang w:val="zh-TW" w:eastAsia="zh-CN"/>
              </w:rPr>
              <w:t>）</w:t>
            </w:r>
            <w:r>
              <w:rPr>
                <w:rFonts w:hint="eastAsia" w:ascii="宋体" w:hAnsi="宋体" w:eastAsia="宋体" w:cs="宋体"/>
                <w:color w:val="auto"/>
                <w:kern w:val="28"/>
                <w:sz w:val="24"/>
                <w:szCs w:val="24"/>
                <w:highlight w:val="none"/>
              </w:rPr>
              <w:t>；备份响应文件签收人员：</w:t>
            </w:r>
            <w:r>
              <w:rPr>
                <w:rFonts w:hint="eastAsia" w:hAnsi="宋体" w:cs="宋体"/>
                <w:color w:val="auto"/>
                <w:sz w:val="24"/>
                <w:szCs w:val="24"/>
                <w:highlight w:val="none"/>
                <w:u w:val="single"/>
                <w:lang w:val="en-US" w:eastAsia="zh-CN"/>
              </w:rPr>
              <w:t>甘卫芬</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hAnsi="宋体" w:cs="宋体"/>
                <w:color w:val="auto"/>
                <w:sz w:val="24"/>
                <w:szCs w:val="24"/>
                <w:highlight w:val="none"/>
                <w:u w:val="single"/>
                <w:lang w:val="en-US" w:eastAsia="zh-CN"/>
              </w:rPr>
              <w:t>13588420058</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6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w:t>
            </w:r>
          </w:p>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服务费</w:t>
            </w:r>
          </w:p>
        </w:tc>
        <w:tc>
          <w:tcPr>
            <w:tcW w:w="6261"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1.收费标准：每家入围单位</w:t>
            </w:r>
            <w:r>
              <w:rPr>
                <w:rFonts w:hint="eastAsia" w:hAnsi="宋体" w:cs="宋体"/>
                <w:color w:val="auto"/>
                <w:kern w:val="28"/>
                <w:sz w:val="24"/>
                <w:szCs w:val="24"/>
                <w:highlight w:val="none"/>
                <w:lang w:val="en-US" w:eastAsia="zh-CN"/>
              </w:rPr>
              <w:t>4200</w:t>
            </w:r>
            <w:r>
              <w:rPr>
                <w:rFonts w:hint="eastAsia" w:ascii="宋体" w:hAnsi="宋体" w:eastAsia="宋体" w:cs="宋体"/>
                <w:color w:val="auto"/>
                <w:kern w:val="28"/>
                <w:sz w:val="24"/>
                <w:szCs w:val="24"/>
                <w:highlight w:val="none"/>
              </w:rPr>
              <w:t>元。</w:t>
            </w:r>
          </w:p>
          <w:p>
            <w:pPr>
              <w:pStyle w:val="34"/>
              <w:spacing w:line="36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2.收费方式：入围单位在代理机构发出入围通知书后7个工作日内一次性向代理机构支付。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16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61"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1.响应文件存在下列情况之一的，视为撤回：</w:t>
            </w:r>
          </w:p>
          <w:p>
            <w:pPr>
              <w:pStyle w:val="34"/>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（1）电子响应文件（含备份文件）无法解密的；</w:t>
            </w:r>
          </w:p>
          <w:p>
            <w:pPr>
              <w:pStyle w:val="34"/>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（2）响应文件未按时解密或备份文件无法成功导入的；</w:t>
            </w:r>
          </w:p>
          <w:p>
            <w:pPr>
              <w:pStyle w:val="34"/>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（3）响应截止时间前，供应商仅递交了“备份响应文件”而未将“电子加密响应文件”成功上传至“政府采购云平台”的。</w:t>
            </w:r>
          </w:p>
          <w:p>
            <w:pPr>
              <w:pStyle w:val="34"/>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2.政采云平台如对电子化开启及评审程序有调整的，按调整后的程序操作。</w:t>
            </w:r>
          </w:p>
          <w:p>
            <w:pPr>
              <w:pStyle w:val="34"/>
              <w:wordWrap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3.封闭式框架协议第一阶段供应商响应操作指南详见https://helpcenter.zcygov.cn/document/#/document/detail?siteCode=beijing&amp;manualId=251&amp;topicId=1447</w:t>
            </w:r>
          </w:p>
        </w:tc>
      </w:tr>
      <w:bookmarkEnd w:id="12"/>
    </w:tbl>
    <w:p>
      <w:pPr>
        <w:jc w:val="center"/>
        <w:rPr>
          <w:rFonts w:hint="eastAsia" w:ascii="宋体" w:hAnsi="宋体" w:eastAsia="宋体" w:cs="宋体"/>
          <w:b/>
          <w:color w:val="auto"/>
          <w:sz w:val="24"/>
          <w:highlight w:val="none"/>
        </w:rPr>
      </w:pPr>
      <w:bookmarkStart w:id="20" w:name="第三部分"/>
      <w:bookmarkStart w:id="21" w:name="_Toc164416483"/>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rPr>
        <w:t>一、总则</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本征集文件适用于该项目的征集、响应、开启、资格审查及信用信息查询、评审、入围、框架协议签订、验收等行为（法律、法规另有规定的，从其规定）。</w:t>
      </w:r>
    </w:p>
    <w:p>
      <w:pPr>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2.1“征集人”系指征集公告中载明的本项目的征集人。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2.2“采购代理机构”系指征集公告中载明的本项目的采购代理机构。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2.3“供应商”系指是指响应征集、参加竞争的法人、其他组织或者自然人。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2.7“▲”系指实质性要求条款，“★”系产品采购项目中单一产品或核心产品，“</w:t>
      </w:r>
      <w:sdt>
        <w:sdtPr>
          <w:rPr>
            <w:rFonts w:hint="eastAsia" w:ascii="宋体" w:hAnsi="宋体" w:eastAsia="宋体" w:cs="宋体"/>
            <w:color w:val="auto"/>
            <w:kern w:val="0"/>
            <w:sz w:val="24"/>
            <w:highlight w:val="none"/>
          </w:rPr>
          <w:id w:val="1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04888855"/>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原则上采购本国生产的货物、工程和服务，不允许采购进口产品。除非征集人采购进口产品，已经在采购活动开始前向财政部门提出申请并获得财政部门审核同意，且在采购需求中明确规定可以采购进口产品（但如果因信息不对称等原因，仍有满足需求的国内产品要求参与采购竞争的，征集人、采购代理机构不会对其加以限制，仍将按照公平竞争原则实施采购）。（本项目不适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3.2支持绿色发展（本项目不适用）</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征集人拟采购的产品属于品目清单范围的，征集人及其委托的采购代理机构将依据国家确定的认证机构出具的、处于有效期之内的节能产品、环境标志产品认证证书，对获得证书的产品实施政府优先采购或强制采购。供应商须按征集文件要求提供相关产品认证证书。▲</w:t>
      </w:r>
      <w:r>
        <w:rPr>
          <w:rFonts w:hint="eastAsia" w:ascii="宋体" w:hAnsi="宋体" w:eastAsia="宋体" w:cs="宋体"/>
          <w:b/>
          <w:color w:val="auto"/>
          <w:sz w:val="24"/>
          <w:highlight w:val="none"/>
        </w:rPr>
        <w:t>征集人拟采购的产品属于政府强制采购的节能产品品目清单范围的，供应商未按征集文件要求提供国家确定的认证机构出具的、处于有效期之内的节能产品认证证书的，响应无效。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3.2.2本项目为修缮、装修类项目，采购的建材绿色建筑和绿色建材性能、指标等实质性条件详见采购需求和合同。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在政府采购活动中，供应商提供的货物、工程或者服务符合下列情形的，享受中小企业扶持政策：</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3.3.2.3在服务采购项目中，服务由中小企业承接，即提供服务的人员为中小企业依照《中华人民共和国民法典》订立劳动合同的从业人员。</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供应商应按照征集文件格式要求提供《中小企业声明函》，供应商提供的《中小企业声明函》与实际情况不符的，不享受中小企业扶持政策。声明内容不实的，属于提供虚假材料谋取入围、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支持创新发展（本项目不适用）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3.4.1征集人优先采购被认定为首台套产品和“制造精品”的自主创新产品。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4.询问、质疑、投诉</w:t>
      </w:r>
    </w:p>
    <w:p>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征集人或者采购代理机构应当在3个工作日内对供应商依法提出的询问作出答复，但答复的内容不得涉及商业秘密。供应商提出的询问超出征集人对采购代理机构委托授权范围的，采购代理机构应当告知供应商向征集人提出。</w:t>
      </w:r>
    </w:p>
    <w:p>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.1提出质疑的供应商应当是参与所质疑项目采购活动的供应商。潜在供应商已依法获取其可质疑的征集文件的，可以对该文件提出质疑。</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征集文件、采购过程和入围结果使自己的权益受到损害的，可以在知道或者应知其权益受到损害之日起七个工作日内，以在线或书面形式向征集人或者采购代理机构提出质疑，否则，征集人或者采购代理机构不予受理：</w:t>
      </w:r>
    </w:p>
    <w:p>
      <w:pPr>
        <w:pStyle w:val="15"/>
        <w:spacing w:line="360" w:lineRule="auto"/>
        <w:ind w:firstLine="480" w:firstLineChars="20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4.2.2.1对征集文件提出质疑的，质疑期限为供应商获得征集文件之日或者征集文件公告期限届满之日起计算。</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4.2.3.6提出质疑的日期。</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征集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s="宋体"/>
          <w:color w:val="auto"/>
          <w:highlight w:val="none"/>
          <w:lang w:eastAsia="zh-CN"/>
        </w:rPr>
        <w:t>，</w:t>
      </w:r>
      <w:r>
        <w:rPr>
          <w:rFonts w:hint="eastAsia" w:ascii="宋体" w:hAnsi="宋体" w:eastAsia="宋体" w:cs="宋体"/>
          <w:color w:val="auto"/>
          <w:highlight w:val="none"/>
        </w:rPr>
        <w:t>征集人或者采购代理机构在质疑回复后5个工作日内，在浙江政府采购网的“其他公告”栏目公开质疑答复，答复内容应当完整。质疑函作为附件上传。</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.5询问或者质疑事项可能影响采购结果的，征集人应当暂停签订合同，已经签订合同的，应当中止履行合同。</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4.3.1质疑供应商对征集人、采购代理机构的答复不满意或者征集人、采购代理机构未在规定的时间内作出答复的，可以在答复期满后十五个工作日内向同级政府采购监督管理部门提出投诉。</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4.3.4以联合体形式参加政府采购活动的，其投诉应当由组成联合体的所有供应商共同提出。</w:t>
      </w:r>
    </w:p>
    <w:p>
      <w:pPr>
        <w:pStyle w:val="887"/>
        <w:snapToGrid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8"/>
        <w:snapToGrid w:val="0"/>
        <w:spacing w:before="0"/>
        <w:ind w:firstLine="480"/>
        <w:rPr>
          <w:rFonts w:hint="eastAsia" w:ascii="宋体" w:hAnsi="宋体" w:eastAsia="宋体" w:cs="宋体"/>
          <w:color w:val="auto"/>
          <w:szCs w:val="24"/>
          <w:highlight w:val="none"/>
        </w:rPr>
      </w:pPr>
    </w:p>
    <w:p>
      <w:pPr>
        <w:adjustRightInd/>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二、征集文件的构成、澄清、修改</w:t>
      </w:r>
    </w:p>
    <w:p>
      <w:pPr>
        <w:pStyle w:val="34"/>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5．征集文件的构成</w:t>
      </w:r>
    </w:p>
    <w:p>
      <w:pPr>
        <w:pStyle w:val="3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5.1征集文件包括下列文件及附件：</w:t>
      </w:r>
    </w:p>
    <w:p>
      <w:pPr>
        <w:pStyle w:val="34"/>
        <w:tabs>
          <w:tab w:val="left" w:pos="8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5.1.1征集公告；</w:t>
      </w:r>
    </w:p>
    <w:p>
      <w:pPr>
        <w:pStyle w:val="34"/>
        <w:tabs>
          <w:tab w:val="left" w:pos="8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pPr>
        <w:pStyle w:val="34"/>
        <w:tabs>
          <w:tab w:val="left" w:pos="8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pPr>
        <w:pStyle w:val="34"/>
        <w:tabs>
          <w:tab w:val="left" w:pos="8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澄清或者修改的内容为征集文件的组成部分</w:t>
      </w:r>
      <w:r>
        <w:rPr>
          <w:rFonts w:hint="eastAsia" w:ascii="宋体" w:hAnsi="宋体" w:eastAsia="宋体" w:cs="宋体"/>
          <w:color w:val="auto"/>
          <w:sz w:val="24"/>
          <w:highlight w:val="none"/>
        </w:rPr>
        <w:t>。</w:t>
      </w:r>
    </w:p>
    <w:p>
      <w:pPr>
        <w:pStyle w:val="34"/>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6.征集文件的澄清、修改</w:t>
      </w:r>
    </w:p>
    <w:p>
      <w:pPr>
        <w:pStyle w:val="128"/>
        <w:snapToGrid w:val="0"/>
        <w:spacing w:before="0"/>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6.1已获取征集文件的潜在供应商，若有问题需要澄清，应于响应截止时间前，以书面形式或政采云线上询问方式向采购代理机构提出。</w:t>
      </w:r>
    </w:p>
    <w:p>
      <w:pPr>
        <w:pStyle w:val="128"/>
        <w:snapToGrid w:val="0"/>
        <w:spacing w:before="0"/>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6.2采购代理机构对征集文件进行澄清或修改的，将同时通过电子交易平台通知已获取征集文件的潜在供应商。依法应当公告的，将按规定公告，同时视情况延长响应截止时间和开启时间。该澄清或者修改的内容为征集文件的组成部分。</w:t>
      </w:r>
    </w:p>
    <w:p>
      <w:pPr>
        <w:pStyle w:val="23"/>
        <w:rPr>
          <w:rFonts w:hint="eastAsia" w:ascii="宋体" w:hAnsi="宋体" w:eastAsia="宋体" w:cs="宋体"/>
          <w:color w:val="auto"/>
          <w:szCs w:val="24"/>
          <w:highlight w:val="none"/>
          <w:lang w:val="en-US"/>
        </w:rPr>
      </w:pPr>
    </w:p>
    <w:p>
      <w:pPr>
        <w:adjustRightInd/>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三、响应</w:t>
      </w:r>
    </w:p>
    <w:p>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7.征集文件的获取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详见征集公告中获取征集文件的时间期限、地点、方式。</w:t>
      </w:r>
    </w:p>
    <w:p>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8.开启前答疑会或现场考察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征集人组织潜在供应商现场考察或者召开开启前答疑会的，潜在供应商按第二部分供应商须知前附表的规定参加现场考察或者开启前答疑会。</w:t>
      </w:r>
    </w:p>
    <w:p>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9.响应保证金</w:t>
      </w:r>
    </w:p>
    <w:p>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本项目不需缴纳响应保证金。</w:t>
      </w:r>
    </w:p>
    <w:p>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11.响应文件的组成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11.1.1供应商（联合体参加的指联合体双方，拟采用分包的指总包方和分包方）的营业执照或者其他由国家相关部门出具的具有独立承担民事责任能力的证明文件（自然人参加的提供身份证复制件）；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11.1.2符合参加政府采购活动应当具备的一般条件、</w:t>
      </w:r>
      <w:r>
        <w:rPr>
          <w:rFonts w:hint="eastAsia" w:ascii="宋体" w:hAnsi="宋体" w:eastAsia="宋体" w:cs="宋体"/>
          <w:color w:val="auto"/>
          <w:sz w:val="24"/>
          <w:highlight w:val="none"/>
          <w:lang w:val="en-US" w:eastAsia="zh-CN"/>
        </w:rPr>
        <w:t>特定</w:t>
      </w:r>
      <w:r>
        <w:rPr>
          <w:rFonts w:hint="eastAsia" w:ascii="宋体" w:hAnsi="宋体" w:eastAsia="宋体" w:cs="宋体"/>
          <w:color w:val="auto"/>
          <w:sz w:val="24"/>
          <w:highlight w:val="none"/>
        </w:rPr>
        <w:t>资格条件的承诺函；（如以联合体形式参加政府采购活动的，联合体各方均应提交该承诺函）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11.1.3满足政府采购政策资格要求证明材料；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11.1.4满足本项目</w:t>
      </w:r>
      <w:r>
        <w:rPr>
          <w:rFonts w:hint="eastAsia" w:ascii="宋体" w:hAnsi="宋体" w:eastAsia="宋体" w:cs="宋体"/>
          <w:color w:val="auto"/>
          <w:sz w:val="24"/>
          <w:highlight w:val="none"/>
          <w:lang w:val="en-US" w:eastAsia="zh-CN"/>
        </w:rPr>
        <w:t>特定资格条件</w:t>
      </w:r>
      <w:r>
        <w:rPr>
          <w:rFonts w:hint="eastAsia" w:ascii="宋体" w:hAnsi="宋体" w:eastAsia="宋体" w:cs="宋体"/>
          <w:color w:val="auto"/>
          <w:sz w:val="24"/>
          <w:highlight w:val="none"/>
        </w:rPr>
        <w:t>证明材料；</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11.2.1响应函；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法定代表人（单位负责人、自然人本人）身份证明；</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11.2.3符合性审查资料；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11.2.4评审标准相应的商务技术资料；</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11.2.5</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11.2.6分包意向协议（如有）。</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11.3.1开启一览表（报价表）；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响应文件含有征集人不能接受的附加条件的，响应无效；</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供应商提供虚假材料响应的，响应无效。</w:t>
      </w:r>
    </w:p>
    <w:p>
      <w:pPr>
        <w:pStyle w:val="128"/>
        <w:snapToGrid w:val="0"/>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响应文件分为资格文件、商务技术文件、报价文件三部分。各供应商在编制响应文件时请按照征集文件第六部分规定的格式进行，混乱的编排导致响应文件被误读或评审小组查找不到有效文件是供应商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12.2供应商进行电子投标应安装客户端软件—“政采云电子交易客户端”，并按照征集文件和电子交易平台的要求编制并加密响应文件。供应商未按规定加密的响应文件，电子交易平台将拒收并提示。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13.响应文件的签署、盖章</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13.1响应文件按照征集文件第六部分格式要求进行签署、盖章。</w:t>
      </w:r>
      <w:r>
        <w:rPr>
          <w:rFonts w:hint="eastAsia" w:ascii="宋体" w:hAnsi="宋体" w:eastAsia="宋体" w:cs="宋体"/>
          <w:b/>
          <w:color w:val="auto"/>
          <w:szCs w:val="24"/>
          <w:highlight w:val="none"/>
        </w:rPr>
        <w:t>▲供应商的响应文件未按照征集文件要求签署、盖章的，其响应无效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13.2为确保网上操作合法、有效和安全，供应商应当在响应截止时间前完成在“政府采购云平台”的身份认证，确保在电子投标过程中能够对相关数据电文进行加密和使用电子签名。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13.3征集文件对响应文件签署、盖章的要求适用于电子签名。</w:t>
      </w:r>
    </w:p>
    <w:p>
      <w:pPr>
        <w:pStyle w:val="128"/>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14.响应文件的提交、补充、修改、撤回</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14.3征集人、采购代理机构可以视情况延长响应文件提交的截止时间。在上述情况下，采购代理机构与供应商以前在响应截止期方面的全部权利、责任和义务，将适用于延长至新的响应截止期。</w:t>
      </w:r>
    </w:p>
    <w:p>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15.1供应商在电子交易平台传输递交响应文件后，可以在响应截止时间前直接提交或者以邮政快递方式递交备份响应文件1份（</w:t>
      </w:r>
      <w:r>
        <w:rPr>
          <w:rFonts w:hint="eastAsia" w:ascii="宋体" w:hAnsi="宋体" w:eastAsia="宋体" w:cs="宋体"/>
          <w:b/>
          <w:color w:val="auto"/>
          <w:sz w:val="24"/>
          <w:szCs w:val="24"/>
          <w:highlight w:val="none"/>
        </w:rPr>
        <w:t>非强制要求，供应商自行考虑，快递到付或包裹破损拒绝</w:t>
      </w:r>
      <w:r>
        <w:rPr>
          <w:rFonts w:hint="eastAsia" w:hAnsi="宋体" w:cs="宋体"/>
          <w:b/>
          <w:color w:val="auto"/>
          <w:sz w:val="24"/>
          <w:szCs w:val="24"/>
          <w:highlight w:val="none"/>
          <w:lang w:eastAsia="zh-CN"/>
        </w:rPr>
        <w:t>接收</w:t>
      </w:r>
      <w:r>
        <w:rPr>
          <w:rFonts w:hint="eastAsia" w:ascii="宋体" w:hAnsi="宋体" w:eastAsia="宋体" w:cs="宋体"/>
          <w:b/>
          <w:color w:val="auto"/>
          <w:sz w:val="24"/>
          <w:szCs w:val="24"/>
          <w:highlight w:val="none"/>
        </w:rPr>
        <w:t>）。</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15.2备份响应文件须在“政采云投标客户端”制作生成，并储存在DVD光盘或U盘中。备份响应文件应当密封包装并在包装上加盖公章并注明项目名称，供应商名称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联合体参加的，包装物封面需注明联合体参加，并注明联合体成员各方的名称和联合协议中约定的牵头人的名称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不符合上述制作、存储、密封规定的备份响应文件将被视为无效或者被拒绝接收。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15.3直接提交备份响应文件的，供应商应于响应截止时间前在征集公告中载明的开启地点将备份响应文件提交给采购代理机构，采购代理机构将拒绝接受逾期送达的备份响应文件。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15.4以邮政快递方式递交备份响应文件的，供应商应先将备份响应文件按要求密封和标记，再进行邮政快递包装后邮寄。备份响应文件须在响应截止时间之前送达</w:t>
      </w:r>
      <w:r>
        <w:rPr>
          <w:rFonts w:hint="eastAsia" w:ascii="宋体" w:hAnsi="宋体" w:eastAsia="宋体" w:cs="宋体"/>
          <w:snapToGrid/>
          <w:color w:val="auto"/>
          <w:sz w:val="24"/>
          <w:szCs w:val="24"/>
          <w:highlight w:val="none"/>
        </w:rPr>
        <w:t>征集文件第二部分供应商须知前附表规定的备份响应文件送达地点；</w:t>
      </w:r>
      <w:r>
        <w:rPr>
          <w:rFonts w:hint="eastAsia" w:ascii="宋体" w:hAnsi="宋体" w:eastAsia="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15.5供应商仅提交备份响应文件，未在电子交易平台传输递交响应文件的，响应无效。</w:t>
      </w:r>
    </w:p>
    <w:p>
      <w:pPr>
        <w:pStyle w:val="128"/>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16.响应文件的无效处理</w:t>
      </w:r>
    </w:p>
    <w:p>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有征集文件第四部分第4.2项规定的情形之一的，响应无效。</w:t>
      </w:r>
    </w:p>
    <w:p>
      <w:pPr>
        <w:pStyle w:val="128"/>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17.响应有效期</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17.1响应有效期为从提交响应文件的截止之日起90天。▲</w:t>
      </w:r>
      <w:r>
        <w:rPr>
          <w:rFonts w:hint="eastAsia" w:ascii="宋体" w:hAnsi="宋体" w:eastAsia="宋体" w:cs="宋体"/>
          <w:b/>
          <w:color w:val="auto"/>
          <w:sz w:val="24"/>
          <w:highlight w:val="none"/>
        </w:rPr>
        <w:t>供应商的响应文件中承诺的响应有效期少于征集文件中载明的响应有效期的，响应无效。</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17.2响应文件合格投递后，自响应截止日期起，在响应有效期内有效。</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17.3在原定响应有效期满之前，如果出现特殊情况，采购代理机构可以以书面形式通知供应商延长响应有效期。供应商同意延长的，不得要求或被允许修改其响应文件，供应商拒绝延长的，其响应无效。</w:t>
      </w:r>
    </w:p>
    <w:p>
      <w:pPr>
        <w:pStyle w:val="128"/>
        <w:spacing w:before="0"/>
        <w:ind w:firstLine="0" w:firstLineChars="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四、开启、资格审查与信用信息查询</w:t>
      </w:r>
    </w:p>
    <w:p>
      <w:pPr>
        <w:pStyle w:val="555"/>
        <w:spacing w:before="0" w:line="360" w:lineRule="auto"/>
        <w:ind w:left="0" w:firstLine="482" w:firstLineChars="200"/>
        <w:contextualSpacing/>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18.开启响应文件</w:t>
      </w:r>
    </w:p>
    <w:p>
      <w:pPr>
        <w:pStyle w:val="555"/>
        <w:spacing w:before="0"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18.1采购代理机构按照征集文件规定的时间通过电子交易平台组织开启，所有供应商均应当准时在线参加。递交响应文件的供应商不足3家的，不得开启。</w:t>
      </w:r>
    </w:p>
    <w:p>
      <w:pPr>
        <w:pStyle w:val="555"/>
        <w:spacing w:before="0"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18.2开启时，电子交易平台按开启时间自动提取所有响应文件。采购代理机构依托电子交易平台发起开始解密指令，供应商按照平台提示和征集文件的规定在半小时内完成在线解密。</w:t>
      </w:r>
    </w:p>
    <w:p>
      <w:pPr>
        <w:pStyle w:val="555"/>
        <w:spacing w:before="0" w:line="360" w:lineRule="auto"/>
        <w:ind w:left="0" w:firstLine="480" w:firstLineChars="200"/>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18.3</w:t>
      </w:r>
      <w:r>
        <w:rPr>
          <w:rFonts w:hint="eastAsia" w:ascii="宋体" w:hAnsi="宋体" w:eastAsia="宋体" w:cs="宋体"/>
          <w:b/>
          <w:color w:val="auto"/>
          <w:sz w:val="24"/>
          <w:szCs w:val="24"/>
          <w:highlight w:val="none"/>
        </w:rPr>
        <w:t>响应文件未按时解密，供应商提供了备份响应文件的，以备份响应文件作为依据，否则视为响应文件撤回。响应文件已按时解密的，备份响应文件自动失效。</w:t>
      </w:r>
    </w:p>
    <w:p>
      <w:pPr>
        <w:pStyle w:val="555"/>
        <w:spacing w:before="0" w:line="360" w:lineRule="auto"/>
        <w:ind w:left="0"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18.4本项目开启顺序：</w:t>
      </w:r>
      <w:r>
        <w:rPr>
          <w:rFonts w:hint="eastAsia" w:ascii="宋体" w:hAnsi="宋体" w:eastAsia="宋体" w:cs="宋体"/>
          <w:color w:val="auto"/>
          <w:sz w:val="24"/>
          <w:szCs w:val="24"/>
          <w:highlight w:val="none"/>
          <w:u w:val="single"/>
        </w:rPr>
        <w:sym w:font="Wingdings" w:char="00FE"/>
      </w:r>
      <w:r>
        <w:rPr>
          <w:rFonts w:hint="eastAsia" w:ascii="宋体" w:hAnsi="宋体" w:eastAsia="宋体" w:cs="宋体"/>
          <w:color w:val="auto"/>
          <w:sz w:val="24"/>
          <w:szCs w:val="24"/>
          <w:highlight w:val="none"/>
          <w:u w:val="single"/>
        </w:rPr>
        <w:t>先技术商务后报价，</w:t>
      </w:r>
      <w:r>
        <w:rPr>
          <w:rFonts w:hint="eastAsia" w:ascii="宋体" w:hAnsi="宋体" w:eastAsia="宋体" w:cs="宋体"/>
          <w:color w:val="auto"/>
          <w:sz w:val="24"/>
          <w:szCs w:val="24"/>
          <w:highlight w:val="none"/>
          <w:u w:val="single"/>
        </w:rPr>
        <w:sym w:font="Wingdings" w:char="00A8"/>
      </w:r>
      <w:r>
        <w:rPr>
          <w:rFonts w:hint="eastAsia" w:ascii="宋体" w:hAnsi="宋体" w:eastAsia="宋体" w:cs="宋体"/>
          <w:color w:val="auto"/>
          <w:sz w:val="24"/>
          <w:szCs w:val="24"/>
          <w:highlight w:val="none"/>
          <w:u w:val="single"/>
        </w:rPr>
        <w:t>报价技术商务同时开。</w:t>
      </w:r>
    </w:p>
    <w:p>
      <w:pPr>
        <w:pStyle w:val="555"/>
        <w:spacing w:before="0"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19.1开启后，征集人或采购代理机构将依法对供应商的资格进行审查。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征集人或采购代理机构依据法律法规和征集文件的规定，对供应商的基本资格条件、特定资格条件进行审查。</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19.3供应商未按照征集文件要求提供与</w:t>
      </w:r>
      <w:r>
        <w:rPr>
          <w:rFonts w:hint="eastAsia" w:ascii="宋体" w:hAnsi="宋体" w:eastAsia="宋体" w:cs="宋体"/>
          <w:color w:val="auto"/>
          <w:szCs w:val="24"/>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szCs w:val="24"/>
          <w:highlight w:val="none"/>
        </w:rPr>
        <w:t>供应商不具备征集文件中规定的资格要求，其响应无效。</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szCs w:val="24"/>
          <w:highlight w:val="none"/>
        </w:rPr>
        <w:t>4对未通过资格审查的供应商，征集人或采购代理机构告知其未通过的原因。</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szCs w:val="24"/>
          <w:highlight w:val="none"/>
        </w:rPr>
        <w:t>5合格供应商不足3家的，不再继续评审。</w:t>
      </w:r>
    </w:p>
    <w:p>
      <w:pPr>
        <w:pStyle w:val="128"/>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渠道查询供应商响应截止时间当天的信用记录。</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Cs w:val="24"/>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五、评审</w:t>
      </w:r>
    </w:p>
    <w:p>
      <w:pPr>
        <w:spacing w:line="360" w:lineRule="auto"/>
        <w:ind w:firstLine="482" w:firstLineChars="200"/>
        <w:rPr>
          <w:rFonts w:hint="eastAsia" w:ascii="宋体" w:hAnsi="宋体" w:eastAsia="宋体" w:cs="宋体"/>
          <w:b/>
          <w:color w:val="auto"/>
          <w:sz w:val="24"/>
          <w:highlight w:val="none"/>
        </w:rPr>
      </w:pPr>
      <w:bookmarkStart w:id="22"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审委员会将根据征集文件和有关规定，履行评审工作职责，并按照评审方法及评分标准，全面衡量各供应商对征集文件的响应情况。对实质上响应征集文件的供应商，按照响应报价、评审因素的量化指标排出推荐入围的供应商的先后顺序，并按顺序提出授标建议。</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22.评审淘汰机制</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确定第一阶段入围供应商时，提交响应文件和符合资格条件、实质性要求的供应商应当均不少于3家，淘汰比例为20%。</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委员会按评审后汇总得分由高到低顺序排列。汇总得分相同的，汇总得分相同的，按照客观分得分由高到低顺序排列，客观分得分也相同的，由评标委员会投票表决确定排序。根据排序从后往前按比例淘汰单位（淘汰比例为进入排序单位数量的20%，四舍五入取整数），淘汰后剩余单位多于</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家，按照排序先后选择</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家单位。入围供应商数量：最多</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家。如，第一阶段入围供应商</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家，按20%的淘汰率，</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*（1-20%）=</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家，四舍五入取最终入围</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家。</w:t>
      </w:r>
    </w:p>
    <w:p>
      <w:pPr>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六、入围供应商确定</w:t>
      </w:r>
    </w:p>
    <w:p>
      <w:pPr>
        <w:pStyle w:val="26"/>
        <w:spacing w:line="360" w:lineRule="auto"/>
        <w:ind w:firstLine="482"/>
        <w:rPr>
          <w:rFonts w:hint="eastAsia" w:ascii="宋体" w:hAnsi="宋体" w:eastAsia="宋体" w:cs="宋体"/>
          <w:b/>
          <w:color w:val="auto"/>
          <w:highlight w:val="none"/>
          <w:u w:val="single"/>
        </w:rPr>
      </w:pPr>
      <w:r>
        <w:rPr>
          <w:rFonts w:hint="eastAsia" w:ascii="宋体" w:hAnsi="宋体" w:eastAsia="宋体" w:cs="宋体"/>
          <w:b/>
          <w:color w:val="auto"/>
          <w:highlight w:val="none"/>
          <w:u w:val="single"/>
        </w:rPr>
        <w:t>23.确定入围供应商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u w:val="single"/>
        </w:rPr>
        <w:t>代理机构应当在评审结束后2个工作日内将评审报告送征集人。征集人将</w:t>
      </w:r>
      <w:r>
        <w:rPr>
          <w:rFonts w:hint="eastAsia" w:ascii="宋体" w:hAnsi="宋体" w:eastAsia="宋体" w:cs="宋体"/>
          <w:color w:val="auto"/>
          <w:szCs w:val="24"/>
          <w:highlight w:val="none"/>
        </w:rPr>
        <w:t>自收到评审报告之日起2个工作日内通过电子交易平台在评审报告确定入围供应商。</w:t>
      </w:r>
    </w:p>
    <w:p>
      <w:pPr>
        <w:pStyle w:val="128"/>
        <w:snapToGrid w:val="0"/>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24.入围通知书与入围结果公告</w:t>
      </w:r>
    </w:p>
    <w:p>
      <w:pPr>
        <w:widowControl/>
        <w:numPr>
          <w:ilvl w:val="255"/>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24.1自入围人确定之日起2个工作日内，采购代理机构通过电子交易平台向入围人发出入围通知书，同时编制发布采购结果公告。采购代理机构也可以以纸质形式进行入围通知。</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24.2公告期限为1个工作日。</w:t>
      </w:r>
    </w:p>
    <w:p>
      <w:pPr>
        <w:snapToGrid w:val="0"/>
        <w:spacing w:line="360" w:lineRule="auto"/>
        <w:ind w:left="120" w:leftChars="57" w:firstLine="361" w:firstLineChars="150"/>
        <w:jc w:val="center"/>
        <w:rPr>
          <w:rFonts w:hint="eastAsia" w:ascii="宋体" w:hAnsi="宋体" w:eastAsia="宋体" w:cs="宋体"/>
          <w:b/>
          <w:color w:val="auto"/>
          <w:sz w:val="24"/>
          <w:highlight w:val="none"/>
        </w:rPr>
      </w:pPr>
    </w:p>
    <w:p>
      <w:pPr>
        <w:snapToGrid w:val="0"/>
        <w:spacing w:line="360" w:lineRule="auto"/>
        <w:ind w:left="120" w:leftChars="57" w:firstLine="422" w:firstLineChars="15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七、框架协议签订</w:t>
      </w:r>
    </w:p>
    <w:p>
      <w:pPr>
        <w:pStyle w:val="26"/>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25.</w:t>
      </w:r>
      <w:r>
        <w:rPr>
          <w:rFonts w:hint="eastAsia" w:ascii="宋体" w:hAnsi="宋体" w:eastAsia="宋体" w:cs="宋体"/>
          <w:color w:val="auto"/>
          <w:highlight w:val="none"/>
        </w:rPr>
        <w:t>框架主要条款详见第五部分拟签订的框架协议文本。</w:t>
      </w:r>
    </w:p>
    <w:p>
      <w:pPr>
        <w:pStyle w:val="26"/>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26.框架协议的签订</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sz w:val="24"/>
          <w:highlight w:val="none"/>
        </w:rPr>
        <w:t>26.1</w:t>
      </w:r>
      <w:r>
        <w:rPr>
          <w:rFonts w:hint="eastAsia" w:ascii="宋体" w:hAnsi="宋体" w:eastAsia="宋体" w:cs="宋体"/>
          <w:bCs/>
          <w:color w:val="auto"/>
          <w:kern w:val="0"/>
          <w:sz w:val="24"/>
          <w:highlight w:val="none"/>
        </w:rPr>
        <w:t>除不可抗力等特殊情况外，征集人应当在入围通知书发出之日起30日内和入围供应商签订框架协议，并在框架协议签订后7个工作日内，将框架协议副本报本级财政部门备案。</w:t>
      </w:r>
    </w:p>
    <w:p>
      <w:pPr>
        <w:pStyle w:val="128"/>
        <w:snapToGrid w:val="0"/>
        <w:spacing w:before="0"/>
        <w:ind w:firstLine="48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val="zh-CN"/>
        </w:rPr>
        <w:t>2</w:t>
      </w:r>
      <w:r>
        <w:rPr>
          <w:rFonts w:hint="eastAsia" w:ascii="宋体" w:hAnsi="宋体" w:eastAsia="宋体" w:cs="宋体"/>
          <w:bCs/>
          <w:color w:val="auto"/>
          <w:kern w:val="0"/>
          <w:szCs w:val="24"/>
          <w:highlight w:val="none"/>
        </w:rPr>
        <w:t>6</w:t>
      </w:r>
      <w:r>
        <w:rPr>
          <w:rFonts w:hint="eastAsia" w:ascii="宋体" w:hAnsi="宋体" w:eastAsia="宋体" w:cs="宋体"/>
          <w:bCs/>
          <w:color w:val="auto"/>
          <w:kern w:val="0"/>
          <w:szCs w:val="24"/>
          <w:highlight w:val="none"/>
          <w:lang w:val="zh-CN"/>
        </w:rPr>
        <w:t>.2入围</w:t>
      </w:r>
      <w:r>
        <w:rPr>
          <w:rFonts w:hint="eastAsia" w:ascii="宋体" w:hAnsi="宋体" w:eastAsia="宋体" w:cs="宋体"/>
          <w:bCs/>
          <w:color w:val="auto"/>
          <w:kern w:val="0"/>
          <w:szCs w:val="24"/>
          <w:highlight w:val="none"/>
        </w:rPr>
        <w:t>供应商</w:t>
      </w:r>
      <w:r>
        <w:rPr>
          <w:rFonts w:hint="eastAsia" w:ascii="宋体" w:hAnsi="宋体" w:eastAsia="宋体" w:cs="宋体"/>
          <w:bCs/>
          <w:color w:val="auto"/>
          <w:kern w:val="0"/>
          <w:szCs w:val="24"/>
          <w:highlight w:val="none"/>
          <w:lang w:val="zh-CN"/>
        </w:rPr>
        <w:t>按规定的日期、时间、地点，由法定代表人或其授权代表与征集人代表签订框架协议。如入围</w:t>
      </w:r>
      <w:r>
        <w:rPr>
          <w:rFonts w:hint="eastAsia" w:ascii="宋体" w:hAnsi="宋体" w:eastAsia="宋体" w:cs="宋体"/>
          <w:bCs/>
          <w:color w:val="auto"/>
          <w:kern w:val="0"/>
          <w:szCs w:val="24"/>
          <w:highlight w:val="none"/>
        </w:rPr>
        <w:t>供应商</w:t>
      </w:r>
      <w:r>
        <w:rPr>
          <w:rFonts w:hint="eastAsia" w:ascii="宋体" w:hAnsi="宋体" w:eastAsia="宋体" w:cs="宋体"/>
          <w:bCs/>
          <w:color w:val="auto"/>
          <w:kern w:val="0"/>
          <w:szCs w:val="24"/>
          <w:highlight w:val="none"/>
          <w:lang w:val="zh-CN"/>
        </w:rPr>
        <w:t>为联合体的，由联合体成员各方法定代表人或其授权代表与征集人代表签订框架协议。</w:t>
      </w:r>
    </w:p>
    <w:p>
      <w:pPr>
        <w:pStyle w:val="128"/>
        <w:snapToGrid w:val="0"/>
        <w:spacing w:before="0"/>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26.3入围供应商拒绝与征集人签订框架协议的，且导致剩余入围供应商不足入围供应商总数70%的，征集人重新开展政府采购活动。拒绝签订框架协议的供应商不得参加同一封闭式框架协议补充征集，或者重新申请加入同一开放式框架协议。拒签供应商给采购组织机构造成损失的，供应商应承担赔偿责任，如承担代理费和专家评审费等费用。供应商</w:t>
      </w:r>
      <w:r>
        <w:rPr>
          <w:rFonts w:hint="eastAsia" w:ascii="宋体" w:hAnsi="宋体" w:eastAsia="宋体" w:cs="宋体"/>
          <w:bCs/>
          <w:color w:val="auto"/>
          <w:szCs w:val="24"/>
          <w:highlight w:val="none"/>
          <w:shd w:val="clear" w:color="auto" w:fill="FFFFFF"/>
        </w:rPr>
        <w:t>无正当理由</w:t>
      </w:r>
      <w:r>
        <w:rPr>
          <w:rFonts w:hint="eastAsia" w:ascii="宋体" w:hAnsi="宋体" w:eastAsia="宋体" w:cs="宋体"/>
          <w:bCs/>
          <w:color w:val="auto"/>
          <w:szCs w:val="24"/>
          <w:highlight w:val="none"/>
        </w:rPr>
        <w:t>拒绝或延期签订框架协议的列入不良行为记录一次，并给予通报。</w:t>
      </w:r>
    </w:p>
    <w:p>
      <w:pPr>
        <w:pStyle w:val="128"/>
        <w:snapToGrid w:val="0"/>
        <w:spacing w:before="0"/>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26.4采购框架协议由征集人与入围供应商根据征集文件、响应文件等内容通过政府采购电子交易平台在线签订，自动备案。</w:t>
      </w:r>
    </w:p>
    <w:p>
      <w:pPr>
        <w:pStyle w:val="26"/>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27.入围信息公示</w:t>
      </w:r>
    </w:p>
    <w:p>
      <w:pPr>
        <w:pStyle w:val="128"/>
        <w:snapToGrid w:val="0"/>
        <w:spacing w:before="0"/>
        <w:ind w:firstLine="480"/>
        <w:rPr>
          <w:rFonts w:hint="eastAsia" w:ascii="宋体" w:hAnsi="宋体" w:eastAsia="宋体" w:cs="宋体"/>
          <w:bCs/>
          <w:color w:val="auto"/>
          <w:kern w:val="0"/>
          <w:szCs w:val="24"/>
          <w:highlight w:val="none"/>
          <w:lang w:val="zh-CN"/>
        </w:rPr>
      </w:pPr>
      <w:r>
        <w:rPr>
          <w:rFonts w:hint="eastAsia" w:ascii="宋体" w:hAnsi="宋体" w:eastAsia="宋体" w:cs="宋体"/>
          <w:bCs/>
          <w:color w:val="auto"/>
          <w:kern w:val="0"/>
          <w:szCs w:val="24"/>
          <w:highlight w:val="none"/>
          <w:lang w:val="zh-CN"/>
        </w:rPr>
        <w:t>征集人应当在框架协议签订后3个工作日内通过电子化采购系统将入围信息告知适用框架协议的所有采购人或者服务对象。</w:t>
      </w:r>
    </w:p>
    <w:p>
      <w:pPr>
        <w:pStyle w:val="128"/>
        <w:snapToGrid w:val="0"/>
        <w:spacing w:before="0"/>
        <w:ind w:firstLine="480"/>
        <w:rPr>
          <w:rFonts w:hint="eastAsia" w:ascii="宋体" w:hAnsi="宋体" w:eastAsia="宋体" w:cs="宋体"/>
          <w:bCs/>
          <w:color w:val="auto"/>
          <w:kern w:val="0"/>
          <w:szCs w:val="24"/>
          <w:highlight w:val="none"/>
          <w:lang w:val="zh-CN"/>
        </w:rPr>
      </w:pPr>
      <w:r>
        <w:rPr>
          <w:rFonts w:hint="eastAsia" w:ascii="宋体" w:hAnsi="宋体" w:eastAsia="宋体" w:cs="宋体"/>
          <w:bCs/>
          <w:color w:val="auto"/>
          <w:kern w:val="0"/>
          <w:szCs w:val="24"/>
          <w:highlight w:val="none"/>
          <w:lang w:val="zh-CN"/>
        </w:rPr>
        <w:t>入围信息应当包括所有入围供应商的名称、地址、联系方式、入围产品信息和协议价格等内容。入围产品信息应当详细列明技术规格或者服务内容、服务标准等能反映产品质量特点的内容。</w:t>
      </w:r>
    </w:p>
    <w:p>
      <w:pPr>
        <w:snapToGrid w:val="0"/>
        <w:spacing w:line="360" w:lineRule="auto"/>
        <w:ind w:left="120" w:leftChars="57" w:firstLine="361" w:firstLineChars="150"/>
        <w:jc w:val="center"/>
        <w:rPr>
          <w:rFonts w:hint="eastAsia" w:ascii="宋体" w:hAnsi="宋体" w:eastAsia="宋体" w:cs="宋体"/>
          <w:b/>
          <w:color w:val="auto"/>
          <w:sz w:val="24"/>
          <w:highlight w:val="none"/>
        </w:rPr>
      </w:pPr>
    </w:p>
    <w:p>
      <w:pPr>
        <w:snapToGrid w:val="0"/>
        <w:spacing w:line="360" w:lineRule="auto"/>
        <w:ind w:left="120" w:leftChars="57" w:firstLine="422" w:firstLineChars="15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八、采购合同授予</w:t>
      </w:r>
    </w:p>
    <w:p>
      <w:pPr>
        <w:pStyle w:val="128"/>
        <w:spacing w:before="0"/>
        <w:ind w:firstLine="482"/>
        <w:rPr>
          <w:rFonts w:hint="eastAsia" w:ascii="宋体" w:hAnsi="宋体" w:eastAsia="宋体" w:cs="宋体"/>
          <w:b/>
          <w:bCs/>
          <w:color w:val="auto"/>
          <w:szCs w:val="24"/>
          <w:highlight w:val="none"/>
        </w:rPr>
      </w:pPr>
      <w:r>
        <w:rPr>
          <w:rFonts w:hint="eastAsia" w:ascii="宋体" w:hAnsi="宋体" w:eastAsia="宋体" w:cs="宋体"/>
          <w:b/>
          <w:bCs/>
          <w:color w:val="auto"/>
          <w:kern w:val="0"/>
          <w:szCs w:val="24"/>
          <w:highlight w:val="none"/>
        </w:rPr>
        <w:t>28.</w:t>
      </w:r>
      <w:r>
        <w:rPr>
          <w:rFonts w:hint="eastAsia" w:ascii="宋体" w:hAnsi="宋体" w:eastAsia="宋体" w:cs="宋体"/>
          <w:b/>
          <w:bCs/>
          <w:color w:val="auto"/>
          <w:szCs w:val="24"/>
          <w:highlight w:val="none"/>
        </w:rPr>
        <w:t>适用框架协议的采购人或服务对象</w:t>
      </w:r>
    </w:p>
    <w:p>
      <w:pPr>
        <w:pStyle w:val="128"/>
        <w:spacing w:before="0"/>
        <w:ind w:firstLine="480"/>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建德市发展和改革局</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29.第二阶段成交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本项目确定第二阶段成交供应商的方式采用：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□直接选定方式。由采购人或者服务对象依据入围产品价格、质量以及服务便利性、用户评价等因素，从第一阶段入围供应商中直接选定。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次竞价方式。以框架协议约定的入围产品、采购合同文本等为依据，以协议价格为最高限价，采购人明确第二阶段竞价需求，从入围供应商中选择所有符合竞价需求的供应商参与二次竞价，确定报价最低的为成交供应商的方式。</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顺序轮候方式。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w:t>
      </w:r>
    </w:p>
    <w:p>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30.</w:t>
      </w:r>
      <w:r>
        <w:rPr>
          <w:rFonts w:hint="eastAsia" w:ascii="宋体" w:hAnsi="宋体" w:eastAsia="宋体" w:cs="宋体"/>
          <w:b/>
          <w:bCs/>
          <w:color w:val="auto"/>
          <w:kern w:val="0"/>
          <w:sz w:val="24"/>
          <w:highlight w:val="none"/>
        </w:rPr>
        <w:t>成交结果公告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以二次竞价或者顺序轮候方式确定成交供应商的，征集人将在确定成交供应商后2个工作日内，在浙江政府采购网上逐笔发布成交结果公告。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征集人在框架协议有效期满后10个工作日内发布成交结果汇总公告。汇总公告包括采购人的名称、地址和联系方式、框架协议采购项目名称、编号和所有成交供应商的名称、地址及其成交合同总数和总金额。</w:t>
      </w:r>
    </w:p>
    <w:p>
      <w:pPr>
        <w:numPr>
          <w:ilvl w:val="255"/>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31.签订采购合同</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31.1成交结果发布后2个工作日内应签订采购合同。</w:t>
      </w:r>
    </w:p>
    <w:p>
      <w:pPr>
        <w:tabs>
          <w:tab w:val="left" w:pos="312"/>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31.2合同条件详见采购文件中合同文本。</w:t>
      </w:r>
    </w:p>
    <w:p>
      <w:pPr>
        <w:numPr>
          <w:ilvl w:val="255"/>
          <w:numId w:val="0"/>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31.3成交供应商按规定的日期、时间、地点，由法定代表人或其授权代表与采购人或服务对象代表签订合同。如成交供应商为联合体的，由联合体成员各方法定代表人或其授权代表与采购人或服务对象代表签订合同。</w:t>
      </w:r>
    </w:p>
    <w:p>
      <w:pPr>
        <w:numPr>
          <w:ilvl w:val="255"/>
          <w:numId w:val="0"/>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31.4如成交供应商</w:t>
      </w:r>
      <w:r>
        <w:rPr>
          <w:rFonts w:hint="eastAsia" w:ascii="宋体" w:hAnsi="宋体" w:eastAsia="宋体" w:cs="宋体"/>
          <w:color w:val="auto"/>
          <w:sz w:val="24"/>
          <w:highlight w:val="none"/>
          <w:shd w:val="clear" w:color="auto" w:fill="FFFFFF"/>
        </w:rPr>
        <w:t>无正当理由</w:t>
      </w:r>
      <w:r>
        <w:rPr>
          <w:rFonts w:hint="eastAsia" w:ascii="宋体" w:hAnsi="宋体" w:eastAsia="宋体" w:cs="宋体"/>
          <w:bCs/>
          <w:color w:val="auto"/>
          <w:sz w:val="24"/>
          <w:highlight w:val="none"/>
        </w:rPr>
        <w:t>拒绝签订合同的，解除框架协议，列入不良行为记录一次，并给予通报。如成交供应商签订合同并生效后，供应商</w:t>
      </w:r>
      <w:r>
        <w:rPr>
          <w:rFonts w:hint="eastAsia" w:ascii="宋体" w:hAnsi="宋体" w:eastAsia="宋体" w:cs="宋体"/>
          <w:color w:val="auto"/>
          <w:sz w:val="24"/>
          <w:highlight w:val="none"/>
          <w:shd w:val="clear" w:color="auto" w:fill="FFFFFF"/>
        </w:rPr>
        <w:t>无正当理由</w:t>
      </w:r>
      <w:r>
        <w:rPr>
          <w:rFonts w:hint="eastAsia" w:ascii="宋体" w:hAnsi="宋体" w:eastAsia="宋体" w:cs="宋体"/>
          <w:bCs/>
          <w:color w:val="auto"/>
          <w:sz w:val="24"/>
          <w:highlight w:val="none"/>
        </w:rPr>
        <w:t>拒绝或延期，除按照合同条款处理外，解除框架协议，列入不良行为记录一次，并给予通报。</w:t>
      </w:r>
    </w:p>
    <w:p>
      <w:pPr>
        <w:numPr>
          <w:ilvl w:val="255"/>
          <w:numId w:val="0"/>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31.5成交供应商拒绝与采购人或服务对象签订合同的，采购人或服务对象可以按照轮候顺序依次确定下一个供应商签订合同。</w:t>
      </w:r>
    </w:p>
    <w:p>
      <w:pPr>
        <w:numPr>
          <w:ilvl w:val="255"/>
          <w:numId w:val="0"/>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31.6采购合同由采购人或服务对象与成交供应商通过政府采购电子交易平台在线签订，自动备案。</w:t>
      </w:r>
    </w:p>
    <w:p>
      <w:pPr>
        <w:tabs>
          <w:tab w:val="left" w:pos="0"/>
        </w:tabs>
        <w:spacing w:line="360" w:lineRule="auto"/>
        <w:ind w:firstLine="200"/>
        <w:rPr>
          <w:rFonts w:hint="eastAsia" w:ascii="宋体" w:hAnsi="宋体" w:eastAsia="宋体" w:cs="宋体"/>
          <w:color w:val="auto"/>
          <w:kern w:val="0"/>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九、电子交易活动的中止</w:t>
      </w:r>
    </w:p>
    <w:p>
      <w:pPr>
        <w:pStyle w:val="128"/>
        <w:snapToGrid w:val="0"/>
        <w:spacing w:before="0"/>
        <w:ind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33.电子交易活动的中止。</w:t>
      </w:r>
    </w:p>
    <w:p>
      <w:pPr>
        <w:pStyle w:val="128"/>
        <w:snapToGrid w:val="0"/>
        <w:spacing w:before="0"/>
        <w:ind w:firstLine="482"/>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采购过程中出现以下情形，导致电子交易平台无法正常运行，</w:t>
      </w:r>
      <w:r>
        <w:rPr>
          <w:rFonts w:hint="eastAsia" w:ascii="宋体" w:hAnsi="宋体" w:eastAsia="宋体" w:cs="宋体"/>
          <w:color w:val="auto"/>
          <w:szCs w:val="24"/>
          <w:highlight w:val="none"/>
        </w:rPr>
        <w:t>或者无法保证电子交易的公平、公正和安全时，采购代理机构可中止电子交易活动：</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33.1电子交易平台发生故障而无法登录访问的；</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33.2电子交易平台应用或数据库出现错误，不能进行正常操作的；</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33.3电子交易平台发现严重安全漏洞，有潜在泄密危险的；</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33.4病毒发作导致不能进行正常操作的；</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33.5其他无法保证电子交易的公平、公正和安全的情况。</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1" w:firstLineChars="150"/>
        <w:jc w:val="center"/>
        <w:outlineLvl w:val="1"/>
        <w:rPr>
          <w:rFonts w:hint="eastAsia" w:ascii="宋体" w:hAnsi="宋体" w:eastAsia="宋体" w:cs="宋体"/>
          <w:b/>
          <w:color w:val="auto"/>
          <w:sz w:val="24"/>
          <w:highlight w:val="none"/>
        </w:rPr>
      </w:pPr>
    </w:p>
    <w:p>
      <w:pPr>
        <w:snapToGrid w:val="0"/>
        <w:spacing w:line="360" w:lineRule="auto"/>
        <w:ind w:left="120" w:leftChars="57" w:firstLine="422" w:firstLineChars="15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十、验收</w:t>
      </w:r>
    </w:p>
    <w:p>
      <w:pPr>
        <w:pStyle w:val="26"/>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35.验收</w:t>
      </w:r>
    </w:p>
    <w:p>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35.1采购人或服务对象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35.2采购人或服务对象可以邀请参加本项目的其他供应商或者第三方机构参与验收。参与验收的供应商或者第三方机构的意见作为验收书的参考资料一并存档。</w:t>
      </w:r>
    </w:p>
    <w:p>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35.3严格按照采购合同开展履约验收。采购人或服务对象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35.4验收合格的项目，采购人或服务对象将根据采购合同的约定及时向供应商支付采购资金、退还履约保证金。验收不合格的项目，征集人将依法及时处理。采购合同的履行、违约责任和解决争议的方式等适用《中华人民共和国民法典》。供应商在履约过程中有政府采购法律法规规定的违法违规情形的，征集人应当及时报告本级财政部门。</w:t>
      </w:r>
      <w:bookmarkEnd w:id="22"/>
    </w:p>
    <w:bookmarkEnd w:id="20"/>
    <w:bookmarkEnd w:id="21"/>
    <w:p>
      <w:pPr>
        <w:tabs>
          <w:tab w:val="left" w:pos="0"/>
        </w:tabs>
        <w:spacing w:line="360" w:lineRule="auto"/>
        <w:ind w:firstLine="480" w:firstLineChars="200"/>
        <w:rPr>
          <w:rFonts w:hint="eastAsia" w:ascii="宋体" w:hAnsi="宋体" w:eastAsia="宋体" w:cs="宋体"/>
          <w:color w:val="auto"/>
          <w:kern w:val="0"/>
          <w:sz w:val="24"/>
          <w:highlight w:val="none"/>
        </w:rPr>
        <w:sectPr>
          <w:footerReference r:id="rId11" w:type="default"/>
          <w:pgSz w:w="11905" w:h="16838"/>
          <w:pgMar w:top="652" w:right="1417" w:bottom="680" w:left="1417" w:header="539" w:footer="482" w:gutter="0"/>
          <w:pgNumType w:start="1"/>
          <w:cols w:space="0" w:num="1"/>
          <w:docGrid w:linePitch="312" w:charSpace="0"/>
        </w:sectPr>
      </w:pPr>
      <w:bookmarkStart w:id="23" w:name="_Hlt75236290"/>
      <w:bookmarkEnd w:id="23"/>
      <w:bookmarkStart w:id="24" w:name="_Hlt68057669"/>
      <w:bookmarkEnd w:id="24"/>
      <w:bookmarkStart w:id="25" w:name="_Hlt68073093"/>
      <w:bookmarkEnd w:id="25"/>
      <w:bookmarkStart w:id="26" w:name="_Hlt68072990"/>
      <w:bookmarkEnd w:id="26"/>
      <w:bookmarkStart w:id="27" w:name="_Hlt68403820"/>
      <w:bookmarkEnd w:id="27"/>
      <w:bookmarkStart w:id="28" w:name="_Hlt75236011"/>
      <w:bookmarkEnd w:id="28"/>
      <w:bookmarkStart w:id="29" w:name="_Hlt68072998"/>
      <w:bookmarkEnd w:id="29"/>
      <w:bookmarkStart w:id="30" w:name="_Hlt74714665"/>
      <w:bookmarkEnd w:id="30"/>
      <w:bookmarkStart w:id="31" w:name="_Hlt74730295"/>
      <w:bookmarkEnd w:id="31"/>
      <w:bookmarkStart w:id="32" w:name="_Hlt74707468"/>
      <w:bookmarkEnd w:id="32"/>
      <w:bookmarkStart w:id="33" w:name="_Hlt74729768"/>
      <w:bookmarkEnd w:id="33"/>
      <w:bookmarkStart w:id="34" w:name="_Hlt75236101"/>
      <w:bookmarkEnd w:id="34"/>
    </w:p>
    <w:p>
      <w:pPr>
        <w:spacing w:line="360" w:lineRule="auto"/>
        <w:jc w:val="center"/>
        <w:outlineLvl w:val="0"/>
        <w:rPr>
          <w:rFonts w:hint="eastAsia" w:ascii="宋体" w:hAnsi="宋体" w:eastAsia="宋体" w:cs="宋体"/>
          <w:b/>
          <w:color w:val="auto"/>
          <w:sz w:val="32"/>
          <w:szCs w:val="32"/>
          <w:highlight w:val="none"/>
        </w:rPr>
      </w:pPr>
      <w:bookmarkStart w:id="35" w:name="_Toc135"/>
      <w:bookmarkStart w:id="36" w:name="_Toc21980"/>
      <w:bookmarkStart w:id="37" w:name="_Toc23290"/>
      <w:bookmarkStart w:id="38" w:name="_Toc25207"/>
      <w:bookmarkStart w:id="39" w:name="_Toc17637"/>
      <w:bookmarkStart w:id="40" w:name="_Hlk98851318"/>
      <w:bookmarkStart w:id="41" w:name="第四部分"/>
      <w:r>
        <w:rPr>
          <w:rFonts w:hint="eastAsia" w:ascii="宋体" w:hAnsi="宋体" w:eastAsia="宋体" w:cs="宋体"/>
          <w:b/>
          <w:color w:val="auto"/>
          <w:sz w:val="32"/>
          <w:szCs w:val="32"/>
          <w:highlight w:val="none"/>
        </w:rPr>
        <w:t>第三部分 采购需求</w:t>
      </w:r>
      <w:bookmarkEnd w:id="35"/>
      <w:bookmarkEnd w:id="36"/>
      <w:bookmarkEnd w:id="37"/>
      <w:bookmarkEnd w:id="38"/>
      <w:bookmarkEnd w:id="39"/>
    </w:p>
    <w:bookmarkEnd w:id="40"/>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一、概况</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根据《固定资产投资项目节能审查办法》（国家发展改革委令</w:t>
      </w:r>
      <w:r>
        <w:rPr>
          <w:rFonts w:hint="eastAsia" w:ascii="宋体" w:hAnsi="宋体" w:cs="宋体"/>
          <w:color w:val="auto"/>
          <w:kern w:val="0"/>
          <w:sz w:val="24"/>
          <w:highlight w:val="none"/>
          <w:lang w:val="en-US" w:eastAsia="zh-CN"/>
        </w:rPr>
        <w:t>2023</w:t>
      </w:r>
      <w:r>
        <w:rPr>
          <w:rFonts w:hint="eastAsia" w:ascii="宋体" w:hAnsi="宋体" w:eastAsia="宋体" w:cs="宋体"/>
          <w:color w:val="auto"/>
          <w:kern w:val="0"/>
          <w:sz w:val="24"/>
          <w:highlight w:val="none"/>
        </w:rPr>
        <w:t>年第</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号）《省发展改革委关于印发</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关于进一步加强固定资产投资项目和区域节能审查管理的意见</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的通知》（浙发改能源〔2021〕42号），《杭州市固定资产投资项目节能审查办法》（杭发改能源〔2021〕191号）和《杭州市发展和改革委员会节能审查工作办法》（杭发改能源〔2022〕4号）等文件要求。节能主管部门受理申报材料后，将委托有关机构或组织专家组进行评审，形成评审意见，作为节能审查的重要依据。节能主管部门实施节能监督管理所需经费列入本行政机关的预算，由本级财政予以保障。</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为更好完成节能审查工作，建德市发展和改革局拟参照政府采购框架协议采购方式公开征集多家专业服务机构提供评审服务，框架协议有效期为框架协议签订之日起</w:t>
      </w:r>
      <w:r>
        <w:rPr>
          <w:rFonts w:hint="eastAsia" w:ascii="宋体" w:hAnsi="宋体" w:cs="宋体"/>
          <w:color w:val="auto"/>
          <w:kern w:val="0"/>
          <w:sz w:val="24"/>
          <w:highlight w:val="none"/>
          <w:lang w:eastAsia="zh-CN"/>
        </w:rPr>
        <w:t>二年</w:t>
      </w:r>
      <w:r>
        <w:rPr>
          <w:rFonts w:hint="eastAsia" w:ascii="宋体" w:hAnsi="宋体" w:eastAsia="宋体" w:cs="宋体"/>
          <w:color w:val="auto"/>
          <w:kern w:val="0"/>
          <w:sz w:val="24"/>
          <w:highlight w:val="none"/>
        </w:rPr>
        <w:t>，预算金额共计</w:t>
      </w:r>
      <w:r>
        <w:rPr>
          <w:rFonts w:hint="eastAsia" w:ascii="宋体" w:hAnsi="宋体" w:cs="宋体"/>
          <w:color w:val="auto"/>
          <w:kern w:val="0"/>
          <w:sz w:val="24"/>
          <w:highlight w:val="none"/>
          <w:lang w:val="en-US" w:eastAsia="zh-CN"/>
        </w:rPr>
        <w:t>80</w:t>
      </w:r>
      <w:r>
        <w:rPr>
          <w:rFonts w:hint="eastAsia" w:ascii="宋体" w:hAnsi="宋体" w:eastAsia="宋体" w:cs="宋体"/>
          <w:color w:val="auto"/>
          <w:kern w:val="0"/>
          <w:sz w:val="24"/>
          <w:highlight w:val="none"/>
        </w:rPr>
        <w:t>万元。框架协议有效期内评审项目预计</w:t>
      </w:r>
      <w:r>
        <w:rPr>
          <w:rFonts w:hint="eastAsia" w:ascii="宋体" w:hAnsi="宋体" w:cs="宋体"/>
          <w:color w:val="auto"/>
          <w:kern w:val="0"/>
          <w:sz w:val="24"/>
          <w:highlight w:val="none"/>
          <w:lang w:val="en-US" w:eastAsia="zh-CN"/>
        </w:rPr>
        <w:t>53</w:t>
      </w:r>
      <w:r>
        <w:rPr>
          <w:rFonts w:hint="eastAsia" w:ascii="宋体" w:hAnsi="宋体" w:eastAsia="宋体" w:cs="宋体"/>
          <w:color w:val="auto"/>
          <w:kern w:val="0"/>
          <w:sz w:val="24"/>
          <w:highlight w:val="none"/>
        </w:rPr>
        <w:t>个，具体以实际委托项目数量为准。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二、委托评审范围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年综合能源消费量</w:t>
      </w:r>
      <w:r>
        <w:rPr>
          <w:rFonts w:hint="eastAsia" w:ascii="宋体" w:hAnsi="宋体" w:cs="宋体"/>
          <w:color w:val="auto"/>
          <w:kern w:val="0"/>
          <w:sz w:val="24"/>
          <w:highlight w:val="none"/>
          <w:lang w:val="en-US" w:eastAsia="zh-CN"/>
        </w:rPr>
        <w:t>1000</w:t>
      </w:r>
      <w:r>
        <w:rPr>
          <w:rFonts w:hint="eastAsia" w:ascii="宋体" w:hAnsi="宋体" w:eastAsia="宋体" w:cs="宋体"/>
          <w:color w:val="auto"/>
          <w:kern w:val="0"/>
          <w:sz w:val="24"/>
          <w:highlight w:val="none"/>
        </w:rPr>
        <w:t>吨标准煤</w:t>
      </w:r>
      <w:r>
        <w:rPr>
          <w:rFonts w:hint="eastAsia" w:ascii="宋体" w:hAnsi="宋体" w:cs="宋体"/>
          <w:color w:val="auto"/>
          <w:kern w:val="0"/>
          <w:sz w:val="24"/>
          <w:highlight w:val="none"/>
          <w:lang w:val="en-US" w:eastAsia="zh-CN"/>
        </w:rPr>
        <w:t>（等价值）-5000吨标准煤（等价值）</w:t>
      </w:r>
      <w:r>
        <w:rPr>
          <w:rFonts w:hint="eastAsia" w:ascii="宋体" w:hAnsi="宋体" w:eastAsia="宋体" w:cs="宋体"/>
          <w:color w:val="auto"/>
          <w:kern w:val="0"/>
          <w:sz w:val="24"/>
          <w:highlight w:val="none"/>
        </w:rPr>
        <w:t>的固定资产投资项目节能报告。</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三、评审内容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（一）固定资产投资项目节能报告评审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（1）项目是否符合节能有关法律法规、标准规范、产业政策；</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（2）审核项目年综合能源消费量、单位工业增加值能耗；</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（3）审核项目主要用能设备、通用设备等的能效水平；</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（4）审核能耗平衡方案、煤炭消费减量及替代等方案的可行性、真实性和可操作性；</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（5）分析测算项目对能源消费总量和强度“双控”目标的影响；</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（6）分析节能措施是否合理可行，及相关意见、建议等。</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四、服务要求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接到评审任务单后7个工作日内对项目节能报告进行审查，形成专家评审意见，对改扩建等固定资产投资项目及腾出存量用能平衡方案还需开展现场踏勘，出具评审报告初稿。供应商收到项目建设单位修改后的节能报告后，3个工作日内对修改情况进行复核确认，提出节能审查意见，出具正式评审报告。</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2.成果要求：所有评审成果要求提供电子资料和纸质文档，出具正式评审报告后10个工作日内移交</w:t>
      </w:r>
      <w:r>
        <w:rPr>
          <w:rFonts w:hint="eastAsia" w:ascii="宋体" w:hAnsi="宋体" w:cs="宋体"/>
          <w:color w:val="auto"/>
          <w:kern w:val="0"/>
          <w:sz w:val="24"/>
          <w:highlight w:val="none"/>
          <w:lang w:val="en-US" w:eastAsia="zh-CN"/>
        </w:rPr>
        <w:t>采购单位</w:t>
      </w:r>
      <w:r>
        <w:rPr>
          <w:rFonts w:hint="eastAsia" w:ascii="宋体" w:hAnsi="宋体" w:eastAsia="宋体" w:cs="宋体"/>
          <w:color w:val="auto"/>
          <w:kern w:val="0"/>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五、拟派项目班子人员要求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负责人（1人）和项目组组长（1人）应具有能源工程、热能动力、电力系统、节能规划等能源相关专业副高级及以上的职称及节能报告编制或审查、项目报告评审的类似经验；项目组技术人员应具有节能报告编制或审查、项目报告评审的类似经验。</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班子人员一旦确定，除约定情况外人员不得随意变更，实际项目评审服务人员必须为名单之列。如符合情况需人员调整的，供应商应书面（加盖公章）报采购人同意，变更替换人员应为供应商单位在职人员（社保缴纳3个月及以上）且不低于被替换人员的技术职称、执业资格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服务期间，项目班子成员除下列情形外，项目班子成员不得变更：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（1）因离职、患病或其他人身意外等不可抗力导致无法从事服务工作的；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（2）因被行政主管部门责令停止执业资格、吊销相关证书及被有关部门依法追究刑事责任的；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（3）采购人认为履职不到位、工作存在严重失误，根据考核结果不符合要求的项目班子成员，供应商应按采购人要求进行项目组成员变更。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符合上述项目班子成员变更情形的，变更时应提供相应证明材料：劳动合同解除协议、医院证明材料、行政处罚决定书或法院判决书等。</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六、封闭式框架协议</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1.有效期为框架协议签订之日起</w:t>
      </w:r>
      <w:r>
        <w:rPr>
          <w:rFonts w:hint="eastAsia" w:ascii="宋体" w:hAnsi="宋体" w:cs="宋体"/>
          <w:color w:val="auto"/>
          <w:kern w:val="0"/>
          <w:sz w:val="24"/>
          <w:highlight w:val="none"/>
          <w:lang w:eastAsia="zh-CN"/>
        </w:rPr>
        <w:t>二年</w:t>
      </w:r>
      <w:r>
        <w:rPr>
          <w:rFonts w:hint="eastAsia" w:ascii="宋体" w:hAnsi="宋体" w:eastAsia="宋体" w:cs="宋体"/>
          <w:color w:val="auto"/>
          <w:kern w:val="0"/>
          <w:sz w:val="24"/>
          <w:highlight w:val="none"/>
        </w:rPr>
        <w:t>。在协议有效期内，入围供应商无正当理由，不得主动放弃入围资格或者退出框架协议。</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2.入围供应商数量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确定第一阶段入围供应商时，提交响应文件和符合资格条件、实质性要求的供应商应当均不少于3家，淘汰比例为20%。</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委员会按评审后汇总得分由高到低顺序排列。汇总得分相同的，汇总得分相同的，按照客观分得分由高到低顺序排列，客观分得分也相同的，由评标委员会投票表决确定排序。根据排序从后往前按比例淘汰单位（淘汰比例为进入排序单位数量的20%，四舍五入取整数），淘汰后剩余单位多于2家，按照排序先后选择2家单位。入围供应商数量：最多2家。如，第一阶段入围供应商3家，按20%的淘汰率，3*（1-20%）=2.4家，四舍五入取最终入围2家。</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3.第二阶段成交供应商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确定第二阶段成交供应商的方式为顺序轮候，原则上按入围供应商的综合得分高到低排序循环方式进行分配。</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入围供应商在每个轮候期内，只有一次获得委托评审任务的机会。除清退入围供应商和补充征集外，框架协议有效期内不得调整委托评审任务顺序。轮候单位出现需申请回避的情形的，该单位在本轮排序循环中跳过，本轮下一个项目再优先委托该单位。</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4.补充征集：若出现剩余入围供应商不足入围供应商总数70%且影响框架协议执行的情形，框架协议有效期内，征集人将补充征集供应商，补充征集最多1次。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七、入围供应商监督管理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1.建德市发展和改革局机关党委负责受理对委托评审工作的举报、投诉，负责进行检查核实，</w:t>
      </w:r>
      <w:r>
        <w:rPr>
          <w:rFonts w:hint="eastAsia" w:ascii="宋体" w:hAnsi="宋体" w:cs="宋体"/>
          <w:color w:val="auto"/>
          <w:kern w:val="0"/>
          <w:sz w:val="24"/>
          <w:highlight w:val="none"/>
          <w:lang w:eastAsia="zh-CN"/>
        </w:rPr>
        <w:t>做出</w:t>
      </w:r>
      <w:r>
        <w:rPr>
          <w:rFonts w:hint="eastAsia" w:ascii="宋体" w:hAnsi="宋体" w:eastAsia="宋体" w:cs="宋体"/>
          <w:color w:val="auto"/>
          <w:kern w:val="0"/>
          <w:sz w:val="24"/>
          <w:highlight w:val="none"/>
        </w:rPr>
        <w:t>相应处理。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应当对节能报告和项目情况进行严格审核，对审核结果的公正性、合法性、真实性、准确性终身负责。在节能验收、节能监察评估等环节发现节能审查意见与实际情况偏差较大的，终止评审任务，并解除框架协议。</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3.供应商出现评审意见重大失误或质量低劣，验收不合格，未在规定时限内完成评审任务，以及其他违反国家法律法规行为，依据情节轻重采取警告整改</w:t>
      </w:r>
      <w:r>
        <w:rPr>
          <w:rFonts w:hint="eastAsia" w:ascii="宋体" w:hAnsi="宋体" w:cs="宋体"/>
          <w:color w:val="auto"/>
          <w:kern w:val="0"/>
          <w:sz w:val="24"/>
          <w:highlight w:val="none"/>
          <w:lang w:eastAsia="zh-CN"/>
        </w:rPr>
        <w:t>直至</w:t>
      </w:r>
      <w:r>
        <w:rPr>
          <w:rFonts w:hint="eastAsia" w:ascii="宋体" w:hAnsi="宋体" w:eastAsia="宋体" w:cs="宋体"/>
          <w:color w:val="auto"/>
          <w:kern w:val="0"/>
          <w:sz w:val="24"/>
          <w:highlight w:val="none"/>
        </w:rPr>
        <w:t>解除框架协议等处罚措施。</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4.建德市发展和改革局每年对当年审查项目进行抽查，抽查比例不少于10%，评审机构存在违规问题或评审质量不合格的，解除框架协议，问题严重的实施信用惩戒。</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评审机构（入围供应商）无特殊原因不得拒绝委托评审任务，确因特殊原因不能承接的，在接到评审任务单后1个工作日内出具书面说明材料（加盖公章），逾期不出具书面说明材料的按拒绝委托评审任务处理。因特殊原因不能承接超过3个月的，解除框架协议。</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6.评审机构与所承接的评审任务有下列情况之一的应当主动书面申请回避，书面申请回避的不按拒绝委托评审任务处理：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（1）评审机构为委托评审项目的编制单位；</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（2）评审机构与委托评审项目的编制单位、项目业主单位之间存在控股、管理关系；</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（3）评审机构与委托项目编制单位、项目业主单位有利害关系；</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eastAsia="zh-CN"/>
        </w:rPr>
        <w:t>其他</w:t>
      </w:r>
      <w:r>
        <w:rPr>
          <w:rFonts w:hint="eastAsia" w:ascii="宋体" w:hAnsi="宋体" w:eastAsia="宋体" w:cs="宋体"/>
          <w:color w:val="auto"/>
          <w:kern w:val="0"/>
          <w:sz w:val="24"/>
          <w:highlight w:val="none"/>
        </w:rPr>
        <w:t>需回避的情形。</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八、商务、履约要求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（一）响应报价</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响应报价以单个项目固定报价方式，不因项目规模等因素调整。报价包括但不限于人工费、差旅费、交通费、会议组织费（包括但不限于场地租赁费、物料制作费、专家评审费）、打印费、企业管理费、利润、采购代理服务费、税金等。框架协议有效期内，投标人根据项目个数按实结算。</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2.响应最高限制价：1.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万元/个。</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（二）协议价款及支付方式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1.价格形式：固定价格。</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2.支付方式：</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rPr>
        <w:t>将分别于6月底、11月底和框架协议有效期内委托的项目全部结束验收后，统计各入围单位委托项目完成数量，按入围单价按实结算，乙方开具正式发票，甲方自收到乙方发票后15个工作日内支付结算价的100%。协议有效期截止时间前已委托，但由于财政关账等原因未支付的项目，于下一年度支付。</w:t>
      </w:r>
    </w:p>
    <w:p>
      <w:pPr>
        <w:snapToGrid w:val="0"/>
        <w:spacing w:line="360" w:lineRule="auto"/>
        <w:jc w:val="center"/>
        <w:outlineLvl w:val="0"/>
        <w:rPr>
          <w:rFonts w:hint="eastAsia" w:ascii="宋体" w:hAnsi="宋体" w:eastAsia="宋体" w:cs="宋体"/>
          <w:b/>
          <w:color w:val="auto"/>
          <w:sz w:val="24"/>
          <w:highlight w:val="none"/>
        </w:rPr>
      </w:pPr>
      <w:bookmarkStart w:id="42" w:name="_Toc13398"/>
      <w:bookmarkStart w:id="43" w:name="_Toc26722"/>
      <w:bookmarkStart w:id="44" w:name="_Toc24799"/>
      <w:bookmarkStart w:id="45" w:name="_Toc6657"/>
      <w:bookmarkStart w:id="46" w:name="_Toc22598"/>
    </w:p>
    <w:p>
      <w:pPr>
        <w:pStyle w:val="2"/>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pStyle w:val="2"/>
        <w:rPr>
          <w:rFonts w:hint="eastAsia"/>
        </w:rPr>
      </w:pPr>
    </w:p>
    <w:p>
      <w:pPr>
        <w:rPr>
          <w:rFonts w:hint="eastAsia" w:ascii="宋体" w:hAnsi="宋体" w:eastAsia="宋体" w:cs="宋体"/>
          <w:color w:val="auto"/>
          <w:sz w:val="24"/>
          <w:highlight w:val="none"/>
        </w:rPr>
      </w:pPr>
    </w:p>
    <w:p>
      <w:pPr>
        <w:snapToGrid w:val="0"/>
        <w:spacing w:line="360" w:lineRule="auto"/>
        <w:jc w:val="center"/>
        <w:outlineLvl w:val="0"/>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第四部分</w:t>
      </w:r>
      <w:bookmarkStart w:id="47" w:name="_Toc184314468"/>
      <w:bookmarkEnd w:id="47"/>
      <w:bookmarkStart w:id="48" w:name="_Toc184310295"/>
      <w:bookmarkEnd w:id="48"/>
      <w:bookmarkStart w:id="49" w:name="_Toc184313247"/>
      <w:bookmarkEnd w:id="49"/>
      <w:bookmarkStart w:id="50" w:name="_Toc184313304"/>
      <w:bookmarkEnd w:id="50"/>
      <w:bookmarkStart w:id="51" w:name="_Toc184312135"/>
      <w:bookmarkEnd w:id="51"/>
      <w:bookmarkStart w:id="52" w:name="_Toc184308049"/>
      <w:bookmarkEnd w:id="52"/>
      <w:bookmarkStart w:id="53" w:name="_Toc184310320"/>
      <w:bookmarkEnd w:id="53"/>
      <w:bookmarkStart w:id="54" w:name="_Toc184308065"/>
      <w:bookmarkEnd w:id="54"/>
      <w:bookmarkStart w:id="55" w:name="_Toc184314471"/>
      <w:bookmarkEnd w:id="55"/>
      <w:bookmarkStart w:id="56" w:name="_Toc184314459"/>
      <w:bookmarkEnd w:id="56"/>
      <w:bookmarkStart w:id="57" w:name="_Toc184308074"/>
      <w:bookmarkEnd w:id="57"/>
      <w:bookmarkStart w:id="58" w:name="_Toc184310287"/>
      <w:bookmarkEnd w:id="58"/>
      <w:bookmarkStart w:id="59" w:name="_Toc184308051"/>
      <w:bookmarkEnd w:id="59"/>
      <w:bookmarkStart w:id="60" w:name="_Toc184308102"/>
      <w:bookmarkEnd w:id="60"/>
      <w:bookmarkStart w:id="61" w:name="_Toc184312129"/>
      <w:bookmarkEnd w:id="61"/>
      <w:bookmarkStart w:id="62" w:name="_Toc184310309"/>
      <w:bookmarkEnd w:id="62"/>
      <w:bookmarkStart w:id="63" w:name="_Toc184308097"/>
      <w:bookmarkEnd w:id="63"/>
      <w:bookmarkStart w:id="64" w:name="_Toc184310318"/>
      <w:bookmarkEnd w:id="64"/>
      <w:bookmarkStart w:id="65" w:name="_Toc184314472"/>
      <w:bookmarkEnd w:id="65"/>
      <w:bookmarkStart w:id="66" w:name="_Toc184310310"/>
      <w:bookmarkEnd w:id="66"/>
      <w:bookmarkStart w:id="67" w:name="_Toc184308061"/>
      <w:bookmarkEnd w:id="67"/>
      <w:bookmarkStart w:id="68" w:name="_Toc184313241"/>
      <w:bookmarkEnd w:id="68"/>
      <w:bookmarkStart w:id="69" w:name="_Toc184313258"/>
      <w:bookmarkEnd w:id="69"/>
      <w:bookmarkStart w:id="70" w:name="_Toc184314475"/>
      <w:bookmarkEnd w:id="70"/>
      <w:bookmarkStart w:id="71" w:name="_Toc184314458"/>
      <w:bookmarkEnd w:id="71"/>
      <w:bookmarkStart w:id="72" w:name="_Toc184312094"/>
      <w:bookmarkEnd w:id="72"/>
      <w:bookmarkStart w:id="73" w:name="_Toc184308064"/>
      <w:bookmarkEnd w:id="73"/>
      <w:bookmarkStart w:id="74" w:name="_Toc184308073"/>
      <w:bookmarkEnd w:id="74"/>
      <w:bookmarkStart w:id="75" w:name="_Toc184312098"/>
      <w:bookmarkEnd w:id="75"/>
      <w:bookmarkStart w:id="76" w:name="_Toc184314455"/>
      <w:bookmarkEnd w:id="76"/>
      <w:bookmarkStart w:id="77" w:name="_Toc184314474"/>
      <w:bookmarkEnd w:id="77"/>
      <w:bookmarkStart w:id="78" w:name="_Toc184314478"/>
      <w:bookmarkEnd w:id="78"/>
      <w:bookmarkStart w:id="79" w:name="_Toc184310321"/>
      <w:bookmarkEnd w:id="79"/>
      <w:bookmarkStart w:id="80" w:name="_Toc184313290"/>
      <w:bookmarkEnd w:id="80"/>
      <w:bookmarkStart w:id="81" w:name="_Toc184308072"/>
      <w:bookmarkEnd w:id="81"/>
      <w:bookmarkStart w:id="82" w:name="_Toc184312133"/>
      <w:bookmarkEnd w:id="82"/>
      <w:bookmarkStart w:id="83" w:name="_Toc184313263"/>
      <w:bookmarkEnd w:id="83"/>
      <w:bookmarkStart w:id="84" w:name="_Toc184314462"/>
      <w:bookmarkEnd w:id="84"/>
      <w:bookmarkStart w:id="85" w:name="_Toc184310296"/>
      <w:bookmarkEnd w:id="85"/>
      <w:bookmarkStart w:id="86" w:name="_Toc184312132"/>
      <w:bookmarkEnd w:id="86"/>
      <w:bookmarkStart w:id="87" w:name="_Toc184314463"/>
      <w:bookmarkEnd w:id="87"/>
      <w:bookmarkStart w:id="88" w:name="_Toc184313292"/>
      <w:bookmarkEnd w:id="88"/>
      <w:bookmarkStart w:id="89" w:name="_Toc184313273"/>
      <w:bookmarkEnd w:id="89"/>
      <w:bookmarkStart w:id="90" w:name="_Toc184308094"/>
      <w:bookmarkEnd w:id="90"/>
      <w:bookmarkStart w:id="91" w:name="_Toc184313282"/>
      <w:bookmarkEnd w:id="91"/>
      <w:bookmarkStart w:id="92" w:name="_Toc184314454"/>
      <w:bookmarkEnd w:id="92"/>
      <w:bookmarkStart w:id="93" w:name="_Toc184310307"/>
      <w:bookmarkEnd w:id="93"/>
      <w:bookmarkStart w:id="94" w:name="_Toc184312119"/>
      <w:bookmarkEnd w:id="94"/>
      <w:bookmarkStart w:id="95" w:name="_Toc184314433"/>
      <w:bookmarkEnd w:id="95"/>
      <w:bookmarkStart w:id="96" w:name="_Toc184312068"/>
      <w:bookmarkEnd w:id="96"/>
      <w:bookmarkStart w:id="97" w:name="_Toc184314451"/>
      <w:bookmarkEnd w:id="97"/>
      <w:bookmarkStart w:id="98" w:name="_Toc184314460"/>
      <w:bookmarkEnd w:id="98"/>
      <w:bookmarkStart w:id="99" w:name="_Toc184314411"/>
      <w:bookmarkEnd w:id="99"/>
      <w:bookmarkStart w:id="100" w:name="_Toc184308080"/>
      <w:bookmarkEnd w:id="100"/>
      <w:bookmarkStart w:id="101" w:name="_Toc184310324"/>
      <w:bookmarkEnd w:id="101"/>
      <w:bookmarkStart w:id="102" w:name="_Toc184308055"/>
      <w:bookmarkEnd w:id="102"/>
      <w:bookmarkStart w:id="103" w:name="_Toc184313269"/>
      <w:bookmarkEnd w:id="103"/>
      <w:bookmarkStart w:id="104" w:name="_Toc184314434"/>
      <w:bookmarkEnd w:id="104"/>
      <w:bookmarkStart w:id="105" w:name="_Toc184314480"/>
      <w:bookmarkEnd w:id="105"/>
      <w:bookmarkStart w:id="106" w:name="_Toc184314441"/>
      <w:bookmarkEnd w:id="106"/>
      <w:bookmarkStart w:id="107" w:name="_Toc184310328"/>
      <w:bookmarkEnd w:id="107"/>
      <w:bookmarkStart w:id="108" w:name="_Toc184314415"/>
      <w:bookmarkEnd w:id="108"/>
      <w:bookmarkStart w:id="109" w:name="_Toc184313270"/>
      <w:bookmarkEnd w:id="109"/>
      <w:bookmarkStart w:id="110" w:name="_Toc184310323"/>
      <w:bookmarkEnd w:id="110"/>
      <w:bookmarkStart w:id="111" w:name="_Toc184308101"/>
      <w:bookmarkEnd w:id="111"/>
      <w:bookmarkStart w:id="112" w:name="_Toc184310275"/>
      <w:bookmarkEnd w:id="112"/>
      <w:bookmarkStart w:id="113" w:name="_Toc184312095"/>
      <w:bookmarkEnd w:id="113"/>
      <w:bookmarkStart w:id="114" w:name="_Toc184310313"/>
      <w:bookmarkEnd w:id="114"/>
      <w:bookmarkStart w:id="115" w:name="_Toc184310290"/>
      <w:bookmarkEnd w:id="115"/>
      <w:bookmarkStart w:id="116" w:name="_Toc184310288"/>
      <w:bookmarkEnd w:id="116"/>
      <w:bookmarkStart w:id="117" w:name="_Toc184314430"/>
      <w:bookmarkEnd w:id="117"/>
      <w:bookmarkStart w:id="118" w:name="_Toc184313268"/>
      <w:bookmarkEnd w:id="118"/>
      <w:bookmarkStart w:id="119" w:name="_Toc184308037"/>
      <w:bookmarkEnd w:id="119"/>
      <w:bookmarkStart w:id="120" w:name="_Toc184308050"/>
      <w:bookmarkEnd w:id="120"/>
      <w:bookmarkStart w:id="121" w:name="_Toc184314453"/>
      <w:bookmarkEnd w:id="121"/>
      <w:bookmarkStart w:id="122" w:name="_Toc184308092"/>
      <w:bookmarkEnd w:id="122"/>
      <w:bookmarkStart w:id="123" w:name="_Toc184314418"/>
      <w:bookmarkEnd w:id="123"/>
      <w:bookmarkStart w:id="124" w:name="_Toc184308044"/>
      <w:bookmarkEnd w:id="124"/>
      <w:bookmarkStart w:id="125" w:name="_Toc184314422"/>
      <w:bookmarkEnd w:id="125"/>
      <w:bookmarkStart w:id="126" w:name="_Toc184312105"/>
      <w:bookmarkEnd w:id="126"/>
      <w:bookmarkStart w:id="127" w:name="_Toc184310306"/>
      <w:bookmarkEnd w:id="127"/>
      <w:bookmarkStart w:id="128" w:name="_Toc184308040"/>
      <w:bookmarkEnd w:id="128"/>
      <w:bookmarkStart w:id="129" w:name="_Toc184308053"/>
      <w:bookmarkEnd w:id="129"/>
      <w:bookmarkStart w:id="130" w:name="_Toc184314479"/>
      <w:bookmarkEnd w:id="130"/>
      <w:bookmarkStart w:id="131" w:name="_Toc184313272"/>
      <w:bookmarkEnd w:id="131"/>
      <w:bookmarkStart w:id="132" w:name="_Toc184310298"/>
      <w:bookmarkEnd w:id="132"/>
      <w:bookmarkStart w:id="133" w:name="_Toc184314448"/>
      <w:bookmarkEnd w:id="133"/>
      <w:bookmarkStart w:id="134" w:name="_Toc184312113"/>
      <w:bookmarkEnd w:id="134"/>
      <w:bookmarkStart w:id="135" w:name="_Toc184308056"/>
      <w:bookmarkEnd w:id="135"/>
      <w:bookmarkStart w:id="136" w:name="_Toc184310274"/>
      <w:bookmarkEnd w:id="136"/>
      <w:bookmarkStart w:id="137" w:name="_Toc184312127"/>
      <w:bookmarkEnd w:id="137"/>
      <w:bookmarkStart w:id="138" w:name="_Toc184312069"/>
      <w:bookmarkEnd w:id="138"/>
      <w:bookmarkStart w:id="139" w:name="_Toc184312123"/>
      <w:bookmarkEnd w:id="139"/>
      <w:bookmarkStart w:id="140" w:name="_Toc184310289"/>
      <w:bookmarkEnd w:id="140"/>
      <w:bookmarkStart w:id="141" w:name="_Toc184313266"/>
      <w:bookmarkEnd w:id="141"/>
      <w:bookmarkStart w:id="142" w:name="_Toc184314440"/>
      <w:bookmarkEnd w:id="142"/>
      <w:bookmarkStart w:id="143" w:name="_Toc184313244"/>
      <w:bookmarkEnd w:id="143"/>
      <w:bookmarkStart w:id="144" w:name="_Toc184308090"/>
      <w:bookmarkEnd w:id="144"/>
      <w:bookmarkStart w:id="145" w:name="_Toc184314443"/>
      <w:bookmarkEnd w:id="145"/>
      <w:bookmarkStart w:id="146" w:name="_Toc184314469"/>
      <w:bookmarkEnd w:id="146"/>
      <w:bookmarkStart w:id="147" w:name="_Toc184308059"/>
      <w:bookmarkEnd w:id="147"/>
      <w:bookmarkStart w:id="148" w:name="_Toc184310276"/>
      <w:bookmarkEnd w:id="148"/>
      <w:bookmarkStart w:id="149" w:name="_Toc184313309"/>
      <w:bookmarkEnd w:id="149"/>
      <w:bookmarkStart w:id="150" w:name="_Toc184310277"/>
      <w:bookmarkEnd w:id="150"/>
      <w:bookmarkStart w:id="151" w:name="_Toc184312125"/>
      <w:bookmarkEnd w:id="151"/>
      <w:bookmarkStart w:id="152" w:name="_Toc184313306"/>
      <w:bookmarkEnd w:id="152"/>
      <w:bookmarkStart w:id="153" w:name="_Toc184308098"/>
      <w:bookmarkEnd w:id="153"/>
      <w:bookmarkStart w:id="154" w:name="_Toc184314482"/>
      <w:bookmarkEnd w:id="154"/>
      <w:bookmarkStart w:id="155" w:name="_Toc184310331"/>
      <w:bookmarkEnd w:id="155"/>
      <w:bookmarkStart w:id="156" w:name="_Toc184308069"/>
      <w:bookmarkEnd w:id="156"/>
      <w:bookmarkStart w:id="157" w:name="_Toc184312122"/>
      <w:bookmarkEnd w:id="157"/>
      <w:bookmarkStart w:id="158" w:name="_Toc184310285"/>
      <w:bookmarkEnd w:id="158"/>
      <w:bookmarkStart w:id="159" w:name="_Toc184313260"/>
      <w:bookmarkEnd w:id="159"/>
      <w:bookmarkStart w:id="160" w:name="_Toc184312101"/>
      <w:bookmarkEnd w:id="160"/>
      <w:bookmarkStart w:id="161" w:name="_Toc184308093"/>
      <w:bookmarkEnd w:id="161"/>
      <w:bookmarkStart w:id="162" w:name="_Toc184313296"/>
      <w:bookmarkEnd w:id="162"/>
      <w:bookmarkStart w:id="163" w:name="_Toc184313284"/>
      <w:bookmarkEnd w:id="163"/>
      <w:bookmarkStart w:id="164" w:name="_Toc184312100"/>
      <w:bookmarkEnd w:id="164"/>
      <w:bookmarkStart w:id="165" w:name="_Toc184313300"/>
      <w:bookmarkEnd w:id="165"/>
      <w:bookmarkStart w:id="166" w:name="_Toc184312088"/>
      <w:bookmarkEnd w:id="166"/>
      <w:bookmarkStart w:id="167" w:name="_Toc184310308"/>
      <w:bookmarkEnd w:id="167"/>
      <w:bookmarkStart w:id="168" w:name="_Toc184310305"/>
      <w:bookmarkEnd w:id="168"/>
      <w:bookmarkStart w:id="169" w:name="_Toc184310330"/>
      <w:bookmarkEnd w:id="169"/>
      <w:bookmarkStart w:id="170" w:name="_Toc184310291"/>
      <w:bookmarkEnd w:id="170"/>
      <w:bookmarkStart w:id="171" w:name="_Toc184308085"/>
      <w:bookmarkEnd w:id="171"/>
      <w:bookmarkStart w:id="172" w:name="_Toc184312106"/>
      <w:bookmarkEnd w:id="172"/>
      <w:bookmarkStart w:id="173" w:name="_Toc184312116"/>
      <w:bookmarkEnd w:id="173"/>
      <w:bookmarkStart w:id="174" w:name="_Toc184313278"/>
      <w:bookmarkEnd w:id="174"/>
      <w:bookmarkStart w:id="175" w:name="_Toc184314445"/>
      <w:bookmarkEnd w:id="175"/>
      <w:bookmarkStart w:id="176" w:name="_Toc184312079"/>
      <w:bookmarkEnd w:id="176"/>
      <w:bookmarkStart w:id="177" w:name="_Toc184312130"/>
      <w:bookmarkEnd w:id="177"/>
      <w:bookmarkStart w:id="178" w:name="_Toc184312092"/>
      <w:bookmarkEnd w:id="178"/>
      <w:bookmarkStart w:id="179" w:name="_Toc184313293"/>
      <w:bookmarkEnd w:id="179"/>
      <w:bookmarkStart w:id="180" w:name="_Toc184313240"/>
      <w:bookmarkEnd w:id="180"/>
      <w:bookmarkStart w:id="181" w:name="_Toc184312084"/>
      <w:bookmarkEnd w:id="181"/>
      <w:bookmarkStart w:id="182" w:name="_Toc184312110"/>
      <w:bookmarkEnd w:id="182"/>
      <w:bookmarkStart w:id="183" w:name="_Toc184308106"/>
      <w:bookmarkEnd w:id="183"/>
      <w:bookmarkStart w:id="184" w:name="_Toc184310340"/>
      <w:bookmarkEnd w:id="184"/>
      <w:bookmarkStart w:id="185" w:name="_Toc184312124"/>
      <w:bookmarkEnd w:id="185"/>
      <w:bookmarkStart w:id="186" w:name="_Toc184308075"/>
      <w:bookmarkEnd w:id="186"/>
      <w:bookmarkStart w:id="187" w:name="_Toc184314461"/>
      <w:bookmarkEnd w:id="187"/>
      <w:bookmarkStart w:id="188" w:name="_Toc184312131"/>
      <w:bookmarkEnd w:id="188"/>
      <w:bookmarkStart w:id="189" w:name="_Toc184312134"/>
      <w:bookmarkEnd w:id="189"/>
      <w:bookmarkStart w:id="190" w:name="_Toc184314428"/>
      <w:bookmarkEnd w:id="190"/>
      <w:bookmarkStart w:id="191" w:name="_Toc184308105"/>
      <w:bookmarkEnd w:id="191"/>
      <w:bookmarkStart w:id="192" w:name="_Toc184313280"/>
      <w:bookmarkEnd w:id="192"/>
      <w:bookmarkStart w:id="193" w:name="_Toc184314457"/>
      <w:bookmarkEnd w:id="193"/>
      <w:bookmarkStart w:id="194" w:name="_Toc184308082"/>
      <w:bookmarkEnd w:id="194"/>
      <w:bookmarkStart w:id="195" w:name="_Toc184314444"/>
      <w:bookmarkEnd w:id="195"/>
      <w:bookmarkStart w:id="196" w:name="_Toc184312089"/>
      <w:bookmarkEnd w:id="196"/>
      <w:bookmarkStart w:id="197" w:name="_Toc184313295"/>
      <w:bookmarkEnd w:id="197"/>
      <w:bookmarkStart w:id="198" w:name="_Toc184314412"/>
      <w:bookmarkEnd w:id="198"/>
      <w:bookmarkStart w:id="199" w:name="_Toc184308091"/>
      <w:bookmarkEnd w:id="199"/>
      <w:bookmarkStart w:id="200" w:name="_Toc184310303"/>
      <w:bookmarkEnd w:id="200"/>
      <w:bookmarkStart w:id="201" w:name="_Toc184308066"/>
      <w:bookmarkEnd w:id="201"/>
      <w:bookmarkStart w:id="202" w:name="_Toc184313301"/>
      <w:bookmarkEnd w:id="202"/>
      <w:bookmarkStart w:id="203" w:name="_Toc184308089"/>
      <w:bookmarkEnd w:id="203"/>
      <w:bookmarkStart w:id="204" w:name="_Toc184314450"/>
      <w:bookmarkEnd w:id="204"/>
      <w:bookmarkStart w:id="205" w:name="_Toc184314466"/>
      <w:bookmarkEnd w:id="205"/>
      <w:bookmarkStart w:id="206" w:name="_Toc184313276"/>
      <w:bookmarkEnd w:id="206"/>
      <w:bookmarkStart w:id="207" w:name="_Toc184310336"/>
      <w:bookmarkEnd w:id="207"/>
      <w:bookmarkStart w:id="208" w:name="_Toc184312117"/>
      <w:bookmarkEnd w:id="208"/>
      <w:bookmarkStart w:id="209" w:name="_Toc184312071"/>
      <w:bookmarkEnd w:id="209"/>
      <w:bookmarkStart w:id="210" w:name="_Toc184314446"/>
      <w:bookmarkEnd w:id="210"/>
      <w:bookmarkStart w:id="211" w:name="_Toc184313251"/>
      <w:bookmarkEnd w:id="211"/>
      <w:bookmarkStart w:id="212" w:name="_Toc184313279"/>
      <w:bookmarkEnd w:id="212"/>
      <w:bookmarkStart w:id="213" w:name="_Toc184313281"/>
      <w:bookmarkEnd w:id="213"/>
      <w:bookmarkStart w:id="214" w:name="_Toc184312107"/>
      <w:bookmarkEnd w:id="214"/>
      <w:bookmarkStart w:id="215" w:name="_Toc184308052"/>
      <w:bookmarkEnd w:id="215"/>
      <w:bookmarkStart w:id="216" w:name="_Toc184308077"/>
      <w:bookmarkEnd w:id="216"/>
      <w:bookmarkStart w:id="217" w:name="_Toc184313261"/>
      <w:bookmarkEnd w:id="217"/>
      <w:bookmarkStart w:id="218" w:name="_Toc184312121"/>
      <w:bookmarkEnd w:id="218"/>
      <w:bookmarkStart w:id="219" w:name="_Toc184313294"/>
      <w:bookmarkEnd w:id="219"/>
      <w:bookmarkStart w:id="220" w:name="_Toc184312070"/>
      <w:bookmarkEnd w:id="220"/>
      <w:bookmarkStart w:id="221" w:name="_Toc184313242"/>
      <w:bookmarkEnd w:id="221"/>
      <w:bookmarkStart w:id="222" w:name="_Toc184310333"/>
      <w:bookmarkEnd w:id="222"/>
      <w:bookmarkStart w:id="223" w:name="_Toc184313245"/>
      <w:bookmarkEnd w:id="223"/>
      <w:bookmarkStart w:id="224" w:name="_Toc184310322"/>
      <w:bookmarkEnd w:id="224"/>
      <w:bookmarkStart w:id="225" w:name="_Toc184308095"/>
      <w:bookmarkEnd w:id="225"/>
      <w:bookmarkStart w:id="226" w:name="_Toc184310332"/>
      <w:bookmarkEnd w:id="226"/>
      <w:bookmarkStart w:id="227" w:name="_Toc184314410"/>
      <w:bookmarkEnd w:id="227"/>
      <w:bookmarkStart w:id="228" w:name="_Toc184314437"/>
      <w:bookmarkEnd w:id="228"/>
      <w:bookmarkStart w:id="229" w:name="_Toc184308099"/>
      <w:bookmarkEnd w:id="229"/>
      <w:bookmarkStart w:id="230" w:name="_Toc184312137"/>
      <w:bookmarkEnd w:id="230"/>
      <w:bookmarkStart w:id="231" w:name="_Toc184310301"/>
      <w:bookmarkEnd w:id="231"/>
      <w:bookmarkStart w:id="232" w:name="_Toc184308088"/>
      <w:bookmarkEnd w:id="232"/>
      <w:bookmarkStart w:id="233" w:name="_Toc184313275"/>
      <w:bookmarkEnd w:id="233"/>
      <w:bookmarkStart w:id="234" w:name="_Toc184312080"/>
      <w:bookmarkEnd w:id="234"/>
      <w:bookmarkStart w:id="235" w:name="_Toc184308076"/>
      <w:bookmarkEnd w:id="235"/>
      <w:bookmarkStart w:id="236" w:name="_Toc184310337"/>
      <w:bookmarkEnd w:id="236"/>
      <w:bookmarkStart w:id="237" w:name="_Toc184312074"/>
      <w:bookmarkEnd w:id="237"/>
      <w:bookmarkStart w:id="238" w:name="_Toc184313277"/>
      <w:bookmarkEnd w:id="238"/>
      <w:bookmarkStart w:id="239" w:name="_Toc184308041"/>
      <w:bookmarkEnd w:id="239"/>
      <w:bookmarkStart w:id="240" w:name="_Toc184308062"/>
      <w:bookmarkEnd w:id="240"/>
      <w:bookmarkStart w:id="241" w:name="_Toc184312085"/>
      <w:bookmarkEnd w:id="241"/>
      <w:bookmarkStart w:id="242" w:name="_Toc184308042"/>
      <w:bookmarkEnd w:id="242"/>
      <w:bookmarkStart w:id="243" w:name="_Toc184310282"/>
      <w:bookmarkEnd w:id="243"/>
      <w:bookmarkStart w:id="244" w:name="_Toc184313253"/>
      <w:bookmarkEnd w:id="244"/>
      <w:bookmarkStart w:id="245" w:name="_Toc184310334"/>
      <w:bookmarkEnd w:id="245"/>
      <w:bookmarkStart w:id="246" w:name="_Toc184314431"/>
      <w:bookmarkEnd w:id="246"/>
      <w:bookmarkStart w:id="247" w:name="_Toc184310279"/>
      <w:bookmarkEnd w:id="247"/>
      <w:bookmarkStart w:id="248" w:name="_Toc184313271"/>
      <w:bookmarkEnd w:id="248"/>
      <w:bookmarkStart w:id="249" w:name="_Toc184308058"/>
      <w:bookmarkEnd w:id="249"/>
      <w:bookmarkStart w:id="250" w:name="_Toc184308107"/>
      <w:bookmarkEnd w:id="250"/>
      <w:bookmarkStart w:id="251" w:name="_Toc184308047"/>
      <w:bookmarkEnd w:id="251"/>
      <w:bookmarkStart w:id="252" w:name="_Toc184313246"/>
      <w:bookmarkEnd w:id="252"/>
      <w:bookmarkStart w:id="253" w:name="_Toc184310335"/>
      <w:bookmarkEnd w:id="253"/>
      <w:bookmarkStart w:id="254" w:name="_Toc184310284"/>
      <w:bookmarkEnd w:id="254"/>
      <w:bookmarkStart w:id="255" w:name="_Toc184313308"/>
      <w:bookmarkEnd w:id="255"/>
      <w:bookmarkStart w:id="256" w:name="_Toc184314426"/>
      <w:bookmarkEnd w:id="256"/>
      <w:bookmarkStart w:id="257" w:name="_Toc184313249"/>
      <w:bookmarkEnd w:id="257"/>
      <w:bookmarkStart w:id="258" w:name="_Toc184314425"/>
      <w:bookmarkEnd w:id="258"/>
      <w:bookmarkStart w:id="259" w:name="_Toc184310281"/>
      <w:bookmarkEnd w:id="259"/>
      <w:bookmarkStart w:id="260" w:name="_Toc184314421"/>
      <w:bookmarkEnd w:id="260"/>
      <w:bookmarkStart w:id="261" w:name="_Toc184310286"/>
      <w:bookmarkEnd w:id="261"/>
      <w:bookmarkStart w:id="262" w:name="_Toc184313238"/>
      <w:bookmarkEnd w:id="262"/>
      <w:bookmarkStart w:id="263" w:name="_Toc184308084"/>
      <w:bookmarkEnd w:id="263"/>
      <w:bookmarkStart w:id="264" w:name="_Toc184312109"/>
      <w:bookmarkEnd w:id="264"/>
      <w:bookmarkStart w:id="265" w:name="_Toc184313287"/>
      <w:bookmarkEnd w:id="265"/>
      <w:bookmarkStart w:id="266" w:name="_Toc184308079"/>
      <w:bookmarkEnd w:id="266"/>
      <w:bookmarkStart w:id="267" w:name="_Toc184313307"/>
      <w:bookmarkEnd w:id="267"/>
      <w:bookmarkStart w:id="268" w:name="_Toc184308070"/>
      <w:bookmarkEnd w:id="268"/>
      <w:bookmarkStart w:id="269" w:name="_Toc184312096"/>
      <w:bookmarkEnd w:id="269"/>
      <w:bookmarkStart w:id="270" w:name="_Toc184310302"/>
      <w:bookmarkEnd w:id="270"/>
      <w:bookmarkStart w:id="271" w:name="_Toc184312083"/>
      <w:bookmarkEnd w:id="271"/>
      <w:bookmarkStart w:id="272" w:name="_Toc184310273"/>
      <w:bookmarkEnd w:id="272"/>
      <w:bookmarkStart w:id="273" w:name="_Toc184314413"/>
      <w:bookmarkEnd w:id="273"/>
      <w:bookmarkStart w:id="274" w:name="_Toc184312099"/>
      <w:bookmarkEnd w:id="274"/>
      <w:bookmarkStart w:id="275" w:name="_Toc184312103"/>
      <w:bookmarkEnd w:id="275"/>
      <w:bookmarkStart w:id="276" w:name="_Toc184310326"/>
      <w:bookmarkEnd w:id="276"/>
      <w:bookmarkStart w:id="277" w:name="_Toc184314432"/>
      <w:bookmarkEnd w:id="277"/>
      <w:bookmarkStart w:id="278" w:name="_Toc184313288"/>
      <w:bookmarkEnd w:id="278"/>
      <w:bookmarkStart w:id="279" w:name="_Toc184313274"/>
      <w:bookmarkEnd w:id="279"/>
      <w:bookmarkStart w:id="280" w:name="_Toc184308108"/>
      <w:bookmarkEnd w:id="280"/>
      <w:bookmarkStart w:id="281" w:name="_Toc184308060"/>
      <w:bookmarkEnd w:id="281"/>
      <w:bookmarkStart w:id="282" w:name="_Toc184313239"/>
      <w:bookmarkEnd w:id="282"/>
      <w:bookmarkStart w:id="283" w:name="_Toc184310344"/>
      <w:bookmarkEnd w:id="283"/>
      <w:bookmarkStart w:id="284" w:name="_Toc184310278"/>
      <w:bookmarkEnd w:id="284"/>
      <w:bookmarkStart w:id="285" w:name="_Toc184308048"/>
      <w:bookmarkEnd w:id="285"/>
      <w:bookmarkStart w:id="286" w:name="_Toc184310294"/>
      <w:bookmarkEnd w:id="286"/>
      <w:bookmarkStart w:id="287" w:name="_Toc184308057"/>
      <w:bookmarkEnd w:id="287"/>
      <w:bookmarkStart w:id="288" w:name="_Toc184312075"/>
      <w:bookmarkEnd w:id="288"/>
      <w:bookmarkStart w:id="289" w:name="_Toc184313262"/>
      <w:bookmarkEnd w:id="289"/>
      <w:bookmarkStart w:id="290" w:name="_Toc184313264"/>
      <w:bookmarkEnd w:id="290"/>
      <w:bookmarkStart w:id="291" w:name="_Toc184312115"/>
      <w:bookmarkEnd w:id="291"/>
      <w:bookmarkStart w:id="292" w:name="_Toc184313299"/>
      <w:bookmarkEnd w:id="292"/>
      <w:bookmarkStart w:id="293" w:name="_Toc184312126"/>
      <w:bookmarkEnd w:id="293"/>
      <w:bookmarkStart w:id="294" w:name="_Toc184312120"/>
      <w:bookmarkEnd w:id="294"/>
      <w:bookmarkStart w:id="295" w:name="_Toc184310341"/>
      <w:bookmarkEnd w:id="295"/>
      <w:bookmarkStart w:id="296" w:name="_Toc184313256"/>
      <w:bookmarkEnd w:id="296"/>
      <w:bookmarkStart w:id="297" w:name="_Toc184314477"/>
      <w:bookmarkEnd w:id="297"/>
      <w:bookmarkStart w:id="298" w:name="_Toc184314452"/>
      <w:bookmarkEnd w:id="298"/>
      <w:bookmarkStart w:id="299" w:name="_Toc184314420"/>
      <w:bookmarkEnd w:id="299"/>
      <w:bookmarkStart w:id="300" w:name="_Toc184310280"/>
      <w:bookmarkEnd w:id="300"/>
      <w:bookmarkStart w:id="301" w:name="_Toc184313250"/>
      <w:bookmarkEnd w:id="301"/>
      <w:bookmarkStart w:id="302" w:name="_Toc184314416"/>
      <w:bookmarkEnd w:id="302"/>
      <w:bookmarkStart w:id="303" w:name="_Toc184313259"/>
      <w:bookmarkEnd w:id="303"/>
      <w:bookmarkStart w:id="304" w:name="_Toc184314476"/>
      <w:bookmarkEnd w:id="304"/>
      <w:bookmarkStart w:id="305" w:name="_Toc184314456"/>
      <w:bookmarkEnd w:id="305"/>
      <w:bookmarkStart w:id="306" w:name="_Toc184314427"/>
      <w:bookmarkEnd w:id="306"/>
      <w:bookmarkStart w:id="307" w:name="_Toc184312112"/>
      <w:bookmarkEnd w:id="307"/>
      <w:bookmarkStart w:id="308" w:name="_Toc184310315"/>
      <w:bookmarkEnd w:id="308"/>
      <w:bookmarkStart w:id="309" w:name="_Toc184313286"/>
      <w:bookmarkEnd w:id="309"/>
      <w:bookmarkStart w:id="310" w:name="_Toc184312077"/>
      <w:bookmarkEnd w:id="310"/>
      <w:bookmarkStart w:id="311" w:name="_Toc184312076"/>
      <w:bookmarkEnd w:id="311"/>
      <w:bookmarkStart w:id="312" w:name="_Toc184310329"/>
      <w:bookmarkEnd w:id="312"/>
      <w:bookmarkStart w:id="313" w:name="_Toc184314414"/>
      <w:bookmarkEnd w:id="313"/>
      <w:bookmarkStart w:id="314" w:name="_Toc184314473"/>
      <w:bookmarkEnd w:id="314"/>
      <w:bookmarkStart w:id="315" w:name="_Toc184308086"/>
      <w:bookmarkEnd w:id="315"/>
      <w:bookmarkStart w:id="316" w:name="_Toc184308071"/>
      <w:bookmarkEnd w:id="316"/>
      <w:bookmarkStart w:id="317" w:name="_Toc184310325"/>
      <w:bookmarkEnd w:id="317"/>
      <w:bookmarkStart w:id="318" w:name="_Toc184313289"/>
      <w:bookmarkEnd w:id="318"/>
      <w:bookmarkStart w:id="319" w:name="_Toc184312138"/>
      <w:bookmarkEnd w:id="319"/>
      <w:bookmarkStart w:id="320" w:name="_Toc184312136"/>
      <w:bookmarkEnd w:id="320"/>
      <w:bookmarkStart w:id="321" w:name="_Toc184310272"/>
      <w:bookmarkEnd w:id="321"/>
      <w:bookmarkStart w:id="322" w:name="_Toc184308038"/>
      <w:bookmarkEnd w:id="322"/>
      <w:bookmarkStart w:id="323" w:name="_Toc184313257"/>
      <w:bookmarkEnd w:id="323"/>
      <w:bookmarkStart w:id="324" w:name="_Toc184314439"/>
      <w:bookmarkEnd w:id="324"/>
      <w:bookmarkStart w:id="325" w:name="_Toc184313297"/>
      <w:bookmarkEnd w:id="325"/>
      <w:bookmarkStart w:id="326" w:name="_Toc184312072"/>
      <w:bookmarkEnd w:id="326"/>
      <w:bookmarkStart w:id="327" w:name="_Toc184313285"/>
      <w:bookmarkEnd w:id="327"/>
      <w:bookmarkStart w:id="328" w:name="_Toc184308039"/>
      <w:bookmarkEnd w:id="328"/>
      <w:bookmarkStart w:id="329" w:name="_Toc184313254"/>
      <w:bookmarkEnd w:id="329"/>
      <w:bookmarkStart w:id="330" w:name="_Toc184313255"/>
      <w:bookmarkEnd w:id="330"/>
      <w:bookmarkStart w:id="331" w:name="_Toc184308067"/>
      <w:bookmarkEnd w:id="331"/>
      <w:bookmarkStart w:id="332" w:name="_Toc184313243"/>
      <w:bookmarkEnd w:id="332"/>
      <w:bookmarkStart w:id="333" w:name="_Toc184308046"/>
      <w:bookmarkEnd w:id="333"/>
      <w:bookmarkStart w:id="334" w:name="_Toc184312078"/>
      <w:bookmarkEnd w:id="334"/>
      <w:bookmarkStart w:id="335" w:name="_Toc184314423"/>
      <w:bookmarkEnd w:id="335"/>
      <w:bookmarkStart w:id="336" w:name="_Toc184312073"/>
      <w:bookmarkEnd w:id="336"/>
      <w:bookmarkStart w:id="337" w:name="_Toc184312091"/>
      <w:bookmarkEnd w:id="337"/>
      <w:bookmarkStart w:id="338" w:name="_Toc184308068"/>
      <w:bookmarkEnd w:id="338"/>
      <w:bookmarkStart w:id="339" w:name="_Toc184312108"/>
      <w:bookmarkEnd w:id="339"/>
      <w:bookmarkStart w:id="340" w:name="_Toc184310339"/>
      <w:bookmarkEnd w:id="340"/>
      <w:bookmarkStart w:id="341" w:name="_Toc184312111"/>
      <w:bookmarkEnd w:id="341"/>
      <w:bookmarkStart w:id="342" w:name="_Toc184313303"/>
      <w:bookmarkEnd w:id="342"/>
      <w:bookmarkStart w:id="343" w:name="_Toc184308078"/>
      <w:bookmarkEnd w:id="343"/>
      <w:bookmarkStart w:id="344" w:name="_Toc184314442"/>
      <w:bookmarkEnd w:id="344"/>
      <w:bookmarkStart w:id="345" w:name="_Toc184310317"/>
      <w:bookmarkEnd w:id="345"/>
      <w:bookmarkStart w:id="346" w:name="_Toc184308083"/>
      <w:bookmarkEnd w:id="346"/>
      <w:bookmarkStart w:id="347" w:name="_Toc184312139"/>
      <w:bookmarkEnd w:id="347"/>
      <w:bookmarkStart w:id="348" w:name="_Toc184310293"/>
      <w:bookmarkEnd w:id="348"/>
      <w:bookmarkStart w:id="349" w:name="_Toc184314470"/>
      <w:bookmarkEnd w:id="349"/>
      <w:bookmarkStart w:id="350" w:name="_Toc184313267"/>
      <w:bookmarkEnd w:id="350"/>
      <w:bookmarkStart w:id="351" w:name="_Toc184308043"/>
      <w:bookmarkEnd w:id="351"/>
      <w:bookmarkStart w:id="352" w:name="_Toc184312102"/>
      <w:bookmarkEnd w:id="352"/>
      <w:bookmarkStart w:id="353" w:name="_Toc184314465"/>
      <w:bookmarkEnd w:id="353"/>
      <w:bookmarkStart w:id="354" w:name="_Toc184313252"/>
      <w:bookmarkEnd w:id="354"/>
      <w:bookmarkStart w:id="355" w:name="_Toc184310312"/>
      <w:bookmarkEnd w:id="355"/>
      <w:bookmarkStart w:id="356" w:name="_Toc184310327"/>
      <w:bookmarkEnd w:id="356"/>
      <w:bookmarkStart w:id="357" w:name="_Toc184308100"/>
      <w:bookmarkEnd w:id="357"/>
      <w:bookmarkStart w:id="358" w:name="_Toc184310297"/>
      <w:bookmarkEnd w:id="358"/>
      <w:bookmarkStart w:id="359" w:name="_Toc184312081"/>
      <w:bookmarkEnd w:id="359"/>
      <w:bookmarkStart w:id="360" w:name="_Toc184312082"/>
      <w:bookmarkEnd w:id="360"/>
      <w:bookmarkStart w:id="361" w:name="_Toc184312114"/>
      <w:bookmarkEnd w:id="361"/>
      <w:bookmarkStart w:id="362" w:name="_Toc184314417"/>
      <w:bookmarkEnd w:id="362"/>
      <w:bookmarkStart w:id="363" w:name="_Toc184314435"/>
      <w:bookmarkEnd w:id="363"/>
      <w:bookmarkStart w:id="364" w:name="_Toc184312128"/>
      <w:bookmarkEnd w:id="364"/>
      <w:bookmarkStart w:id="365" w:name="_Toc184313305"/>
      <w:bookmarkEnd w:id="365"/>
      <w:bookmarkStart w:id="366" w:name="_Toc184308045"/>
      <w:bookmarkEnd w:id="366"/>
      <w:bookmarkStart w:id="367" w:name="_Toc184312097"/>
      <w:bookmarkEnd w:id="367"/>
      <w:bookmarkStart w:id="368" w:name="_Toc184314449"/>
      <w:bookmarkEnd w:id="368"/>
      <w:bookmarkStart w:id="369" w:name="_Toc184310292"/>
      <w:bookmarkEnd w:id="369"/>
      <w:bookmarkStart w:id="370" w:name="_Toc184314447"/>
      <w:bookmarkEnd w:id="370"/>
      <w:bookmarkStart w:id="371" w:name="_Toc184314424"/>
      <w:bookmarkEnd w:id="371"/>
      <w:bookmarkStart w:id="372" w:name="_Toc184310300"/>
      <w:bookmarkEnd w:id="372"/>
      <w:bookmarkStart w:id="373" w:name="_Toc184310314"/>
      <w:bookmarkEnd w:id="373"/>
      <w:bookmarkStart w:id="374" w:name="_Toc184310283"/>
      <w:bookmarkEnd w:id="374"/>
      <w:bookmarkStart w:id="375" w:name="_Toc184314464"/>
      <w:bookmarkEnd w:id="375"/>
      <w:bookmarkStart w:id="376" w:name="_Toc184310304"/>
      <w:bookmarkEnd w:id="376"/>
      <w:bookmarkStart w:id="377" w:name="_Toc184310299"/>
      <w:bookmarkEnd w:id="377"/>
      <w:bookmarkStart w:id="378" w:name="_Toc184312104"/>
      <w:bookmarkEnd w:id="378"/>
      <w:bookmarkStart w:id="379" w:name="_Toc184313291"/>
      <w:bookmarkEnd w:id="379"/>
      <w:bookmarkStart w:id="380" w:name="_Toc184314467"/>
      <w:bookmarkEnd w:id="380"/>
      <w:bookmarkStart w:id="381" w:name="_Toc184312067"/>
      <w:bookmarkEnd w:id="381"/>
      <w:bookmarkStart w:id="382" w:name="_Toc184314436"/>
      <w:bookmarkEnd w:id="382"/>
      <w:bookmarkStart w:id="383" w:name="_Toc184310316"/>
      <w:bookmarkEnd w:id="383"/>
      <w:bookmarkStart w:id="384" w:name="_Toc184308036"/>
      <w:bookmarkEnd w:id="384"/>
      <w:bookmarkStart w:id="385" w:name="_Toc184308103"/>
      <w:bookmarkEnd w:id="385"/>
      <w:bookmarkStart w:id="386" w:name="_Toc184308096"/>
      <w:bookmarkEnd w:id="386"/>
      <w:bookmarkStart w:id="387" w:name="_Toc184310311"/>
      <w:bookmarkEnd w:id="387"/>
      <w:bookmarkStart w:id="388" w:name="_Toc184310342"/>
      <w:bookmarkEnd w:id="388"/>
      <w:bookmarkStart w:id="389" w:name="_Toc184312086"/>
      <w:bookmarkEnd w:id="389"/>
      <w:bookmarkStart w:id="390" w:name="_Toc184308063"/>
      <w:bookmarkEnd w:id="390"/>
      <w:bookmarkStart w:id="391" w:name="_Toc184312087"/>
      <w:bookmarkEnd w:id="391"/>
      <w:bookmarkStart w:id="392" w:name="_Toc184310338"/>
      <w:bookmarkEnd w:id="392"/>
      <w:bookmarkStart w:id="393" w:name="_Toc184313283"/>
      <w:bookmarkEnd w:id="393"/>
      <w:bookmarkStart w:id="394" w:name="_Toc184313298"/>
      <w:bookmarkEnd w:id="394"/>
      <w:bookmarkStart w:id="395" w:name="_Toc184308104"/>
      <w:bookmarkEnd w:id="395"/>
      <w:bookmarkStart w:id="396" w:name="_Toc184308081"/>
      <w:bookmarkEnd w:id="396"/>
      <w:bookmarkStart w:id="397" w:name="_Toc184312093"/>
      <w:bookmarkEnd w:id="397"/>
      <w:bookmarkStart w:id="398" w:name="_Toc184310319"/>
      <w:bookmarkEnd w:id="398"/>
      <w:bookmarkStart w:id="399" w:name="_Toc184314429"/>
      <w:bookmarkEnd w:id="399"/>
      <w:bookmarkStart w:id="400" w:name="_Toc184308054"/>
      <w:bookmarkEnd w:id="400"/>
      <w:bookmarkStart w:id="401" w:name="_Toc184313310"/>
      <w:bookmarkEnd w:id="401"/>
      <w:bookmarkStart w:id="402" w:name="_Toc184314438"/>
      <w:bookmarkEnd w:id="402"/>
      <w:bookmarkStart w:id="403" w:name="_Toc184314419"/>
      <w:bookmarkEnd w:id="403"/>
      <w:bookmarkStart w:id="404" w:name="_Toc184308087"/>
      <w:bookmarkEnd w:id="404"/>
      <w:bookmarkStart w:id="405" w:name="_Toc184313302"/>
      <w:bookmarkEnd w:id="405"/>
      <w:bookmarkStart w:id="406" w:name="_Toc184313265"/>
      <w:bookmarkEnd w:id="406"/>
      <w:bookmarkStart w:id="407" w:name="_Toc184312090"/>
      <w:bookmarkEnd w:id="407"/>
      <w:bookmarkStart w:id="408" w:name="_Toc184314481"/>
      <w:bookmarkEnd w:id="408"/>
      <w:bookmarkStart w:id="409" w:name="_Toc184312118"/>
      <w:bookmarkEnd w:id="409"/>
      <w:bookmarkStart w:id="410" w:name="_Toc184310343"/>
      <w:bookmarkEnd w:id="410"/>
      <w:bookmarkStart w:id="411" w:name="_Toc184313248"/>
      <w:bookmarkEnd w:id="411"/>
      <w:r>
        <w:rPr>
          <w:rFonts w:hint="eastAsia" w:ascii="宋体" w:hAnsi="宋体" w:eastAsia="宋体" w:cs="宋体"/>
          <w:b/>
          <w:color w:val="auto"/>
          <w:sz w:val="32"/>
          <w:szCs w:val="32"/>
          <w:highlight w:val="none"/>
        </w:rPr>
        <w:t xml:space="preserve"> 评审办法</w:t>
      </w:r>
      <w:bookmarkEnd w:id="42"/>
      <w:bookmarkEnd w:id="43"/>
      <w:bookmarkEnd w:id="44"/>
      <w:bookmarkEnd w:id="45"/>
      <w:bookmarkEnd w:id="46"/>
    </w:p>
    <w:bookmarkEnd w:id="41"/>
    <w:p>
      <w:pPr>
        <w:snapToGrid w:val="0"/>
        <w:spacing w:line="360" w:lineRule="auto"/>
        <w:rPr>
          <w:rFonts w:hint="eastAsia" w:ascii="宋体" w:hAnsi="宋体" w:eastAsia="宋体" w:cs="宋体"/>
          <w:b/>
          <w:color w:val="auto"/>
          <w:sz w:val="24"/>
          <w:highlight w:val="none"/>
        </w:rPr>
      </w:pPr>
      <w:bookmarkStart w:id="412" w:name="_Toc86217003"/>
      <w:bookmarkStart w:id="413" w:name="第五部分"/>
      <w:r>
        <w:rPr>
          <w:rFonts w:hint="eastAsia" w:ascii="宋体" w:hAnsi="宋体" w:eastAsia="宋体" w:cs="宋体"/>
          <w:b/>
          <w:color w:val="auto"/>
          <w:sz w:val="24"/>
          <w:highlight w:val="none"/>
        </w:rPr>
        <w:t>一、评标方法</w:t>
      </w:r>
    </w:p>
    <w:p>
      <w:pPr>
        <w:adjustRightInd/>
        <w:spacing w:line="360" w:lineRule="auto"/>
        <w:ind w:firstLine="566" w:firstLineChars="23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本项目</w:t>
      </w:r>
      <w:r>
        <w:rPr>
          <w:rFonts w:hint="eastAsia" w:ascii="宋体" w:hAnsi="宋体" w:eastAsia="宋体" w:cs="宋体"/>
          <w:b/>
          <w:bCs/>
          <w:color w:val="auto"/>
          <w:kern w:val="0"/>
          <w:sz w:val="24"/>
          <w:highlight w:val="none"/>
        </w:rPr>
        <w:t>采用政府采购框架协议采购方式管理暂行办法中规定的质量优先法。</w:t>
      </w:r>
      <w:r>
        <w:rPr>
          <w:rFonts w:hint="eastAsia" w:ascii="宋体" w:hAnsi="宋体" w:eastAsia="宋体" w:cs="宋体"/>
          <w:color w:val="auto"/>
          <w:kern w:val="0"/>
          <w:sz w:val="24"/>
          <w:highlight w:val="none"/>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二、评标委员会的组成</w:t>
      </w:r>
    </w:p>
    <w:p>
      <w:pPr>
        <w:spacing w:line="360" w:lineRule="auto"/>
        <w:ind w:firstLine="566" w:firstLineChars="235"/>
        <w:outlineLvl w:val="0"/>
        <w:rPr>
          <w:rFonts w:hint="eastAsia" w:ascii="宋体" w:hAnsi="宋体" w:eastAsia="宋体" w:cs="宋体"/>
          <w:b/>
          <w:color w:val="auto"/>
          <w:sz w:val="24"/>
          <w:highlight w:val="none"/>
        </w:rPr>
      </w:pPr>
      <w:r>
        <w:rPr>
          <w:rFonts w:hint="eastAsia" w:ascii="宋体" w:hAnsi="宋体" w:eastAsia="宋体" w:cs="宋体"/>
          <w:b/>
          <w:bCs/>
          <w:color w:val="auto"/>
          <w:kern w:val="0"/>
          <w:sz w:val="24"/>
          <w:highlight w:val="none"/>
        </w:rPr>
        <w:t>评标委员会的组成。</w:t>
      </w:r>
      <w:r>
        <w:rPr>
          <w:rFonts w:hint="eastAsia" w:ascii="宋体" w:hAnsi="宋体" w:eastAsia="宋体" w:cs="宋体"/>
          <w:color w:val="auto"/>
          <w:kern w:val="0"/>
          <w:sz w:val="24"/>
          <w:highlight w:val="none"/>
        </w:rPr>
        <w:t>评标委员会由5人及以上评审专家组成，负责对供应商提交的承诺文件进行审查、质询和比较等。评审小组由政府采购专家组成。</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128"/>
        <w:spacing w:before="0"/>
        <w:ind w:firstLine="482"/>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3.5排序与推荐。</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确定第一阶段入围供应商时，提交响应文件和符合资格条件、实质性要求的供应商应当均不少于3家，淘汰比例为20%。</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委员会按评审后汇总得分由高到低顺序排列。汇总得分相同的，汇总得分相同的，按照客观分得分由高到低顺序排列，客观分得分也相同的，由评标委员会投票表决确定排序。根据排序从后往前按比例淘汰单位（淘汰比例为进入排序单位数量的20%，四舍五入取整数），淘汰后剩余单位多于2家，按照排序先后选择2家单位。入围供应商数量：最多2家。如，第一阶段入围供应商3家，按20%的淘汰率，3*（1-20%）=2.4家，四舍五入取最终入围2家。</w:t>
      </w:r>
    </w:p>
    <w:p>
      <w:pPr>
        <w:pStyle w:val="128"/>
        <w:spacing w:before="0"/>
        <w:ind w:firstLine="482"/>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3.6编写评标报告。</w:t>
      </w:r>
      <w:r>
        <w:rPr>
          <w:rFonts w:hint="eastAsia" w:ascii="宋体" w:hAnsi="宋体" w:eastAsia="宋体" w:cs="宋体"/>
          <w:color w:val="auto"/>
          <w:kern w:val="0"/>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四、评标中的其他事项</w:t>
      </w:r>
    </w:p>
    <w:p>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6"/>
        <w:snapToGrid w:val="0"/>
        <w:spacing w:line="360" w:lineRule="auto"/>
        <w:ind w:left="0" w:leftChars="0"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五、具体评标标准</w:t>
      </w:r>
    </w:p>
    <w:p>
      <w:pPr>
        <w:autoSpaceDE w:val="0"/>
        <w:autoSpaceDN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1、本项目采用质量优先法</w:t>
      </w:r>
      <w:r>
        <w:rPr>
          <w:rFonts w:hint="eastAsia" w:ascii="宋体" w:hAnsi="宋体" w:eastAsia="宋体" w:cs="宋体"/>
          <w:color w:val="auto"/>
          <w:sz w:val="24"/>
          <w:highlight w:val="none"/>
        </w:rPr>
        <w:t>，质量优先法是指对满足采购需求且响应报价不超过最高限制单价的货物、服务进行质量综合评分，按照质量评分从高到低排序。</w:t>
      </w:r>
    </w:p>
    <w:p>
      <w:pPr>
        <w:autoSpaceDE w:val="0"/>
        <w:autoSpaceDN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2、各供应商的商务技术得分为</w:t>
      </w:r>
      <w:r>
        <w:rPr>
          <w:rFonts w:hint="eastAsia" w:ascii="宋体" w:hAnsi="宋体" w:eastAsia="宋体" w:cs="宋体"/>
          <w:color w:val="auto"/>
          <w:sz w:val="24"/>
          <w:highlight w:val="none"/>
        </w:rPr>
        <w:t>：供应商评标综合得分=</w:t>
      </w:r>
      <w:r>
        <w:rPr>
          <w:rFonts w:hint="eastAsia" w:ascii="宋体" w:hAnsi="宋体" w:cs="宋体"/>
          <w:color w:val="auto"/>
          <w:sz w:val="24"/>
          <w:highlight w:val="none"/>
          <w:lang w:eastAsia="zh-CN"/>
        </w:rPr>
        <w:t>商务</w:t>
      </w:r>
      <w:r>
        <w:rPr>
          <w:rFonts w:hint="eastAsia" w:ascii="宋体" w:hAnsi="宋体" w:eastAsia="宋体" w:cs="宋体"/>
          <w:color w:val="auto"/>
          <w:sz w:val="24"/>
          <w:highlight w:val="none"/>
        </w:rPr>
        <w:t>分+</w:t>
      </w:r>
      <w:r>
        <w:rPr>
          <w:rFonts w:hint="eastAsia" w:ascii="宋体" w:hAnsi="宋体" w:cs="宋体"/>
          <w:color w:val="auto"/>
          <w:sz w:val="24"/>
          <w:highlight w:val="none"/>
          <w:lang w:val="en-US" w:eastAsia="zh-CN"/>
        </w:rPr>
        <w:t>技术</w:t>
      </w:r>
      <w:r>
        <w:rPr>
          <w:rFonts w:hint="eastAsia" w:ascii="宋体" w:hAnsi="宋体" w:eastAsia="宋体" w:cs="宋体"/>
          <w:color w:val="auto"/>
          <w:sz w:val="24"/>
          <w:highlight w:val="none"/>
        </w:rPr>
        <w:t>分。评标委员会各成员评分的算术平均值（四舍五入</w:t>
      </w:r>
      <w:r>
        <w:rPr>
          <w:rFonts w:hint="eastAsia" w:ascii="宋体" w:hAnsi="宋体" w:cs="宋体"/>
          <w:color w:val="auto"/>
          <w:sz w:val="24"/>
          <w:highlight w:val="none"/>
          <w:lang w:eastAsia="zh-CN"/>
        </w:rPr>
        <w:t>保留两位</w:t>
      </w:r>
      <w:r>
        <w:rPr>
          <w:rFonts w:hint="eastAsia" w:ascii="宋体" w:hAnsi="宋体" w:eastAsia="宋体" w:cs="宋体"/>
          <w:color w:val="auto"/>
          <w:sz w:val="24"/>
          <w:highlight w:val="none"/>
        </w:rPr>
        <w:t>小数）。</w:t>
      </w:r>
    </w:p>
    <w:p>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r>
        <w:rPr>
          <w:rFonts w:hint="eastAsia" w:ascii="宋体" w:hAnsi="宋体" w:cs="宋体"/>
          <w:color w:val="auto"/>
          <w:sz w:val="24"/>
          <w:highlight w:val="none"/>
          <w:lang w:val="en-US" w:eastAsia="zh-CN"/>
        </w:rPr>
        <w:t>商务</w:t>
      </w:r>
      <w:r>
        <w:rPr>
          <w:rFonts w:hint="eastAsia" w:ascii="宋体" w:hAnsi="宋体" w:eastAsia="宋体" w:cs="宋体"/>
          <w:color w:val="auto"/>
          <w:sz w:val="24"/>
          <w:highlight w:val="none"/>
        </w:rPr>
        <w:t>的评审由评标委员会成员独立打分，技术、</w:t>
      </w:r>
      <w:r>
        <w:rPr>
          <w:rFonts w:hint="eastAsia" w:ascii="宋体" w:hAnsi="宋体" w:cs="宋体"/>
          <w:color w:val="auto"/>
          <w:sz w:val="24"/>
          <w:highlight w:val="none"/>
          <w:lang w:val="en-US" w:eastAsia="zh-CN"/>
        </w:rPr>
        <w:t>商务</w:t>
      </w:r>
      <w:r>
        <w:rPr>
          <w:rFonts w:hint="eastAsia" w:ascii="宋体" w:hAnsi="宋体" w:eastAsia="宋体" w:cs="宋体"/>
          <w:color w:val="auto"/>
          <w:sz w:val="24"/>
          <w:highlight w:val="none"/>
        </w:rPr>
        <w:t>得分为各评标委员会成员分值之和的算术平均值。评分值保留小数点后两位。</w:t>
      </w:r>
    </w:p>
    <w:p>
      <w:pPr>
        <w:snapToGrid w:val="0"/>
        <w:spacing w:line="360" w:lineRule="auto"/>
        <w:ind w:firstLine="482" w:firstLineChars="200"/>
        <w:rPr>
          <w:rFonts w:hint="eastAsia" w:ascii="宋体" w:hAnsi="宋体" w:eastAsia="宋体" w:cs="宋体"/>
          <w:color w:val="auto"/>
          <w:sz w:val="24"/>
          <w:highlight w:val="none"/>
        </w:rPr>
      </w:pPr>
      <w:bookmarkStart w:id="414" w:name="_Hlk497393397"/>
      <w:r>
        <w:rPr>
          <w:rFonts w:hint="eastAsia" w:ascii="宋体" w:hAnsi="宋体" w:eastAsia="宋体" w:cs="宋体"/>
          <w:b/>
          <w:bCs/>
          <w:color w:val="auto"/>
          <w:sz w:val="24"/>
          <w:highlight w:val="none"/>
        </w:rPr>
        <w:t>3、评标综合得分（100分）</w:t>
      </w:r>
      <w:bookmarkEnd w:id="414"/>
      <w:r>
        <w:rPr>
          <w:rFonts w:hint="eastAsia" w:ascii="宋体" w:hAnsi="宋体" w:eastAsia="宋体" w:cs="宋体"/>
          <w:color w:val="auto"/>
          <w:sz w:val="24"/>
          <w:highlight w:val="none"/>
        </w:rPr>
        <w:t>：</w:t>
      </w: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p>
    <w:p>
      <w:pPr>
        <w:snapToGrid w:val="0"/>
        <w:spacing w:line="36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评分细则</w:t>
      </w:r>
    </w:p>
    <w:tbl>
      <w:tblPr>
        <w:tblStyle w:val="62"/>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89"/>
        <w:gridCol w:w="5522"/>
        <w:gridCol w:w="625"/>
        <w:gridCol w:w="68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
                <w:bCs/>
                <w:sz w:val="24"/>
                <w:shd w:val="clear" w:color="auto" w:fill="FFFFFF"/>
              </w:rPr>
            </w:pPr>
            <w:bookmarkStart w:id="415" w:name="_Hlk78449110"/>
            <w:bookmarkStart w:id="416" w:name="_Toc9072"/>
            <w:bookmarkStart w:id="417" w:name="_Toc27563"/>
            <w:bookmarkStart w:id="418" w:name="_Toc28629"/>
            <w:bookmarkStart w:id="419" w:name="_Toc12903"/>
            <w:bookmarkStart w:id="420" w:name="_Toc22290"/>
            <w:r>
              <w:rPr>
                <w:rFonts w:hint="eastAsia" w:asciiTheme="minorEastAsia" w:hAnsiTheme="minorEastAsia" w:eastAsiaTheme="minorEastAsia" w:cstheme="minorEastAsia"/>
                <w:b/>
                <w:bCs/>
                <w:sz w:val="24"/>
                <w:shd w:val="clear" w:color="auto" w:fill="FFFFFF"/>
              </w:rPr>
              <w:t>序号</w:t>
            </w:r>
          </w:p>
        </w:tc>
        <w:tc>
          <w:tcPr>
            <w:tcW w:w="1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
                <w:bCs/>
                <w:sz w:val="24"/>
                <w:shd w:val="clear" w:color="auto" w:fill="FFFFFF"/>
              </w:rPr>
            </w:pPr>
            <w:r>
              <w:rPr>
                <w:rFonts w:hint="eastAsia" w:asciiTheme="minorEastAsia" w:hAnsiTheme="minorEastAsia" w:eastAsiaTheme="minorEastAsia" w:cstheme="minorEastAsia"/>
                <w:b/>
                <w:bCs/>
                <w:sz w:val="24"/>
                <w:shd w:val="clear" w:color="auto" w:fill="FFFFFF"/>
              </w:rPr>
              <w:t>评审内容</w:t>
            </w:r>
          </w:p>
        </w:tc>
        <w:tc>
          <w:tcPr>
            <w:tcW w:w="55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
                <w:bCs/>
                <w:sz w:val="24"/>
                <w:shd w:val="clear" w:color="auto" w:fill="FFFFFF"/>
              </w:rPr>
            </w:pPr>
            <w:r>
              <w:rPr>
                <w:rFonts w:hint="eastAsia" w:asciiTheme="minorEastAsia" w:hAnsiTheme="minorEastAsia" w:eastAsiaTheme="minorEastAsia" w:cstheme="minorEastAsia"/>
                <w:b/>
                <w:bCs/>
                <w:sz w:val="24"/>
                <w:shd w:val="clear" w:color="auto" w:fill="FFFFFF"/>
              </w:rPr>
              <w:t>评分标准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
                <w:bCs/>
                <w:sz w:val="24"/>
                <w:shd w:val="clear" w:color="auto" w:fill="FFFFFF"/>
              </w:rPr>
            </w:pPr>
            <w:r>
              <w:rPr>
                <w:rFonts w:hint="eastAsia" w:asciiTheme="minorEastAsia" w:hAnsiTheme="minorEastAsia" w:eastAsiaTheme="minorEastAsia" w:cstheme="minorEastAsia"/>
                <w:b/>
                <w:bCs/>
                <w:sz w:val="24"/>
                <w:shd w:val="clear" w:color="auto" w:fill="FFFFFF"/>
              </w:rPr>
              <w:t>分值</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1"/>
              <w:rPr>
                <w:rFonts w:hint="eastAsia" w:asciiTheme="minorEastAsia" w:hAnsiTheme="minorEastAsia" w:eastAsiaTheme="minorEastAsia" w:cstheme="minorEastAsia"/>
                <w:b/>
                <w:bCs/>
                <w:sz w:val="24"/>
                <w:shd w:val="clear" w:color="auto" w:fill="FFFFFF"/>
              </w:rPr>
            </w:pPr>
            <w:r>
              <w:rPr>
                <w:rFonts w:hint="eastAsia" w:asciiTheme="minorEastAsia" w:hAnsiTheme="minorEastAsia" w:eastAsiaTheme="minorEastAsia" w:cstheme="minorEastAsia"/>
                <w:bCs/>
                <w:sz w:val="18"/>
                <w:szCs w:val="18"/>
              </w:rPr>
              <w:t>主观分/客观分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1"/>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响应文件中评审标准相应的商务技术资料目录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1</w:t>
            </w:r>
          </w:p>
        </w:tc>
        <w:tc>
          <w:tcPr>
            <w:tcW w:w="1689" w:type="dxa"/>
            <w:vMerge w:val="restart"/>
            <w:tcBorders>
              <w:top w:val="single" w:color="auto" w:sz="4" w:space="0"/>
              <w:left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业绩经验</w:t>
            </w:r>
          </w:p>
        </w:tc>
        <w:tc>
          <w:tcPr>
            <w:tcW w:w="552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年1月1日以来（以合同签订日期为准），供应商具有</w:t>
            </w:r>
            <w:r>
              <w:rPr>
                <w:rFonts w:hint="eastAsia" w:asciiTheme="minorEastAsia" w:hAnsiTheme="minorEastAsia" w:eastAsiaTheme="minorEastAsia" w:cstheme="minorEastAsia"/>
                <w:sz w:val="24"/>
                <w:lang w:eastAsia="zh-CN"/>
              </w:rPr>
              <w:t>编制</w:t>
            </w:r>
            <w:r>
              <w:rPr>
                <w:rFonts w:hint="eastAsia" w:asciiTheme="minorEastAsia" w:hAnsiTheme="minorEastAsia" w:eastAsiaTheme="minorEastAsia" w:cstheme="minorEastAsia"/>
                <w:sz w:val="24"/>
                <w:lang w:val="en-US" w:eastAsia="zh-CN"/>
              </w:rPr>
              <w:t>5万吨标准煤（等价值）及以上</w:t>
            </w:r>
            <w:r>
              <w:rPr>
                <w:rFonts w:hint="eastAsia" w:asciiTheme="minorEastAsia" w:hAnsiTheme="minorEastAsia" w:eastAsiaTheme="minorEastAsia" w:cstheme="minorEastAsia"/>
                <w:sz w:val="24"/>
              </w:rPr>
              <w:t>项目节能审查</w:t>
            </w:r>
            <w:r>
              <w:rPr>
                <w:rFonts w:hint="eastAsia" w:asciiTheme="minorEastAsia" w:hAnsiTheme="minorEastAsia" w:eastAsiaTheme="minorEastAsia" w:cstheme="minorEastAsia"/>
                <w:sz w:val="24"/>
                <w:lang w:eastAsia="zh-CN"/>
              </w:rPr>
              <w:t>报告</w:t>
            </w:r>
            <w:r>
              <w:rPr>
                <w:rFonts w:hint="eastAsia" w:asciiTheme="minorEastAsia" w:hAnsiTheme="minorEastAsia" w:eastAsiaTheme="minorEastAsia" w:cstheme="minorEastAsia"/>
                <w:sz w:val="24"/>
              </w:rPr>
              <w:t>业绩的</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具有</w:t>
            </w:r>
            <w:r>
              <w:rPr>
                <w:rFonts w:hint="eastAsia" w:asciiTheme="minorEastAsia" w:hAnsiTheme="minorEastAsia" w:eastAsiaTheme="minorEastAsia" w:cstheme="minorEastAsia"/>
                <w:sz w:val="24"/>
                <w:lang w:eastAsia="zh-CN"/>
              </w:rPr>
              <w:t>编制</w:t>
            </w:r>
            <w:r>
              <w:rPr>
                <w:rFonts w:hint="eastAsia" w:asciiTheme="minorEastAsia" w:hAnsiTheme="minorEastAsia" w:eastAsiaTheme="minorEastAsia" w:cstheme="minorEastAsia"/>
                <w:sz w:val="24"/>
                <w:lang w:val="en-US" w:eastAsia="zh-CN"/>
              </w:rPr>
              <w:t>5000吨标准煤（等价值）及以上</w:t>
            </w:r>
            <w:r>
              <w:rPr>
                <w:rFonts w:hint="eastAsia" w:asciiTheme="minorEastAsia" w:hAnsiTheme="minorEastAsia" w:eastAsiaTheme="minorEastAsia" w:cstheme="minorEastAsia"/>
                <w:sz w:val="24"/>
              </w:rPr>
              <w:t>项目节能审查</w:t>
            </w:r>
            <w:r>
              <w:rPr>
                <w:rFonts w:hint="eastAsia" w:asciiTheme="minorEastAsia" w:hAnsiTheme="minorEastAsia" w:eastAsiaTheme="minorEastAsia" w:cstheme="minorEastAsia"/>
                <w:sz w:val="24"/>
                <w:lang w:eastAsia="zh-CN"/>
              </w:rPr>
              <w:t>报告</w:t>
            </w:r>
            <w:r>
              <w:rPr>
                <w:rFonts w:hint="eastAsia" w:asciiTheme="minorEastAsia" w:hAnsiTheme="minorEastAsia" w:eastAsiaTheme="minorEastAsia" w:cstheme="minorEastAsia"/>
                <w:sz w:val="24"/>
              </w:rPr>
              <w:t>业绩的</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具有</w:t>
            </w:r>
            <w:r>
              <w:rPr>
                <w:rFonts w:hint="eastAsia" w:asciiTheme="minorEastAsia" w:hAnsiTheme="minorEastAsia" w:eastAsiaTheme="minorEastAsia" w:cstheme="minorEastAsia"/>
                <w:sz w:val="24"/>
                <w:lang w:eastAsia="zh-CN"/>
              </w:rPr>
              <w:t>编制</w:t>
            </w:r>
            <w:r>
              <w:rPr>
                <w:rFonts w:hint="eastAsia" w:asciiTheme="minorEastAsia" w:hAnsiTheme="minorEastAsia" w:eastAsiaTheme="minorEastAsia" w:cstheme="minorEastAsia"/>
                <w:sz w:val="24"/>
                <w:lang w:val="en-US" w:eastAsia="zh-CN"/>
              </w:rPr>
              <w:t>1000吨标准煤（等价值）及以上</w:t>
            </w:r>
            <w:r>
              <w:rPr>
                <w:rFonts w:hint="eastAsia" w:asciiTheme="minorEastAsia" w:hAnsiTheme="minorEastAsia" w:eastAsiaTheme="minorEastAsia" w:cstheme="minorEastAsia"/>
                <w:sz w:val="24"/>
              </w:rPr>
              <w:t>项目节能审查</w:t>
            </w:r>
            <w:r>
              <w:rPr>
                <w:rFonts w:hint="eastAsia" w:asciiTheme="minorEastAsia" w:hAnsiTheme="minorEastAsia" w:eastAsiaTheme="minorEastAsia" w:cstheme="minorEastAsia"/>
                <w:sz w:val="24"/>
                <w:lang w:eastAsia="zh-CN"/>
              </w:rPr>
              <w:t>报告</w:t>
            </w:r>
            <w:r>
              <w:rPr>
                <w:rFonts w:hint="eastAsia" w:asciiTheme="minorEastAsia" w:hAnsiTheme="minorEastAsia" w:eastAsiaTheme="minorEastAsia" w:cstheme="minorEastAsia"/>
                <w:sz w:val="24"/>
              </w:rPr>
              <w:t>业绩的</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得</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w:t>
            </w:r>
          </w:p>
          <w:p>
            <w:pPr>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证明材料提供合同</w:t>
            </w:r>
            <w:r>
              <w:rPr>
                <w:rFonts w:hint="eastAsia" w:asciiTheme="minorEastAsia" w:hAnsiTheme="minorEastAsia" w:eastAsiaTheme="minorEastAsia" w:cstheme="minorEastAsia"/>
                <w:b/>
                <w:bCs/>
                <w:sz w:val="24"/>
                <w:lang w:eastAsia="zh-CN"/>
              </w:rPr>
              <w:t>及相关证明文件</w:t>
            </w:r>
            <w:r>
              <w:rPr>
                <w:rFonts w:hint="eastAsia" w:asciiTheme="minorEastAsia" w:hAnsiTheme="minorEastAsia" w:eastAsiaTheme="minorEastAsia" w:cstheme="minorEastAsia"/>
                <w:b/>
                <w:bCs/>
                <w:sz w:val="24"/>
              </w:rPr>
              <w:t>。</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rPr>
              <w:t>客观分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2</w:t>
            </w:r>
          </w:p>
        </w:tc>
        <w:tc>
          <w:tcPr>
            <w:tcW w:w="1689" w:type="dxa"/>
            <w:vMerge w:val="continue"/>
            <w:tcBorders>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c>
          <w:tcPr>
            <w:tcW w:w="552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年1月1日以来（以合同签订日期为准），供应商具有</w:t>
            </w:r>
            <w:r>
              <w:rPr>
                <w:rFonts w:hint="eastAsia" w:asciiTheme="minorEastAsia" w:hAnsiTheme="minorEastAsia" w:eastAsiaTheme="minorEastAsia" w:cstheme="minorEastAsia"/>
                <w:sz w:val="24"/>
                <w:lang w:eastAsia="zh-CN"/>
              </w:rPr>
              <w:t>组织</w:t>
            </w:r>
            <w:r>
              <w:rPr>
                <w:rFonts w:hint="eastAsia" w:asciiTheme="minorEastAsia" w:hAnsiTheme="minorEastAsia" w:eastAsiaTheme="minorEastAsia" w:cstheme="minorEastAsia"/>
                <w:sz w:val="24"/>
                <w:lang w:val="en-US" w:eastAsia="zh-CN"/>
              </w:rPr>
              <w:t>5万吨标准煤（等价值）及以上</w:t>
            </w:r>
            <w:r>
              <w:rPr>
                <w:rFonts w:hint="eastAsia" w:asciiTheme="minorEastAsia" w:hAnsiTheme="minorEastAsia" w:eastAsiaTheme="minorEastAsia" w:cstheme="minorEastAsia"/>
                <w:sz w:val="24"/>
                <w:lang w:eastAsia="zh-CN"/>
              </w:rPr>
              <w:t>项目节能审查</w:t>
            </w:r>
            <w:r>
              <w:rPr>
                <w:rFonts w:hint="eastAsia" w:asciiTheme="minorEastAsia" w:hAnsiTheme="minorEastAsia" w:eastAsiaTheme="minorEastAsia" w:cstheme="minorEastAsia"/>
                <w:sz w:val="24"/>
              </w:rPr>
              <w:t>业绩的</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具有</w:t>
            </w:r>
            <w:r>
              <w:rPr>
                <w:rFonts w:hint="eastAsia" w:asciiTheme="minorEastAsia" w:hAnsiTheme="minorEastAsia" w:eastAsiaTheme="minorEastAsia" w:cstheme="minorEastAsia"/>
                <w:sz w:val="24"/>
                <w:lang w:eastAsia="zh-CN"/>
              </w:rPr>
              <w:t>组织</w:t>
            </w:r>
            <w:r>
              <w:rPr>
                <w:rFonts w:hint="eastAsia" w:asciiTheme="minorEastAsia" w:hAnsiTheme="minorEastAsia" w:eastAsiaTheme="minorEastAsia" w:cstheme="minorEastAsia"/>
                <w:sz w:val="24"/>
                <w:lang w:val="en-US" w:eastAsia="zh-CN"/>
              </w:rPr>
              <w:t>5000吨标准煤（等价值）及以上</w:t>
            </w:r>
            <w:r>
              <w:rPr>
                <w:rFonts w:hint="eastAsia" w:asciiTheme="minorEastAsia" w:hAnsiTheme="minorEastAsia" w:eastAsiaTheme="minorEastAsia" w:cstheme="minorEastAsia"/>
                <w:sz w:val="24"/>
                <w:lang w:eastAsia="zh-CN"/>
              </w:rPr>
              <w:t>项目节能审查</w:t>
            </w:r>
            <w:r>
              <w:rPr>
                <w:rFonts w:hint="eastAsia" w:asciiTheme="minorEastAsia" w:hAnsiTheme="minorEastAsia" w:eastAsiaTheme="minorEastAsia" w:cstheme="minorEastAsia"/>
                <w:sz w:val="24"/>
              </w:rPr>
              <w:t>业绩的</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具有</w:t>
            </w:r>
            <w:r>
              <w:rPr>
                <w:rFonts w:hint="eastAsia" w:asciiTheme="minorEastAsia" w:hAnsiTheme="minorEastAsia" w:eastAsiaTheme="minorEastAsia" w:cstheme="minorEastAsia"/>
                <w:sz w:val="24"/>
                <w:lang w:eastAsia="zh-CN"/>
              </w:rPr>
              <w:t>组织</w:t>
            </w:r>
            <w:r>
              <w:rPr>
                <w:rFonts w:hint="eastAsia" w:asciiTheme="minorEastAsia" w:hAnsiTheme="minorEastAsia" w:eastAsiaTheme="minorEastAsia" w:cstheme="minorEastAsia"/>
                <w:sz w:val="24"/>
                <w:lang w:val="en-US" w:eastAsia="zh-CN"/>
              </w:rPr>
              <w:t>1000吨标准煤（等价值）及以上</w:t>
            </w:r>
            <w:r>
              <w:rPr>
                <w:rFonts w:hint="eastAsia" w:asciiTheme="minorEastAsia" w:hAnsiTheme="minorEastAsia" w:eastAsiaTheme="minorEastAsia" w:cstheme="minorEastAsia"/>
                <w:sz w:val="24"/>
                <w:lang w:eastAsia="zh-CN"/>
              </w:rPr>
              <w:t>项目节能审查</w:t>
            </w:r>
            <w:r>
              <w:rPr>
                <w:rFonts w:hint="eastAsia" w:asciiTheme="minorEastAsia" w:hAnsiTheme="minorEastAsia" w:eastAsiaTheme="minorEastAsia" w:cstheme="minorEastAsia"/>
                <w:sz w:val="24"/>
              </w:rPr>
              <w:t>业绩的</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得</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w:t>
            </w:r>
          </w:p>
          <w:p>
            <w:pPr>
              <w:snapToGrid w:val="0"/>
              <w:jc w:val="left"/>
              <w:rPr>
                <w:rFonts w:hint="eastAsia" w:asciiTheme="minorEastAsia" w:hAnsiTheme="minorEastAsia" w:eastAsiaTheme="minorEastAsia" w:cstheme="minorEastAsia"/>
                <w:b/>
                <w:bCs/>
                <w:sz w:val="24"/>
                <w:shd w:val="clear" w:color="auto" w:fill="FFFFFF"/>
              </w:rPr>
            </w:pPr>
            <w:r>
              <w:rPr>
                <w:rFonts w:hint="eastAsia" w:asciiTheme="minorEastAsia" w:hAnsiTheme="minorEastAsia" w:eastAsiaTheme="minorEastAsia" w:cstheme="minorEastAsia"/>
                <w:b/>
                <w:bCs/>
                <w:sz w:val="24"/>
              </w:rPr>
              <w:t>证明材料提供合同</w:t>
            </w:r>
            <w:r>
              <w:rPr>
                <w:rFonts w:hint="eastAsia" w:asciiTheme="minorEastAsia" w:hAnsiTheme="minorEastAsia" w:eastAsiaTheme="minorEastAsia" w:cstheme="minorEastAsia"/>
                <w:b/>
                <w:bCs/>
                <w:sz w:val="24"/>
                <w:lang w:eastAsia="zh-CN"/>
              </w:rPr>
              <w:t>及相关证明文件</w:t>
            </w:r>
            <w:r>
              <w:rPr>
                <w:rFonts w:hint="eastAsia" w:asciiTheme="minorEastAsia" w:hAnsiTheme="minorEastAsia" w:eastAsiaTheme="minorEastAsia" w:cstheme="minorEastAsia"/>
                <w:b/>
                <w:bCs/>
                <w:sz w:val="24"/>
              </w:rPr>
              <w:t>。</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rPr>
              <w:t>客观分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3</w:t>
            </w:r>
          </w:p>
        </w:tc>
        <w:tc>
          <w:tcPr>
            <w:tcW w:w="1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证书情况</w:t>
            </w:r>
          </w:p>
        </w:tc>
        <w:tc>
          <w:tcPr>
            <w:tcW w:w="552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供应商具有检验检测机构资质认定证书（检验检测能力范围包含热力参数、电力参数等能效领域检测项目）的，得</w:t>
            </w:r>
            <w:r>
              <w:rPr>
                <w:rFonts w:hint="eastAsia" w:asciiTheme="minorEastAsia" w:hAnsiTheme="minorEastAsia" w:eastAsiaTheme="minorEastAsia" w:cstheme="minorEastAsia"/>
                <w:sz w:val="24"/>
                <w:shd w:val="clear" w:color="auto" w:fill="FFFFFF"/>
                <w:lang w:val="en-US" w:eastAsia="zh-CN"/>
              </w:rPr>
              <w:t>3</w:t>
            </w:r>
            <w:r>
              <w:rPr>
                <w:rFonts w:hint="eastAsia" w:asciiTheme="minorEastAsia" w:hAnsiTheme="minorEastAsia" w:eastAsiaTheme="minorEastAsia" w:cstheme="minorEastAsia"/>
                <w:sz w:val="24"/>
                <w:shd w:val="clear" w:color="auto" w:fill="FFFFFF"/>
              </w:rPr>
              <w:t>分。</w:t>
            </w:r>
          </w:p>
          <w:p>
            <w:pPr>
              <w:snapToGrid w:val="0"/>
              <w:jc w:val="left"/>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b/>
                <w:bCs/>
                <w:sz w:val="24"/>
                <w:shd w:val="clear" w:color="auto" w:fill="FFFFFF"/>
              </w:rPr>
              <w:t>证明材料证书及证书附件。</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客观分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4</w:t>
            </w:r>
          </w:p>
        </w:tc>
        <w:tc>
          <w:tcPr>
            <w:tcW w:w="1689" w:type="dxa"/>
            <w:vMerge w:val="restart"/>
            <w:tcBorders>
              <w:top w:val="single" w:color="auto" w:sz="4" w:space="0"/>
              <w:left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实施项目服务的基础条件</w:t>
            </w:r>
          </w:p>
        </w:tc>
        <w:tc>
          <w:tcPr>
            <w:tcW w:w="552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（1）根据供应商所提出的实施服务的基础条件的全面性、准确性、针对性进行打分，最高得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5</w:t>
            </w:r>
          </w:p>
        </w:tc>
        <w:tc>
          <w:tcPr>
            <w:tcW w:w="1689" w:type="dxa"/>
            <w:vMerge w:val="continue"/>
            <w:tcBorders>
              <w:left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c>
          <w:tcPr>
            <w:tcW w:w="552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（2）根据供应商对</w:t>
            </w:r>
            <w:r>
              <w:rPr>
                <w:rFonts w:hint="eastAsia" w:asciiTheme="minorEastAsia" w:hAnsiTheme="minorEastAsia" w:eastAsiaTheme="minorEastAsia" w:cstheme="minorEastAsia"/>
                <w:sz w:val="24"/>
                <w:lang w:val="en-US" w:eastAsia="zh-CN"/>
              </w:rPr>
              <w:t>建德</w:t>
            </w:r>
            <w:r>
              <w:rPr>
                <w:rFonts w:hint="eastAsia" w:asciiTheme="minorEastAsia" w:hAnsiTheme="minorEastAsia" w:eastAsiaTheme="minorEastAsia" w:cstheme="minorEastAsia"/>
                <w:sz w:val="24"/>
              </w:rPr>
              <w:t>市产业结构、用能情况、能效水平的熟悉程度进行打分，最高得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6</w:t>
            </w:r>
          </w:p>
        </w:tc>
        <w:tc>
          <w:tcPr>
            <w:tcW w:w="1689" w:type="dxa"/>
            <w:vMerge w:val="continue"/>
            <w:tcBorders>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c>
          <w:tcPr>
            <w:tcW w:w="552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（3）根据供应商对国家、省市节能审查相关政策要求的熟悉程度进行打分，最高得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7</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供应商的项目管理制度</w:t>
            </w: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根据</w:t>
            </w:r>
            <w:r>
              <w:rPr>
                <w:rFonts w:hint="eastAsia" w:asciiTheme="minorEastAsia" w:hAnsiTheme="minorEastAsia" w:eastAsiaTheme="minorEastAsia" w:cstheme="minorEastAsia"/>
                <w:sz w:val="24"/>
              </w:rPr>
              <w:t>供应商制定的项目管理制度（包括①项目实施组织架构、②项目实施流程规范、③质量管理制度等）的科学、完善、可执行性</w:t>
            </w:r>
            <w:r>
              <w:rPr>
                <w:rFonts w:hint="eastAsia" w:asciiTheme="minorEastAsia" w:hAnsiTheme="minorEastAsia" w:eastAsiaTheme="minorEastAsia" w:cstheme="minorEastAsia"/>
                <w:sz w:val="24"/>
                <w:lang w:val="en-US" w:eastAsia="zh-CN"/>
              </w:rPr>
              <w:t>打分，最高4分</w:t>
            </w:r>
            <w:r>
              <w:rPr>
                <w:rFonts w:hint="eastAsia" w:asciiTheme="minorEastAsia" w:hAnsiTheme="minorEastAsia" w:eastAsiaTheme="minorEastAsia" w:cstheme="minorEastAsia"/>
                <w:sz w:val="24"/>
              </w:rPr>
              <w:t>。</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trike/>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8</w:t>
            </w:r>
          </w:p>
        </w:tc>
        <w:tc>
          <w:tcPr>
            <w:tcW w:w="1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固定资产投资项目节能报告评审咨询服务方案</w:t>
            </w: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根据服务方案完整性、有效性、针对性，可操作性情况评分，最高分</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9</w:t>
            </w:r>
          </w:p>
        </w:tc>
        <w:tc>
          <w:tcPr>
            <w:tcW w:w="1689" w:type="dxa"/>
            <w:vMerge w:val="restart"/>
            <w:tcBorders>
              <w:top w:val="single" w:color="auto" w:sz="4" w:space="0"/>
              <w:left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固定资产投资项目节能报告评审咨询服务重难点分析</w:t>
            </w: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hd w:val="clear" w:color="auto" w:fill="FFFFFF"/>
              </w:rPr>
              <w:t>分析固定资产投资项目节能报告评审咨询服务的主要评审内容</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rPr>
              <w:t>项目是否符合节能有关法律法规、标准规范、产业政策</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rPr>
              <w:t>中的重点难点及应对措施，</w:t>
            </w:r>
            <w:r>
              <w:rPr>
                <w:rFonts w:hint="eastAsia" w:asciiTheme="minorEastAsia" w:hAnsiTheme="minorEastAsia" w:eastAsiaTheme="minorEastAsia" w:cstheme="minorEastAsia"/>
                <w:sz w:val="24"/>
                <w:shd w:val="clear" w:color="auto" w:fill="FFFFFF"/>
                <w:lang w:val="en-US" w:eastAsia="zh-CN"/>
              </w:rPr>
              <w:t>根据</w:t>
            </w:r>
            <w:r>
              <w:rPr>
                <w:rFonts w:hint="eastAsia" w:asciiTheme="minorEastAsia" w:hAnsiTheme="minorEastAsia" w:eastAsiaTheme="minorEastAsia" w:cstheme="minorEastAsia"/>
                <w:sz w:val="24"/>
                <w:shd w:val="clear" w:color="auto" w:fill="FFFFFF"/>
              </w:rPr>
              <w:t>分析</w:t>
            </w:r>
            <w:r>
              <w:rPr>
                <w:rFonts w:hint="eastAsia" w:asciiTheme="minorEastAsia" w:hAnsiTheme="minorEastAsia" w:eastAsiaTheme="minorEastAsia" w:cstheme="minorEastAsia"/>
                <w:sz w:val="24"/>
                <w:shd w:val="clear" w:color="auto" w:fill="FFFFFF"/>
                <w:lang w:val="en-US" w:eastAsia="zh-CN"/>
              </w:rPr>
              <w:t>是否</w:t>
            </w:r>
            <w:r>
              <w:rPr>
                <w:rFonts w:hint="eastAsia" w:asciiTheme="minorEastAsia" w:hAnsiTheme="minorEastAsia" w:eastAsiaTheme="minorEastAsia" w:cstheme="minorEastAsia"/>
                <w:sz w:val="24"/>
                <w:shd w:val="clear" w:color="auto" w:fill="FFFFFF"/>
              </w:rPr>
              <w:t>全面、到位</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lang w:val="en-US" w:eastAsia="zh-CN"/>
              </w:rPr>
              <w:t>最高得3分</w:t>
            </w:r>
            <w:r>
              <w:rPr>
                <w:rFonts w:hint="eastAsia" w:asciiTheme="minorEastAsia" w:hAnsiTheme="minorEastAsia" w:eastAsiaTheme="minorEastAsia" w:cstheme="minorEastAsia"/>
                <w:sz w:val="24"/>
                <w:shd w:val="clear" w:color="auto" w:fill="FFFFFF"/>
              </w:rPr>
              <w:t>。</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10</w:t>
            </w:r>
          </w:p>
        </w:tc>
        <w:tc>
          <w:tcPr>
            <w:tcW w:w="1689" w:type="dxa"/>
            <w:vMerge w:val="continue"/>
            <w:tcBorders>
              <w:left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分析固定资产投资项目节能报告评审咨询服务的主要评审内容</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rPr>
              <w:t>审核项目年综合能源消费量、单位工业增加值能耗</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rPr>
              <w:t>中的重点难点及应对措施，</w:t>
            </w:r>
            <w:r>
              <w:rPr>
                <w:rFonts w:hint="eastAsia" w:asciiTheme="minorEastAsia" w:hAnsiTheme="minorEastAsia" w:eastAsiaTheme="minorEastAsia" w:cstheme="minorEastAsia"/>
                <w:sz w:val="24"/>
                <w:shd w:val="clear" w:color="auto" w:fill="FFFFFF"/>
                <w:lang w:val="en-US" w:eastAsia="zh-CN"/>
              </w:rPr>
              <w:t>根据</w:t>
            </w:r>
            <w:r>
              <w:rPr>
                <w:rFonts w:hint="eastAsia" w:asciiTheme="minorEastAsia" w:hAnsiTheme="minorEastAsia" w:eastAsiaTheme="minorEastAsia" w:cstheme="minorEastAsia"/>
                <w:sz w:val="24"/>
                <w:shd w:val="clear" w:color="auto" w:fill="FFFFFF"/>
              </w:rPr>
              <w:t>分析</w:t>
            </w:r>
            <w:r>
              <w:rPr>
                <w:rFonts w:hint="eastAsia" w:asciiTheme="minorEastAsia" w:hAnsiTheme="minorEastAsia" w:eastAsiaTheme="minorEastAsia" w:cstheme="minorEastAsia"/>
                <w:sz w:val="24"/>
                <w:shd w:val="clear" w:color="auto" w:fill="FFFFFF"/>
                <w:lang w:val="en-US" w:eastAsia="zh-CN"/>
              </w:rPr>
              <w:t>是否</w:t>
            </w:r>
            <w:r>
              <w:rPr>
                <w:rFonts w:hint="eastAsia" w:asciiTheme="minorEastAsia" w:hAnsiTheme="minorEastAsia" w:eastAsiaTheme="minorEastAsia" w:cstheme="minorEastAsia"/>
                <w:sz w:val="24"/>
                <w:shd w:val="clear" w:color="auto" w:fill="FFFFFF"/>
              </w:rPr>
              <w:t>全面、到位</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lang w:val="en-US" w:eastAsia="zh-CN"/>
              </w:rPr>
              <w:t>最高得3分</w:t>
            </w:r>
            <w:r>
              <w:rPr>
                <w:rFonts w:hint="eastAsia" w:asciiTheme="minorEastAsia" w:hAnsiTheme="minorEastAsia" w:eastAsiaTheme="minorEastAsia" w:cstheme="minorEastAsia"/>
                <w:sz w:val="24"/>
                <w:shd w:val="clear" w:color="auto" w:fill="FFFFFF"/>
              </w:rPr>
              <w:t>。</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11</w:t>
            </w:r>
          </w:p>
        </w:tc>
        <w:tc>
          <w:tcPr>
            <w:tcW w:w="1689" w:type="dxa"/>
            <w:vMerge w:val="continue"/>
            <w:tcBorders>
              <w:left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分析固定资产投资项目节能报告评审咨询服务的主要评审内容</w:t>
            </w:r>
            <w:r>
              <w:rPr>
                <w:rFonts w:hint="eastAsia" w:asciiTheme="minorEastAsia" w:hAnsiTheme="minorEastAsia" w:eastAsiaTheme="minorEastAsia" w:cstheme="minorEastAsia"/>
                <w:sz w:val="24"/>
                <w:shd w:val="clear" w:color="auto" w:fill="FFFFFF"/>
                <w:lang w:eastAsia="zh-CN"/>
              </w:rPr>
              <w:t>“审核项目主要用能设备、通用设备等的能效水平”</w:t>
            </w:r>
            <w:r>
              <w:rPr>
                <w:rFonts w:hint="eastAsia" w:asciiTheme="minorEastAsia" w:hAnsiTheme="minorEastAsia" w:eastAsiaTheme="minorEastAsia" w:cstheme="minorEastAsia"/>
                <w:sz w:val="24"/>
                <w:shd w:val="clear" w:color="auto" w:fill="FFFFFF"/>
              </w:rPr>
              <w:t>中的重点难点及应对措施，</w:t>
            </w:r>
            <w:r>
              <w:rPr>
                <w:rFonts w:hint="eastAsia" w:asciiTheme="minorEastAsia" w:hAnsiTheme="minorEastAsia" w:eastAsiaTheme="minorEastAsia" w:cstheme="minorEastAsia"/>
                <w:sz w:val="24"/>
                <w:shd w:val="clear" w:color="auto" w:fill="FFFFFF"/>
                <w:lang w:val="en-US" w:eastAsia="zh-CN"/>
              </w:rPr>
              <w:t>根据</w:t>
            </w:r>
            <w:r>
              <w:rPr>
                <w:rFonts w:hint="eastAsia" w:asciiTheme="minorEastAsia" w:hAnsiTheme="minorEastAsia" w:eastAsiaTheme="minorEastAsia" w:cstheme="minorEastAsia"/>
                <w:sz w:val="24"/>
                <w:shd w:val="clear" w:color="auto" w:fill="FFFFFF"/>
              </w:rPr>
              <w:t>分析</w:t>
            </w:r>
            <w:r>
              <w:rPr>
                <w:rFonts w:hint="eastAsia" w:asciiTheme="minorEastAsia" w:hAnsiTheme="minorEastAsia" w:eastAsiaTheme="minorEastAsia" w:cstheme="minorEastAsia"/>
                <w:sz w:val="24"/>
                <w:shd w:val="clear" w:color="auto" w:fill="FFFFFF"/>
                <w:lang w:val="en-US" w:eastAsia="zh-CN"/>
              </w:rPr>
              <w:t>是否</w:t>
            </w:r>
            <w:r>
              <w:rPr>
                <w:rFonts w:hint="eastAsia" w:asciiTheme="minorEastAsia" w:hAnsiTheme="minorEastAsia" w:eastAsiaTheme="minorEastAsia" w:cstheme="minorEastAsia"/>
                <w:sz w:val="24"/>
                <w:shd w:val="clear" w:color="auto" w:fill="FFFFFF"/>
              </w:rPr>
              <w:t>全面、到位</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lang w:val="en-US" w:eastAsia="zh-CN"/>
              </w:rPr>
              <w:t>最高得3分</w:t>
            </w:r>
            <w:r>
              <w:rPr>
                <w:rFonts w:hint="eastAsia" w:asciiTheme="minorEastAsia" w:hAnsiTheme="minorEastAsia" w:eastAsiaTheme="minorEastAsia" w:cstheme="minorEastAsia"/>
                <w:sz w:val="24"/>
                <w:shd w:val="clear" w:color="auto" w:fill="FFFFFF"/>
              </w:rPr>
              <w:t>。</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12</w:t>
            </w:r>
          </w:p>
        </w:tc>
        <w:tc>
          <w:tcPr>
            <w:tcW w:w="1689" w:type="dxa"/>
            <w:vMerge w:val="continue"/>
            <w:tcBorders>
              <w:left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分析固定资产投资项目节能报告评审咨询服务的主要评审内容</w:t>
            </w:r>
            <w:r>
              <w:rPr>
                <w:rFonts w:hint="eastAsia" w:asciiTheme="minorEastAsia" w:hAnsiTheme="minorEastAsia" w:eastAsiaTheme="minorEastAsia" w:cstheme="minorEastAsia"/>
                <w:sz w:val="24"/>
                <w:shd w:val="clear" w:color="auto" w:fill="FFFFFF"/>
                <w:lang w:eastAsia="zh-CN"/>
              </w:rPr>
              <w:t>“审核能耗平衡方案、煤炭消费减量及替代等方案的可行性、真实性和可操作性”</w:t>
            </w:r>
            <w:r>
              <w:rPr>
                <w:rFonts w:hint="eastAsia" w:asciiTheme="minorEastAsia" w:hAnsiTheme="minorEastAsia" w:eastAsiaTheme="minorEastAsia" w:cstheme="minorEastAsia"/>
                <w:sz w:val="24"/>
                <w:shd w:val="clear" w:color="auto" w:fill="FFFFFF"/>
              </w:rPr>
              <w:t>中的重点难点及应对措施，</w:t>
            </w:r>
            <w:r>
              <w:rPr>
                <w:rFonts w:hint="eastAsia" w:asciiTheme="minorEastAsia" w:hAnsiTheme="minorEastAsia" w:eastAsiaTheme="minorEastAsia" w:cstheme="minorEastAsia"/>
                <w:sz w:val="24"/>
                <w:shd w:val="clear" w:color="auto" w:fill="FFFFFF"/>
                <w:lang w:val="en-US" w:eastAsia="zh-CN"/>
              </w:rPr>
              <w:t>根据</w:t>
            </w:r>
            <w:r>
              <w:rPr>
                <w:rFonts w:hint="eastAsia" w:asciiTheme="minorEastAsia" w:hAnsiTheme="minorEastAsia" w:eastAsiaTheme="minorEastAsia" w:cstheme="minorEastAsia"/>
                <w:sz w:val="24"/>
                <w:shd w:val="clear" w:color="auto" w:fill="FFFFFF"/>
              </w:rPr>
              <w:t>分析</w:t>
            </w:r>
            <w:r>
              <w:rPr>
                <w:rFonts w:hint="eastAsia" w:asciiTheme="minorEastAsia" w:hAnsiTheme="minorEastAsia" w:eastAsiaTheme="minorEastAsia" w:cstheme="minorEastAsia"/>
                <w:sz w:val="24"/>
                <w:shd w:val="clear" w:color="auto" w:fill="FFFFFF"/>
                <w:lang w:val="en-US" w:eastAsia="zh-CN"/>
              </w:rPr>
              <w:t>是否</w:t>
            </w:r>
            <w:r>
              <w:rPr>
                <w:rFonts w:hint="eastAsia" w:asciiTheme="minorEastAsia" w:hAnsiTheme="minorEastAsia" w:eastAsiaTheme="minorEastAsia" w:cstheme="minorEastAsia"/>
                <w:sz w:val="24"/>
                <w:shd w:val="clear" w:color="auto" w:fill="FFFFFF"/>
              </w:rPr>
              <w:t>全面、到位</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lang w:val="en-US" w:eastAsia="zh-CN"/>
              </w:rPr>
              <w:t>最高得3分</w:t>
            </w:r>
            <w:r>
              <w:rPr>
                <w:rFonts w:hint="eastAsia" w:asciiTheme="minorEastAsia" w:hAnsiTheme="minorEastAsia" w:eastAsiaTheme="minorEastAsia" w:cstheme="minorEastAsia"/>
                <w:sz w:val="24"/>
                <w:shd w:val="clear" w:color="auto" w:fill="FFFFFF"/>
              </w:rPr>
              <w:t>。</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13</w:t>
            </w:r>
          </w:p>
        </w:tc>
        <w:tc>
          <w:tcPr>
            <w:tcW w:w="1689" w:type="dxa"/>
            <w:vMerge w:val="continue"/>
            <w:tcBorders>
              <w:left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分析固定资产投资项目节能报告评审咨询服务的主要评审内容</w:t>
            </w:r>
            <w:r>
              <w:rPr>
                <w:rFonts w:hint="eastAsia" w:asciiTheme="minorEastAsia" w:hAnsiTheme="minorEastAsia" w:eastAsiaTheme="minorEastAsia" w:cstheme="minorEastAsia"/>
                <w:sz w:val="24"/>
                <w:shd w:val="clear" w:color="auto" w:fill="FFFFFF"/>
                <w:lang w:eastAsia="zh-CN"/>
              </w:rPr>
              <w:t>“分析测算项目对能源消费总量和强度“双控”目标的影响”</w:t>
            </w:r>
            <w:r>
              <w:rPr>
                <w:rFonts w:hint="eastAsia" w:asciiTheme="minorEastAsia" w:hAnsiTheme="minorEastAsia" w:eastAsiaTheme="minorEastAsia" w:cstheme="minorEastAsia"/>
                <w:sz w:val="24"/>
                <w:shd w:val="clear" w:color="auto" w:fill="FFFFFF"/>
              </w:rPr>
              <w:t>中的重点难点及应对措施，</w:t>
            </w:r>
            <w:r>
              <w:rPr>
                <w:rFonts w:hint="eastAsia" w:asciiTheme="minorEastAsia" w:hAnsiTheme="minorEastAsia" w:eastAsiaTheme="minorEastAsia" w:cstheme="minorEastAsia"/>
                <w:sz w:val="24"/>
                <w:shd w:val="clear" w:color="auto" w:fill="FFFFFF"/>
                <w:lang w:val="en-US" w:eastAsia="zh-CN"/>
              </w:rPr>
              <w:t>根据</w:t>
            </w:r>
            <w:r>
              <w:rPr>
                <w:rFonts w:hint="eastAsia" w:asciiTheme="minorEastAsia" w:hAnsiTheme="minorEastAsia" w:eastAsiaTheme="minorEastAsia" w:cstheme="minorEastAsia"/>
                <w:sz w:val="24"/>
                <w:shd w:val="clear" w:color="auto" w:fill="FFFFFF"/>
              </w:rPr>
              <w:t>分析</w:t>
            </w:r>
            <w:r>
              <w:rPr>
                <w:rFonts w:hint="eastAsia" w:asciiTheme="minorEastAsia" w:hAnsiTheme="minorEastAsia" w:eastAsiaTheme="minorEastAsia" w:cstheme="minorEastAsia"/>
                <w:sz w:val="24"/>
                <w:shd w:val="clear" w:color="auto" w:fill="FFFFFF"/>
                <w:lang w:val="en-US" w:eastAsia="zh-CN"/>
              </w:rPr>
              <w:t>是否</w:t>
            </w:r>
            <w:r>
              <w:rPr>
                <w:rFonts w:hint="eastAsia" w:asciiTheme="minorEastAsia" w:hAnsiTheme="minorEastAsia" w:eastAsiaTheme="minorEastAsia" w:cstheme="minorEastAsia"/>
                <w:sz w:val="24"/>
                <w:shd w:val="clear" w:color="auto" w:fill="FFFFFF"/>
              </w:rPr>
              <w:t>全面、到位</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lang w:val="en-US" w:eastAsia="zh-CN"/>
              </w:rPr>
              <w:t>最高得3分</w:t>
            </w:r>
            <w:r>
              <w:rPr>
                <w:rFonts w:hint="eastAsia" w:asciiTheme="minorEastAsia" w:hAnsiTheme="minorEastAsia" w:eastAsiaTheme="minorEastAsia" w:cstheme="minorEastAsia"/>
                <w:sz w:val="24"/>
                <w:shd w:val="clear" w:color="auto" w:fill="FFFFFF"/>
              </w:rPr>
              <w:t>。</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14</w:t>
            </w:r>
          </w:p>
        </w:tc>
        <w:tc>
          <w:tcPr>
            <w:tcW w:w="1689" w:type="dxa"/>
            <w:vMerge w:val="continue"/>
            <w:tcBorders>
              <w:left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分析固定资产投资项目节能报告评审咨询服务的主要评审内容</w:t>
            </w:r>
            <w:r>
              <w:rPr>
                <w:rFonts w:hint="eastAsia" w:asciiTheme="minorEastAsia" w:hAnsiTheme="minorEastAsia" w:eastAsiaTheme="minorEastAsia" w:cstheme="minorEastAsia"/>
                <w:sz w:val="24"/>
                <w:shd w:val="clear" w:color="auto" w:fill="FFFFFF"/>
                <w:lang w:eastAsia="zh-CN"/>
              </w:rPr>
              <w:t>“分析节能措施是否合理可行，及相关意见、建议等”</w:t>
            </w:r>
            <w:r>
              <w:rPr>
                <w:rFonts w:hint="eastAsia" w:asciiTheme="minorEastAsia" w:hAnsiTheme="minorEastAsia" w:eastAsiaTheme="minorEastAsia" w:cstheme="minorEastAsia"/>
                <w:sz w:val="24"/>
                <w:shd w:val="clear" w:color="auto" w:fill="FFFFFF"/>
              </w:rPr>
              <w:t>中的重点难点及应对措施，</w:t>
            </w:r>
            <w:r>
              <w:rPr>
                <w:rFonts w:hint="eastAsia" w:asciiTheme="minorEastAsia" w:hAnsiTheme="minorEastAsia" w:eastAsiaTheme="minorEastAsia" w:cstheme="minorEastAsia"/>
                <w:sz w:val="24"/>
                <w:shd w:val="clear" w:color="auto" w:fill="FFFFFF"/>
                <w:lang w:val="en-US" w:eastAsia="zh-CN"/>
              </w:rPr>
              <w:t>根据</w:t>
            </w:r>
            <w:r>
              <w:rPr>
                <w:rFonts w:hint="eastAsia" w:asciiTheme="minorEastAsia" w:hAnsiTheme="minorEastAsia" w:eastAsiaTheme="minorEastAsia" w:cstheme="minorEastAsia"/>
                <w:sz w:val="24"/>
                <w:shd w:val="clear" w:color="auto" w:fill="FFFFFF"/>
              </w:rPr>
              <w:t>分析</w:t>
            </w:r>
            <w:r>
              <w:rPr>
                <w:rFonts w:hint="eastAsia" w:asciiTheme="minorEastAsia" w:hAnsiTheme="minorEastAsia" w:eastAsiaTheme="minorEastAsia" w:cstheme="minorEastAsia"/>
                <w:sz w:val="24"/>
                <w:shd w:val="clear" w:color="auto" w:fill="FFFFFF"/>
                <w:lang w:val="en-US" w:eastAsia="zh-CN"/>
              </w:rPr>
              <w:t>是否</w:t>
            </w:r>
            <w:r>
              <w:rPr>
                <w:rFonts w:hint="eastAsia" w:asciiTheme="minorEastAsia" w:hAnsiTheme="minorEastAsia" w:eastAsiaTheme="minorEastAsia" w:cstheme="minorEastAsia"/>
                <w:sz w:val="24"/>
                <w:shd w:val="clear" w:color="auto" w:fill="FFFFFF"/>
              </w:rPr>
              <w:t>全面、到位</w:t>
            </w:r>
            <w:r>
              <w:rPr>
                <w:rFonts w:hint="eastAsia" w:asciiTheme="minorEastAsia" w:hAnsiTheme="minorEastAsia" w:eastAsiaTheme="minorEastAsia" w:cstheme="minorEastAsia"/>
                <w:sz w:val="24"/>
                <w:shd w:val="clear" w:color="auto" w:fill="FFFFFF"/>
                <w:lang w:eastAsia="zh-CN"/>
              </w:rPr>
              <w:t>，</w:t>
            </w:r>
            <w:r>
              <w:rPr>
                <w:rFonts w:hint="eastAsia" w:asciiTheme="minorEastAsia" w:hAnsiTheme="minorEastAsia" w:eastAsiaTheme="minorEastAsia" w:cstheme="minorEastAsia"/>
                <w:sz w:val="24"/>
                <w:shd w:val="clear" w:color="auto" w:fill="FFFFFF"/>
                <w:lang w:val="en-US" w:eastAsia="zh-CN"/>
              </w:rPr>
              <w:t>最高得3分</w:t>
            </w:r>
            <w:r>
              <w:rPr>
                <w:rFonts w:hint="eastAsia" w:asciiTheme="minorEastAsia" w:hAnsiTheme="minorEastAsia" w:eastAsiaTheme="minorEastAsia" w:cstheme="minorEastAsia"/>
                <w:sz w:val="24"/>
                <w:shd w:val="clear" w:color="auto" w:fill="FFFFFF"/>
              </w:rPr>
              <w:t>。</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3</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bookmarkEnd w:id="4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15</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本项目总体工作部署</w:t>
            </w: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根据项目总体工作部署（包括①阶段工作部署、②进度计划、③进度保障措施）的完善性、明确性、准确性、可执行性，进行打分，最高分</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16</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服务质量控制体系</w:t>
            </w:r>
          </w:p>
        </w:tc>
        <w:tc>
          <w:tcPr>
            <w:tcW w:w="5522"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根据服务质量控制体系的合理性、科学性、严谨性、有效性进行打分，最高分</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17</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服务方式方法</w:t>
            </w:r>
          </w:p>
        </w:tc>
        <w:tc>
          <w:tcPr>
            <w:tcW w:w="5522"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根据服务方式方法（包括：工作程序和步骤、管理和协调方法等）的科学性、合理性、规范性和可操作性进行打分，最高分</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rPr>
              <w:t>1</w:t>
            </w:r>
            <w:r>
              <w:rPr>
                <w:rFonts w:hint="eastAsia" w:asciiTheme="minorEastAsia" w:hAnsiTheme="minorEastAsia" w:eastAsiaTheme="minorEastAsia" w:cstheme="minorEastAsia"/>
                <w:sz w:val="24"/>
                <w:shd w:val="clear" w:color="auto" w:fill="FFFFFF"/>
                <w:lang w:val="en-US" w:eastAsia="zh-CN"/>
              </w:rPr>
              <w:t>8</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服务保密</w:t>
            </w: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在评估服务过程中收集的数据资料的保密性的保证措施，能满足保密需求的，</w:t>
            </w:r>
            <w:r>
              <w:rPr>
                <w:rFonts w:hint="eastAsia" w:asciiTheme="minorEastAsia" w:hAnsiTheme="minorEastAsia" w:eastAsiaTheme="minorEastAsia" w:cstheme="minorEastAsia"/>
                <w:sz w:val="24"/>
                <w:lang w:val="en-US" w:eastAsia="zh-CN"/>
              </w:rPr>
              <w:t>最高4</w:t>
            </w:r>
            <w:r>
              <w:rPr>
                <w:rFonts w:hint="eastAsia" w:asciiTheme="minorEastAsia" w:hAnsiTheme="minorEastAsia" w:eastAsiaTheme="minorEastAsia" w:cstheme="minorEastAsia"/>
                <w:sz w:val="24"/>
              </w:rPr>
              <w:t>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rPr>
              <w:t>1</w:t>
            </w:r>
            <w:r>
              <w:rPr>
                <w:rFonts w:hint="eastAsia" w:asciiTheme="minorEastAsia" w:hAnsiTheme="minorEastAsia" w:eastAsiaTheme="minorEastAsia" w:cstheme="minorEastAsia"/>
                <w:sz w:val="24"/>
                <w:shd w:val="clear" w:color="auto" w:fill="FFFFFF"/>
                <w:lang w:val="en-US" w:eastAsia="zh-CN"/>
              </w:rPr>
              <w:t>9</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成果报告编制方案</w:t>
            </w: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成果报告提纲编制及主要内容描述完整、科学，能满足采购人需求的，得</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分；主要内容较完整，得2分；否则不得分。</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20</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项目人员</w:t>
            </w:r>
          </w:p>
        </w:tc>
        <w:tc>
          <w:tcPr>
            <w:tcW w:w="5522"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（1）项目负责人具有能源工程、热能动力、电力系统或节能规划专业副高级及以上职称的，得3分；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（2）项目组组长（除项目负责人）具有能源工程、热能动力、电力系统或节能规划专业副高级及以上职称的，得3分；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（3）项目组人员（除项目负责人和项目组组长）具有能源工程、热能动力、电力系统或节能规划专业中级及以上职称且具备</w:t>
            </w:r>
            <w:r>
              <w:rPr>
                <w:rFonts w:hint="eastAsia" w:asciiTheme="minorEastAsia" w:hAnsiTheme="minorEastAsia" w:eastAsiaTheme="minorEastAsia" w:cstheme="minorEastAsia"/>
                <w:color w:val="000000"/>
                <w:sz w:val="24"/>
              </w:rPr>
              <w:t>节能报告编制工作经验的，每1人得</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color w:val="000000"/>
                <w:sz w:val="24"/>
              </w:rPr>
              <w:t>分，</w:t>
            </w:r>
            <w:r>
              <w:rPr>
                <w:rFonts w:hint="eastAsia" w:asciiTheme="minorEastAsia" w:hAnsiTheme="minorEastAsia" w:eastAsiaTheme="minorEastAsia" w:cstheme="minorEastAsia"/>
                <w:sz w:val="24"/>
              </w:rPr>
              <w:t>最高得6</w:t>
            </w:r>
            <w:r>
              <w:rPr>
                <w:rFonts w:hint="eastAsia" w:asciiTheme="minorEastAsia" w:hAnsiTheme="minorEastAsia" w:eastAsiaTheme="minorEastAsia" w:cstheme="minorEastAsia"/>
                <w:color w:val="000000"/>
                <w:sz w:val="24"/>
              </w:rPr>
              <w:t>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证明材料提供的①职称证书、②开标前20天内社保局出具的单位或个人专用社保证明、③</w:t>
            </w:r>
            <w:r>
              <w:rPr>
                <w:rFonts w:hint="eastAsia" w:asciiTheme="minorEastAsia" w:hAnsiTheme="minorEastAsia" w:eastAsiaTheme="minorEastAsia" w:cstheme="minorEastAsia"/>
                <w:color w:val="000000"/>
                <w:sz w:val="24"/>
              </w:rPr>
              <w:t>节能报告编制工作经验至少提供节能报告封面、编制人员表、专家意见、项目批文。</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12</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21</w:t>
            </w:r>
          </w:p>
        </w:tc>
        <w:tc>
          <w:tcPr>
            <w:tcW w:w="16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价格分</w:t>
            </w:r>
          </w:p>
        </w:tc>
        <w:tc>
          <w:tcPr>
            <w:tcW w:w="552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响应报价</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分：满足采购文件要求,且</w:t>
            </w:r>
            <w:r>
              <w:rPr>
                <w:rFonts w:hint="eastAsia" w:asciiTheme="minorEastAsia" w:hAnsiTheme="minorEastAsia" w:eastAsiaTheme="minorEastAsia" w:cstheme="minorEastAsia"/>
                <w:sz w:val="24"/>
                <w:lang w:val="en-US" w:eastAsia="zh-CN"/>
              </w:rPr>
              <w:t>报价</w:t>
            </w:r>
            <w:r>
              <w:rPr>
                <w:rFonts w:hint="eastAsia" w:asciiTheme="minorEastAsia" w:hAnsiTheme="minorEastAsia" w:eastAsiaTheme="minorEastAsia" w:cstheme="minorEastAsia"/>
                <w:sz w:val="24"/>
              </w:rPr>
              <w:t>最低的为评审基准</w:t>
            </w:r>
            <w:r>
              <w:rPr>
                <w:rFonts w:hint="eastAsia" w:asciiTheme="minorEastAsia" w:hAnsiTheme="minorEastAsia" w:eastAsiaTheme="minorEastAsia" w:cstheme="minorEastAsia"/>
                <w:sz w:val="24"/>
                <w:lang w:val="en-US" w:eastAsia="zh-CN"/>
              </w:rPr>
              <w:t>价</w:t>
            </w:r>
            <w:r>
              <w:rPr>
                <w:rFonts w:hint="eastAsia" w:asciiTheme="minorEastAsia" w:hAnsiTheme="minorEastAsia" w:eastAsiaTheme="minorEastAsia" w:cstheme="minorEastAsia"/>
                <w:sz w:val="24"/>
              </w:rPr>
              <w:t>，其价格分为满分。其他响应方的</w:t>
            </w:r>
            <w:r>
              <w:rPr>
                <w:rFonts w:hint="eastAsia" w:asciiTheme="minorEastAsia" w:hAnsiTheme="minorEastAsia" w:eastAsiaTheme="minorEastAsia" w:cstheme="minorEastAsia"/>
                <w:sz w:val="24"/>
                <w:lang w:val="en-US" w:eastAsia="zh-CN"/>
              </w:rPr>
              <w:t>报价</w:t>
            </w:r>
            <w:r>
              <w:rPr>
                <w:rFonts w:hint="eastAsia" w:asciiTheme="minorEastAsia" w:hAnsiTheme="minorEastAsia" w:eastAsiaTheme="minorEastAsia" w:cstheme="minorEastAsia"/>
                <w:sz w:val="24"/>
              </w:rPr>
              <w:t>得分统一按照下列公式计算：响应</w:t>
            </w:r>
            <w:r>
              <w:rPr>
                <w:rFonts w:hint="eastAsia" w:asciiTheme="minorEastAsia" w:hAnsiTheme="minorEastAsia" w:eastAsiaTheme="minorEastAsia" w:cstheme="minorEastAsia"/>
                <w:sz w:val="24"/>
                <w:lang w:val="en-US" w:eastAsia="zh-CN"/>
              </w:rPr>
              <w:t>报价</w:t>
            </w:r>
            <w:r>
              <w:rPr>
                <w:rFonts w:hint="eastAsia" w:asciiTheme="minorEastAsia" w:hAnsiTheme="minorEastAsia" w:eastAsiaTheme="minorEastAsia" w:cstheme="minorEastAsia"/>
                <w:sz w:val="24"/>
              </w:rPr>
              <w:t>得分=（</w:t>
            </w:r>
            <w:r>
              <w:rPr>
                <w:rFonts w:hint="eastAsia" w:asciiTheme="minorEastAsia" w:hAnsiTheme="minorEastAsia" w:eastAsiaTheme="minorEastAsia" w:cstheme="minorEastAsia"/>
                <w:sz w:val="24"/>
                <w:lang w:val="en-US" w:eastAsia="zh-CN"/>
              </w:rPr>
              <w:t>评审</w:t>
            </w:r>
            <w:r>
              <w:rPr>
                <w:rFonts w:hint="eastAsia" w:asciiTheme="minorEastAsia" w:hAnsiTheme="minorEastAsia" w:eastAsiaTheme="minorEastAsia" w:cstheme="minorEastAsia"/>
                <w:sz w:val="24"/>
              </w:rPr>
              <w:t>基准</w:t>
            </w:r>
            <w:r>
              <w:rPr>
                <w:rFonts w:hint="eastAsia" w:asciiTheme="minorEastAsia" w:hAnsiTheme="minorEastAsia" w:eastAsiaTheme="minorEastAsia" w:cstheme="minorEastAsia"/>
                <w:sz w:val="24"/>
                <w:lang w:val="en-US" w:eastAsia="zh-CN"/>
              </w:rPr>
              <w:t>价</w:t>
            </w: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z w:val="24"/>
                <w:lang w:val="en-US" w:eastAsia="zh-CN"/>
              </w:rPr>
              <w:t>报价</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。备注：响应供应商请勿在此处关联报价文件，关联至技术商务文件即可。</w:t>
            </w:r>
          </w:p>
        </w:tc>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sz w:val="24"/>
                <w:shd w:val="clear" w:color="auto" w:fill="FFFFFF"/>
              </w:rPr>
              <w:t>1</w:t>
            </w:r>
            <w:r>
              <w:rPr>
                <w:rFonts w:hint="eastAsia" w:asciiTheme="minorEastAsia" w:hAnsiTheme="minorEastAsia" w:eastAsiaTheme="minorEastAsia" w:cstheme="minorEastAsia"/>
                <w:sz w:val="24"/>
                <w:shd w:val="clear" w:color="auto" w:fill="FFFFFF"/>
                <w:lang w:val="en-US" w:eastAsia="zh-CN"/>
              </w:rPr>
              <w:t>5</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hd w:val="clear" w:color="auto" w:fill="FFFFFF"/>
              </w:rPr>
            </w:pPr>
          </w:p>
        </w:tc>
      </w:tr>
    </w:tbl>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拟签订的合同文本</w:t>
      </w:r>
      <w:bookmarkEnd w:id="416"/>
      <w:bookmarkEnd w:id="417"/>
      <w:bookmarkEnd w:id="418"/>
      <w:bookmarkEnd w:id="419"/>
      <w:bookmarkEnd w:id="420"/>
    </w:p>
    <w:p>
      <w:pPr>
        <w:widowControl/>
        <w:adjustRightInd/>
        <w:spacing w:line="360" w:lineRule="auto"/>
        <w:jc w:val="center"/>
        <w:outlineLvl w:val="1"/>
        <w:rPr>
          <w:rFonts w:hint="eastAsia" w:ascii="仿宋" w:hAnsi="仿宋" w:eastAsia="仿宋" w:cs="宋体"/>
          <w:b/>
          <w:kern w:val="44"/>
          <w:sz w:val="32"/>
          <w:szCs w:val="32"/>
        </w:rPr>
      </w:pPr>
      <w:bookmarkStart w:id="421" w:name="_Hlk114662993"/>
      <w:r>
        <w:rPr>
          <w:rFonts w:hint="eastAsia" w:ascii="仿宋" w:hAnsi="仿宋" w:eastAsia="仿宋" w:cs="宋体"/>
          <w:b/>
          <w:kern w:val="44"/>
          <w:sz w:val="32"/>
          <w:szCs w:val="32"/>
          <w:lang w:eastAsia="zh-CN"/>
        </w:rPr>
        <w:t>建德市发展和改革局2025-2026年度节能审查委托咨询评估项目</w:t>
      </w:r>
    </w:p>
    <w:p>
      <w:pPr>
        <w:widowControl/>
        <w:adjustRightInd/>
        <w:spacing w:line="360" w:lineRule="auto"/>
        <w:jc w:val="center"/>
        <w:outlineLvl w:val="1"/>
        <w:rPr>
          <w:rFonts w:ascii="仿宋" w:hAnsi="仿宋" w:eastAsia="仿宋" w:cs="宋体"/>
          <w:sz w:val="32"/>
          <w:szCs w:val="32"/>
        </w:rPr>
      </w:pPr>
      <w:r>
        <w:rPr>
          <w:rFonts w:hint="eastAsia" w:ascii="仿宋" w:hAnsi="仿宋" w:eastAsia="仿宋" w:cs="宋体"/>
          <w:b/>
          <w:kern w:val="44"/>
          <w:sz w:val="32"/>
          <w:szCs w:val="32"/>
        </w:rPr>
        <w:t>框架协议书</w:t>
      </w:r>
    </w:p>
    <w:bookmarkEnd w:id="421"/>
    <w:p>
      <w:pPr>
        <w:widowControl/>
        <w:adjustRightInd/>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甲方（征集人）：</w:t>
      </w:r>
      <w:r>
        <w:rPr>
          <w:rFonts w:hint="eastAsia" w:ascii="仿宋" w:hAnsi="仿宋" w:eastAsia="仿宋" w:cs="宋体"/>
          <w:kern w:val="0"/>
          <w:sz w:val="24"/>
          <w:szCs w:val="22"/>
          <w:u w:val="single"/>
          <w:lang w:val="en-US" w:eastAsia="zh-CN"/>
        </w:rPr>
        <w:t>建德市发展和改革局</w:t>
      </w:r>
    </w:p>
    <w:p>
      <w:pPr>
        <w:widowControl/>
        <w:adjustRightInd/>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乙方（入围供应商）：</w:t>
      </w:r>
      <w:r>
        <w:rPr>
          <w:rFonts w:hint="eastAsia" w:ascii="仿宋" w:hAnsi="仿宋" w:eastAsia="仿宋" w:cs="宋体"/>
          <w:kern w:val="0"/>
          <w:sz w:val="24"/>
          <w:szCs w:val="22"/>
          <w:u w:val="single"/>
        </w:rPr>
        <w:t xml:space="preserve"> </w:t>
      </w:r>
      <w:r>
        <w:rPr>
          <w:rFonts w:hint="eastAsia" w:ascii="仿宋" w:hAnsi="仿宋" w:eastAsia="仿宋" w:cs="宋体"/>
          <w:kern w:val="0"/>
          <w:sz w:val="24"/>
          <w:szCs w:val="22"/>
          <w:u w:val="single"/>
          <w:lang w:val="en-US" w:eastAsia="zh-CN"/>
        </w:rPr>
        <w:t xml:space="preserve">                    </w:t>
      </w:r>
    </w:p>
    <w:p>
      <w:pPr>
        <w:widowControl/>
        <w:adjustRightInd/>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经过公开征集，甲方确定乙方为</w:t>
      </w:r>
      <w:r>
        <w:rPr>
          <w:rFonts w:hint="eastAsia" w:ascii="仿宋" w:hAnsi="仿宋" w:eastAsia="仿宋" w:cs="宋体"/>
          <w:kern w:val="0"/>
          <w:sz w:val="24"/>
          <w:szCs w:val="22"/>
          <w:u w:val="single"/>
        </w:rPr>
        <w:t xml:space="preserve"> </w:t>
      </w:r>
      <w:r>
        <w:rPr>
          <w:rFonts w:hint="eastAsia" w:ascii="仿宋" w:hAnsi="仿宋" w:eastAsia="仿宋" w:cs="宋体"/>
          <w:b/>
          <w:bCs/>
          <w:kern w:val="0"/>
          <w:sz w:val="24"/>
          <w:szCs w:val="22"/>
          <w:u w:val="single"/>
          <w:lang w:eastAsia="zh-CN"/>
        </w:rPr>
        <w:t>建德市发展和改革局2025-2026年度节能审查委托咨询评估项目</w:t>
      </w:r>
      <w:r>
        <w:rPr>
          <w:rFonts w:hint="eastAsia" w:ascii="仿宋" w:hAnsi="仿宋" w:eastAsia="仿宋" w:cs="宋体"/>
          <w:b/>
          <w:bCs/>
          <w:kern w:val="0"/>
          <w:sz w:val="24"/>
          <w:szCs w:val="22"/>
          <w:u w:val="single"/>
          <w:lang w:val="en-US" w:eastAsia="zh-CN"/>
        </w:rPr>
        <w:t xml:space="preserve"> </w:t>
      </w:r>
      <w:r>
        <w:rPr>
          <w:rFonts w:hint="eastAsia" w:ascii="仿宋" w:hAnsi="仿宋" w:eastAsia="仿宋" w:cs="宋体"/>
          <w:kern w:val="0"/>
          <w:sz w:val="24"/>
          <w:szCs w:val="22"/>
        </w:rPr>
        <w:t>的入围供应商，排序第</w:t>
      </w:r>
      <w:r>
        <w:rPr>
          <w:rFonts w:hint="eastAsia" w:ascii="仿宋" w:hAnsi="仿宋" w:eastAsia="仿宋" w:cs="宋体"/>
          <w:kern w:val="0"/>
          <w:sz w:val="24"/>
          <w:szCs w:val="22"/>
          <w:u w:val="single"/>
          <w:lang w:val="en-US" w:eastAsia="zh-CN"/>
        </w:rPr>
        <w:t xml:space="preserve">   </w:t>
      </w:r>
      <w:r>
        <w:rPr>
          <w:rFonts w:hint="eastAsia" w:ascii="仿宋" w:hAnsi="仿宋" w:eastAsia="仿宋" w:cs="宋体"/>
          <w:kern w:val="0"/>
          <w:sz w:val="24"/>
          <w:szCs w:val="22"/>
        </w:rPr>
        <w:t>个。为明确双方权利义务，经协商一致，签订本封闭式框架协议书。</w:t>
      </w:r>
    </w:p>
    <w:p>
      <w:pPr>
        <w:widowControl/>
        <w:adjustRightInd/>
        <w:spacing w:line="480" w:lineRule="exact"/>
        <w:ind w:firstLine="482" w:firstLineChars="200"/>
        <w:outlineLvl w:val="1"/>
        <w:rPr>
          <w:rFonts w:ascii="仿宋" w:hAnsi="仿宋" w:eastAsia="仿宋" w:cs="宋体"/>
          <w:sz w:val="24"/>
          <w:szCs w:val="22"/>
        </w:rPr>
      </w:pPr>
      <w:r>
        <w:rPr>
          <w:rFonts w:hint="eastAsia" w:ascii="仿宋" w:hAnsi="仿宋" w:eastAsia="仿宋" w:cs="宋体"/>
          <w:b/>
          <w:bCs/>
          <w:kern w:val="0"/>
          <w:sz w:val="24"/>
          <w:szCs w:val="22"/>
        </w:rPr>
        <w:t>一、</w:t>
      </w:r>
      <w:r>
        <w:rPr>
          <w:rFonts w:hint="eastAsia" w:ascii="仿宋" w:hAnsi="仿宋" w:eastAsia="仿宋" w:cs="宋体"/>
          <w:b/>
          <w:kern w:val="0"/>
          <w:sz w:val="24"/>
          <w:szCs w:val="22"/>
        </w:rPr>
        <w:t>下列文件均为本协议的组成部分</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1.本协议书</w:t>
      </w:r>
    </w:p>
    <w:p>
      <w:pPr>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2.入围通知书</w:t>
      </w:r>
    </w:p>
    <w:p>
      <w:pPr>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3.入围供应商响应文件</w:t>
      </w:r>
    </w:p>
    <w:p>
      <w:pPr>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4.补充文件（若有）</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5.征集文件</w:t>
      </w:r>
    </w:p>
    <w:p>
      <w:pPr>
        <w:spacing w:line="480" w:lineRule="exact"/>
        <w:ind w:firstLine="482" w:firstLineChars="200"/>
        <w:outlineLvl w:val="1"/>
        <w:rPr>
          <w:rFonts w:ascii="仿宋" w:hAnsi="仿宋" w:eastAsia="仿宋" w:cs="宋体"/>
          <w:b/>
          <w:bCs/>
          <w:kern w:val="0"/>
          <w:sz w:val="24"/>
          <w:szCs w:val="22"/>
        </w:rPr>
      </w:pPr>
      <w:r>
        <w:rPr>
          <w:rFonts w:hint="eastAsia" w:ascii="仿宋" w:hAnsi="仿宋" w:eastAsia="仿宋" w:cs="宋体"/>
          <w:b/>
          <w:bCs/>
          <w:sz w:val="24"/>
          <w:szCs w:val="22"/>
        </w:rPr>
        <w:t>二、委托</w:t>
      </w:r>
      <w:r>
        <w:rPr>
          <w:rFonts w:hint="eastAsia" w:ascii="仿宋" w:hAnsi="仿宋" w:eastAsia="仿宋" w:cs="宋体"/>
          <w:b/>
          <w:bCs/>
          <w:kern w:val="0"/>
          <w:sz w:val="24"/>
          <w:szCs w:val="22"/>
        </w:rPr>
        <w:t>评审范围</w:t>
      </w:r>
    </w:p>
    <w:p>
      <w:pPr>
        <w:adjustRightInd/>
        <w:spacing w:line="480" w:lineRule="exact"/>
        <w:ind w:firstLine="480" w:firstLineChars="200"/>
        <w:rPr>
          <w:rFonts w:ascii="仿宋" w:hAnsi="仿宋" w:eastAsia="仿宋" w:cs="宋体"/>
          <w:sz w:val="24"/>
          <w:szCs w:val="22"/>
        </w:rPr>
      </w:pPr>
      <w:r>
        <w:rPr>
          <w:rFonts w:ascii="仿宋" w:hAnsi="仿宋" w:eastAsia="仿宋" w:cs="宋体"/>
          <w:sz w:val="24"/>
          <w:szCs w:val="22"/>
        </w:rPr>
        <w:t>年综合能源消费量</w:t>
      </w:r>
      <w:r>
        <w:rPr>
          <w:rFonts w:hint="eastAsia" w:ascii="仿宋" w:hAnsi="仿宋" w:eastAsia="仿宋" w:cs="宋体"/>
          <w:sz w:val="24"/>
          <w:szCs w:val="22"/>
          <w:lang w:val="en-US" w:eastAsia="zh-CN"/>
        </w:rPr>
        <w:t>1000吨标准煤（等价值）-</w:t>
      </w:r>
      <w:r>
        <w:rPr>
          <w:rFonts w:ascii="仿宋" w:hAnsi="仿宋" w:eastAsia="仿宋" w:cs="宋体"/>
          <w:sz w:val="24"/>
          <w:szCs w:val="22"/>
        </w:rPr>
        <w:t>5000吨标准煤</w:t>
      </w:r>
      <w:r>
        <w:rPr>
          <w:rFonts w:hint="eastAsia" w:ascii="仿宋" w:hAnsi="仿宋" w:eastAsia="仿宋" w:cs="宋体"/>
          <w:sz w:val="24"/>
          <w:szCs w:val="22"/>
          <w:lang w:val="en-US" w:eastAsia="zh-CN"/>
        </w:rPr>
        <w:t>（等价值）</w:t>
      </w:r>
      <w:r>
        <w:rPr>
          <w:rFonts w:ascii="仿宋" w:hAnsi="仿宋" w:eastAsia="仿宋" w:cs="宋体"/>
          <w:sz w:val="24"/>
          <w:szCs w:val="22"/>
        </w:rPr>
        <w:t>的固定资产投资项目节能报告。</w:t>
      </w:r>
    </w:p>
    <w:p>
      <w:pPr>
        <w:spacing w:line="480" w:lineRule="exact"/>
        <w:ind w:firstLine="482" w:firstLineChars="200"/>
        <w:outlineLvl w:val="1"/>
        <w:rPr>
          <w:rFonts w:ascii="仿宋" w:hAnsi="仿宋" w:eastAsia="仿宋" w:cs="宋体"/>
          <w:b/>
          <w:bCs/>
          <w:kern w:val="0"/>
          <w:sz w:val="24"/>
        </w:rPr>
      </w:pPr>
      <w:r>
        <w:rPr>
          <w:rFonts w:hint="eastAsia" w:ascii="仿宋" w:hAnsi="仿宋" w:eastAsia="仿宋" w:cs="宋体"/>
          <w:b/>
          <w:bCs/>
          <w:kern w:val="0"/>
          <w:sz w:val="24"/>
        </w:rPr>
        <w:t>三、评审内容</w:t>
      </w:r>
    </w:p>
    <w:p>
      <w:pPr>
        <w:spacing w:line="480" w:lineRule="exact"/>
        <w:ind w:firstLine="480" w:firstLineChars="200"/>
        <w:rPr>
          <w:rFonts w:ascii="仿宋" w:hAnsi="仿宋" w:eastAsia="仿宋" w:cs="宋体"/>
          <w:sz w:val="24"/>
        </w:rPr>
      </w:pPr>
      <w:r>
        <w:rPr>
          <w:rFonts w:hint="eastAsia" w:ascii="仿宋" w:hAnsi="仿宋" w:eastAsia="仿宋" w:cs="宋体"/>
          <w:sz w:val="24"/>
        </w:rPr>
        <w:t>（一）固定资产投资项目节能报告评审</w:t>
      </w:r>
    </w:p>
    <w:p>
      <w:pPr>
        <w:spacing w:line="480" w:lineRule="exact"/>
        <w:ind w:firstLine="480" w:firstLineChars="200"/>
        <w:rPr>
          <w:rFonts w:ascii="仿宋" w:hAnsi="仿宋" w:eastAsia="仿宋" w:cs="宋体"/>
          <w:sz w:val="24"/>
        </w:rPr>
      </w:pPr>
      <w:r>
        <w:rPr>
          <w:rFonts w:hint="eastAsia" w:ascii="仿宋" w:hAnsi="仿宋" w:eastAsia="仿宋" w:cs="宋体"/>
          <w:sz w:val="24"/>
        </w:rPr>
        <w:t>（1）项目是否符合节能有关法律法规、标准规范、产业政策；</w:t>
      </w:r>
    </w:p>
    <w:p>
      <w:pPr>
        <w:spacing w:line="480" w:lineRule="exact"/>
        <w:ind w:firstLine="480" w:firstLineChars="200"/>
        <w:rPr>
          <w:rFonts w:ascii="仿宋" w:hAnsi="仿宋" w:eastAsia="仿宋" w:cs="宋体"/>
          <w:sz w:val="24"/>
        </w:rPr>
      </w:pPr>
      <w:r>
        <w:rPr>
          <w:rFonts w:hint="eastAsia" w:ascii="仿宋" w:hAnsi="仿宋" w:eastAsia="仿宋" w:cs="宋体"/>
          <w:sz w:val="24"/>
        </w:rPr>
        <w:t>（2）审核项目年综合能源消费量、单位工业增加值能耗；</w:t>
      </w:r>
    </w:p>
    <w:p>
      <w:pPr>
        <w:spacing w:line="480" w:lineRule="exact"/>
        <w:ind w:firstLine="480" w:firstLineChars="200"/>
        <w:rPr>
          <w:rFonts w:ascii="仿宋" w:hAnsi="仿宋" w:eastAsia="仿宋" w:cs="宋体"/>
          <w:sz w:val="24"/>
        </w:rPr>
      </w:pPr>
      <w:r>
        <w:rPr>
          <w:rFonts w:hint="eastAsia" w:ascii="仿宋" w:hAnsi="仿宋" w:eastAsia="仿宋" w:cs="宋体"/>
          <w:sz w:val="24"/>
        </w:rPr>
        <w:t>（3）审核项目主要用能设备、通用设备等的能效水平；</w:t>
      </w:r>
    </w:p>
    <w:p>
      <w:pPr>
        <w:spacing w:line="480" w:lineRule="exact"/>
        <w:ind w:firstLine="480" w:firstLineChars="200"/>
        <w:rPr>
          <w:rFonts w:ascii="仿宋" w:hAnsi="仿宋" w:eastAsia="仿宋" w:cs="宋体"/>
          <w:sz w:val="24"/>
        </w:rPr>
      </w:pPr>
      <w:r>
        <w:rPr>
          <w:rFonts w:hint="eastAsia" w:ascii="仿宋" w:hAnsi="仿宋" w:eastAsia="仿宋" w:cs="宋体"/>
          <w:sz w:val="24"/>
        </w:rPr>
        <w:t>（4）审核能耗平衡方案、煤炭消费减量及替代等方案的可行性、真实性和可操作性；</w:t>
      </w:r>
    </w:p>
    <w:p>
      <w:pPr>
        <w:spacing w:line="480" w:lineRule="exact"/>
        <w:ind w:firstLine="480" w:firstLineChars="200"/>
        <w:rPr>
          <w:rFonts w:ascii="仿宋" w:hAnsi="仿宋" w:eastAsia="仿宋" w:cs="宋体"/>
          <w:sz w:val="24"/>
        </w:rPr>
      </w:pPr>
      <w:r>
        <w:rPr>
          <w:rFonts w:hint="eastAsia" w:ascii="仿宋" w:hAnsi="仿宋" w:eastAsia="仿宋" w:cs="宋体"/>
          <w:sz w:val="24"/>
        </w:rPr>
        <w:t>（5）分析测算项目对能源消费总量和强度“双控”目标的影响；</w:t>
      </w:r>
    </w:p>
    <w:p>
      <w:pPr>
        <w:spacing w:line="480" w:lineRule="exact"/>
        <w:ind w:firstLine="480" w:firstLineChars="200"/>
        <w:rPr>
          <w:rFonts w:ascii="仿宋" w:hAnsi="仿宋" w:eastAsia="仿宋" w:cs="宋体"/>
          <w:sz w:val="24"/>
        </w:rPr>
      </w:pPr>
      <w:r>
        <w:rPr>
          <w:rFonts w:hint="eastAsia" w:ascii="仿宋" w:hAnsi="仿宋" w:eastAsia="仿宋" w:cs="宋体"/>
          <w:sz w:val="24"/>
        </w:rPr>
        <w:t>（6）分析节能措施是否合理可行，及相关意见、建议等。</w:t>
      </w:r>
    </w:p>
    <w:p>
      <w:pPr>
        <w:spacing w:line="480" w:lineRule="exact"/>
        <w:ind w:firstLine="482" w:firstLineChars="200"/>
        <w:outlineLvl w:val="1"/>
        <w:rPr>
          <w:rFonts w:ascii="仿宋" w:hAnsi="仿宋" w:eastAsia="仿宋" w:cs="宋体"/>
          <w:b/>
          <w:bCs/>
          <w:kern w:val="0"/>
          <w:sz w:val="24"/>
        </w:rPr>
      </w:pPr>
      <w:r>
        <w:rPr>
          <w:rFonts w:hint="eastAsia" w:ascii="仿宋" w:hAnsi="仿宋" w:eastAsia="仿宋" w:cs="宋体"/>
          <w:b/>
          <w:bCs/>
          <w:sz w:val="24"/>
        </w:rPr>
        <w:t>四、</w:t>
      </w:r>
      <w:r>
        <w:rPr>
          <w:rFonts w:hint="eastAsia" w:ascii="仿宋" w:hAnsi="仿宋" w:eastAsia="仿宋" w:cs="宋体"/>
          <w:b/>
          <w:bCs/>
          <w:kern w:val="0"/>
          <w:sz w:val="24"/>
        </w:rPr>
        <w:t>服务要求</w:t>
      </w:r>
    </w:p>
    <w:p>
      <w:pPr>
        <w:spacing w:line="480" w:lineRule="exact"/>
        <w:ind w:firstLine="480" w:firstLineChars="200"/>
        <w:rPr>
          <w:rFonts w:ascii="仿宋" w:hAnsi="仿宋" w:eastAsia="仿宋" w:cs="宋体"/>
          <w:kern w:val="0"/>
          <w:sz w:val="24"/>
          <w:szCs w:val="22"/>
        </w:rPr>
      </w:pPr>
      <w:r>
        <w:rPr>
          <w:rFonts w:hint="eastAsia" w:ascii="仿宋" w:hAnsi="仿宋" w:eastAsia="仿宋" w:cs="宋体"/>
          <w:sz w:val="24"/>
          <w:szCs w:val="22"/>
        </w:rPr>
        <w:t>1.进度要求：乙方接到评审任务单后7个工作日内（具体以评审任务单通知的时间为准）对项目节能报告进行审查，形成专家评审意见，对改扩建等固定资产投资项目及腾出存量用能平衡方案还需开展现场踏勘，出具评审报告初稿。乙方收到</w:t>
      </w:r>
      <w:bookmarkStart w:id="422" w:name="_Hlk126922678"/>
      <w:r>
        <w:rPr>
          <w:rFonts w:hint="eastAsia" w:ascii="仿宋" w:hAnsi="仿宋" w:eastAsia="仿宋" w:cs="宋体"/>
          <w:sz w:val="24"/>
          <w:szCs w:val="22"/>
        </w:rPr>
        <w:t>项目建设单位修改后的节能报告</w:t>
      </w:r>
      <w:bookmarkEnd w:id="422"/>
      <w:r>
        <w:rPr>
          <w:rFonts w:hint="eastAsia" w:ascii="仿宋" w:hAnsi="仿宋" w:eastAsia="仿宋" w:cs="宋体"/>
          <w:sz w:val="24"/>
          <w:szCs w:val="22"/>
        </w:rPr>
        <w:t>后，3个工作日内对修改情况进行复核确认，提出节能审查意见，出具正式评审报告。</w:t>
      </w:r>
    </w:p>
    <w:p>
      <w:pPr>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2.成果要求：所有评审成果要求提供电子资料和纸质文档，出具正式评审报告后10个工作日内移交甲方。</w:t>
      </w:r>
    </w:p>
    <w:p>
      <w:pPr>
        <w:widowControl/>
        <w:adjustRightInd/>
        <w:spacing w:line="480" w:lineRule="exact"/>
        <w:ind w:firstLine="482" w:firstLineChars="200"/>
        <w:outlineLvl w:val="1"/>
        <w:rPr>
          <w:rFonts w:ascii="仿宋" w:hAnsi="仿宋" w:eastAsia="仿宋" w:cs="宋体"/>
          <w:b/>
          <w:bCs/>
          <w:sz w:val="24"/>
          <w:szCs w:val="22"/>
        </w:rPr>
      </w:pPr>
      <w:r>
        <w:rPr>
          <w:rFonts w:hint="eastAsia" w:ascii="仿宋" w:hAnsi="仿宋" w:eastAsia="仿宋" w:cs="宋体"/>
          <w:b/>
          <w:bCs/>
          <w:sz w:val="24"/>
          <w:szCs w:val="22"/>
        </w:rPr>
        <w:t>五、协议价格及支付方式</w:t>
      </w:r>
    </w:p>
    <w:p>
      <w:pPr>
        <w:spacing w:line="480" w:lineRule="exact"/>
        <w:ind w:firstLine="480" w:firstLineChars="200"/>
        <w:rPr>
          <w:rFonts w:ascii="仿宋" w:hAnsi="仿宋" w:eastAsia="仿宋" w:cs="宋体"/>
          <w:sz w:val="24"/>
          <w:szCs w:val="22"/>
        </w:rPr>
      </w:pPr>
      <w:r>
        <w:rPr>
          <w:rFonts w:hint="eastAsia" w:ascii="仿宋" w:hAnsi="仿宋" w:eastAsia="仿宋" w:cs="宋体"/>
          <w:kern w:val="0"/>
          <w:sz w:val="24"/>
          <w:szCs w:val="22"/>
        </w:rPr>
        <w:t>1.固定资产投资项目节能报告评审</w:t>
      </w:r>
      <w:r>
        <w:rPr>
          <w:rFonts w:hint="eastAsia" w:ascii="仿宋" w:hAnsi="仿宋" w:eastAsia="仿宋" w:cs="宋体"/>
          <w:kern w:val="0"/>
          <w:sz w:val="24"/>
          <w:szCs w:val="22"/>
          <w:u w:val="single"/>
        </w:rPr>
        <w:t xml:space="preserve"> </w:t>
      </w:r>
      <w:r>
        <w:rPr>
          <w:rFonts w:hint="eastAsia" w:ascii="仿宋" w:hAnsi="仿宋" w:eastAsia="仿宋" w:cs="宋体"/>
          <w:kern w:val="0"/>
          <w:sz w:val="24"/>
          <w:szCs w:val="22"/>
          <w:u w:val="single"/>
          <w:lang w:val="en-US" w:eastAsia="zh-CN"/>
        </w:rPr>
        <w:t xml:space="preserve">（入围单价） </w:t>
      </w:r>
      <w:r>
        <w:rPr>
          <w:rFonts w:hint="eastAsia" w:ascii="仿宋" w:hAnsi="仿宋" w:eastAsia="仿宋" w:cs="宋体"/>
          <w:kern w:val="0"/>
          <w:sz w:val="24"/>
          <w:szCs w:val="22"/>
        </w:rPr>
        <w:t>元/个</w:t>
      </w:r>
      <w:r>
        <w:rPr>
          <w:rFonts w:hint="eastAsia" w:ascii="仿宋" w:hAnsi="仿宋" w:eastAsia="仿宋" w:cs="宋体"/>
          <w:sz w:val="24"/>
          <w:szCs w:val="22"/>
        </w:rPr>
        <w:t>。协议有效期内，单价固定不变。</w:t>
      </w:r>
    </w:p>
    <w:p>
      <w:pPr>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2.甲方将分别于6月底、11月底和框架协议有效期内委托的项目全部结束验收后，统计各入围单位委托项目完成数量，按入围单价按实结算，乙方开具正式发票，甲方自收到乙方发票后15个工作日内支付结算价的100%。协议有效期截止时间前已委托，但由于财政关账等原因未支付的项目，于下一年度支付。</w:t>
      </w:r>
    </w:p>
    <w:p>
      <w:pPr>
        <w:widowControl/>
        <w:adjustRightInd/>
        <w:snapToGrid w:val="0"/>
        <w:spacing w:line="480" w:lineRule="exact"/>
        <w:ind w:firstLine="482" w:firstLineChars="200"/>
        <w:rPr>
          <w:rFonts w:ascii="仿宋" w:hAnsi="仿宋" w:eastAsia="仿宋" w:cs="宋体"/>
          <w:b/>
          <w:bCs/>
          <w:sz w:val="24"/>
          <w:szCs w:val="22"/>
        </w:rPr>
      </w:pPr>
      <w:r>
        <w:rPr>
          <w:rFonts w:hint="eastAsia" w:ascii="仿宋" w:hAnsi="仿宋" w:eastAsia="仿宋" w:cs="宋体"/>
          <w:b/>
          <w:bCs/>
          <w:sz w:val="24"/>
          <w:szCs w:val="22"/>
        </w:rPr>
        <w:t>六、封闭式框架协议有效期</w:t>
      </w:r>
    </w:p>
    <w:p>
      <w:pPr>
        <w:widowControl/>
        <w:tabs>
          <w:tab w:val="left" w:pos="312"/>
        </w:tabs>
        <w:adjustRightInd/>
        <w:spacing w:line="480" w:lineRule="exact"/>
        <w:ind w:firstLine="480" w:firstLineChars="200"/>
        <w:rPr>
          <w:rFonts w:ascii="仿宋" w:hAnsi="仿宋" w:eastAsia="仿宋" w:cs="宋体"/>
          <w:b/>
          <w:kern w:val="0"/>
          <w:sz w:val="24"/>
          <w:szCs w:val="22"/>
        </w:rPr>
      </w:pPr>
      <w:r>
        <w:rPr>
          <w:rFonts w:hint="eastAsia" w:ascii="仿宋" w:hAnsi="仿宋" w:eastAsia="仿宋" w:cs="宋体"/>
          <w:sz w:val="24"/>
          <w:szCs w:val="22"/>
        </w:rPr>
        <w:t>1.有效期：框架协议签订之日</w:t>
      </w:r>
      <w:r>
        <w:rPr>
          <w:rFonts w:hint="eastAsia" w:ascii="仿宋" w:hAnsi="仿宋" w:eastAsia="仿宋" w:cs="宋体"/>
          <w:kern w:val="0"/>
          <w:sz w:val="24"/>
          <w:szCs w:val="22"/>
          <w:lang w:eastAsia="zh-CN"/>
        </w:rPr>
        <w:t>起二年</w:t>
      </w:r>
      <w:r>
        <w:rPr>
          <w:rFonts w:hint="eastAsia" w:ascii="仿宋" w:hAnsi="仿宋" w:eastAsia="仿宋" w:cs="宋体"/>
          <w:kern w:val="0"/>
          <w:sz w:val="24"/>
          <w:szCs w:val="22"/>
        </w:rPr>
        <w:t>。</w:t>
      </w:r>
    </w:p>
    <w:p>
      <w:pPr>
        <w:widowControl/>
        <w:tabs>
          <w:tab w:val="left" w:pos="312"/>
        </w:tabs>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2.在协议有效期内，乙方无正当理由，不得主动放弃入围资格或者退出框架协议。</w:t>
      </w:r>
    </w:p>
    <w:p>
      <w:pPr>
        <w:widowControl/>
        <w:adjustRightInd/>
        <w:spacing w:line="480" w:lineRule="exact"/>
        <w:ind w:firstLine="482" w:firstLineChars="200"/>
        <w:outlineLvl w:val="1"/>
        <w:rPr>
          <w:rFonts w:ascii="仿宋" w:hAnsi="仿宋" w:eastAsia="仿宋" w:cs="宋体"/>
          <w:b/>
          <w:bCs/>
          <w:sz w:val="24"/>
          <w:szCs w:val="22"/>
        </w:rPr>
      </w:pPr>
      <w:r>
        <w:rPr>
          <w:rFonts w:hint="eastAsia" w:ascii="仿宋" w:hAnsi="仿宋" w:eastAsia="仿宋" w:cs="宋体"/>
          <w:b/>
          <w:bCs/>
          <w:sz w:val="24"/>
          <w:szCs w:val="22"/>
        </w:rPr>
        <w:t>七、适用框架协议的采购人范围、履行协议的地域范围</w:t>
      </w:r>
    </w:p>
    <w:p>
      <w:pPr>
        <w:adjustRightInd/>
        <w:spacing w:line="480" w:lineRule="exact"/>
        <w:ind w:firstLine="480" w:firstLineChars="200"/>
        <w:rPr>
          <w:rFonts w:ascii="仿宋" w:hAnsi="仿宋" w:eastAsia="仿宋" w:cs="宋体"/>
          <w:bCs/>
          <w:sz w:val="24"/>
          <w:shd w:val="clear" w:color="auto" w:fill="FFFFFF"/>
        </w:rPr>
      </w:pPr>
      <w:r>
        <w:rPr>
          <w:rFonts w:hint="eastAsia" w:ascii="仿宋" w:hAnsi="仿宋" w:eastAsia="仿宋" w:cs="宋体"/>
          <w:bCs/>
          <w:sz w:val="24"/>
          <w:shd w:val="clear" w:color="auto" w:fill="FFFFFF"/>
        </w:rPr>
        <w:t>1.采购人范围：</w:t>
      </w:r>
      <w:r>
        <w:rPr>
          <w:rFonts w:hint="eastAsia" w:ascii="仿宋" w:hAnsi="仿宋" w:eastAsia="仿宋" w:cs="宋体"/>
          <w:bCs/>
          <w:kern w:val="0"/>
          <w:sz w:val="24"/>
        </w:rPr>
        <w:t>建德市发展和改革局</w:t>
      </w:r>
    </w:p>
    <w:p>
      <w:pPr>
        <w:adjustRightInd/>
        <w:spacing w:line="480" w:lineRule="exact"/>
        <w:ind w:firstLine="480" w:firstLineChars="200"/>
        <w:rPr>
          <w:rFonts w:hint="eastAsia" w:ascii="仿宋" w:hAnsi="仿宋" w:eastAsia="仿宋" w:cs="宋体"/>
          <w:bCs/>
          <w:sz w:val="24"/>
          <w:shd w:val="clear" w:color="auto" w:fill="FFFFFF"/>
          <w:lang w:eastAsia="zh-CN"/>
        </w:rPr>
      </w:pPr>
      <w:r>
        <w:rPr>
          <w:rFonts w:hint="eastAsia" w:ascii="仿宋" w:hAnsi="仿宋" w:eastAsia="仿宋" w:cs="宋体"/>
          <w:bCs/>
          <w:sz w:val="24"/>
          <w:shd w:val="clear" w:color="auto" w:fill="FFFFFF"/>
        </w:rPr>
        <w:t>2.履行协议的地域范围：</w:t>
      </w:r>
      <w:r>
        <w:rPr>
          <w:rFonts w:hint="eastAsia" w:ascii="仿宋" w:hAnsi="仿宋" w:eastAsia="仿宋" w:cs="宋体"/>
          <w:bCs/>
          <w:sz w:val="24"/>
          <w:shd w:val="clear" w:color="auto" w:fill="FFFFFF"/>
          <w:lang w:val="en-US" w:eastAsia="zh-CN"/>
        </w:rPr>
        <w:t>建德市</w:t>
      </w:r>
    </w:p>
    <w:p>
      <w:pPr>
        <w:widowControl/>
        <w:adjustRightInd/>
        <w:spacing w:line="480" w:lineRule="exact"/>
        <w:ind w:firstLine="482" w:firstLineChars="200"/>
        <w:outlineLvl w:val="1"/>
        <w:rPr>
          <w:rFonts w:ascii="仿宋" w:hAnsi="仿宋" w:eastAsia="仿宋" w:cs="宋体"/>
          <w:b/>
          <w:bCs/>
          <w:sz w:val="24"/>
          <w:szCs w:val="22"/>
        </w:rPr>
      </w:pPr>
      <w:r>
        <w:rPr>
          <w:rFonts w:hint="eastAsia" w:ascii="仿宋" w:hAnsi="仿宋" w:eastAsia="仿宋" w:cs="宋体"/>
          <w:b/>
          <w:bCs/>
          <w:sz w:val="24"/>
          <w:szCs w:val="22"/>
        </w:rPr>
        <w:t>八、项目班子成员一览表</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1.具体成员表见附件。</w:t>
      </w:r>
    </w:p>
    <w:p>
      <w:pPr>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2.除约定情况外人员不得随意变更，实际项目评审服务人员必须为名单之列。如符合情况需人员调整的，乙方应书面（加盖公章）报甲方同意，变更替换人员应为乙方在职人员（社保缴纳3个月及以上）且不低于被替换人员的技术职称、执业资格要求。</w:t>
      </w:r>
    </w:p>
    <w:p>
      <w:pPr>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服务期间，项目班子成员除下列情形外，项目班子成员不得变更：</w:t>
      </w:r>
    </w:p>
    <w:p>
      <w:pPr>
        <w:adjustRightInd/>
        <w:spacing w:line="480" w:lineRule="exact"/>
        <w:ind w:firstLine="240" w:firstLineChars="100"/>
        <w:jc w:val="left"/>
        <w:rPr>
          <w:rFonts w:ascii="仿宋" w:hAnsi="仿宋" w:eastAsia="仿宋" w:cs="宋体"/>
          <w:sz w:val="24"/>
          <w:szCs w:val="22"/>
        </w:rPr>
      </w:pPr>
      <w:r>
        <w:rPr>
          <w:rFonts w:hint="eastAsia" w:ascii="仿宋" w:hAnsi="仿宋" w:eastAsia="仿宋" w:cs="宋体"/>
          <w:sz w:val="24"/>
          <w:szCs w:val="22"/>
        </w:rPr>
        <w:t>（1）因离职、患病或其他人身意外等不可抗力导致无法从事服务工作的；</w:t>
      </w:r>
    </w:p>
    <w:p>
      <w:pPr>
        <w:adjustRightInd/>
        <w:spacing w:line="480" w:lineRule="exact"/>
        <w:ind w:firstLine="240" w:firstLineChars="100"/>
        <w:jc w:val="left"/>
        <w:rPr>
          <w:rFonts w:ascii="仿宋" w:hAnsi="仿宋" w:eastAsia="仿宋" w:cs="宋体"/>
          <w:sz w:val="24"/>
          <w:szCs w:val="22"/>
        </w:rPr>
      </w:pPr>
      <w:r>
        <w:rPr>
          <w:rFonts w:hint="eastAsia" w:ascii="仿宋" w:hAnsi="仿宋" w:eastAsia="仿宋" w:cs="宋体"/>
          <w:sz w:val="24"/>
          <w:szCs w:val="22"/>
        </w:rPr>
        <w:t>（2）因被行政主管部门责令停止执业资格、吊销相关证书及被有关部门依法追究刑事责任的；</w:t>
      </w:r>
    </w:p>
    <w:p>
      <w:pPr>
        <w:adjustRightInd/>
        <w:spacing w:line="480" w:lineRule="exact"/>
        <w:ind w:firstLine="240" w:firstLineChars="100"/>
        <w:jc w:val="left"/>
        <w:rPr>
          <w:rFonts w:ascii="仿宋" w:hAnsi="仿宋" w:eastAsia="仿宋" w:cs="宋体"/>
          <w:sz w:val="24"/>
          <w:szCs w:val="22"/>
        </w:rPr>
      </w:pPr>
      <w:r>
        <w:rPr>
          <w:rFonts w:hint="eastAsia" w:ascii="仿宋" w:hAnsi="仿宋" w:eastAsia="仿宋" w:cs="宋体"/>
          <w:sz w:val="24"/>
          <w:szCs w:val="22"/>
        </w:rPr>
        <w:t>（3）甲方认为履职不到位、工作存在严重失误的项目班子成员，乙方应按甲方要求进行项目组成员变更。</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符合上述项目班子成员变更情形的，变更时应提供相应证明材料：劳动合同解除协议、医院证明材料、行政处罚决定书或法院判决书等。</w:t>
      </w:r>
    </w:p>
    <w:p>
      <w:pPr>
        <w:widowControl/>
        <w:adjustRightInd/>
        <w:spacing w:line="480" w:lineRule="exact"/>
        <w:ind w:firstLine="482" w:firstLineChars="200"/>
        <w:outlineLvl w:val="1"/>
        <w:rPr>
          <w:rFonts w:ascii="仿宋" w:hAnsi="仿宋" w:eastAsia="仿宋" w:cs="宋体"/>
          <w:b/>
          <w:bCs/>
          <w:sz w:val="24"/>
          <w:szCs w:val="22"/>
        </w:rPr>
      </w:pPr>
      <w:r>
        <w:rPr>
          <w:rFonts w:hint="eastAsia" w:ascii="仿宋" w:hAnsi="仿宋" w:eastAsia="仿宋" w:cs="宋体"/>
          <w:b/>
          <w:bCs/>
          <w:sz w:val="24"/>
          <w:szCs w:val="22"/>
        </w:rPr>
        <w:t>九、确定第二阶段成交供应商的方式</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确定第二阶段成交供应商的方式为顺序轮候，原则上按入围供应商的综合得分高到低排序循环方式进行分配。</w:t>
      </w:r>
    </w:p>
    <w:p>
      <w:pPr>
        <w:widowControl/>
        <w:adjustRightInd/>
        <w:spacing w:line="480" w:lineRule="exact"/>
        <w:ind w:firstLine="480" w:firstLineChars="200"/>
        <w:jc w:val="left"/>
        <w:outlineLvl w:val="1"/>
        <w:rPr>
          <w:rFonts w:ascii="仿宋" w:hAnsi="仿宋" w:eastAsia="仿宋" w:cs="宋体"/>
          <w:b/>
          <w:bCs/>
          <w:sz w:val="24"/>
          <w:szCs w:val="22"/>
        </w:rPr>
      </w:pPr>
      <w:r>
        <w:rPr>
          <w:rFonts w:hint="eastAsia" w:ascii="仿宋" w:hAnsi="仿宋" w:eastAsia="仿宋" w:cs="宋体"/>
          <w:sz w:val="24"/>
          <w:szCs w:val="22"/>
        </w:rPr>
        <w:t>入围供应商在每个轮候期内，只有一次获得委托评审任务的机会。除清退入围供应商和补充征集外，框架协议有效期内不得调整委托评审任务顺序。轮候单位出现需申请回避的情形的，该单位在本轮排序循环中跳过，本轮下一个项目再优先委托该单位。</w:t>
      </w:r>
    </w:p>
    <w:p>
      <w:pPr>
        <w:widowControl/>
        <w:adjustRightInd/>
        <w:spacing w:line="480" w:lineRule="exact"/>
        <w:ind w:firstLine="482" w:firstLineChars="200"/>
        <w:jc w:val="left"/>
        <w:outlineLvl w:val="1"/>
        <w:rPr>
          <w:rFonts w:ascii="仿宋" w:hAnsi="仿宋" w:eastAsia="仿宋" w:cs="宋体"/>
          <w:b/>
          <w:bCs/>
          <w:sz w:val="24"/>
          <w:szCs w:val="22"/>
        </w:rPr>
      </w:pPr>
      <w:r>
        <w:rPr>
          <w:rFonts w:hint="eastAsia" w:ascii="仿宋" w:hAnsi="仿宋" w:eastAsia="仿宋" w:cs="宋体"/>
          <w:b/>
          <w:bCs/>
          <w:sz w:val="24"/>
          <w:szCs w:val="22"/>
        </w:rPr>
        <w:t>十、入围供应商监督管理</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1.建德市发展和改革局机关党委负责受理对委托评审工作的举报、投诉，负责进行检查核实，</w:t>
      </w:r>
      <w:r>
        <w:rPr>
          <w:rFonts w:hint="eastAsia" w:ascii="仿宋" w:hAnsi="仿宋" w:eastAsia="仿宋" w:cs="宋体"/>
          <w:sz w:val="24"/>
          <w:szCs w:val="22"/>
          <w:lang w:eastAsia="zh-CN"/>
        </w:rPr>
        <w:t>做出</w:t>
      </w:r>
      <w:r>
        <w:rPr>
          <w:rFonts w:hint="eastAsia" w:ascii="仿宋" w:hAnsi="仿宋" w:eastAsia="仿宋" w:cs="宋体"/>
          <w:sz w:val="24"/>
          <w:szCs w:val="22"/>
        </w:rPr>
        <w:t>相应处理。</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2.乙方应当对节能报告和项目情况进行严格审核，对审核结果的公正性、合法性、真实性、准确性终身负责。在节能验收、节能监察评估等环节发现节能审查意见与实际情况偏差较大的，终止评审任务，并解除框架协议。</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3.乙方出现评审意见重大失误或质量低劣，验收不合格，未在规定时限内完成评审任务，以及其他违反国家法律法规行为，依据情节轻重采取警告整改</w:t>
      </w:r>
      <w:r>
        <w:rPr>
          <w:rFonts w:hint="eastAsia" w:ascii="仿宋" w:hAnsi="仿宋" w:eastAsia="仿宋" w:cs="宋体"/>
          <w:sz w:val="24"/>
          <w:szCs w:val="22"/>
          <w:lang w:eastAsia="zh-CN"/>
        </w:rPr>
        <w:t>直至</w:t>
      </w:r>
      <w:r>
        <w:rPr>
          <w:rFonts w:hint="eastAsia" w:ascii="仿宋" w:hAnsi="仿宋" w:eastAsia="仿宋" w:cs="宋体"/>
          <w:sz w:val="24"/>
          <w:szCs w:val="22"/>
        </w:rPr>
        <w:t>解除框架协议等处罚措施。</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4.建德市发展和改革局每年对当年审查项目进行抽查，抽查比例不少于10%，评审机构存在违规问题或评审质量不合格的，解除框架协议，问题严重的实施信用惩戒。</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5.乙方（入围供应商）无特殊原因不得拒绝委托评审任务，确因特殊原因不能承接的，在接到评审任务单后1个工作日内出具书面说明材料（加盖公章），逾期不出具书面说明材料的按拒绝委托评审任务处理。因特殊原因不能承接超过3个月的，解除框架协议。</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6.乙方与所承接的评审任务有下列情况之一的应当主动书面申请回避，书面申请回避的不按拒绝委托评审任务处理：</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（1）评审机构为委托评审项目的编制单位；</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（2）评审机构与委托评审项目的编制单位、项目业主单位之间存在控股、管理关系；</w:t>
      </w:r>
    </w:p>
    <w:p>
      <w:pPr>
        <w:adjustRightInd/>
        <w:spacing w:line="360" w:lineRule="auto"/>
        <w:ind w:firstLine="480" w:firstLineChars="200"/>
        <w:jc w:val="left"/>
        <w:rPr>
          <w:rFonts w:ascii="仿宋" w:hAnsi="仿宋" w:eastAsia="仿宋" w:cs="宋体"/>
          <w:sz w:val="24"/>
          <w:szCs w:val="22"/>
        </w:rPr>
      </w:pPr>
      <w:r>
        <w:rPr>
          <w:rFonts w:hint="eastAsia" w:ascii="仿宋" w:hAnsi="仿宋" w:eastAsia="仿宋" w:cs="宋体"/>
          <w:sz w:val="24"/>
          <w:szCs w:val="22"/>
        </w:rPr>
        <w:t>（3）评审机构与委托项目编制单位、项目业主单位有利害关系；</w:t>
      </w:r>
    </w:p>
    <w:p>
      <w:pPr>
        <w:adjustRightInd/>
        <w:spacing w:line="360" w:lineRule="auto"/>
        <w:ind w:firstLine="480" w:firstLineChars="200"/>
        <w:jc w:val="left"/>
        <w:rPr>
          <w:rFonts w:ascii="仿宋" w:hAnsi="仿宋" w:eastAsia="仿宋" w:cs="宋体"/>
          <w:sz w:val="24"/>
          <w:szCs w:val="22"/>
        </w:rPr>
      </w:pPr>
      <w:r>
        <w:rPr>
          <w:rFonts w:hint="eastAsia" w:ascii="仿宋" w:hAnsi="仿宋" w:eastAsia="仿宋" w:cs="宋体"/>
          <w:sz w:val="24"/>
          <w:szCs w:val="22"/>
        </w:rPr>
        <w:t>（4）</w:t>
      </w:r>
      <w:r>
        <w:rPr>
          <w:rFonts w:hint="eastAsia" w:ascii="仿宋" w:hAnsi="仿宋" w:eastAsia="仿宋" w:cs="宋体"/>
          <w:sz w:val="24"/>
          <w:szCs w:val="22"/>
          <w:lang w:eastAsia="zh-CN"/>
        </w:rPr>
        <w:t>其他</w:t>
      </w:r>
      <w:r>
        <w:rPr>
          <w:rFonts w:ascii="仿宋" w:hAnsi="仿宋" w:eastAsia="仿宋" w:cs="宋体"/>
          <w:sz w:val="24"/>
          <w:szCs w:val="22"/>
        </w:rPr>
        <w:t>需回避的情形</w:t>
      </w:r>
      <w:r>
        <w:rPr>
          <w:rFonts w:hint="eastAsia" w:ascii="仿宋" w:hAnsi="仿宋" w:eastAsia="仿宋" w:cs="宋体"/>
          <w:sz w:val="24"/>
          <w:szCs w:val="22"/>
        </w:rPr>
        <w:t>。</w:t>
      </w:r>
    </w:p>
    <w:p>
      <w:pPr>
        <w:adjustRightInd/>
        <w:spacing w:line="480" w:lineRule="exact"/>
        <w:ind w:firstLine="482" w:firstLineChars="200"/>
        <w:jc w:val="left"/>
        <w:rPr>
          <w:rFonts w:ascii="仿宋" w:hAnsi="仿宋" w:eastAsia="仿宋" w:cs="宋体"/>
          <w:b/>
          <w:bCs/>
          <w:sz w:val="24"/>
          <w:szCs w:val="22"/>
        </w:rPr>
      </w:pPr>
      <w:r>
        <w:rPr>
          <w:rFonts w:hint="eastAsia" w:ascii="仿宋" w:hAnsi="仿宋" w:eastAsia="仿宋" w:cs="宋体"/>
          <w:b/>
          <w:bCs/>
          <w:sz w:val="24"/>
          <w:szCs w:val="22"/>
        </w:rPr>
        <w:t>十一、技术情报和资料的保密</w:t>
      </w:r>
    </w:p>
    <w:p>
      <w:pPr>
        <w:adjustRightInd/>
        <w:spacing w:line="480" w:lineRule="exact"/>
        <w:ind w:firstLine="480" w:firstLineChars="200"/>
        <w:jc w:val="left"/>
        <w:rPr>
          <w:rFonts w:ascii="仿宋" w:hAnsi="仿宋" w:eastAsia="仿宋" w:cs="宋体"/>
          <w:b/>
          <w:bCs/>
          <w:sz w:val="24"/>
          <w:szCs w:val="22"/>
        </w:rPr>
      </w:pPr>
      <w:r>
        <w:rPr>
          <w:rFonts w:hint="eastAsia" w:ascii="仿宋" w:hAnsi="仿宋" w:eastAsia="仿宋" w:cs="宋体"/>
          <w:sz w:val="24"/>
          <w:szCs w:val="22"/>
        </w:rPr>
        <w:t>乙方承诺在项目实施过程中按照国家保密法律法规以及甲方的要求</w:t>
      </w:r>
      <w:r>
        <w:rPr>
          <w:rFonts w:hint="eastAsia" w:ascii="仿宋" w:hAnsi="仿宋" w:eastAsia="仿宋" w:cs="宋体"/>
          <w:sz w:val="24"/>
          <w:szCs w:val="22"/>
          <w:lang w:eastAsia="zh-CN"/>
        </w:rPr>
        <w:t>，</w:t>
      </w:r>
      <w:r>
        <w:rPr>
          <w:rFonts w:hint="eastAsia" w:ascii="仿宋" w:hAnsi="仿宋" w:eastAsia="仿宋" w:cs="宋体"/>
          <w:sz w:val="24"/>
          <w:szCs w:val="22"/>
        </w:rPr>
        <w:t>做好有关保密工作。乙方保证项目实施过程中的有关信息、文件等对第三方保密，非经甲方同意，不得公开或向第三方提供。</w:t>
      </w:r>
    </w:p>
    <w:p>
      <w:pPr>
        <w:widowControl/>
        <w:adjustRightInd/>
        <w:spacing w:line="480" w:lineRule="exact"/>
        <w:ind w:firstLine="482" w:firstLineChars="200"/>
        <w:jc w:val="left"/>
        <w:rPr>
          <w:rFonts w:ascii="仿宋" w:hAnsi="仿宋" w:eastAsia="仿宋" w:cs="宋体"/>
          <w:b/>
          <w:bCs/>
          <w:sz w:val="24"/>
          <w:szCs w:val="22"/>
        </w:rPr>
      </w:pPr>
      <w:r>
        <w:rPr>
          <w:rFonts w:hint="eastAsia" w:ascii="仿宋" w:hAnsi="仿宋" w:eastAsia="仿宋" w:cs="宋体"/>
          <w:b/>
          <w:bCs/>
          <w:sz w:val="24"/>
          <w:szCs w:val="22"/>
        </w:rPr>
        <w:t>十二、</w:t>
      </w:r>
      <w:r>
        <w:rPr>
          <w:rFonts w:hint="eastAsia" w:ascii="仿宋" w:hAnsi="仿宋" w:eastAsia="仿宋" w:cs="宋体"/>
          <w:b/>
          <w:bCs/>
          <w:sz w:val="24"/>
          <w:szCs w:val="22"/>
          <w:lang w:bidi="ar"/>
        </w:rPr>
        <w:t>成果应用和版权约定</w:t>
      </w:r>
    </w:p>
    <w:p>
      <w:pPr>
        <w:widowControl/>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lang w:bidi="ar"/>
        </w:rPr>
        <w:t>项目成果（包括过程性成果及最终成果）的知识产权归甲方所有。未经甲方允许，乙方不能对外发布或向第三方提供项目成果。乙方所提交最终成果不得侵犯第三方知识产权，否则由乙方承担相应的法律责任。</w:t>
      </w:r>
    </w:p>
    <w:p>
      <w:pPr>
        <w:widowControl/>
        <w:adjustRightInd/>
        <w:spacing w:line="480" w:lineRule="exact"/>
        <w:ind w:firstLine="482" w:firstLineChars="200"/>
        <w:outlineLvl w:val="1"/>
        <w:rPr>
          <w:rFonts w:ascii="仿宋" w:hAnsi="仿宋" w:eastAsia="仿宋" w:cs="宋体"/>
          <w:b/>
          <w:kern w:val="0"/>
          <w:sz w:val="24"/>
          <w:szCs w:val="22"/>
        </w:rPr>
      </w:pPr>
      <w:r>
        <w:rPr>
          <w:rFonts w:hint="eastAsia" w:ascii="仿宋" w:hAnsi="仿宋" w:eastAsia="仿宋" w:cs="宋体"/>
          <w:b/>
          <w:bCs/>
          <w:sz w:val="24"/>
          <w:szCs w:val="22"/>
        </w:rPr>
        <w:t>十</w:t>
      </w:r>
      <w:r>
        <w:rPr>
          <w:rFonts w:hint="eastAsia" w:ascii="仿宋" w:hAnsi="仿宋" w:eastAsia="仿宋" w:cs="宋体"/>
          <w:b/>
          <w:bCs/>
          <w:sz w:val="24"/>
          <w:szCs w:val="22"/>
          <w:lang w:eastAsia="zh-CN"/>
        </w:rPr>
        <w:t>三</w:t>
      </w:r>
      <w:r>
        <w:rPr>
          <w:rFonts w:hint="eastAsia" w:ascii="仿宋" w:hAnsi="仿宋" w:eastAsia="仿宋" w:cs="宋体"/>
          <w:b/>
          <w:bCs/>
          <w:sz w:val="24"/>
          <w:szCs w:val="22"/>
        </w:rPr>
        <w:t>、入围供应商清退和补充规则</w:t>
      </w:r>
    </w:p>
    <w:p>
      <w:pPr>
        <w:snapToGrid w:val="0"/>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1.清退规则</w:t>
      </w:r>
    </w:p>
    <w:p>
      <w:pPr>
        <w:snapToGrid w:val="0"/>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（1）一个年度内乙方有下列情况之一的，甲方可提前解除框架协议，并在建德市发展和改革局网站上公布。</w:t>
      </w:r>
    </w:p>
    <w:p>
      <w:pPr>
        <w:snapToGrid w:val="0"/>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①无正当理由发生拒绝评审服务1次；</w:t>
      </w:r>
    </w:p>
    <w:p>
      <w:pPr>
        <w:snapToGrid w:val="0"/>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②延期提交评审成果达3次；</w:t>
      </w:r>
    </w:p>
    <w:p>
      <w:pPr>
        <w:snapToGrid w:val="0"/>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③验收不合格项目达2个；</w:t>
      </w:r>
    </w:p>
    <w:p>
      <w:pPr>
        <w:snapToGrid w:val="0"/>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④未经甲方变更项目班子人员；</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kern w:val="0"/>
          <w:sz w:val="24"/>
          <w:szCs w:val="22"/>
        </w:rPr>
        <w:t>⑤将承接的评审项目转包（分包）给他方</w:t>
      </w:r>
      <w:r>
        <w:rPr>
          <w:rFonts w:hint="eastAsia" w:ascii="仿宋" w:hAnsi="仿宋" w:eastAsia="仿宋" w:cs="宋体"/>
          <w:sz w:val="24"/>
          <w:szCs w:val="22"/>
        </w:rPr>
        <w:t>；</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⑥参与审查业务期间，经查实发生违纪违规行为；</w:t>
      </w:r>
    </w:p>
    <w:p>
      <w:pPr>
        <w:spacing w:line="480" w:lineRule="exact"/>
        <w:ind w:firstLine="480" w:firstLineChars="200"/>
        <w:rPr>
          <w:rFonts w:ascii="仿宋" w:hAnsi="仿宋" w:eastAsia="仿宋" w:cs="宋体"/>
          <w:sz w:val="24"/>
        </w:rPr>
      </w:pPr>
      <w:r>
        <w:rPr>
          <w:rFonts w:hint="eastAsia" w:ascii="仿宋" w:hAnsi="仿宋" w:eastAsia="仿宋" w:cs="宋体"/>
          <w:sz w:val="24"/>
        </w:rPr>
        <w:t>⑦所出具的相关成果弄虚作假或违反保密要求，造成严重后果的；</w:t>
      </w:r>
    </w:p>
    <w:p>
      <w:pPr>
        <w:spacing w:line="480" w:lineRule="exact"/>
        <w:ind w:firstLine="480" w:firstLineChars="200"/>
        <w:rPr>
          <w:rFonts w:ascii="仿宋" w:hAnsi="仿宋" w:eastAsia="仿宋" w:cs="仿宋"/>
          <w:sz w:val="24"/>
        </w:rPr>
      </w:pPr>
      <w:r>
        <w:rPr>
          <w:rFonts w:hint="eastAsia" w:ascii="仿宋" w:hAnsi="仿宋" w:eastAsia="仿宋" w:cs="仿宋"/>
          <w:sz w:val="24"/>
        </w:rPr>
        <w:t>⑧应回避项目未主动回避的；</w:t>
      </w:r>
    </w:p>
    <w:p>
      <w:pPr>
        <w:spacing w:line="480" w:lineRule="exact"/>
        <w:ind w:firstLine="480" w:firstLineChars="200"/>
        <w:rPr>
          <w:rFonts w:ascii="仿宋" w:hAnsi="仿宋" w:eastAsia="仿宋" w:cs="宋体"/>
          <w:sz w:val="24"/>
        </w:rPr>
      </w:pPr>
      <w:r>
        <w:rPr>
          <w:rFonts w:hint="eastAsia" w:ascii="仿宋" w:hAnsi="仿宋" w:eastAsia="仿宋" w:cs="仿宋"/>
          <w:sz w:val="24"/>
        </w:rPr>
        <w:t>⑨</w:t>
      </w:r>
      <w:r>
        <w:rPr>
          <w:rFonts w:hint="eastAsia" w:ascii="仿宋" w:hAnsi="仿宋" w:eastAsia="仿宋" w:cs="宋体"/>
          <w:sz w:val="24"/>
        </w:rPr>
        <w:t>在节能验收、节能监察评估等环节发现节能审查意见与实际情况偏差较大的</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（2）因特殊原因不能承接项目超过3个月的，解除框架协议。</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（3）框架协议有效期内，因违法行为被禁止或限制开展节能审查工作或参加政府采购活动的。</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2.补充规则</w:t>
      </w:r>
    </w:p>
    <w:p>
      <w:pPr>
        <w:widowControl/>
        <w:adjustRightInd/>
        <w:spacing w:line="480" w:lineRule="exact"/>
        <w:ind w:firstLine="480" w:firstLineChars="200"/>
        <w:rPr>
          <w:rFonts w:ascii="仿宋" w:hAnsi="仿宋" w:eastAsia="仿宋" w:cs="宋体"/>
          <w:kern w:val="0"/>
          <w:sz w:val="24"/>
          <w:szCs w:val="22"/>
        </w:rPr>
      </w:pPr>
      <w:r>
        <w:rPr>
          <w:rFonts w:hint="eastAsia" w:ascii="仿宋" w:hAnsi="仿宋" w:eastAsia="仿宋" w:cs="宋体"/>
          <w:sz w:val="24"/>
          <w:szCs w:val="22"/>
        </w:rPr>
        <w:t>若出现剩余入围供应商不足入围供应商总数70%且影响框架协议执行的情形，框架协议有效期内，征集人将补充征集供应商，补</w:t>
      </w:r>
      <w:r>
        <w:rPr>
          <w:rFonts w:hint="eastAsia" w:ascii="仿宋" w:hAnsi="仿宋" w:eastAsia="仿宋" w:cs="宋体"/>
          <w:kern w:val="0"/>
          <w:sz w:val="24"/>
          <w:szCs w:val="22"/>
        </w:rPr>
        <w:t>充征集最多1次。</w:t>
      </w:r>
    </w:p>
    <w:p>
      <w:pPr>
        <w:spacing w:line="480" w:lineRule="exact"/>
        <w:ind w:firstLine="480" w:firstLineChars="200"/>
        <w:rPr>
          <w:rFonts w:ascii="仿宋" w:hAnsi="仿宋" w:eastAsia="仿宋" w:cs="宋体"/>
          <w:sz w:val="24"/>
        </w:rPr>
      </w:pPr>
      <w:r>
        <w:rPr>
          <w:rFonts w:hint="eastAsia" w:ascii="仿宋" w:hAnsi="仿宋" w:eastAsia="仿宋" w:cs="宋体"/>
          <w:sz w:val="24"/>
        </w:rPr>
        <w:t>被取消入围资格或者被解除框架协议的供应商不得参加同一封闭式框架协议补充征集。</w:t>
      </w:r>
    </w:p>
    <w:p>
      <w:pPr>
        <w:snapToGrid w:val="0"/>
        <w:spacing w:line="480" w:lineRule="exact"/>
        <w:ind w:firstLine="482" w:firstLineChars="200"/>
        <w:rPr>
          <w:rFonts w:ascii="仿宋" w:hAnsi="仿宋" w:eastAsia="仿宋" w:cs="宋体"/>
          <w:b/>
          <w:kern w:val="0"/>
          <w:sz w:val="24"/>
          <w:szCs w:val="22"/>
        </w:rPr>
      </w:pPr>
      <w:r>
        <w:rPr>
          <w:rFonts w:hint="eastAsia" w:ascii="仿宋" w:hAnsi="仿宋" w:eastAsia="仿宋" w:cs="宋体"/>
          <w:b/>
          <w:kern w:val="0"/>
          <w:sz w:val="24"/>
          <w:szCs w:val="22"/>
        </w:rPr>
        <w:t>十</w:t>
      </w:r>
      <w:r>
        <w:rPr>
          <w:rFonts w:hint="eastAsia" w:ascii="仿宋" w:hAnsi="仿宋" w:eastAsia="仿宋" w:cs="宋体"/>
          <w:b/>
          <w:kern w:val="0"/>
          <w:sz w:val="24"/>
          <w:szCs w:val="22"/>
          <w:lang w:eastAsia="zh-CN"/>
        </w:rPr>
        <w:t>四</w:t>
      </w:r>
      <w:r>
        <w:rPr>
          <w:rFonts w:hint="eastAsia" w:ascii="仿宋" w:hAnsi="仿宋" w:eastAsia="仿宋" w:cs="宋体"/>
          <w:b/>
          <w:kern w:val="0"/>
          <w:sz w:val="24"/>
          <w:szCs w:val="22"/>
        </w:rPr>
        <w:t xml:space="preserve">、甲方的权利和义务 </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1.甲方负责第二阶段项目委托提供工作便利；</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2.甲方负责第二阶段需求标准执行情况进行管理；</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3.甲方负责对第二阶段确定成交供应商情况进行管理；</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4.</w:t>
      </w:r>
      <w:r>
        <w:rPr>
          <w:rFonts w:hint="eastAsia" w:ascii="仿宋" w:hAnsi="仿宋" w:eastAsia="仿宋" w:cs="宋体"/>
          <w:sz w:val="24"/>
          <w:szCs w:val="22"/>
          <w:lang w:eastAsia="zh-CN"/>
        </w:rPr>
        <w:t>建德市发改局</w:t>
      </w:r>
      <w:r>
        <w:rPr>
          <w:rFonts w:hint="eastAsia" w:ascii="仿宋" w:hAnsi="仿宋" w:eastAsia="仿宋" w:cs="宋体"/>
          <w:sz w:val="24"/>
          <w:szCs w:val="22"/>
        </w:rPr>
        <w:t>机关党委负责受理对委托评审工作的举报、投诉，负责进行检查核实，</w:t>
      </w:r>
      <w:r>
        <w:rPr>
          <w:rFonts w:hint="eastAsia" w:ascii="仿宋" w:hAnsi="仿宋" w:eastAsia="仿宋" w:cs="宋体"/>
          <w:sz w:val="24"/>
          <w:szCs w:val="22"/>
          <w:lang w:eastAsia="zh-CN"/>
        </w:rPr>
        <w:t>做出</w:t>
      </w:r>
      <w:r>
        <w:rPr>
          <w:rFonts w:hint="eastAsia" w:ascii="仿宋" w:hAnsi="仿宋" w:eastAsia="仿宋" w:cs="宋体"/>
          <w:sz w:val="24"/>
          <w:szCs w:val="22"/>
        </w:rPr>
        <w:t>相应处理；</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5.办理入围供应商清退和补充相关事宜。</w:t>
      </w:r>
    </w:p>
    <w:p>
      <w:pPr>
        <w:widowControl/>
        <w:adjustRightInd/>
        <w:spacing w:line="480" w:lineRule="exact"/>
        <w:ind w:firstLine="482" w:firstLineChars="200"/>
        <w:rPr>
          <w:rFonts w:ascii="仿宋" w:hAnsi="仿宋" w:eastAsia="仿宋" w:cs="宋体"/>
          <w:b/>
          <w:kern w:val="0"/>
          <w:sz w:val="24"/>
          <w:szCs w:val="22"/>
        </w:rPr>
      </w:pPr>
      <w:r>
        <w:rPr>
          <w:rFonts w:hint="eastAsia" w:ascii="仿宋" w:hAnsi="仿宋" w:eastAsia="仿宋" w:cs="宋体"/>
          <w:b/>
          <w:kern w:val="0"/>
          <w:sz w:val="24"/>
          <w:szCs w:val="22"/>
        </w:rPr>
        <w:t>十</w:t>
      </w:r>
      <w:r>
        <w:rPr>
          <w:rFonts w:hint="eastAsia" w:ascii="仿宋" w:hAnsi="仿宋" w:eastAsia="仿宋" w:cs="宋体"/>
          <w:b/>
          <w:kern w:val="0"/>
          <w:sz w:val="24"/>
          <w:szCs w:val="22"/>
          <w:lang w:eastAsia="zh-CN"/>
        </w:rPr>
        <w:t>五</w:t>
      </w:r>
      <w:r>
        <w:rPr>
          <w:rFonts w:hint="eastAsia" w:ascii="仿宋" w:hAnsi="仿宋" w:eastAsia="仿宋" w:cs="宋体"/>
          <w:b/>
          <w:kern w:val="0"/>
          <w:sz w:val="24"/>
          <w:szCs w:val="22"/>
        </w:rPr>
        <w:t>、乙方的权利和义务</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1.乙方有权监督第二阶段确定成交供应商方式；</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2.乙方</w:t>
      </w:r>
      <w:r>
        <w:rPr>
          <w:rFonts w:hint="eastAsia" w:ascii="仿宋" w:hAnsi="仿宋" w:eastAsia="仿宋" w:cs="宋体"/>
          <w:sz w:val="24"/>
          <w:szCs w:val="22"/>
          <w:lang w:eastAsia="zh-CN"/>
        </w:rPr>
        <w:t>接受</w:t>
      </w:r>
      <w:r>
        <w:rPr>
          <w:rFonts w:hint="eastAsia" w:ascii="仿宋" w:hAnsi="仿宋" w:eastAsia="仿宋" w:cs="宋体"/>
          <w:sz w:val="24"/>
          <w:szCs w:val="22"/>
        </w:rPr>
        <w:t>甲方评审工作的考核；</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3.乙方组建的项目班子成员应随时到岗，驻场服务人员在接到任务通知书1天内响应并就位；</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4.乙方应履行回避义务，不得接受回避项目的委托；</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5.乙方不得将评审工作转包给其他单位或个人；</w:t>
      </w:r>
    </w:p>
    <w:p>
      <w:pPr>
        <w:adjustRightInd/>
        <w:spacing w:line="480" w:lineRule="exact"/>
        <w:ind w:firstLine="480" w:firstLineChars="200"/>
        <w:jc w:val="left"/>
        <w:rPr>
          <w:rFonts w:ascii="仿宋" w:hAnsi="仿宋" w:eastAsia="仿宋" w:cs="宋体"/>
          <w:sz w:val="24"/>
        </w:rPr>
      </w:pPr>
      <w:r>
        <w:rPr>
          <w:rFonts w:hint="eastAsia" w:ascii="仿宋" w:hAnsi="仿宋" w:eastAsia="仿宋" w:cs="宋体"/>
          <w:sz w:val="24"/>
        </w:rPr>
        <w:t>6.乙方不得隐瞒、虚报单位资质、资格、人员及违法行为被禁止或限制参加政府采购活动等情况。</w:t>
      </w:r>
    </w:p>
    <w:p>
      <w:pPr>
        <w:adjustRightInd/>
        <w:spacing w:line="480" w:lineRule="exact"/>
        <w:ind w:firstLine="482" w:firstLineChars="200"/>
        <w:jc w:val="left"/>
        <w:rPr>
          <w:rFonts w:ascii="仿宋" w:hAnsi="仿宋" w:eastAsia="仿宋" w:cs="宋体"/>
          <w:b/>
          <w:sz w:val="24"/>
          <w:szCs w:val="22"/>
        </w:rPr>
      </w:pPr>
      <w:r>
        <w:rPr>
          <w:rFonts w:hint="eastAsia" w:ascii="仿宋" w:hAnsi="仿宋" w:eastAsia="仿宋" w:cs="宋体"/>
          <w:b/>
          <w:sz w:val="24"/>
          <w:szCs w:val="22"/>
        </w:rPr>
        <w:t>十</w:t>
      </w:r>
      <w:r>
        <w:rPr>
          <w:rFonts w:hint="eastAsia" w:ascii="仿宋" w:hAnsi="仿宋" w:eastAsia="仿宋" w:cs="宋体"/>
          <w:b/>
          <w:sz w:val="24"/>
          <w:szCs w:val="22"/>
          <w:lang w:eastAsia="zh-CN"/>
        </w:rPr>
        <w:t>六</w:t>
      </w:r>
      <w:r>
        <w:rPr>
          <w:rFonts w:hint="eastAsia" w:ascii="仿宋" w:hAnsi="仿宋" w:eastAsia="仿宋" w:cs="宋体"/>
          <w:b/>
          <w:sz w:val="24"/>
          <w:szCs w:val="22"/>
        </w:rPr>
        <w:t>、违约责任</w:t>
      </w:r>
    </w:p>
    <w:p>
      <w:pPr>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违反本协议约定，违约方应当按民法典有关规定承担违约责任。</w:t>
      </w:r>
    </w:p>
    <w:p>
      <w:pPr>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1.甲方未能按协议约定支付协议价款或付款延误的，乙方有权暂停履行协议；</w:t>
      </w:r>
    </w:p>
    <w:p>
      <w:pPr>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2.乙方无法继续履行或明确表示不履行或实质上已停止履行协议的，甲方将视情况终止协议并有权要求乙方退回已支付的价款；</w:t>
      </w:r>
    </w:p>
    <w:p>
      <w:pPr>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3.未经甲方同意，乙方不得将其受托业务再委托或转让给其他单位承担，一经发现，甲方可以单方解除协议，并追究乙方违约责任；</w:t>
      </w:r>
    </w:p>
    <w:p>
      <w:pPr>
        <w:adjustRightInd/>
        <w:spacing w:line="480" w:lineRule="exact"/>
        <w:ind w:firstLine="480" w:firstLineChars="200"/>
        <w:jc w:val="left"/>
        <w:rPr>
          <w:rFonts w:ascii="仿宋" w:hAnsi="仿宋" w:eastAsia="仿宋" w:cs="宋体"/>
          <w:sz w:val="24"/>
          <w:szCs w:val="22"/>
        </w:rPr>
      </w:pPr>
      <w:r>
        <w:rPr>
          <w:rFonts w:hint="eastAsia" w:ascii="仿宋" w:hAnsi="仿宋" w:eastAsia="仿宋" w:cs="宋体"/>
          <w:sz w:val="24"/>
          <w:szCs w:val="22"/>
        </w:rPr>
        <w:t>4.乙方未能按协议约定时间提交成果且无正当理由的，自逾期之日起，甲方有权每日扣减单个项目协议金额【0.1】%。由于甲方的原因导致延期的，乙方应当将此情况及可能产生的影响以书面形式及时通知甲方，甲方同意后可相应延长。</w:t>
      </w:r>
    </w:p>
    <w:p>
      <w:pPr>
        <w:tabs>
          <w:tab w:val="left" w:pos="720"/>
        </w:tabs>
        <w:adjustRightInd/>
        <w:spacing w:line="480" w:lineRule="exact"/>
        <w:ind w:firstLine="482" w:firstLineChars="200"/>
        <w:rPr>
          <w:rFonts w:ascii="仿宋" w:hAnsi="仿宋" w:eastAsia="仿宋" w:cs="宋体"/>
          <w:b/>
          <w:kern w:val="0"/>
          <w:sz w:val="24"/>
          <w:szCs w:val="22"/>
        </w:rPr>
      </w:pPr>
      <w:r>
        <w:rPr>
          <w:rFonts w:hint="eastAsia" w:ascii="仿宋" w:hAnsi="仿宋" w:eastAsia="仿宋" w:cs="宋体"/>
          <w:b/>
          <w:kern w:val="0"/>
          <w:sz w:val="24"/>
          <w:szCs w:val="22"/>
        </w:rPr>
        <w:t>十</w:t>
      </w:r>
      <w:r>
        <w:rPr>
          <w:rFonts w:hint="eastAsia" w:ascii="仿宋" w:hAnsi="仿宋" w:eastAsia="仿宋" w:cs="宋体"/>
          <w:b/>
          <w:kern w:val="0"/>
          <w:sz w:val="24"/>
          <w:szCs w:val="22"/>
          <w:lang w:eastAsia="zh-CN"/>
        </w:rPr>
        <w:t>七</w:t>
      </w:r>
      <w:r>
        <w:rPr>
          <w:rFonts w:hint="eastAsia" w:ascii="仿宋" w:hAnsi="仿宋" w:eastAsia="仿宋" w:cs="宋体"/>
          <w:b/>
          <w:kern w:val="0"/>
          <w:sz w:val="24"/>
          <w:szCs w:val="22"/>
        </w:rPr>
        <w:t>、其它</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1.本协议经甲方、乙方法定代表人或其授权代表签字并加盖双方公章。</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2.本协议一式五份，甲方乙方各执二份，财政部门备案一份。</w:t>
      </w:r>
    </w:p>
    <w:p>
      <w:pPr>
        <w:widowControl/>
        <w:adjustRightInd/>
        <w:spacing w:line="480" w:lineRule="exact"/>
        <w:ind w:firstLine="480" w:firstLineChars="200"/>
        <w:rPr>
          <w:rFonts w:ascii="仿宋" w:hAnsi="仿宋" w:eastAsia="仿宋" w:cs="宋体"/>
          <w:sz w:val="24"/>
          <w:szCs w:val="22"/>
        </w:rPr>
      </w:pPr>
      <w:r>
        <w:rPr>
          <w:rFonts w:hint="eastAsia" w:ascii="仿宋" w:hAnsi="仿宋" w:eastAsia="仿宋" w:cs="宋体"/>
          <w:sz w:val="24"/>
          <w:szCs w:val="22"/>
        </w:rPr>
        <w:t>3.本协议未尽的事宜，均遵照国家有关法律、法规，双方另行协商议定补充条款。</w:t>
      </w:r>
    </w:p>
    <w:p>
      <w:pPr>
        <w:adjustRightInd/>
        <w:spacing w:line="48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4.本协议有效期内发生争议，双方协商解决，也可以请求有关部门进行调解。协商不成的，通过协议签订地（杭州市</w:t>
      </w:r>
      <w:r>
        <w:rPr>
          <w:rFonts w:hint="eastAsia" w:ascii="仿宋" w:hAnsi="仿宋" w:eastAsia="仿宋" w:cs="宋体"/>
          <w:kern w:val="0"/>
          <w:sz w:val="24"/>
          <w:szCs w:val="22"/>
          <w:lang w:eastAsia="zh-CN"/>
        </w:rPr>
        <w:t>建德市</w:t>
      </w:r>
      <w:r>
        <w:rPr>
          <w:rFonts w:hint="eastAsia" w:ascii="仿宋" w:hAnsi="仿宋" w:eastAsia="仿宋" w:cs="宋体"/>
          <w:kern w:val="0"/>
          <w:sz w:val="24"/>
          <w:szCs w:val="22"/>
        </w:rPr>
        <w:t>）有管辖权的法院诉讼解决。</w:t>
      </w:r>
    </w:p>
    <w:p>
      <w:pPr>
        <w:adjustRightInd/>
        <w:spacing w:line="480" w:lineRule="exact"/>
        <w:ind w:firstLine="482" w:firstLineChars="200"/>
        <w:rPr>
          <w:rFonts w:hint="eastAsia" w:ascii="仿宋" w:hAnsi="仿宋" w:eastAsia="仿宋" w:cs="宋体"/>
          <w:b/>
          <w:bCs/>
          <w:kern w:val="0"/>
          <w:sz w:val="24"/>
          <w:szCs w:val="22"/>
        </w:rPr>
      </w:pPr>
    </w:p>
    <w:p>
      <w:pPr>
        <w:adjustRightInd/>
        <w:spacing w:line="480" w:lineRule="exact"/>
        <w:ind w:firstLine="482" w:firstLineChars="200"/>
        <w:rPr>
          <w:rFonts w:hint="eastAsia" w:ascii="仿宋" w:hAnsi="仿宋" w:eastAsia="仿宋" w:cs="宋体"/>
          <w:b/>
          <w:bCs/>
          <w:kern w:val="0"/>
          <w:sz w:val="24"/>
          <w:szCs w:val="22"/>
        </w:rPr>
      </w:pPr>
    </w:p>
    <w:p>
      <w:pPr>
        <w:adjustRightInd/>
        <w:spacing w:line="480" w:lineRule="exact"/>
        <w:ind w:firstLine="482" w:firstLineChars="200"/>
        <w:rPr>
          <w:rFonts w:hint="eastAsia" w:ascii="仿宋" w:hAnsi="仿宋" w:eastAsia="仿宋" w:cs="宋体"/>
          <w:b/>
          <w:bCs/>
          <w:kern w:val="0"/>
          <w:sz w:val="24"/>
          <w:szCs w:val="22"/>
        </w:rPr>
      </w:pPr>
    </w:p>
    <w:p>
      <w:pPr>
        <w:adjustRightInd/>
        <w:spacing w:line="480" w:lineRule="exact"/>
        <w:ind w:firstLine="482" w:firstLineChars="200"/>
        <w:rPr>
          <w:rFonts w:hint="eastAsia" w:ascii="仿宋" w:hAnsi="仿宋" w:eastAsia="仿宋" w:cs="宋体"/>
          <w:b/>
          <w:bCs/>
          <w:kern w:val="0"/>
          <w:sz w:val="24"/>
          <w:szCs w:val="22"/>
        </w:rPr>
      </w:pPr>
    </w:p>
    <w:p>
      <w:pPr>
        <w:adjustRightInd/>
        <w:spacing w:line="480" w:lineRule="exact"/>
        <w:ind w:firstLine="482" w:firstLineChars="200"/>
        <w:rPr>
          <w:rFonts w:hint="eastAsia" w:ascii="仿宋" w:hAnsi="仿宋" w:eastAsia="仿宋" w:cs="宋体"/>
          <w:b/>
          <w:bCs/>
          <w:kern w:val="0"/>
          <w:sz w:val="24"/>
          <w:szCs w:val="22"/>
        </w:rPr>
      </w:pPr>
    </w:p>
    <w:p>
      <w:pPr>
        <w:adjustRightInd/>
        <w:spacing w:line="480" w:lineRule="exact"/>
        <w:ind w:firstLine="482" w:firstLineChars="200"/>
        <w:rPr>
          <w:rFonts w:hint="eastAsia" w:ascii="仿宋" w:hAnsi="仿宋" w:eastAsia="仿宋" w:cs="宋体"/>
          <w:b/>
          <w:bCs/>
          <w:kern w:val="0"/>
          <w:sz w:val="24"/>
          <w:szCs w:val="22"/>
        </w:rPr>
      </w:pPr>
    </w:p>
    <w:p>
      <w:pPr>
        <w:adjustRightInd/>
        <w:spacing w:line="480" w:lineRule="exact"/>
        <w:ind w:firstLine="482" w:firstLineChars="200"/>
        <w:rPr>
          <w:rFonts w:ascii="仿宋" w:hAnsi="仿宋" w:eastAsia="仿宋" w:cs="宋体"/>
          <w:b/>
          <w:bCs/>
          <w:kern w:val="0"/>
          <w:sz w:val="24"/>
          <w:szCs w:val="22"/>
        </w:rPr>
      </w:pPr>
      <w:r>
        <w:rPr>
          <w:rFonts w:hint="eastAsia" w:ascii="仿宋" w:hAnsi="仿宋" w:eastAsia="仿宋" w:cs="宋体"/>
          <w:b/>
          <w:bCs/>
          <w:kern w:val="0"/>
          <w:sz w:val="24"/>
          <w:szCs w:val="22"/>
        </w:rPr>
        <w:t>本协议附件附后：</w:t>
      </w:r>
    </w:p>
    <w:p>
      <w:pPr>
        <w:adjustRightInd/>
        <w:spacing w:line="480" w:lineRule="exact"/>
        <w:ind w:firstLine="482" w:firstLineChars="200"/>
        <w:rPr>
          <w:rFonts w:ascii="仿宋" w:hAnsi="仿宋" w:eastAsia="仿宋" w:cs="宋体"/>
          <w:b/>
          <w:bCs/>
          <w:kern w:val="0"/>
          <w:sz w:val="24"/>
          <w:szCs w:val="22"/>
        </w:rPr>
      </w:pPr>
      <w:r>
        <w:rPr>
          <w:rFonts w:hint="eastAsia" w:ascii="仿宋" w:hAnsi="仿宋" w:eastAsia="仿宋" w:cs="宋体"/>
          <w:b/>
          <w:bCs/>
          <w:kern w:val="0"/>
          <w:sz w:val="24"/>
          <w:szCs w:val="22"/>
        </w:rPr>
        <w:t>附件1：项目班子成员一览表</w:t>
      </w:r>
    </w:p>
    <w:p>
      <w:pPr>
        <w:adjustRightInd/>
        <w:spacing w:line="480" w:lineRule="exact"/>
        <w:ind w:firstLine="482" w:firstLineChars="200"/>
        <w:rPr>
          <w:rFonts w:hint="eastAsia" w:ascii="仿宋" w:hAnsi="仿宋" w:eastAsia="仿宋" w:cs="宋体"/>
          <w:b/>
          <w:bCs/>
          <w:kern w:val="0"/>
          <w:sz w:val="24"/>
          <w:szCs w:val="22"/>
          <w:lang w:eastAsia="zh-CN"/>
        </w:rPr>
      </w:pPr>
      <w:r>
        <w:rPr>
          <w:rFonts w:hint="eastAsia" w:ascii="仿宋" w:hAnsi="仿宋" w:eastAsia="仿宋" w:cs="宋体"/>
          <w:b/>
          <w:bCs/>
          <w:kern w:val="0"/>
          <w:sz w:val="24"/>
          <w:szCs w:val="22"/>
        </w:rPr>
        <w:t>附件2：评审任务分配书面任务通知单</w:t>
      </w:r>
      <w:r>
        <w:rPr>
          <w:rFonts w:hint="eastAsia" w:ascii="仿宋" w:hAnsi="仿宋" w:eastAsia="仿宋" w:cs="宋体"/>
          <w:b/>
          <w:bCs/>
          <w:kern w:val="0"/>
          <w:sz w:val="24"/>
          <w:szCs w:val="22"/>
          <w:lang w:eastAsia="zh-CN"/>
        </w:rPr>
        <w:t>（模板）</w:t>
      </w:r>
    </w:p>
    <w:p>
      <w:pPr>
        <w:adjustRightInd/>
        <w:spacing w:line="480" w:lineRule="exact"/>
        <w:ind w:firstLine="480" w:firstLineChars="200"/>
        <w:rPr>
          <w:rFonts w:ascii="仿宋" w:hAnsi="仿宋" w:eastAsia="仿宋" w:cs="宋体"/>
          <w:kern w:val="0"/>
          <w:sz w:val="24"/>
          <w:szCs w:val="22"/>
        </w:rPr>
      </w:pPr>
    </w:p>
    <w:p>
      <w:pPr>
        <w:adjustRightInd/>
        <w:spacing w:line="480" w:lineRule="exact"/>
        <w:ind w:firstLine="420" w:firstLineChars="200"/>
        <w:rPr>
          <w:rFonts w:ascii="仿宋" w:hAnsi="仿宋" w:eastAsia="仿宋"/>
          <w:szCs w:val="22"/>
        </w:rPr>
      </w:pPr>
    </w:p>
    <w:p>
      <w:pPr>
        <w:widowControl/>
        <w:adjustRightInd/>
        <w:spacing w:line="360" w:lineRule="auto"/>
        <w:ind w:firstLine="480" w:firstLineChars="200"/>
        <w:rPr>
          <w:rFonts w:ascii="仿宋" w:hAnsi="仿宋" w:eastAsia="仿宋" w:cs="宋体"/>
          <w:kern w:val="0"/>
          <w:sz w:val="24"/>
          <w:szCs w:val="22"/>
        </w:rPr>
      </w:pPr>
    </w:p>
    <w:tbl>
      <w:tblPr>
        <w:tblStyle w:val="62"/>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2"/>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bidi="ar"/>
              </w:rPr>
              <w:t>甲方（单位章）：</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法定代表人（签字或盖章）：</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或授权代表（签字）：</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bidi="ar"/>
              </w:rPr>
              <w:t>地</w:t>
            </w:r>
            <w:r>
              <w:rPr>
                <w:rFonts w:hint="eastAsia" w:ascii="仿宋" w:hAnsi="仿宋" w:eastAsia="仿宋" w:cs="仿宋"/>
                <w:color w:val="000000"/>
                <w:sz w:val="24"/>
                <w:lang w:val="en-US" w:eastAsia="zh-CN" w:bidi="ar"/>
              </w:rPr>
              <w:t xml:space="preserve">    </w:t>
            </w:r>
            <w:r>
              <w:rPr>
                <w:rFonts w:hint="eastAsia" w:ascii="仿宋" w:hAnsi="仿宋" w:eastAsia="仿宋" w:cs="仿宋"/>
                <w:color w:val="000000"/>
                <w:sz w:val="24"/>
                <w:lang w:bidi="ar"/>
              </w:rPr>
              <w:t>址：</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地</w:t>
            </w:r>
            <w:r>
              <w:rPr>
                <w:rFonts w:hint="eastAsia" w:ascii="仿宋" w:hAnsi="仿宋" w:eastAsia="仿宋" w:cs="仿宋"/>
                <w:color w:val="000000"/>
                <w:sz w:val="24"/>
                <w:lang w:val="en-US" w:eastAsia="zh-CN" w:bidi="ar"/>
              </w:rPr>
              <w:t xml:space="preserve">    </w:t>
            </w:r>
            <w:r>
              <w:rPr>
                <w:rFonts w:hint="eastAsia" w:ascii="仿宋" w:hAnsi="仿宋" w:eastAsia="仿宋" w:cs="仿宋"/>
                <w:color w:val="000000"/>
                <w:sz w:val="24"/>
                <w:lang w:bidi="ar"/>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bidi="ar"/>
              </w:rPr>
              <w:t>邮政编码：</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lang w:bidi="ar"/>
              </w:rPr>
              <w:t>电</w:t>
            </w:r>
            <w:r>
              <w:rPr>
                <w:rFonts w:hint="eastAsia" w:ascii="仿宋" w:hAnsi="仿宋" w:eastAsia="仿宋" w:cs="仿宋"/>
                <w:color w:val="000000"/>
                <w:sz w:val="24"/>
                <w:lang w:val="en-US" w:eastAsia="zh-CN" w:bidi="ar"/>
              </w:rPr>
              <w:t xml:space="preserve">    </w:t>
            </w:r>
            <w:r>
              <w:rPr>
                <w:rFonts w:hint="eastAsia" w:ascii="仿宋" w:hAnsi="仿宋" w:eastAsia="仿宋" w:cs="仿宋"/>
                <w:color w:val="000000"/>
                <w:sz w:val="24"/>
                <w:lang w:bidi="ar"/>
              </w:rPr>
              <w:t>话：</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电</w:t>
            </w:r>
            <w:r>
              <w:rPr>
                <w:rFonts w:hint="eastAsia" w:ascii="仿宋" w:hAnsi="仿宋" w:eastAsia="仿宋" w:cs="仿宋"/>
                <w:color w:val="000000"/>
                <w:sz w:val="24"/>
                <w:lang w:val="en-US" w:eastAsia="zh-CN" w:bidi="ar"/>
              </w:rPr>
              <w:t xml:space="preserve">    </w:t>
            </w:r>
            <w:r>
              <w:rPr>
                <w:rFonts w:hint="eastAsia" w:ascii="仿宋" w:hAnsi="仿宋" w:eastAsia="仿宋" w:cs="仿宋"/>
                <w:color w:val="000000"/>
                <w:sz w:val="24"/>
                <w:lang w:bidi="ar"/>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开户银行：</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账</w:t>
            </w:r>
            <w:r>
              <w:rPr>
                <w:rFonts w:hint="eastAsia" w:ascii="仿宋" w:hAnsi="仿宋" w:eastAsia="仿宋" w:cs="仿宋"/>
                <w:color w:val="000000"/>
                <w:sz w:val="24"/>
                <w:lang w:val="en-US" w:eastAsia="zh-CN" w:bidi="ar"/>
              </w:rPr>
              <w:t xml:space="preserve">    </w:t>
            </w:r>
            <w:r>
              <w:rPr>
                <w:rFonts w:hint="eastAsia" w:ascii="仿宋" w:hAnsi="仿宋" w:eastAsia="仿宋" w:cs="仿宋"/>
                <w:color w:val="000000"/>
                <w:sz w:val="24"/>
                <w:lang w:bidi="ar"/>
              </w:rPr>
              <w:t>号：</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账</w:t>
            </w:r>
            <w:r>
              <w:rPr>
                <w:rFonts w:hint="eastAsia" w:ascii="仿宋" w:hAnsi="仿宋" w:eastAsia="仿宋" w:cs="仿宋"/>
                <w:color w:val="000000"/>
                <w:sz w:val="24"/>
                <w:lang w:val="en-US" w:eastAsia="zh-CN" w:bidi="ar"/>
              </w:rPr>
              <w:t xml:space="preserve">    </w:t>
            </w:r>
            <w:r>
              <w:rPr>
                <w:rFonts w:hint="eastAsia" w:ascii="仿宋" w:hAnsi="仿宋" w:eastAsia="仿宋" w:cs="仿宋"/>
                <w:color w:val="000000"/>
                <w:sz w:val="24"/>
                <w:lang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纳税人识别号：</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签订时间：   年  月  日</w:t>
            </w:r>
          </w:p>
        </w:tc>
        <w:tc>
          <w:tcPr>
            <w:tcW w:w="4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hAnsi="仿宋" w:eastAsia="仿宋" w:cs="仿宋"/>
                <w:color w:val="000000"/>
                <w:sz w:val="24"/>
              </w:rPr>
            </w:pPr>
            <w:r>
              <w:rPr>
                <w:rFonts w:hint="eastAsia" w:ascii="仿宋" w:hAnsi="仿宋" w:eastAsia="仿宋" w:cs="仿宋"/>
                <w:color w:val="000000"/>
                <w:sz w:val="24"/>
                <w:lang w:bidi="ar"/>
              </w:rPr>
              <w:t>签订时间：   年  月  日</w:t>
            </w:r>
          </w:p>
        </w:tc>
      </w:tr>
    </w:tbl>
    <w:p>
      <w:pPr>
        <w:adjustRightInd/>
        <w:spacing w:line="560" w:lineRule="exact"/>
        <w:jc w:val="left"/>
        <w:rPr>
          <w:rFonts w:ascii="仿宋" w:hAnsi="仿宋" w:eastAsia="仿宋" w:cs="宋体"/>
          <w:sz w:val="24"/>
          <w:szCs w:val="22"/>
        </w:rPr>
      </w:pPr>
    </w:p>
    <w:p>
      <w:pPr>
        <w:adjustRightInd/>
        <w:ind w:firstLine="482"/>
        <w:rPr>
          <w:rFonts w:ascii="仿宋" w:hAnsi="仿宋" w:eastAsia="仿宋" w:cs="宋体"/>
          <w:b/>
          <w:sz w:val="24"/>
          <w:szCs w:val="22"/>
        </w:rPr>
      </w:pPr>
      <w:r>
        <w:rPr>
          <w:rFonts w:hint="eastAsia" w:ascii="仿宋" w:hAnsi="仿宋" w:eastAsia="仿宋" w:cs="宋体"/>
          <w:b/>
          <w:sz w:val="24"/>
          <w:szCs w:val="22"/>
        </w:rPr>
        <w:br w:type="page"/>
      </w:r>
    </w:p>
    <w:p>
      <w:pPr>
        <w:adjustRightInd/>
        <w:spacing w:line="560" w:lineRule="exact"/>
        <w:outlineLvl w:val="1"/>
        <w:rPr>
          <w:rFonts w:ascii="仿宋" w:hAnsi="仿宋" w:eastAsia="仿宋" w:cs="宋体"/>
          <w:spacing w:val="6"/>
          <w:sz w:val="32"/>
          <w:szCs w:val="32"/>
        </w:rPr>
      </w:pPr>
      <w:r>
        <w:rPr>
          <w:rFonts w:hint="eastAsia" w:ascii="仿宋" w:hAnsi="仿宋" w:eastAsia="仿宋" w:cs="宋体"/>
          <w:spacing w:val="6"/>
          <w:sz w:val="32"/>
          <w:szCs w:val="32"/>
        </w:rPr>
        <w:t>附件1:</w:t>
      </w:r>
    </w:p>
    <w:p>
      <w:pPr>
        <w:adjustRightInd/>
        <w:spacing w:line="560" w:lineRule="exact"/>
        <w:jc w:val="center"/>
        <w:rPr>
          <w:rFonts w:ascii="仿宋" w:hAnsi="仿宋" w:eastAsia="仿宋" w:cs="宋体"/>
          <w:b/>
          <w:bCs/>
          <w:spacing w:val="6"/>
          <w:sz w:val="32"/>
          <w:szCs w:val="22"/>
        </w:rPr>
      </w:pPr>
      <w:r>
        <w:rPr>
          <w:rFonts w:hint="eastAsia" w:ascii="仿宋" w:hAnsi="仿宋" w:eastAsia="仿宋" w:cs="宋体"/>
          <w:b/>
          <w:bCs/>
          <w:spacing w:val="6"/>
          <w:sz w:val="32"/>
          <w:szCs w:val="22"/>
        </w:rPr>
        <w:t>项目班子成员一览表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986"/>
        <w:gridCol w:w="2290"/>
        <w:gridCol w:w="1637"/>
        <w:gridCol w:w="163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仿宋" w:hAnsi="仿宋" w:eastAsia="仿宋" w:cs="仿宋"/>
                <w:color w:val="000000"/>
                <w:sz w:val="24"/>
              </w:rPr>
            </w:pPr>
            <w:r>
              <w:rPr>
                <w:rFonts w:hint="eastAsia" w:ascii="仿宋" w:hAnsi="仿宋" w:eastAsia="仿宋" w:cs="仿宋"/>
                <w:snapToGrid w:val="0"/>
                <w:color w:val="000000"/>
                <w:sz w:val="24"/>
                <w:lang w:bidi="ar"/>
              </w:rPr>
              <w:t>姓名</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仿宋" w:hAnsi="仿宋" w:eastAsia="仿宋" w:cs="仿宋"/>
                <w:color w:val="000000"/>
                <w:sz w:val="24"/>
              </w:rPr>
            </w:pPr>
            <w:r>
              <w:rPr>
                <w:rFonts w:hint="eastAsia" w:ascii="仿宋" w:hAnsi="仿宋" w:eastAsia="仿宋" w:cs="仿宋"/>
                <w:snapToGrid w:val="0"/>
                <w:color w:val="000000"/>
                <w:sz w:val="24"/>
                <w:lang w:bidi="ar"/>
              </w:rPr>
              <w:t>性别</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仿宋" w:hAnsi="仿宋" w:eastAsia="仿宋" w:cs="仿宋"/>
                <w:color w:val="000000"/>
                <w:sz w:val="24"/>
              </w:rPr>
            </w:pPr>
            <w:r>
              <w:rPr>
                <w:rFonts w:hint="eastAsia" w:ascii="仿宋" w:hAnsi="仿宋" w:eastAsia="仿宋" w:cs="仿宋"/>
                <w:snapToGrid w:val="0"/>
                <w:color w:val="000000"/>
                <w:sz w:val="24"/>
                <w:lang w:bidi="ar"/>
              </w:rPr>
              <w:t>单位及部门</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仿宋" w:hAnsi="仿宋" w:eastAsia="仿宋" w:cs="仿宋"/>
                <w:color w:val="000000"/>
                <w:sz w:val="24"/>
              </w:rPr>
            </w:pPr>
            <w:r>
              <w:rPr>
                <w:rFonts w:hint="eastAsia" w:ascii="仿宋" w:hAnsi="仿宋" w:eastAsia="仿宋" w:cs="仿宋"/>
                <w:snapToGrid w:val="0"/>
                <w:color w:val="000000"/>
                <w:sz w:val="24"/>
                <w:lang w:bidi="ar"/>
              </w:rPr>
              <w:t>职务</w:t>
            </w:r>
            <w:r>
              <w:rPr>
                <w:rFonts w:hint="eastAsia" w:ascii="仿宋" w:hAnsi="仿宋" w:eastAsia="仿宋" w:cs="仿宋"/>
                <w:color w:val="000000"/>
                <w:sz w:val="24"/>
                <w:lang w:bidi="ar"/>
              </w:rPr>
              <w:t>/</w:t>
            </w:r>
            <w:r>
              <w:rPr>
                <w:rFonts w:hint="eastAsia" w:ascii="仿宋" w:hAnsi="仿宋" w:eastAsia="仿宋" w:cs="仿宋"/>
                <w:snapToGrid w:val="0"/>
                <w:color w:val="000000"/>
                <w:sz w:val="24"/>
                <w:lang w:bidi="ar"/>
              </w:rPr>
              <w:t>职称</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仿宋" w:hAnsi="仿宋" w:eastAsia="仿宋" w:cs="仿宋"/>
                <w:color w:val="000000"/>
                <w:sz w:val="24"/>
              </w:rPr>
            </w:pPr>
            <w:r>
              <w:rPr>
                <w:rFonts w:hint="eastAsia" w:ascii="仿宋" w:hAnsi="仿宋" w:eastAsia="仿宋" w:cs="仿宋"/>
                <w:snapToGrid w:val="0"/>
                <w:color w:val="000000"/>
                <w:sz w:val="24"/>
                <w:lang w:bidi="ar"/>
              </w:rPr>
              <w:t>项目分工</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仿宋" w:hAnsi="仿宋" w:eastAsia="仿宋" w:cs="仿宋"/>
                <w:color w:val="000000"/>
                <w:sz w:val="24"/>
              </w:rPr>
            </w:pPr>
            <w:r>
              <w:rPr>
                <w:rFonts w:hint="eastAsia" w:ascii="仿宋" w:hAnsi="仿宋" w:eastAsia="仿宋" w:cs="仿宋"/>
                <w:snapToGrid w:val="0"/>
                <w:color w:val="000000"/>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 w:hAnsi="仿宋" w:eastAsia="仿宋" w:cs="仿宋"/>
                <w:snapToGrid w:val="0"/>
                <w:color w:val="000000"/>
                <w:sz w:val="24"/>
              </w:rPr>
            </w:pPr>
          </w:p>
        </w:tc>
      </w:tr>
    </w:tbl>
    <w:p>
      <w:pPr>
        <w:adjustRightInd/>
        <w:snapToGrid w:val="0"/>
        <w:spacing w:line="240" w:lineRule="exact"/>
        <w:ind w:left="420" w:leftChars="200"/>
        <w:rPr>
          <w:rFonts w:ascii="仿宋" w:hAnsi="仿宋" w:eastAsia="仿宋" w:cs="宋体"/>
          <w:sz w:val="32"/>
          <w:szCs w:val="32"/>
        </w:rPr>
      </w:pPr>
    </w:p>
    <w:p>
      <w:pPr>
        <w:widowControl/>
        <w:adjustRightInd/>
        <w:spacing w:line="360" w:lineRule="auto"/>
        <w:ind w:firstLine="420" w:firstLineChars="200"/>
        <w:rPr>
          <w:rFonts w:ascii="仿宋" w:hAnsi="仿宋" w:eastAsia="仿宋" w:cs="宋体"/>
          <w:szCs w:val="22"/>
        </w:rPr>
      </w:pPr>
    </w:p>
    <w:p>
      <w:pPr>
        <w:adjustRightInd/>
        <w:rPr>
          <w:rFonts w:ascii="仿宋" w:hAnsi="仿宋" w:eastAsia="仿宋" w:cs="宋体"/>
          <w:spacing w:val="6"/>
          <w:sz w:val="32"/>
          <w:szCs w:val="22"/>
        </w:rPr>
      </w:pPr>
      <w:r>
        <w:rPr>
          <w:rFonts w:hint="eastAsia" w:ascii="仿宋" w:hAnsi="仿宋" w:eastAsia="仿宋" w:cs="宋体"/>
          <w:spacing w:val="6"/>
          <w:sz w:val="32"/>
          <w:szCs w:val="22"/>
        </w:rPr>
        <w:br w:type="page"/>
      </w:r>
    </w:p>
    <w:p>
      <w:pPr>
        <w:adjustRightInd/>
        <w:spacing w:line="560" w:lineRule="exact"/>
        <w:outlineLvl w:val="1"/>
        <w:rPr>
          <w:rFonts w:ascii="仿宋" w:hAnsi="仿宋" w:eastAsia="仿宋" w:cs="宋体"/>
          <w:spacing w:val="6"/>
          <w:sz w:val="32"/>
          <w:szCs w:val="22"/>
        </w:rPr>
      </w:pPr>
      <w:r>
        <w:rPr>
          <w:rFonts w:hint="eastAsia" w:ascii="仿宋" w:hAnsi="仿宋" w:eastAsia="仿宋" w:cs="宋体"/>
          <w:spacing w:val="6"/>
          <w:sz w:val="32"/>
          <w:szCs w:val="22"/>
        </w:rPr>
        <w:t>附件2：</w:t>
      </w:r>
    </w:p>
    <w:p>
      <w:pPr>
        <w:spacing w:line="360" w:lineRule="auto"/>
        <w:jc w:val="center"/>
        <w:rPr>
          <w:rFonts w:ascii="仿宋" w:hAnsi="仿宋" w:eastAsia="仿宋" w:cs="宋体"/>
          <w:b/>
          <w:sz w:val="24"/>
          <w:szCs w:val="22"/>
        </w:rPr>
      </w:pPr>
    </w:p>
    <w:p>
      <w:pPr>
        <w:spacing w:line="360" w:lineRule="auto"/>
        <w:jc w:val="center"/>
        <w:rPr>
          <w:rFonts w:ascii="仿宋" w:hAnsi="仿宋" w:eastAsia="仿宋" w:cs="宋体"/>
          <w:b/>
          <w:sz w:val="32"/>
          <w:szCs w:val="32"/>
        </w:rPr>
      </w:pPr>
      <w:r>
        <w:rPr>
          <w:rFonts w:hint="eastAsia" w:ascii="仿宋" w:hAnsi="仿宋" w:eastAsia="仿宋" w:cs="宋体"/>
          <w:b/>
          <w:sz w:val="32"/>
          <w:szCs w:val="32"/>
        </w:rPr>
        <w:t>评审任务单</w:t>
      </w:r>
      <w:r>
        <w:rPr>
          <w:rFonts w:hint="eastAsia" w:ascii="仿宋" w:hAnsi="仿宋" w:eastAsia="仿宋" w:cs="宋体"/>
          <w:b/>
          <w:bCs/>
          <w:kern w:val="0"/>
          <w:sz w:val="24"/>
          <w:szCs w:val="22"/>
          <w:lang w:eastAsia="zh-CN"/>
        </w:rPr>
        <w:t>（模板）</w:t>
      </w:r>
    </w:p>
    <w:p>
      <w:pPr>
        <w:spacing w:line="360" w:lineRule="auto"/>
        <w:jc w:val="center"/>
        <w:rPr>
          <w:rFonts w:ascii="仿宋" w:hAnsi="仿宋" w:eastAsia="仿宋" w:cs="宋体"/>
          <w:b/>
          <w:sz w:val="24"/>
          <w:szCs w:val="22"/>
        </w:rPr>
      </w:pPr>
      <w:r>
        <w:rPr>
          <w:rFonts w:hint="eastAsia" w:ascii="仿宋" w:hAnsi="仿宋" w:eastAsia="仿宋" w:cs="宋体"/>
          <w:b/>
          <w:sz w:val="24"/>
          <w:szCs w:val="22"/>
        </w:rPr>
        <w:t>评审任务</w:t>
      </w:r>
      <w:r>
        <w:rPr>
          <w:rFonts w:hint="eastAsia" w:ascii="仿宋" w:hAnsi="仿宋" w:eastAsia="仿宋" w:cs="宋体"/>
          <w:kern w:val="0"/>
          <w:sz w:val="24"/>
          <w:szCs w:val="22"/>
        </w:rPr>
        <w:t>〔20</w:t>
      </w:r>
      <w:r>
        <w:rPr>
          <w:rFonts w:hint="eastAsia" w:ascii="仿宋" w:hAnsi="仿宋" w:eastAsia="仿宋" w:cs="宋体"/>
          <w:kern w:val="0"/>
          <w:sz w:val="24"/>
          <w:szCs w:val="22"/>
          <w:u w:val="single"/>
        </w:rPr>
        <w:t xml:space="preserve">  </w:t>
      </w:r>
      <w:r>
        <w:rPr>
          <w:rFonts w:hint="eastAsia" w:ascii="仿宋" w:hAnsi="仿宋" w:eastAsia="仿宋" w:cs="宋体"/>
          <w:kern w:val="0"/>
          <w:sz w:val="24"/>
          <w:szCs w:val="22"/>
        </w:rPr>
        <w:t>〕</w:t>
      </w:r>
      <w:r>
        <w:rPr>
          <w:rFonts w:hint="eastAsia" w:ascii="仿宋" w:hAnsi="仿宋" w:eastAsia="仿宋" w:cs="宋体"/>
          <w:b/>
          <w:sz w:val="24"/>
          <w:szCs w:val="22"/>
          <w:u w:val="single"/>
        </w:rPr>
        <w:t xml:space="preserve">    </w:t>
      </w:r>
      <w:r>
        <w:rPr>
          <w:rFonts w:hint="eastAsia" w:ascii="仿宋" w:hAnsi="仿宋" w:eastAsia="仿宋" w:cs="宋体"/>
          <w:b/>
          <w:sz w:val="24"/>
          <w:szCs w:val="22"/>
        </w:rPr>
        <w:t>号</w:t>
      </w:r>
    </w:p>
    <w:p>
      <w:pPr>
        <w:autoSpaceDE w:val="0"/>
        <w:spacing w:line="400" w:lineRule="exact"/>
        <w:rPr>
          <w:rFonts w:ascii="仿宋" w:hAnsi="仿宋" w:eastAsia="仿宋" w:cs="宋体"/>
          <w:bCs/>
          <w:kern w:val="0"/>
          <w:sz w:val="24"/>
          <w:szCs w:val="22"/>
          <w:u w:val="single"/>
        </w:rPr>
      </w:pPr>
      <w:r>
        <w:rPr>
          <w:rFonts w:hint="eastAsia" w:ascii="仿宋" w:hAnsi="仿宋" w:eastAsia="仿宋" w:cs="宋体"/>
          <w:bCs/>
          <w:kern w:val="0"/>
          <w:sz w:val="24"/>
          <w:szCs w:val="22"/>
          <w:u w:val="single"/>
        </w:rPr>
        <w:t xml:space="preserve">         （受委托方）          ：</w:t>
      </w:r>
    </w:p>
    <w:p>
      <w:pPr>
        <w:autoSpaceDE w:val="0"/>
        <w:spacing w:line="400" w:lineRule="exact"/>
        <w:ind w:firstLine="487" w:firstLineChars="203"/>
        <w:rPr>
          <w:rFonts w:ascii="仿宋" w:hAnsi="仿宋" w:eastAsia="仿宋" w:cs="宋体"/>
          <w:bCs/>
          <w:kern w:val="0"/>
          <w:sz w:val="24"/>
          <w:szCs w:val="22"/>
        </w:rPr>
      </w:pPr>
      <w:r>
        <w:rPr>
          <w:rFonts w:hint="eastAsia" w:ascii="仿宋" w:hAnsi="仿宋" w:eastAsia="仿宋" w:cs="宋体"/>
          <w:bCs/>
          <w:kern w:val="0"/>
          <w:sz w:val="24"/>
          <w:szCs w:val="22"/>
        </w:rPr>
        <w:t>根据《</w:t>
      </w:r>
      <w:r>
        <w:rPr>
          <w:rFonts w:hint="eastAsia" w:ascii="仿宋" w:hAnsi="仿宋" w:eastAsia="仿宋" w:cs="宋体"/>
          <w:bCs/>
          <w:kern w:val="0"/>
          <w:sz w:val="24"/>
          <w:szCs w:val="22"/>
          <w:lang w:eastAsia="zh-CN"/>
        </w:rPr>
        <w:t>建德市发展和改革局2025-2026年度节能审查委托咨询评估项目</w:t>
      </w:r>
      <w:r>
        <w:rPr>
          <w:rFonts w:hint="eastAsia" w:ascii="仿宋" w:hAnsi="仿宋" w:eastAsia="仿宋" w:cs="宋体"/>
          <w:bCs/>
          <w:kern w:val="0"/>
          <w:sz w:val="24"/>
          <w:szCs w:val="22"/>
        </w:rPr>
        <w:t>》第二阶段成交供应商顺序轮候确定方式，你单位排序第</w:t>
      </w:r>
      <w:r>
        <w:rPr>
          <w:rFonts w:hint="eastAsia" w:ascii="仿宋" w:hAnsi="仿宋" w:eastAsia="仿宋" w:cs="宋体"/>
          <w:bCs/>
          <w:kern w:val="0"/>
          <w:sz w:val="24"/>
          <w:szCs w:val="22"/>
          <w:u w:val="single"/>
        </w:rPr>
        <w:t xml:space="preserve">   个</w:t>
      </w:r>
      <w:r>
        <w:rPr>
          <w:rFonts w:hint="eastAsia" w:ascii="仿宋" w:hAnsi="仿宋" w:eastAsia="仿宋" w:cs="宋体"/>
          <w:bCs/>
          <w:kern w:val="0"/>
          <w:sz w:val="24"/>
          <w:szCs w:val="22"/>
        </w:rPr>
        <w:t>，第</w:t>
      </w:r>
      <w:r>
        <w:rPr>
          <w:rFonts w:hint="eastAsia" w:ascii="仿宋" w:hAnsi="仿宋" w:eastAsia="仿宋" w:cs="宋体"/>
          <w:bCs/>
          <w:kern w:val="0"/>
          <w:sz w:val="24"/>
          <w:szCs w:val="22"/>
          <w:u w:val="single"/>
        </w:rPr>
        <w:t xml:space="preserve">   </w:t>
      </w:r>
      <w:r>
        <w:rPr>
          <w:rFonts w:hint="eastAsia" w:ascii="仿宋" w:hAnsi="仿宋" w:eastAsia="仿宋" w:cs="宋体"/>
          <w:bCs/>
          <w:kern w:val="0"/>
          <w:sz w:val="24"/>
          <w:szCs w:val="22"/>
        </w:rPr>
        <w:t>轮顺序轮候确定你单位为</w:t>
      </w:r>
      <w:r>
        <w:rPr>
          <w:rFonts w:hint="eastAsia" w:ascii="仿宋" w:hAnsi="仿宋" w:eastAsia="仿宋" w:cs="宋体"/>
          <w:bCs/>
          <w:kern w:val="0"/>
          <w:sz w:val="24"/>
          <w:szCs w:val="22"/>
          <w:u w:val="single"/>
        </w:rPr>
        <w:t xml:space="preserve">   ×××项目节能审查评审</w:t>
      </w:r>
      <w:r>
        <w:rPr>
          <w:rFonts w:hint="eastAsia" w:ascii="仿宋" w:hAnsi="仿宋" w:eastAsia="仿宋" w:cs="宋体"/>
          <w:bCs/>
          <w:kern w:val="0"/>
          <w:sz w:val="24"/>
          <w:szCs w:val="22"/>
        </w:rPr>
        <w:t>机构，请收到本任务单后及时办理资料交接、核对、开展评审工作，并注意下列事项：</w:t>
      </w:r>
    </w:p>
    <w:p>
      <w:pPr>
        <w:autoSpaceDE w:val="0"/>
        <w:spacing w:line="400" w:lineRule="exact"/>
        <w:ind w:firstLine="480" w:firstLineChars="200"/>
        <w:rPr>
          <w:rFonts w:ascii="仿宋" w:hAnsi="仿宋" w:eastAsia="仿宋" w:cs="宋体"/>
          <w:bCs/>
          <w:sz w:val="24"/>
          <w:szCs w:val="22"/>
        </w:rPr>
      </w:pPr>
      <w:r>
        <w:rPr>
          <w:rFonts w:hint="eastAsia" w:ascii="仿宋" w:hAnsi="仿宋" w:eastAsia="仿宋" w:cs="宋体"/>
          <w:bCs/>
          <w:kern w:val="0"/>
          <w:sz w:val="24"/>
          <w:szCs w:val="22"/>
        </w:rPr>
        <w:t>1.本次</w:t>
      </w:r>
      <w:r>
        <w:rPr>
          <w:rFonts w:hint="eastAsia" w:ascii="仿宋" w:hAnsi="仿宋" w:eastAsia="仿宋" w:cs="宋体"/>
          <w:bCs/>
          <w:sz w:val="24"/>
          <w:szCs w:val="22"/>
        </w:rPr>
        <w:t>委托项目概况：</w:t>
      </w:r>
    </w:p>
    <w:p>
      <w:pPr>
        <w:autoSpaceDE w:val="0"/>
        <w:spacing w:line="400" w:lineRule="exact"/>
        <w:ind w:firstLine="480" w:firstLineChars="200"/>
        <w:rPr>
          <w:rFonts w:ascii="仿宋" w:hAnsi="仿宋" w:eastAsia="仿宋" w:cs="宋体"/>
          <w:bCs/>
          <w:sz w:val="24"/>
          <w:szCs w:val="22"/>
        </w:rPr>
      </w:pPr>
      <w:r>
        <w:rPr>
          <w:rFonts w:hint="eastAsia" w:ascii="仿宋" w:hAnsi="仿宋" w:eastAsia="仿宋" w:cs="宋体"/>
          <w:bCs/>
          <w:sz w:val="24"/>
          <w:szCs w:val="22"/>
        </w:rPr>
        <w:t>项目名称：</w:t>
      </w:r>
      <w:r>
        <w:rPr>
          <w:rFonts w:hint="eastAsia" w:ascii="仿宋" w:hAnsi="仿宋" w:eastAsia="仿宋" w:cs="宋体"/>
          <w:bCs/>
          <w:sz w:val="24"/>
          <w:szCs w:val="22"/>
          <w:u w:val="single"/>
        </w:rPr>
        <w:t xml:space="preserve">                                                 </w:t>
      </w:r>
    </w:p>
    <w:p>
      <w:pPr>
        <w:autoSpaceDE w:val="0"/>
        <w:spacing w:line="400" w:lineRule="exact"/>
        <w:ind w:firstLine="480" w:firstLineChars="200"/>
        <w:rPr>
          <w:rFonts w:ascii="仿宋" w:hAnsi="仿宋" w:eastAsia="仿宋" w:cs="宋体"/>
          <w:bCs/>
          <w:sz w:val="24"/>
          <w:szCs w:val="22"/>
        </w:rPr>
      </w:pPr>
      <w:r>
        <w:rPr>
          <w:rFonts w:hint="eastAsia" w:ascii="仿宋" w:hAnsi="仿宋" w:eastAsia="仿宋" w:cs="宋体"/>
          <w:bCs/>
          <w:sz w:val="24"/>
          <w:szCs w:val="22"/>
        </w:rPr>
        <w:t>评审内容：</w:t>
      </w:r>
      <w:r>
        <w:rPr>
          <w:rFonts w:hint="eastAsia" w:ascii="仿宋" w:hAnsi="仿宋" w:eastAsia="仿宋" w:cs="宋体"/>
          <w:bCs/>
          <w:sz w:val="24"/>
          <w:szCs w:val="22"/>
        </w:rPr>
        <w:sym w:font="Wingdings 2" w:char="00A3"/>
      </w:r>
      <w:r>
        <w:rPr>
          <w:rFonts w:hint="eastAsia" w:ascii="仿宋" w:hAnsi="仿宋" w:eastAsia="仿宋" w:cs="宋体"/>
          <w:kern w:val="0"/>
          <w:sz w:val="24"/>
          <w:szCs w:val="22"/>
        </w:rPr>
        <w:t xml:space="preserve">固定资产投资项目节能报告     </w:t>
      </w:r>
    </w:p>
    <w:p>
      <w:pPr>
        <w:autoSpaceDE w:val="0"/>
        <w:spacing w:line="400" w:lineRule="exact"/>
        <w:ind w:firstLine="480" w:firstLineChars="200"/>
        <w:rPr>
          <w:rFonts w:ascii="仿宋" w:hAnsi="仿宋" w:eastAsia="仿宋" w:cs="宋体"/>
          <w:bCs/>
          <w:sz w:val="24"/>
          <w:szCs w:val="22"/>
        </w:rPr>
      </w:pPr>
      <w:r>
        <w:rPr>
          <w:rFonts w:hint="eastAsia" w:ascii="仿宋" w:hAnsi="仿宋" w:eastAsia="仿宋" w:cs="宋体"/>
          <w:bCs/>
          <w:sz w:val="24"/>
          <w:szCs w:val="22"/>
        </w:rPr>
        <w:t>编制单位：</w:t>
      </w:r>
      <w:r>
        <w:rPr>
          <w:rFonts w:hint="eastAsia" w:ascii="仿宋" w:hAnsi="仿宋" w:eastAsia="仿宋" w:cs="宋体"/>
          <w:bCs/>
          <w:sz w:val="24"/>
          <w:szCs w:val="22"/>
          <w:u w:val="single"/>
        </w:rPr>
        <w:t xml:space="preserve">                                                 </w:t>
      </w:r>
    </w:p>
    <w:p>
      <w:pPr>
        <w:autoSpaceDE w:val="0"/>
        <w:spacing w:line="400" w:lineRule="exact"/>
        <w:ind w:firstLine="480" w:firstLineChars="200"/>
        <w:rPr>
          <w:rFonts w:ascii="仿宋" w:hAnsi="仿宋" w:eastAsia="仿宋" w:cs="宋体"/>
          <w:kern w:val="0"/>
          <w:sz w:val="24"/>
          <w:szCs w:val="22"/>
        </w:rPr>
      </w:pPr>
      <w:r>
        <w:rPr>
          <w:rFonts w:hint="eastAsia" w:ascii="仿宋" w:hAnsi="仿宋" w:eastAsia="仿宋" w:cs="宋体"/>
          <w:kern w:val="0"/>
          <w:sz w:val="24"/>
          <w:szCs w:val="22"/>
        </w:rPr>
        <w:t>其他：</w:t>
      </w:r>
      <w:r>
        <w:rPr>
          <w:rFonts w:hint="eastAsia" w:ascii="仿宋" w:hAnsi="仿宋" w:eastAsia="仿宋" w:cs="宋体"/>
          <w:kern w:val="0"/>
          <w:sz w:val="24"/>
          <w:szCs w:val="22"/>
          <w:u w:val="single"/>
        </w:rPr>
        <w:t xml:space="preserve">                                                     </w:t>
      </w:r>
    </w:p>
    <w:p>
      <w:pPr>
        <w:adjustRightInd/>
        <w:spacing w:line="400" w:lineRule="exact"/>
        <w:ind w:firstLine="480" w:firstLineChars="200"/>
        <w:jc w:val="left"/>
        <w:rPr>
          <w:rFonts w:ascii="仿宋" w:hAnsi="仿宋" w:eastAsia="仿宋" w:cs="宋体"/>
          <w:bCs/>
          <w:kern w:val="0"/>
          <w:sz w:val="24"/>
          <w:szCs w:val="22"/>
        </w:rPr>
      </w:pPr>
      <w:r>
        <w:rPr>
          <w:rFonts w:hint="eastAsia" w:ascii="仿宋" w:hAnsi="仿宋" w:eastAsia="仿宋" w:cs="宋体"/>
          <w:bCs/>
          <w:kern w:val="0"/>
          <w:sz w:val="24"/>
          <w:szCs w:val="22"/>
        </w:rPr>
        <w:t>2.回避：在收到本任务单2日内完成资料验收核对工作。如存在需要回避的情形，需在收到本任务单当日书面反馈我方。回避情形如下：</w:t>
      </w:r>
    </w:p>
    <w:p>
      <w:pPr>
        <w:adjustRightInd/>
        <w:spacing w:line="400" w:lineRule="exact"/>
        <w:ind w:firstLine="480" w:firstLineChars="200"/>
        <w:jc w:val="left"/>
        <w:rPr>
          <w:rFonts w:ascii="仿宋" w:hAnsi="仿宋" w:eastAsia="仿宋" w:cs="宋体"/>
          <w:bCs/>
          <w:kern w:val="0"/>
          <w:sz w:val="24"/>
          <w:szCs w:val="22"/>
        </w:rPr>
      </w:pPr>
      <w:r>
        <w:rPr>
          <w:rFonts w:hint="eastAsia" w:ascii="仿宋" w:hAnsi="仿宋" w:eastAsia="仿宋" w:cs="宋体"/>
          <w:bCs/>
          <w:kern w:val="0"/>
          <w:sz w:val="24"/>
          <w:szCs w:val="22"/>
        </w:rPr>
        <w:t>（1）评审机构为委托评审项目的编制单位；</w:t>
      </w:r>
    </w:p>
    <w:p>
      <w:pPr>
        <w:adjustRightInd/>
        <w:spacing w:line="400" w:lineRule="exact"/>
        <w:ind w:firstLine="480" w:firstLineChars="200"/>
        <w:jc w:val="left"/>
        <w:rPr>
          <w:rFonts w:ascii="仿宋" w:hAnsi="仿宋" w:eastAsia="仿宋" w:cs="宋体"/>
          <w:bCs/>
          <w:kern w:val="0"/>
          <w:sz w:val="24"/>
          <w:szCs w:val="22"/>
        </w:rPr>
      </w:pPr>
      <w:r>
        <w:rPr>
          <w:rFonts w:hint="eastAsia" w:ascii="仿宋" w:hAnsi="仿宋" w:eastAsia="仿宋" w:cs="宋体"/>
          <w:bCs/>
          <w:kern w:val="0"/>
          <w:sz w:val="24"/>
          <w:szCs w:val="22"/>
        </w:rPr>
        <w:t>（2）评审机构与委托评审项目的编制单位、项目业主单位之间存在控股、管理关系；</w:t>
      </w:r>
    </w:p>
    <w:p>
      <w:pPr>
        <w:adjustRightInd/>
        <w:spacing w:line="400" w:lineRule="exact"/>
        <w:ind w:firstLine="480" w:firstLineChars="200"/>
        <w:jc w:val="left"/>
        <w:rPr>
          <w:rFonts w:ascii="仿宋" w:hAnsi="仿宋" w:eastAsia="仿宋" w:cs="宋体"/>
          <w:bCs/>
          <w:kern w:val="0"/>
          <w:sz w:val="24"/>
          <w:szCs w:val="22"/>
        </w:rPr>
      </w:pPr>
      <w:r>
        <w:rPr>
          <w:rFonts w:hint="eastAsia" w:ascii="仿宋" w:hAnsi="仿宋" w:eastAsia="仿宋" w:cs="宋体"/>
          <w:bCs/>
          <w:kern w:val="0"/>
          <w:sz w:val="24"/>
          <w:szCs w:val="22"/>
        </w:rPr>
        <w:t>（3）评审机构与委托项目编制单位、项目业主单位有利害关系；</w:t>
      </w:r>
    </w:p>
    <w:p>
      <w:pPr>
        <w:adjustRightInd/>
        <w:spacing w:line="400" w:lineRule="exact"/>
        <w:ind w:firstLine="480" w:firstLineChars="200"/>
        <w:jc w:val="left"/>
        <w:rPr>
          <w:rFonts w:ascii="仿宋" w:hAnsi="仿宋" w:eastAsia="仿宋"/>
          <w:szCs w:val="22"/>
        </w:rPr>
      </w:pPr>
      <w:r>
        <w:rPr>
          <w:rFonts w:hint="eastAsia" w:ascii="仿宋" w:hAnsi="仿宋" w:eastAsia="仿宋" w:cs="宋体"/>
          <w:sz w:val="24"/>
          <w:szCs w:val="22"/>
        </w:rPr>
        <w:t>（4）</w:t>
      </w:r>
      <w:r>
        <w:rPr>
          <w:rFonts w:hint="eastAsia" w:ascii="仿宋" w:hAnsi="仿宋" w:eastAsia="仿宋" w:cs="宋体"/>
          <w:sz w:val="24"/>
          <w:szCs w:val="22"/>
          <w:lang w:eastAsia="zh-CN"/>
        </w:rPr>
        <w:t>其他</w:t>
      </w:r>
      <w:r>
        <w:rPr>
          <w:rFonts w:hint="eastAsia" w:ascii="仿宋" w:hAnsi="仿宋" w:eastAsia="仿宋" w:cs="宋体"/>
          <w:sz w:val="24"/>
          <w:szCs w:val="22"/>
        </w:rPr>
        <w:t>需回避的情形。</w:t>
      </w:r>
    </w:p>
    <w:p>
      <w:pPr>
        <w:autoSpaceDE w:val="0"/>
        <w:spacing w:line="400" w:lineRule="exact"/>
        <w:ind w:firstLine="480" w:firstLineChars="200"/>
        <w:rPr>
          <w:rFonts w:ascii="仿宋" w:hAnsi="仿宋" w:eastAsia="仿宋" w:cs="宋体"/>
          <w:bCs/>
          <w:kern w:val="0"/>
          <w:sz w:val="24"/>
          <w:szCs w:val="22"/>
        </w:rPr>
      </w:pPr>
      <w:r>
        <w:rPr>
          <w:rFonts w:hint="eastAsia" w:ascii="仿宋" w:hAnsi="仿宋" w:eastAsia="仿宋" w:cs="宋体"/>
          <w:bCs/>
          <w:kern w:val="0"/>
          <w:sz w:val="24"/>
          <w:szCs w:val="22"/>
        </w:rPr>
        <w:t>3.具体进度要求（如有）：</w:t>
      </w:r>
      <w:r>
        <w:rPr>
          <w:rFonts w:hint="eastAsia" w:ascii="仿宋" w:hAnsi="仿宋" w:eastAsia="仿宋" w:cs="宋体"/>
          <w:bCs/>
          <w:kern w:val="0"/>
          <w:sz w:val="24"/>
          <w:szCs w:val="22"/>
          <w:u w:val="single"/>
        </w:rPr>
        <w:t xml:space="preserve">             </w:t>
      </w:r>
      <w:r>
        <w:rPr>
          <w:rFonts w:hint="eastAsia" w:ascii="仿宋" w:hAnsi="仿宋" w:eastAsia="仿宋" w:cs="宋体"/>
          <w:bCs/>
          <w:kern w:val="0"/>
          <w:sz w:val="24"/>
          <w:szCs w:val="22"/>
        </w:rPr>
        <w:t>。</w:t>
      </w:r>
    </w:p>
    <w:p>
      <w:pPr>
        <w:autoSpaceDE w:val="0"/>
        <w:spacing w:line="400" w:lineRule="exact"/>
        <w:ind w:firstLine="480" w:firstLineChars="200"/>
        <w:rPr>
          <w:rFonts w:ascii="仿宋" w:hAnsi="仿宋" w:eastAsia="仿宋" w:cs="宋体"/>
          <w:bCs/>
          <w:kern w:val="0"/>
          <w:sz w:val="24"/>
          <w:szCs w:val="22"/>
        </w:rPr>
      </w:pPr>
      <w:r>
        <w:rPr>
          <w:rFonts w:hint="eastAsia" w:ascii="仿宋" w:hAnsi="仿宋" w:eastAsia="仿宋" w:cs="宋体"/>
          <w:bCs/>
          <w:kern w:val="0"/>
          <w:sz w:val="24"/>
          <w:szCs w:val="22"/>
        </w:rPr>
        <w:t>4.其他：</w:t>
      </w:r>
      <w:r>
        <w:rPr>
          <w:rFonts w:hint="eastAsia" w:ascii="仿宋" w:hAnsi="仿宋" w:eastAsia="仿宋" w:cs="宋体"/>
          <w:bCs/>
          <w:kern w:val="0"/>
          <w:sz w:val="24"/>
          <w:szCs w:val="22"/>
          <w:u w:val="single"/>
        </w:rPr>
        <w:t xml:space="preserve">                        </w:t>
      </w:r>
      <w:r>
        <w:rPr>
          <w:rFonts w:hint="eastAsia" w:ascii="仿宋" w:hAnsi="仿宋" w:eastAsia="仿宋" w:cs="宋体"/>
          <w:bCs/>
          <w:kern w:val="0"/>
          <w:sz w:val="24"/>
          <w:szCs w:val="22"/>
        </w:rPr>
        <w:t>。</w:t>
      </w:r>
    </w:p>
    <w:p>
      <w:pPr>
        <w:autoSpaceDE w:val="0"/>
        <w:spacing w:line="400" w:lineRule="exact"/>
        <w:ind w:firstLine="487" w:firstLineChars="203"/>
        <w:rPr>
          <w:rFonts w:ascii="仿宋" w:hAnsi="仿宋" w:eastAsia="仿宋" w:cs="宋体"/>
          <w:bCs/>
          <w:kern w:val="0"/>
          <w:sz w:val="24"/>
          <w:szCs w:val="22"/>
        </w:rPr>
      </w:pPr>
      <w:r>
        <w:rPr>
          <w:rFonts w:hint="eastAsia" w:ascii="仿宋" w:hAnsi="仿宋" w:eastAsia="仿宋" w:cs="宋体"/>
          <w:bCs/>
          <w:kern w:val="0"/>
          <w:sz w:val="24"/>
          <w:szCs w:val="22"/>
        </w:rPr>
        <w:t>本通知未尽事宜，按照我中心与你单位签署的《</w:t>
      </w:r>
      <w:r>
        <w:rPr>
          <w:rFonts w:hint="eastAsia" w:ascii="仿宋" w:hAnsi="仿宋" w:eastAsia="仿宋" w:cs="宋体"/>
          <w:bCs/>
          <w:kern w:val="0"/>
          <w:sz w:val="24"/>
          <w:szCs w:val="22"/>
          <w:lang w:eastAsia="zh-CN"/>
        </w:rPr>
        <w:t>建德市发展和改革局2025-2026年度节能审查委托咨询评估项目</w:t>
      </w:r>
      <w:r>
        <w:rPr>
          <w:rFonts w:hint="eastAsia" w:ascii="仿宋" w:hAnsi="仿宋" w:eastAsia="仿宋" w:cs="宋体"/>
          <w:bCs/>
          <w:kern w:val="0"/>
          <w:sz w:val="24"/>
          <w:szCs w:val="22"/>
        </w:rPr>
        <w:t>框架协议书》约定处理。</w:t>
      </w:r>
    </w:p>
    <w:p>
      <w:pPr>
        <w:autoSpaceDE w:val="0"/>
        <w:spacing w:line="400" w:lineRule="exact"/>
        <w:jc w:val="right"/>
        <w:rPr>
          <w:rFonts w:ascii="仿宋" w:hAnsi="仿宋" w:eastAsia="仿宋" w:cs="宋体"/>
          <w:bCs/>
          <w:sz w:val="24"/>
          <w:szCs w:val="22"/>
        </w:rPr>
      </w:pPr>
    </w:p>
    <w:p>
      <w:pPr>
        <w:autoSpaceDE w:val="0"/>
        <w:spacing w:line="400" w:lineRule="exact"/>
        <w:jc w:val="right"/>
        <w:rPr>
          <w:rFonts w:ascii="仿宋" w:hAnsi="仿宋" w:eastAsia="仿宋" w:cs="宋体"/>
          <w:bCs/>
          <w:sz w:val="24"/>
          <w:szCs w:val="22"/>
        </w:rPr>
      </w:pPr>
    </w:p>
    <w:p>
      <w:pPr>
        <w:adjustRightInd/>
        <w:spacing w:after="120"/>
        <w:ind w:left="420" w:leftChars="200" w:firstLine="480" w:firstLineChars="200"/>
        <w:jc w:val="right"/>
        <w:rPr>
          <w:rFonts w:hint="default" w:ascii="仿宋" w:hAnsi="仿宋" w:eastAsia="仿宋" w:cs="宋体"/>
          <w:bCs/>
          <w:kern w:val="0"/>
          <w:sz w:val="24"/>
          <w:szCs w:val="22"/>
          <w:lang w:val="en-US" w:eastAsia="zh-CN"/>
        </w:rPr>
      </w:pPr>
      <w:r>
        <w:rPr>
          <w:rFonts w:hint="eastAsia" w:ascii="仿宋" w:hAnsi="仿宋" w:eastAsia="仿宋" w:cs="宋体"/>
          <w:bCs/>
          <w:sz w:val="24"/>
          <w:szCs w:val="22"/>
          <w:lang w:val="en-US" w:eastAsia="zh-CN"/>
        </w:rPr>
        <w:t>建德市发展和改革局</w:t>
      </w:r>
    </w:p>
    <w:p>
      <w:pPr>
        <w:adjustRightInd/>
        <w:spacing w:after="120"/>
        <w:ind w:left="420" w:leftChars="200" w:firstLine="480" w:firstLineChars="200"/>
        <w:jc w:val="right"/>
        <w:rPr>
          <w:rFonts w:ascii="仿宋" w:hAnsi="仿宋" w:eastAsia="仿宋" w:cs="宋体"/>
          <w:szCs w:val="22"/>
        </w:rPr>
      </w:pPr>
      <w:r>
        <w:rPr>
          <w:rFonts w:hint="eastAsia" w:ascii="仿宋" w:hAnsi="仿宋" w:eastAsia="仿宋" w:cs="宋体"/>
          <w:bCs/>
          <w:kern w:val="0"/>
          <w:sz w:val="24"/>
          <w:szCs w:val="22"/>
        </w:rPr>
        <w:t xml:space="preserve"> 年    月    日 </w:t>
      </w:r>
    </w:p>
    <w:p>
      <w:pPr>
        <w:adjustRightInd/>
        <w:rPr>
          <w:rFonts w:ascii="仿宋" w:hAnsi="仿宋" w:eastAsia="仿宋" w:cs="宋体"/>
          <w:szCs w:val="22"/>
        </w:rPr>
      </w:pPr>
    </w:p>
    <w:p>
      <w:pPr>
        <w:adjustRightInd/>
        <w:spacing w:line="560" w:lineRule="exact"/>
      </w:pPr>
    </w:p>
    <w:p>
      <w:pPr>
        <w:rPr>
          <w:rFonts w:hint="eastAsia" w:ascii="宋体" w:hAnsi="宋体" w:eastAsia="宋体" w:cs="宋体"/>
          <w:b/>
          <w:color w:val="auto"/>
          <w:sz w:val="24"/>
          <w:highlight w:val="none"/>
        </w:rPr>
      </w:pPr>
    </w:p>
    <w:p>
      <w:pPr>
        <w:spacing w:line="360" w:lineRule="auto"/>
        <w:jc w:val="center"/>
        <w:outlineLvl w:val="0"/>
        <w:rPr>
          <w:rFonts w:hint="eastAsia" w:ascii="宋体" w:hAnsi="宋体" w:eastAsia="宋体" w:cs="宋体"/>
          <w:b/>
          <w:color w:val="auto"/>
          <w:sz w:val="32"/>
          <w:szCs w:val="32"/>
          <w:highlight w:val="none"/>
        </w:rPr>
      </w:pPr>
      <w:bookmarkStart w:id="423" w:name="_Toc23526"/>
      <w:bookmarkStart w:id="424" w:name="_Toc3441"/>
      <w:bookmarkStart w:id="425" w:name="_Toc25425"/>
      <w:bookmarkStart w:id="426" w:name="_Toc27544"/>
      <w:bookmarkStart w:id="427" w:name="_Toc17376"/>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第六部分</w:t>
      </w:r>
      <w:bookmarkEnd w:id="412"/>
      <w:bookmarkEnd w:id="413"/>
      <w:r>
        <w:rPr>
          <w:rFonts w:hint="eastAsia" w:ascii="宋体" w:hAnsi="宋体" w:eastAsia="宋体" w:cs="宋体"/>
          <w:b/>
          <w:color w:val="auto"/>
          <w:sz w:val="32"/>
          <w:szCs w:val="32"/>
          <w:highlight w:val="none"/>
        </w:rPr>
        <w:t xml:space="preserve"> 应提交的有关格式范例</w:t>
      </w:r>
      <w:bookmarkEnd w:id="423"/>
      <w:bookmarkEnd w:id="424"/>
      <w:bookmarkEnd w:id="425"/>
      <w:bookmarkEnd w:id="426"/>
      <w:bookmarkEnd w:id="427"/>
    </w:p>
    <w:p>
      <w:pPr>
        <w:spacing w:line="360" w:lineRule="auto"/>
        <w:jc w:val="center"/>
        <w:rPr>
          <w:rFonts w:hint="eastAsia" w:ascii="宋体" w:hAnsi="宋体" w:eastAsia="宋体" w:cs="宋体"/>
          <w:b/>
          <w:color w:val="auto"/>
          <w:kern w:val="0"/>
          <w:sz w:val="24"/>
          <w:highlight w:val="none"/>
        </w:rPr>
      </w:pPr>
    </w:p>
    <w:p>
      <w:pPr>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资格文件部分</w:t>
      </w: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pPr>
        <w:spacing w:line="360" w:lineRule="auto"/>
        <w:jc w:val="center"/>
        <w:rPr>
          <w:rFonts w:hint="eastAsia" w:ascii="宋体" w:hAnsi="宋体" w:eastAsia="宋体" w:cs="宋体"/>
          <w:b/>
          <w:color w:val="auto"/>
          <w:kern w:val="0"/>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联合体参加的指联合体双方，拟采用分包的指总包方和分包方）的营业执照或者其他由国家相关部门出具的具有独立承担民事责任能力的证明文件（自然人参加的提供身份证复制件）……………………………………………………………（页码）（2）符合参加政府采购活动应当具备的一般条件、特定资格条件的承诺函（如以联合体形式参加政府采购活动的，联合体各方均应提交该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）满足政府采购政策资格要求证明材料…………………………………………（页码）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）满足本项目特定</w:t>
      </w:r>
      <w:r>
        <w:rPr>
          <w:rFonts w:hint="eastAsia" w:ascii="宋体" w:hAnsi="宋体" w:eastAsia="宋体" w:cs="宋体"/>
          <w:color w:val="auto"/>
          <w:sz w:val="24"/>
          <w:highlight w:val="none"/>
          <w:lang w:val="en-US" w:eastAsia="zh-CN"/>
        </w:rPr>
        <w:t>资格条件</w:t>
      </w:r>
      <w:r>
        <w:rPr>
          <w:rFonts w:hint="eastAsia" w:ascii="宋体" w:hAnsi="宋体" w:eastAsia="宋体" w:cs="宋体"/>
          <w:color w:val="auto"/>
          <w:sz w:val="24"/>
          <w:highlight w:val="none"/>
        </w:rPr>
        <w:t>证明材料……………………………………………（页码）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snapToGrid w:val="0"/>
        <w:spacing w:line="288" w:lineRule="auto"/>
        <w:ind w:right="482"/>
        <w:outlineLvl w:val="2"/>
        <w:rPr>
          <w:rFonts w:hint="eastAsia" w:ascii="宋体" w:hAnsi="宋体" w:eastAsia="宋体" w:cs="宋体"/>
          <w:b/>
          <w:color w:val="auto"/>
          <w:kern w:val="0"/>
          <w:sz w:val="28"/>
          <w:szCs w:val="28"/>
          <w:highlight w:val="none"/>
        </w:rPr>
      </w:pPr>
    </w:p>
    <w:p>
      <w:pPr>
        <w:numPr>
          <w:ilvl w:val="0"/>
          <w:numId w:val="1"/>
        </w:num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供应商（联合体参加的指联合体双方，拟采用分包的指总包方和分包方）的营业执照或者其他由国家相关部门出具的具有</w:t>
      </w:r>
    </w:p>
    <w:p>
      <w:pPr>
        <w:numPr>
          <w:ilvl w:val="0"/>
          <w:numId w:val="0"/>
        </w:numPr>
        <w:spacing w:line="360" w:lineRule="auto"/>
        <w:jc w:val="both"/>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独立承担民事责任能力的证明文件（自然人参加的提供身份证复</w:t>
      </w:r>
      <w:r>
        <w:rPr>
          <w:rFonts w:hint="eastAsia" w:ascii="宋体" w:hAnsi="宋体" w:cs="宋体"/>
          <w:b/>
          <w:color w:val="auto"/>
          <w:sz w:val="32"/>
          <w:szCs w:val="32"/>
          <w:highlight w:val="none"/>
          <w:lang w:eastAsia="zh-CN"/>
        </w:rPr>
        <w:t>印</w:t>
      </w:r>
      <w:r>
        <w:rPr>
          <w:rFonts w:hint="eastAsia" w:ascii="宋体" w:hAnsi="宋体" w:eastAsia="宋体" w:cs="宋体"/>
          <w:b/>
          <w:color w:val="auto"/>
          <w:sz w:val="32"/>
          <w:szCs w:val="32"/>
          <w:highlight w:val="none"/>
        </w:rPr>
        <w:t>件）</w:t>
      </w: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highlight w:val="none"/>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215265</wp:posOffset>
                </wp:positionV>
                <wp:extent cx="5671820" cy="7672070"/>
                <wp:effectExtent l="12700" t="12700" r="30480" b="30480"/>
                <wp:wrapNone/>
                <wp:docPr id="2" name="矩形 2"/>
                <wp:cNvGraphicFramePr/>
                <a:graphic xmlns:a="http://schemas.openxmlformats.org/drawingml/2006/main">
                  <a:graphicData uri="http://schemas.microsoft.com/office/word/2010/wordprocessingShape">
                    <wps:wsp>
                      <wps:cNvSpPr/>
                      <wps:spPr>
                        <a:xfrm>
                          <a:off x="908050" y="2286635"/>
                          <a:ext cx="5671820" cy="76720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65pt;margin-top:16.95pt;height:604.1pt;width:446.6pt;z-index:251669504;v-text-anchor:middle;mso-width-relative:page;mso-height-relative:page;" filled="f" stroked="t" coordsize="21600,21600" o:gfxdata="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jawGbYAAAACQEAAA8AAAAAAAAAAQAgAAAAIgAAAGRycy9kb3ducmV2LnhtbFBL&#10;AQIUABQAAAAIAIdO4kC69sEcaAIAAMAEAAAOAAAAAAAAAAEAIAAAACcBAABkcnMvZTJvRG9jLnht&#10;bFBLBQYAAAAABgAGAFkBAAABBgAAAAA=&#10;">
                <v:fill on="f" focussize="0,0"/>
                <v:stroke weight="2pt" color="#000000 [3213]" joinstyle="round"/>
                <v:imagedata o:title=""/>
                <o:lock v:ext="edit" aspectratio="f"/>
              </v:rect>
            </w:pict>
          </mc:Fallback>
        </mc:AlternateContent>
      </w: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lef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符合参加政府采购活动应当具备的一般条件、特定资格条件的承诺函（如以联合体形式参加政府采购活动的，联合体各方均应提交该承诺函）</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t>承诺函</w:t>
      </w:r>
    </w:p>
    <w:p>
      <w:pPr>
        <w:snapToGrid w:val="0"/>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（征集人）、（采购代理机构）</w:t>
      </w:r>
      <w:r>
        <w:rPr>
          <w:rFonts w:hint="eastAsia" w:ascii="宋体" w:hAnsi="宋体" w:eastAsia="宋体" w:cs="宋体"/>
          <w:color w:val="auto"/>
          <w:sz w:val="24"/>
          <w:highlight w:val="none"/>
        </w:rPr>
        <w:t>：</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建德市发展和改革局2025-2026年度节能审查委托咨询评估项目</w:t>
      </w:r>
      <w:r>
        <w:rPr>
          <w:rFonts w:hint="eastAsia" w:ascii="宋体" w:hAnsi="宋体" w:eastAsia="宋体" w:cs="宋体"/>
          <w:color w:val="auto"/>
          <w:sz w:val="24"/>
          <w:highlight w:val="none"/>
          <w:u w:val="single"/>
        </w:rPr>
        <w:t>【项目编号：</w:t>
      </w:r>
      <w:bookmarkStart w:id="470" w:name="_GoBack"/>
      <w:bookmarkEnd w:id="470"/>
      <w:r>
        <w:rPr>
          <w:rFonts w:hint="eastAsia" w:ascii="宋体" w:hAnsi="宋体" w:cs="宋体"/>
          <w:color w:val="auto"/>
          <w:sz w:val="24"/>
          <w:highlight w:val="none"/>
          <w:u w:val="single"/>
          <w:lang w:eastAsia="zh-CN"/>
        </w:rPr>
        <w:t>JD2025BF-011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政府采购活动，郑重承诺：</w:t>
      </w:r>
    </w:p>
    <w:p>
      <w:pPr>
        <w:snapToGrid w:val="0"/>
        <w:spacing w:line="312"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u w:val="single"/>
        </w:rPr>
        <w:t>本项目</w:t>
      </w:r>
      <w:r>
        <w:rPr>
          <w:rFonts w:hint="eastAsia" w:ascii="宋体" w:hAnsi="宋体" w:eastAsia="宋体" w:cs="宋体"/>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12"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3、本单位与征集人之间存在下列利害关系</w:t>
      </w:r>
      <w:r>
        <w:rPr>
          <w:rFonts w:hint="eastAsia" w:ascii="宋体" w:hAnsi="宋体" w:cs="宋体"/>
          <w:color w:val="auto"/>
          <w:kern w:val="0"/>
          <w:sz w:val="24"/>
          <w:highlight w:val="none"/>
          <w:lang w:val="zh-CN"/>
        </w:rPr>
        <w:t>：</w:t>
      </w:r>
    </w:p>
    <w:p>
      <w:pPr>
        <w:snapToGrid w:val="0"/>
        <w:spacing w:line="312"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A．投资关系，B．行政隶属关系，C．业务指导关系，D．其他可能影响采购公正的利害关系。</w:t>
      </w:r>
    </w:p>
    <w:p>
      <w:pPr>
        <w:snapToGrid w:val="0"/>
        <w:spacing w:line="312"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4、因违法经营被禁止参加政府采购活动的期限内的。</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rPr>
        <w:t>电子签名</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b/>
          <w:color w:val="auto"/>
          <w:kern w:val="0"/>
          <w:sz w:val="24"/>
          <w:highlight w:val="none"/>
        </w:rPr>
      </w:pPr>
    </w:p>
    <w:p>
      <w:pPr>
        <w:snapToGrid w:val="0"/>
        <w:spacing w:line="360" w:lineRule="auto"/>
        <w:ind w:right="480"/>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、满足政府采购政策资格要求证明材料</w:t>
      </w:r>
    </w:p>
    <w:p>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（根据公开征集文件第一部分征集公告中落实政府采购政策需满足的资格要求选择提供相应的材料；未要求的，无需提供）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b/>
          <w:color w:val="auto"/>
          <w:sz w:val="24"/>
          <w:highlight w:val="none"/>
        </w:rPr>
      </w:pP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pPr>
        <w:snapToGrid w:val="0"/>
        <w:spacing w:before="50" w:after="50" w:line="360" w:lineRule="auto"/>
        <w:jc w:val="cente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widowControl/>
        <w:spacing w:line="360" w:lineRule="auto"/>
        <w:ind w:left="150"/>
        <w:jc w:val="center"/>
        <w:outlineLvl w:val="2"/>
        <w:rPr>
          <w:rFonts w:hint="eastAsia" w:ascii="宋体" w:hAnsi="宋体" w:eastAsia="宋体" w:cs="宋体"/>
          <w:b/>
          <w:color w:val="auto"/>
          <w:kern w:val="0"/>
          <w:sz w:val="24"/>
          <w:highlight w:val="none"/>
        </w:rPr>
      </w:pPr>
    </w:p>
    <w:p>
      <w:pPr>
        <w:widowControl/>
        <w:spacing w:line="360" w:lineRule="auto"/>
        <w:ind w:left="150"/>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、满足本项目特定资格</w:t>
      </w:r>
      <w:r>
        <w:rPr>
          <w:rFonts w:hint="eastAsia" w:ascii="宋体" w:hAnsi="宋体" w:eastAsia="宋体" w:cs="宋体"/>
          <w:b/>
          <w:color w:val="auto"/>
          <w:kern w:val="0"/>
          <w:sz w:val="32"/>
          <w:szCs w:val="32"/>
          <w:highlight w:val="none"/>
          <w:lang w:val="en-US" w:eastAsia="zh-CN"/>
        </w:rPr>
        <w:t>条件</w:t>
      </w:r>
      <w:r>
        <w:rPr>
          <w:rFonts w:hint="eastAsia" w:ascii="宋体" w:hAnsi="宋体" w:eastAsia="宋体" w:cs="宋体"/>
          <w:b/>
          <w:color w:val="auto"/>
          <w:kern w:val="0"/>
          <w:sz w:val="32"/>
          <w:szCs w:val="32"/>
          <w:highlight w:val="none"/>
        </w:rPr>
        <w:t>的证明材料</w:t>
      </w:r>
    </w:p>
    <w:p>
      <w:pPr>
        <w:widowControl/>
        <w:adjustRightInd/>
        <w:spacing w:line="360" w:lineRule="auto"/>
        <w:ind w:firstLine="480" w:firstLineChars="200"/>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（根据公开征集文件第一部分征集公告中特定资格条件选择提供相应的材料；未要求的，无需提供）</w:t>
      </w:r>
    </w:p>
    <w:p>
      <w:pPr>
        <w:pStyle w:val="2"/>
        <w:rPr>
          <w:rFonts w:hint="eastAsia" w:ascii="宋体" w:hAnsi="宋体" w:eastAsia="宋体" w:cs="宋体"/>
          <w:color w:val="auto"/>
          <w:sz w:val="24"/>
          <w:szCs w:val="24"/>
          <w:highlight w:val="none"/>
        </w:rPr>
      </w:pPr>
    </w:p>
    <w:p>
      <w:pPr>
        <w:widowControl/>
        <w:spacing w:line="360" w:lineRule="auto"/>
        <w:ind w:firstLine="470" w:firstLineChars="196"/>
        <w:jc w:val="left"/>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pacing w:line="360" w:lineRule="auto"/>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pacing w:line="360" w:lineRule="auto"/>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pacing w:line="360" w:lineRule="auto"/>
        <w:jc w:val="center"/>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spacing w:line="360" w:lineRule="auto"/>
        <w:ind w:right="420"/>
        <w:jc w:val="center"/>
        <w:outlineLvl w:val="1"/>
        <w:rPr>
          <w:rFonts w:hint="eastAsia" w:ascii="宋体" w:hAnsi="宋体" w:eastAsia="宋体" w:cs="宋体"/>
          <w:b/>
          <w:color w:val="auto"/>
          <w:kern w:val="0"/>
          <w:sz w:val="36"/>
          <w:szCs w:val="36"/>
          <w:highlight w:val="none"/>
        </w:rPr>
      </w:pPr>
    </w:p>
    <w:p>
      <w:pPr>
        <w:spacing w:line="360" w:lineRule="auto"/>
        <w:ind w:right="420"/>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rPr>
          <w:rFonts w:hint="eastAsia" w:ascii="宋体" w:hAnsi="宋体" w:eastAsia="宋体" w:cs="宋体"/>
          <w:b/>
          <w:color w:val="auto"/>
          <w:kern w:val="0"/>
          <w:sz w:val="28"/>
          <w:szCs w:val="28"/>
          <w:highlight w:val="none"/>
        </w:rPr>
      </w:pP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pStyle w:val="2"/>
        <w:rPr>
          <w:rFonts w:hint="eastAsia" w:ascii="宋体" w:hAnsi="宋体" w:eastAsia="宋体" w:cs="宋体"/>
          <w:color w:val="auto"/>
          <w:highlight w:val="none"/>
        </w:rPr>
      </w:pP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（3）符合性审查资料………………………………………………………………（页码）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（4）评审标准相应的商务技术资料………………………………………………（页码）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bookmarkStart w:id="428" w:name="_Hlk97980801"/>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（6）分包意向协议</w:t>
      </w:r>
      <w:r>
        <w:rPr>
          <w:rFonts w:hint="eastAsia" w:ascii="宋体" w:hAnsi="宋体" w:eastAsia="宋体" w:cs="宋体"/>
          <w:color w:val="auto"/>
          <w:sz w:val="24"/>
          <w:highlight w:val="none"/>
        </w:rPr>
        <w:t>（如有）</w:t>
      </w:r>
      <w:r>
        <w:rPr>
          <w:rFonts w:hint="eastAsia" w:ascii="宋体" w:hAnsi="宋体" w:eastAsia="宋体" w:cs="宋体"/>
          <w:color w:val="auto"/>
          <w:sz w:val="24"/>
          <w:highlight w:val="none"/>
          <w:lang w:val="zh-CN"/>
        </w:rPr>
        <w:t>（格式见附件7）</w:t>
      </w:r>
      <w:r>
        <w:rPr>
          <w:rFonts w:hint="eastAsia" w:ascii="宋体" w:hAnsi="宋体" w:eastAsia="宋体" w:cs="宋体"/>
          <w:color w:val="auto"/>
          <w:sz w:val="24"/>
          <w:highlight w:val="none"/>
        </w:rPr>
        <w:t>…………………………………（页码）</w:t>
      </w:r>
    </w:p>
    <w:bookmarkEnd w:id="428"/>
    <w:p>
      <w:pPr>
        <w:snapToGrid w:val="0"/>
        <w:spacing w:line="360" w:lineRule="auto"/>
        <w:ind w:left="479" w:leftChars="228"/>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b/>
          <w:color w:val="auto"/>
          <w:kern w:val="0"/>
          <w:sz w:val="24"/>
          <w:highlight w:val="none"/>
          <w:lang w:val="zh-CN"/>
        </w:rPr>
      </w:pPr>
    </w:p>
    <w:p>
      <w:pPr>
        <w:snapToGrid w:val="0"/>
        <w:spacing w:line="360" w:lineRule="auto"/>
        <w:jc w:val="center"/>
        <w:rPr>
          <w:rFonts w:hint="eastAsia" w:ascii="宋体" w:hAnsi="宋体" w:eastAsia="宋体" w:cs="宋体"/>
          <w:b/>
          <w:color w:val="auto"/>
          <w:kern w:val="0"/>
          <w:sz w:val="24"/>
          <w:highlight w:val="none"/>
          <w:lang w:val="zh-CN"/>
        </w:rPr>
      </w:pPr>
    </w:p>
    <w:p>
      <w:pPr>
        <w:snapToGrid w:val="0"/>
        <w:spacing w:line="360" w:lineRule="auto"/>
        <w:jc w:val="center"/>
        <w:rPr>
          <w:rFonts w:hint="eastAsia" w:ascii="宋体" w:hAnsi="宋体" w:eastAsia="宋体" w:cs="宋体"/>
          <w:b/>
          <w:color w:val="auto"/>
          <w:kern w:val="0"/>
          <w:sz w:val="24"/>
          <w:highlight w:val="none"/>
          <w:lang w:val="zh-CN"/>
        </w:rPr>
      </w:pPr>
    </w:p>
    <w:p>
      <w:pPr>
        <w:snapToGrid w:val="0"/>
        <w:spacing w:line="360" w:lineRule="auto"/>
        <w:jc w:val="center"/>
        <w:rPr>
          <w:rFonts w:hint="eastAsia" w:ascii="宋体" w:hAnsi="宋体" w:eastAsia="宋体" w:cs="宋体"/>
          <w:b/>
          <w:color w:val="auto"/>
          <w:kern w:val="0"/>
          <w:sz w:val="24"/>
          <w:highlight w:val="none"/>
          <w:lang w:val="zh-CN"/>
        </w:rPr>
      </w:pPr>
    </w:p>
    <w:p>
      <w:pPr>
        <w:snapToGrid w:val="0"/>
        <w:spacing w:line="360" w:lineRule="auto"/>
        <w:jc w:val="center"/>
        <w:rPr>
          <w:rFonts w:hint="eastAsia" w:ascii="宋体" w:hAnsi="宋体" w:eastAsia="宋体" w:cs="宋体"/>
          <w:b/>
          <w:color w:val="auto"/>
          <w:kern w:val="0"/>
          <w:sz w:val="24"/>
          <w:highlight w:val="none"/>
        </w:rPr>
      </w:pPr>
    </w:p>
    <w:p>
      <w:pPr>
        <w:snapToGrid w:val="0"/>
        <w:spacing w:line="360" w:lineRule="auto"/>
        <w:jc w:val="center"/>
        <w:rPr>
          <w:rFonts w:hint="eastAsia" w:ascii="宋体" w:hAnsi="宋体" w:eastAsia="宋体" w:cs="宋体"/>
          <w:b/>
          <w:color w:val="auto"/>
          <w:kern w:val="0"/>
          <w:sz w:val="24"/>
          <w:highlight w:val="none"/>
        </w:rPr>
      </w:pPr>
    </w:p>
    <w:p>
      <w:pP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b/>
          <w:color w:val="auto"/>
          <w:kern w:val="0"/>
          <w:sz w:val="24"/>
          <w:highlight w:val="none"/>
        </w:rPr>
      </w:pPr>
    </w:p>
    <w:p>
      <w:pPr>
        <w:snapToGrid w:val="0"/>
        <w:spacing w:line="360" w:lineRule="auto"/>
        <w:jc w:val="center"/>
        <w:rPr>
          <w:rFonts w:hint="eastAsia" w:ascii="宋体" w:hAnsi="宋体" w:eastAsia="宋体" w:cs="宋体"/>
          <w:b/>
          <w:color w:val="auto"/>
          <w:kern w:val="0"/>
          <w:sz w:val="24"/>
          <w:highlight w:val="none"/>
        </w:rPr>
      </w:pPr>
    </w:p>
    <w:p>
      <w:pPr>
        <w:snapToGrid w:val="0"/>
        <w:spacing w:line="360" w:lineRule="auto"/>
        <w:jc w:val="center"/>
        <w:rPr>
          <w:rFonts w:hint="eastAsia" w:ascii="宋体" w:hAnsi="宋体" w:eastAsia="宋体" w:cs="宋体"/>
          <w:b/>
          <w:color w:val="auto"/>
          <w:kern w:val="0"/>
          <w:sz w:val="24"/>
          <w:highlight w:val="none"/>
        </w:rPr>
      </w:pPr>
    </w:p>
    <w:p>
      <w:pPr>
        <w:snapToGrid w:val="0"/>
        <w:spacing w:line="360" w:lineRule="auto"/>
        <w:jc w:val="center"/>
        <w:rPr>
          <w:rFonts w:hint="eastAsia" w:ascii="宋体" w:hAnsi="宋体" w:eastAsia="宋体" w:cs="宋体"/>
          <w:b/>
          <w:color w:val="auto"/>
          <w:kern w:val="0"/>
          <w:sz w:val="24"/>
          <w:highlight w:val="none"/>
        </w:rPr>
      </w:pPr>
    </w:p>
    <w:p>
      <w:pPr>
        <w:snapToGrid w:val="0"/>
        <w:spacing w:line="360" w:lineRule="auto"/>
        <w:jc w:val="center"/>
        <w:rPr>
          <w:rFonts w:hint="eastAsia" w:ascii="宋体" w:hAnsi="宋体" w:eastAsia="宋体" w:cs="宋体"/>
          <w:b/>
          <w:color w:val="auto"/>
          <w:kern w:val="0"/>
          <w:sz w:val="24"/>
          <w:highlight w:val="none"/>
        </w:rPr>
      </w:pPr>
    </w:p>
    <w:p>
      <w:pPr>
        <w:snapToGrid w:val="0"/>
        <w:spacing w:line="360" w:lineRule="auto"/>
        <w:jc w:val="center"/>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snapToGrid w:val="0"/>
        <w:spacing w:line="360" w:lineRule="auto"/>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pPr>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（征集人）、（采购代理机构）</w:t>
      </w:r>
      <w:r>
        <w:rPr>
          <w:rFonts w:hint="eastAsia" w:ascii="宋体" w:hAnsi="宋体" w:eastAsia="宋体" w:cs="宋体"/>
          <w:color w:val="auto"/>
          <w:sz w:val="24"/>
          <w:highlight w:val="none"/>
        </w:rPr>
        <w:t>：</w:t>
      </w:r>
    </w:p>
    <w:p>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single"/>
          <w:lang w:eastAsia="zh-CN"/>
        </w:rPr>
        <w:t>建德市发展和改革局2025-2026年度节能审查委托咨询评估项目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JD2025BF-011</w:t>
      </w:r>
      <w:r>
        <w:rPr>
          <w:rFonts w:hint="eastAsia" w:ascii="宋体" w:hAnsi="宋体" w:eastAsia="宋体" w:cs="宋体"/>
          <w:color w:val="auto"/>
          <w:sz w:val="24"/>
          <w:highlight w:val="none"/>
        </w:rPr>
        <w:t xml:space="preserve"> 】征集的有关活动，并对此项目进行响应。为此：</w:t>
      </w:r>
    </w:p>
    <w:p>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1、我方承诺响应有效期从提交响应文件的截止之日起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天（不少于90天），本响应文件在响应有效期满之前均具有约束力。</w:t>
      </w:r>
    </w:p>
    <w:p>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2.1.1供应商（联合体参加的指联合体双方，拟采用分包的指总包方和分包方）的营业执照或者其他由国家相关部门出具的具有独立承担民事责任能力的证明文件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（自然人参加的提供身份证复制件）</w:t>
      </w:r>
    </w:p>
    <w:p>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2.1.2符合参加政府采购活动应当具备的一般条件、</w:t>
      </w:r>
      <w:r>
        <w:rPr>
          <w:rFonts w:hint="eastAsia" w:ascii="宋体" w:hAnsi="宋体" w:eastAsia="宋体" w:cs="宋体"/>
          <w:color w:val="auto"/>
          <w:sz w:val="24"/>
          <w:highlight w:val="none"/>
          <w:lang w:val="en-US" w:eastAsia="zh-CN"/>
        </w:rPr>
        <w:t>特定</w:t>
      </w:r>
      <w:r>
        <w:rPr>
          <w:rFonts w:hint="eastAsia" w:ascii="宋体" w:hAnsi="宋体" w:eastAsia="宋体" w:cs="宋体"/>
          <w:color w:val="auto"/>
          <w:sz w:val="24"/>
          <w:highlight w:val="none"/>
        </w:rPr>
        <w:t>资格条件的承诺函；（如以联合体形式参加政府采购活动的，联合体各方均应提交该承诺函）</w:t>
      </w:r>
    </w:p>
    <w:p>
      <w:pPr>
        <w:snapToGrid w:val="0"/>
        <w:spacing w:line="288"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2.1.3满足政府采购政策资格要求证明材料</w:t>
      </w:r>
      <w:r>
        <w:rPr>
          <w:rFonts w:hint="eastAsia" w:ascii="宋体" w:hAnsi="宋体" w:eastAsia="宋体" w:cs="宋体"/>
          <w:color w:val="auto"/>
          <w:sz w:val="24"/>
          <w:highlight w:val="none"/>
          <w:lang w:eastAsia="zh-CN"/>
        </w:rPr>
        <w:t>；</w:t>
      </w:r>
    </w:p>
    <w:p>
      <w:pPr>
        <w:snapToGrid w:val="0"/>
        <w:spacing w:line="288"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2.1.4满足本项目特定资格</w:t>
      </w:r>
      <w:r>
        <w:rPr>
          <w:rFonts w:hint="eastAsia" w:ascii="宋体" w:hAnsi="宋体" w:eastAsia="宋体" w:cs="宋体"/>
          <w:color w:val="auto"/>
          <w:sz w:val="24"/>
          <w:highlight w:val="none"/>
          <w:lang w:val="en-US" w:eastAsia="zh-CN"/>
        </w:rPr>
        <w:t>条件</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eastAsia="zh-CN"/>
        </w:rPr>
        <w:t>；</w:t>
      </w:r>
    </w:p>
    <w:p>
      <w:pPr>
        <w:snapToGrid w:val="0"/>
        <w:spacing w:line="288"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p>
    <w:p>
      <w:pPr>
        <w:snapToGrid w:val="0"/>
        <w:spacing w:line="288"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2.2.2授权委托书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法定代表人（单位负责人）身份证明</w:t>
      </w:r>
      <w:r>
        <w:rPr>
          <w:rFonts w:hint="eastAsia" w:ascii="宋体" w:hAnsi="宋体" w:eastAsia="宋体" w:cs="宋体"/>
          <w:color w:val="auto"/>
          <w:sz w:val="24"/>
          <w:highlight w:val="none"/>
          <w:lang w:eastAsia="zh-CN"/>
        </w:rPr>
        <w:t>；</w:t>
      </w:r>
    </w:p>
    <w:p>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2.2.4评审标准相应的商务技术资料；</w:t>
      </w:r>
    </w:p>
    <w:p>
      <w:pPr>
        <w:snapToGrid w:val="0"/>
        <w:spacing w:line="288"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val="zh-CN"/>
        </w:rPr>
        <w:t>政府采购供应商廉洁自律承诺书；</w:t>
      </w:r>
    </w:p>
    <w:p>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2.2.6分包意向协议（如有）。</w:t>
      </w:r>
    </w:p>
    <w:p>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2.3.1开启一览表（报价表）；</w:t>
      </w:r>
    </w:p>
    <w:p>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2.3.2中小企业声明函（如有）。</w:t>
      </w:r>
    </w:p>
    <w:p>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3、我方承诺除商务/技术偏离表列出的偏离外，我方响应征集文件的全部要求。</w:t>
      </w:r>
    </w:p>
    <w:p>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4、如我方入围，我方承诺：</w:t>
      </w:r>
    </w:p>
    <w:p>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4.1在收到入围通知书后，在入围通知书规定的期限内与你方签订合同； </w:t>
      </w:r>
    </w:p>
    <w:p>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4.3按照征集文件要求提交履约保证金； </w:t>
      </w:r>
    </w:p>
    <w:p>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320" w:firstLineChars="1800"/>
        <w:rPr>
          <w:rFonts w:hint="eastAsia" w:ascii="宋体" w:hAnsi="宋体" w:eastAsia="宋体" w:cs="宋体"/>
          <w:color w:val="auto"/>
          <w:sz w:val="24"/>
          <w:highlight w:val="none"/>
        </w:rPr>
      </w:pPr>
    </w:p>
    <w:p>
      <w:pPr>
        <w:spacing w:line="360" w:lineRule="auto"/>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jc w:val="center"/>
        <w:rPr>
          <w:rFonts w:hint="eastAsia" w:ascii="宋体" w:hAnsi="宋体" w:eastAsia="宋体" w:cs="宋体"/>
          <w:b/>
          <w:color w:val="auto"/>
          <w:kern w:val="0"/>
          <w:sz w:val="24"/>
          <w:highlight w:val="none"/>
          <w:lang w:val="zh-CN"/>
        </w:rPr>
      </w:pPr>
    </w:p>
    <w:p>
      <w:pP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br w:type="page"/>
      </w:r>
    </w:p>
    <w:p>
      <w:pPr>
        <w:outlineLvl w:val="2"/>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513" w:firstLineChars="894"/>
        <w:rPr>
          <w:rFonts w:hint="eastAsia"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lang w:val="zh-CN"/>
        </w:rPr>
        <w:t>授权委托书（适用于非联合体</w:t>
      </w:r>
      <w:r>
        <w:rPr>
          <w:rFonts w:hint="eastAsia" w:ascii="宋体" w:hAnsi="宋体" w:eastAsia="宋体" w:cs="宋体"/>
          <w:b/>
          <w:color w:val="auto"/>
          <w:kern w:val="0"/>
          <w:sz w:val="28"/>
          <w:szCs w:val="28"/>
          <w:highlight w:val="none"/>
        </w:rPr>
        <w:t>参加</w:t>
      </w:r>
      <w:r>
        <w:rPr>
          <w:rFonts w:hint="eastAsia" w:ascii="宋体" w:hAnsi="宋体" w:eastAsia="宋体" w:cs="宋体"/>
          <w:b/>
          <w:color w:val="auto"/>
          <w:kern w:val="0"/>
          <w:sz w:val="28"/>
          <w:szCs w:val="28"/>
          <w:highlight w:val="none"/>
          <w:lang w:val="zh-CN"/>
        </w:rPr>
        <w:t>）</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（征集人）、（采购代理机构）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我单位法定代表人，现</w:t>
      </w:r>
      <w:r>
        <w:rPr>
          <w:rFonts w:hint="eastAsia" w:ascii="宋体" w:hAnsi="宋体" w:eastAsia="宋体" w:cs="宋体"/>
          <w:color w:val="auto"/>
          <w:kern w:val="0"/>
          <w:sz w:val="24"/>
          <w:highlight w:val="none"/>
          <w:lang w:val="zh-CN"/>
        </w:rPr>
        <w:t>委托（姓名）为我方代理人（身份证号码：</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，手机：</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建德市发展和改革局2025-2026年度节能审查委托咨询评估项目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JD2025BF-011</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政府采购响应的一切事项，其法律后果由我方承担。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rPr>
        <w:t>电子签名</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zh-CN"/>
        </w:rPr>
        <w:t>授权委托书（适用于联合体</w:t>
      </w:r>
      <w:r>
        <w:rPr>
          <w:rFonts w:hint="eastAsia" w:ascii="宋体" w:hAnsi="宋体" w:eastAsia="宋体" w:cs="宋体"/>
          <w:b/>
          <w:color w:val="auto"/>
          <w:kern w:val="0"/>
          <w:sz w:val="28"/>
          <w:szCs w:val="28"/>
          <w:highlight w:val="none"/>
        </w:rPr>
        <w:t>参加</w:t>
      </w:r>
      <w:r>
        <w:rPr>
          <w:rFonts w:hint="eastAsia" w:ascii="宋体" w:hAnsi="宋体" w:eastAsia="宋体" w:cs="宋体"/>
          <w:b/>
          <w:color w:val="auto"/>
          <w:kern w:val="0"/>
          <w:sz w:val="28"/>
          <w:szCs w:val="28"/>
          <w:highlight w:val="none"/>
          <w:lang w:val="zh-CN"/>
        </w:rPr>
        <w:t>）</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（征集人）、（采购代理机构）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我单位法定代表人，现</w:t>
      </w:r>
      <w:r>
        <w:rPr>
          <w:rFonts w:hint="eastAsia" w:ascii="宋体" w:hAnsi="宋体" w:eastAsia="宋体" w:cs="宋体"/>
          <w:color w:val="auto"/>
          <w:kern w:val="0"/>
          <w:sz w:val="24"/>
          <w:highlight w:val="none"/>
          <w:lang w:val="zh-CN"/>
        </w:rPr>
        <w:t>委托（姓名）为我方代理人（身份证号码：</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，手机：</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建德市发展和改革局2025-2026年度节能审查委托咨询评估项目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JD2025BF-011</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24"/>
          <w:highlight w:val="none"/>
        </w:rPr>
      </w:pPr>
    </w:p>
    <w:p>
      <w:pPr>
        <w:rPr>
          <w:rFonts w:hint="eastAsia" w:ascii="宋体" w:hAnsi="宋体" w:eastAsia="宋体" w:cs="宋体"/>
          <w:color w:val="auto"/>
          <w:sz w:val="24"/>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rPr>
        <w:t>电子签名</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rPr>
        <w:t>电子签名</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w:t>
      </w:r>
    </w:p>
    <w:p>
      <w:pPr>
        <w:snapToGrid w:val="0"/>
        <w:spacing w:line="360" w:lineRule="auto"/>
        <w:ind w:firstLine="5760" w:firstLineChars="2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br w:type="page"/>
      </w:r>
    </w:p>
    <w:p>
      <w:pPr>
        <w:autoSpaceDE w:val="0"/>
        <w:autoSpaceDN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法定代表人、单位负责人或自然人本人</w:t>
      </w:r>
      <w:r>
        <w:rPr>
          <w:rFonts w:hint="eastAsia" w:ascii="宋体" w:hAnsi="宋体" w:eastAsia="宋体" w:cs="宋体"/>
          <w:b/>
          <w:color w:val="auto"/>
          <w:sz w:val="28"/>
          <w:szCs w:val="28"/>
          <w:highlight w:val="none"/>
        </w:rPr>
        <w:t>的身份证明（适用于法定代表人、单位负责人或者自然人本人代表供应商参加）</w:t>
      </w:r>
    </w:p>
    <w:p>
      <w:pPr>
        <w:pStyle w:val="14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正面：反面：</w:t>
            </w:r>
          </w:p>
          <w:p>
            <w:pPr>
              <w:pStyle w:val="146"/>
              <w:adjustRightInd w:val="0"/>
              <w:spacing w:line="360" w:lineRule="auto"/>
              <w:rPr>
                <w:rFonts w:hint="eastAsia" w:ascii="宋体" w:hAnsi="宋体" w:eastAsia="宋体" w:cs="宋体"/>
                <w:bCs/>
                <w:color w:val="auto"/>
                <w:sz w:val="24"/>
                <w:szCs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rPr>
        <w:t>电子签名</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rPr>
          <w:rFonts w:hint="eastAsia" w:ascii="宋体" w:hAnsi="宋体" w:eastAsia="宋体" w:cs="宋体"/>
          <w:b/>
          <w:color w:val="auto"/>
          <w:kern w:val="0"/>
          <w:sz w:val="32"/>
          <w:szCs w:val="32"/>
          <w:highlight w:val="none"/>
        </w:rPr>
      </w:pPr>
    </w:p>
    <w:p>
      <w:pPr>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pPr>
        <w:jc w:val="center"/>
        <w:rPr>
          <w:rFonts w:hint="eastAsia" w:ascii="宋体" w:hAnsi="宋体" w:eastAsia="宋体" w:cs="宋体"/>
          <w:b/>
          <w:color w:val="auto"/>
          <w:kern w:val="0"/>
          <w:sz w:val="24"/>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723"/>
        <w:gridCol w:w="45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723"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453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70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723" w:type="dxa"/>
            <w:vAlign w:val="center"/>
          </w:tcPr>
          <w:p>
            <w:pPr>
              <w:snapToGrid w:val="0"/>
              <w:spacing w:line="240" w:lineRule="auto"/>
              <w:jc w:val="left"/>
              <w:rPr>
                <w:rFonts w:hint="eastAsia" w:ascii="宋体" w:hAnsi="宋体" w:eastAsia="宋体" w:cs="宋体"/>
                <w:b w:val="0"/>
                <w:bCs/>
                <w:color w:val="auto"/>
                <w:sz w:val="18"/>
                <w:szCs w:val="18"/>
                <w:highlight w:val="none"/>
              </w:rPr>
            </w:pPr>
          </w:p>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响应文件按照征集文件要求签署、盖章。</w:t>
            </w:r>
          </w:p>
        </w:tc>
        <w:tc>
          <w:tcPr>
            <w:tcW w:w="4536" w:type="dxa"/>
            <w:vAlign w:val="center"/>
          </w:tcPr>
          <w:p>
            <w:pPr>
              <w:snapToGrid w:val="0"/>
              <w:spacing w:line="240" w:lineRule="auto"/>
              <w:jc w:val="left"/>
              <w:rPr>
                <w:rFonts w:hint="eastAsia" w:ascii="宋体" w:hAnsi="宋体" w:eastAsia="宋体" w:cs="宋体"/>
                <w:b w:val="0"/>
                <w:bCs/>
                <w:color w:val="auto"/>
                <w:sz w:val="18"/>
                <w:szCs w:val="18"/>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响应文件的组成部分</w:t>
            </w:r>
          </w:p>
        </w:tc>
        <w:tc>
          <w:tcPr>
            <w:tcW w:w="1701" w:type="dxa"/>
            <w:vAlign w:val="center"/>
          </w:tcPr>
          <w:p>
            <w:pPr>
              <w:snapToGrid w:val="0"/>
              <w:spacing w:line="240" w:lineRule="auto"/>
              <w:jc w:val="left"/>
              <w:rPr>
                <w:rFonts w:hint="eastAsia" w:ascii="宋体" w:hAnsi="宋体" w:eastAsia="宋体" w:cs="宋体"/>
                <w:b w:val="0"/>
                <w:bCs/>
                <w:color w:val="auto"/>
                <w:sz w:val="18"/>
                <w:szCs w:val="18"/>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723" w:type="dxa"/>
            <w:vAlign w:val="center"/>
          </w:tcPr>
          <w:p>
            <w:pPr>
              <w:snapToGrid w:val="0"/>
              <w:spacing w:line="240" w:lineRule="auto"/>
              <w:jc w:val="left"/>
              <w:rPr>
                <w:rFonts w:hint="eastAsia" w:ascii="宋体" w:hAnsi="宋体" w:eastAsia="宋体" w:cs="宋体"/>
                <w:b w:val="0"/>
                <w:bCs/>
                <w:color w:val="auto"/>
                <w:sz w:val="18"/>
                <w:szCs w:val="18"/>
                <w:highlight w:val="none"/>
              </w:rPr>
            </w:pPr>
          </w:p>
          <w:p>
            <w:pPr>
              <w:snapToGrid w:val="0"/>
              <w:spacing w:line="360"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征集人拟采购的产品属于政府强制采购的节能产品品目清单范围的，供应商按征集文件要求提供国家确定的认证机构出具的、处于有效期之内的节能产品认证证书。</w:t>
            </w:r>
          </w:p>
        </w:tc>
        <w:tc>
          <w:tcPr>
            <w:tcW w:w="453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（本项目拟采购的产品不属于政府强制采购的节能产品品目清单范围的，无需提供）</w:t>
            </w:r>
          </w:p>
        </w:tc>
        <w:tc>
          <w:tcPr>
            <w:tcW w:w="170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pStyle w:val="2"/>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723" w:type="dxa"/>
            <w:vAlign w:val="center"/>
          </w:tcPr>
          <w:p>
            <w:pPr>
              <w:snapToGrid w:val="0"/>
              <w:spacing w:line="240" w:lineRule="auto"/>
              <w:jc w:val="left"/>
              <w:rPr>
                <w:rFonts w:hint="eastAsia" w:ascii="宋体" w:hAnsi="宋体" w:eastAsia="宋体" w:cs="宋体"/>
                <w:b w:val="0"/>
                <w:bCs/>
                <w:color w:val="auto"/>
                <w:sz w:val="18"/>
                <w:szCs w:val="18"/>
                <w:highlight w:val="none"/>
              </w:rPr>
            </w:pPr>
          </w:p>
          <w:p>
            <w:pPr>
              <w:snapToGrid w:val="0"/>
              <w:spacing w:line="360"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响应文件中承诺的响应有效期不少于征集文件中载明的响应有效期。</w:t>
            </w:r>
          </w:p>
        </w:tc>
        <w:tc>
          <w:tcPr>
            <w:tcW w:w="453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70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723" w:type="dxa"/>
            <w:vAlign w:val="center"/>
          </w:tcPr>
          <w:p>
            <w:pPr>
              <w:snapToGrid w:val="0"/>
              <w:spacing w:line="360"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响应文件满足征集文件</w:t>
            </w:r>
            <w:r>
              <w:rPr>
                <w:rFonts w:hint="eastAsia" w:ascii="宋体" w:hAnsi="宋体" w:cs="宋体"/>
                <w:b w:val="0"/>
                <w:bCs/>
                <w:color w:val="auto"/>
                <w:sz w:val="24"/>
                <w:highlight w:val="none"/>
                <w:lang w:eastAsia="zh-CN"/>
              </w:rPr>
              <w:t>的其他</w:t>
            </w:r>
            <w:r>
              <w:rPr>
                <w:rFonts w:hint="eastAsia" w:ascii="宋体" w:hAnsi="宋体" w:eastAsia="宋体" w:cs="宋体"/>
                <w:b w:val="0"/>
                <w:bCs/>
                <w:color w:val="auto"/>
                <w:sz w:val="24"/>
                <w:highlight w:val="none"/>
              </w:rPr>
              <w:t>实质性要求。</w:t>
            </w:r>
          </w:p>
        </w:tc>
        <w:tc>
          <w:tcPr>
            <w:tcW w:w="453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征集文件</w:t>
            </w:r>
            <w:r>
              <w:rPr>
                <w:rFonts w:hint="eastAsia" w:ascii="宋体" w:hAnsi="宋体" w:cs="宋体"/>
                <w:color w:val="auto"/>
                <w:kern w:val="0"/>
                <w:sz w:val="24"/>
                <w:highlight w:val="none"/>
                <w:lang w:eastAsia="zh-CN"/>
              </w:rPr>
              <w:t>其他</w:t>
            </w:r>
            <w:r>
              <w:rPr>
                <w:rFonts w:hint="eastAsia" w:ascii="宋体" w:hAnsi="宋体" w:eastAsia="宋体" w:cs="宋体"/>
                <w:color w:val="auto"/>
                <w:kern w:val="0"/>
                <w:sz w:val="24"/>
                <w:highlight w:val="none"/>
              </w:rPr>
              <w:t>实质性要求相应的材料（“▲”系指实质性要求条款，征集文件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70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pPr>
              <w:rPr>
                <w:rFonts w:hint="eastAsia" w:ascii="宋体" w:hAnsi="宋体" w:eastAsia="宋体" w:cs="宋体"/>
                <w:color w:val="auto"/>
                <w:sz w:val="24"/>
                <w:highlight w:val="none"/>
              </w:rPr>
            </w:pPr>
          </w:p>
        </w:tc>
        <w:tc>
          <w:tcPr>
            <w:tcW w:w="2723" w:type="dxa"/>
          </w:tcPr>
          <w:p>
            <w:pPr>
              <w:spacing w:line="360" w:lineRule="auto"/>
              <w:rPr>
                <w:rFonts w:hint="eastAsia" w:ascii="宋体" w:hAnsi="宋体" w:eastAsia="宋体" w:cs="宋体"/>
                <w:color w:val="auto"/>
                <w:sz w:val="24"/>
                <w:highlight w:val="none"/>
              </w:rPr>
            </w:pPr>
          </w:p>
        </w:tc>
        <w:tc>
          <w:tcPr>
            <w:tcW w:w="4536" w:type="dxa"/>
            <w:vAlign w:val="center"/>
          </w:tcPr>
          <w:p>
            <w:pPr>
              <w:rPr>
                <w:rFonts w:hint="eastAsia" w:ascii="宋体" w:hAnsi="宋体" w:eastAsia="宋体" w:cs="宋体"/>
                <w:color w:val="auto"/>
                <w:sz w:val="24"/>
                <w:highlight w:val="none"/>
              </w:rPr>
            </w:pPr>
          </w:p>
        </w:tc>
        <w:tc>
          <w:tcPr>
            <w:tcW w:w="1701"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pPr>
              <w:rPr>
                <w:rFonts w:hint="eastAsia" w:ascii="宋体" w:hAnsi="宋体" w:eastAsia="宋体" w:cs="宋体"/>
                <w:color w:val="auto"/>
                <w:sz w:val="24"/>
                <w:highlight w:val="none"/>
              </w:rPr>
            </w:pPr>
          </w:p>
        </w:tc>
        <w:tc>
          <w:tcPr>
            <w:tcW w:w="2723" w:type="dxa"/>
          </w:tcPr>
          <w:p>
            <w:pPr>
              <w:spacing w:line="360" w:lineRule="auto"/>
              <w:rPr>
                <w:rFonts w:hint="eastAsia" w:ascii="宋体" w:hAnsi="宋体" w:eastAsia="宋体" w:cs="宋体"/>
                <w:color w:val="auto"/>
                <w:sz w:val="24"/>
                <w:highlight w:val="none"/>
              </w:rPr>
            </w:pPr>
          </w:p>
        </w:tc>
        <w:tc>
          <w:tcPr>
            <w:tcW w:w="4536" w:type="dxa"/>
            <w:vAlign w:val="center"/>
          </w:tcPr>
          <w:p>
            <w:pPr>
              <w:rPr>
                <w:rFonts w:hint="eastAsia" w:ascii="宋体" w:hAnsi="宋体" w:eastAsia="宋体" w:cs="宋体"/>
                <w:color w:val="auto"/>
                <w:kern w:val="0"/>
                <w:sz w:val="24"/>
                <w:highlight w:val="none"/>
              </w:rPr>
            </w:pPr>
          </w:p>
        </w:tc>
        <w:tc>
          <w:tcPr>
            <w:tcW w:w="1701" w:type="dxa"/>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pPr>
              <w:rPr>
                <w:rFonts w:hint="eastAsia" w:ascii="宋体" w:hAnsi="宋体" w:eastAsia="宋体" w:cs="宋体"/>
                <w:color w:val="auto"/>
                <w:sz w:val="24"/>
                <w:highlight w:val="none"/>
              </w:rPr>
            </w:pPr>
          </w:p>
        </w:tc>
        <w:tc>
          <w:tcPr>
            <w:tcW w:w="2723" w:type="dxa"/>
          </w:tcPr>
          <w:p>
            <w:pPr>
              <w:spacing w:line="360" w:lineRule="auto"/>
              <w:rPr>
                <w:rFonts w:hint="eastAsia" w:ascii="宋体" w:hAnsi="宋体" w:eastAsia="宋体" w:cs="宋体"/>
                <w:color w:val="auto"/>
                <w:sz w:val="24"/>
                <w:highlight w:val="none"/>
              </w:rPr>
            </w:pPr>
          </w:p>
        </w:tc>
        <w:tc>
          <w:tcPr>
            <w:tcW w:w="4536" w:type="dxa"/>
            <w:vAlign w:val="center"/>
          </w:tcPr>
          <w:p>
            <w:pPr>
              <w:rPr>
                <w:rFonts w:hint="eastAsia" w:ascii="宋体" w:hAnsi="宋体" w:eastAsia="宋体" w:cs="宋体"/>
                <w:color w:val="auto"/>
                <w:kern w:val="0"/>
                <w:sz w:val="24"/>
                <w:highlight w:val="none"/>
              </w:rPr>
            </w:pPr>
          </w:p>
        </w:tc>
        <w:tc>
          <w:tcPr>
            <w:tcW w:w="1701" w:type="dxa"/>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pPr>
              <w:rPr>
                <w:rFonts w:hint="eastAsia" w:ascii="宋体" w:hAnsi="宋体" w:eastAsia="宋体" w:cs="宋体"/>
                <w:color w:val="auto"/>
                <w:sz w:val="24"/>
                <w:highlight w:val="none"/>
              </w:rPr>
            </w:pPr>
          </w:p>
        </w:tc>
        <w:tc>
          <w:tcPr>
            <w:tcW w:w="2723" w:type="dxa"/>
          </w:tcPr>
          <w:p>
            <w:pPr>
              <w:spacing w:line="360" w:lineRule="auto"/>
              <w:rPr>
                <w:rFonts w:hint="eastAsia" w:ascii="宋体" w:hAnsi="宋体" w:eastAsia="宋体" w:cs="宋体"/>
                <w:color w:val="auto"/>
                <w:kern w:val="0"/>
                <w:sz w:val="24"/>
                <w:highlight w:val="none"/>
              </w:rPr>
            </w:pPr>
          </w:p>
        </w:tc>
        <w:tc>
          <w:tcPr>
            <w:tcW w:w="4536" w:type="dxa"/>
            <w:vAlign w:val="center"/>
          </w:tcPr>
          <w:p>
            <w:pPr>
              <w:rPr>
                <w:rFonts w:hint="eastAsia" w:ascii="宋体" w:hAnsi="宋体" w:eastAsia="宋体" w:cs="宋体"/>
                <w:color w:val="auto"/>
                <w:kern w:val="0"/>
                <w:sz w:val="24"/>
                <w:highlight w:val="none"/>
              </w:rPr>
            </w:pPr>
          </w:p>
        </w:tc>
        <w:tc>
          <w:tcPr>
            <w:tcW w:w="1701" w:type="dxa"/>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pPr>
              <w:rPr>
                <w:rFonts w:hint="eastAsia" w:ascii="宋体" w:hAnsi="宋体" w:eastAsia="宋体" w:cs="宋体"/>
                <w:color w:val="auto"/>
                <w:sz w:val="24"/>
                <w:highlight w:val="none"/>
              </w:rPr>
            </w:pPr>
          </w:p>
        </w:tc>
        <w:tc>
          <w:tcPr>
            <w:tcW w:w="2723" w:type="dxa"/>
          </w:tcPr>
          <w:p>
            <w:pPr>
              <w:spacing w:line="360" w:lineRule="auto"/>
              <w:rPr>
                <w:rFonts w:hint="eastAsia" w:ascii="宋体" w:hAnsi="宋体" w:eastAsia="宋体" w:cs="宋体"/>
                <w:color w:val="auto"/>
                <w:kern w:val="0"/>
                <w:sz w:val="24"/>
                <w:highlight w:val="none"/>
              </w:rPr>
            </w:pPr>
          </w:p>
        </w:tc>
        <w:tc>
          <w:tcPr>
            <w:tcW w:w="4536" w:type="dxa"/>
            <w:vAlign w:val="center"/>
          </w:tcPr>
          <w:p>
            <w:pPr>
              <w:rPr>
                <w:rFonts w:hint="eastAsia" w:ascii="宋体" w:hAnsi="宋体" w:eastAsia="宋体" w:cs="宋体"/>
                <w:color w:val="auto"/>
                <w:kern w:val="0"/>
                <w:sz w:val="24"/>
                <w:highlight w:val="none"/>
              </w:rPr>
            </w:pPr>
          </w:p>
        </w:tc>
        <w:tc>
          <w:tcPr>
            <w:tcW w:w="1701" w:type="dxa"/>
          </w:tcPr>
          <w:p>
            <w:pPr>
              <w:jc w:val="center"/>
              <w:rPr>
                <w:rFonts w:hint="eastAsia" w:ascii="宋体" w:hAnsi="宋体" w:eastAsia="宋体" w:cs="宋体"/>
                <w:color w:val="auto"/>
                <w:sz w:val="24"/>
                <w:highlight w:val="none"/>
              </w:rPr>
            </w:pPr>
          </w:p>
        </w:tc>
      </w:tr>
    </w:tbl>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outlineLvl w:val="2"/>
        <w:rPr>
          <w:rFonts w:hint="eastAsia" w:ascii="宋体" w:hAnsi="宋体" w:eastAsia="宋体" w:cs="宋体"/>
          <w:b/>
          <w:color w:val="auto"/>
          <w:kern w:val="0"/>
          <w:sz w:val="24"/>
          <w:highlight w:val="none"/>
        </w:rPr>
        <w:sectPr>
          <w:headerReference r:id="rId13" w:type="first"/>
          <w:footerReference r:id="rId15" w:type="first"/>
          <w:headerReference r:id="rId12" w:type="default"/>
          <w:footerReference r:id="rId14" w:type="default"/>
          <w:pgSz w:w="11905" w:h="16838"/>
          <w:pgMar w:top="652" w:right="1417" w:bottom="680" w:left="1417" w:header="539" w:footer="482" w:gutter="0"/>
          <w:cols w:space="0" w:num="1"/>
          <w:titlePg/>
          <w:docGrid w:linePitch="312" w:charSpace="0"/>
        </w:sectPr>
      </w:pPr>
    </w:p>
    <w:p>
      <w:pPr>
        <w:jc w:val="center"/>
        <w:rPr>
          <w:rFonts w:hint="eastAsia" w:ascii="宋体" w:hAnsi="宋体" w:eastAsia="宋体" w:cs="宋体"/>
          <w:b/>
          <w:color w:val="auto"/>
          <w:kern w:val="0"/>
          <w:sz w:val="24"/>
          <w:highlight w:val="none"/>
        </w:rPr>
      </w:pPr>
    </w:p>
    <w:p>
      <w:pPr>
        <w:jc w:val="center"/>
        <w:outlineLvl w:val="2"/>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rPr>
        <w:t>四、评审标准相应的商务技术资料</w:t>
      </w:r>
    </w:p>
    <w:p>
      <w:pPr>
        <w:snapToGrid w:val="0"/>
        <w:spacing w:line="360" w:lineRule="auto"/>
        <w:jc w:val="left"/>
        <w:rPr>
          <w:rFonts w:hint="eastAsia" w:ascii="宋体" w:hAnsi="宋体" w:eastAsia="宋体" w:cs="宋体"/>
          <w:b/>
          <w:color w:val="auto"/>
          <w:sz w:val="24"/>
          <w:highlight w:val="none"/>
        </w:rPr>
      </w:pP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详细评审索引</w:t>
      </w:r>
    </w:p>
    <w:p>
      <w:pPr>
        <w:numPr>
          <w:ilvl w:val="255"/>
          <w:numId w:val="0"/>
        </w:numPr>
        <w:snapToGrid w:val="0"/>
        <w:spacing w:line="360" w:lineRule="auto"/>
        <w:ind w:firstLine="241" w:firstLineChars="100"/>
        <w:jc w:val="left"/>
        <w:rPr>
          <w:rFonts w:ascii="仿宋" w:hAnsi="仿宋" w:eastAsia="仿宋" w:cs="仿宋_GB2312"/>
          <w:b/>
          <w:sz w:val="24"/>
        </w:rPr>
      </w:pPr>
      <w:r>
        <w:rPr>
          <w:rFonts w:hint="eastAsia" w:ascii="仿宋" w:hAnsi="仿宋" w:eastAsia="仿宋" w:cs="仿宋_GB2312"/>
          <w:b/>
          <w:sz w:val="24"/>
        </w:rPr>
        <w:t>（一）技术部分</w:t>
      </w:r>
    </w:p>
    <w:p>
      <w:pPr>
        <w:numPr>
          <w:ilvl w:val="255"/>
          <w:numId w:val="0"/>
        </w:numPr>
        <w:snapToGrid w:val="0"/>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1.服务方案（包括但不限于：实施项目服务的基础条件、供应商的项目管理制度、固定资产投资项目节能报告评审咨询服务方案、固定资产投资项目节能报告评审咨询服务重难点分析、区本项目总体工作部署、服务质量控制体系、服务方式方法、服务保密、采购需求中要求的成果报告编制方案等）</w:t>
      </w:r>
    </w:p>
    <w:p>
      <w:pPr>
        <w:numPr>
          <w:ilvl w:val="255"/>
          <w:numId w:val="0"/>
        </w:numPr>
        <w:snapToGrid w:val="0"/>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2.商务/技术偏离表</w:t>
      </w:r>
    </w:p>
    <w:p>
      <w:pPr>
        <w:numPr>
          <w:ilvl w:val="255"/>
          <w:numId w:val="0"/>
        </w:numPr>
        <w:snapToGrid w:val="0"/>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3</w:t>
      </w:r>
      <w:r>
        <w:rPr>
          <w:rFonts w:ascii="仿宋" w:hAnsi="仿宋" w:eastAsia="仿宋" w:cs="仿宋_GB2312"/>
          <w:b/>
          <w:sz w:val="24"/>
        </w:rPr>
        <w:t>.</w:t>
      </w:r>
      <w:r>
        <w:rPr>
          <w:rFonts w:hint="eastAsia" w:ascii="仿宋" w:hAnsi="仿宋" w:eastAsia="仿宋" w:cs="仿宋_GB2312"/>
          <w:b/>
          <w:sz w:val="24"/>
        </w:rPr>
        <w:t>供应商为完成本项目组建的工作小组名单，每个专业人员的情况应该明确表示，在提交的标书中安排的人员，须为公司的固定职员（需提供递交响应文件</w:t>
      </w:r>
      <w:r>
        <w:rPr>
          <w:rFonts w:hint="eastAsia" w:ascii="仿宋" w:hAnsi="仿宋" w:eastAsia="仿宋" w:cs="仿宋_GB2312"/>
          <w:b/>
          <w:sz w:val="24"/>
          <w:lang w:eastAsia="zh-CN"/>
        </w:rPr>
        <w:t>截止前</w:t>
      </w:r>
      <w:r>
        <w:rPr>
          <w:rFonts w:hint="eastAsia" w:ascii="仿宋" w:hAnsi="仿宋" w:eastAsia="仿宋" w:cs="仿宋_GB2312"/>
          <w:b/>
          <w:sz w:val="24"/>
        </w:rPr>
        <w:t>20天内社保局出具的单位或个人专用社保证明）</w:t>
      </w:r>
    </w:p>
    <w:p>
      <w:pPr>
        <w:numPr>
          <w:ilvl w:val="255"/>
          <w:numId w:val="0"/>
        </w:numPr>
        <w:snapToGrid w:val="0"/>
        <w:spacing w:line="360" w:lineRule="auto"/>
        <w:ind w:firstLine="481"/>
        <w:jc w:val="left"/>
        <w:rPr>
          <w:rFonts w:ascii="仿宋" w:hAnsi="仿宋" w:eastAsia="仿宋" w:cs="仿宋_GB2312"/>
          <w:b/>
          <w:sz w:val="24"/>
        </w:rPr>
      </w:pPr>
      <w:r>
        <w:rPr>
          <w:rFonts w:hint="eastAsia" w:ascii="仿宋" w:hAnsi="仿宋" w:eastAsia="仿宋" w:cs="仿宋_GB2312"/>
          <w:b/>
          <w:sz w:val="24"/>
        </w:rPr>
        <w:t>4.供应商认为需要提供的其他资料</w:t>
      </w:r>
    </w:p>
    <w:p>
      <w:pPr>
        <w:numPr>
          <w:ilvl w:val="255"/>
          <w:numId w:val="0"/>
        </w:numPr>
        <w:snapToGrid w:val="0"/>
        <w:spacing w:line="360" w:lineRule="auto"/>
        <w:jc w:val="left"/>
        <w:rPr>
          <w:rFonts w:ascii="仿宋" w:hAnsi="仿宋" w:eastAsia="仿宋" w:cs="仿宋_GB2312"/>
          <w:b/>
          <w:sz w:val="24"/>
        </w:rPr>
      </w:pPr>
      <w:r>
        <w:rPr>
          <w:rFonts w:hint="eastAsia" w:ascii="仿宋" w:hAnsi="仿宋" w:eastAsia="仿宋" w:cs="仿宋_GB2312"/>
          <w:b/>
          <w:sz w:val="24"/>
        </w:rPr>
        <w:t xml:space="preserve">   （二）资信部分</w:t>
      </w:r>
    </w:p>
    <w:p>
      <w:pPr>
        <w:numPr>
          <w:ilvl w:val="255"/>
          <w:numId w:val="0"/>
        </w:numPr>
        <w:snapToGrid w:val="0"/>
        <w:spacing w:line="360" w:lineRule="auto"/>
        <w:ind w:firstLine="481"/>
        <w:jc w:val="left"/>
        <w:rPr>
          <w:rFonts w:ascii="仿宋" w:hAnsi="仿宋" w:eastAsia="仿宋" w:cs="仿宋_GB2312"/>
          <w:b/>
          <w:sz w:val="24"/>
        </w:rPr>
      </w:pPr>
      <w:r>
        <w:rPr>
          <w:rFonts w:hint="eastAsia" w:ascii="仿宋" w:hAnsi="仿宋" w:eastAsia="仿宋" w:cs="仿宋_GB2312"/>
          <w:b/>
          <w:sz w:val="24"/>
        </w:rPr>
        <w:t>1.单位介绍（联合体参加的，提供联合体各成员的单位介绍）</w:t>
      </w:r>
    </w:p>
    <w:p>
      <w:pPr>
        <w:numPr>
          <w:ilvl w:val="255"/>
          <w:numId w:val="0"/>
        </w:numPr>
        <w:snapToGrid w:val="0"/>
        <w:spacing w:line="360" w:lineRule="auto"/>
        <w:ind w:firstLine="481"/>
        <w:jc w:val="left"/>
        <w:rPr>
          <w:rFonts w:ascii="仿宋" w:hAnsi="仿宋" w:eastAsia="仿宋" w:cs="仿宋_GB2312"/>
          <w:b/>
          <w:sz w:val="24"/>
        </w:rPr>
      </w:pPr>
      <w:r>
        <w:rPr>
          <w:rFonts w:hint="eastAsia" w:ascii="仿宋" w:hAnsi="仿宋" w:eastAsia="仿宋" w:cs="仿宋_GB2312"/>
          <w:b/>
          <w:sz w:val="24"/>
        </w:rPr>
        <w:t>2.资格、资质、获得的荣誉、认证等证明文件（如有）</w:t>
      </w:r>
    </w:p>
    <w:p>
      <w:pPr>
        <w:numPr>
          <w:ilvl w:val="255"/>
          <w:numId w:val="0"/>
        </w:numPr>
        <w:snapToGrid w:val="0"/>
        <w:spacing w:line="360" w:lineRule="auto"/>
        <w:ind w:firstLine="481"/>
        <w:jc w:val="left"/>
        <w:rPr>
          <w:rFonts w:ascii="仿宋" w:hAnsi="仿宋" w:eastAsia="仿宋" w:cs="仿宋_GB2312"/>
          <w:b/>
          <w:sz w:val="24"/>
        </w:rPr>
      </w:pPr>
      <w:r>
        <w:rPr>
          <w:rFonts w:hint="eastAsia" w:ascii="仿宋" w:hAnsi="仿宋" w:eastAsia="仿宋" w:cs="仿宋_GB2312"/>
          <w:b/>
          <w:sz w:val="24"/>
        </w:rPr>
        <w:t>3.企业类似项目业绩证明材料</w:t>
      </w:r>
    </w:p>
    <w:p>
      <w:pPr>
        <w:numPr>
          <w:ilvl w:val="255"/>
          <w:numId w:val="0"/>
        </w:numPr>
        <w:snapToGrid w:val="0"/>
        <w:spacing w:line="360" w:lineRule="auto"/>
        <w:ind w:firstLine="481"/>
        <w:jc w:val="left"/>
        <w:rPr>
          <w:rFonts w:ascii="仿宋" w:hAnsi="仿宋" w:eastAsia="仿宋" w:cs="仿宋_GB2312"/>
          <w:b/>
          <w:sz w:val="24"/>
        </w:rPr>
      </w:pPr>
      <w:r>
        <w:rPr>
          <w:rFonts w:hint="eastAsia" w:ascii="仿宋" w:hAnsi="仿宋" w:eastAsia="仿宋" w:cs="仿宋_GB2312"/>
          <w:b/>
          <w:sz w:val="24"/>
        </w:rPr>
        <w:t>4.供应商认为需要提供的其他资料</w:t>
      </w: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sectPr>
          <w:pgSz w:w="11905" w:h="16838"/>
          <w:pgMar w:top="652" w:right="1417" w:bottom="680" w:left="1417" w:header="539" w:footer="482" w:gutter="0"/>
          <w:cols w:space="0" w:num="1"/>
          <w:titlePg/>
          <w:docGrid w:linePitch="312" w:charSpace="0"/>
        </w:sect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w:t>
      </w:r>
    </w:p>
    <w:p>
      <w:pPr>
        <w:adjustRightInd/>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详细评审索引</w:t>
      </w:r>
    </w:p>
    <w:tbl>
      <w:tblPr>
        <w:tblStyle w:val="63"/>
        <w:tblpPr w:leftFromText="180" w:rightFromText="180" w:vertAnchor="text" w:tblpX="99" w:tblpY="106"/>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476"/>
        <w:gridCol w:w="2729"/>
        <w:gridCol w:w="107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7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评审项</w:t>
            </w:r>
          </w:p>
        </w:tc>
        <w:tc>
          <w:tcPr>
            <w:tcW w:w="272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具体情况</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（根据评分要求备注）</w:t>
            </w:r>
          </w:p>
        </w:tc>
        <w:tc>
          <w:tcPr>
            <w:tcW w:w="107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自评分</w:t>
            </w:r>
          </w:p>
        </w:tc>
        <w:tc>
          <w:tcPr>
            <w:tcW w:w="198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相关材料在投标文件页码范围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76" w:type="dxa"/>
            <w:vAlign w:val="center"/>
          </w:tcPr>
          <w:p>
            <w:pPr>
              <w:jc w:val="center"/>
              <w:rPr>
                <w:rFonts w:hint="eastAsia" w:ascii="宋体" w:hAnsi="宋体" w:eastAsia="宋体" w:cs="宋体"/>
                <w:color w:val="auto"/>
                <w:sz w:val="24"/>
                <w:highlight w:val="none"/>
              </w:rPr>
            </w:pPr>
          </w:p>
        </w:tc>
        <w:tc>
          <w:tcPr>
            <w:tcW w:w="2729" w:type="dxa"/>
            <w:vAlign w:val="center"/>
          </w:tcPr>
          <w:p>
            <w:pPr>
              <w:jc w:val="center"/>
              <w:rPr>
                <w:rFonts w:hint="eastAsia" w:ascii="宋体" w:hAnsi="宋体" w:eastAsia="宋体" w:cs="宋体"/>
                <w:color w:val="auto"/>
                <w:kern w:val="0"/>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76" w:type="dxa"/>
            <w:vAlign w:val="center"/>
          </w:tcPr>
          <w:p>
            <w:pPr>
              <w:jc w:val="center"/>
              <w:rPr>
                <w:rFonts w:hint="eastAsia" w:ascii="宋体" w:hAnsi="宋体" w:eastAsia="宋体" w:cs="宋体"/>
                <w:color w:val="auto"/>
                <w:sz w:val="24"/>
                <w:highlight w:val="none"/>
              </w:rPr>
            </w:pPr>
          </w:p>
        </w:tc>
        <w:tc>
          <w:tcPr>
            <w:tcW w:w="2729" w:type="dxa"/>
            <w:vAlign w:val="center"/>
          </w:tcPr>
          <w:p>
            <w:pPr>
              <w:jc w:val="center"/>
              <w:rPr>
                <w:rFonts w:hint="eastAsia" w:ascii="宋体" w:hAnsi="宋体" w:eastAsia="宋体" w:cs="宋体"/>
                <w:color w:val="auto"/>
                <w:kern w:val="0"/>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kern w:val="0"/>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kern w:val="0"/>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5"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2476" w:type="dxa"/>
            <w:vAlign w:val="center"/>
          </w:tcPr>
          <w:p>
            <w:pPr>
              <w:jc w:val="center"/>
              <w:rPr>
                <w:rFonts w:hint="eastAsia" w:ascii="宋体" w:hAnsi="宋体" w:eastAsia="宋体" w:cs="宋体"/>
                <w:color w:val="auto"/>
                <w:kern w:val="0"/>
                <w:sz w:val="24"/>
                <w:highlight w:val="none"/>
              </w:rPr>
            </w:pPr>
          </w:p>
        </w:tc>
        <w:tc>
          <w:tcPr>
            <w:tcW w:w="2729" w:type="dxa"/>
            <w:vAlign w:val="center"/>
          </w:tcPr>
          <w:p>
            <w:pPr>
              <w:jc w:val="center"/>
              <w:rPr>
                <w:rFonts w:hint="eastAsia" w:ascii="宋体" w:hAnsi="宋体" w:eastAsia="宋体" w:cs="宋体"/>
                <w:color w:val="auto"/>
                <w:sz w:val="24"/>
                <w:highlight w:val="none"/>
              </w:rPr>
            </w:pPr>
          </w:p>
        </w:tc>
        <w:tc>
          <w:tcPr>
            <w:tcW w:w="1073" w:type="dxa"/>
            <w:vAlign w:val="center"/>
          </w:tcPr>
          <w:p>
            <w:pPr>
              <w:jc w:val="center"/>
              <w:rPr>
                <w:rFonts w:hint="eastAsia" w:ascii="宋体" w:hAnsi="宋体" w:eastAsia="宋体" w:cs="宋体"/>
                <w:color w:val="auto"/>
                <w:sz w:val="24"/>
                <w:highlight w:val="none"/>
              </w:rPr>
            </w:pPr>
          </w:p>
        </w:tc>
        <w:tc>
          <w:tcPr>
            <w:tcW w:w="1985" w:type="dxa"/>
            <w:vAlign w:val="center"/>
          </w:tcPr>
          <w:p>
            <w:pPr>
              <w:jc w:val="center"/>
              <w:rPr>
                <w:rFonts w:hint="eastAsia" w:ascii="宋体" w:hAnsi="宋体" w:eastAsia="宋体" w:cs="宋体"/>
                <w:color w:val="auto"/>
                <w:sz w:val="24"/>
                <w:highlight w:val="none"/>
              </w:rPr>
            </w:pPr>
          </w:p>
        </w:tc>
      </w:tr>
    </w:tbl>
    <w:p>
      <w:pPr>
        <w:adjustRightInd/>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注：供应商根据评审办法的“评审因素”条款一一对应填写本表。</w:t>
      </w:r>
    </w:p>
    <w:p>
      <w:pPr>
        <w:snapToGrid w:val="0"/>
        <w:spacing w:line="360" w:lineRule="auto"/>
        <w:ind w:left="479" w:leftChars="228"/>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outlineLvl w:val="2"/>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w:t>
      </w:r>
      <w:r>
        <w:rPr>
          <w:rFonts w:hint="eastAsia" w:ascii="宋体" w:hAnsi="宋体" w:eastAsia="宋体" w:cs="宋体"/>
          <w:b/>
          <w:color w:val="auto"/>
          <w:kern w:val="0"/>
          <w:sz w:val="28"/>
          <w:szCs w:val="28"/>
          <w:highlight w:val="none"/>
        </w:rPr>
        <w:t>一</w:t>
      </w:r>
      <w:r>
        <w:rPr>
          <w:rFonts w:hint="eastAsia" w:ascii="宋体" w:hAnsi="宋体" w:eastAsia="宋体" w:cs="宋体"/>
          <w:b/>
          <w:color w:val="auto"/>
          <w:kern w:val="0"/>
          <w:sz w:val="28"/>
          <w:szCs w:val="28"/>
          <w:highlight w:val="none"/>
          <w:lang w:val="zh-CN"/>
        </w:rPr>
        <w:t>）</w:t>
      </w:r>
      <w:r>
        <w:rPr>
          <w:rFonts w:hint="eastAsia" w:ascii="宋体" w:hAnsi="宋体" w:eastAsia="宋体" w:cs="宋体"/>
          <w:b/>
          <w:color w:val="auto"/>
          <w:kern w:val="0"/>
          <w:sz w:val="28"/>
          <w:szCs w:val="28"/>
          <w:highlight w:val="none"/>
        </w:rPr>
        <w:t>供应商（联合体参加的指联合体牵头人和成员）</w:t>
      </w:r>
      <w:r>
        <w:rPr>
          <w:rFonts w:hint="eastAsia" w:ascii="宋体" w:hAnsi="宋体" w:eastAsia="宋体" w:cs="宋体"/>
          <w:b/>
          <w:color w:val="auto"/>
          <w:kern w:val="0"/>
          <w:sz w:val="28"/>
          <w:szCs w:val="28"/>
          <w:highlight w:val="none"/>
          <w:lang w:val="zh-CN"/>
        </w:rPr>
        <w:t>单位情况表</w:t>
      </w:r>
    </w:p>
    <w:p>
      <w:pPr>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供应商单位情况表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3130"/>
        <w:gridCol w:w="639"/>
        <w:gridCol w:w="927"/>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单位名称</w:t>
            </w:r>
          </w:p>
        </w:tc>
        <w:tc>
          <w:tcPr>
            <w:tcW w:w="1685" w:type="pct"/>
            <w:vAlign w:val="center"/>
          </w:tcPr>
          <w:p>
            <w:pPr>
              <w:spacing w:line="240" w:lineRule="auto"/>
              <w:jc w:val="both"/>
              <w:rPr>
                <w:rFonts w:hint="eastAsia" w:ascii="宋体" w:hAnsi="宋体" w:eastAsia="宋体" w:cs="宋体"/>
                <w:color w:val="auto"/>
                <w:sz w:val="24"/>
                <w:highlight w:val="none"/>
              </w:rPr>
            </w:pPr>
          </w:p>
        </w:tc>
        <w:tc>
          <w:tcPr>
            <w:tcW w:w="843" w:type="pct"/>
            <w:gridSpan w:val="2"/>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注册资金</w:t>
            </w:r>
          </w:p>
        </w:tc>
        <w:tc>
          <w:tcPr>
            <w:tcW w:w="1161" w:type="pct"/>
            <w:vAlign w:val="center"/>
          </w:tcPr>
          <w:p>
            <w:pPr>
              <w:spacing w:line="240"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单位详细地址</w:t>
            </w:r>
          </w:p>
        </w:tc>
        <w:tc>
          <w:tcPr>
            <w:tcW w:w="3690" w:type="pct"/>
            <w:gridSpan w:val="4"/>
            <w:vAlign w:val="center"/>
          </w:tcPr>
          <w:p>
            <w:pPr>
              <w:spacing w:line="240"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营业执照注册号</w:t>
            </w:r>
          </w:p>
        </w:tc>
        <w:tc>
          <w:tcPr>
            <w:tcW w:w="3690" w:type="pct"/>
            <w:gridSpan w:val="4"/>
            <w:vAlign w:val="center"/>
          </w:tcPr>
          <w:p>
            <w:pPr>
              <w:spacing w:line="240"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单位成立时间</w:t>
            </w:r>
          </w:p>
        </w:tc>
        <w:tc>
          <w:tcPr>
            <w:tcW w:w="2029" w:type="pct"/>
            <w:gridSpan w:val="2"/>
            <w:vAlign w:val="center"/>
          </w:tcPr>
          <w:p>
            <w:pPr>
              <w:spacing w:line="240" w:lineRule="auto"/>
              <w:jc w:val="both"/>
              <w:rPr>
                <w:rFonts w:hint="eastAsia" w:ascii="宋体" w:hAnsi="宋体" w:eastAsia="宋体" w:cs="宋体"/>
                <w:color w:val="auto"/>
                <w:sz w:val="24"/>
                <w:highlight w:val="none"/>
              </w:rPr>
            </w:pPr>
          </w:p>
        </w:tc>
        <w:tc>
          <w:tcPr>
            <w:tcW w:w="1661" w:type="pct"/>
            <w:gridSpan w:val="2"/>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w:t>
            </w:r>
          </w:p>
        </w:tc>
        <w:tc>
          <w:tcPr>
            <w:tcW w:w="3690" w:type="pct"/>
            <w:gridSpan w:val="4"/>
            <w:vAlign w:val="center"/>
          </w:tcPr>
          <w:p>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主要负责人</w:t>
            </w:r>
          </w:p>
        </w:tc>
        <w:tc>
          <w:tcPr>
            <w:tcW w:w="3690" w:type="pct"/>
            <w:gridSpan w:val="4"/>
            <w:vAlign w:val="center"/>
          </w:tcPr>
          <w:p>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职工人数</w:t>
            </w:r>
          </w:p>
        </w:tc>
        <w:tc>
          <w:tcPr>
            <w:tcW w:w="3690" w:type="pct"/>
            <w:gridSpan w:val="4"/>
            <w:vAlign w:val="center"/>
          </w:tcPr>
          <w:p>
            <w:pPr>
              <w:spacing w:line="240"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具有中高级以上职称的人数</w:t>
            </w:r>
          </w:p>
        </w:tc>
        <w:tc>
          <w:tcPr>
            <w:tcW w:w="3690" w:type="pct"/>
            <w:gridSpan w:val="4"/>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中级职称的人数</w:t>
            </w:r>
            <w:r>
              <w:rPr>
                <w:rFonts w:hint="eastAsia" w:ascii="宋体" w:hAnsi="宋体" w:cs="宋体"/>
                <w:b/>
                <w:color w:val="auto"/>
                <w:sz w:val="24"/>
                <w:highlight w:val="none"/>
                <w:lang w:eastAsia="zh-CN"/>
              </w:rPr>
              <w:t>：</w:t>
            </w:r>
          </w:p>
          <w:p>
            <w:pPr>
              <w:spacing w:line="240" w:lineRule="auto"/>
              <w:jc w:val="both"/>
              <w:rPr>
                <w:rFonts w:hint="eastAsia" w:ascii="宋体" w:hAnsi="宋体" w:eastAsia="宋体" w:cs="宋体"/>
                <w:color w:val="auto"/>
                <w:sz w:val="24"/>
                <w:highlight w:val="none"/>
              </w:rPr>
            </w:pPr>
            <w:r>
              <w:rPr>
                <w:rFonts w:hint="eastAsia" w:ascii="宋体" w:hAnsi="宋体" w:eastAsia="宋体" w:cs="宋体"/>
                <w:b/>
                <w:color w:val="auto"/>
                <w:sz w:val="24"/>
                <w:highlight w:val="none"/>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2021-2022年度主营业务收入</w:t>
            </w:r>
          </w:p>
        </w:tc>
        <w:tc>
          <w:tcPr>
            <w:tcW w:w="3690" w:type="pct"/>
            <w:gridSpan w:val="4"/>
            <w:vAlign w:val="center"/>
          </w:tcPr>
          <w:p>
            <w:pPr>
              <w:spacing w:line="240"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联系方式</w:t>
            </w:r>
          </w:p>
        </w:tc>
        <w:tc>
          <w:tcPr>
            <w:tcW w:w="3690" w:type="pct"/>
            <w:gridSpan w:val="4"/>
            <w:vAlign w:val="center"/>
          </w:tcPr>
          <w:p>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           电话：</w:t>
            </w:r>
          </w:p>
          <w:p>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开户银行</w:t>
            </w:r>
          </w:p>
        </w:tc>
        <w:tc>
          <w:tcPr>
            <w:tcW w:w="3690" w:type="pct"/>
            <w:gridSpan w:val="4"/>
            <w:vAlign w:val="center"/>
          </w:tcPr>
          <w:p>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p>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1309" w:type="pct"/>
            <w:vAlign w:val="center"/>
          </w:tcPr>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  位</w:t>
            </w:r>
          </w:p>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组  织</w:t>
            </w:r>
          </w:p>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  构</w:t>
            </w:r>
          </w:p>
          <w:p>
            <w:pPr>
              <w:spacing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框  图</w:t>
            </w:r>
          </w:p>
        </w:tc>
        <w:tc>
          <w:tcPr>
            <w:tcW w:w="3690" w:type="pct"/>
            <w:gridSpan w:val="4"/>
            <w:vAlign w:val="center"/>
          </w:tcPr>
          <w:p>
            <w:pPr>
              <w:spacing w:line="240" w:lineRule="auto"/>
              <w:jc w:val="both"/>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注：1、本表所述“职工”应为供应商单位的正式员工。</w:t>
      </w:r>
    </w:p>
    <w:p>
      <w:pPr>
        <w:ind w:firstLine="4320" w:firstLineChars="18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供应商名称（电子签名）：</w:t>
      </w:r>
    </w:p>
    <w:p>
      <w:pPr>
        <w:rPr>
          <w:rFonts w:hint="eastAsia" w:ascii="宋体" w:hAnsi="宋体" w:eastAsia="宋体" w:cs="宋体"/>
          <w:color w:val="auto"/>
          <w:sz w:val="24"/>
          <w:highlight w:val="none"/>
        </w:rPr>
      </w:pPr>
    </w:p>
    <w:p>
      <w:pPr>
        <w:ind w:firstLine="4320" w:firstLineChars="18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日期：</w:t>
      </w:r>
    </w:p>
    <w:p>
      <w:pPr>
        <w:jc w:val="center"/>
        <w:rPr>
          <w:rFonts w:hint="eastAsia" w:ascii="宋体" w:hAnsi="宋体" w:eastAsia="宋体" w:cs="宋体"/>
          <w:b/>
          <w:color w:val="auto"/>
          <w:kern w:val="0"/>
          <w:sz w:val="24"/>
          <w:highlight w:val="none"/>
        </w:rPr>
        <w:sectPr>
          <w:pgSz w:w="11905" w:h="16838"/>
          <w:pgMar w:top="652" w:right="1417" w:bottom="680" w:left="1417" w:header="539" w:footer="482" w:gutter="0"/>
          <w:cols w:space="0" w:num="1"/>
          <w:titlePg/>
          <w:docGrid w:linePitch="312" w:charSpace="0"/>
        </w:sectPr>
      </w:pPr>
    </w:p>
    <w:p>
      <w:pPr>
        <w:outlineLvl w:val="2"/>
        <w:rPr>
          <w:rFonts w:hint="eastAsia" w:asciiTheme="minorEastAsia" w:hAnsiTheme="minorEastAsia" w:eastAsiaTheme="minorEastAsia" w:cstheme="minorEastAsia"/>
          <w:b/>
          <w:kern w:val="0"/>
          <w:sz w:val="32"/>
          <w:szCs w:val="32"/>
        </w:rPr>
      </w:pPr>
      <w:r>
        <w:rPr>
          <w:rFonts w:hint="eastAsia" w:ascii="宋体" w:hAnsi="宋体" w:eastAsia="宋体" w:cs="宋体"/>
          <w:b/>
          <w:color w:val="auto"/>
          <w:kern w:val="0"/>
          <w:sz w:val="32"/>
          <w:szCs w:val="32"/>
          <w:highlight w:val="none"/>
          <w:lang w:val="zh-CN"/>
        </w:rPr>
        <w:t>（</w:t>
      </w:r>
      <w:r>
        <w:rPr>
          <w:rFonts w:hint="eastAsia" w:ascii="宋体" w:hAnsi="宋体" w:eastAsia="宋体" w:cs="宋体"/>
          <w:b/>
          <w:color w:val="auto"/>
          <w:kern w:val="0"/>
          <w:sz w:val="32"/>
          <w:szCs w:val="32"/>
          <w:highlight w:val="none"/>
        </w:rPr>
        <w:t>二</w:t>
      </w:r>
      <w:r>
        <w:rPr>
          <w:rFonts w:hint="eastAsia" w:ascii="宋体" w:hAnsi="宋体" w:eastAsia="宋体" w:cs="宋体"/>
          <w:b/>
          <w:color w:val="auto"/>
          <w:kern w:val="0"/>
          <w:sz w:val="32"/>
          <w:szCs w:val="32"/>
          <w:highlight w:val="none"/>
          <w:lang w:val="zh-CN"/>
        </w:rPr>
        <w:t>）</w:t>
      </w:r>
      <w:r>
        <w:rPr>
          <w:rFonts w:hint="eastAsia" w:asciiTheme="minorEastAsia" w:hAnsiTheme="minorEastAsia" w:eastAsiaTheme="minorEastAsia" w:cstheme="minorEastAsia"/>
          <w:b/>
          <w:kern w:val="0"/>
          <w:sz w:val="32"/>
          <w:szCs w:val="32"/>
        </w:rPr>
        <w:t>供应商</w:t>
      </w:r>
      <w:r>
        <w:rPr>
          <w:rFonts w:hint="eastAsia" w:asciiTheme="minorEastAsia" w:hAnsiTheme="minorEastAsia" w:eastAsiaTheme="minorEastAsia" w:cstheme="minorEastAsia"/>
          <w:b/>
          <w:kern w:val="0"/>
          <w:sz w:val="32"/>
          <w:szCs w:val="32"/>
          <w:lang w:val="zh-CN"/>
        </w:rPr>
        <w:t>资格、资质、荣誉、认证</w:t>
      </w:r>
      <w:r>
        <w:rPr>
          <w:rFonts w:hint="eastAsia" w:asciiTheme="minorEastAsia" w:hAnsiTheme="minorEastAsia" w:eastAsiaTheme="minorEastAsia" w:cstheme="minorEastAsia"/>
          <w:b/>
          <w:kern w:val="0"/>
          <w:sz w:val="32"/>
          <w:szCs w:val="32"/>
        </w:rPr>
        <w:t>一览表及证明材料</w:t>
      </w:r>
    </w:p>
    <w:p>
      <w:pPr>
        <w:spacing w:line="360" w:lineRule="auto"/>
        <w:ind w:firstLine="360" w:firstLineChars="150"/>
        <w:rPr>
          <w:rFonts w:hint="eastAsia" w:asciiTheme="minorEastAsia" w:hAnsiTheme="minorEastAsia" w:eastAsiaTheme="minorEastAsia" w:cstheme="minorEastAsia"/>
          <w:sz w:val="24"/>
        </w:rPr>
      </w:pPr>
    </w:p>
    <w:p>
      <w:pPr>
        <w:spacing w:line="360" w:lineRule="auto"/>
        <w:ind w:firstLine="482" w:firstLineChars="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kern w:val="0"/>
          <w:sz w:val="32"/>
          <w:szCs w:val="32"/>
        </w:rPr>
        <w:t>供应商</w:t>
      </w:r>
      <w:r>
        <w:rPr>
          <w:rFonts w:hint="eastAsia" w:asciiTheme="minorEastAsia" w:hAnsiTheme="minorEastAsia" w:eastAsiaTheme="minorEastAsia" w:cstheme="minorEastAsia"/>
          <w:b/>
          <w:kern w:val="0"/>
          <w:sz w:val="32"/>
          <w:szCs w:val="32"/>
          <w:lang w:val="zh-CN"/>
        </w:rPr>
        <w:t>资格、资质、荣誉、认证</w:t>
      </w:r>
      <w:r>
        <w:rPr>
          <w:rFonts w:hint="eastAsia" w:asciiTheme="minorEastAsia" w:hAnsiTheme="minorEastAsia" w:eastAsiaTheme="minorEastAsia" w:cstheme="minorEastAsia"/>
          <w:b/>
          <w:kern w:val="0"/>
          <w:sz w:val="32"/>
          <w:szCs w:val="32"/>
        </w:rPr>
        <w:t>一览表</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62"/>
        <w:tblW w:w="9462" w:type="dxa"/>
        <w:tblInd w:w="0" w:type="dxa"/>
        <w:tblLayout w:type="fixed"/>
        <w:tblCellMar>
          <w:top w:w="0" w:type="dxa"/>
          <w:left w:w="108" w:type="dxa"/>
          <w:bottom w:w="0" w:type="dxa"/>
          <w:right w:w="108" w:type="dxa"/>
        </w:tblCellMar>
      </w:tblPr>
      <w:tblGrid>
        <w:gridCol w:w="1927"/>
        <w:gridCol w:w="1815"/>
        <w:gridCol w:w="1755"/>
        <w:gridCol w:w="1440"/>
        <w:gridCol w:w="1275"/>
        <w:gridCol w:w="1250"/>
      </w:tblGrid>
      <w:tr>
        <w:tblPrEx>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所获</w:t>
            </w:r>
            <w:r>
              <w:rPr>
                <w:rFonts w:hint="eastAsia" w:asciiTheme="minorEastAsia" w:hAnsiTheme="minorEastAsia" w:eastAsiaTheme="minorEastAsia" w:cstheme="minorEastAsia"/>
                <w:sz w:val="24"/>
                <w:lang w:val="zh-CN"/>
              </w:rPr>
              <w:t>资格、资质、荣誉、认证</w:t>
            </w:r>
            <w:r>
              <w:rPr>
                <w:rFonts w:hint="eastAsia" w:asciiTheme="minorEastAsia" w:hAnsiTheme="minorEastAsia" w:eastAsiaTheme="minorEastAsia" w:cstheme="minorEastAsia"/>
                <w:sz w:val="24"/>
              </w:rPr>
              <w:t>名称</w:t>
            </w:r>
          </w:p>
        </w:tc>
        <w:tc>
          <w:tcPr>
            <w:tcW w:w="18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颁发单位</w:t>
            </w:r>
          </w:p>
        </w:tc>
        <w:tc>
          <w:tcPr>
            <w:tcW w:w="175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等级</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取得时间（以落款日期为准）</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有效期</w:t>
            </w:r>
          </w:p>
        </w:tc>
        <w:tc>
          <w:tcPr>
            <w:tcW w:w="12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rPr>
            </w:pPr>
          </w:p>
        </w:tc>
        <w:tc>
          <w:tcPr>
            <w:tcW w:w="12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rPr>
            </w:pPr>
          </w:p>
        </w:tc>
        <w:tc>
          <w:tcPr>
            <w:tcW w:w="12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rPr>
            </w:pPr>
          </w:p>
        </w:tc>
        <w:tc>
          <w:tcPr>
            <w:tcW w:w="12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rPr>
            </w:pPr>
          </w:p>
        </w:tc>
        <w:tc>
          <w:tcPr>
            <w:tcW w:w="12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rPr>
            </w:pPr>
          </w:p>
        </w:tc>
        <w:tc>
          <w:tcPr>
            <w:tcW w:w="12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Theme="minorEastAsia" w:hAnsiTheme="minorEastAsia" w:eastAsiaTheme="minorEastAsia" w:cstheme="minorEastAsia"/>
                <w:sz w:val="24"/>
              </w:rPr>
            </w:pPr>
          </w:p>
        </w:tc>
      </w:tr>
    </w:tbl>
    <w:p>
      <w:pPr>
        <w:autoSpaceDE w:val="0"/>
        <w:autoSpaceDN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注：供应商可按上述的格式自行编制，须随表提交的证明材料见评审办法并注明所在页码。</w:t>
      </w:r>
    </w:p>
    <w:p>
      <w:pPr>
        <w:autoSpaceDE w:val="0"/>
        <w:autoSpaceDN w:val="0"/>
        <w:spacing w:line="360" w:lineRule="auto"/>
        <w:rPr>
          <w:rFonts w:hint="eastAsia" w:asciiTheme="minorEastAsia" w:hAnsiTheme="minorEastAsia" w:eastAsiaTheme="minorEastAsia" w:cstheme="minorEastAsia"/>
          <w:sz w:val="24"/>
        </w:rPr>
      </w:pPr>
    </w:p>
    <w:p>
      <w:pPr>
        <w:pStyle w:val="3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供应商名称（盖章）：</w:t>
      </w:r>
    </w:p>
    <w:p>
      <w:pPr>
        <w:pStyle w:val="3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pPr>
        <w:pStyle w:val="34"/>
        <w:spacing w:line="360" w:lineRule="auto"/>
        <w:rPr>
          <w:rFonts w:hint="eastAsia" w:ascii="宋体" w:hAnsi="宋体" w:eastAsia="宋体" w:cs="宋体"/>
          <w:color w:val="auto"/>
          <w:sz w:val="24"/>
          <w:szCs w:val="24"/>
          <w:highlight w:val="none"/>
        </w:rPr>
      </w:pPr>
    </w:p>
    <w:p>
      <w:pPr>
        <w:rPr>
          <w:rFonts w:hint="eastAsia" w:ascii="宋体" w:hAnsi="宋体" w:eastAsia="宋体" w:cs="宋体"/>
          <w:b/>
          <w:color w:val="auto"/>
          <w:kern w:val="0"/>
          <w:sz w:val="24"/>
          <w:highlight w:val="none"/>
          <w:lang w:val="zh-CN"/>
        </w:rPr>
      </w:pPr>
    </w:p>
    <w:p>
      <w:pPr>
        <w:rPr>
          <w:rFonts w:hint="eastAsia" w:ascii="宋体" w:hAnsi="宋体" w:eastAsia="宋体" w:cs="宋体"/>
          <w:b/>
          <w:color w:val="auto"/>
          <w:kern w:val="0"/>
          <w:sz w:val="24"/>
          <w:highlight w:val="none"/>
          <w:lang w:val="zh-CN"/>
        </w:rPr>
      </w:pPr>
    </w:p>
    <w:p>
      <w:pP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br w:type="page"/>
      </w:r>
    </w:p>
    <w:p>
      <w:pPr>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w:t>
      </w: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）类似项目业绩情况表及证明材料</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w:t>
      </w:r>
      <w:r>
        <w:rPr>
          <w:rFonts w:hint="eastAsia" w:ascii="宋体" w:hAnsi="宋体" w:eastAsia="宋体" w:cs="宋体"/>
          <w:b/>
          <w:color w:val="auto"/>
          <w:sz w:val="32"/>
          <w:szCs w:val="32"/>
          <w:highlight w:val="none"/>
          <w:lang w:val="zh-CN"/>
        </w:rPr>
        <w:t>业绩</w:t>
      </w:r>
      <w:r>
        <w:rPr>
          <w:rFonts w:hint="eastAsia" w:ascii="宋体" w:hAnsi="宋体" w:eastAsia="宋体" w:cs="宋体"/>
          <w:b/>
          <w:color w:val="auto"/>
          <w:sz w:val="32"/>
          <w:szCs w:val="32"/>
          <w:highlight w:val="none"/>
        </w:rPr>
        <w:t>情况表</w:t>
      </w:r>
    </w:p>
    <w:p>
      <w:pPr>
        <w:spacing w:line="360" w:lineRule="auto"/>
        <w:ind w:firstLine="360" w:firstLineChars="150"/>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62"/>
        <w:tblW w:w="9575" w:type="dxa"/>
        <w:tblInd w:w="0" w:type="dxa"/>
        <w:tblLayout w:type="fixed"/>
        <w:tblCellMar>
          <w:top w:w="0" w:type="dxa"/>
          <w:left w:w="108" w:type="dxa"/>
          <w:bottom w:w="0" w:type="dxa"/>
          <w:right w:w="108" w:type="dxa"/>
        </w:tblCellMar>
      </w:tblPr>
      <w:tblGrid>
        <w:gridCol w:w="1927"/>
        <w:gridCol w:w="1815"/>
        <w:gridCol w:w="1755"/>
        <w:gridCol w:w="1440"/>
        <w:gridCol w:w="1375"/>
        <w:gridCol w:w="1263"/>
      </w:tblGrid>
      <w:tr>
        <w:tblPrEx>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8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合同内容</w:t>
            </w:r>
          </w:p>
        </w:tc>
        <w:tc>
          <w:tcPr>
            <w:tcW w:w="17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落款日期</w:t>
            </w:r>
          </w:p>
        </w:tc>
        <w:tc>
          <w:tcPr>
            <w:tcW w:w="13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合同期限</w:t>
            </w:r>
          </w:p>
        </w:tc>
        <w:tc>
          <w:tcPr>
            <w:tcW w:w="12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采购方联系人及电话</w:t>
            </w:r>
          </w:p>
        </w:tc>
      </w:tr>
      <w:tr>
        <w:tblPrEx>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26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26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26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26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26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r>
    </w:tbl>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注：供应商可自行编制格式，须随表提交的证明材料见评审办法。</w:t>
      </w:r>
    </w:p>
    <w:p>
      <w:pPr>
        <w:autoSpaceDE w:val="0"/>
        <w:autoSpaceDN w:val="0"/>
        <w:spacing w:line="360" w:lineRule="auto"/>
        <w:rPr>
          <w:rFonts w:hint="eastAsia" w:ascii="宋体" w:hAnsi="宋体" w:eastAsia="宋体" w:cs="宋体"/>
          <w:color w:val="auto"/>
          <w:sz w:val="24"/>
          <w:highlight w:val="none"/>
        </w:rPr>
      </w:pPr>
    </w:p>
    <w:p>
      <w:pPr>
        <w:pStyle w:val="3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pPr>
        <w:pStyle w:val="3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jc w:val="center"/>
        <w:rPr>
          <w:rFonts w:hint="eastAsia" w:ascii="宋体" w:hAnsi="宋体" w:eastAsia="宋体" w:cs="宋体"/>
          <w:b/>
          <w:color w:val="auto"/>
          <w:kern w:val="0"/>
          <w:sz w:val="24"/>
          <w:highlight w:val="none"/>
        </w:rPr>
      </w:pPr>
    </w:p>
    <w:p>
      <w:pPr>
        <w:jc w:val="center"/>
        <w:outlineLvl w:val="2"/>
        <w:rPr>
          <w:rFonts w:hint="eastAsia" w:ascii="宋体" w:hAnsi="宋体" w:eastAsia="宋体" w:cs="宋体"/>
          <w:b/>
          <w:color w:val="auto"/>
          <w:kern w:val="0"/>
          <w:sz w:val="24"/>
          <w:highlight w:val="none"/>
        </w:rPr>
        <w:sectPr>
          <w:pgSz w:w="11905" w:h="16838"/>
          <w:pgMar w:top="652" w:right="1417" w:bottom="680" w:left="1417" w:header="539" w:footer="482" w:gutter="0"/>
          <w:cols w:space="0" w:num="1"/>
          <w:titlePg/>
          <w:docGrid w:linePitch="312" w:charSpace="0"/>
        </w:sectPr>
      </w:pPr>
    </w:p>
    <w:p>
      <w:pPr>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w:t>
      </w:r>
      <w:r>
        <w:rPr>
          <w:rFonts w:hint="eastAsia" w:ascii="宋体" w:hAnsi="宋体" w:eastAsia="宋体" w:cs="宋体"/>
          <w:b/>
          <w:color w:val="auto"/>
          <w:kern w:val="0"/>
          <w:sz w:val="32"/>
          <w:szCs w:val="32"/>
          <w:highlight w:val="none"/>
        </w:rPr>
        <w:t>四</w:t>
      </w:r>
      <w:r>
        <w:rPr>
          <w:rFonts w:hint="eastAsia" w:ascii="宋体" w:hAnsi="宋体" w:eastAsia="宋体" w:cs="宋体"/>
          <w:b/>
          <w:color w:val="auto"/>
          <w:kern w:val="0"/>
          <w:sz w:val="32"/>
          <w:szCs w:val="32"/>
          <w:highlight w:val="none"/>
          <w:lang w:val="zh-CN"/>
        </w:rPr>
        <w:t>）供应商为完成本项目组建的工作小组名单</w:t>
      </w:r>
    </w:p>
    <w:p>
      <w:pPr>
        <w:rPr>
          <w:rFonts w:hint="eastAsia" w:ascii="宋体" w:hAnsi="宋体" w:eastAsia="宋体" w:cs="宋体"/>
          <w:color w:val="auto"/>
          <w:sz w:val="24"/>
          <w:highlight w:val="none"/>
        </w:rPr>
      </w:pPr>
    </w:p>
    <w:p>
      <w:pPr>
        <w:keepNext/>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本项目的项目负责人情况表</w:t>
      </w:r>
    </w:p>
    <w:tbl>
      <w:tblPr>
        <w:tblStyle w:val="62"/>
        <w:tblW w:w="8998" w:type="dxa"/>
        <w:jc w:val="center"/>
        <w:tblLayout w:type="fixed"/>
        <w:tblCellMar>
          <w:top w:w="0" w:type="dxa"/>
          <w:left w:w="108" w:type="dxa"/>
          <w:bottom w:w="0" w:type="dxa"/>
          <w:right w:w="108" w:type="dxa"/>
        </w:tblCellMar>
      </w:tblPr>
      <w:tblGrid>
        <w:gridCol w:w="2156"/>
        <w:gridCol w:w="2690"/>
        <w:gridCol w:w="4152"/>
      </w:tblGrid>
      <w:tr>
        <w:tblPrEx>
          <w:tblCellMar>
            <w:top w:w="0" w:type="dxa"/>
            <w:left w:w="108" w:type="dxa"/>
            <w:bottom w:w="0" w:type="dxa"/>
            <w:right w:w="108" w:type="dxa"/>
          </w:tblCellMar>
        </w:tblPrEx>
        <w:trPr>
          <w:trHeight w:val="1100"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近3年业绩及承担的主要工作情况，曾担任项目负责人的项目应列明细</w:t>
            </w:r>
          </w:p>
        </w:tc>
      </w:tr>
      <w:tr>
        <w:tblPrEx>
          <w:tblCellMar>
            <w:top w:w="0" w:type="dxa"/>
            <w:left w:w="108" w:type="dxa"/>
            <w:bottom w:w="0" w:type="dxa"/>
            <w:right w:w="108" w:type="dxa"/>
          </w:tblCellMar>
        </w:tblPrEx>
        <w:trPr>
          <w:cantSplit/>
          <w:trHeight w:val="402"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02"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02"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02"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02"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02"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02"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02"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20" w:hRule="atLeast"/>
          <w:jc w:val="center"/>
        </w:trPr>
        <w:tc>
          <w:tcPr>
            <w:tcW w:w="21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269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eastAsia="宋体" w:cs="宋体"/>
                <w:color w:val="auto"/>
                <w:sz w:val="24"/>
                <w:highlight w:val="none"/>
              </w:rPr>
            </w:pPr>
          </w:p>
        </w:tc>
        <w:tc>
          <w:tcPr>
            <w:tcW w:w="415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bl>
    <w:p>
      <w:pPr>
        <w:pStyle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val="en-US" w:eastAsia="zh-CN"/>
        </w:rPr>
        <w:t>供应商可按上述的格式自行编制，须随表提交的证明材料见评审办法，证明材料需附在此表后。</w:t>
      </w:r>
    </w:p>
    <w:p>
      <w:pPr>
        <w:autoSpaceDE w:val="0"/>
        <w:autoSpaceDN w:val="0"/>
        <w:spacing w:line="360" w:lineRule="auto"/>
        <w:rPr>
          <w:rFonts w:hint="eastAsia" w:ascii="宋体" w:hAnsi="宋体" w:eastAsia="宋体" w:cs="宋体"/>
          <w:b/>
          <w:color w:val="auto"/>
          <w:sz w:val="24"/>
          <w:highlight w:val="none"/>
        </w:rPr>
      </w:pPr>
    </w:p>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w:t>
      </w:r>
      <w:r>
        <w:rPr>
          <w:rFonts w:hint="eastAsia" w:ascii="宋体" w:hAnsi="宋体" w:cs="宋体"/>
          <w:b/>
          <w:color w:val="auto"/>
          <w:sz w:val="24"/>
          <w:highlight w:val="none"/>
          <w:lang w:val="en-US" w:eastAsia="zh-CN"/>
        </w:rPr>
        <w:t>B：</w:t>
      </w:r>
      <w:r>
        <w:rPr>
          <w:rFonts w:hint="eastAsia" w:ascii="宋体" w:hAnsi="宋体" w:eastAsia="宋体" w:cs="宋体"/>
          <w:b/>
          <w:color w:val="auto"/>
          <w:sz w:val="24"/>
          <w:highlight w:val="none"/>
        </w:rPr>
        <w:t>本项目</w:t>
      </w:r>
      <w:r>
        <w:rPr>
          <w:rFonts w:hint="eastAsia" w:ascii="宋体" w:hAnsi="宋体" w:cs="宋体"/>
          <w:b/>
          <w:color w:val="auto"/>
          <w:sz w:val="24"/>
          <w:highlight w:val="none"/>
          <w:lang w:eastAsia="zh-CN"/>
        </w:rPr>
        <w:t>的其他</w:t>
      </w:r>
      <w:r>
        <w:rPr>
          <w:rFonts w:hint="eastAsia" w:ascii="宋体" w:hAnsi="宋体" w:eastAsia="宋体" w:cs="宋体"/>
          <w:b/>
          <w:color w:val="auto"/>
          <w:sz w:val="24"/>
          <w:highlight w:val="none"/>
        </w:rPr>
        <w:t>服务工作人员配备表</w:t>
      </w:r>
    </w:p>
    <w:tbl>
      <w:tblPr>
        <w:tblStyle w:val="62"/>
        <w:tblW w:w="9108" w:type="dxa"/>
        <w:tblInd w:w="0" w:type="dxa"/>
        <w:tblLayout w:type="fixed"/>
        <w:tblCellMar>
          <w:top w:w="0" w:type="dxa"/>
          <w:left w:w="108" w:type="dxa"/>
          <w:bottom w:w="0" w:type="dxa"/>
          <w:right w:w="108" w:type="dxa"/>
        </w:tblCellMar>
      </w:tblPr>
      <w:tblGrid>
        <w:gridCol w:w="749"/>
        <w:gridCol w:w="709"/>
        <w:gridCol w:w="736"/>
        <w:gridCol w:w="791"/>
        <w:gridCol w:w="805"/>
        <w:gridCol w:w="763"/>
        <w:gridCol w:w="730"/>
        <w:gridCol w:w="1200"/>
        <w:gridCol w:w="1194"/>
        <w:gridCol w:w="1431"/>
      </w:tblGrid>
      <w:tr>
        <w:tblPrEx>
          <w:tblCellMar>
            <w:top w:w="0" w:type="dxa"/>
            <w:left w:w="108" w:type="dxa"/>
            <w:bottom w:w="0" w:type="dxa"/>
            <w:right w:w="108" w:type="dxa"/>
          </w:tblCellMar>
        </w:tblPrEx>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8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7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11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工作经验</w:t>
            </w:r>
          </w:p>
        </w:tc>
        <w:tc>
          <w:tcPr>
            <w:tcW w:w="143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tblPrEx>
          <w:tblCellMar>
            <w:top w:w="0" w:type="dxa"/>
            <w:left w:w="108" w:type="dxa"/>
            <w:bottom w:w="0" w:type="dxa"/>
            <w:right w:w="108" w:type="dxa"/>
          </w:tblCellMar>
        </w:tblPrEx>
        <w:trPr>
          <w:trHeight w:val="595" w:hRule="atLeast"/>
        </w:trPr>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8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1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95" w:hRule="atLeast"/>
        </w:trPr>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8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1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95" w:hRule="atLeast"/>
        </w:trPr>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8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1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95" w:hRule="atLeast"/>
        </w:trPr>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8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1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95" w:hRule="atLeast"/>
        </w:trPr>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8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1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95" w:hRule="atLeast"/>
        </w:trPr>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8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1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highlight w:val="none"/>
              </w:rPr>
            </w:pPr>
          </w:p>
        </w:tc>
      </w:tr>
    </w:tbl>
    <w:p>
      <w:pPr>
        <w:pStyle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注：供应商可按上述的格式自行编制，须随表提交的证明材料见评审办法。</w:t>
      </w:r>
      <w:r>
        <w:rPr>
          <w:rFonts w:hint="eastAsia" w:ascii="宋体" w:hAnsi="宋体" w:eastAsia="宋体" w:cs="宋体"/>
          <w:b/>
          <w:color w:val="auto"/>
          <w:sz w:val="24"/>
          <w:highlight w:val="none"/>
          <w:lang w:val="en-US" w:eastAsia="zh-CN"/>
        </w:rPr>
        <w:t>证明材料需附在此表后。</w:t>
      </w:r>
    </w:p>
    <w:p>
      <w:pPr>
        <w:spacing w:line="360" w:lineRule="auto"/>
        <w:rPr>
          <w:rFonts w:hint="eastAsia" w:ascii="宋体" w:hAnsi="宋体" w:eastAsia="宋体" w:cs="宋体"/>
          <w:b/>
          <w:color w:val="auto"/>
          <w:sz w:val="24"/>
          <w:highlight w:val="none"/>
        </w:rPr>
      </w:pPr>
    </w:p>
    <w:p>
      <w:pPr>
        <w:pStyle w:val="61"/>
        <w:ind w:left="0" w:leftChars="0"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kern w:val="0"/>
          <w:sz w:val="24"/>
          <w:highlight w:val="none"/>
        </w:rPr>
        <w:t>电子签名</w:t>
      </w:r>
      <w:r>
        <w:rPr>
          <w:rFonts w:hint="eastAsia" w:ascii="宋体" w:hAnsi="宋体" w:eastAsia="宋体" w:cs="宋体"/>
          <w:color w:val="auto"/>
          <w:kern w:val="0"/>
          <w:sz w:val="24"/>
          <w:highlight w:val="none"/>
          <w:lang w:val="zh-CN"/>
        </w:rPr>
        <w:t>）：</w:t>
      </w:r>
    </w:p>
    <w:p>
      <w:pPr>
        <w:pStyle w:val="61"/>
        <w:ind w:left="0" w:leftChars="0" w:firstLine="480"/>
        <w:rPr>
          <w:rFonts w:hint="eastAsia" w:ascii="宋体" w:hAnsi="宋体" w:eastAsia="宋体" w:cs="宋体"/>
          <w:color w:val="auto"/>
          <w:sz w:val="24"/>
          <w:highlight w:val="none"/>
        </w:rPr>
        <w:sectPr>
          <w:pgSz w:w="11905" w:h="16838"/>
          <w:pgMar w:top="652" w:right="1417" w:bottom="680" w:left="1417" w:header="539" w:footer="48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p>
    <w:p>
      <w:pPr>
        <w:jc w:val="left"/>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（五）商务/技术偏离表</w:t>
      </w: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300" w:type="dxa"/>
          </w:tcPr>
          <w:p>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征集文件章节及具体内容</w:t>
            </w:r>
          </w:p>
        </w:tc>
        <w:tc>
          <w:tcPr>
            <w:tcW w:w="3177" w:type="dxa"/>
          </w:tcPr>
          <w:p>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响应文件章节及具体内容</w:t>
            </w:r>
          </w:p>
        </w:tc>
        <w:tc>
          <w:tcPr>
            <w:tcW w:w="1430" w:type="dxa"/>
          </w:tcPr>
          <w:p>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300" w:type="dxa"/>
          </w:tcPr>
          <w:p>
            <w:pPr>
              <w:jc w:val="center"/>
              <w:rPr>
                <w:rFonts w:hint="eastAsia" w:asciiTheme="minorEastAsia" w:hAnsiTheme="minorEastAsia" w:eastAsiaTheme="minorEastAsia" w:cstheme="minorEastAsia"/>
                <w:b/>
                <w:kern w:val="0"/>
                <w:sz w:val="32"/>
                <w:szCs w:val="32"/>
              </w:rPr>
            </w:pPr>
          </w:p>
        </w:tc>
        <w:tc>
          <w:tcPr>
            <w:tcW w:w="3177" w:type="dxa"/>
          </w:tcPr>
          <w:p>
            <w:pPr>
              <w:jc w:val="center"/>
              <w:rPr>
                <w:rFonts w:hint="eastAsia" w:asciiTheme="minorEastAsia" w:hAnsiTheme="minorEastAsia" w:eastAsiaTheme="minorEastAsia" w:cstheme="minorEastAsia"/>
                <w:b/>
                <w:kern w:val="0"/>
                <w:sz w:val="32"/>
                <w:szCs w:val="32"/>
              </w:rPr>
            </w:pPr>
          </w:p>
        </w:tc>
        <w:tc>
          <w:tcPr>
            <w:tcW w:w="1430" w:type="dxa"/>
          </w:tcPr>
          <w:p>
            <w:pPr>
              <w:jc w:val="center"/>
              <w:rPr>
                <w:rFonts w:hint="eastAsia" w:asciiTheme="minorEastAsia" w:hAnsiTheme="minorEastAsia" w:eastAsiaTheme="minorEastAsia" w:cs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300" w:type="dxa"/>
          </w:tcPr>
          <w:p>
            <w:pPr>
              <w:jc w:val="center"/>
              <w:rPr>
                <w:rFonts w:hint="eastAsia" w:asciiTheme="minorEastAsia" w:hAnsiTheme="minorEastAsia" w:eastAsiaTheme="minorEastAsia" w:cstheme="minorEastAsia"/>
                <w:b/>
                <w:kern w:val="0"/>
                <w:sz w:val="32"/>
                <w:szCs w:val="32"/>
              </w:rPr>
            </w:pPr>
          </w:p>
        </w:tc>
        <w:tc>
          <w:tcPr>
            <w:tcW w:w="3177" w:type="dxa"/>
          </w:tcPr>
          <w:p>
            <w:pPr>
              <w:jc w:val="center"/>
              <w:rPr>
                <w:rFonts w:hint="eastAsia" w:asciiTheme="minorEastAsia" w:hAnsiTheme="minorEastAsia" w:eastAsiaTheme="minorEastAsia" w:cstheme="minorEastAsia"/>
                <w:b/>
                <w:kern w:val="0"/>
                <w:sz w:val="32"/>
                <w:szCs w:val="32"/>
              </w:rPr>
            </w:pPr>
          </w:p>
        </w:tc>
        <w:tc>
          <w:tcPr>
            <w:tcW w:w="1430" w:type="dxa"/>
          </w:tcPr>
          <w:p>
            <w:pPr>
              <w:jc w:val="center"/>
              <w:rPr>
                <w:rFonts w:hint="eastAsia" w:asciiTheme="minorEastAsia" w:hAnsiTheme="minorEastAsia" w:eastAsiaTheme="minorEastAsia" w:cs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300" w:type="dxa"/>
          </w:tcPr>
          <w:p>
            <w:pPr>
              <w:jc w:val="center"/>
              <w:rPr>
                <w:rFonts w:hint="eastAsia" w:asciiTheme="minorEastAsia" w:hAnsiTheme="minorEastAsia" w:eastAsiaTheme="minorEastAsia" w:cstheme="minorEastAsia"/>
                <w:b/>
                <w:kern w:val="0"/>
                <w:sz w:val="32"/>
                <w:szCs w:val="32"/>
              </w:rPr>
            </w:pPr>
          </w:p>
        </w:tc>
        <w:tc>
          <w:tcPr>
            <w:tcW w:w="3177" w:type="dxa"/>
          </w:tcPr>
          <w:p>
            <w:pPr>
              <w:jc w:val="center"/>
              <w:rPr>
                <w:rFonts w:hint="eastAsia" w:asciiTheme="minorEastAsia" w:hAnsiTheme="minorEastAsia" w:eastAsiaTheme="minorEastAsia" w:cstheme="minorEastAsia"/>
                <w:b/>
                <w:kern w:val="0"/>
                <w:sz w:val="32"/>
                <w:szCs w:val="32"/>
              </w:rPr>
            </w:pPr>
          </w:p>
        </w:tc>
        <w:tc>
          <w:tcPr>
            <w:tcW w:w="1430" w:type="dxa"/>
          </w:tcPr>
          <w:p>
            <w:pPr>
              <w:jc w:val="center"/>
              <w:rPr>
                <w:rFonts w:hint="eastAsia" w:asciiTheme="minorEastAsia" w:hAnsiTheme="minorEastAsia" w:eastAsiaTheme="minorEastAsia" w:cstheme="minorEastAsia"/>
                <w:b/>
                <w:kern w:val="0"/>
                <w:sz w:val="32"/>
                <w:szCs w:val="32"/>
              </w:rPr>
            </w:pPr>
          </w:p>
        </w:tc>
      </w:tr>
    </w:tbl>
    <w:p>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供应商保证：除商务/技术偏离表列出的偏离外，供应商响应征集文件的全部要求</w:t>
      </w:r>
    </w:p>
    <w:p>
      <w:pPr>
        <w:jc w:val="center"/>
        <w:rPr>
          <w:rFonts w:ascii="仿宋" w:hAnsi="仿宋" w:eastAsia="仿宋" w:cs="仿宋_GB2312"/>
          <w:b/>
          <w:kern w:val="0"/>
          <w:sz w:val="32"/>
          <w:szCs w:val="32"/>
        </w:rPr>
      </w:pPr>
    </w:p>
    <w:p>
      <w:pPr>
        <w:jc w:val="left"/>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rPr>
          <w:rFonts w:hint="eastAsia"/>
        </w:rPr>
      </w:pPr>
    </w:p>
    <w:p>
      <w:pPr>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（征集人）、（采购代理机构）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eastAsia="宋体" w:cs="宋体"/>
          <w:color w:val="auto"/>
          <w:kern w:val="0"/>
          <w:sz w:val="24"/>
          <w:highlight w:val="none"/>
        </w:rPr>
        <w:t>征集</w:t>
      </w:r>
      <w:r>
        <w:rPr>
          <w:rFonts w:hint="eastAsia" w:ascii="宋体" w:hAnsi="宋体" w:eastAsia="宋体" w:cs="宋体"/>
          <w:color w:val="auto"/>
          <w:kern w:val="0"/>
          <w:sz w:val="24"/>
          <w:highlight w:val="none"/>
          <w:lang w:val="zh-CN"/>
        </w:rPr>
        <w:t>要求参加</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。在这次</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过程中和入围后，我们将严格遵守国家法律法规要求，并郑重承诺：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numPr>
          <w:ilvl w:val="0"/>
          <w:numId w:val="3"/>
        </w:numPr>
        <w:autoSpaceDE w:val="0"/>
        <w:autoSpaceDN w:val="0"/>
        <w:spacing w:line="360" w:lineRule="auto"/>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zh-CN"/>
        </w:rPr>
        <w:t>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rPr>
        <w:t>政府采购实施条例</w:t>
      </w:r>
      <w:r>
        <w:rPr>
          <w:rFonts w:hint="eastAsia" w:ascii="宋体" w:hAnsi="宋体" w:eastAsia="宋体" w:cs="宋体"/>
          <w:color w:val="auto"/>
          <w:kern w:val="0"/>
          <w:sz w:val="24"/>
          <w:highlight w:val="none"/>
          <w:lang w:val="zh-CN"/>
        </w:rPr>
        <w:t>》</w:t>
      </w:r>
    </w:p>
    <w:p>
      <w:pPr>
        <w:numPr>
          <w:ilvl w:val="255"/>
          <w:numId w:val="0"/>
        </w:num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、入围资格，有权拒绝我单位在一定时期内进入你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right="112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kern w:val="0"/>
          <w:sz w:val="24"/>
          <w:highlight w:val="none"/>
        </w:rPr>
        <w:t>电子签名</w:t>
      </w:r>
      <w:r>
        <w:rPr>
          <w:rFonts w:hint="eastAsia" w:ascii="宋体" w:hAnsi="宋体" w:eastAsia="宋体" w:cs="宋体"/>
          <w:color w:val="auto"/>
          <w:kern w:val="0"/>
          <w:sz w:val="24"/>
          <w:highlight w:val="none"/>
          <w:lang w:val="zh-CN"/>
        </w:rPr>
        <w:t>）：</w:t>
      </w:r>
    </w:p>
    <w:p>
      <w:pPr>
        <w:spacing w:line="360" w:lineRule="auto"/>
        <w:ind w:left="4620" w:leftChars="2200"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color w:val="auto"/>
          <w:kern w:val="0"/>
          <w:sz w:val="24"/>
          <w:highlight w:val="none"/>
        </w:rPr>
      </w:pPr>
    </w:p>
    <w:p>
      <w:pPr>
        <w:spacing w:line="360" w:lineRule="auto"/>
        <w:jc w:val="center"/>
        <w:outlineLvl w:val="2"/>
        <w:rPr>
          <w:rFonts w:hint="eastAsia" w:ascii="宋体" w:hAnsi="宋体" w:eastAsia="宋体" w:cs="宋体"/>
          <w:b/>
          <w:color w:val="auto"/>
          <w:kern w:val="0"/>
          <w:sz w:val="32"/>
          <w:szCs w:val="32"/>
          <w:highlight w:val="none"/>
        </w:rPr>
      </w:pPr>
    </w:p>
    <w:p>
      <w:pPr>
        <w:spacing w:line="360" w:lineRule="auto"/>
        <w:jc w:val="center"/>
        <w:outlineLvl w:val="2"/>
        <w:rPr>
          <w:rFonts w:hint="eastAsia" w:ascii="宋体" w:hAnsi="宋体" w:eastAsia="宋体" w:cs="宋体"/>
          <w:b/>
          <w:color w:val="auto"/>
          <w:kern w:val="0"/>
          <w:sz w:val="32"/>
          <w:szCs w:val="32"/>
          <w:highlight w:val="none"/>
        </w:rPr>
      </w:pPr>
    </w:p>
    <w:p>
      <w:pPr>
        <w:spacing w:line="360" w:lineRule="auto"/>
        <w:jc w:val="center"/>
        <w:outlineLvl w:val="2"/>
        <w:rPr>
          <w:rFonts w:hint="eastAsia" w:ascii="宋体" w:hAnsi="宋体" w:eastAsia="宋体" w:cs="宋体"/>
          <w:b/>
          <w:color w:val="auto"/>
          <w:kern w:val="0"/>
          <w:sz w:val="32"/>
          <w:szCs w:val="32"/>
          <w:highlight w:val="none"/>
        </w:rPr>
      </w:pPr>
    </w:p>
    <w:p>
      <w:pPr>
        <w:spacing w:line="360" w:lineRule="auto"/>
        <w:jc w:val="center"/>
        <w:outlineLvl w:val="2"/>
        <w:rPr>
          <w:rFonts w:hint="eastAsia" w:ascii="宋体" w:hAnsi="宋体" w:eastAsia="宋体" w:cs="宋体"/>
          <w:b/>
          <w:color w:val="auto"/>
          <w:kern w:val="0"/>
          <w:sz w:val="32"/>
          <w:szCs w:val="32"/>
          <w:highlight w:val="none"/>
        </w:rPr>
      </w:pPr>
    </w:p>
    <w:p>
      <w:pPr>
        <w:spacing w:line="360" w:lineRule="auto"/>
        <w:jc w:val="center"/>
        <w:outlineLvl w:val="2"/>
        <w:rPr>
          <w:rFonts w:hint="eastAsia" w:ascii="宋体" w:hAnsi="宋体" w:eastAsia="宋体" w:cs="宋体"/>
          <w:b/>
          <w:color w:val="auto"/>
          <w:kern w:val="0"/>
          <w:sz w:val="32"/>
          <w:szCs w:val="32"/>
          <w:highlight w:val="none"/>
        </w:rPr>
      </w:pPr>
    </w:p>
    <w:p>
      <w:pPr>
        <w:spacing w:line="360" w:lineRule="auto"/>
        <w:jc w:val="center"/>
        <w:outlineLvl w:val="2"/>
        <w:rPr>
          <w:rFonts w:hint="eastAsia" w:ascii="宋体" w:hAnsi="宋体" w:eastAsia="宋体" w:cs="宋体"/>
          <w:b/>
          <w:color w:val="auto"/>
          <w:kern w:val="0"/>
          <w:sz w:val="32"/>
          <w:szCs w:val="32"/>
          <w:highlight w:val="none"/>
        </w:rPr>
      </w:pPr>
    </w:p>
    <w:p>
      <w:pPr>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报价文件部分</w:t>
      </w: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pPr>
        <w:spacing w:line="360" w:lineRule="auto"/>
        <w:jc w:val="center"/>
        <w:rPr>
          <w:rFonts w:hint="eastAsia" w:ascii="宋体" w:hAnsi="宋体" w:eastAsia="宋体" w:cs="宋体"/>
          <w:b/>
          <w:color w:val="auto"/>
          <w:kern w:val="0"/>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（1）开启一览表（报价表）………………………………………………………（页码）</w:t>
      </w: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24"/>
          <w:szCs w:val="24"/>
          <w:highlight w:val="none"/>
        </w:rPr>
        <w:sectPr>
          <w:headerReference r:id="rId17" w:type="first"/>
          <w:footerReference r:id="rId19" w:type="first"/>
          <w:headerReference r:id="rId16" w:type="default"/>
          <w:footerReference r:id="rId18" w:type="default"/>
          <w:pgSz w:w="11905" w:h="16838"/>
          <w:pgMar w:top="652" w:right="1417" w:bottom="680" w:left="1417" w:header="539" w:footer="482" w:gutter="0"/>
          <w:cols w:space="0" w:num="1"/>
          <w:titlePg/>
          <w:docGrid w:linePitch="312" w:charSpace="0"/>
        </w:sectPr>
      </w:pPr>
    </w:p>
    <w:p>
      <w:pPr>
        <w:pStyle w:val="691"/>
        <w:keepNext w:val="0"/>
        <w:pageBreakBefore w:val="0"/>
        <w:tabs>
          <w:tab w:val="clear" w:pos="720"/>
        </w:tabs>
        <w:snapToGrid w:val="0"/>
        <w:spacing w:before="120" w:after="120"/>
        <w:ind w:firstLine="643"/>
        <w:outlineLvl w:val="2"/>
        <w:rPr>
          <w:rFonts w:hint="eastAsia" w:ascii="宋体" w:hAnsi="宋体" w:eastAsia="宋体" w:cs="宋体"/>
          <w:color w:val="auto"/>
          <w:kern w:val="2"/>
          <w:sz w:val="28"/>
          <w:szCs w:val="28"/>
          <w:highlight w:val="none"/>
        </w:rPr>
      </w:pPr>
      <w:bookmarkStart w:id="429" w:name="_Toc15234"/>
      <w:bookmarkStart w:id="430" w:name="_Toc14192"/>
      <w:bookmarkStart w:id="431" w:name="_Toc8787"/>
      <w:bookmarkStart w:id="432" w:name="_Toc6534"/>
      <w:bookmarkStart w:id="433" w:name="_Toc7330"/>
      <w:r>
        <w:rPr>
          <w:rFonts w:hint="eastAsia" w:ascii="宋体" w:hAnsi="宋体" w:eastAsia="宋体" w:cs="宋体"/>
          <w:color w:val="auto"/>
          <w:kern w:val="2"/>
          <w:sz w:val="28"/>
          <w:szCs w:val="28"/>
          <w:highlight w:val="none"/>
        </w:rPr>
        <w:t>一、开启一览表（报价表）</w:t>
      </w:r>
      <w:bookmarkEnd w:id="429"/>
      <w:bookmarkEnd w:id="430"/>
      <w:bookmarkEnd w:id="431"/>
      <w:bookmarkEnd w:id="432"/>
      <w:bookmarkEnd w:id="433"/>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（征集人）、（采购代理机构）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按你方征集文件要求，我们，本响应文件签字方，谨此向你方发出要约如下：</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如你方接受本</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，我方承诺按照如下开启一览表（报价表）的价格完成</w:t>
      </w:r>
      <w:r>
        <w:rPr>
          <w:rFonts w:hint="eastAsia" w:ascii="宋体" w:hAnsi="宋体" w:cs="宋体"/>
          <w:color w:val="auto"/>
          <w:sz w:val="24"/>
          <w:highlight w:val="none"/>
          <w:u w:val="single"/>
          <w:lang w:eastAsia="zh-CN"/>
        </w:rPr>
        <w:t>建德市发展和改革局2025-2026年度节能审查委托咨询评估项目</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项目</w:t>
      </w:r>
      <w:r>
        <w:rPr>
          <w:rFonts w:hint="eastAsia" w:ascii="宋体" w:hAnsi="宋体" w:eastAsia="宋体" w:cs="宋体"/>
          <w:color w:val="auto"/>
          <w:kern w:val="0"/>
          <w:sz w:val="24"/>
          <w:highlight w:val="none"/>
          <w:lang w:val="zh-CN"/>
        </w:rPr>
        <w:t>编号：</w:t>
      </w:r>
      <w:r>
        <w:rPr>
          <w:rFonts w:hint="eastAsia" w:ascii="宋体" w:hAnsi="宋体" w:cs="宋体"/>
          <w:color w:val="auto"/>
          <w:sz w:val="24"/>
          <w:highlight w:val="none"/>
          <w:lang w:eastAsia="zh-CN"/>
        </w:rPr>
        <w:t>JD2025BF-011</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开标一览表（报价承诺表）</w:t>
      </w:r>
    </w:p>
    <w:tbl>
      <w:tblPr>
        <w:tblStyle w:val="62"/>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638"/>
        <w:gridCol w:w="1356"/>
        <w:gridCol w:w="1308"/>
        <w:gridCol w:w="148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87" w:type="dxa"/>
            <w:vAlign w:val="center"/>
          </w:tcPr>
          <w:p>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2638" w:type="dxa"/>
            <w:vAlign w:val="center"/>
          </w:tcPr>
          <w:p>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服务内容</w:t>
            </w:r>
          </w:p>
        </w:tc>
        <w:tc>
          <w:tcPr>
            <w:tcW w:w="1356" w:type="dxa"/>
            <w:vAlign w:val="center"/>
          </w:tcPr>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服务要求</w:t>
            </w:r>
          </w:p>
        </w:tc>
        <w:tc>
          <w:tcPr>
            <w:tcW w:w="1308" w:type="dxa"/>
            <w:vAlign w:val="center"/>
          </w:tcPr>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暂定项目数量（个）</w:t>
            </w:r>
          </w:p>
        </w:tc>
        <w:tc>
          <w:tcPr>
            <w:tcW w:w="1488" w:type="dxa"/>
            <w:vAlign w:val="center"/>
          </w:tcPr>
          <w:p>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响应单价（元/个）</w:t>
            </w:r>
          </w:p>
        </w:tc>
        <w:tc>
          <w:tcPr>
            <w:tcW w:w="1092" w:type="dxa"/>
            <w:vAlign w:val="center"/>
          </w:tcPr>
          <w:p>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87" w:type="dxa"/>
            <w:vAlign w:val="center"/>
          </w:tcPr>
          <w:p>
            <w:pPr>
              <w:widowControl/>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1</w:t>
            </w:r>
          </w:p>
        </w:tc>
        <w:tc>
          <w:tcPr>
            <w:tcW w:w="2638" w:type="dxa"/>
            <w:vAlign w:val="center"/>
          </w:tcPr>
          <w:p>
            <w:pPr>
              <w:widowControl/>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建德市发展和改革局2025-2026年度节能审查委托咨询评估项目</w:t>
            </w:r>
          </w:p>
        </w:tc>
        <w:tc>
          <w:tcPr>
            <w:tcW w:w="1356" w:type="dxa"/>
            <w:vAlign w:val="center"/>
          </w:tcPr>
          <w:p>
            <w:pPr>
              <w:widowControl/>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按征集文件要求</w:t>
            </w:r>
          </w:p>
        </w:tc>
        <w:tc>
          <w:tcPr>
            <w:tcW w:w="1308" w:type="dxa"/>
            <w:vAlign w:val="center"/>
          </w:tcPr>
          <w:p>
            <w:pPr>
              <w:widowControl/>
              <w:jc w:val="center"/>
              <w:textAlignment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53</w:t>
            </w:r>
          </w:p>
        </w:tc>
        <w:tc>
          <w:tcPr>
            <w:tcW w:w="1488" w:type="dxa"/>
            <w:vAlign w:val="center"/>
          </w:tcPr>
          <w:p>
            <w:pPr>
              <w:spacing w:line="360" w:lineRule="auto"/>
              <w:jc w:val="center"/>
              <w:rPr>
                <w:rFonts w:hint="eastAsia" w:asciiTheme="minorEastAsia" w:hAnsiTheme="minorEastAsia" w:eastAsiaTheme="minorEastAsia" w:cstheme="minorEastAsia"/>
                <w:sz w:val="24"/>
              </w:rPr>
            </w:pPr>
          </w:p>
        </w:tc>
        <w:tc>
          <w:tcPr>
            <w:tcW w:w="1092" w:type="dxa"/>
            <w:vAlign w:val="center"/>
          </w:tcPr>
          <w:p>
            <w:pPr>
              <w:spacing w:line="360" w:lineRule="auto"/>
              <w:jc w:val="center"/>
              <w:rPr>
                <w:rFonts w:hint="eastAsia" w:asciiTheme="minorEastAsia" w:hAnsiTheme="minorEastAsia" w:eastAsiaTheme="minorEastAsia" w:cstheme="minorEastAsia"/>
                <w:sz w:val="24"/>
              </w:rPr>
            </w:pPr>
          </w:p>
        </w:tc>
      </w:tr>
    </w:tbl>
    <w:p>
      <w:pPr>
        <w:snapToGrid w:val="0"/>
        <w:spacing w:line="360" w:lineRule="auto"/>
        <w:ind w:left="480"/>
        <w:rPr>
          <w:rFonts w:hint="eastAsia" w:ascii="宋体" w:hAnsi="宋体" w:eastAsia="宋体" w:cs="宋体"/>
          <w:b/>
          <w:color w:val="auto"/>
          <w:kern w:val="0"/>
          <w:sz w:val="24"/>
          <w:highlight w:val="none"/>
          <w:lang w:val="zh-CN"/>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供应商需按本表格式填写，格式、已列内容不得自行更改。若供应商根据以上列明的采购内容需对人员工资、交通、住宿、税金、保险、验收、审查服务及辅助工作及售后服务等费用进行分项明细报价的，请另行以附件形式提供，格式自拟。</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eastAsia="宋体" w:cs="宋体"/>
          <w:b/>
          <w:color w:val="auto"/>
          <w:kern w:val="0"/>
          <w:sz w:val="24"/>
          <w:highlight w:val="none"/>
          <w:lang w:val="zh-CN"/>
        </w:rPr>
        <w:t>征集人将以合同形式有偿取得货物或服务，不接受供应商给予的赠品、回扣或者与采购无关的其他商品、服务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响应文件含有征集人不能接受的附加条件的，响应无效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、特别提示：采购代理机构将对项目名称和项目编号，入围供应商名称、地址和入围金额，主要入围标的的名称、规格型号、数量、单价、服务要求等予以公示。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符合征集文件中列明的可享受中小企业扶持政策的供应商，请填写中小企业声明函。注：供应商提供的中小企业声明函内容不实的，属于提供虚假材料谋取入围、成交，依照《中华人民共和国政府采购法》等国家有关规定追究相应责任。</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p>
    <w:p>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24"/>
          <w:szCs w:val="24"/>
          <w:highlight w:val="none"/>
        </w:rPr>
        <w:sectPr>
          <w:footerReference r:id="rId21" w:type="first"/>
          <w:footerReference r:id="rId20" w:type="default"/>
          <w:pgSz w:w="11905" w:h="16838"/>
          <w:pgMar w:top="652" w:right="1417" w:bottom="680" w:left="1417" w:header="539" w:footer="482" w:gutter="0"/>
          <w:cols w:space="0" w:num="1"/>
          <w:titlePg/>
          <w:docGrid w:linePitch="312" w:charSpace="0"/>
        </w:sectPr>
      </w:pPr>
    </w:p>
    <w:p>
      <w:pPr>
        <w:spacing w:line="360" w:lineRule="auto"/>
        <w:outlineLvl w:val="1"/>
        <w:rPr>
          <w:rFonts w:hint="eastAsia" w:ascii="宋体" w:hAnsi="宋体" w:eastAsia="宋体" w:cs="宋体"/>
          <w:b/>
          <w:color w:val="auto"/>
          <w:spacing w:val="6"/>
          <w:sz w:val="28"/>
          <w:szCs w:val="28"/>
          <w:highlight w:val="none"/>
          <w:lang w:val="en-US" w:eastAsia="zh-CN"/>
        </w:rPr>
      </w:pPr>
      <w:bookmarkStart w:id="434" w:name="_Toc19435"/>
      <w:bookmarkStart w:id="435" w:name="_Toc23501"/>
      <w:bookmarkStart w:id="436" w:name="_Toc24540"/>
      <w:bookmarkStart w:id="437" w:name="_Toc14817"/>
      <w:r>
        <w:rPr>
          <w:rFonts w:hint="eastAsia" w:ascii="宋体" w:hAnsi="宋体" w:cs="宋体"/>
          <w:b/>
          <w:color w:val="auto"/>
          <w:spacing w:val="6"/>
          <w:sz w:val="28"/>
          <w:szCs w:val="28"/>
          <w:highlight w:val="none"/>
          <w:lang w:val="en-US" w:eastAsia="zh-CN"/>
        </w:rPr>
        <w:t>附件</w:t>
      </w:r>
    </w:p>
    <w:p>
      <w:pPr>
        <w:spacing w:line="360" w:lineRule="auto"/>
        <w:outlineLvl w:val="1"/>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附件1：</w:t>
      </w:r>
      <w:bookmarkEnd w:id="434"/>
      <w:bookmarkEnd w:id="435"/>
      <w:bookmarkEnd w:id="436"/>
      <w:bookmarkEnd w:id="437"/>
    </w:p>
    <w:p>
      <w:pPr>
        <w:spacing w:line="360" w:lineRule="auto"/>
        <w:jc w:val="center"/>
        <w:rPr>
          <w:rFonts w:hint="eastAsia" w:ascii="宋体" w:hAnsi="宋体" w:eastAsia="宋体" w:cs="宋体"/>
          <w:b/>
          <w:color w:val="auto"/>
          <w:spacing w:val="6"/>
          <w:sz w:val="24"/>
          <w:highlight w:val="none"/>
        </w:rPr>
      </w:pPr>
      <w:bookmarkStart w:id="438" w:name="OLE_LINK13"/>
      <w:bookmarkStart w:id="439" w:name="OLE_LINK14"/>
    </w:p>
    <w:p>
      <w:pPr>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w:t>
      </w:r>
      <w:bookmarkEnd w:id="438"/>
      <w:bookmarkEnd w:id="439"/>
    </w:p>
    <w:p>
      <w:pPr>
        <w:spacing w:line="360" w:lineRule="auto"/>
        <w:rPr>
          <w:rFonts w:hint="eastAsia" w:ascii="宋体" w:hAnsi="宋体" w:eastAsia="宋体" w:cs="宋体"/>
          <w:b/>
          <w:color w:val="auto"/>
          <w:spacing w:val="6"/>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spacing w:line="360" w:lineRule="auto"/>
        <w:jc w:val="left"/>
        <w:outlineLvl w:val="1"/>
        <w:rPr>
          <w:rFonts w:hint="eastAsia" w:ascii="宋体" w:hAnsi="宋体" w:eastAsia="宋体" w:cs="宋体"/>
          <w:b/>
          <w:color w:val="auto"/>
          <w:spacing w:val="6"/>
          <w:sz w:val="28"/>
          <w:szCs w:val="28"/>
          <w:highlight w:val="none"/>
        </w:rPr>
      </w:pPr>
      <w:bookmarkStart w:id="440" w:name="_Toc10890"/>
      <w:bookmarkStart w:id="441" w:name="_Toc25285"/>
      <w:bookmarkStart w:id="442" w:name="_Toc15164"/>
      <w:bookmarkStart w:id="443" w:name="_Toc19664"/>
      <w:r>
        <w:rPr>
          <w:rFonts w:hint="eastAsia" w:ascii="宋体" w:hAnsi="宋体" w:eastAsia="宋体" w:cs="宋体"/>
          <w:b/>
          <w:color w:val="auto"/>
          <w:spacing w:val="6"/>
          <w:sz w:val="28"/>
          <w:szCs w:val="28"/>
          <w:highlight w:val="none"/>
        </w:rPr>
        <w:t>附件2：质疑函范本及制作说明</w:t>
      </w:r>
      <w:bookmarkEnd w:id="440"/>
      <w:bookmarkEnd w:id="441"/>
      <w:bookmarkEnd w:id="442"/>
      <w:bookmarkEnd w:id="443"/>
    </w:p>
    <w:p>
      <w:pPr>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质疑函范本</w:t>
      </w:r>
    </w:p>
    <w:p>
      <w:pPr>
        <w:snapToGrid w:val="0"/>
        <w:spacing w:before="240" w:beforeLine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征集人名称：</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rPr>
          <w:rFonts w:hint="eastAsia" w:ascii="宋体" w:hAnsi="宋体" w:eastAsia="宋体" w:cs="宋体"/>
          <w:color w:val="auto"/>
          <w:sz w:val="24"/>
          <w:highlight w:val="none"/>
        </w:rPr>
      </w:pPr>
    </w:p>
    <w:p>
      <w:pPr>
        <w:snapToGrid w:val="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rPr>
          <w:rFonts w:hint="eastAsia" w:ascii="宋体" w:hAnsi="宋体" w:eastAsia="宋体" w:cs="宋体"/>
          <w:color w:val="auto"/>
          <w:sz w:val="24"/>
          <w:highlight w:val="none"/>
          <w:u w:val="dotted"/>
        </w:rPr>
      </w:pPr>
    </w:p>
    <w:p>
      <w:pPr>
        <w:snapToGrid w:val="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left"/>
        <w:outlineLvl w:val="1"/>
        <w:rPr>
          <w:rFonts w:hint="eastAsia" w:ascii="宋体" w:hAnsi="宋体" w:eastAsia="宋体" w:cs="宋体"/>
          <w:b/>
          <w:color w:val="auto"/>
          <w:spacing w:val="6"/>
          <w:sz w:val="24"/>
          <w:highlight w:val="none"/>
        </w:rPr>
      </w:pPr>
      <w:bookmarkStart w:id="444" w:name="_Toc24410"/>
      <w:bookmarkStart w:id="445" w:name="_Toc15183"/>
      <w:bookmarkStart w:id="446" w:name="_Toc23740"/>
      <w:bookmarkStart w:id="447" w:name="_Toc26395"/>
    </w:p>
    <w:p>
      <w:pPr>
        <w:spacing w:line="360" w:lineRule="auto"/>
        <w:jc w:val="left"/>
        <w:outlineLvl w:val="1"/>
        <w:rPr>
          <w:rFonts w:hint="eastAsia" w:ascii="宋体" w:hAnsi="宋体" w:eastAsia="宋体" w:cs="宋体"/>
          <w:b/>
          <w:color w:val="auto"/>
          <w:spacing w:val="6"/>
          <w:sz w:val="24"/>
          <w:highlight w:val="none"/>
        </w:rPr>
      </w:pPr>
    </w:p>
    <w:p>
      <w:pPr>
        <w:spacing w:line="360" w:lineRule="auto"/>
        <w:jc w:val="left"/>
        <w:outlineLvl w:val="1"/>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附件3：投诉书范本及制作说明</w:t>
      </w:r>
      <w:bookmarkEnd w:id="444"/>
      <w:bookmarkEnd w:id="445"/>
      <w:bookmarkEnd w:id="446"/>
      <w:bookmarkEnd w:id="447"/>
    </w:p>
    <w:p>
      <w:pPr>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投诉书范本</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tabs>
          <w:tab w:val="left" w:pos="651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w:t>
      </w:r>
    </w:p>
    <w:p>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征集人名称：</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向提出质疑，质疑事项为：</w:t>
      </w:r>
    </w:p>
    <w:p>
      <w:pPr>
        <w:rPr>
          <w:rFonts w:hint="eastAsia" w:ascii="宋体" w:hAnsi="宋体" w:eastAsia="宋体" w:cs="宋体"/>
          <w:color w:val="auto"/>
          <w:sz w:val="24"/>
          <w:highlight w:val="none"/>
          <w:u w:val="dotted"/>
        </w:rPr>
      </w:pPr>
    </w:p>
    <w:p>
      <w:pPr>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征集人/代理机构</w:t>
      </w:r>
      <w:r>
        <w:rPr>
          <w:rFonts w:hint="eastAsia" w:ascii="宋体" w:hAnsi="宋体" w:eastAsia="宋体" w:cs="宋体"/>
          <w:color w:val="auto"/>
          <w:sz w:val="24"/>
          <w:highlight w:val="none"/>
        </w:rPr>
        <w:t>于年月日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rPr>
          <w:rFonts w:hint="eastAsia" w:ascii="宋体" w:hAnsi="宋体" w:eastAsia="宋体" w:cs="宋体"/>
          <w:color w:val="auto"/>
          <w:sz w:val="24"/>
          <w:highlight w:val="none"/>
          <w:u w:val="dotted"/>
        </w:rPr>
      </w:pP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rPr>
          <w:rFonts w:hint="eastAsia" w:ascii="宋体" w:hAnsi="宋体" w:eastAsia="宋体" w:cs="宋体"/>
          <w:color w:val="auto"/>
          <w:sz w:val="24"/>
          <w:highlight w:val="none"/>
          <w:u w:val="dotted"/>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rPr>
          <w:rFonts w:hint="eastAsia" w:ascii="宋体" w:hAnsi="宋体" w:eastAsia="宋体" w:cs="宋体"/>
          <w:color w:val="auto"/>
          <w:sz w:val="24"/>
          <w:highlight w:val="none"/>
          <w:u w:val="singl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autoSpaceDE w:val="0"/>
        <w:autoSpaceDN w:val="0"/>
        <w:jc w:val="center"/>
        <w:outlineLvl w:val="1"/>
        <w:rPr>
          <w:rFonts w:hint="eastAsia" w:ascii="宋体" w:hAnsi="宋体" w:eastAsia="宋体" w:cs="宋体"/>
          <w:b/>
          <w:color w:val="auto"/>
          <w:spacing w:val="6"/>
          <w:sz w:val="28"/>
          <w:szCs w:val="28"/>
          <w:highlight w:val="none"/>
        </w:rPr>
      </w:pPr>
      <w:bookmarkStart w:id="448" w:name="_Toc6620"/>
      <w:bookmarkStart w:id="449" w:name="_Toc28414"/>
      <w:bookmarkStart w:id="450" w:name="_Toc14277"/>
      <w:bookmarkStart w:id="451" w:name="_Toc24113"/>
    </w:p>
    <w:p>
      <w:pPr>
        <w:autoSpaceDE w:val="0"/>
        <w:autoSpaceDN w:val="0"/>
        <w:jc w:val="center"/>
        <w:outlineLvl w:val="1"/>
        <w:rPr>
          <w:rFonts w:hint="eastAsia" w:ascii="宋体" w:hAnsi="宋体" w:eastAsia="宋体" w:cs="宋体"/>
          <w:b/>
          <w:bCs/>
          <w:color w:val="auto"/>
          <w:sz w:val="28"/>
          <w:szCs w:val="28"/>
          <w:highlight w:val="none"/>
        </w:rPr>
      </w:pPr>
      <w:r>
        <w:rPr>
          <w:rFonts w:hint="eastAsia" w:ascii="宋体" w:hAnsi="宋体" w:eastAsia="宋体" w:cs="宋体"/>
          <w:b/>
          <w:color w:val="auto"/>
          <w:spacing w:val="6"/>
          <w:sz w:val="28"/>
          <w:szCs w:val="28"/>
          <w:highlight w:val="none"/>
        </w:rPr>
        <w:t>附件4：</w:t>
      </w:r>
      <w:r>
        <w:rPr>
          <w:rFonts w:hint="eastAsia" w:ascii="宋体" w:hAnsi="宋体" w:eastAsia="宋体" w:cs="宋体"/>
          <w:b/>
          <w:bCs/>
          <w:color w:val="auto"/>
          <w:sz w:val="28"/>
          <w:szCs w:val="28"/>
          <w:highlight w:val="none"/>
        </w:rPr>
        <w:t>业务专用章使用说明函</w:t>
      </w:r>
      <w:bookmarkEnd w:id="448"/>
      <w:bookmarkEnd w:id="449"/>
      <w:bookmarkEnd w:id="450"/>
      <w:bookmarkEnd w:id="451"/>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（征集人）、（采购代理机构）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cs="宋体"/>
          <w:color w:val="auto"/>
          <w:kern w:val="0"/>
          <w:sz w:val="24"/>
          <w:highlight w:val="none"/>
          <w:lang w:val="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 】响应</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no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ed="f" stroked="t" coordsize="21600,21600" o:gfxdata="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qtgCtcAAAAKAQAADwAAAAAAAAABACAAAAAiAAAAZHJzL2Rvd25yZXYueG1sUEsBAhQAFAAA&#10;AAgAh07iQIQ/gPIpAgAAWQQAAA4AAAAAAAAAAQAgAAAAJgEAAGRycy9lMm9Eb2MueG1sUEsFBgAA&#10;AAAGAAYAWQEAAMEFAAAAAA==&#10;">
                <v:fill on="f"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-90805</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no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4144;mso-width-relative:page;mso-height-relative:page;" filled="f" stroked="t" coordsize="21600,21600" o:gfxdata="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2fnU7YAAAACgEAAA8AAAAAAAAAAQAgAAAAIgAAAGRycy9kb3ducmV2LnhtbFBLAQIUABQA&#10;AAAIAIdO4kCveOj+KQIAAFkEAAAOAAAAAAAAAAEAIAAAACcBAABkcnMvZTJvRG9jLnhtbFBLBQYA&#10;AAAABgAGAFkBAADCBQAAAAA=&#10;">
                <v:fill on="f"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供应商法定名称章（印模）供应商“XX专用章”（印模）</w:t>
      </w: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autoSpaceDE w:val="0"/>
        <w:autoSpaceDN w:val="0"/>
        <w:outlineLvl w:val="1"/>
        <w:rPr>
          <w:rFonts w:hint="eastAsia" w:ascii="宋体" w:hAnsi="宋体" w:eastAsia="宋体" w:cs="宋体"/>
          <w:b/>
          <w:bCs/>
          <w:color w:val="auto"/>
          <w:sz w:val="28"/>
          <w:szCs w:val="28"/>
          <w:highlight w:val="none"/>
        </w:rPr>
      </w:pPr>
      <w:bookmarkStart w:id="452" w:name="_Toc18629"/>
      <w:bookmarkStart w:id="453" w:name="_Toc13051"/>
      <w:bookmarkStart w:id="454" w:name="_Toc23962"/>
      <w:bookmarkStart w:id="455" w:name="_Toc29318"/>
      <w:r>
        <w:rPr>
          <w:rFonts w:hint="eastAsia" w:ascii="宋体" w:hAnsi="宋体" w:eastAsia="宋体" w:cs="宋体"/>
          <w:b/>
          <w:color w:val="auto"/>
          <w:spacing w:val="6"/>
          <w:sz w:val="28"/>
          <w:szCs w:val="28"/>
          <w:highlight w:val="none"/>
        </w:rPr>
        <w:t>附件5：</w:t>
      </w:r>
      <w:r>
        <w:rPr>
          <w:rFonts w:hint="eastAsia" w:ascii="宋体" w:hAnsi="宋体" w:eastAsia="宋体" w:cs="宋体"/>
          <w:b/>
          <w:color w:val="auto"/>
          <w:sz w:val="28"/>
          <w:szCs w:val="28"/>
          <w:highlight w:val="none"/>
        </w:rPr>
        <w:t>中小企业声明函</w:t>
      </w:r>
      <w:bookmarkEnd w:id="452"/>
      <w:bookmarkEnd w:id="453"/>
      <w:bookmarkEnd w:id="454"/>
      <w:bookmarkEnd w:id="455"/>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中小企业声明函（服务）</w:t>
      </w:r>
    </w:p>
    <w:p>
      <w:pPr>
        <w:spacing w:line="360" w:lineRule="auto"/>
        <w:rPr>
          <w:rFonts w:hint="eastAsia" w:ascii="宋体" w:hAnsi="宋体" w:eastAsia="宋体" w:cs="宋体"/>
          <w:color w:val="auto"/>
          <w:sz w:val="24"/>
          <w:highlight w:val="none"/>
        </w:rPr>
      </w:pPr>
    </w:p>
    <w:p>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w:t>
      </w:r>
      <w:r>
        <w:rPr>
          <w:rFonts w:hint="eastAsia" w:ascii="宋体" w:hAnsi="宋体" w:eastAsia="宋体" w:cs="宋体"/>
          <w:color w:val="auto"/>
          <w:sz w:val="24"/>
          <w:highlight w:val="none"/>
          <w:u w:val="single"/>
        </w:rPr>
        <w:t>（单位名称。联合体参加的，联合体牵头人和成员名称）</w:t>
      </w:r>
      <w:r>
        <w:rPr>
          <w:rFonts w:hint="eastAsia" w:ascii="宋体" w:hAnsi="宋体" w:eastAsia="宋体" w:cs="宋体"/>
          <w:color w:val="auto"/>
          <w:sz w:val="24"/>
          <w:highlight w:val="none"/>
        </w:rPr>
        <w:t>参加</w:t>
      </w:r>
      <w:r>
        <w:rPr>
          <w:rFonts w:hint="eastAsia" w:ascii="宋体" w:hAnsi="宋体" w:eastAsia="宋体" w:cs="宋体"/>
          <w:color w:val="auto"/>
          <w:sz w:val="24"/>
          <w:highlight w:val="none"/>
          <w:u w:val="single"/>
        </w:rPr>
        <w:t>（征集人单位名称）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ind w:firstLine="354" w:firstLineChars="14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right="420"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2.标的所属行业中小企业划分标准：</w:t>
      </w:r>
      <w:r>
        <w:rPr>
          <w:rFonts w:hint="eastAsia" w:ascii="宋体" w:hAnsi="宋体" w:cs="宋体"/>
          <w:b/>
          <w:bCs/>
          <w:color w:val="auto"/>
          <w:sz w:val="24"/>
          <w:highlight w:val="none"/>
          <w:u w:val="single"/>
          <w:lang w:val="en-US" w:eastAsia="zh-CN"/>
        </w:rPr>
        <w:t>其他未列明行业</w:t>
      </w:r>
      <w:r>
        <w:rPr>
          <w:rFonts w:hint="eastAsia" w:ascii="宋体" w:hAnsi="宋体" w:eastAsia="宋体" w:cs="宋体"/>
          <w:color w:val="auto"/>
          <w:sz w:val="24"/>
          <w:highlight w:val="none"/>
          <w:u w:val="single"/>
        </w:rPr>
        <w:t>。</w:t>
      </w:r>
    </w:p>
    <w:p>
      <w:pPr>
        <w:pStyle w:val="61"/>
        <w:ind w:firstLine="480"/>
        <w:rPr>
          <w:rFonts w:hint="eastAsia" w:ascii="宋体" w:hAnsi="宋体" w:eastAsia="宋体" w:cs="宋体"/>
          <w:color w:val="auto"/>
          <w:sz w:val="24"/>
          <w:highlight w:val="none"/>
        </w:rPr>
      </w:pPr>
    </w:p>
    <w:p>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snapToGrid w:val="0"/>
        <w:spacing w:before="50" w:after="50" w:line="360" w:lineRule="auto"/>
        <w:outlineLvl w:val="1"/>
        <w:rPr>
          <w:rFonts w:hint="eastAsia" w:ascii="宋体" w:hAnsi="宋体" w:eastAsia="宋体" w:cs="宋体"/>
          <w:b/>
          <w:color w:val="auto"/>
          <w:kern w:val="0"/>
          <w:sz w:val="24"/>
          <w:highlight w:val="none"/>
        </w:rPr>
      </w:pPr>
      <w:bookmarkStart w:id="456" w:name="_Toc8013"/>
      <w:bookmarkStart w:id="457" w:name="_Toc16741"/>
      <w:bookmarkStart w:id="458" w:name="_Toc15498"/>
      <w:bookmarkStart w:id="459" w:name="_Toc6576"/>
      <w:r>
        <w:rPr>
          <w:rFonts w:hint="eastAsia" w:ascii="宋体" w:hAnsi="宋体" w:eastAsia="宋体" w:cs="宋体"/>
          <w:b/>
          <w:color w:val="auto"/>
          <w:kern w:val="0"/>
          <w:sz w:val="24"/>
          <w:highlight w:val="none"/>
        </w:rPr>
        <w:t>附件6</w:t>
      </w:r>
      <w:bookmarkEnd w:id="456"/>
      <w:bookmarkEnd w:id="457"/>
      <w:bookmarkEnd w:id="458"/>
      <w:r>
        <w:rPr>
          <w:rFonts w:hint="eastAsia" w:ascii="宋体" w:hAnsi="宋体" w:eastAsia="宋体" w:cs="宋体"/>
          <w:b/>
          <w:color w:val="auto"/>
          <w:kern w:val="0"/>
          <w:sz w:val="24"/>
          <w:highlight w:val="none"/>
        </w:rPr>
        <w:t>：联合体协议</w:t>
      </w:r>
      <w:bookmarkEnd w:id="459"/>
    </w:p>
    <w:p>
      <w:pPr>
        <w:snapToGrid w:val="0"/>
        <w:spacing w:before="50" w:after="50"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联合</w:t>
      </w:r>
      <w:r>
        <w:rPr>
          <w:rFonts w:hint="eastAsia" w:ascii="宋体" w:hAnsi="宋体" w:eastAsia="宋体" w:cs="宋体"/>
          <w:b/>
          <w:color w:val="auto"/>
          <w:kern w:val="0"/>
          <w:sz w:val="24"/>
          <w:highlight w:val="none"/>
        </w:rPr>
        <w:t>体</w:t>
      </w:r>
      <w:r>
        <w:rPr>
          <w:rFonts w:hint="eastAsia" w:ascii="宋体" w:hAnsi="宋体" w:eastAsia="宋体" w:cs="宋体"/>
          <w:b/>
          <w:color w:val="auto"/>
          <w:kern w:val="0"/>
          <w:sz w:val="24"/>
          <w:highlight w:val="none"/>
          <w:lang w:val="zh-CN"/>
        </w:rPr>
        <w:t>协议</w:t>
      </w:r>
    </w:p>
    <w:p>
      <w:pPr>
        <w:snapToGrid w:val="0"/>
        <w:spacing w:line="360" w:lineRule="auto"/>
        <w:ind w:firstLine="576"/>
        <w:jc w:val="center"/>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（联合体参加的提供）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（联合体牵头人和成员名称）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（项目名称）【项目编号：】响应</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授权代表根据征集文件规定及</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内容而对征集人、采购代理机构所作的任何合法承诺，包括书面澄清及相应等均对联合</w:t>
      </w:r>
      <w:r>
        <w:rPr>
          <w:rFonts w:hint="eastAsia" w:ascii="宋体" w:hAnsi="宋体" w:eastAsia="宋体" w:cs="宋体"/>
          <w:color w:val="auto"/>
          <w:kern w:val="0"/>
          <w:sz w:val="24"/>
          <w:highlight w:val="none"/>
        </w:rPr>
        <w:t>体</w:t>
      </w:r>
      <w:r>
        <w:rPr>
          <w:rFonts w:hint="eastAsia" w:ascii="宋体" w:hAnsi="宋体" w:eastAsia="宋体" w:cs="宋体"/>
          <w:color w:val="auto"/>
          <w:kern w:val="0"/>
          <w:sz w:val="24"/>
          <w:highlight w:val="none"/>
          <w:lang w:val="zh-CN"/>
        </w:rPr>
        <w:t>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必填项</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五、如果入围，</w:t>
      </w:r>
      <w:r>
        <w:rPr>
          <w:rFonts w:hint="eastAsia" w:ascii="宋体" w:hAnsi="宋体" w:eastAsia="宋体" w:cs="宋体"/>
          <w:color w:val="auto"/>
          <w:sz w:val="24"/>
          <w:highlight w:val="none"/>
        </w:rPr>
        <w:t>联合体各成员方共同与征集人签订合同，并就采购合同约定的事项对征集人承担连带责任。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3、本协议提交征集人、采购代理机构后，联合体各方不得以任何形式对上述内容进行修改或撤销。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760" w:firstLineChars="2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napToGrid w:val="0"/>
        <w:spacing w:line="360" w:lineRule="auto"/>
        <w:outlineLvl w:val="1"/>
        <w:rPr>
          <w:rFonts w:hint="eastAsia" w:ascii="宋体" w:hAnsi="宋体" w:eastAsia="宋体" w:cs="宋体"/>
          <w:b/>
          <w:color w:val="auto"/>
          <w:kern w:val="0"/>
          <w:sz w:val="24"/>
          <w:highlight w:val="none"/>
        </w:rPr>
      </w:pPr>
      <w:bookmarkStart w:id="460" w:name="_Toc30868"/>
      <w:bookmarkStart w:id="461" w:name="_Toc3992"/>
      <w:bookmarkStart w:id="462" w:name="_Toc32513"/>
      <w:bookmarkStart w:id="463" w:name="_Toc25388"/>
      <w:r>
        <w:rPr>
          <w:rFonts w:hint="eastAsia" w:ascii="宋体" w:hAnsi="宋体" w:eastAsia="宋体" w:cs="宋体"/>
          <w:b/>
          <w:color w:val="auto"/>
          <w:kern w:val="0"/>
          <w:sz w:val="24"/>
          <w:highlight w:val="none"/>
        </w:rPr>
        <w:t>附件7</w:t>
      </w:r>
      <w:bookmarkEnd w:id="460"/>
      <w:bookmarkEnd w:id="461"/>
      <w:bookmarkEnd w:id="462"/>
      <w:r>
        <w:rPr>
          <w:rFonts w:hint="eastAsia" w:ascii="宋体" w:hAnsi="宋体" w:eastAsia="宋体" w:cs="宋体"/>
          <w:b/>
          <w:color w:val="auto"/>
          <w:kern w:val="0"/>
          <w:sz w:val="24"/>
          <w:highlight w:val="none"/>
        </w:rPr>
        <w:t>：分包意向协议</w:t>
      </w:r>
      <w:bookmarkEnd w:id="463"/>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bookmarkStart w:id="464" w:name="_Hlk97981007"/>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以分包方式履行合同的，提供分包意向协议；征集人不同意分包或者供应商不以分包方式履行合同的，则不需要提供。</w:t>
      </w:r>
      <w:r>
        <w:rPr>
          <w:rFonts w:hint="eastAsia" w:ascii="宋体" w:hAnsi="宋体" w:eastAsia="宋体" w:cs="宋体"/>
          <w:color w:val="auto"/>
          <w:sz w:val="24"/>
          <w:highlight w:val="none"/>
        </w:rPr>
        <w:t>）</w:t>
      </w:r>
      <w:bookmarkEnd w:id="464"/>
    </w:p>
    <w:p>
      <w:pPr>
        <w:snapToGrid w:val="0"/>
        <w:spacing w:line="360" w:lineRule="auto"/>
        <w:ind w:firstLine="576"/>
        <w:rPr>
          <w:rFonts w:hint="eastAsia" w:ascii="宋体" w:hAnsi="宋体" w:eastAsia="宋体" w:cs="宋体"/>
          <w:color w:val="auto"/>
          <w:kern w:val="0"/>
          <w:sz w:val="24"/>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w:t>
      </w:r>
      <w:r>
        <w:rPr>
          <w:rFonts w:hint="eastAsia" w:ascii="宋体" w:hAnsi="宋体" w:eastAsia="宋体" w:cs="宋体"/>
          <w:color w:val="auto"/>
          <w:kern w:val="0"/>
          <w:sz w:val="24"/>
          <w:highlight w:val="none"/>
          <w:lang w:val="zh-CN"/>
        </w:rPr>
        <w:t>的入围供应商，将依法采取分包方式履行合同。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tabs>
          <w:tab w:val="left" w:pos="432"/>
        </w:tabs>
        <w:ind w:left="664" w:leftChars="316" w:firstLine="228" w:firstLineChars="9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sz w:val="24"/>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 xml:space="preserve">  。（必填项）</w:t>
      </w:r>
    </w:p>
    <w:p>
      <w:pPr>
        <w:snapToGrid w:val="0"/>
        <w:spacing w:line="360" w:lineRule="auto"/>
        <w:ind w:left="5749" w:leftChars="2052" w:hanging="1440" w:hangingChars="600"/>
        <w:jc w:val="left"/>
        <w:rPr>
          <w:rFonts w:hint="eastAsia" w:ascii="宋体" w:hAnsi="宋体" w:eastAsia="宋体" w:cs="宋体"/>
          <w:color w:val="auto"/>
          <w:kern w:val="0"/>
          <w:sz w:val="24"/>
          <w:highlight w:val="none"/>
          <w:lang w:val="zh-CN"/>
        </w:rPr>
      </w:pPr>
    </w:p>
    <w:p>
      <w:pPr>
        <w:snapToGrid w:val="0"/>
        <w:spacing w:line="360" w:lineRule="auto"/>
        <w:ind w:left="5749" w:leftChars="2052" w:hanging="1440" w:hangingChars="6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rPr>
        <w:t>电子签名</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pPr>
        <w:tabs>
          <w:tab w:val="left" w:pos="8085"/>
        </w:tabs>
        <w:spacing w:line="360" w:lineRule="auto"/>
        <w:jc w:val="center"/>
        <w:outlineLvl w:val="0"/>
        <w:rPr>
          <w:rFonts w:hint="eastAsia" w:ascii="宋体" w:hAnsi="宋体" w:eastAsia="宋体" w:cs="宋体"/>
          <w:b/>
          <w:color w:val="auto"/>
          <w:sz w:val="32"/>
          <w:szCs w:val="32"/>
          <w:highlight w:val="none"/>
          <w:lang w:eastAsia="zh-CN"/>
        </w:rPr>
      </w:pPr>
      <w:bookmarkStart w:id="465" w:name="_Toc8007"/>
      <w:bookmarkStart w:id="466" w:name="_Toc14402"/>
      <w:bookmarkStart w:id="467" w:name="_Toc31206"/>
      <w:bookmarkStart w:id="468" w:name="_Toc21329"/>
      <w:bookmarkStart w:id="469" w:name="_Toc29579"/>
      <w:r>
        <w:rPr>
          <w:rFonts w:hint="eastAsia" w:ascii="宋体" w:hAnsi="宋体" w:eastAsia="宋体" w:cs="宋体"/>
          <w:b/>
          <w:color w:val="auto"/>
          <w:sz w:val="32"/>
          <w:szCs w:val="32"/>
          <w:highlight w:val="none"/>
        </w:rPr>
        <w:t>政府采购支持中小企业信用融资相关事项通知</w:t>
      </w:r>
      <w:bookmarkEnd w:id="465"/>
      <w:bookmarkEnd w:id="466"/>
      <w:bookmarkEnd w:id="467"/>
      <w:bookmarkEnd w:id="468"/>
      <w:bookmarkEnd w:id="469"/>
    </w:p>
    <w:p>
      <w:pPr>
        <w:spacing w:line="360" w:lineRule="auto"/>
        <w:ind w:firstLine="480" w:firstLineChars="200"/>
        <w:rPr>
          <w:rFonts w:hint="eastAsia" w:ascii="宋体" w:hAnsi="宋体" w:eastAsia="宋体" w:cs="宋体"/>
          <w:color w:val="auto"/>
          <w:kern w:val="0"/>
          <w:sz w:val="24"/>
          <w:szCs w:val="24"/>
          <w:highlight w:val="none"/>
          <w:lang w:val="zh-CN"/>
        </w:rPr>
      </w:pPr>
    </w:p>
    <w:p>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zh-CN"/>
        </w:rPr>
        <w:t>国家金融监督管理总局</w:t>
      </w:r>
      <w:r>
        <w:rPr>
          <w:rFonts w:hint="eastAsia" w:ascii="宋体" w:hAnsi="宋体" w:eastAsia="宋体" w:cs="宋体"/>
          <w:color w:val="auto"/>
          <w:kern w:val="0"/>
          <w:sz w:val="24"/>
          <w:szCs w:val="24"/>
          <w:highlight w:val="none"/>
          <w:lang w:val="zh-CN"/>
        </w:rPr>
        <w:t>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一、适用对象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二、相关信息获取方式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财政局在杭州市政府采购网上建设信用融资模块，并与“浙里办”浙江政务服务平台对接，推进政府采购入围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三、政府采购信用融资操作流程：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（一）线上融资模式：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2.供应商入围后，可通过杭州市政府采购网或“浙里办”测算授信额度；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4.审批通过后，在线办理放贷手续。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（二）线下融资模式：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4.审批通过后，合作银行应按照合作备忘录中约定的审批放款期限和优惠利率及时予以放款。</w:t>
      </w:r>
    </w:p>
    <w:p>
      <w:pPr>
        <w:numPr>
          <w:ilvl w:val="255"/>
          <w:numId w:val="0"/>
        </w:numPr>
        <w:tabs>
          <w:tab w:val="left" w:pos="43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（三）杭州e融平台申请融资</w:t>
      </w:r>
    </w:p>
    <w:p>
      <w:pPr>
        <w:numPr>
          <w:ilvl w:val="255"/>
          <w:numId w:val="0"/>
        </w:numPr>
        <w:tabs>
          <w:tab w:val="left" w:pos="43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四、注意事项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rPr>
          <w:rFonts w:hint="eastAsia" w:ascii="宋体" w:hAnsi="宋体" w:eastAsia="宋体" w:cs="宋体"/>
          <w:color w:val="auto"/>
          <w:sz w:val="24"/>
          <w:highlight w:val="none"/>
        </w:rPr>
      </w:pPr>
    </w:p>
    <w:sectPr>
      <w:footerReference r:id="rId24" w:type="first"/>
      <w:headerReference r:id="rId22" w:type="default"/>
      <w:footerReference r:id="rId23" w:type="default"/>
      <w:pgSz w:w="11905" w:h="16838"/>
      <w:pgMar w:top="652" w:right="1417" w:bottom="680" w:left="1417" w:header="539" w:footer="48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AA1CC9C-8DE6-4EBA-B888-BC851E03C4DB}"/>
  </w:font>
  <w:font w:name="Arial">
    <w:panose1 w:val="020B0604020202020204"/>
    <w:charset w:val="01"/>
    <w:family w:val="swiss"/>
    <w:pitch w:val="default"/>
    <w:sig w:usb0="E0002AFF" w:usb1="C0007843" w:usb2="00000009" w:usb3="00000000" w:csb0="400001FF" w:csb1="FFFF0000"/>
    <w:embedRegular r:id="rId2" w:fontKey="{FEB0D2E7-835F-485E-8649-B39052EBA830}"/>
  </w:font>
  <w:font w:name="黑体">
    <w:panose1 w:val="02010609060101010101"/>
    <w:charset w:val="86"/>
    <w:family w:val="auto"/>
    <w:pitch w:val="default"/>
    <w:sig w:usb0="800002BF" w:usb1="38CF7CFA" w:usb2="00000016" w:usb3="00000000" w:csb0="00040001" w:csb1="00000000"/>
    <w:embedRegular r:id="rId3" w:fontKey="{78DD57C5-87C7-4118-9E23-63FF1168B4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29059E6-17E2-4D28-A155-70DDC43098C0}"/>
  </w:font>
  <w:font w:name="仿宋">
    <w:panose1 w:val="02010609060101010101"/>
    <w:charset w:val="86"/>
    <w:family w:val="modern"/>
    <w:pitch w:val="default"/>
    <w:sig w:usb0="800002BF" w:usb1="38CF7CFA" w:usb2="00000016" w:usb3="00000000" w:csb0="00040001" w:csb1="00000000"/>
    <w:embedRegular r:id="rId5" w:fontKey="{AE7E043B-5F67-497C-B4BA-B6BF7C38E0F9}"/>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Arial Black">
    <w:panose1 w:val="020B0A04020102020204"/>
    <w:charset w:val="00"/>
    <w:family w:val="auto"/>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embedRegular r:id="rId6" w:fontKey="{F7E1F349-2B5E-4C86-9D13-5B1F04C4A9C7}"/>
  </w:font>
  <w:font w:name="Arial Unicode MS">
    <w:panose1 w:val="020B0604020202020204"/>
    <w:charset w:val="86"/>
    <w:family w:val="auto"/>
    <w:pitch w:val="default"/>
    <w:sig w:usb0="FFFFFFFF" w:usb1="E9FFFFFF" w:usb2="0000003F" w:usb3="00000000" w:csb0="603F01FF" w:csb1="FFFF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第</w:t>
                          </w:r>
                          <w:r>
                            <w:fldChar w:fldCharType="begin"/>
                          </w:r>
                          <w:r>
                            <w:instrText xml:space="preserve"> PAGE  \* MERGEFORMAT </w:instrText>
                          </w:r>
                          <w:r>
                            <w:fldChar w:fldCharType="separate"/>
                          </w:r>
                          <w:r>
                            <w:t>56</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m/Zs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Hm/ZszAgAAZQQAAA4AAAAAAAAAAQAgAAAAHwEAAGRycy9lMm9Eb2MueG1sUEsF&#10;BgAAAAAGAAYAWQEAAMQFAAAAAA==&#10;">
              <v:fill on="f" focussize="0,0"/>
              <v:stroke on="f" weight="0.5pt"/>
              <v:imagedata o:title=""/>
              <o:lock v:ext="edit" aspectratio="f"/>
              <v:textbox inset="0mm,0mm,0mm,0mm" style="mso-fit-shape-to-text:t;">
                <w:txbxContent>
                  <w:p>
                    <w:pPr>
                      <w:pStyle w:val="41"/>
                    </w:pPr>
                    <w:r>
                      <w:t>第</w:t>
                    </w:r>
                    <w:r>
                      <w:fldChar w:fldCharType="begin"/>
                    </w:r>
                    <w:r>
                      <w:instrText xml:space="preserve"> PAGE  \* MERGEFORMAT </w:instrText>
                    </w:r>
                    <w:r>
                      <w:fldChar w:fldCharType="separate"/>
                    </w:r>
                    <w:r>
                      <w:t>56</w:t>
                    </w:r>
                    <w:r>
                      <w:fldChar w:fldCharType="end"/>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第</w:t>
                          </w:r>
                          <w:r>
                            <w:fldChar w:fldCharType="begin"/>
                          </w:r>
                          <w:r>
                            <w:instrText xml:space="preserve"> PAGE  \* MERGEFORMAT </w:instrText>
                          </w:r>
                          <w:r>
                            <w:fldChar w:fldCharType="separate"/>
                          </w:r>
                          <w:r>
                            <w:t>54</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Pv4E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sPv4EzAgAAZQQAAA4AAAAAAAAAAQAgAAAAHwEAAGRycy9lMm9Eb2MueG1sUEsF&#10;BgAAAAAGAAYAWQEAAMQFAAAAAA==&#10;">
              <v:fill on="f" focussize="0,0"/>
              <v:stroke on="f" weight="0.5pt"/>
              <v:imagedata o:title=""/>
              <o:lock v:ext="edit" aspectratio="f"/>
              <v:textbox inset="0mm,0mm,0mm,0mm" style="mso-fit-shape-to-text:t;">
                <w:txbxContent>
                  <w:p>
                    <w:pPr>
                      <w:pStyle w:val="41"/>
                    </w:pPr>
                    <w:r>
                      <w:t>第</w:t>
                    </w:r>
                    <w:r>
                      <w:fldChar w:fldCharType="begin"/>
                    </w:r>
                    <w:r>
                      <w:instrText xml:space="preserve"> PAGE  \* MERGEFORMAT </w:instrText>
                    </w:r>
                    <w:r>
                      <w:fldChar w:fldCharType="separate"/>
                    </w:r>
                    <w:r>
                      <w:t>54</w:t>
                    </w:r>
                    <w:r>
                      <w:fldChar w:fldCharType="end"/>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第</w:t>
                          </w:r>
                          <w:r>
                            <w:fldChar w:fldCharType="begin"/>
                          </w:r>
                          <w:r>
                            <w:instrText xml:space="preserve"> PAGE  \* MERGEFORMAT </w:instrText>
                          </w:r>
                          <w:r>
                            <w:fldChar w:fldCharType="separate"/>
                          </w:r>
                          <w:r>
                            <w:t>57</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Sc8YzAgAAZ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2Sc8YzAgAAZQQAAA4AAAAAAAAAAQAgAAAAHwEAAGRycy9lMm9Eb2MueG1sUEsF&#10;BgAAAAAGAAYAWQEAAMQFAAAAAA==&#10;">
              <v:fill on="f" focussize="0,0"/>
              <v:stroke on="f" weight="0.5pt"/>
              <v:imagedata o:title=""/>
              <o:lock v:ext="edit" aspectratio="f"/>
              <v:textbox inset="0mm,0mm,0mm,0mm" style="mso-fit-shape-to-text:t;">
                <w:txbxContent>
                  <w:p>
                    <w:pPr>
                      <w:pStyle w:val="41"/>
                    </w:pPr>
                    <w:r>
                      <w:t>第</w:t>
                    </w:r>
                    <w:r>
                      <w:fldChar w:fldCharType="begin"/>
                    </w:r>
                    <w:r>
                      <w:instrText xml:space="preserve"> PAGE  \* MERGEFORMAT </w:instrText>
                    </w:r>
                    <w:r>
                      <w:fldChar w:fldCharType="separate"/>
                    </w:r>
                    <w:r>
                      <w:t>57</w:t>
                    </w:r>
                    <w:r>
                      <w:fldChar w:fldCharType="end"/>
                    </w:r>
                    <w: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第</w:t>
                          </w:r>
                          <w:r>
                            <w:fldChar w:fldCharType="begin"/>
                          </w:r>
                          <w:r>
                            <w:instrText xml:space="preserve"> PAGE  \* MERGEFORMAT </w:instrText>
                          </w:r>
                          <w:r>
                            <w:fldChar w:fldCharType="separate"/>
                          </w:r>
                          <w:r>
                            <w:t>70</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tOg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OotOgzAgAAZQQAAA4AAAAAAAAAAQAgAAAAHwEAAGRycy9lMm9Eb2MueG1sUEsF&#10;BgAAAAAGAAYAWQEAAMQFAAAAAA==&#10;">
              <v:fill on="f" focussize="0,0"/>
              <v:stroke on="f" weight="0.5pt"/>
              <v:imagedata o:title=""/>
              <o:lock v:ext="edit" aspectratio="f"/>
              <v:textbox inset="0mm,0mm,0mm,0mm" style="mso-fit-shape-to-text:t;">
                <w:txbxContent>
                  <w:p>
                    <w:pPr>
                      <w:pStyle w:val="41"/>
                    </w:pPr>
                    <w:r>
                      <w:t>第</w:t>
                    </w:r>
                    <w:r>
                      <w:fldChar w:fldCharType="begin"/>
                    </w:r>
                    <w:r>
                      <w:instrText xml:space="preserve"> PAGE  \* MERGEFORMAT </w:instrText>
                    </w:r>
                    <w:r>
                      <w:fldChar w:fldCharType="separate"/>
                    </w:r>
                    <w:r>
                      <w:t>70</w:t>
                    </w:r>
                    <w:r>
                      <w:fldChar w:fldCharType="end"/>
                    </w:r>
                    <w:r>
                      <w:t>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第</w:t>
                          </w:r>
                          <w:r>
                            <w:fldChar w:fldCharType="begin"/>
                          </w:r>
                          <w:r>
                            <w:instrText xml:space="preserve"> PAGE  \* MERGEFORMAT </w:instrText>
                          </w:r>
                          <w:r>
                            <w:fldChar w:fldCharType="separate"/>
                          </w:r>
                          <w:r>
                            <w:t>66</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7b30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xBmz7Kw&#10;0feWR+goj7fLfYCcSeUoSq8EuhMPmL7Up/OmxPH+85yiHv8d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V7b30zAgAAZQQAAA4AAAAAAAAAAQAgAAAAHwEAAGRycy9lMm9Eb2MueG1sUEsF&#10;BgAAAAAGAAYAWQEAAMQFAAAAAA==&#10;">
              <v:fill on="f" focussize="0,0"/>
              <v:stroke on="f" weight="0.5pt"/>
              <v:imagedata o:title=""/>
              <o:lock v:ext="edit" aspectratio="f"/>
              <v:textbox inset="0mm,0mm,0mm,0mm" style="mso-fit-shape-to-text:t;">
                <w:txbxContent>
                  <w:p>
                    <w:pPr>
                      <w:pStyle w:val="41"/>
                    </w:pPr>
                    <w:r>
                      <w:t>第</w:t>
                    </w:r>
                    <w:r>
                      <w:fldChar w:fldCharType="begin"/>
                    </w:r>
                    <w:r>
                      <w:instrText xml:space="preserve"> PAGE  \* MERGEFORMAT </w:instrText>
                    </w:r>
                    <w:r>
                      <w:fldChar w:fldCharType="separate"/>
                    </w:r>
                    <w:r>
                      <w:t>66</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posOffset>2673985</wp:posOffset>
              </wp:positionH>
              <wp:positionV relativeFrom="paragraph">
                <wp:posOffset>-1270</wp:posOffset>
              </wp:positionV>
              <wp:extent cx="494030" cy="12636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493986" cy="1261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第</w:t>
                          </w:r>
                          <w:r>
                            <w:fldChar w:fldCharType="begin"/>
                          </w:r>
                          <w:r>
                            <w:instrText xml:space="preserve"> PAGE  \* MERGEFORMAT </w:instrText>
                          </w:r>
                          <w:r>
                            <w:fldChar w:fldCharType="separate"/>
                          </w:r>
                          <w:r>
                            <w:t>2</w:t>
                          </w:r>
                          <w:r>
                            <w:fldChar w:fldCharType="end"/>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0.55pt;margin-top:-0.1pt;height:9.95pt;width:38.9pt;mso-position-horizontal-relative:margin;z-index:251660288;mso-width-relative:page;mso-height-relative:page;" filled="f" stroked="f" coordsize="21600,21600" o:gfxdata="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rfLK9gAAAAIAQAADwAAAAAAAAABACAAAAAiAAAAZHJzL2Rv&#10;d25yZXYueG1sUEsBAhQAFAAAAAgAh07iQKqOkr46AgAAZQQAAA4AAAAAAAAAAQAgAAAAJwEAAGRy&#10;cy9lMm9Eb2MueG1sUEsFBgAAAAAGAAYAWQEAANMFAAAAAA==&#10;">
              <v:fill on="f" focussize="0,0"/>
              <v:stroke on="f" weight="0.5pt"/>
              <v:imagedata o:title=""/>
              <o:lock v:ext="edit" aspectratio="f"/>
              <v:textbox inset="0mm,0mm,0mm,0mm">
                <w:txbxContent>
                  <w:p>
                    <w:pPr>
                      <w:pStyle w:val="41"/>
                    </w:pPr>
                    <w:r>
                      <w:t>第</w:t>
                    </w:r>
                    <w:r>
                      <w:fldChar w:fldCharType="begin"/>
                    </w:r>
                    <w:r>
                      <w:instrText xml:space="preserve"> PAGE  \* MERGEFORMAT </w:instrText>
                    </w:r>
                    <w:r>
                      <w:fldChar w:fldCharType="separate"/>
                    </w:r>
                    <w:r>
                      <w:t>2</w:t>
                    </w:r>
                    <w:r>
                      <w:fldChar w:fldCharType="end"/>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第</w:t>
                          </w:r>
                          <w:r>
                            <w:fldChar w:fldCharType="begin"/>
                          </w:r>
                          <w:r>
                            <w:instrText xml:space="preserve"> PAGE  \* MERGEFORMAT </w:instrText>
                          </w:r>
                          <w:r>
                            <w:fldChar w:fldCharType="separate"/>
                          </w:r>
                          <w:r>
                            <w:t>35</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KDN4zAgAAZ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uKDN4zAgAAZQQAAA4AAAAAAAAAAQAgAAAAHwEAAGRycy9lMm9Eb2MueG1sUEsF&#10;BgAAAAAGAAYAWQEAAMQFAAAAAA==&#10;">
              <v:fill on="f" focussize="0,0"/>
              <v:stroke on="f" weight="0.5pt"/>
              <v:imagedata o:title=""/>
              <o:lock v:ext="edit" aspectratio="f"/>
              <v:textbox inset="0mm,0mm,0mm,0mm" style="mso-fit-shape-to-text:t;">
                <w:txbxContent>
                  <w:p>
                    <w:pPr>
                      <w:pStyle w:val="41"/>
                    </w:pPr>
                    <w:r>
                      <w:t>第</w:t>
                    </w:r>
                    <w:r>
                      <w:fldChar w:fldCharType="begin"/>
                    </w:r>
                    <w:r>
                      <w:instrText xml:space="preserve"> PAGE  \* MERGEFORMAT </w:instrText>
                    </w:r>
                    <w:r>
                      <w:fldChar w:fldCharType="separate"/>
                    </w:r>
                    <w:r>
                      <w:t>35</w:t>
                    </w:r>
                    <w:r>
                      <w:fldChar w:fldCharType="end"/>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第</w:t>
                          </w:r>
                          <w:r>
                            <w:fldChar w:fldCharType="begin"/>
                          </w:r>
                          <w:r>
                            <w:instrText xml:space="preserve"> PAGE  \* MERGEFORMAT </w:instrText>
                          </w:r>
                          <w:r>
                            <w:fldChar w:fldCharType="separate"/>
                          </w:r>
                          <w:r>
                            <w:t>48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1eK8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TV4rzICAABlBAAADgAAAAAAAAABACAAAAAfAQAAZHJzL2Uyb0RvYy54bWxQSwUG&#10;AAAAAAYABgBZAQAAwwUAAAAA&#10;">
              <v:fill on="f" focussize="0,0"/>
              <v:stroke on="f" weight="0.5pt"/>
              <v:imagedata o:title=""/>
              <o:lock v:ext="edit" aspectratio="f"/>
              <v:textbox inset="0mm,0mm,0mm,0mm" style="mso-fit-shape-to-text:t;">
                <w:txbxContent>
                  <w:p>
                    <w:pPr>
                      <w:pStyle w:val="41"/>
                    </w:pPr>
                    <w:r>
                      <w:t>第</w:t>
                    </w:r>
                    <w:r>
                      <w:fldChar w:fldCharType="begin"/>
                    </w:r>
                    <w:r>
                      <w:instrText xml:space="preserve"> PAGE  \* MERGEFORMAT </w:instrText>
                    </w:r>
                    <w:r>
                      <w:fldChar w:fldCharType="separate"/>
                    </w:r>
                    <w:r>
                      <w:t>48</w:t>
                    </w:r>
                    <w:r>
                      <w:fldChar w:fldCharType="end"/>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第</w:t>
                          </w:r>
                          <w:r>
                            <w:fldChar w:fldCharType="begin"/>
                          </w:r>
                          <w:r>
                            <w:instrText xml:space="preserve"> PAGE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OrUyAgAAZ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9w6tTICAABlBAAADgAAAAAAAAABACAAAAAfAQAAZHJzL2Uyb0RvYy54bWxQSwUG&#10;AAAAAAYABgBZAQAAwwUAAAAA&#10;">
              <v:fill on="f" focussize="0,0"/>
              <v:stroke on="f" weight="0.5pt"/>
              <v:imagedata o:title=""/>
              <o:lock v:ext="edit" aspectratio="f"/>
              <v:textbox inset="0mm,0mm,0mm,0mm" style="mso-fit-shape-to-text:t;">
                <w:txbxContent>
                  <w:p>
                    <w:pPr>
                      <w:pStyle w:val="41"/>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ascii="仿宋" w:hAnsi="仿宋" w:eastAsia="仿宋" w:cs="仿宋"/>
      </w:rPr>
      <w:t>2022年桥隧设施高压配电设备专业检测项目公开征集文件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2E522"/>
    <w:multiLevelType w:val="singleLevel"/>
    <w:tmpl w:val="9C12E522"/>
    <w:lvl w:ilvl="0" w:tentative="0">
      <w:start w:val="1"/>
      <w:numFmt w:val="decimal"/>
      <w:suff w:val="nothing"/>
      <w:lvlText w:val="（%1）"/>
      <w:lvlJc w:val="left"/>
    </w:lvl>
  </w:abstractNum>
  <w:abstractNum w:abstractNumId="1">
    <w:nsid w:val="69C1DFE0"/>
    <w:multiLevelType w:val="singleLevel"/>
    <w:tmpl w:val="69C1DFE0"/>
    <w:lvl w:ilvl="0" w:tentative="0">
      <w:start w:val="1"/>
      <w:numFmt w:val="chineseCounting"/>
      <w:suff w:val="nothing"/>
      <w:lvlText w:val="%1、"/>
      <w:lvlJc w:val="left"/>
      <w:rPr>
        <w:rFonts w:hint="eastAsia"/>
      </w:rPr>
    </w:lvl>
  </w:abstractNum>
  <w:abstractNum w:abstractNumId="2">
    <w:nsid w:val="792045E3"/>
    <w:multiLevelType w:val="singleLevel"/>
    <w:tmpl w:val="792045E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210"/>
  <w:drawingGridVerticalSpacing w:val="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Y2NhNDY1YzBmOTJmNzAwZDE0MTQwNGM4OGE0ZjYifQ=="/>
  </w:docVars>
  <w:rsids>
    <w:rsidRoot w:val="00172A27"/>
    <w:rsid w:val="00000451"/>
    <w:rsid w:val="0000108B"/>
    <w:rsid w:val="0000133D"/>
    <w:rsid w:val="00001509"/>
    <w:rsid w:val="000032B2"/>
    <w:rsid w:val="0000363B"/>
    <w:rsid w:val="000058BD"/>
    <w:rsid w:val="00006109"/>
    <w:rsid w:val="00006150"/>
    <w:rsid w:val="0000618E"/>
    <w:rsid w:val="000063E8"/>
    <w:rsid w:val="00006725"/>
    <w:rsid w:val="0000675E"/>
    <w:rsid w:val="00007CAA"/>
    <w:rsid w:val="00010199"/>
    <w:rsid w:val="00010FE9"/>
    <w:rsid w:val="0001122F"/>
    <w:rsid w:val="000113B7"/>
    <w:rsid w:val="00011A4B"/>
    <w:rsid w:val="00012251"/>
    <w:rsid w:val="0001337C"/>
    <w:rsid w:val="000138C4"/>
    <w:rsid w:val="00013C1F"/>
    <w:rsid w:val="00013F31"/>
    <w:rsid w:val="000140D8"/>
    <w:rsid w:val="00014530"/>
    <w:rsid w:val="00014BBC"/>
    <w:rsid w:val="000150EE"/>
    <w:rsid w:val="000168D8"/>
    <w:rsid w:val="000169DF"/>
    <w:rsid w:val="000170C8"/>
    <w:rsid w:val="000173F4"/>
    <w:rsid w:val="000177DF"/>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976"/>
    <w:rsid w:val="00030A97"/>
    <w:rsid w:val="00030CB3"/>
    <w:rsid w:val="0003206A"/>
    <w:rsid w:val="000326A7"/>
    <w:rsid w:val="00032EA0"/>
    <w:rsid w:val="000331B0"/>
    <w:rsid w:val="000336D4"/>
    <w:rsid w:val="00034FA7"/>
    <w:rsid w:val="0003533D"/>
    <w:rsid w:val="000357E4"/>
    <w:rsid w:val="00035ACA"/>
    <w:rsid w:val="00037972"/>
    <w:rsid w:val="00040447"/>
    <w:rsid w:val="00040494"/>
    <w:rsid w:val="00040B70"/>
    <w:rsid w:val="00042441"/>
    <w:rsid w:val="00042533"/>
    <w:rsid w:val="00042DBB"/>
    <w:rsid w:val="00042E65"/>
    <w:rsid w:val="0004347C"/>
    <w:rsid w:val="00043907"/>
    <w:rsid w:val="00044F48"/>
    <w:rsid w:val="00045A4E"/>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69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D6D"/>
    <w:rsid w:val="000C0A43"/>
    <w:rsid w:val="000C0CB1"/>
    <w:rsid w:val="000C1411"/>
    <w:rsid w:val="000C1ADE"/>
    <w:rsid w:val="000C1C38"/>
    <w:rsid w:val="000C21DC"/>
    <w:rsid w:val="000C2264"/>
    <w:rsid w:val="000C256B"/>
    <w:rsid w:val="000C3970"/>
    <w:rsid w:val="000C3B1A"/>
    <w:rsid w:val="000C4299"/>
    <w:rsid w:val="000C4727"/>
    <w:rsid w:val="000C47AE"/>
    <w:rsid w:val="000C51AD"/>
    <w:rsid w:val="000C5374"/>
    <w:rsid w:val="000C5A12"/>
    <w:rsid w:val="000C5EC0"/>
    <w:rsid w:val="000C6162"/>
    <w:rsid w:val="000C64CC"/>
    <w:rsid w:val="000C6688"/>
    <w:rsid w:val="000C6728"/>
    <w:rsid w:val="000C692E"/>
    <w:rsid w:val="000C6B28"/>
    <w:rsid w:val="000C6E8A"/>
    <w:rsid w:val="000C7BEB"/>
    <w:rsid w:val="000D0124"/>
    <w:rsid w:val="000D048B"/>
    <w:rsid w:val="000D11E5"/>
    <w:rsid w:val="000D19E8"/>
    <w:rsid w:val="000D1FA1"/>
    <w:rsid w:val="000D2834"/>
    <w:rsid w:val="000D2CAC"/>
    <w:rsid w:val="000D34C8"/>
    <w:rsid w:val="000D34FD"/>
    <w:rsid w:val="000D3BE5"/>
    <w:rsid w:val="000D3C37"/>
    <w:rsid w:val="000D453A"/>
    <w:rsid w:val="000D4AFA"/>
    <w:rsid w:val="000D5EA6"/>
    <w:rsid w:val="000D5F00"/>
    <w:rsid w:val="000D63E6"/>
    <w:rsid w:val="000D6C9F"/>
    <w:rsid w:val="000D6E3B"/>
    <w:rsid w:val="000D6F30"/>
    <w:rsid w:val="000D74E4"/>
    <w:rsid w:val="000D759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53C"/>
    <w:rsid w:val="0010393D"/>
    <w:rsid w:val="00103EBD"/>
    <w:rsid w:val="001040FB"/>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ABC"/>
    <w:rsid w:val="00111C7D"/>
    <w:rsid w:val="00112038"/>
    <w:rsid w:val="001127FF"/>
    <w:rsid w:val="00112B0B"/>
    <w:rsid w:val="00112EB5"/>
    <w:rsid w:val="0011383E"/>
    <w:rsid w:val="00113EE3"/>
    <w:rsid w:val="00114802"/>
    <w:rsid w:val="00114847"/>
    <w:rsid w:val="0011585B"/>
    <w:rsid w:val="00115B1A"/>
    <w:rsid w:val="001160FF"/>
    <w:rsid w:val="001164F4"/>
    <w:rsid w:val="001168F8"/>
    <w:rsid w:val="001176FF"/>
    <w:rsid w:val="0012153F"/>
    <w:rsid w:val="0012159D"/>
    <w:rsid w:val="00121804"/>
    <w:rsid w:val="00121A7D"/>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C7"/>
    <w:rsid w:val="00147032"/>
    <w:rsid w:val="00147EA7"/>
    <w:rsid w:val="00151820"/>
    <w:rsid w:val="00151B2F"/>
    <w:rsid w:val="001524DC"/>
    <w:rsid w:val="001525E5"/>
    <w:rsid w:val="00153859"/>
    <w:rsid w:val="00153915"/>
    <w:rsid w:val="001539F0"/>
    <w:rsid w:val="00154BBA"/>
    <w:rsid w:val="00155B95"/>
    <w:rsid w:val="00156853"/>
    <w:rsid w:val="0015716D"/>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26"/>
    <w:rsid w:val="00176AA6"/>
    <w:rsid w:val="00177063"/>
    <w:rsid w:val="00180A47"/>
    <w:rsid w:val="001827B7"/>
    <w:rsid w:val="001827EF"/>
    <w:rsid w:val="00182982"/>
    <w:rsid w:val="001829BC"/>
    <w:rsid w:val="00182D68"/>
    <w:rsid w:val="00183031"/>
    <w:rsid w:val="00183468"/>
    <w:rsid w:val="00183593"/>
    <w:rsid w:val="0018397E"/>
    <w:rsid w:val="00183ECB"/>
    <w:rsid w:val="00184466"/>
    <w:rsid w:val="00184DBF"/>
    <w:rsid w:val="001852A8"/>
    <w:rsid w:val="0018620A"/>
    <w:rsid w:val="00186EB0"/>
    <w:rsid w:val="00187121"/>
    <w:rsid w:val="00187243"/>
    <w:rsid w:val="00187717"/>
    <w:rsid w:val="001878CE"/>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64"/>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215"/>
    <w:rsid w:val="001B06A6"/>
    <w:rsid w:val="001B13BF"/>
    <w:rsid w:val="001B13ED"/>
    <w:rsid w:val="001B16F5"/>
    <w:rsid w:val="001B1C1F"/>
    <w:rsid w:val="001B219B"/>
    <w:rsid w:val="001B2703"/>
    <w:rsid w:val="001B2FC5"/>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867"/>
    <w:rsid w:val="001D67A5"/>
    <w:rsid w:val="001E17E3"/>
    <w:rsid w:val="001E2052"/>
    <w:rsid w:val="001E2492"/>
    <w:rsid w:val="001E257C"/>
    <w:rsid w:val="001E286C"/>
    <w:rsid w:val="001E2F34"/>
    <w:rsid w:val="001E35EE"/>
    <w:rsid w:val="001E3717"/>
    <w:rsid w:val="001E4B2C"/>
    <w:rsid w:val="001E507F"/>
    <w:rsid w:val="001E56C2"/>
    <w:rsid w:val="001E59FB"/>
    <w:rsid w:val="001E6D07"/>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FD4"/>
    <w:rsid w:val="00232555"/>
    <w:rsid w:val="00233382"/>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575"/>
    <w:rsid w:val="00256986"/>
    <w:rsid w:val="00256D61"/>
    <w:rsid w:val="00256E23"/>
    <w:rsid w:val="00257246"/>
    <w:rsid w:val="00257438"/>
    <w:rsid w:val="0026119C"/>
    <w:rsid w:val="002611F7"/>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AEF"/>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87B"/>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00A"/>
    <w:rsid w:val="002C327D"/>
    <w:rsid w:val="002C3890"/>
    <w:rsid w:val="002C3AD9"/>
    <w:rsid w:val="002C4286"/>
    <w:rsid w:val="002C43FC"/>
    <w:rsid w:val="002C45C3"/>
    <w:rsid w:val="002C483B"/>
    <w:rsid w:val="002C4DFE"/>
    <w:rsid w:val="002C519E"/>
    <w:rsid w:val="002C5999"/>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95"/>
    <w:rsid w:val="002E37C5"/>
    <w:rsid w:val="002E3956"/>
    <w:rsid w:val="002E3C08"/>
    <w:rsid w:val="002E3CF2"/>
    <w:rsid w:val="002E469E"/>
    <w:rsid w:val="002E4C01"/>
    <w:rsid w:val="002E4D50"/>
    <w:rsid w:val="002E55FF"/>
    <w:rsid w:val="002E563A"/>
    <w:rsid w:val="002E587E"/>
    <w:rsid w:val="002E672A"/>
    <w:rsid w:val="002E6853"/>
    <w:rsid w:val="002E7EC1"/>
    <w:rsid w:val="002E7EE5"/>
    <w:rsid w:val="002F0323"/>
    <w:rsid w:val="002F0373"/>
    <w:rsid w:val="002F03B6"/>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43C"/>
    <w:rsid w:val="00300573"/>
    <w:rsid w:val="003025FE"/>
    <w:rsid w:val="00302A27"/>
    <w:rsid w:val="00303AB6"/>
    <w:rsid w:val="00304157"/>
    <w:rsid w:val="00304640"/>
    <w:rsid w:val="00304AC1"/>
    <w:rsid w:val="00305090"/>
    <w:rsid w:val="00305454"/>
    <w:rsid w:val="00305B9F"/>
    <w:rsid w:val="00305E21"/>
    <w:rsid w:val="003066C6"/>
    <w:rsid w:val="003066FA"/>
    <w:rsid w:val="00306AD6"/>
    <w:rsid w:val="003077F4"/>
    <w:rsid w:val="00307DC7"/>
    <w:rsid w:val="00307FF2"/>
    <w:rsid w:val="00310039"/>
    <w:rsid w:val="00310EDB"/>
    <w:rsid w:val="00310FC8"/>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EBB"/>
    <w:rsid w:val="00347356"/>
    <w:rsid w:val="0035005C"/>
    <w:rsid w:val="00350896"/>
    <w:rsid w:val="00350C31"/>
    <w:rsid w:val="00350C9F"/>
    <w:rsid w:val="00351391"/>
    <w:rsid w:val="003519CD"/>
    <w:rsid w:val="00351A3A"/>
    <w:rsid w:val="0035201E"/>
    <w:rsid w:val="0035455F"/>
    <w:rsid w:val="00355C76"/>
    <w:rsid w:val="00355D75"/>
    <w:rsid w:val="00355D8F"/>
    <w:rsid w:val="00356A73"/>
    <w:rsid w:val="00356FF0"/>
    <w:rsid w:val="003577EF"/>
    <w:rsid w:val="00357A60"/>
    <w:rsid w:val="00360304"/>
    <w:rsid w:val="00360A78"/>
    <w:rsid w:val="00361750"/>
    <w:rsid w:val="00362F9D"/>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21"/>
    <w:rsid w:val="00370A56"/>
    <w:rsid w:val="00371213"/>
    <w:rsid w:val="00372842"/>
    <w:rsid w:val="003729A5"/>
    <w:rsid w:val="00372C89"/>
    <w:rsid w:val="00372E9A"/>
    <w:rsid w:val="003735B9"/>
    <w:rsid w:val="00373634"/>
    <w:rsid w:val="00374677"/>
    <w:rsid w:val="0037510C"/>
    <w:rsid w:val="0037583B"/>
    <w:rsid w:val="00375850"/>
    <w:rsid w:val="0037632F"/>
    <w:rsid w:val="00376812"/>
    <w:rsid w:val="00377B26"/>
    <w:rsid w:val="00381014"/>
    <w:rsid w:val="00381604"/>
    <w:rsid w:val="00381C68"/>
    <w:rsid w:val="00381F60"/>
    <w:rsid w:val="00383204"/>
    <w:rsid w:val="00383AB0"/>
    <w:rsid w:val="003847BB"/>
    <w:rsid w:val="00384814"/>
    <w:rsid w:val="00384C0A"/>
    <w:rsid w:val="00384C94"/>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EC0"/>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188"/>
    <w:rsid w:val="003A703F"/>
    <w:rsid w:val="003A7D11"/>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B32"/>
    <w:rsid w:val="003B7403"/>
    <w:rsid w:val="003C011C"/>
    <w:rsid w:val="003C0E32"/>
    <w:rsid w:val="003C11D7"/>
    <w:rsid w:val="003C16CB"/>
    <w:rsid w:val="003C1AF1"/>
    <w:rsid w:val="003C1B97"/>
    <w:rsid w:val="003C247B"/>
    <w:rsid w:val="003C3292"/>
    <w:rsid w:val="003C3C1E"/>
    <w:rsid w:val="003C3D88"/>
    <w:rsid w:val="003C4134"/>
    <w:rsid w:val="003C42C8"/>
    <w:rsid w:val="003C435B"/>
    <w:rsid w:val="003C4EBE"/>
    <w:rsid w:val="003C58F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88"/>
    <w:rsid w:val="003E20F7"/>
    <w:rsid w:val="003E336A"/>
    <w:rsid w:val="003E3E2F"/>
    <w:rsid w:val="003E4048"/>
    <w:rsid w:val="003E4CE5"/>
    <w:rsid w:val="003E57F3"/>
    <w:rsid w:val="003E604C"/>
    <w:rsid w:val="003E60DA"/>
    <w:rsid w:val="003E6E00"/>
    <w:rsid w:val="003E7111"/>
    <w:rsid w:val="003E7940"/>
    <w:rsid w:val="003F01BD"/>
    <w:rsid w:val="003F0486"/>
    <w:rsid w:val="003F048E"/>
    <w:rsid w:val="003F09FA"/>
    <w:rsid w:val="003F0AFF"/>
    <w:rsid w:val="003F1275"/>
    <w:rsid w:val="003F1AA2"/>
    <w:rsid w:val="003F2564"/>
    <w:rsid w:val="003F26DC"/>
    <w:rsid w:val="003F2B71"/>
    <w:rsid w:val="003F42FF"/>
    <w:rsid w:val="003F4B48"/>
    <w:rsid w:val="003F4DDC"/>
    <w:rsid w:val="003F56B8"/>
    <w:rsid w:val="003F5F1A"/>
    <w:rsid w:val="003F6327"/>
    <w:rsid w:val="003F6EAE"/>
    <w:rsid w:val="003F7425"/>
    <w:rsid w:val="003F765B"/>
    <w:rsid w:val="003F7CB8"/>
    <w:rsid w:val="00400CB4"/>
    <w:rsid w:val="00401386"/>
    <w:rsid w:val="004013E6"/>
    <w:rsid w:val="00401E31"/>
    <w:rsid w:val="00402BBA"/>
    <w:rsid w:val="004035D0"/>
    <w:rsid w:val="0040361D"/>
    <w:rsid w:val="00403795"/>
    <w:rsid w:val="004041FB"/>
    <w:rsid w:val="0040443E"/>
    <w:rsid w:val="0040548C"/>
    <w:rsid w:val="004056B6"/>
    <w:rsid w:val="00405764"/>
    <w:rsid w:val="00406745"/>
    <w:rsid w:val="0040674B"/>
    <w:rsid w:val="00406B32"/>
    <w:rsid w:val="00407281"/>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5FB8"/>
    <w:rsid w:val="00416208"/>
    <w:rsid w:val="0041690F"/>
    <w:rsid w:val="004169D3"/>
    <w:rsid w:val="00416C2B"/>
    <w:rsid w:val="00416D41"/>
    <w:rsid w:val="00416E70"/>
    <w:rsid w:val="00417264"/>
    <w:rsid w:val="004210C0"/>
    <w:rsid w:val="004211DD"/>
    <w:rsid w:val="00421454"/>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3C5"/>
    <w:rsid w:val="00427FA8"/>
    <w:rsid w:val="0043009D"/>
    <w:rsid w:val="0043026B"/>
    <w:rsid w:val="00430299"/>
    <w:rsid w:val="004306D4"/>
    <w:rsid w:val="00430AFE"/>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576"/>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22"/>
    <w:rsid w:val="00476F97"/>
    <w:rsid w:val="00477247"/>
    <w:rsid w:val="004776BB"/>
    <w:rsid w:val="004776FB"/>
    <w:rsid w:val="0048055E"/>
    <w:rsid w:val="00480C2B"/>
    <w:rsid w:val="00480DC5"/>
    <w:rsid w:val="00480FD9"/>
    <w:rsid w:val="0048131D"/>
    <w:rsid w:val="00481D0B"/>
    <w:rsid w:val="004824A9"/>
    <w:rsid w:val="00482735"/>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FD9"/>
    <w:rsid w:val="0049418F"/>
    <w:rsid w:val="0049570D"/>
    <w:rsid w:val="00495C48"/>
    <w:rsid w:val="00495DC6"/>
    <w:rsid w:val="00496CCE"/>
    <w:rsid w:val="004978C1"/>
    <w:rsid w:val="00497AAD"/>
    <w:rsid w:val="00497BD7"/>
    <w:rsid w:val="00497D1A"/>
    <w:rsid w:val="004A00C9"/>
    <w:rsid w:val="004A03D0"/>
    <w:rsid w:val="004A1049"/>
    <w:rsid w:val="004A121B"/>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83"/>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CF"/>
    <w:rsid w:val="004E5101"/>
    <w:rsid w:val="004E5380"/>
    <w:rsid w:val="004E6746"/>
    <w:rsid w:val="004E6CAC"/>
    <w:rsid w:val="004E6F69"/>
    <w:rsid w:val="004E75C1"/>
    <w:rsid w:val="004E777F"/>
    <w:rsid w:val="004F0368"/>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13"/>
    <w:rsid w:val="004F7922"/>
    <w:rsid w:val="004F7A1F"/>
    <w:rsid w:val="004F7B47"/>
    <w:rsid w:val="0050079C"/>
    <w:rsid w:val="0050106A"/>
    <w:rsid w:val="005010BC"/>
    <w:rsid w:val="00501848"/>
    <w:rsid w:val="00502B31"/>
    <w:rsid w:val="00503914"/>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B61"/>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0A"/>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A3"/>
    <w:rsid w:val="00545DB9"/>
    <w:rsid w:val="005462ED"/>
    <w:rsid w:val="00546585"/>
    <w:rsid w:val="0054680A"/>
    <w:rsid w:val="00546BF8"/>
    <w:rsid w:val="00547BA2"/>
    <w:rsid w:val="00550AC5"/>
    <w:rsid w:val="00550B7E"/>
    <w:rsid w:val="00551052"/>
    <w:rsid w:val="005524ED"/>
    <w:rsid w:val="00553106"/>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66"/>
    <w:rsid w:val="00570763"/>
    <w:rsid w:val="0057125A"/>
    <w:rsid w:val="0057200B"/>
    <w:rsid w:val="00572297"/>
    <w:rsid w:val="0057345D"/>
    <w:rsid w:val="0057347D"/>
    <w:rsid w:val="00573560"/>
    <w:rsid w:val="005746E3"/>
    <w:rsid w:val="005748C6"/>
    <w:rsid w:val="00574E7B"/>
    <w:rsid w:val="00574F36"/>
    <w:rsid w:val="0057533F"/>
    <w:rsid w:val="005766BE"/>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525"/>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42"/>
    <w:rsid w:val="005A57B8"/>
    <w:rsid w:val="005A5809"/>
    <w:rsid w:val="005A5DDE"/>
    <w:rsid w:val="005A64A8"/>
    <w:rsid w:val="005A65C5"/>
    <w:rsid w:val="005A6875"/>
    <w:rsid w:val="005A7016"/>
    <w:rsid w:val="005A70EE"/>
    <w:rsid w:val="005A7A32"/>
    <w:rsid w:val="005A7F85"/>
    <w:rsid w:val="005B00DD"/>
    <w:rsid w:val="005B03B1"/>
    <w:rsid w:val="005B07D5"/>
    <w:rsid w:val="005B1A8A"/>
    <w:rsid w:val="005B1AAB"/>
    <w:rsid w:val="005B2578"/>
    <w:rsid w:val="005B26BF"/>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3C"/>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C84"/>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E7A75"/>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0F0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6F6"/>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B8F"/>
    <w:rsid w:val="00630C70"/>
    <w:rsid w:val="00630D67"/>
    <w:rsid w:val="00631005"/>
    <w:rsid w:val="00631667"/>
    <w:rsid w:val="00631C79"/>
    <w:rsid w:val="00632727"/>
    <w:rsid w:val="0063283D"/>
    <w:rsid w:val="00633769"/>
    <w:rsid w:val="00633FE3"/>
    <w:rsid w:val="00634276"/>
    <w:rsid w:val="00634570"/>
    <w:rsid w:val="0063477C"/>
    <w:rsid w:val="0063487C"/>
    <w:rsid w:val="00635B73"/>
    <w:rsid w:val="00635BB7"/>
    <w:rsid w:val="00636743"/>
    <w:rsid w:val="00636CC7"/>
    <w:rsid w:val="00637F27"/>
    <w:rsid w:val="006405EC"/>
    <w:rsid w:val="00640A4D"/>
    <w:rsid w:val="006418F2"/>
    <w:rsid w:val="00641A84"/>
    <w:rsid w:val="00641B05"/>
    <w:rsid w:val="00641DA1"/>
    <w:rsid w:val="00641E5B"/>
    <w:rsid w:val="00641F12"/>
    <w:rsid w:val="00642C69"/>
    <w:rsid w:val="0064330A"/>
    <w:rsid w:val="00643F89"/>
    <w:rsid w:val="00644334"/>
    <w:rsid w:val="0064487C"/>
    <w:rsid w:val="00644BED"/>
    <w:rsid w:val="00644E2E"/>
    <w:rsid w:val="00645A3A"/>
    <w:rsid w:val="00645B87"/>
    <w:rsid w:val="00645CB4"/>
    <w:rsid w:val="00646084"/>
    <w:rsid w:val="006468ED"/>
    <w:rsid w:val="00647664"/>
    <w:rsid w:val="00650689"/>
    <w:rsid w:val="00650D19"/>
    <w:rsid w:val="00652CF5"/>
    <w:rsid w:val="0065343E"/>
    <w:rsid w:val="006536BB"/>
    <w:rsid w:val="0065398F"/>
    <w:rsid w:val="00653C69"/>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981"/>
    <w:rsid w:val="00662D3D"/>
    <w:rsid w:val="00662F1F"/>
    <w:rsid w:val="00663D15"/>
    <w:rsid w:val="00665030"/>
    <w:rsid w:val="00665670"/>
    <w:rsid w:val="006659EA"/>
    <w:rsid w:val="006661E8"/>
    <w:rsid w:val="00666424"/>
    <w:rsid w:val="0066676C"/>
    <w:rsid w:val="00666C0A"/>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CD"/>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B37"/>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7FB"/>
    <w:rsid w:val="006C5B4D"/>
    <w:rsid w:val="006C5D5D"/>
    <w:rsid w:val="006C627E"/>
    <w:rsid w:val="006C6303"/>
    <w:rsid w:val="006C6A51"/>
    <w:rsid w:val="006C6B21"/>
    <w:rsid w:val="006C6EBD"/>
    <w:rsid w:val="006C7E04"/>
    <w:rsid w:val="006C7F79"/>
    <w:rsid w:val="006D0004"/>
    <w:rsid w:val="006D015F"/>
    <w:rsid w:val="006D060E"/>
    <w:rsid w:val="006D0681"/>
    <w:rsid w:val="006D0A80"/>
    <w:rsid w:val="006D0AE8"/>
    <w:rsid w:val="006D135C"/>
    <w:rsid w:val="006D2DAD"/>
    <w:rsid w:val="006D2F72"/>
    <w:rsid w:val="006D43C1"/>
    <w:rsid w:val="006D5442"/>
    <w:rsid w:val="006D6E4E"/>
    <w:rsid w:val="006D7349"/>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053"/>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3C3"/>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0CB"/>
    <w:rsid w:val="00710257"/>
    <w:rsid w:val="00710587"/>
    <w:rsid w:val="007107D5"/>
    <w:rsid w:val="00710E7C"/>
    <w:rsid w:val="0071174F"/>
    <w:rsid w:val="007119DC"/>
    <w:rsid w:val="00711CC7"/>
    <w:rsid w:val="0071200E"/>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ED7"/>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BFF"/>
    <w:rsid w:val="00725D6A"/>
    <w:rsid w:val="007263A2"/>
    <w:rsid w:val="007266B9"/>
    <w:rsid w:val="00727351"/>
    <w:rsid w:val="00727AC5"/>
    <w:rsid w:val="00727C65"/>
    <w:rsid w:val="007300F0"/>
    <w:rsid w:val="00730904"/>
    <w:rsid w:val="0073116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963"/>
    <w:rsid w:val="007403FE"/>
    <w:rsid w:val="007413EB"/>
    <w:rsid w:val="007413FB"/>
    <w:rsid w:val="00742D32"/>
    <w:rsid w:val="00742E9B"/>
    <w:rsid w:val="007444E6"/>
    <w:rsid w:val="00744CC6"/>
    <w:rsid w:val="0074592C"/>
    <w:rsid w:val="00745C91"/>
    <w:rsid w:val="00746098"/>
    <w:rsid w:val="00746D58"/>
    <w:rsid w:val="00747578"/>
    <w:rsid w:val="00747ED9"/>
    <w:rsid w:val="00750D12"/>
    <w:rsid w:val="00750ECF"/>
    <w:rsid w:val="00751073"/>
    <w:rsid w:val="00751AF2"/>
    <w:rsid w:val="00751B1A"/>
    <w:rsid w:val="00751BD2"/>
    <w:rsid w:val="00751CE5"/>
    <w:rsid w:val="00752188"/>
    <w:rsid w:val="00752AC8"/>
    <w:rsid w:val="00752CC6"/>
    <w:rsid w:val="00753577"/>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913"/>
    <w:rsid w:val="00770A1C"/>
    <w:rsid w:val="00771CAC"/>
    <w:rsid w:val="00772036"/>
    <w:rsid w:val="00772B55"/>
    <w:rsid w:val="00773098"/>
    <w:rsid w:val="007739A3"/>
    <w:rsid w:val="00773BD9"/>
    <w:rsid w:val="00773CB0"/>
    <w:rsid w:val="00773D71"/>
    <w:rsid w:val="00774B57"/>
    <w:rsid w:val="00775526"/>
    <w:rsid w:val="00775651"/>
    <w:rsid w:val="00775F3F"/>
    <w:rsid w:val="0077710B"/>
    <w:rsid w:val="0077765A"/>
    <w:rsid w:val="00780032"/>
    <w:rsid w:val="00780636"/>
    <w:rsid w:val="00780E86"/>
    <w:rsid w:val="0078108C"/>
    <w:rsid w:val="00781727"/>
    <w:rsid w:val="007823E8"/>
    <w:rsid w:val="007829DE"/>
    <w:rsid w:val="00782CF3"/>
    <w:rsid w:val="00783959"/>
    <w:rsid w:val="00783BA5"/>
    <w:rsid w:val="007844A9"/>
    <w:rsid w:val="00785091"/>
    <w:rsid w:val="0078638C"/>
    <w:rsid w:val="007869F9"/>
    <w:rsid w:val="00786CBB"/>
    <w:rsid w:val="00786DAD"/>
    <w:rsid w:val="00786E21"/>
    <w:rsid w:val="0079026E"/>
    <w:rsid w:val="0079038E"/>
    <w:rsid w:val="00790EBB"/>
    <w:rsid w:val="00791C6E"/>
    <w:rsid w:val="007921F7"/>
    <w:rsid w:val="0079284A"/>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F0"/>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9D"/>
    <w:rsid w:val="007C20F8"/>
    <w:rsid w:val="007C21C5"/>
    <w:rsid w:val="007C2229"/>
    <w:rsid w:val="007C225A"/>
    <w:rsid w:val="007C2313"/>
    <w:rsid w:val="007C2570"/>
    <w:rsid w:val="007C3590"/>
    <w:rsid w:val="007C387A"/>
    <w:rsid w:val="007C3A0D"/>
    <w:rsid w:val="007C3EB0"/>
    <w:rsid w:val="007C43D6"/>
    <w:rsid w:val="007C47FF"/>
    <w:rsid w:val="007C4838"/>
    <w:rsid w:val="007C60A8"/>
    <w:rsid w:val="007C660F"/>
    <w:rsid w:val="007C6664"/>
    <w:rsid w:val="007C66FF"/>
    <w:rsid w:val="007C69AE"/>
    <w:rsid w:val="007C6FE9"/>
    <w:rsid w:val="007C7688"/>
    <w:rsid w:val="007C76E3"/>
    <w:rsid w:val="007C76F3"/>
    <w:rsid w:val="007C7DD9"/>
    <w:rsid w:val="007D0199"/>
    <w:rsid w:val="007D03BC"/>
    <w:rsid w:val="007D0DC9"/>
    <w:rsid w:val="007D0ECD"/>
    <w:rsid w:val="007D1A8E"/>
    <w:rsid w:val="007D2882"/>
    <w:rsid w:val="007D296C"/>
    <w:rsid w:val="007D2C31"/>
    <w:rsid w:val="007D2E50"/>
    <w:rsid w:val="007D3D74"/>
    <w:rsid w:val="007D445F"/>
    <w:rsid w:val="007D4DED"/>
    <w:rsid w:val="007D59E6"/>
    <w:rsid w:val="007D5BA2"/>
    <w:rsid w:val="007D5ED3"/>
    <w:rsid w:val="007D682F"/>
    <w:rsid w:val="007D6FB9"/>
    <w:rsid w:val="007D7211"/>
    <w:rsid w:val="007E0595"/>
    <w:rsid w:val="007E0A63"/>
    <w:rsid w:val="007E0C63"/>
    <w:rsid w:val="007E0E05"/>
    <w:rsid w:val="007E0F5D"/>
    <w:rsid w:val="007E23A1"/>
    <w:rsid w:val="007E259F"/>
    <w:rsid w:val="007E347E"/>
    <w:rsid w:val="007E411A"/>
    <w:rsid w:val="007E41A4"/>
    <w:rsid w:val="007E43E3"/>
    <w:rsid w:val="007E54B8"/>
    <w:rsid w:val="007E5D12"/>
    <w:rsid w:val="007E6420"/>
    <w:rsid w:val="007E677F"/>
    <w:rsid w:val="007E6B25"/>
    <w:rsid w:val="007E6E06"/>
    <w:rsid w:val="007E6F4A"/>
    <w:rsid w:val="007E79CC"/>
    <w:rsid w:val="007F1124"/>
    <w:rsid w:val="007F152D"/>
    <w:rsid w:val="007F1EE5"/>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33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C14"/>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04E"/>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57"/>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BF"/>
    <w:rsid w:val="008856C5"/>
    <w:rsid w:val="00886112"/>
    <w:rsid w:val="008872B3"/>
    <w:rsid w:val="00887392"/>
    <w:rsid w:val="00890A64"/>
    <w:rsid w:val="00890C40"/>
    <w:rsid w:val="0089122E"/>
    <w:rsid w:val="008912A7"/>
    <w:rsid w:val="0089183A"/>
    <w:rsid w:val="008920B4"/>
    <w:rsid w:val="008925EB"/>
    <w:rsid w:val="0089275E"/>
    <w:rsid w:val="0089294F"/>
    <w:rsid w:val="00892B43"/>
    <w:rsid w:val="00893432"/>
    <w:rsid w:val="00893936"/>
    <w:rsid w:val="00893CE2"/>
    <w:rsid w:val="00893F41"/>
    <w:rsid w:val="00894580"/>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F46"/>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F6D"/>
    <w:rsid w:val="008C3A4E"/>
    <w:rsid w:val="008C46B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300"/>
    <w:rsid w:val="008E0EE4"/>
    <w:rsid w:val="008E12BE"/>
    <w:rsid w:val="008E13FD"/>
    <w:rsid w:val="008E1C24"/>
    <w:rsid w:val="008E2626"/>
    <w:rsid w:val="008E27A9"/>
    <w:rsid w:val="008E323C"/>
    <w:rsid w:val="008E32E0"/>
    <w:rsid w:val="008E35A6"/>
    <w:rsid w:val="008E36D9"/>
    <w:rsid w:val="008E3A5C"/>
    <w:rsid w:val="008E3A9A"/>
    <w:rsid w:val="008E429E"/>
    <w:rsid w:val="008E4A00"/>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EB2"/>
    <w:rsid w:val="008F7292"/>
    <w:rsid w:val="008F76C0"/>
    <w:rsid w:val="009000F2"/>
    <w:rsid w:val="0090079D"/>
    <w:rsid w:val="0090086A"/>
    <w:rsid w:val="00900D2C"/>
    <w:rsid w:val="00901807"/>
    <w:rsid w:val="00901F0E"/>
    <w:rsid w:val="00902A26"/>
    <w:rsid w:val="00902A57"/>
    <w:rsid w:val="00902B29"/>
    <w:rsid w:val="00902B7A"/>
    <w:rsid w:val="00903969"/>
    <w:rsid w:val="00903C83"/>
    <w:rsid w:val="00903D77"/>
    <w:rsid w:val="0090408F"/>
    <w:rsid w:val="0090446A"/>
    <w:rsid w:val="00904537"/>
    <w:rsid w:val="00904C01"/>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D5A"/>
    <w:rsid w:val="0091627F"/>
    <w:rsid w:val="00916E45"/>
    <w:rsid w:val="0092030A"/>
    <w:rsid w:val="0092077A"/>
    <w:rsid w:val="00920DC0"/>
    <w:rsid w:val="009219F3"/>
    <w:rsid w:val="00921A1B"/>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DAE"/>
    <w:rsid w:val="00934C8E"/>
    <w:rsid w:val="00935194"/>
    <w:rsid w:val="00935C40"/>
    <w:rsid w:val="00936EA5"/>
    <w:rsid w:val="00937114"/>
    <w:rsid w:val="0094003D"/>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36B"/>
    <w:rsid w:val="009557A9"/>
    <w:rsid w:val="00956647"/>
    <w:rsid w:val="00957380"/>
    <w:rsid w:val="00957409"/>
    <w:rsid w:val="00957499"/>
    <w:rsid w:val="0095765A"/>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14F"/>
    <w:rsid w:val="00974022"/>
    <w:rsid w:val="009743E8"/>
    <w:rsid w:val="009745D8"/>
    <w:rsid w:val="0097485D"/>
    <w:rsid w:val="00974F3B"/>
    <w:rsid w:val="0097552A"/>
    <w:rsid w:val="0097564A"/>
    <w:rsid w:val="00975974"/>
    <w:rsid w:val="00975D06"/>
    <w:rsid w:val="00975D63"/>
    <w:rsid w:val="00975DAE"/>
    <w:rsid w:val="00976BBE"/>
    <w:rsid w:val="0098055B"/>
    <w:rsid w:val="00980B30"/>
    <w:rsid w:val="009810BE"/>
    <w:rsid w:val="009817BC"/>
    <w:rsid w:val="009819A7"/>
    <w:rsid w:val="00981F09"/>
    <w:rsid w:val="0098220A"/>
    <w:rsid w:val="00982E75"/>
    <w:rsid w:val="0098302A"/>
    <w:rsid w:val="00983337"/>
    <w:rsid w:val="009836AA"/>
    <w:rsid w:val="009846BF"/>
    <w:rsid w:val="00984768"/>
    <w:rsid w:val="009851F5"/>
    <w:rsid w:val="0098534B"/>
    <w:rsid w:val="00985D2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6C1"/>
    <w:rsid w:val="00993AC7"/>
    <w:rsid w:val="00993BAD"/>
    <w:rsid w:val="00993E49"/>
    <w:rsid w:val="00994120"/>
    <w:rsid w:val="009942F5"/>
    <w:rsid w:val="00994568"/>
    <w:rsid w:val="00994602"/>
    <w:rsid w:val="00994A33"/>
    <w:rsid w:val="00995B01"/>
    <w:rsid w:val="00996055"/>
    <w:rsid w:val="00996EF4"/>
    <w:rsid w:val="00996F23"/>
    <w:rsid w:val="00997044"/>
    <w:rsid w:val="00997BC9"/>
    <w:rsid w:val="009A113D"/>
    <w:rsid w:val="009A1ECA"/>
    <w:rsid w:val="009A2BE9"/>
    <w:rsid w:val="009A2BF3"/>
    <w:rsid w:val="009A3688"/>
    <w:rsid w:val="009A3713"/>
    <w:rsid w:val="009A3C3E"/>
    <w:rsid w:val="009A4153"/>
    <w:rsid w:val="009A4C2C"/>
    <w:rsid w:val="009A59B3"/>
    <w:rsid w:val="009A5F1B"/>
    <w:rsid w:val="009A5FAE"/>
    <w:rsid w:val="009A6B3A"/>
    <w:rsid w:val="009A70A3"/>
    <w:rsid w:val="009A7E7C"/>
    <w:rsid w:val="009B0237"/>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20"/>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2A8"/>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A87"/>
    <w:rsid w:val="009F1109"/>
    <w:rsid w:val="009F143E"/>
    <w:rsid w:val="009F1DE8"/>
    <w:rsid w:val="009F2186"/>
    <w:rsid w:val="009F227C"/>
    <w:rsid w:val="009F28DC"/>
    <w:rsid w:val="009F2EDB"/>
    <w:rsid w:val="009F33DC"/>
    <w:rsid w:val="009F4550"/>
    <w:rsid w:val="009F56C0"/>
    <w:rsid w:val="009F5C76"/>
    <w:rsid w:val="009F6A7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3C3"/>
    <w:rsid w:val="00A03A7C"/>
    <w:rsid w:val="00A03DA5"/>
    <w:rsid w:val="00A044AA"/>
    <w:rsid w:val="00A0700C"/>
    <w:rsid w:val="00A102F8"/>
    <w:rsid w:val="00A10A20"/>
    <w:rsid w:val="00A117D5"/>
    <w:rsid w:val="00A11C11"/>
    <w:rsid w:val="00A11F98"/>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ADE"/>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33B"/>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511"/>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806"/>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C8"/>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498"/>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785"/>
    <w:rsid w:val="00AB4E41"/>
    <w:rsid w:val="00AB52DD"/>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2B24"/>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D2F"/>
    <w:rsid w:val="00AE11C1"/>
    <w:rsid w:val="00AE163D"/>
    <w:rsid w:val="00AE1A42"/>
    <w:rsid w:val="00AE1C5C"/>
    <w:rsid w:val="00AE315E"/>
    <w:rsid w:val="00AE319F"/>
    <w:rsid w:val="00AE31D9"/>
    <w:rsid w:val="00AE3CF0"/>
    <w:rsid w:val="00AE4546"/>
    <w:rsid w:val="00AE52CE"/>
    <w:rsid w:val="00AE5BAB"/>
    <w:rsid w:val="00AE6575"/>
    <w:rsid w:val="00AE71EE"/>
    <w:rsid w:val="00AF03CF"/>
    <w:rsid w:val="00AF0A0A"/>
    <w:rsid w:val="00AF14FC"/>
    <w:rsid w:val="00AF1ED2"/>
    <w:rsid w:val="00AF1F4E"/>
    <w:rsid w:val="00AF2302"/>
    <w:rsid w:val="00AF23CB"/>
    <w:rsid w:val="00AF262A"/>
    <w:rsid w:val="00AF2951"/>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633"/>
    <w:rsid w:val="00B00D91"/>
    <w:rsid w:val="00B00E84"/>
    <w:rsid w:val="00B01DD9"/>
    <w:rsid w:val="00B01F0E"/>
    <w:rsid w:val="00B038F1"/>
    <w:rsid w:val="00B03C1B"/>
    <w:rsid w:val="00B040CD"/>
    <w:rsid w:val="00B04678"/>
    <w:rsid w:val="00B047C9"/>
    <w:rsid w:val="00B04A04"/>
    <w:rsid w:val="00B04B78"/>
    <w:rsid w:val="00B04C37"/>
    <w:rsid w:val="00B04F00"/>
    <w:rsid w:val="00B05BA6"/>
    <w:rsid w:val="00B066FE"/>
    <w:rsid w:val="00B06912"/>
    <w:rsid w:val="00B07316"/>
    <w:rsid w:val="00B07F74"/>
    <w:rsid w:val="00B10618"/>
    <w:rsid w:val="00B10B04"/>
    <w:rsid w:val="00B10C39"/>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3CA"/>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9F8"/>
    <w:rsid w:val="00B27C4B"/>
    <w:rsid w:val="00B30563"/>
    <w:rsid w:val="00B3069E"/>
    <w:rsid w:val="00B30A76"/>
    <w:rsid w:val="00B31246"/>
    <w:rsid w:val="00B32295"/>
    <w:rsid w:val="00B33AB5"/>
    <w:rsid w:val="00B3412E"/>
    <w:rsid w:val="00B343E0"/>
    <w:rsid w:val="00B35B6D"/>
    <w:rsid w:val="00B35D53"/>
    <w:rsid w:val="00B35DD6"/>
    <w:rsid w:val="00B367C4"/>
    <w:rsid w:val="00B36D3E"/>
    <w:rsid w:val="00B37B8E"/>
    <w:rsid w:val="00B40222"/>
    <w:rsid w:val="00B404C3"/>
    <w:rsid w:val="00B41A04"/>
    <w:rsid w:val="00B42132"/>
    <w:rsid w:val="00B42743"/>
    <w:rsid w:val="00B430E9"/>
    <w:rsid w:val="00B4311F"/>
    <w:rsid w:val="00B431AE"/>
    <w:rsid w:val="00B4326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799"/>
    <w:rsid w:val="00B56ECA"/>
    <w:rsid w:val="00B57093"/>
    <w:rsid w:val="00B577BE"/>
    <w:rsid w:val="00B57B5D"/>
    <w:rsid w:val="00B60613"/>
    <w:rsid w:val="00B61504"/>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19"/>
    <w:rsid w:val="00B823A6"/>
    <w:rsid w:val="00B83E76"/>
    <w:rsid w:val="00B83FA0"/>
    <w:rsid w:val="00B84156"/>
    <w:rsid w:val="00B846E6"/>
    <w:rsid w:val="00B84AD9"/>
    <w:rsid w:val="00B8537B"/>
    <w:rsid w:val="00B85586"/>
    <w:rsid w:val="00B86289"/>
    <w:rsid w:val="00B863B3"/>
    <w:rsid w:val="00B869D3"/>
    <w:rsid w:val="00B86CF8"/>
    <w:rsid w:val="00B86E44"/>
    <w:rsid w:val="00B87359"/>
    <w:rsid w:val="00B87F1C"/>
    <w:rsid w:val="00B90D8D"/>
    <w:rsid w:val="00B91263"/>
    <w:rsid w:val="00B91B61"/>
    <w:rsid w:val="00B9334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8C"/>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DE5"/>
    <w:rsid w:val="00BB2E4E"/>
    <w:rsid w:val="00BB2E62"/>
    <w:rsid w:val="00BB36C9"/>
    <w:rsid w:val="00BB3A66"/>
    <w:rsid w:val="00BB40D1"/>
    <w:rsid w:val="00BB5AA0"/>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4D52"/>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73"/>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DA8"/>
    <w:rsid w:val="00BE3F26"/>
    <w:rsid w:val="00BE4222"/>
    <w:rsid w:val="00BE472D"/>
    <w:rsid w:val="00BE4C03"/>
    <w:rsid w:val="00BE709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CC1"/>
    <w:rsid w:val="00BF6D77"/>
    <w:rsid w:val="00BF739A"/>
    <w:rsid w:val="00BF7A34"/>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313"/>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360"/>
    <w:rsid w:val="00C33A66"/>
    <w:rsid w:val="00C33E51"/>
    <w:rsid w:val="00C34C45"/>
    <w:rsid w:val="00C34C47"/>
    <w:rsid w:val="00C34FCE"/>
    <w:rsid w:val="00C35411"/>
    <w:rsid w:val="00C35EED"/>
    <w:rsid w:val="00C36B2C"/>
    <w:rsid w:val="00C36D86"/>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B4"/>
    <w:rsid w:val="00C717E4"/>
    <w:rsid w:val="00C7191B"/>
    <w:rsid w:val="00C71F09"/>
    <w:rsid w:val="00C72588"/>
    <w:rsid w:val="00C727B9"/>
    <w:rsid w:val="00C72F44"/>
    <w:rsid w:val="00C73670"/>
    <w:rsid w:val="00C737D1"/>
    <w:rsid w:val="00C738A0"/>
    <w:rsid w:val="00C73DE0"/>
    <w:rsid w:val="00C74609"/>
    <w:rsid w:val="00C749AB"/>
    <w:rsid w:val="00C7544E"/>
    <w:rsid w:val="00C75A8F"/>
    <w:rsid w:val="00C76129"/>
    <w:rsid w:val="00C76C0C"/>
    <w:rsid w:val="00C76FFC"/>
    <w:rsid w:val="00C774E0"/>
    <w:rsid w:val="00C776BA"/>
    <w:rsid w:val="00C7791E"/>
    <w:rsid w:val="00C81716"/>
    <w:rsid w:val="00C832CB"/>
    <w:rsid w:val="00C83E71"/>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A1"/>
    <w:rsid w:val="00C90BC4"/>
    <w:rsid w:val="00C90CA9"/>
    <w:rsid w:val="00C9135C"/>
    <w:rsid w:val="00C91802"/>
    <w:rsid w:val="00C92AFB"/>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AEF"/>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05A"/>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774"/>
    <w:rsid w:val="00CC7E0D"/>
    <w:rsid w:val="00CC7E97"/>
    <w:rsid w:val="00CD00EB"/>
    <w:rsid w:val="00CD1255"/>
    <w:rsid w:val="00CD1484"/>
    <w:rsid w:val="00CD1892"/>
    <w:rsid w:val="00CD1C01"/>
    <w:rsid w:val="00CD1D00"/>
    <w:rsid w:val="00CD2009"/>
    <w:rsid w:val="00CD27AC"/>
    <w:rsid w:val="00CD2A82"/>
    <w:rsid w:val="00CD2E15"/>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7AA"/>
    <w:rsid w:val="00CF0AF0"/>
    <w:rsid w:val="00CF157E"/>
    <w:rsid w:val="00CF1631"/>
    <w:rsid w:val="00CF1834"/>
    <w:rsid w:val="00CF1AAA"/>
    <w:rsid w:val="00CF1EC2"/>
    <w:rsid w:val="00CF2ACF"/>
    <w:rsid w:val="00CF345B"/>
    <w:rsid w:val="00CF393C"/>
    <w:rsid w:val="00CF475F"/>
    <w:rsid w:val="00CF5008"/>
    <w:rsid w:val="00CF5069"/>
    <w:rsid w:val="00CF5E34"/>
    <w:rsid w:val="00CF6707"/>
    <w:rsid w:val="00CF7101"/>
    <w:rsid w:val="00CF7327"/>
    <w:rsid w:val="00CF7385"/>
    <w:rsid w:val="00CF7539"/>
    <w:rsid w:val="00CF75C6"/>
    <w:rsid w:val="00CF7B77"/>
    <w:rsid w:val="00CF7DF5"/>
    <w:rsid w:val="00D001D2"/>
    <w:rsid w:val="00D01654"/>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C8C"/>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B70"/>
    <w:rsid w:val="00D27F75"/>
    <w:rsid w:val="00D3046D"/>
    <w:rsid w:val="00D30497"/>
    <w:rsid w:val="00D30C4D"/>
    <w:rsid w:val="00D30F5F"/>
    <w:rsid w:val="00D31243"/>
    <w:rsid w:val="00D316D9"/>
    <w:rsid w:val="00D31B07"/>
    <w:rsid w:val="00D31B9D"/>
    <w:rsid w:val="00D3249A"/>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C72"/>
    <w:rsid w:val="00D43DEF"/>
    <w:rsid w:val="00D44259"/>
    <w:rsid w:val="00D446C9"/>
    <w:rsid w:val="00D45C61"/>
    <w:rsid w:val="00D45DDC"/>
    <w:rsid w:val="00D5064C"/>
    <w:rsid w:val="00D50778"/>
    <w:rsid w:val="00D50C94"/>
    <w:rsid w:val="00D511E7"/>
    <w:rsid w:val="00D517ED"/>
    <w:rsid w:val="00D5251C"/>
    <w:rsid w:val="00D52F56"/>
    <w:rsid w:val="00D539DA"/>
    <w:rsid w:val="00D53A67"/>
    <w:rsid w:val="00D54A50"/>
    <w:rsid w:val="00D54FFD"/>
    <w:rsid w:val="00D5552C"/>
    <w:rsid w:val="00D5556D"/>
    <w:rsid w:val="00D55C34"/>
    <w:rsid w:val="00D55C81"/>
    <w:rsid w:val="00D5674B"/>
    <w:rsid w:val="00D56B56"/>
    <w:rsid w:val="00D56BF5"/>
    <w:rsid w:val="00D56F99"/>
    <w:rsid w:val="00D5743F"/>
    <w:rsid w:val="00D57F1F"/>
    <w:rsid w:val="00D60065"/>
    <w:rsid w:val="00D601ED"/>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5C"/>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B8"/>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7D1"/>
    <w:rsid w:val="00DA099C"/>
    <w:rsid w:val="00DA0F18"/>
    <w:rsid w:val="00DA1D5D"/>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913"/>
    <w:rsid w:val="00DB14D3"/>
    <w:rsid w:val="00DB154B"/>
    <w:rsid w:val="00DB1BDC"/>
    <w:rsid w:val="00DB3490"/>
    <w:rsid w:val="00DB3593"/>
    <w:rsid w:val="00DB440B"/>
    <w:rsid w:val="00DB4426"/>
    <w:rsid w:val="00DB4522"/>
    <w:rsid w:val="00DB4B40"/>
    <w:rsid w:val="00DB4F12"/>
    <w:rsid w:val="00DB4F21"/>
    <w:rsid w:val="00DB4F42"/>
    <w:rsid w:val="00DB540C"/>
    <w:rsid w:val="00DB6A51"/>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6B"/>
    <w:rsid w:val="00DD57E7"/>
    <w:rsid w:val="00DD5A1E"/>
    <w:rsid w:val="00DD5B8C"/>
    <w:rsid w:val="00DD5DFA"/>
    <w:rsid w:val="00DD5E91"/>
    <w:rsid w:val="00DD6CE2"/>
    <w:rsid w:val="00DD720D"/>
    <w:rsid w:val="00DD7E04"/>
    <w:rsid w:val="00DE0229"/>
    <w:rsid w:val="00DE0359"/>
    <w:rsid w:val="00DE04E0"/>
    <w:rsid w:val="00DE12F1"/>
    <w:rsid w:val="00DE1A9D"/>
    <w:rsid w:val="00DE1CB1"/>
    <w:rsid w:val="00DE2073"/>
    <w:rsid w:val="00DE2F1B"/>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5A8"/>
    <w:rsid w:val="00DF3798"/>
    <w:rsid w:val="00DF4FF1"/>
    <w:rsid w:val="00DF52BA"/>
    <w:rsid w:val="00DF556E"/>
    <w:rsid w:val="00DF56A3"/>
    <w:rsid w:val="00DF5AB9"/>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4DC"/>
    <w:rsid w:val="00E203DE"/>
    <w:rsid w:val="00E20CE7"/>
    <w:rsid w:val="00E217B1"/>
    <w:rsid w:val="00E21E1C"/>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AB"/>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437"/>
    <w:rsid w:val="00E57932"/>
    <w:rsid w:val="00E606C4"/>
    <w:rsid w:val="00E60811"/>
    <w:rsid w:val="00E60AB8"/>
    <w:rsid w:val="00E6103E"/>
    <w:rsid w:val="00E6185F"/>
    <w:rsid w:val="00E61D32"/>
    <w:rsid w:val="00E63C60"/>
    <w:rsid w:val="00E64050"/>
    <w:rsid w:val="00E64B7B"/>
    <w:rsid w:val="00E6503D"/>
    <w:rsid w:val="00E6514D"/>
    <w:rsid w:val="00E65161"/>
    <w:rsid w:val="00E652C9"/>
    <w:rsid w:val="00E6593B"/>
    <w:rsid w:val="00E65D74"/>
    <w:rsid w:val="00E66E11"/>
    <w:rsid w:val="00E672C6"/>
    <w:rsid w:val="00E70192"/>
    <w:rsid w:val="00E70C55"/>
    <w:rsid w:val="00E70E34"/>
    <w:rsid w:val="00E7163B"/>
    <w:rsid w:val="00E71809"/>
    <w:rsid w:val="00E71D1E"/>
    <w:rsid w:val="00E7258C"/>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0D0"/>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865"/>
    <w:rsid w:val="00E97DC6"/>
    <w:rsid w:val="00E97F7A"/>
    <w:rsid w:val="00EA0010"/>
    <w:rsid w:val="00EA0143"/>
    <w:rsid w:val="00EA089B"/>
    <w:rsid w:val="00EA1318"/>
    <w:rsid w:val="00EA1ACC"/>
    <w:rsid w:val="00EA233A"/>
    <w:rsid w:val="00EA2E21"/>
    <w:rsid w:val="00EA2EAA"/>
    <w:rsid w:val="00EA380C"/>
    <w:rsid w:val="00EA4E88"/>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981"/>
    <w:rsid w:val="00EC1E8A"/>
    <w:rsid w:val="00EC1F1F"/>
    <w:rsid w:val="00EC23A5"/>
    <w:rsid w:val="00EC328C"/>
    <w:rsid w:val="00EC32F5"/>
    <w:rsid w:val="00EC3852"/>
    <w:rsid w:val="00EC4528"/>
    <w:rsid w:val="00EC4D3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6C3"/>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3F73"/>
    <w:rsid w:val="00F041FD"/>
    <w:rsid w:val="00F04D19"/>
    <w:rsid w:val="00F050A3"/>
    <w:rsid w:val="00F06340"/>
    <w:rsid w:val="00F0665D"/>
    <w:rsid w:val="00F06D42"/>
    <w:rsid w:val="00F07134"/>
    <w:rsid w:val="00F0724D"/>
    <w:rsid w:val="00F07378"/>
    <w:rsid w:val="00F07FFC"/>
    <w:rsid w:val="00F10B81"/>
    <w:rsid w:val="00F10BC9"/>
    <w:rsid w:val="00F113C9"/>
    <w:rsid w:val="00F11C01"/>
    <w:rsid w:val="00F11D80"/>
    <w:rsid w:val="00F128CA"/>
    <w:rsid w:val="00F13B0A"/>
    <w:rsid w:val="00F1469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232"/>
    <w:rsid w:val="00F213D8"/>
    <w:rsid w:val="00F2199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7C"/>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003"/>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49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47"/>
    <w:rsid w:val="00F70FD4"/>
    <w:rsid w:val="00F71342"/>
    <w:rsid w:val="00F71C68"/>
    <w:rsid w:val="00F724E2"/>
    <w:rsid w:val="00F72550"/>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A6F"/>
    <w:rsid w:val="00F94C1B"/>
    <w:rsid w:val="00F97A34"/>
    <w:rsid w:val="00F97E4A"/>
    <w:rsid w:val="00F97EA1"/>
    <w:rsid w:val="00FA003A"/>
    <w:rsid w:val="00FA05C8"/>
    <w:rsid w:val="00FA0678"/>
    <w:rsid w:val="00FA0DB6"/>
    <w:rsid w:val="00FA2091"/>
    <w:rsid w:val="00FA23F7"/>
    <w:rsid w:val="00FA27EB"/>
    <w:rsid w:val="00FA35B6"/>
    <w:rsid w:val="00FA3EBC"/>
    <w:rsid w:val="00FA423C"/>
    <w:rsid w:val="00FA44D0"/>
    <w:rsid w:val="00FA4590"/>
    <w:rsid w:val="00FA55A2"/>
    <w:rsid w:val="00FA672F"/>
    <w:rsid w:val="00FA7200"/>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2E5"/>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2C2"/>
    <w:rsid w:val="00FD6894"/>
    <w:rsid w:val="00FD6AF0"/>
    <w:rsid w:val="00FD6F11"/>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6D11"/>
    <w:rsid w:val="00FE713E"/>
    <w:rsid w:val="00FE7877"/>
    <w:rsid w:val="00FE7DD1"/>
    <w:rsid w:val="00FF0B4F"/>
    <w:rsid w:val="00FF0ED4"/>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BD2"/>
    <w:rsid w:val="010651D9"/>
    <w:rsid w:val="011F6449"/>
    <w:rsid w:val="01236AFB"/>
    <w:rsid w:val="013F5477"/>
    <w:rsid w:val="017A7A1C"/>
    <w:rsid w:val="019F7441"/>
    <w:rsid w:val="01B37585"/>
    <w:rsid w:val="01D55165"/>
    <w:rsid w:val="01DF6BF8"/>
    <w:rsid w:val="01EC2C57"/>
    <w:rsid w:val="02025461"/>
    <w:rsid w:val="025A26FC"/>
    <w:rsid w:val="026B2E25"/>
    <w:rsid w:val="02824D4D"/>
    <w:rsid w:val="029B2D72"/>
    <w:rsid w:val="02A84526"/>
    <w:rsid w:val="02DC4B10"/>
    <w:rsid w:val="02DD76CE"/>
    <w:rsid w:val="02F36323"/>
    <w:rsid w:val="02F5619C"/>
    <w:rsid w:val="0326446A"/>
    <w:rsid w:val="032D5555"/>
    <w:rsid w:val="033301DC"/>
    <w:rsid w:val="03465822"/>
    <w:rsid w:val="036634D2"/>
    <w:rsid w:val="03885263"/>
    <w:rsid w:val="03A574F2"/>
    <w:rsid w:val="03C75283"/>
    <w:rsid w:val="03DD35E4"/>
    <w:rsid w:val="03FC5F2A"/>
    <w:rsid w:val="04076900"/>
    <w:rsid w:val="04133956"/>
    <w:rsid w:val="041A5A3B"/>
    <w:rsid w:val="042311BA"/>
    <w:rsid w:val="042B157A"/>
    <w:rsid w:val="04553F6E"/>
    <w:rsid w:val="048F763B"/>
    <w:rsid w:val="049F330E"/>
    <w:rsid w:val="04AA775C"/>
    <w:rsid w:val="04AF1889"/>
    <w:rsid w:val="04F66F48"/>
    <w:rsid w:val="05251E14"/>
    <w:rsid w:val="05573D16"/>
    <w:rsid w:val="056027A2"/>
    <w:rsid w:val="05A16594"/>
    <w:rsid w:val="05A7762D"/>
    <w:rsid w:val="060E5941"/>
    <w:rsid w:val="06110FAF"/>
    <w:rsid w:val="062D516C"/>
    <w:rsid w:val="06493CA7"/>
    <w:rsid w:val="065A6178"/>
    <w:rsid w:val="066F1CF3"/>
    <w:rsid w:val="06930BB8"/>
    <w:rsid w:val="06F47336"/>
    <w:rsid w:val="07245D42"/>
    <w:rsid w:val="07264C62"/>
    <w:rsid w:val="0779354C"/>
    <w:rsid w:val="07A66F74"/>
    <w:rsid w:val="07B61E00"/>
    <w:rsid w:val="07FE23B9"/>
    <w:rsid w:val="080545BE"/>
    <w:rsid w:val="08061376"/>
    <w:rsid w:val="08452D77"/>
    <w:rsid w:val="086401F8"/>
    <w:rsid w:val="0874091F"/>
    <w:rsid w:val="08751CAA"/>
    <w:rsid w:val="087E4C40"/>
    <w:rsid w:val="08D66AD6"/>
    <w:rsid w:val="08DA33A3"/>
    <w:rsid w:val="08E80F13"/>
    <w:rsid w:val="09335624"/>
    <w:rsid w:val="0944690F"/>
    <w:rsid w:val="09465972"/>
    <w:rsid w:val="09535675"/>
    <w:rsid w:val="095A2027"/>
    <w:rsid w:val="095F057D"/>
    <w:rsid w:val="09642282"/>
    <w:rsid w:val="09733572"/>
    <w:rsid w:val="09772C16"/>
    <w:rsid w:val="098353B5"/>
    <w:rsid w:val="098725DC"/>
    <w:rsid w:val="09A92330"/>
    <w:rsid w:val="09B06B87"/>
    <w:rsid w:val="09C13146"/>
    <w:rsid w:val="09D247A9"/>
    <w:rsid w:val="09E04166"/>
    <w:rsid w:val="0A1C0718"/>
    <w:rsid w:val="0A2851B6"/>
    <w:rsid w:val="0A292CEB"/>
    <w:rsid w:val="0A3E7710"/>
    <w:rsid w:val="0A4213BD"/>
    <w:rsid w:val="0A522000"/>
    <w:rsid w:val="0A563A66"/>
    <w:rsid w:val="0A5B7E63"/>
    <w:rsid w:val="0A67494D"/>
    <w:rsid w:val="0A92134D"/>
    <w:rsid w:val="0AA374A5"/>
    <w:rsid w:val="0AA87736"/>
    <w:rsid w:val="0AAB7649"/>
    <w:rsid w:val="0ABC5606"/>
    <w:rsid w:val="0AC11B84"/>
    <w:rsid w:val="0ADD6AE9"/>
    <w:rsid w:val="0AEA1189"/>
    <w:rsid w:val="0B30404E"/>
    <w:rsid w:val="0B4C6C14"/>
    <w:rsid w:val="0B52745A"/>
    <w:rsid w:val="0B56412A"/>
    <w:rsid w:val="0B631A88"/>
    <w:rsid w:val="0B683D45"/>
    <w:rsid w:val="0B7F3F11"/>
    <w:rsid w:val="0B884417"/>
    <w:rsid w:val="0B8E5FB8"/>
    <w:rsid w:val="0BBE5231"/>
    <w:rsid w:val="0BDD0E14"/>
    <w:rsid w:val="0BF6188C"/>
    <w:rsid w:val="0BF73C91"/>
    <w:rsid w:val="0C170175"/>
    <w:rsid w:val="0C353E9C"/>
    <w:rsid w:val="0C3B009E"/>
    <w:rsid w:val="0C436AD9"/>
    <w:rsid w:val="0C571A41"/>
    <w:rsid w:val="0C5C1171"/>
    <w:rsid w:val="0C5D1FE3"/>
    <w:rsid w:val="0C5E1CBC"/>
    <w:rsid w:val="0C615B50"/>
    <w:rsid w:val="0C812B51"/>
    <w:rsid w:val="0C8445DA"/>
    <w:rsid w:val="0C87121B"/>
    <w:rsid w:val="0CC007F7"/>
    <w:rsid w:val="0CF40175"/>
    <w:rsid w:val="0CFE707A"/>
    <w:rsid w:val="0D017656"/>
    <w:rsid w:val="0D063BDA"/>
    <w:rsid w:val="0D08375F"/>
    <w:rsid w:val="0D184CFB"/>
    <w:rsid w:val="0D4A7419"/>
    <w:rsid w:val="0D5258E4"/>
    <w:rsid w:val="0D530474"/>
    <w:rsid w:val="0D6E147C"/>
    <w:rsid w:val="0D827401"/>
    <w:rsid w:val="0D84094E"/>
    <w:rsid w:val="0D8A00E9"/>
    <w:rsid w:val="0D8D589E"/>
    <w:rsid w:val="0DA01C73"/>
    <w:rsid w:val="0DCD1019"/>
    <w:rsid w:val="0DD57ECE"/>
    <w:rsid w:val="0DD63300"/>
    <w:rsid w:val="0DF50604"/>
    <w:rsid w:val="0DF702FE"/>
    <w:rsid w:val="0E060E51"/>
    <w:rsid w:val="0E225AB9"/>
    <w:rsid w:val="0E5604B2"/>
    <w:rsid w:val="0E5D22BE"/>
    <w:rsid w:val="0E6D5D79"/>
    <w:rsid w:val="0E9D0089"/>
    <w:rsid w:val="0EB803EE"/>
    <w:rsid w:val="0EF94D4B"/>
    <w:rsid w:val="0F20024D"/>
    <w:rsid w:val="0F2C7FC2"/>
    <w:rsid w:val="0F4958DC"/>
    <w:rsid w:val="0F4E001C"/>
    <w:rsid w:val="0F515DF7"/>
    <w:rsid w:val="0F596BA8"/>
    <w:rsid w:val="0F6248D2"/>
    <w:rsid w:val="0F693536"/>
    <w:rsid w:val="0F7B0511"/>
    <w:rsid w:val="0F7B76D9"/>
    <w:rsid w:val="0F816ACD"/>
    <w:rsid w:val="0F9832DB"/>
    <w:rsid w:val="0FBD50BE"/>
    <w:rsid w:val="0FBF3FD2"/>
    <w:rsid w:val="0FBF7FF3"/>
    <w:rsid w:val="0FE70671"/>
    <w:rsid w:val="0FFB02FA"/>
    <w:rsid w:val="10086339"/>
    <w:rsid w:val="10646583"/>
    <w:rsid w:val="107D4B15"/>
    <w:rsid w:val="108A3C80"/>
    <w:rsid w:val="10A17219"/>
    <w:rsid w:val="10BB33AB"/>
    <w:rsid w:val="10C26171"/>
    <w:rsid w:val="10EF5B09"/>
    <w:rsid w:val="10F33360"/>
    <w:rsid w:val="10FC16EA"/>
    <w:rsid w:val="110F1D40"/>
    <w:rsid w:val="1120088E"/>
    <w:rsid w:val="11266F33"/>
    <w:rsid w:val="118963A1"/>
    <w:rsid w:val="118A1374"/>
    <w:rsid w:val="11916802"/>
    <w:rsid w:val="11B411C8"/>
    <w:rsid w:val="11C6522A"/>
    <w:rsid w:val="11E104CC"/>
    <w:rsid w:val="11E20309"/>
    <w:rsid w:val="12255233"/>
    <w:rsid w:val="12530213"/>
    <w:rsid w:val="12594386"/>
    <w:rsid w:val="1269011E"/>
    <w:rsid w:val="127723A9"/>
    <w:rsid w:val="12862074"/>
    <w:rsid w:val="12883966"/>
    <w:rsid w:val="129E45B4"/>
    <w:rsid w:val="12D81596"/>
    <w:rsid w:val="12E55CFE"/>
    <w:rsid w:val="13072A44"/>
    <w:rsid w:val="131A5CA6"/>
    <w:rsid w:val="133B576B"/>
    <w:rsid w:val="13532B78"/>
    <w:rsid w:val="135F4BE2"/>
    <w:rsid w:val="13853043"/>
    <w:rsid w:val="138B18F3"/>
    <w:rsid w:val="139B1A0A"/>
    <w:rsid w:val="139D25C7"/>
    <w:rsid w:val="13BF3CE4"/>
    <w:rsid w:val="13D6674E"/>
    <w:rsid w:val="140E6ABF"/>
    <w:rsid w:val="141008D8"/>
    <w:rsid w:val="14125FE6"/>
    <w:rsid w:val="1424532F"/>
    <w:rsid w:val="146D271E"/>
    <w:rsid w:val="14982588"/>
    <w:rsid w:val="149A5AD9"/>
    <w:rsid w:val="14A7619D"/>
    <w:rsid w:val="14F044F4"/>
    <w:rsid w:val="150536C3"/>
    <w:rsid w:val="15064E11"/>
    <w:rsid w:val="150C1963"/>
    <w:rsid w:val="151447A0"/>
    <w:rsid w:val="15200D24"/>
    <w:rsid w:val="15421AFA"/>
    <w:rsid w:val="154222ED"/>
    <w:rsid w:val="154A6454"/>
    <w:rsid w:val="15762120"/>
    <w:rsid w:val="1592490D"/>
    <w:rsid w:val="16A8729C"/>
    <w:rsid w:val="16B33777"/>
    <w:rsid w:val="16BC70A7"/>
    <w:rsid w:val="16C6339E"/>
    <w:rsid w:val="1719707D"/>
    <w:rsid w:val="172C16AC"/>
    <w:rsid w:val="172F2D79"/>
    <w:rsid w:val="17557BEF"/>
    <w:rsid w:val="17711A2F"/>
    <w:rsid w:val="17BD1D3A"/>
    <w:rsid w:val="17D349C1"/>
    <w:rsid w:val="1830729E"/>
    <w:rsid w:val="1870062C"/>
    <w:rsid w:val="187E741B"/>
    <w:rsid w:val="18817102"/>
    <w:rsid w:val="18830A15"/>
    <w:rsid w:val="18852B28"/>
    <w:rsid w:val="188B5321"/>
    <w:rsid w:val="194C58D0"/>
    <w:rsid w:val="197762DD"/>
    <w:rsid w:val="19907918"/>
    <w:rsid w:val="19932372"/>
    <w:rsid w:val="19A20DD5"/>
    <w:rsid w:val="19A80871"/>
    <w:rsid w:val="19AE03F1"/>
    <w:rsid w:val="19D450E1"/>
    <w:rsid w:val="19DB686C"/>
    <w:rsid w:val="1A033733"/>
    <w:rsid w:val="1A071A03"/>
    <w:rsid w:val="1A1F16AE"/>
    <w:rsid w:val="1A3B5C77"/>
    <w:rsid w:val="1A540A12"/>
    <w:rsid w:val="1A66715E"/>
    <w:rsid w:val="1A890438"/>
    <w:rsid w:val="1A984BAD"/>
    <w:rsid w:val="1AB8220E"/>
    <w:rsid w:val="1AE4166C"/>
    <w:rsid w:val="1AE85900"/>
    <w:rsid w:val="1AF06CFB"/>
    <w:rsid w:val="1AF11B8D"/>
    <w:rsid w:val="1AFB2B95"/>
    <w:rsid w:val="1B04116C"/>
    <w:rsid w:val="1B11359C"/>
    <w:rsid w:val="1B1D177B"/>
    <w:rsid w:val="1B2A271F"/>
    <w:rsid w:val="1B3D21A7"/>
    <w:rsid w:val="1B530544"/>
    <w:rsid w:val="1B713184"/>
    <w:rsid w:val="1B99253B"/>
    <w:rsid w:val="1BA209CF"/>
    <w:rsid w:val="1BB4777D"/>
    <w:rsid w:val="1BD45161"/>
    <w:rsid w:val="1BD75AB8"/>
    <w:rsid w:val="1BF1134C"/>
    <w:rsid w:val="1C0459C2"/>
    <w:rsid w:val="1C1B3B4A"/>
    <w:rsid w:val="1C361957"/>
    <w:rsid w:val="1C630A70"/>
    <w:rsid w:val="1C780570"/>
    <w:rsid w:val="1C88086E"/>
    <w:rsid w:val="1CD86393"/>
    <w:rsid w:val="1D266CE1"/>
    <w:rsid w:val="1D2A65D7"/>
    <w:rsid w:val="1D3963AF"/>
    <w:rsid w:val="1D6A673C"/>
    <w:rsid w:val="1D783852"/>
    <w:rsid w:val="1D9247AE"/>
    <w:rsid w:val="1DB567EC"/>
    <w:rsid w:val="1DEF4894"/>
    <w:rsid w:val="1DF51A98"/>
    <w:rsid w:val="1E3D060F"/>
    <w:rsid w:val="1E3E3281"/>
    <w:rsid w:val="1E3F7D2E"/>
    <w:rsid w:val="1E4134E4"/>
    <w:rsid w:val="1E5062B3"/>
    <w:rsid w:val="1E523514"/>
    <w:rsid w:val="1E714A66"/>
    <w:rsid w:val="1E7A5D9E"/>
    <w:rsid w:val="1E802593"/>
    <w:rsid w:val="1EA703CC"/>
    <w:rsid w:val="1EB7330C"/>
    <w:rsid w:val="1ECC0E79"/>
    <w:rsid w:val="1F0A0FF3"/>
    <w:rsid w:val="1F240CB5"/>
    <w:rsid w:val="1F5771FF"/>
    <w:rsid w:val="1FB160A1"/>
    <w:rsid w:val="1FE868A9"/>
    <w:rsid w:val="20034907"/>
    <w:rsid w:val="20063B80"/>
    <w:rsid w:val="20173E4B"/>
    <w:rsid w:val="204E48BC"/>
    <w:rsid w:val="206D262D"/>
    <w:rsid w:val="208921B3"/>
    <w:rsid w:val="20921109"/>
    <w:rsid w:val="20973DEB"/>
    <w:rsid w:val="20B26522"/>
    <w:rsid w:val="20B44310"/>
    <w:rsid w:val="20C938C2"/>
    <w:rsid w:val="20D4558D"/>
    <w:rsid w:val="211116EB"/>
    <w:rsid w:val="216133FC"/>
    <w:rsid w:val="21875B03"/>
    <w:rsid w:val="21A5330F"/>
    <w:rsid w:val="21D56769"/>
    <w:rsid w:val="21DD26D6"/>
    <w:rsid w:val="21E421B3"/>
    <w:rsid w:val="21E52EF3"/>
    <w:rsid w:val="21EC16FC"/>
    <w:rsid w:val="21F32E80"/>
    <w:rsid w:val="21FB5D7B"/>
    <w:rsid w:val="220B1C3D"/>
    <w:rsid w:val="22163247"/>
    <w:rsid w:val="221D1D20"/>
    <w:rsid w:val="22334A87"/>
    <w:rsid w:val="22640AA6"/>
    <w:rsid w:val="22A10DA1"/>
    <w:rsid w:val="22AA4F68"/>
    <w:rsid w:val="22BE6801"/>
    <w:rsid w:val="233500BF"/>
    <w:rsid w:val="23377FF7"/>
    <w:rsid w:val="236B425F"/>
    <w:rsid w:val="23836192"/>
    <w:rsid w:val="23901F29"/>
    <w:rsid w:val="239C0061"/>
    <w:rsid w:val="23B26890"/>
    <w:rsid w:val="23B908A4"/>
    <w:rsid w:val="23BA47E3"/>
    <w:rsid w:val="23D909ED"/>
    <w:rsid w:val="23E95BEF"/>
    <w:rsid w:val="23FD0064"/>
    <w:rsid w:val="24431BDE"/>
    <w:rsid w:val="245375B0"/>
    <w:rsid w:val="24642C0A"/>
    <w:rsid w:val="246F72D2"/>
    <w:rsid w:val="24B22173"/>
    <w:rsid w:val="24B95AD9"/>
    <w:rsid w:val="24BE24DA"/>
    <w:rsid w:val="24C465A1"/>
    <w:rsid w:val="24CF5825"/>
    <w:rsid w:val="24D63A35"/>
    <w:rsid w:val="24D663E6"/>
    <w:rsid w:val="24D77F2B"/>
    <w:rsid w:val="25183A2B"/>
    <w:rsid w:val="251C0DA0"/>
    <w:rsid w:val="25293712"/>
    <w:rsid w:val="258B00E2"/>
    <w:rsid w:val="25A917A6"/>
    <w:rsid w:val="25BE27CC"/>
    <w:rsid w:val="25F74A5C"/>
    <w:rsid w:val="261C7718"/>
    <w:rsid w:val="2628662C"/>
    <w:rsid w:val="262D45DE"/>
    <w:rsid w:val="26943E2C"/>
    <w:rsid w:val="26A53EF9"/>
    <w:rsid w:val="26A94201"/>
    <w:rsid w:val="26AC274F"/>
    <w:rsid w:val="26DE7813"/>
    <w:rsid w:val="27044A29"/>
    <w:rsid w:val="27053614"/>
    <w:rsid w:val="271D34C8"/>
    <w:rsid w:val="271E00FA"/>
    <w:rsid w:val="275B2D9A"/>
    <w:rsid w:val="276142BF"/>
    <w:rsid w:val="276E6F72"/>
    <w:rsid w:val="27783712"/>
    <w:rsid w:val="27907362"/>
    <w:rsid w:val="27C44DE4"/>
    <w:rsid w:val="28333E1D"/>
    <w:rsid w:val="28454BD6"/>
    <w:rsid w:val="28455253"/>
    <w:rsid w:val="28551971"/>
    <w:rsid w:val="285B1C53"/>
    <w:rsid w:val="289305E4"/>
    <w:rsid w:val="289F7086"/>
    <w:rsid w:val="28C32028"/>
    <w:rsid w:val="28CC490F"/>
    <w:rsid w:val="28CF4645"/>
    <w:rsid w:val="28DE40AA"/>
    <w:rsid w:val="28F13C7D"/>
    <w:rsid w:val="28FC2C00"/>
    <w:rsid w:val="29071838"/>
    <w:rsid w:val="29090400"/>
    <w:rsid w:val="29345E77"/>
    <w:rsid w:val="294C65AD"/>
    <w:rsid w:val="29753362"/>
    <w:rsid w:val="29806583"/>
    <w:rsid w:val="298B3C4C"/>
    <w:rsid w:val="299C1D15"/>
    <w:rsid w:val="29F26D24"/>
    <w:rsid w:val="2A081B40"/>
    <w:rsid w:val="2A15033F"/>
    <w:rsid w:val="2A1662C1"/>
    <w:rsid w:val="2A1C7367"/>
    <w:rsid w:val="2A2815FA"/>
    <w:rsid w:val="2A6D6092"/>
    <w:rsid w:val="2A7D76B4"/>
    <w:rsid w:val="2ABB524A"/>
    <w:rsid w:val="2AF21FAD"/>
    <w:rsid w:val="2B114234"/>
    <w:rsid w:val="2B261369"/>
    <w:rsid w:val="2B437463"/>
    <w:rsid w:val="2B480F4F"/>
    <w:rsid w:val="2B6E3F6A"/>
    <w:rsid w:val="2B7807EE"/>
    <w:rsid w:val="2B957B63"/>
    <w:rsid w:val="2BBF00EC"/>
    <w:rsid w:val="2BC37CFD"/>
    <w:rsid w:val="2BCE686B"/>
    <w:rsid w:val="2BD5237F"/>
    <w:rsid w:val="2BE536CE"/>
    <w:rsid w:val="2BE758D9"/>
    <w:rsid w:val="2C09049E"/>
    <w:rsid w:val="2C0A653C"/>
    <w:rsid w:val="2C191F85"/>
    <w:rsid w:val="2C730B86"/>
    <w:rsid w:val="2C914E7D"/>
    <w:rsid w:val="2CB0513C"/>
    <w:rsid w:val="2CB66EF8"/>
    <w:rsid w:val="2CE82D6F"/>
    <w:rsid w:val="2D343236"/>
    <w:rsid w:val="2D606C7D"/>
    <w:rsid w:val="2DD15014"/>
    <w:rsid w:val="2DF72DE4"/>
    <w:rsid w:val="2DFC7732"/>
    <w:rsid w:val="2E0220AF"/>
    <w:rsid w:val="2E3F45EA"/>
    <w:rsid w:val="2E4525DD"/>
    <w:rsid w:val="2E4B082A"/>
    <w:rsid w:val="2E5D4E86"/>
    <w:rsid w:val="2E5D790B"/>
    <w:rsid w:val="2E9A3C18"/>
    <w:rsid w:val="2EB363AC"/>
    <w:rsid w:val="2EBB0FEE"/>
    <w:rsid w:val="2EC545AB"/>
    <w:rsid w:val="2EC63002"/>
    <w:rsid w:val="2EE03233"/>
    <w:rsid w:val="2EE351AC"/>
    <w:rsid w:val="2F0A6B38"/>
    <w:rsid w:val="2F2901C0"/>
    <w:rsid w:val="2F4725EB"/>
    <w:rsid w:val="2F946CCB"/>
    <w:rsid w:val="2F972268"/>
    <w:rsid w:val="2FD25781"/>
    <w:rsid w:val="2FFD7934"/>
    <w:rsid w:val="301C108E"/>
    <w:rsid w:val="305E4B15"/>
    <w:rsid w:val="30733ACD"/>
    <w:rsid w:val="308C3862"/>
    <w:rsid w:val="30915A7F"/>
    <w:rsid w:val="309379D8"/>
    <w:rsid w:val="30A270F7"/>
    <w:rsid w:val="30C419B0"/>
    <w:rsid w:val="30DF1478"/>
    <w:rsid w:val="30EC586F"/>
    <w:rsid w:val="30F229C1"/>
    <w:rsid w:val="310426F5"/>
    <w:rsid w:val="312E3B6A"/>
    <w:rsid w:val="313C44C0"/>
    <w:rsid w:val="31405BC4"/>
    <w:rsid w:val="319C6071"/>
    <w:rsid w:val="31AB5907"/>
    <w:rsid w:val="31AC537E"/>
    <w:rsid w:val="31C111F3"/>
    <w:rsid w:val="31E3679B"/>
    <w:rsid w:val="31E732FD"/>
    <w:rsid w:val="31FA3F13"/>
    <w:rsid w:val="32517576"/>
    <w:rsid w:val="3287118A"/>
    <w:rsid w:val="32BE5C2C"/>
    <w:rsid w:val="32F07DD5"/>
    <w:rsid w:val="32FB6478"/>
    <w:rsid w:val="33263B3F"/>
    <w:rsid w:val="335A2AA0"/>
    <w:rsid w:val="335F21F0"/>
    <w:rsid w:val="336963EB"/>
    <w:rsid w:val="33816EEB"/>
    <w:rsid w:val="33925D96"/>
    <w:rsid w:val="33B7468F"/>
    <w:rsid w:val="33D62089"/>
    <w:rsid w:val="33EB55CD"/>
    <w:rsid w:val="33EC4C02"/>
    <w:rsid w:val="340B7637"/>
    <w:rsid w:val="340D2360"/>
    <w:rsid w:val="3410665D"/>
    <w:rsid w:val="34211214"/>
    <w:rsid w:val="342E63AB"/>
    <w:rsid w:val="34950E68"/>
    <w:rsid w:val="34986E94"/>
    <w:rsid w:val="34AE0B4C"/>
    <w:rsid w:val="34AF62C9"/>
    <w:rsid w:val="34CB4388"/>
    <w:rsid w:val="34CD66C2"/>
    <w:rsid w:val="34FA6E12"/>
    <w:rsid w:val="35312EBF"/>
    <w:rsid w:val="358D5588"/>
    <w:rsid w:val="35AA0A18"/>
    <w:rsid w:val="35AD5109"/>
    <w:rsid w:val="363A3B40"/>
    <w:rsid w:val="365302AE"/>
    <w:rsid w:val="36607A0A"/>
    <w:rsid w:val="366C4520"/>
    <w:rsid w:val="366E227C"/>
    <w:rsid w:val="366F2E0D"/>
    <w:rsid w:val="367B6A5C"/>
    <w:rsid w:val="367C48DF"/>
    <w:rsid w:val="36A74ADA"/>
    <w:rsid w:val="36AD60D5"/>
    <w:rsid w:val="36B224F9"/>
    <w:rsid w:val="36B6362A"/>
    <w:rsid w:val="36EC0CC9"/>
    <w:rsid w:val="36EC3A0F"/>
    <w:rsid w:val="370C24CD"/>
    <w:rsid w:val="373F410B"/>
    <w:rsid w:val="37474571"/>
    <w:rsid w:val="376B702A"/>
    <w:rsid w:val="376C7D61"/>
    <w:rsid w:val="378B76CC"/>
    <w:rsid w:val="37D73A85"/>
    <w:rsid w:val="37EE7094"/>
    <w:rsid w:val="38296B3F"/>
    <w:rsid w:val="38296C89"/>
    <w:rsid w:val="382C78CD"/>
    <w:rsid w:val="383002EB"/>
    <w:rsid w:val="38586797"/>
    <w:rsid w:val="38BC0149"/>
    <w:rsid w:val="38D34E86"/>
    <w:rsid w:val="38D87D1C"/>
    <w:rsid w:val="39636459"/>
    <w:rsid w:val="396B7F6C"/>
    <w:rsid w:val="39B417A9"/>
    <w:rsid w:val="39CD2315"/>
    <w:rsid w:val="39F24D39"/>
    <w:rsid w:val="39FC5695"/>
    <w:rsid w:val="3A006D8E"/>
    <w:rsid w:val="3A0D43C8"/>
    <w:rsid w:val="3A3651E5"/>
    <w:rsid w:val="3A386C0E"/>
    <w:rsid w:val="3A444DB1"/>
    <w:rsid w:val="3A56271C"/>
    <w:rsid w:val="3A5913BB"/>
    <w:rsid w:val="3A59585F"/>
    <w:rsid w:val="3A744481"/>
    <w:rsid w:val="3A797E6F"/>
    <w:rsid w:val="3A8C7BEF"/>
    <w:rsid w:val="3A906246"/>
    <w:rsid w:val="3AAB509E"/>
    <w:rsid w:val="3B2349B7"/>
    <w:rsid w:val="3B616CFF"/>
    <w:rsid w:val="3B6259F6"/>
    <w:rsid w:val="3B976654"/>
    <w:rsid w:val="3B9A612F"/>
    <w:rsid w:val="3BC01EFC"/>
    <w:rsid w:val="3BCA786A"/>
    <w:rsid w:val="3BD31E2F"/>
    <w:rsid w:val="3BD74DAA"/>
    <w:rsid w:val="3BD93247"/>
    <w:rsid w:val="3BF15831"/>
    <w:rsid w:val="3C105946"/>
    <w:rsid w:val="3C471448"/>
    <w:rsid w:val="3C5D60F0"/>
    <w:rsid w:val="3C5F759A"/>
    <w:rsid w:val="3C6C525A"/>
    <w:rsid w:val="3C7C6193"/>
    <w:rsid w:val="3C8F0D83"/>
    <w:rsid w:val="3CB678A5"/>
    <w:rsid w:val="3CBF4D79"/>
    <w:rsid w:val="3CCE23CB"/>
    <w:rsid w:val="3CD17D17"/>
    <w:rsid w:val="3CF74BDC"/>
    <w:rsid w:val="3D330CF2"/>
    <w:rsid w:val="3D3C1709"/>
    <w:rsid w:val="3D3C7F39"/>
    <w:rsid w:val="3D440F09"/>
    <w:rsid w:val="3D4504A0"/>
    <w:rsid w:val="3D8161D7"/>
    <w:rsid w:val="3D8734BB"/>
    <w:rsid w:val="3D9A11D4"/>
    <w:rsid w:val="3DA16D89"/>
    <w:rsid w:val="3DA364BE"/>
    <w:rsid w:val="3DDD5A75"/>
    <w:rsid w:val="3DE041CB"/>
    <w:rsid w:val="3DF40815"/>
    <w:rsid w:val="3E0D48F6"/>
    <w:rsid w:val="3E1868B4"/>
    <w:rsid w:val="3E1A73F6"/>
    <w:rsid w:val="3E2A04EE"/>
    <w:rsid w:val="3E377251"/>
    <w:rsid w:val="3E3E3D98"/>
    <w:rsid w:val="3E42664B"/>
    <w:rsid w:val="3E5A7334"/>
    <w:rsid w:val="3E5F5B3A"/>
    <w:rsid w:val="3E7B5D6B"/>
    <w:rsid w:val="3E843E66"/>
    <w:rsid w:val="3E8F51FE"/>
    <w:rsid w:val="3E926F87"/>
    <w:rsid w:val="3E9A59DE"/>
    <w:rsid w:val="3EAF4836"/>
    <w:rsid w:val="3EC33DFA"/>
    <w:rsid w:val="3EE15CC9"/>
    <w:rsid w:val="3F060E16"/>
    <w:rsid w:val="3F1D1096"/>
    <w:rsid w:val="3F2A47C8"/>
    <w:rsid w:val="3F2F0234"/>
    <w:rsid w:val="3F58688B"/>
    <w:rsid w:val="3F6363FE"/>
    <w:rsid w:val="3F6E1EF9"/>
    <w:rsid w:val="3F756B8F"/>
    <w:rsid w:val="3F7C2F01"/>
    <w:rsid w:val="3F95482B"/>
    <w:rsid w:val="3FA95EB5"/>
    <w:rsid w:val="3FCC33C2"/>
    <w:rsid w:val="4019356B"/>
    <w:rsid w:val="40592157"/>
    <w:rsid w:val="406E1CAE"/>
    <w:rsid w:val="408B3695"/>
    <w:rsid w:val="40A0133A"/>
    <w:rsid w:val="40BE466E"/>
    <w:rsid w:val="40C31A53"/>
    <w:rsid w:val="40CA2FA4"/>
    <w:rsid w:val="40E1730B"/>
    <w:rsid w:val="40FB10EC"/>
    <w:rsid w:val="40FF545D"/>
    <w:rsid w:val="410067C8"/>
    <w:rsid w:val="410B3A33"/>
    <w:rsid w:val="417C08E0"/>
    <w:rsid w:val="418F0D2A"/>
    <w:rsid w:val="41D01505"/>
    <w:rsid w:val="41EC5704"/>
    <w:rsid w:val="41EE0F83"/>
    <w:rsid w:val="42234488"/>
    <w:rsid w:val="423E085B"/>
    <w:rsid w:val="42474939"/>
    <w:rsid w:val="424C3C57"/>
    <w:rsid w:val="424D0FDF"/>
    <w:rsid w:val="42613FF3"/>
    <w:rsid w:val="42660D96"/>
    <w:rsid w:val="428667D2"/>
    <w:rsid w:val="429A138A"/>
    <w:rsid w:val="42A12863"/>
    <w:rsid w:val="42C53E91"/>
    <w:rsid w:val="42CD1CE0"/>
    <w:rsid w:val="42E1381E"/>
    <w:rsid w:val="42ED6459"/>
    <w:rsid w:val="42FE58DD"/>
    <w:rsid w:val="43174B3D"/>
    <w:rsid w:val="434B790E"/>
    <w:rsid w:val="435571DE"/>
    <w:rsid w:val="4360274F"/>
    <w:rsid w:val="43957229"/>
    <w:rsid w:val="43977AB6"/>
    <w:rsid w:val="43A3342B"/>
    <w:rsid w:val="43C77C27"/>
    <w:rsid w:val="43DE09EE"/>
    <w:rsid w:val="44002FAD"/>
    <w:rsid w:val="4405758C"/>
    <w:rsid w:val="449101DD"/>
    <w:rsid w:val="44DE1391"/>
    <w:rsid w:val="44DF76A2"/>
    <w:rsid w:val="451B225C"/>
    <w:rsid w:val="452410C9"/>
    <w:rsid w:val="452F326F"/>
    <w:rsid w:val="45317DFB"/>
    <w:rsid w:val="454D7D6F"/>
    <w:rsid w:val="456D3CE4"/>
    <w:rsid w:val="4579042C"/>
    <w:rsid w:val="457F0571"/>
    <w:rsid w:val="45851176"/>
    <w:rsid w:val="45995425"/>
    <w:rsid w:val="45C63B94"/>
    <w:rsid w:val="45D5524E"/>
    <w:rsid w:val="460E7DA5"/>
    <w:rsid w:val="46422483"/>
    <w:rsid w:val="4659254A"/>
    <w:rsid w:val="465B0637"/>
    <w:rsid w:val="465E3F0D"/>
    <w:rsid w:val="466A16E6"/>
    <w:rsid w:val="46893F2B"/>
    <w:rsid w:val="46942A15"/>
    <w:rsid w:val="46A0188F"/>
    <w:rsid w:val="46C4686E"/>
    <w:rsid w:val="46C93D6D"/>
    <w:rsid w:val="47520834"/>
    <w:rsid w:val="477B778F"/>
    <w:rsid w:val="478203EC"/>
    <w:rsid w:val="47B025FA"/>
    <w:rsid w:val="47E161BF"/>
    <w:rsid w:val="4809698F"/>
    <w:rsid w:val="4811697D"/>
    <w:rsid w:val="483E5FFB"/>
    <w:rsid w:val="48733940"/>
    <w:rsid w:val="487A3E25"/>
    <w:rsid w:val="488B5503"/>
    <w:rsid w:val="48937E21"/>
    <w:rsid w:val="489A0361"/>
    <w:rsid w:val="48B94FF3"/>
    <w:rsid w:val="48D735D8"/>
    <w:rsid w:val="48E37AAB"/>
    <w:rsid w:val="48FD4B4C"/>
    <w:rsid w:val="48FE636A"/>
    <w:rsid w:val="48FF152B"/>
    <w:rsid w:val="490A68E0"/>
    <w:rsid w:val="491055FE"/>
    <w:rsid w:val="495F5B3E"/>
    <w:rsid w:val="496F77D7"/>
    <w:rsid w:val="497654FD"/>
    <w:rsid w:val="49B64211"/>
    <w:rsid w:val="49F6167F"/>
    <w:rsid w:val="4A064FA0"/>
    <w:rsid w:val="4A16615C"/>
    <w:rsid w:val="4A4424D7"/>
    <w:rsid w:val="4A5E4B39"/>
    <w:rsid w:val="4A7F4927"/>
    <w:rsid w:val="4A8910CD"/>
    <w:rsid w:val="4AB82D0F"/>
    <w:rsid w:val="4AEB7664"/>
    <w:rsid w:val="4AED39FF"/>
    <w:rsid w:val="4AFD7C19"/>
    <w:rsid w:val="4B0567D1"/>
    <w:rsid w:val="4B1F10C6"/>
    <w:rsid w:val="4B204E6B"/>
    <w:rsid w:val="4B236AAE"/>
    <w:rsid w:val="4B707271"/>
    <w:rsid w:val="4B9739F7"/>
    <w:rsid w:val="4B983B6E"/>
    <w:rsid w:val="4BB7277D"/>
    <w:rsid w:val="4BEE2503"/>
    <w:rsid w:val="4C1D00D7"/>
    <w:rsid w:val="4C245A30"/>
    <w:rsid w:val="4C575977"/>
    <w:rsid w:val="4C8F6EBF"/>
    <w:rsid w:val="4CB6685F"/>
    <w:rsid w:val="4CC367FE"/>
    <w:rsid w:val="4CCE5E33"/>
    <w:rsid w:val="4D077F3C"/>
    <w:rsid w:val="4D123355"/>
    <w:rsid w:val="4D161EE5"/>
    <w:rsid w:val="4D2A3B31"/>
    <w:rsid w:val="4D312C52"/>
    <w:rsid w:val="4D747D65"/>
    <w:rsid w:val="4D905305"/>
    <w:rsid w:val="4D964A72"/>
    <w:rsid w:val="4D9C1254"/>
    <w:rsid w:val="4DBC44B5"/>
    <w:rsid w:val="4E564778"/>
    <w:rsid w:val="4E6C5709"/>
    <w:rsid w:val="4E793892"/>
    <w:rsid w:val="4E800872"/>
    <w:rsid w:val="4E94015D"/>
    <w:rsid w:val="4EC33397"/>
    <w:rsid w:val="4EC569ED"/>
    <w:rsid w:val="4ECE0172"/>
    <w:rsid w:val="4ED50EA1"/>
    <w:rsid w:val="4EEC050C"/>
    <w:rsid w:val="4F104EC3"/>
    <w:rsid w:val="4F47354A"/>
    <w:rsid w:val="4F691B75"/>
    <w:rsid w:val="4F702FD7"/>
    <w:rsid w:val="4F911C54"/>
    <w:rsid w:val="4F9763EB"/>
    <w:rsid w:val="4FCC21D8"/>
    <w:rsid w:val="4FDE063B"/>
    <w:rsid w:val="4FE625E0"/>
    <w:rsid w:val="501B67F5"/>
    <w:rsid w:val="5021480F"/>
    <w:rsid w:val="5091686D"/>
    <w:rsid w:val="50962ECB"/>
    <w:rsid w:val="50A42E38"/>
    <w:rsid w:val="50A4577F"/>
    <w:rsid w:val="50B73D1F"/>
    <w:rsid w:val="50BD5212"/>
    <w:rsid w:val="50BD5BC9"/>
    <w:rsid w:val="50C11EEE"/>
    <w:rsid w:val="50E2040B"/>
    <w:rsid w:val="50E97CFC"/>
    <w:rsid w:val="50FA4028"/>
    <w:rsid w:val="510D65B7"/>
    <w:rsid w:val="511157AB"/>
    <w:rsid w:val="51244194"/>
    <w:rsid w:val="51333D03"/>
    <w:rsid w:val="514249A7"/>
    <w:rsid w:val="5142540C"/>
    <w:rsid w:val="514B6067"/>
    <w:rsid w:val="518832C8"/>
    <w:rsid w:val="51A0432A"/>
    <w:rsid w:val="51A86090"/>
    <w:rsid w:val="51B7396D"/>
    <w:rsid w:val="51F831BD"/>
    <w:rsid w:val="52170CBE"/>
    <w:rsid w:val="522E4CC3"/>
    <w:rsid w:val="523429E2"/>
    <w:rsid w:val="523818E8"/>
    <w:rsid w:val="5244713B"/>
    <w:rsid w:val="524E02CE"/>
    <w:rsid w:val="52615633"/>
    <w:rsid w:val="52977FD4"/>
    <w:rsid w:val="52A25790"/>
    <w:rsid w:val="52A96B6F"/>
    <w:rsid w:val="52B45975"/>
    <w:rsid w:val="52B63DE0"/>
    <w:rsid w:val="52D94AA4"/>
    <w:rsid w:val="52EA3A62"/>
    <w:rsid w:val="52F50BB8"/>
    <w:rsid w:val="53097272"/>
    <w:rsid w:val="530C60F3"/>
    <w:rsid w:val="534D01B2"/>
    <w:rsid w:val="53544462"/>
    <w:rsid w:val="53684416"/>
    <w:rsid w:val="5387761B"/>
    <w:rsid w:val="5397158E"/>
    <w:rsid w:val="539B4F01"/>
    <w:rsid w:val="53C2401E"/>
    <w:rsid w:val="53E04A53"/>
    <w:rsid w:val="53F90357"/>
    <w:rsid w:val="54013861"/>
    <w:rsid w:val="54487265"/>
    <w:rsid w:val="544D6070"/>
    <w:rsid w:val="54605E1E"/>
    <w:rsid w:val="548059AC"/>
    <w:rsid w:val="54931E82"/>
    <w:rsid w:val="54B3506A"/>
    <w:rsid w:val="54CA0D16"/>
    <w:rsid w:val="54CA3F33"/>
    <w:rsid w:val="54DD4057"/>
    <w:rsid w:val="54E7490F"/>
    <w:rsid w:val="54F969C9"/>
    <w:rsid w:val="550764A4"/>
    <w:rsid w:val="550B2BF6"/>
    <w:rsid w:val="550F3998"/>
    <w:rsid w:val="5519380E"/>
    <w:rsid w:val="55214EB5"/>
    <w:rsid w:val="55364EFD"/>
    <w:rsid w:val="55437327"/>
    <w:rsid w:val="555D4828"/>
    <w:rsid w:val="557645ED"/>
    <w:rsid w:val="557A4C8B"/>
    <w:rsid w:val="557B4484"/>
    <w:rsid w:val="557B7D23"/>
    <w:rsid w:val="558931E1"/>
    <w:rsid w:val="55923347"/>
    <w:rsid w:val="55925180"/>
    <w:rsid w:val="55983B1B"/>
    <w:rsid w:val="55A014EF"/>
    <w:rsid w:val="55A614B1"/>
    <w:rsid w:val="55A8376B"/>
    <w:rsid w:val="55B96F69"/>
    <w:rsid w:val="55DC29B6"/>
    <w:rsid w:val="55DD4241"/>
    <w:rsid w:val="55F430ED"/>
    <w:rsid w:val="5618423F"/>
    <w:rsid w:val="56424FA2"/>
    <w:rsid w:val="566B6D1E"/>
    <w:rsid w:val="56B61E25"/>
    <w:rsid w:val="56FE192D"/>
    <w:rsid w:val="57032A2C"/>
    <w:rsid w:val="570F5219"/>
    <w:rsid w:val="57150236"/>
    <w:rsid w:val="574C54BE"/>
    <w:rsid w:val="575D12B5"/>
    <w:rsid w:val="57610A87"/>
    <w:rsid w:val="577272CF"/>
    <w:rsid w:val="577B1140"/>
    <w:rsid w:val="577B7F21"/>
    <w:rsid w:val="577F181B"/>
    <w:rsid w:val="57921984"/>
    <w:rsid w:val="579737F0"/>
    <w:rsid w:val="57A072DC"/>
    <w:rsid w:val="57AB7B30"/>
    <w:rsid w:val="57AF5251"/>
    <w:rsid w:val="57B26373"/>
    <w:rsid w:val="57B63F04"/>
    <w:rsid w:val="57CD20C2"/>
    <w:rsid w:val="57D573DB"/>
    <w:rsid w:val="57D675AB"/>
    <w:rsid w:val="57D918C5"/>
    <w:rsid w:val="57D95FDD"/>
    <w:rsid w:val="57E5652D"/>
    <w:rsid w:val="58467205"/>
    <w:rsid w:val="58917D2F"/>
    <w:rsid w:val="5894085C"/>
    <w:rsid w:val="58AE4F0C"/>
    <w:rsid w:val="58B85899"/>
    <w:rsid w:val="58D565A1"/>
    <w:rsid w:val="58E363A9"/>
    <w:rsid w:val="59254A57"/>
    <w:rsid w:val="59303A19"/>
    <w:rsid w:val="59325E44"/>
    <w:rsid w:val="595E1678"/>
    <w:rsid w:val="595F4EB3"/>
    <w:rsid w:val="596D5BD4"/>
    <w:rsid w:val="597E3DD8"/>
    <w:rsid w:val="59EC5950"/>
    <w:rsid w:val="59F80043"/>
    <w:rsid w:val="5A09252F"/>
    <w:rsid w:val="5A0B2778"/>
    <w:rsid w:val="5A2A7C7B"/>
    <w:rsid w:val="5A2D353C"/>
    <w:rsid w:val="5A3E2560"/>
    <w:rsid w:val="5A5D3B6E"/>
    <w:rsid w:val="5A637A76"/>
    <w:rsid w:val="5A6D33BA"/>
    <w:rsid w:val="5A792B1F"/>
    <w:rsid w:val="5A874767"/>
    <w:rsid w:val="5AAD6F28"/>
    <w:rsid w:val="5AD63A24"/>
    <w:rsid w:val="5AE632B4"/>
    <w:rsid w:val="5AED342D"/>
    <w:rsid w:val="5AF2343A"/>
    <w:rsid w:val="5B2E1A1D"/>
    <w:rsid w:val="5B6F4A8B"/>
    <w:rsid w:val="5B843A1C"/>
    <w:rsid w:val="5B873E3F"/>
    <w:rsid w:val="5B8A3673"/>
    <w:rsid w:val="5BB22606"/>
    <w:rsid w:val="5BD164BB"/>
    <w:rsid w:val="5BD445A4"/>
    <w:rsid w:val="5C02690E"/>
    <w:rsid w:val="5C196DA7"/>
    <w:rsid w:val="5C220A3A"/>
    <w:rsid w:val="5C2A048C"/>
    <w:rsid w:val="5C6E0D96"/>
    <w:rsid w:val="5C7A4768"/>
    <w:rsid w:val="5C80234E"/>
    <w:rsid w:val="5C831903"/>
    <w:rsid w:val="5C8A680C"/>
    <w:rsid w:val="5CA60F58"/>
    <w:rsid w:val="5CE75958"/>
    <w:rsid w:val="5D0C4701"/>
    <w:rsid w:val="5D0F0395"/>
    <w:rsid w:val="5D221076"/>
    <w:rsid w:val="5D397964"/>
    <w:rsid w:val="5D491257"/>
    <w:rsid w:val="5D5A391C"/>
    <w:rsid w:val="5D5F10C0"/>
    <w:rsid w:val="5D891B7B"/>
    <w:rsid w:val="5DAD38EE"/>
    <w:rsid w:val="5DDE5264"/>
    <w:rsid w:val="5E006862"/>
    <w:rsid w:val="5E0207B9"/>
    <w:rsid w:val="5E0A5256"/>
    <w:rsid w:val="5E1834A1"/>
    <w:rsid w:val="5E22427D"/>
    <w:rsid w:val="5E261785"/>
    <w:rsid w:val="5E3B7091"/>
    <w:rsid w:val="5E403FB2"/>
    <w:rsid w:val="5E4A7017"/>
    <w:rsid w:val="5E552BBA"/>
    <w:rsid w:val="5E611C10"/>
    <w:rsid w:val="5EE7684F"/>
    <w:rsid w:val="5EFC7377"/>
    <w:rsid w:val="5F06174D"/>
    <w:rsid w:val="5F155949"/>
    <w:rsid w:val="5F3A3602"/>
    <w:rsid w:val="5F5F0972"/>
    <w:rsid w:val="5F6277C6"/>
    <w:rsid w:val="5F6D0B1D"/>
    <w:rsid w:val="5F704A88"/>
    <w:rsid w:val="5F8D0B82"/>
    <w:rsid w:val="5FB21A0B"/>
    <w:rsid w:val="5FCC5339"/>
    <w:rsid w:val="5FE34A5B"/>
    <w:rsid w:val="5FF90EA4"/>
    <w:rsid w:val="5FFE1E36"/>
    <w:rsid w:val="6007225A"/>
    <w:rsid w:val="60232584"/>
    <w:rsid w:val="607330CE"/>
    <w:rsid w:val="60825176"/>
    <w:rsid w:val="609F2AC4"/>
    <w:rsid w:val="60B65B72"/>
    <w:rsid w:val="60CC798A"/>
    <w:rsid w:val="60FA2EE8"/>
    <w:rsid w:val="60FE42AA"/>
    <w:rsid w:val="60FF355B"/>
    <w:rsid w:val="61054A27"/>
    <w:rsid w:val="610A52BC"/>
    <w:rsid w:val="611D2366"/>
    <w:rsid w:val="61421856"/>
    <w:rsid w:val="615227C4"/>
    <w:rsid w:val="615B5B2A"/>
    <w:rsid w:val="61654E3F"/>
    <w:rsid w:val="6182292A"/>
    <w:rsid w:val="619F7F92"/>
    <w:rsid w:val="61F94C26"/>
    <w:rsid w:val="62000E56"/>
    <w:rsid w:val="624F2F20"/>
    <w:rsid w:val="624F3E49"/>
    <w:rsid w:val="62570F03"/>
    <w:rsid w:val="62632286"/>
    <w:rsid w:val="62885958"/>
    <w:rsid w:val="62972AA5"/>
    <w:rsid w:val="62984E01"/>
    <w:rsid w:val="62AE316D"/>
    <w:rsid w:val="62F40B65"/>
    <w:rsid w:val="62FC2CFE"/>
    <w:rsid w:val="63024505"/>
    <w:rsid w:val="632A0BAF"/>
    <w:rsid w:val="634761A8"/>
    <w:rsid w:val="635B1DB5"/>
    <w:rsid w:val="63711FED"/>
    <w:rsid w:val="638766EA"/>
    <w:rsid w:val="63880DDC"/>
    <w:rsid w:val="638D750D"/>
    <w:rsid w:val="63AC6CC0"/>
    <w:rsid w:val="63E45536"/>
    <w:rsid w:val="64055776"/>
    <w:rsid w:val="64115FBC"/>
    <w:rsid w:val="64240056"/>
    <w:rsid w:val="643E143A"/>
    <w:rsid w:val="645A7CF9"/>
    <w:rsid w:val="645F2839"/>
    <w:rsid w:val="648B6EEF"/>
    <w:rsid w:val="64C158BF"/>
    <w:rsid w:val="64CE2EAA"/>
    <w:rsid w:val="64E61C88"/>
    <w:rsid w:val="653C3090"/>
    <w:rsid w:val="65681C5D"/>
    <w:rsid w:val="656E26A3"/>
    <w:rsid w:val="65854376"/>
    <w:rsid w:val="658767BE"/>
    <w:rsid w:val="65892531"/>
    <w:rsid w:val="65946DB6"/>
    <w:rsid w:val="66195831"/>
    <w:rsid w:val="662E75B1"/>
    <w:rsid w:val="66342C2E"/>
    <w:rsid w:val="663E784C"/>
    <w:rsid w:val="668B6A45"/>
    <w:rsid w:val="66B01071"/>
    <w:rsid w:val="66B274F3"/>
    <w:rsid w:val="672C3830"/>
    <w:rsid w:val="672F3F24"/>
    <w:rsid w:val="673E055F"/>
    <w:rsid w:val="67551CE3"/>
    <w:rsid w:val="675A24C7"/>
    <w:rsid w:val="675A65EF"/>
    <w:rsid w:val="6772060E"/>
    <w:rsid w:val="67A22552"/>
    <w:rsid w:val="67B22DCC"/>
    <w:rsid w:val="67BE71AA"/>
    <w:rsid w:val="67D90273"/>
    <w:rsid w:val="67DE5875"/>
    <w:rsid w:val="67E20234"/>
    <w:rsid w:val="67E55852"/>
    <w:rsid w:val="67EB1AB4"/>
    <w:rsid w:val="67FA1285"/>
    <w:rsid w:val="68464DC5"/>
    <w:rsid w:val="68551F4F"/>
    <w:rsid w:val="687C10C9"/>
    <w:rsid w:val="68840C16"/>
    <w:rsid w:val="68876EFB"/>
    <w:rsid w:val="68884654"/>
    <w:rsid w:val="689F444F"/>
    <w:rsid w:val="68A87B55"/>
    <w:rsid w:val="68B96DBB"/>
    <w:rsid w:val="68CA2805"/>
    <w:rsid w:val="68E65C61"/>
    <w:rsid w:val="68E937A3"/>
    <w:rsid w:val="69127179"/>
    <w:rsid w:val="69154FBD"/>
    <w:rsid w:val="693E15D3"/>
    <w:rsid w:val="694E3F32"/>
    <w:rsid w:val="69627681"/>
    <w:rsid w:val="6977531D"/>
    <w:rsid w:val="69C02F33"/>
    <w:rsid w:val="69C064B2"/>
    <w:rsid w:val="69CC2BFF"/>
    <w:rsid w:val="69E47C01"/>
    <w:rsid w:val="69F01B9F"/>
    <w:rsid w:val="69FD55B8"/>
    <w:rsid w:val="6A0B1C62"/>
    <w:rsid w:val="6A2406C8"/>
    <w:rsid w:val="6A4A0458"/>
    <w:rsid w:val="6ABC167B"/>
    <w:rsid w:val="6ADE0BD1"/>
    <w:rsid w:val="6AE1484D"/>
    <w:rsid w:val="6AE74CF1"/>
    <w:rsid w:val="6AE96859"/>
    <w:rsid w:val="6B147746"/>
    <w:rsid w:val="6B24787C"/>
    <w:rsid w:val="6B573233"/>
    <w:rsid w:val="6B5B6274"/>
    <w:rsid w:val="6B7F24A8"/>
    <w:rsid w:val="6B935D53"/>
    <w:rsid w:val="6B943D7F"/>
    <w:rsid w:val="6BBF5E5E"/>
    <w:rsid w:val="6BCA3618"/>
    <w:rsid w:val="6BD86FC5"/>
    <w:rsid w:val="6C0528A2"/>
    <w:rsid w:val="6C196F71"/>
    <w:rsid w:val="6C226FCB"/>
    <w:rsid w:val="6C31226F"/>
    <w:rsid w:val="6C552F0B"/>
    <w:rsid w:val="6C8C67B7"/>
    <w:rsid w:val="6C8D3D8F"/>
    <w:rsid w:val="6C9D744C"/>
    <w:rsid w:val="6D167928"/>
    <w:rsid w:val="6D26299B"/>
    <w:rsid w:val="6D2F659C"/>
    <w:rsid w:val="6D4772EC"/>
    <w:rsid w:val="6D8141C3"/>
    <w:rsid w:val="6D9078AF"/>
    <w:rsid w:val="6D9E2FAE"/>
    <w:rsid w:val="6DAA3FEF"/>
    <w:rsid w:val="6DC0172B"/>
    <w:rsid w:val="6DCB690C"/>
    <w:rsid w:val="6DD41A5B"/>
    <w:rsid w:val="6DEF3FDE"/>
    <w:rsid w:val="6DF43C2E"/>
    <w:rsid w:val="6DF51CA3"/>
    <w:rsid w:val="6E8335BD"/>
    <w:rsid w:val="6E8E12EF"/>
    <w:rsid w:val="6E972936"/>
    <w:rsid w:val="6ED446C5"/>
    <w:rsid w:val="6F1570A7"/>
    <w:rsid w:val="6F2A7D94"/>
    <w:rsid w:val="6F4B2014"/>
    <w:rsid w:val="6F8331F1"/>
    <w:rsid w:val="6FAE1A09"/>
    <w:rsid w:val="6FD75BF8"/>
    <w:rsid w:val="6FFB5146"/>
    <w:rsid w:val="70444548"/>
    <w:rsid w:val="707723D0"/>
    <w:rsid w:val="70C747BE"/>
    <w:rsid w:val="70D30A48"/>
    <w:rsid w:val="70EE7DA8"/>
    <w:rsid w:val="70F5661B"/>
    <w:rsid w:val="712007C5"/>
    <w:rsid w:val="71360107"/>
    <w:rsid w:val="713B688E"/>
    <w:rsid w:val="71805602"/>
    <w:rsid w:val="718C71DB"/>
    <w:rsid w:val="71D43752"/>
    <w:rsid w:val="71D90D25"/>
    <w:rsid w:val="71EE501B"/>
    <w:rsid w:val="71F1796A"/>
    <w:rsid w:val="72154626"/>
    <w:rsid w:val="72262B5D"/>
    <w:rsid w:val="72283FF7"/>
    <w:rsid w:val="722E7212"/>
    <w:rsid w:val="723A0474"/>
    <w:rsid w:val="725923E4"/>
    <w:rsid w:val="72864BF7"/>
    <w:rsid w:val="729023FC"/>
    <w:rsid w:val="729915CE"/>
    <w:rsid w:val="72AD22E1"/>
    <w:rsid w:val="731742D0"/>
    <w:rsid w:val="734F0FF3"/>
    <w:rsid w:val="73643F2E"/>
    <w:rsid w:val="73843376"/>
    <w:rsid w:val="73C0646E"/>
    <w:rsid w:val="73C92407"/>
    <w:rsid w:val="7400051E"/>
    <w:rsid w:val="74172856"/>
    <w:rsid w:val="742222F5"/>
    <w:rsid w:val="74315D68"/>
    <w:rsid w:val="74476126"/>
    <w:rsid w:val="74706664"/>
    <w:rsid w:val="747F3682"/>
    <w:rsid w:val="749C4185"/>
    <w:rsid w:val="74C85DB6"/>
    <w:rsid w:val="75067759"/>
    <w:rsid w:val="752E6DCD"/>
    <w:rsid w:val="7551380D"/>
    <w:rsid w:val="75555F04"/>
    <w:rsid w:val="75600BE5"/>
    <w:rsid w:val="7564475C"/>
    <w:rsid w:val="7583797F"/>
    <w:rsid w:val="75931A68"/>
    <w:rsid w:val="75B165AB"/>
    <w:rsid w:val="75D20F1D"/>
    <w:rsid w:val="75DA2C18"/>
    <w:rsid w:val="75F54412"/>
    <w:rsid w:val="761D08E0"/>
    <w:rsid w:val="76206A90"/>
    <w:rsid w:val="765D347C"/>
    <w:rsid w:val="76826699"/>
    <w:rsid w:val="7690015C"/>
    <w:rsid w:val="76C87133"/>
    <w:rsid w:val="76CD08D5"/>
    <w:rsid w:val="76DB2B7D"/>
    <w:rsid w:val="76DB4B92"/>
    <w:rsid w:val="770110A1"/>
    <w:rsid w:val="77052AA4"/>
    <w:rsid w:val="7713250F"/>
    <w:rsid w:val="77136511"/>
    <w:rsid w:val="771613AE"/>
    <w:rsid w:val="77340A39"/>
    <w:rsid w:val="77351FD0"/>
    <w:rsid w:val="77472422"/>
    <w:rsid w:val="777F31F2"/>
    <w:rsid w:val="77D1700D"/>
    <w:rsid w:val="77E10C96"/>
    <w:rsid w:val="77EC04CC"/>
    <w:rsid w:val="78644C8F"/>
    <w:rsid w:val="78775729"/>
    <w:rsid w:val="78A42DB0"/>
    <w:rsid w:val="78A656AB"/>
    <w:rsid w:val="78B2245C"/>
    <w:rsid w:val="78E172CC"/>
    <w:rsid w:val="78E558A6"/>
    <w:rsid w:val="78EA1D1F"/>
    <w:rsid w:val="7904172F"/>
    <w:rsid w:val="790F7E27"/>
    <w:rsid w:val="79167E9C"/>
    <w:rsid w:val="792A231A"/>
    <w:rsid w:val="79316829"/>
    <w:rsid w:val="797C0647"/>
    <w:rsid w:val="797E66A9"/>
    <w:rsid w:val="798E117E"/>
    <w:rsid w:val="79A97383"/>
    <w:rsid w:val="79C175F9"/>
    <w:rsid w:val="79E27E8B"/>
    <w:rsid w:val="79F850CE"/>
    <w:rsid w:val="79FD443C"/>
    <w:rsid w:val="7A1D1975"/>
    <w:rsid w:val="7A3E5150"/>
    <w:rsid w:val="7A4670D6"/>
    <w:rsid w:val="7A534B63"/>
    <w:rsid w:val="7A615382"/>
    <w:rsid w:val="7A67303B"/>
    <w:rsid w:val="7A8A5390"/>
    <w:rsid w:val="7AAB1D04"/>
    <w:rsid w:val="7AB14320"/>
    <w:rsid w:val="7ABA4368"/>
    <w:rsid w:val="7ABA5A5E"/>
    <w:rsid w:val="7AD05746"/>
    <w:rsid w:val="7AEA2767"/>
    <w:rsid w:val="7B257FFD"/>
    <w:rsid w:val="7B343476"/>
    <w:rsid w:val="7B5A2978"/>
    <w:rsid w:val="7B5A7E4C"/>
    <w:rsid w:val="7B667AF9"/>
    <w:rsid w:val="7B6B0442"/>
    <w:rsid w:val="7B7468F8"/>
    <w:rsid w:val="7B973DCC"/>
    <w:rsid w:val="7BBB7869"/>
    <w:rsid w:val="7BC05AF5"/>
    <w:rsid w:val="7BEE0103"/>
    <w:rsid w:val="7BF6244F"/>
    <w:rsid w:val="7C0A0FE4"/>
    <w:rsid w:val="7C254906"/>
    <w:rsid w:val="7C590818"/>
    <w:rsid w:val="7C7C10F6"/>
    <w:rsid w:val="7C853BEA"/>
    <w:rsid w:val="7C881368"/>
    <w:rsid w:val="7CE27788"/>
    <w:rsid w:val="7D0C32F1"/>
    <w:rsid w:val="7D0F408D"/>
    <w:rsid w:val="7D491C6C"/>
    <w:rsid w:val="7D4D7139"/>
    <w:rsid w:val="7D5429C0"/>
    <w:rsid w:val="7D5E0B9A"/>
    <w:rsid w:val="7D6E6D43"/>
    <w:rsid w:val="7DB57A34"/>
    <w:rsid w:val="7DE60973"/>
    <w:rsid w:val="7DEF0916"/>
    <w:rsid w:val="7E0368A3"/>
    <w:rsid w:val="7E1E5218"/>
    <w:rsid w:val="7E32168D"/>
    <w:rsid w:val="7E9A4E1F"/>
    <w:rsid w:val="7EA7723A"/>
    <w:rsid w:val="7ECB618F"/>
    <w:rsid w:val="7ED56104"/>
    <w:rsid w:val="7EF56FBB"/>
    <w:rsid w:val="7F0768EB"/>
    <w:rsid w:val="7F143BEC"/>
    <w:rsid w:val="7F2F1CB8"/>
    <w:rsid w:val="7F4D6BBA"/>
    <w:rsid w:val="7F515A2D"/>
    <w:rsid w:val="7F715AF2"/>
    <w:rsid w:val="7F886E69"/>
    <w:rsid w:val="7FBD5B5A"/>
    <w:rsid w:val="7FF87E3A"/>
    <w:rsid w:val="ADCAE25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5"/>
    <w:autoRedefine/>
    <w:qFormat/>
    <w:uiPriority w:val="99"/>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仿宋"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
    <w:link w:val="307"/>
    <w:autoRedefine/>
    <w:qFormat/>
    <w:uiPriority w:val="0"/>
    <w:pPr>
      <w:adjustRightInd/>
      <w:spacing w:before="60" w:after="60" w:line="300" w:lineRule="exact"/>
    </w:pPr>
    <w:rPr>
      <w:rFonts w:ascii="Calibri"/>
      <w:color w:val="0000FF"/>
      <w:kern w:val="0"/>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6"/>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Yu Gothic UI" w:hAnsi="Yu Gothic UI"/>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Yu Gothic UI" w:hAnsi="Yu Gothic UI"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仿宋" w:hAnsi="仿宋" w:eastAsia="仿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51" w:afterLines="51"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basedOn w:val="69"/>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仿宋"/>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icrosoft Sans Serif" w:hAnsi="Microsoft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表段落1"/>
    <w:basedOn w:val="1"/>
    <w:autoRedefine/>
    <w:qFormat/>
    <w:uiPriority w:val="34"/>
    <w:pPr>
      <w:spacing w:line="360" w:lineRule="auto"/>
      <w:ind w:firstLine="200" w:firstLineChars="200"/>
    </w:pPr>
    <w:rPr>
      <w:rFonts w:eastAsia="楷体" w:cs="Lucida Console"/>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6"/>
    <w:autoRedefine/>
    <w:qFormat/>
    <w:uiPriority w:val="0"/>
    <w:rPr>
      <w:rFonts w:ascii="宋体" w:hAnsi="宋体"/>
      <w:kern w:val="2"/>
      <w:sz w:val="24"/>
      <w:szCs w:val="24"/>
    </w:rPr>
  </w:style>
  <w:style w:type="character" w:customStyle="1" w:styleId="263">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99"/>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8"/>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basedOn w:val="69"/>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 w:cs="Lucida Console"/>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basedOn w:val="69"/>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 w:hAnsi="Arial" w:eastAsia="楷体"/>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方正仿宋_GB2312" w:hAnsi="方正仿宋_GB2312"/>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436"/>
    <w:next w:val="436"/>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6">
    <w:name w:val="第一部分"/>
    <w:basedOn w:val="1"/>
    <w:autoRedefine/>
    <w:qFormat/>
    <w:uiPriority w:val="0"/>
    <w:pPr>
      <w:jc w:val="center"/>
    </w:pPr>
    <w:rPr>
      <w:b/>
      <w:sz w:val="36"/>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仿宋"/>
    </w:rPr>
  </w:style>
  <w:style w:type="paragraph" w:customStyle="1" w:styleId="461">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Black" w:hAnsi="Arial Black"/>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 w:cs="Lucida Console"/>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autoRedefine/>
    <w:qFormat/>
    <w:uiPriority w:val="0"/>
    <w:pPr>
      <w:spacing w:after="68"/>
    </w:pPr>
    <w:rPr>
      <w:rFonts w:ascii="MT Extra" w:eastAsia="MT Extra"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Black" w:hAnsi="Arial Black"/>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 w:cs="Lucida Console"/>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Black" w:hAnsi="Arial Black"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Black" w:hAnsi="Arial Black"/>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Yu Gothic UI" w:hAnsi="Yu Gothic UI"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Black" w:cs="Arial Black"/>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Black"/>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Segoe Print" w:hAnsi="Segoe Print"/>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Black" w:hAnsi="Arial Black"/>
      <w:kern w:val="0"/>
      <w:sz w:val="24"/>
    </w:rPr>
  </w:style>
  <w:style w:type="paragraph" w:customStyle="1" w:styleId="681">
    <w:name w:val="Preformatted Text"/>
    <w:basedOn w:val="1"/>
    <w:autoRedefine/>
    <w:qFormat/>
    <w:uiPriority w:val="0"/>
    <w:pPr>
      <w:suppressAutoHyphens/>
      <w:adjustRightInd/>
      <w:ind w:firstLine="200" w:firstLineChars="200"/>
    </w:pPr>
    <w:rPr>
      <w:rFonts w:ascii="Cambria" w:hAnsi="Cambria" w:eastAsia="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Yu Gothic UI" w:hAnsi="Yu Gothic UI"/>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 w:cs="等线 Light"/>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 w:cs="Lucida Console"/>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Black" w:hAnsi="Arial Black"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Yu Gothic UI" w:hAnsi="Yu Gothic UI" w:cs="Yu Gothic UI"/>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Segoe Print" w:hAnsi="Segoe Print"/>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Malgun Gothic" w:hAnsi="Malgun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Yu Gothic UI" w:hAnsi="Yu Gothic UI" w:cs="Yu Gothic UI"/>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Yu Gothic UI" w:hAnsi="Yu Gothic UI"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Yu Gothic UI" w:hAnsi="Yu Gothic UI" w:cs="Yu Gothic UI"/>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 w:cs="Lucida Console"/>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rial" w:hAnsi="Arial"/>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Black" w:cs="Arial Black"/>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Black" w:hAnsi="Arial Black"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0"/>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Black" w:hAnsi="Arial Black"/>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Black" w:hAnsi="Arial Black"/>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9"/>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Malgun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99"/>
    <w:rPr>
      <w:rFonts w:ascii="Malgun Gothic" w:hAnsi="Malgun Gothic" w:eastAsia="Malgun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5"/>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Malgun Gothic" w:hAnsi="楷体" w:eastAsia="Malgun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Malgun Gothic" w:hAnsi="Malgun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Wingdings" w:eastAsia="Wingdings"/>
      <w:color w:val="454545"/>
      <w:kern w:val="0"/>
      <w:sz w:val="18"/>
      <w:szCs w:val="18"/>
    </w:rPr>
  </w:style>
  <w:style w:type="paragraph" w:customStyle="1" w:styleId="955">
    <w:name w:val="Table Paragraph"/>
    <w:basedOn w:val="1"/>
    <w:autoRedefine/>
    <w:qFormat/>
    <w:uiPriority w:val="1"/>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Black" w:hAnsi="Arial Black" w:eastAsia="Arial Black"/>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Normal]"/>
    <w:autoRedefine/>
    <w:qFormat/>
    <w:uiPriority w:val="0"/>
    <w:rPr>
      <w:rFonts w:ascii="宋体" w:hAnsi="宋体" w:eastAsia="宋体" w:cs="Times New Roman"/>
      <w:sz w:val="24"/>
      <w:szCs w:val="22"/>
      <w:lang w:val="zh-CN" w:eastAsia="zh-CN" w:bidi="ar-SA"/>
    </w:rPr>
  </w:style>
  <w:style w:type="paragraph" w:customStyle="1" w:styleId="963">
    <w:name w:val="大标题"/>
    <w:basedOn w:val="435"/>
    <w:autoRedefine/>
    <w:qFormat/>
    <w:uiPriority w:val="0"/>
    <w:rPr>
      <w:szCs w:val="36"/>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paragraph" w:customStyle="1" w:styleId="965">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966">
    <w:name w:val="未处理的提及2"/>
    <w:basedOn w:val="69"/>
    <w:autoRedefine/>
    <w:unhideWhenUsed/>
    <w:qFormat/>
    <w:uiPriority w:val="99"/>
    <w:rPr>
      <w:color w:val="605E5C"/>
      <w:shd w:val="clear" w:color="auto" w:fill="E1DFDD"/>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未处理的提及3"/>
    <w:basedOn w:val="69"/>
    <w:autoRedefine/>
    <w:unhideWhenUsed/>
    <w:qFormat/>
    <w:uiPriority w:val="99"/>
    <w:rPr>
      <w:color w:val="605E5C"/>
      <w:shd w:val="clear" w:color="auto" w:fill="E1DFDD"/>
    </w:rPr>
  </w:style>
  <w:style w:type="paragraph" w:customStyle="1" w:styleId="969">
    <w:name w:val="修订5"/>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70">
    <w:name w:val="网格型7"/>
    <w:basedOn w:val="62"/>
    <w:autoRedefine/>
    <w:unhideWhenUsed/>
    <w:qFormat/>
    <w:uiPriority w:val="0"/>
    <w:rPr>
      <w:rFonts w:ascii="MingLiU-ExtB" w:hAnsi="MingLiU-ExtB" w:cs="MingLiU-Ext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1">
    <w:name w:val="未处理的提及4"/>
    <w:basedOn w:val="69"/>
    <w:autoRedefine/>
    <w:unhideWhenUsed/>
    <w:qFormat/>
    <w:uiPriority w:val="99"/>
    <w:rPr>
      <w:color w:val="605E5C"/>
      <w:shd w:val="clear" w:color="auto" w:fill="E1DFDD"/>
    </w:rPr>
  </w:style>
  <w:style w:type="paragraph" w:customStyle="1" w:styleId="972">
    <w:name w:val="修订6"/>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73">
    <w:name w:val="网格型11"/>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8"/>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12"/>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6">
    <w:name w:val="正文首行缩进 21"/>
    <w:basedOn w:val="26"/>
    <w:autoRedefine/>
    <w:qFormat/>
    <w:uiPriority w:val="0"/>
    <w:pPr>
      <w:adjustRightInd/>
      <w:spacing w:before="100" w:beforeAutospacing="1" w:after="120" w:line="240" w:lineRule="auto"/>
      <w:ind w:left="420" w:leftChars="200" w:firstLine="210"/>
    </w:pPr>
    <w:rPr>
      <w:sz w:val="21"/>
      <w:szCs w:val="21"/>
    </w:rPr>
  </w:style>
  <w:style w:type="table" w:customStyle="1" w:styleId="977">
    <w:name w:val="网格型21"/>
    <w:basedOn w:val="6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1"/>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9">
    <w:name w:val="Body Text Indent1"/>
    <w:autoRedefine/>
    <w:qFormat/>
    <w:uiPriority w:val="0"/>
    <w:pPr>
      <w:widowControl w:val="0"/>
      <w:ind w:firstLine="602"/>
      <w:jc w:val="both"/>
    </w:pPr>
    <w:rPr>
      <w:rFonts w:ascii="Times New Roman" w:hAnsi="Times New Roman" w:eastAsia="宋体" w:cs="Times New Roman"/>
      <w:b/>
      <w:kern w:val="2"/>
      <w:sz w:val="21"/>
      <w:szCs w:val="24"/>
      <w:lang w:val="en-US" w:eastAsia="zh-CN" w:bidi="ar-SA"/>
    </w:rPr>
  </w:style>
  <w:style w:type="paragraph" w:customStyle="1" w:styleId="980">
    <w:name w:val="列出段落6"/>
    <w:basedOn w:val="1"/>
    <w:autoRedefine/>
    <w:qFormat/>
    <w:uiPriority w:val="99"/>
    <w:pPr>
      <w:adjustRightInd/>
      <w:ind w:firstLine="420" w:firstLineChars="200"/>
    </w:pPr>
    <w:rPr>
      <w:rFonts w:ascii="等线" w:hAnsi="等线" w:eastAsia="等线"/>
      <w:szCs w:val="22"/>
    </w:rPr>
  </w:style>
  <w:style w:type="table" w:customStyle="1" w:styleId="981">
    <w:name w:val="网格型32"/>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2">
    <w:name w:val="修订7"/>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3">
    <w:name w:val="Unresolved Mention"/>
    <w:basedOn w:val="69"/>
    <w:autoRedefine/>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E737A-64B6-4C13-8905-ACDAA7365EF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40100</Words>
  <Characters>6471</Characters>
  <Lines>53</Lines>
  <Paragraphs>92</Paragraphs>
  <TotalTime>380</TotalTime>
  <ScaleCrop>false</ScaleCrop>
  <LinksUpToDate>false</LinksUpToDate>
  <CharactersWithSpaces>46479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2023-03-17T01:29:00Z</dcterms:created>
  <dc:creator>玥</dc:creator>
  <cp:lastModifiedBy>甘卫芬</cp:lastModifiedBy>
  <cp:lastPrinted>2025-03-03T07:08:00Z</cp:lastPrinted>
  <dcterms:modified xsi:type="dcterms:W3CDTF">2025-03-03T08:48:40Z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F9270A09E4374338A710B220D9764B61_13</vt:lpwstr>
  </property>
</Properties>
</file>