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04AC8">
      <w:pPr>
        <w:rPr>
          <w:rFonts w:ascii="宋体" w:hAnsi="宋体"/>
          <w:b/>
          <w:sz w:val="84"/>
          <w:szCs w:val="84"/>
        </w:rPr>
      </w:pPr>
      <w:bookmarkStart w:id="0" w:name="_Toc5998"/>
    </w:p>
    <w:p w14:paraId="24AFE41A">
      <w:pPr>
        <w:ind w:firstLine="1661" w:firstLineChars="197"/>
        <w:rPr>
          <w:rFonts w:ascii="宋体" w:hAnsi="宋体"/>
          <w:b/>
          <w:sz w:val="84"/>
          <w:szCs w:val="84"/>
        </w:rPr>
      </w:pPr>
      <w:r>
        <w:rPr>
          <w:rFonts w:hint="eastAsia" w:ascii="宋体" w:hAnsi="宋体"/>
          <w:b/>
          <w:sz w:val="84"/>
          <w:szCs w:val="84"/>
        </w:rPr>
        <w:t>公开招标采购文件</w:t>
      </w:r>
      <w:bookmarkEnd w:id="0"/>
    </w:p>
    <w:p w14:paraId="5B53DBB4">
      <w:pPr>
        <w:pStyle w:val="54"/>
        <w:ind w:left="0" w:leftChars="0" w:firstLine="0" w:firstLineChars="0"/>
        <w:jc w:val="center"/>
        <w:rPr>
          <w:b/>
          <w:sz w:val="44"/>
          <w:szCs w:val="44"/>
        </w:rPr>
      </w:pPr>
      <w:r>
        <w:rPr>
          <w:rFonts w:hint="eastAsia" w:ascii="宋体" w:hAnsi="宋体"/>
          <w:b/>
          <w:spacing w:val="40"/>
          <w:sz w:val="44"/>
          <w:szCs w:val="44"/>
        </w:rPr>
        <w:t>（线上电子招标）</w:t>
      </w:r>
    </w:p>
    <w:p w14:paraId="1959E9CF">
      <w:pPr>
        <w:spacing w:line="560" w:lineRule="exact"/>
        <w:ind w:left="4859" w:hanging="4859" w:hangingChars="1100"/>
        <w:jc w:val="left"/>
        <w:outlineLvl w:val="0"/>
        <w:rPr>
          <w:rFonts w:hint="eastAsia" w:ascii="宋体" w:hAnsi="宋体" w:eastAsia="宋体"/>
          <w:b/>
          <w:sz w:val="44"/>
          <w:szCs w:val="44"/>
          <w:lang w:eastAsia="zh-CN"/>
        </w:rPr>
      </w:pPr>
      <w:bookmarkStart w:id="1" w:name="_Toc16116"/>
      <w:r>
        <w:rPr>
          <w:rFonts w:ascii="宋体" w:hAnsi="宋体"/>
          <w:b/>
          <w:sz w:val="44"/>
          <w:szCs w:val="44"/>
        </w:rPr>
        <w:t>项目名称：</w:t>
      </w:r>
      <w:bookmarkEnd w:id="1"/>
      <w:r>
        <w:rPr>
          <w:rFonts w:hint="eastAsia" w:ascii="宋体" w:hAnsi="宋体"/>
          <w:b/>
          <w:sz w:val="44"/>
          <w:szCs w:val="44"/>
          <w:lang w:eastAsia="zh-CN"/>
        </w:rPr>
        <w:t>衢州市冻猪肉储备政府购买服务项目（三次）</w:t>
      </w:r>
    </w:p>
    <w:p w14:paraId="23D7156C">
      <w:pPr>
        <w:spacing w:line="560" w:lineRule="exact"/>
        <w:rPr>
          <w:rFonts w:ascii="宋体" w:hAnsi="宋体"/>
          <w:b/>
          <w:sz w:val="44"/>
          <w:szCs w:val="44"/>
        </w:rPr>
      </w:pPr>
    </w:p>
    <w:p w14:paraId="5E5C228D">
      <w:pPr>
        <w:spacing w:line="560" w:lineRule="exact"/>
        <w:outlineLvl w:val="0"/>
        <w:rPr>
          <w:rFonts w:hint="eastAsia" w:ascii="宋体" w:hAnsi="宋体" w:eastAsia="宋体"/>
          <w:b/>
          <w:sz w:val="44"/>
          <w:szCs w:val="44"/>
          <w:lang w:eastAsia="zh-CN"/>
        </w:rPr>
      </w:pPr>
      <w:bookmarkStart w:id="2" w:name="_Toc2899"/>
      <w:r>
        <w:rPr>
          <w:rFonts w:ascii="宋体" w:hAnsi="宋体"/>
          <w:b/>
          <w:sz w:val="44"/>
          <w:szCs w:val="44"/>
        </w:rPr>
        <w:t>项目编号：</w:t>
      </w:r>
      <w:bookmarkEnd w:id="2"/>
      <w:r>
        <w:rPr>
          <w:rFonts w:hint="eastAsia" w:ascii="宋体" w:hAnsi="宋体"/>
          <w:b/>
          <w:sz w:val="44"/>
          <w:szCs w:val="44"/>
          <w:lang w:eastAsia="zh-CN"/>
        </w:rPr>
        <w:t>DSYCG2024-010</w:t>
      </w:r>
    </w:p>
    <w:p w14:paraId="1AB933D3">
      <w:pPr>
        <w:spacing w:line="560" w:lineRule="exact"/>
        <w:rPr>
          <w:rFonts w:ascii="宋体" w:hAnsi="宋体"/>
          <w:b/>
          <w:sz w:val="36"/>
          <w:szCs w:val="36"/>
        </w:rPr>
      </w:pPr>
    </w:p>
    <w:p w14:paraId="573D0FC2">
      <w:pPr>
        <w:snapToGrid w:val="0"/>
        <w:ind w:firstLine="181" w:firstLineChars="50"/>
        <w:rPr>
          <w:rFonts w:hint="eastAsia" w:ascii="宋体" w:hAnsi="宋体"/>
          <w:b/>
          <w:sz w:val="36"/>
          <w:szCs w:val="36"/>
        </w:rPr>
      </w:pPr>
      <w:r>
        <w:rPr>
          <w:rFonts w:ascii="宋体" w:hAnsi="宋体"/>
          <w:b/>
          <w:sz w:val="36"/>
          <w:szCs w:val="36"/>
        </w:rPr>
        <w:t>采购人：</w:t>
      </w:r>
      <w:r>
        <w:rPr>
          <w:rFonts w:hint="eastAsia" w:ascii="宋体" w:hAnsi="宋体"/>
          <w:b/>
          <w:sz w:val="36"/>
          <w:szCs w:val="36"/>
        </w:rPr>
        <w:t>衢州市发展和改革委员会（盖章）</w:t>
      </w:r>
    </w:p>
    <w:p w14:paraId="6F8C9D5D">
      <w:pPr>
        <w:snapToGrid w:val="0"/>
        <w:ind w:firstLine="181" w:firstLineChars="50"/>
        <w:rPr>
          <w:rFonts w:hint="eastAsia" w:ascii="宋体" w:hAnsi="宋体"/>
          <w:b/>
          <w:sz w:val="36"/>
          <w:szCs w:val="36"/>
        </w:rPr>
      </w:pPr>
    </w:p>
    <w:p w14:paraId="44AE58CA">
      <w:pPr>
        <w:snapToGrid w:val="0"/>
        <w:jc w:val="center"/>
        <w:rPr>
          <w:rFonts w:ascii="宋体" w:hAnsi="宋体"/>
          <w:b/>
          <w:sz w:val="32"/>
          <w:szCs w:val="32"/>
        </w:rPr>
      </w:pPr>
      <w:r>
        <w:rPr>
          <w:rFonts w:hint="eastAsia" w:ascii="宋体" w:hAnsi="宋体"/>
          <w:b/>
          <w:sz w:val="32"/>
          <w:szCs w:val="32"/>
        </w:rPr>
        <w:t xml:space="preserve">       衢州市柯城区发展和改革局（盖章）</w:t>
      </w:r>
    </w:p>
    <w:p w14:paraId="0D67FCE6">
      <w:pPr>
        <w:snapToGrid w:val="0"/>
        <w:rPr>
          <w:rFonts w:ascii="宋体" w:hAnsi="宋体"/>
          <w:b/>
          <w:sz w:val="32"/>
          <w:szCs w:val="32"/>
        </w:rPr>
      </w:pPr>
      <w:r>
        <w:rPr>
          <w:rFonts w:hint="eastAsia" w:ascii="宋体" w:hAnsi="宋体"/>
          <w:b/>
          <w:sz w:val="32"/>
          <w:szCs w:val="32"/>
        </w:rPr>
        <w:t>衢州市衢江区发展和改革局（盖章）</w:t>
      </w:r>
    </w:p>
    <w:p w14:paraId="6C1A81B7">
      <w:pPr>
        <w:snapToGrid w:val="0"/>
        <w:jc w:val="both"/>
        <w:rPr>
          <w:rFonts w:ascii="宋体" w:hAnsi="宋体"/>
          <w:b/>
          <w:sz w:val="32"/>
          <w:szCs w:val="32"/>
        </w:rPr>
      </w:pPr>
      <w:r>
        <w:rPr>
          <w:rFonts w:hint="eastAsia" w:ascii="宋体" w:hAnsi="宋体"/>
          <w:b/>
          <w:sz w:val="32"/>
          <w:szCs w:val="32"/>
        </w:rPr>
        <w:t xml:space="preserve">      </w:t>
      </w:r>
    </w:p>
    <w:p w14:paraId="1541A375">
      <w:pPr>
        <w:snapToGrid w:val="0"/>
        <w:jc w:val="center"/>
        <w:rPr>
          <w:rFonts w:ascii="宋体" w:hAnsi="宋体"/>
          <w:b/>
          <w:sz w:val="32"/>
          <w:szCs w:val="32"/>
        </w:rPr>
      </w:pPr>
      <w:r>
        <w:rPr>
          <w:rFonts w:hint="eastAsia" w:ascii="宋体" w:hAnsi="宋体"/>
          <w:b/>
          <w:sz w:val="32"/>
          <w:szCs w:val="32"/>
        </w:rPr>
        <w:t>江山市经济和信息化局（盖章）</w:t>
      </w:r>
    </w:p>
    <w:p w14:paraId="1D6805FE">
      <w:pPr>
        <w:snapToGrid w:val="0"/>
        <w:rPr>
          <w:rFonts w:ascii="宋体" w:hAnsi="宋体"/>
          <w:b/>
          <w:sz w:val="32"/>
          <w:szCs w:val="32"/>
        </w:rPr>
      </w:pPr>
    </w:p>
    <w:p w14:paraId="2371E85F">
      <w:pPr>
        <w:snapToGrid w:val="0"/>
        <w:rPr>
          <w:rFonts w:ascii="宋体" w:hAnsi="宋体"/>
          <w:b/>
          <w:sz w:val="32"/>
          <w:szCs w:val="32"/>
        </w:rPr>
      </w:pPr>
      <w:r>
        <w:rPr>
          <w:rFonts w:hint="eastAsia" w:ascii="宋体" w:hAnsi="宋体"/>
          <w:b/>
          <w:sz w:val="32"/>
          <w:szCs w:val="32"/>
        </w:rPr>
        <w:t>常山县经济和信息化局（盖章）</w:t>
      </w:r>
    </w:p>
    <w:p w14:paraId="07917124">
      <w:pPr>
        <w:snapToGrid w:val="0"/>
        <w:jc w:val="center"/>
        <w:rPr>
          <w:rFonts w:ascii="宋体" w:hAnsi="宋体"/>
          <w:b/>
          <w:sz w:val="32"/>
          <w:szCs w:val="32"/>
        </w:rPr>
      </w:pPr>
      <w:r>
        <w:rPr>
          <w:rFonts w:hint="eastAsia" w:ascii="宋体" w:hAnsi="宋体"/>
          <w:b/>
          <w:sz w:val="32"/>
          <w:szCs w:val="32"/>
        </w:rPr>
        <w:t xml:space="preserve">                   开化县发展和改革局（盖章）</w:t>
      </w:r>
    </w:p>
    <w:p w14:paraId="098933C4">
      <w:pPr>
        <w:snapToGrid w:val="0"/>
        <w:rPr>
          <w:rFonts w:ascii="宋体" w:hAnsi="宋体"/>
          <w:b/>
          <w:sz w:val="32"/>
          <w:szCs w:val="32"/>
        </w:rPr>
      </w:pPr>
      <w:r>
        <w:rPr>
          <w:rFonts w:hint="eastAsia" w:ascii="宋体" w:hAnsi="宋体"/>
          <w:b/>
          <w:sz w:val="32"/>
          <w:szCs w:val="32"/>
        </w:rPr>
        <w:t>龙游县经济和信息化局（盖章）</w:t>
      </w:r>
    </w:p>
    <w:p w14:paraId="77CB48FB">
      <w:pPr>
        <w:snapToGrid w:val="0"/>
        <w:ind w:firstLine="181" w:firstLineChars="50"/>
        <w:outlineLvl w:val="0"/>
        <w:rPr>
          <w:rFonts w:ascii="宋体" w:hAnsi="宋体"/>
          <w:b/>
          <w:bCs/>
          <w:sz w:val="48"/>
          <w:szCs w:val="48"/>
        </w:rPr>
      </w:pPr>
      <w:bookmarkStart w:id="3" w:name="_Toc25617"/>
      <w:r>
        <w:rPr>
          <w:rFonts w:hint="eastAsia" w:ascii="宋体" w:hAnsi="宋体"/>
          <w:b/>
          <w:sz w:val="36"/>
          <w:szCs w:val="36"/>
        </w:rPr>
        <w:t xml:space="preserve">  </w:t>
      </w:r>
      <w:r>
        <w:rPr>
          <w:rFonts w:ascii="宋体" w:hAnsi="宋体"/>
          <w:b/>
          <w:sz w:val="36"/>
          <w:szCs w:val="36"/>
        </w:rPr>
        <w:t>采购代理机构：</w:t>
      </w:r>
      <w:r>
        <w:rPr>
          <w:rFonts w:hint="eastAsia" w:ascii="宋体" w:hAnsi="宋体"/>
          <w:b/>
          <w:sz w:val="36"/>
          <w:szCs w:val="36"/>
          <w:lang w:eastAsia="zh-CN"/>
        </w:rPr>
        <w:t>杭州兑尚源工程管理有限公司</w:t>
      </w:r>
      <w:r>
        <w:rPr>
          <w:rFonts w:hint="eastAsia" w:ascii="宋体" w:hAnsi="宋体"/>
          <w:b/>
          <w:sz w:val="36"/>
          <w:szCs w:val="36"/>
        </w:rPr>
        <w:t>（盖章）</w:t>
      </w:r>
      <w:bookmarkEnd w:id="3"/>
    </w:p>
    <w:p w14:paraId="4C9B72A0">
      <w:pPr>
        <w:pStyle w:val="29"/>
        <w:snapToGrid w:val="0"/>
        <w:jc w:val="center"/>
        <w:rPr>
          <w:rFonts w:hAnsi="宋体" w:cs="Times New Roman"/>
          <w:b/>
          <w:sz w:val="32"/>
          <w:szCs w:val="32"/>
          <w:u w:val="single"/>
        </w:rPr>
      </w:pPr>
      <w:r>
        <w:rPr>
          <w:rFonts w:hAnsi="宋体" w:cs="Times New Roman"/>
          <w:b/>
          <w:sz w:val="36"/>
          <w:szCs w:val="36"/>
        </w:rPr>
        <w:t>二〇二</w:t>
      </w:r>
      <w:r>
        <w:rPr>
          <w:rFonts w:hint="eastAsia" w:hAnsi="宋体" w:cs="Times New Roman"/>
          <w:b/>
          <w:sz w:val="36"/>
          <w:szCs w:val="36"/>
        </w:rPr>
        <w:t>四</w:t>
      </w:r>
      <w:r>
        <w:rPr>
          <w:rFonts w:hAnsi="宋体" w:cs="Times New Roman"/>
          <w:b/>
          <w:sz w:val="36"/>
          <w:szCs w:val="36"/>
        </w:rPr>
        <w:t>年</w:t>
      </w:r>
      <w:r>
        <w:rPr>
          <w:rFonts w:hint="eastAsia" w:hAnsi="宋体" w:cs="Times New Roman"/>
          <w:b/>
          <w:sz w:val="36"/>
          <w:szCs w:val="36"/>
          <w:lang w:val="en-US" w:eastAsia="zh-CN"/>
        </w:rPr>
        <w:t>十</w:t>
      </w:r>
      <w:r>
        <w:rPr>
          <w:rFonts w:hAnsi="宋体" w:cs="Times New Roman"/>
          <w:b/>
          <w:sz w:val="36"/>
          <w:szCs w:val="36"/>
        </w:rPr>
        <w:t>月</w:t>
      </w:r>
    </w:p>
    <w:p w14:paraId="1F63AE4F">
      <w:pPr>
        <w:spacing w:line="440" w:lineRule="exact"/>
        <w:rPr>
          <w:rFonts w:ascii="宋体" w:hAnsi="宋体"/>
          <w:b/>
          <w:sz w:val="44"/>
          <w:szCs w:val="44"/>
        </w:rPr>
        <w:sectPr>
          <w:headerReference r:id="rId6" w:type="first"/>
          <w:footerReference r:id="rId7" w:type="first"/>
          <w:headerReference r:id="rId5" w:type="default"/>
          <w:pgSz w:w="11906" w:h="16838"/>
          <w:pgMar w:top="1246" w:right="1134" w:bottom="1440" w:left="1418" w:header="851" w:footer="992" w:gutter="0"/>
          <w:cols w:space="720" w:num="1"/>
          <w:titlePg/>
          <w:docGrid w:type="lines" w:linePitch="312" w:charSpace="0"/>
        </w:sectPr>
      </w:pPr>
    </w:p>
    <w:p w14:paraId="73409E2C">
      <w:pPr>
        <w:pStyle w:val="29"/>
        <w:spacing w:before="156" w:after="156"/>
        <w:jc w:val="center"/>
        <w:outlineLvl w:val="0"/>
        <w:rPr>
          <w:rFonts w:hAnsi="宋体" w:cs="Times New Roman"/>
          <w:b/>
          <w:sz w:val="36"/>
          <w:szCs w:val="36"/>
        </w:rPr>
      </w:pPr>
      <w:bookmarkStart w:id="4" w:name="_Toc19513"/>
      <w:r>
        <w:rPr>
          <w:rFonts w:hAnsi="宋体" w:cs="Times New Roman"/>
          <w:b/>
          <w:sz w:val="36"/>
          <w:szCs w:val="36"/>
        </w:rPr>
        <w:t>电子交易须知</w:t>
      </w:r>
      <w:bookmarkEnd w:id="4"/>
    </w:p>
    <w:p w14:paraId="6C07B4B4">
      <w:pPr>
        <w:pStyle w:val="29"/>
        <w:spacing w:before="120" w:after="120"/>
        <w:ind w:firstLine="486" w:firstLineChars="200"/>
        <w:rPr>
          <w:rFonts w:hAnsi="宋体" w:cs="Times New Roman"/>
          <w:sz w:val="24"/>
          <w:szCs w:val="24"/>
        </w:rPr>
      </w:pPr>
      <w:r>
        <w:rPr>
          <w:rFonts w:hAnsi="宋体" w:cs="Times New Roman"/>
          <w:sz w:val="24"/>
          <w:szCs w:val="24"/>
        </w:rPr>
        <w:t>1</w:t>
      </w:r>
      <w:r>
        <w:rPr>
          <w:rFonts w:hint="eastAsia" w:hAnsi="宋体" w:cs="Times New Roman"/>
          <w:sz w:val="24"/>
          <w:szCs w:val="24"/>
        </w:rPr>
        <w:t>.</w:t>
      </w:r>
      <w:r>
        <w:rPr>
          <w:rFonts w:hAnsi="宋体" w:cs="Times New Roman"/>
          <w:sz w:val="24"/>
          <w:szCs w:val="24"/>
        </w:rPr>
        <w:t>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w:t>
      </w:r>
    </w:p>
    <w:p w14:paraId="2C1EDE01">
      <w:pPr>
        <w:pStyle w:val="29"/>
        <w:spacing w:before="120" w:after="120"/>
        <w:ind w:firstLine="486" w:firstLineChars="200"/>
        <w:jc w:val="left"/>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供应商编制电子响应文件应安装“电子交易客户端”软件，并按照本采购文件和电子交易平台的要求编制并加密响应文件。未按规定加密的投标文件，将被电子交易平台拒收。“电子交易客户端”请供应商自行前往“浙江政府采购网（zfcg.czt.zj.gov.cn）— 下载专区 — 电子交易客户端”版块获取。</w:t>
      </w:r>
    </w:p>
    <w:p w14:paraId="160A01D9">
      <w:pPr>
        <w:pStyle w:val="29"/>
        <w:spacing w:before="120" w:after="120"/>
        <w:ind w:firstLine="486" w:firstLineChars="200"/>
        <w:jc w:val="left"/>
        <w:rPr>
          <w:rFonts w:hAnsi="宋体" w:cs="Times New Roman"/>
          <w:sz w:val="24"/>
          <w:szCs w:val="24"/>
        </w:rPr>
      </w:pPr>
      <w:r>
        <w:rPr>
          <w:rFonts w:hAnsi="宋体" w:cs="Times New Roman"/>
          <w:sz w:val="24"/>
          <w:szCs w:val="24"/>
        </w:rPr>
        <w:t>3</w:t>
      </w:r>
      <w:r>
        <w:rPr>
          <w:rFonts w:hint="eastAsia" w:hAnsi="宋体" w:cs="Times New Roman"/>
          <w:sz w:val="24"/>
          <w:szCs w:val="24"/>
        </w:rPr>
        <w:t>.</w:t>
      </w:r>
      <w:r>
        <w:rPr>
          <w:rFonts w:hAnsi="宋体" w:cs="Times New Roman"/>
          <w:sz w:val="24"/>
          <w:szCs w:val="24"/>
        </w:rPr>
        <w:t>供应商应当在递交投标文件截止时间前，将“电子交易客户端”生成的“电子加密投标文件”上传电子交易平台。</w:t>
      </w:r>
    </w:p>
    <w:p w14:paraId="5B654139">
      <w:pPr>
        <w:pStyle w:val="29"/>
        <w:spacing w:before="120" w:after="120"/>
        <w:ind w:firstLine="486" w:firstLineChars="200"/>
        <w:jc w:val="left"/>
        <w:rPr>
          <w:rFonts w:hAnsi="宋体" w:cs="Times New Roman"/>
          <w:sz w:val="24"/>
          <w:szCs w:val="24"/>
        </w:rPr>
      </w:pPr>
      <w:r>
        <w:rPr>
          <w:rFonts w:hAnsi="宋体" w:cs="Times New Roman"/>
          <w:sz w:val="24"/>
          <w:szCs w:val="24"/>
        </w:rPr>
        <w:t>4</w:t>
      </w:r>
      <w:r>
        <w:rPr>
          <w:rFonts w:hint="eastAsia" w:hAnsi="宋体" w:cs="Times New Roman"/>
          <w:sz w:val="24"/>
          <w:szCs w:val="24"/>
        </w:rPr>
        <w:t>.</w:t>
      </w:r>
      <w:r>
        <w:rPr>
          <w:rFonts w:hAnsi="宋体" w:cs="Times New Roman"/>
          <w:sz w:val="24"/>
          <w:szCs w:val="24"/>
        </w:rPr>
        <w:t>“电子备份投标文件”是指与“电子加密投标文件”同时生成的数据电文形式的响应文件。供应商在电子交易平台上传“电子加密投标文件”后，还可以以电子邮件方式发送至邮箱：</w:t>
      </w:r>
      <w:r>
        <w:rPr>
          <w:rFonts w:hint="eastAsia" w:hAnsi="宋体" w:cs="Times New Roman"/>
          <w:sz w:val="24"/>
          <w:szCs w:val="24"/>
          <w:lang w:val="en-US" w:eastAsia="zh-CN"/>
        </w:rPr>
        <w:t>346082301</w:t>
      </w:r>
      <w:r>
        <w:rPr>
          <w:rFonts w:hAnsi="宋体" w:cs="Times New Roman"/>
          <w:sz w:val="24"/>
          <w:szCs w:val="24"/>
        </w:rPr>
        <w:t>@qq.com的“备份电子投标文件”。</w:t>
      </w:r>
    </w:p>
    <w:p w14:paraId="370323C4">
      <w:pPr>
        <w:pStyle w:val="29"/>
        <w:spacing w:before="120" w:after="120"/>
        <w:ind w:firstLine="486" w:firstLineChars="200"/>
        <w:jc w:val="left"/>
        <w:rPr>
          <w:rFonts w:hAnsi="宋体" w:cs="Times New Roman"/>
          <w:sz w:val="24"/>
          <w:szCs w:val="24"/>
        </w:rPr>
      </w:pPr>
      <w:r>
        <w:rPr>
          <w:rFonts w:hAnsi="宋体" w:cs="Times New Roman"/>
          <w:sz w:val="24"/>
          <w:szCs w:val="24"/>
        </w:rPr>
        <w:t>5</w:t>
      </w:r>
      <w:r>
        <w:rPr>
          <w:rFonts w:hint="eastAsia" w:hAnsi="宋体" w:cs="Times New Roman"/>
          <w:sz w:val="24"/>
          <w:szCs w:val="24"/>
        </w:rPr>
        <w:t>.</w:t>
      </w:r>
      <w:r>
        <w:rPr>
          <w:rFonts w:hAnsi="宋体" w:cs="Times New Roman"/>
          <w:sz w:val="24"/>
          <w:szCs w:val="24"/>
        </w:rPr>
        <w:t>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审，“电子加密投标文件”自动失效；在“政府采购云平台”正常运行情况下，“电子备份投标文件”无法上传至“政府采购云平台”的，视为投标文件撤回。供应商未按规定递交“电子备份投标文件”的，视为投标文件撤回。未上传“电子加密投标文件”，仅提交“电子备份投标文件”的，响应无效。</w:t>
      </w:r>
    </w:p>
    <w:p w14:paraId="73FEB134">
      <w:pPr>
        <w:pStyle w:val="24"/>
        <w:ind w:firstLine="488"/>
        <w:rPr>
          <w:rFonts w:ascii="宋体" w:hAnsi="宋体"/>
          <w:shd w:val="clear" w:color="auto" w:fill="auto"/>
        </w:rPr>
        <w:sectPr>
          <w:headerReference r:id="rId8" w:type="first"/>
          <w:footerReference r:id="rId10" w:type="first"/>
          <w:footerReference r:id="rId9" w:type="default"/>
          <w:pgSz w:w="11906" w:h="16838"/>
          <w:pgMar w:top="1440" w:right="1797" w:bottom="1440" w:left="1797" w:header="851" w:footer="992" w:gutter="0"/>
          <w:pgNumType w:start="0" w:chapStyle="1"/>
          <w:cols w:space="720" w:num="1"/>
          <w:titlePg/>
          <w:docGrid w:type="linesAndChars" w:linePitch="312" w:charSpace="640"/>
        </w:sectPr>
      </w:pPr>
      <w:r>
        <w:rPr>
          <w:rFonts w:ascii="宋体" w:hAnsi="宋体"/>
          <w:shd w:val="clear" w:color="auto" w:fill="auto"/>
        </w:rPr>
        <w:t>6</w:t>
      </w:r>
      <w:r>
        <w:rPr>
          <w:rFonts w:hint="eastAsia" w:ascii="宋体" w:hAnsi="宋体"/>
          <w:shd w:val="clear" w:color="auto" w:fill="auto"/>
        </w:rPr>
        <w:t>.</w:t>
      </w:r>
      <w:r>
        <w:rPr>
          <w:rFonts w:ascii="宋体" w:hAnsi="宋体"/>
          <w:shd w:val="clear" w:color="auto" w:fill="auto"/>
        </w:rPr>
        <w:t>供应商在参加电子交易过程中,可登录电子交易平台“帮助文档”版面获取《电子交易管理操作指南》，或致电平台</w:t>
      </w:r>
      <w:r>
        <w:rPr>
          <w:rFonts w:hint="eastAsia" w:ascii="宋体" w:hAnsi="宋体"/>
          <w:shd w:val="clear" w:color="auto" w:fill="auto"/>
        </w:rPr>
        <w:t>95763</w:t>
      </w:r>
      <w:r>
        <w:rPr>
          <w:rFonts w:ascii="宋体" w:hAnsi="宋体"/>
          <w:shd w:val="clear" w:color="auto" w:fill="auto"/>
        </w:rPr>
        <w:t>获取相关服务支持。</w:t>
      </w:r>
    </w:p>
    <w:sdt>
      <w:sdtPr>
        <w:rPr>
          <w:rFonts w:hint="eastAsia" w:ascii="宋体" w:hAnsi="宋体" w:cs="宋体"/>
          <w:b/>
          <w:bCs/>
          <w:sz w:val="32"/>
          <w:szCs w:val="32"/>
          <w:shd w:val="clear" w:color="auto" w:fill="CCCCCC"/>
        </w:rPr>
        <w:id w:val="147458497"/>
        <w:docPartObj>
          <w:docPartGallery w:val="Table of Contents"/>
          <w:docPartUnique/>
        </w:docPartObj>
      </w:sdtPr>
      <w:sdtEndPr>
        <w:rPr>
          <w:rFonts w:hint="eastAsia" w:ascii="宋体" w:hAnsi="宋体" w:cs="Times New Roman"/>
          <w:b/>
          <w:bCs/>
          <w:sz w:val="24"/>
          <w:szCs w:val="24"/>
          <w:shd w:val="clear" w:color="auto" w:fill="auto"/>
        </w:rPr>
      </w:sdtEndPr>
      <w:sdtContent>
        <w:p w14:paraId="786E3B5C">
          <w:pPr>
            <w:spacing w:line="240" w:lineRule="auto"/>
            <w:jc w:val="center"/>
            <w:rPr>
              <w:rFonts w:ascii="宋体" w:hAnsi="宋体" w:cs="宋体"/>
              <w:b/>
              <w:bCs/>
              <w:sz w:val="32"/>
              <w:szCs w:val="32"/>
            </w:rPr>
          </w:pPr>
          <w:r>
            <w:rPr>
              <w:rFonts w:hint="eastAsia" w:ascii="宋体" w:hAnsi="宋体" w:cs="宋体"/>
              <w:b/>
              <w:bCs/>
              <w:sz w:val="32"/>
              <w:szCs w:val="32"/>
            </w:rPr>
            <w:t>目录</w:t>
          </w:r>
        </w:p>
        <w:p w14:paraId="6899AF32">
          <w:pPr>
            <w:pStyle w:val="247"/>
            <w:tabs>
              <w:tab w:val="right" w:leader="dot" w:pos="8312"/>
            </w:tabs>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r>
            <w:fldChar w:fldCharType="begin"/>
          </w:r>
          <w:r>
            <w:instrText xml:space="preserve"> HYPERLINK \l "_Toc30924" </w:instrText>
          </w:r>
          <w:r>
            <w:fldChar w:fldCharType="separate"/>
          </w:r>
          <w:r>
            <w:rPr>
              <w:rFonts w:hint="eastAsia" w:ascii="宋体" w:hAnsi="宋体" w:cs="宋体"/>
              <w:b/>
              <w:bCs/>
              <w:kern w:val="44"/>
              <w:sz w:val="28"/>
              <w:szCs w:val="28"/>
            </w:rPr>
            <w:t>第一章  招标公告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_Toc30924 \h </w:instrText>
          </w:r>
          <w:r>
            <w:rPr>
              <w:rFonts w:hint="eastAsia" w:ascii="宋体" w:hAnsi="宋体" w:cs="宋体"/>
              <w:b/>
              <w:bCs/>
              <w:sz w:val="28"/>
              <w:szCs w:val="28"/>
            </w:rPr>
            <w:fldChar w:fldCharType="separate"/>
          </w:r>
          <w:r>
            <w:rPr>
              <w:rFonts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6061780F">
          <w:pPr>
            <w:pStyle w:val="247"/>
            <w:tabs>
              <w:tab w:val="right" w:leader="dot" w:pos="8312"/>
            </w:tabs>
            <w:rPr>
              <w:rFonts w:ascii="宋体" w:hAnsi="宋体" w:cs="宋体"/>
              <w:b/>
              <w:bCs/>
              <w:sz w:val="28"/>
              <w:szCs w:val="28"/>
            </w:rPr>
          </w:pPr>
          <w:r>
            <w:fldChar w:fldCharType="begin"/>
          </w:r>
          <w:r>
            <w:instrText xml:space="preserve"> HYPERLINK \l "_Toc21622" </w:instrText>
          </w:r>
          <w:r>
            <w:fldChar w:fldCharType="separate"/>
          </w:r>
          <w:r>
            <w:rPr>
              <w:rFonts w:hint="eastAsia" w:ascii="宋体" w:hAnsi="宋体" w:cs="宋体"/>
              <w:b/>
              <w:bCs/>
              <w:kern w:val="44"/>
              <w:sz w:val="28"/>
              <w:szCs w:val="28"/>
            </w:rPr>
            <w:t>第二章  投标须知和投标须知前附表</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_Toc21622 \h </w:instrText>
          </w:r>
          <w:r>
            <w:rPr>
              <w:rFonts w:hint="eastAsia" w:ascii="宋体" w:hAnsi="宋体" w:cs="宋体"/>
              <w:b/>
              <w:bCs/>
              <w:sz w:val="28"/>
              <w:szCs w:val="28"/>
            </w:rPr>
            <w:fldChar w:fldCharType="separate"/>
          </w:r>
          <w:r>
            <w:rPr>
              <w:rFonts w:ascii="宋体" w:hAnsi="宋体" w:cs="宋体"/>
              <w:b/>
              <w:bCs/>
              <w:sz w:val="28"/>
              <w:szCs w:val="28"/>
            </w:rPr>
            <w:t>7</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65ED6BE6">
          <w:pPr>
            <w:pStyle w:val="247"/>
            <w:tabs>
              <w:tab w:val="right" w:leader="dot" w:pos="8312"/>
            </w:tabs>
            <w:rPr>
              <w:rFonts w:ascii="宋体" w:hAnsi="宋体" w:cs="宋体"/>
              <w:b/>
              <w:bCs/>
              <w:sz w:val="28"/>
              <w:szCs w:val="28"/>
            </w:rPr>
          </w:pPr>
          <w:r>
            <w:fldChar w:fldCharType="begin"/>
          </w:r>
          <w:r>
            <w:instrText xml:space="preserve"> HYPERLINK \l "_Toc4534" </w:instrText>
          </w:r>
          <w:r>
            <w:fldChar w:fldCharType="separate"/>
          </w:r>
          <w:r>
            <w:rPr>
              <w:rFonts w:hint="eastAsia" w:ascii="宋体" w:hAnsi="宋体" w:cs="宋体"/>
              <w:b/>
              <w:bCs/>
              <w:kern w:val="44"/>
              <w:sz w:val="28"/>
              <w:szCs w:val="28"/>
            </w:rPr>
            <w:t>第三章  招标项目要求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_Toc4534 \h </w:instrText>
          </w:r>
          <w:r>
            <w:rPr>
              <w:rFonts w:hint="eastAsia" w:ascii="宋体" w:hAnsi="宋体" w:cs="宋体"/>
              <w:b/>
              <w:bCs/>
              <w:sz w:val="28"/>
              <w:szCs w:val="28"/>
            </w:rPr>
            <w:fldChar w:fldCharType="separate"/>
          </w:r>
          <w:r>
            <w:rPr>
              <w:rFonts w:ascii="宋体" w:hAnsi="宋体" w:cs="宋体"/>
              <w:b/>
              <w:bCs/>
              <w:sz w:val="28"/>
              <w:szCs w:val="28"/>
            </w:rPr>
            <w:t>23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1A485DCF">
          <w:pPr>
            <w:pStyle w:val="247"/>
            <w:tabs>
              <w:tab w:val="right" w:leader="dot" w:pos="8312"/>
            </w:tabs>
            <w:rPr>
              <w:rFonts w:ascii="宋体" w:hAnsi="宋体" w:cs="宋体"/>
              <w:b/>
              <w:bCs/>
              <w:sz w:val="28"/>
              <w:szCs w:val="28"/>
            </w:rPr>
          </w:pPr>
          <w:r>
            <w:fldChar w:fldCharType="begin"/>
          </w:r>
          <w:r>
            <w:instrText xml:space="preserve"> HYPERLINK \l "_Toc32653" </w:instrText>
          </w:r>
          <w:r>
            <w:fldChar w:fldCharType="separate"/>
          </w:r>
          <w:r>
            <w:rPr>
              <w:rFonts w:hint="eastAsia" w:ascii="宋体" w:hAnsi="宋体" w:cs="宋体"/>
              <w:b/>
              <w:bCs/>
              <w:sz w:val="28"/>
              <w:szCs w:val="28"/>
            </w:rPr>
            <w:t>第四章  开标、评标和定标须知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_Toc32653 \h </w:instrText>
          </w:r>
          <w:r>
            <w:rPr>
              <w:rFonts w:hint="eastAsia" w:ascii="宋体" w:hAnsi="宋体" w:cs="宋体"/>
              <w:b/>
              <w:bCs/>
              <w:sz w:val="28"/>
              <w:szCs w:val="28"/>
            </w:rPr>
            <w:fldChar w:fldCharType="separate"/>
          </w:r>
          <w:r>
            <w:rPr>
              <w:rFonts w:ascii="宋体" w:hAnsi="宋体" w:cs="宋体"/>
              <w:b/>
              <w:bCs/>
              <w:sz w:val="28"/>
              <w:szCs w:val="28"/>
            </w:rPr>
            <w:t>28</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58032FB0">
          <w:pPr>
            <w:pStyle w:val="247"/>
            <w:tabs>
              <w:tab w:val="right" w:leader="dot" w:pos="8312"/>
            </w:tabs>
            <w:rPr>
              <w:rFonts w:ascii="宋体" w:hAnsi="宋体" w:cs="宋体"/>
              <w:b/>
              <w:bCs/>
              <w:sz w:val="28"/>
              <w:szCs w:val="28"/>
            </w:rPr>
          </w:pPr>
          <w:r>
            <w:fldChar w:fldCharType="begin"/>
          </w:r>
          <w:r>
            <w:instrText xml:space="preserve"> HYPERLINK \l "_Toc25529" </w:instrText>
          </w:r>
          <w:r>
            <w:fldChar w:fldCharType="separate"/>
          </w:r>
          <w:r>
            <w:rPr>
              <w:rFonts w:hint="eastAsia" w:ascii="宋体" w:hAnsi="宋体" w:cs="宋体"/>
              <w:b/>
              <w:bCs/>
              <w:kern w:val="44"/>
              <w:sz w:val="28"/>
              <w:szCs w:val="28"/>
            </w:rPr>
            <w:t>第五章  评标办法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_Toc25529 \h </w:instrText>
          </w:r>
          <w:r>
            <w:rPr>
              <w:rFonts w:hint="eastAsia" w:ascii="宋体" w:hAnsi="宋体" w:cs="宋体"/>
              <w:b/>
              <w:bCs/>
              <w:sz w:val="28"/>
              <w:szCs w:val="28"/>
            </w:rPr>
            <w:fldChar w:fldCharType="separate"/>
          </w:r>
          <w:r>
            <w:rPr>
              <w:rFonts w:ascii="宋体" w:hAnsi="宋体" w:cs="宋体"/>
              <w:b/>
              <w:bCs/>
              <w:sz w:val="28"/>
              <w:szCs w:val="28"/>
            </w:rPr>
            <w:t>33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7CE59DAE">
          <w:pPr>
            <w:pStyle w:val="247"/>
            <w:tabs>
              <w:tab w:val="right" w:leader="dot" w:pos="8312"/>
            </w:tabs>
            <w:rPr>
              <w:rFonts w:ascii="宋体" w:hAnsi="宋体" w:cs="宋体"/>
              <w:b/>
              <w:bCs/>
              <w:sz w:val="28"/>
              <w:szCs w:val="28"/>
            </w:rPr>
          </w:pPr>
          <w:r>
            <w:fldChar w:fldCharType="begin"/>
          </w:r>
          <w:r>
            <w:instrText xml:space="preserve"> HYPERLINK \l "_Toc4816" </w:instrText>
          </w:r>
          <w:r>
            <w:fldChar w:fldCharType="separate"/>
          </w:r>
          <w:r>
            <w:rPr>
              <w:rFonts w:hint="eastAsia" w:ascii="宋体" w:hAnsi="宋体" w:cs="宋体"/>
              <w:b/>
              <w:bCs/>
              <w:kern w:val="44"/>
              <w:sz w:val="28"/>
              <w:szCs w:val="28"/>
            </w:rPr>
            <w:t>第六章  合同主要条款</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_Toc4816 \h </w:instrText>
          </w:r>
          <w:r>
            <w:rPr>
              <w:rFonts w:hint="eastAsia" w:ascii="宋体" w:hAnsi="宋体" w:cs="宋体"/>
              <w:b/>
              <w:bCs/>
              <w:sz w:val="28"/>
              <w:szCs w:val="28"/>
            </w:rPr>
            <w:fldChar w:fldCharType="separate"/>
          </w:r>
          <w:r>
            <w:rPr>
              <w:rFonts w:ascii="宋体" w:hAnsi="宋体" w:cs="宋体"/>
              <w:b/>
              <w:bCs/>
              <w:sz w:val="28"/>
              <w:szCs w:val="28"/>
            </w:rPr>
            <w:t>39</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0613ED9C">
          <w:pPr>
            <w:pStyle w:val="247"/>
            <w:tabs>
              <w:tab w:val="right" w:leader="dot" w:pos="8312"/>
            </w:tabs>
            <w:rPr>
              <w:rFonts w:ascii="宋体" w:hAnsi="宋体" w:cs="宋体"/>
              <w:b/>
              <w:bCs/>
              <w:sz w:val="28"/>
              <w:szCs w:val="28"/>
            </w:rPr>
          </w:pPr>
          <w:r>
            <w:fldChar w:fldCharType="begin"/>
          </w:r>
          <w:r>
            <w:instrText xml:space="preserve"> HYPERLINK \l "_Toc1192" </w:instrText>
          </w:r>
          <w:r>
            <w:fldChar w:fldCharType="separate"/>
          </w:r>
          <w:r>
            <w:rPr>
              <w:rFonts w:hint="eastAsia" w:ascii="宋体" w:hAnsi="宋体" w:cs="宋体"/>
              <w:b/>
              <w:bCs/>
              <w:kern w:val="44"/>
              <w:sz w:val="28"/>
              <w:szCs w:val="28"/>
            </w:rPr>
            <w:t>第七章  投标文件部分格式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_Toc1192 \h </w:instrText>
          </w:r>
          <w:r>
            <w:rPr>
              <w:rFonts w:hint="eastAsia" w:ascii="宋体" w:hAnsi="宋体" w:cs="宋体"/>
              <w:b/>
              <w:bCs/>
              <w:sz w:val="28"/>
              <w:szCs w:val="28"/>
            </w:rPr>
            <w:fldChar w:fldCharType="separate"/>
          </w:r>
          <w:r>
            <w:rPr>
              <w:rFonts w:ascii="宋体" w:hAnsi="宋体" w:cs="宋体"/>
              <w:b/>
              <w:bCs/>
              <w:sz w:val="28"/>
              <w:szCs w:val="28"/>
            </w:rPr>
            <w:t>43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1179E8B8">
          <w:pPr>
            <w:pStyle w:val="24"/>
            <w:ind w:firstLine="568"/>
            <w:rPr>
              <w:rFonts w:ascii="宋体" w:hAnsi="宋体"/>
              <w:shd w:val="clear" w:color="auto" w:fill="auto"/>
            </w:rPr>
          </w:pPr>
          <w:r>
            <w:rPr>
              <w:rFonts w:hint="eastAsia" w:ascii="宋体" w:hAnsi="宋体" w:cs="宋体"/>
              <w:sz w:val="28"/>
              <w:szCs w:val="28"/>
              <w:shd w:val="clear" w:color="auto" w:fill="auto"/>
            </w:rPr>
            <w:fldChar w:fldCharType="end"/>
          </w:r>
        </w:p>
      </w:sdtContent>
    </w:sdt>
    <w:p w14:paraId="36C91EDF">
      <w:pPr>
        <w:pStyle w:val="24"/>
        <w:ind w:firstLine="488"/>
        <w:rPr>
          <w:rFonts w:ascii="宋体" w:hAnsi="宋体"/>
          <w:shd w:val="clear" w:color="auto" w:fill="auto"/>
        </w:rPr>
      </w:pPr>
    </w:p>
    <w:p w14:paraId="6002C380">
      <w:pPr>
        <w:pStyle w:val="29"/>
        <w:spacing w:before="120" w:after="120"/>
        <w:jc w:val="left"/>
        <w:rPr>
          <w:rFonts w:hAnsi="宋体" w:cs="Times New Roman"/>
          <w:sz w:val="24"/>
          <w:szCs w:val="24"/>
        </w:rPr>
      </w:pPr>
      <w:bookmarkStart w:id="5" w:name="_Toc481242803"/>
      <w:bookmarkStart w:id="6" w:name="_Toc465782671"/>
      <w:bookmarkStart w:id="7" w:name="_Toc481227864"/>
      <w:bookmarkStart w:id="8" w:name="_Toc11015"/>
    </w:p>
    <w:p w14:paraId="6FFA698F">
      <w:pPr>
        <w:pStyle w:val="29"/>
        <w:tabs>
          <w:tab w:val="left" w:pos="945"/>
        </w:tabs>
        <w:spacing w:line="240" w:lineRule="auto"/>
        <w:jc w:val="center"/>
        <w:rPr>
          <w:rFonts w:hAnsi="宋体" w:cs="Times New Roman"/>
          <w:b/>
          <w:bCs/>
          <w:kern w:val="44"/>
          <w:sz w:val="36"/>
          <w:szCs w:val="36"/>
        </w:rPr>
        <w:sectPr>
          <w:pgSz w:w="11906" w:h="16838"/>
          <w:pgMar w:top="1440" w:right="1797" w:bottom="1440" w:left="1797" w:header="851" w:footer="992" w:gutter="0"/>
          <w:pgNumType w:start="0" w:chapStyle="1"/>
          <w:cols w:space="720" w:num="1"/>
          <w:titlePg/>
          <w:docGrid w:type="linesAndChars" w:linePitch="312" w:charSpace="640"/>
        </w:sectPr>
      </w:pPr>
      <w:bookmarkStart w:id="9" w:name="_Toc519014190"/>
      <w:bookmarkStart w:id="10" w:name="_Toc34919330"/>
    </w:p>
    <w:p w14:paraId="7B25AA92">
      <w:pPr>
        <w:pStyle w:val="29"/>
        <w:tabs>
          <w:tab w:val="left" w:pos="945"/>
        </w:tabs>
        <w:spacing w:line="240" w:lineRule="auto"/>
        <w:ind w:firstLine="3054" w:firstLineChars="845"/>
        <w:outlineLvl w:val="0"/>
        <w:rPr>
          <w:rFonts w:hAnsi="宋体" w:cs="Times New Roman"/>
          <w:b/>
          <w:bCs/>
          <w:kern w:val="44"/>
          <w:sz w:val="36"/>
          <w:szCs w:val="36"/>
        </w:rPr>
      </w:pPr>
      <w:bookmarkStart w:id="11" w:name="_Toc30924"/>
      <w:r>
        <w:rPr>
          <w:rFonts w:hAnsi="宋体" w:cs="Times New Roman"/>
          <w:b/>
          <w:bCs/>
          <w:kern w:val="44"/>
          <w:sz w:val="36"/>
          <w:szCs w:val="36"/>
        </w:rPr>
        <w:t>第一章 招标公告</w:t>
      </w:r>
      <w:bookmarkEnd w:id="11"/>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A05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noWrap/>
          </w:tcPr>
          <w:p w14:paraId="45749C15">
            <w:pPr>
              <w:pStyle w:val="29"/>
              <w:spacing w:line="0" w:lineRule="atLeast"/>
              <w:rPr>
                <w:rFonts w:hAnsi="宋体" w:cs="Times New Roman"/>
                <w:b/>
                <w:sz w:val="24"/>
              </w:rPr>
            </w:pPr>
            <w:r>
              <w:rPr>
                <w:rFonts w:hAnsi="宋体" w:cs="Times New Roman"/>
                <w:b/>
                <w:sz w:val="24"/>
              </w:rPr>
              <w:t>项目概况</w:t>
            </w:r>
          </w:p>
          <w:p w14:paraId="040F85FA">
            <w:pPr>
              <w:pStyle w:val="29"/>
              <w:spacing w:line="0" w:lineRule="atLeast"/>
              <w:ind w:firstLine="480" w:firstLineChars="200"/>
              <w:rPr>
                <w:rFonts w:hAnsi="宋体" w:cs="Times New Roman"/>
                <w:b/>
                <w:kern w:val="0"/>
                <w:sz w:val="24"/>
              </w:rPr>
            </w:pPr>
            <w:r>
              <w:rPr>
                <w:rFonts w:hint="eastAsia" w:hAnsi="宋体" w:cs="Times New Roman"/>
                <w:sz w:val="24"/>
                <w:szCs w:val="24"/>
                <w:lang w:eastAsia="zh-CN"/>
              </w:rPr>
              <w:t>杭州兑尚源工程管理有限公司</w:t>
            </w:r>
            <w:r>
              <w:rPr>
                <w:rFonts w:hAnsi="宋体" w:cs="Times New Roman"/>
                <w:sz w:val="24"/>
                <w:szCs w:val="24"/>
              </w:rPr>
              <w:t>就</w:t>
            </w:r>
            <w:r>
              <w:rPr>
                <w:rFonts w:hint="eastAsia" w:hAnsi="宋体" w:cs="Times New Roman"/>
                <w:kern w:val="0"/>
                <w:sz w:val="24"/>
                <w:szCs w:val="24"/>
                <w:lang w:eastAsia="zh-CN"/>
              </w:rPr>
              <w:t>衢州市冻猪肉储备政府购买服务项目（三次）</w:t>
            </w:r>
            <w:r>
              <w:rPr>
                <w:rFonts w:hAnsi="宋体" w:cs="Times New Roman"/>
                <w:sz w:val="24"/>
              </w:rPr>
              <w:t>的潜在供应商可直接登陆“浙江政府采购云平台”（http://www.zcygov.cn/）进行网上报名并下载电子采购文件，并于</w:t>
            </w:r>
            <w:r>
              <w:rPr>
                <w:rFonts w:hAnsi="宋体" w:cs="Times New Roman"/>
                <w:sz w:val="24"/>
                <w:u w:val="single"/>
              </w:rPr>
              <w:t>202</w:t>
            </w:r>
            <w:r>
              <w:rPr>
                <w:rFonts w:hint="eastAsia" w:hAnsi="宋体" w:cs="Times New Roman"/>
                <w:sz w:val="24"/>
                <w:u w:val="single"/>
              </w:rPr>
              <w:t>4</w:t>
            </w:r>
            <w:r>
              <w:rPr>
                <w:rFonts w:hAnsi="宋体" w:cs="Times New Roman"/>
                <w:sz w:val="24"/>
                <w:u w:val="single"/>
              </w:rPr>
              <w:t>年</w:t>
            </w:r>
            <w:r>
              <w:rPr>
                <w:rFonts w:hint="eastAsia" w:hAnsi="宋体" w:cs="Times New Roman"/>
                <w:sz w:val="24"/>
                <w:u w:val="single"/>
              </w:rPr>
              <w:t>1</w:t>
            </w:r>
            <w:r>
              <w:rPr>
                <w:rFonts w:hint="eastAsia" w:hAnsi="宋体" w:cs="Times New Roman"/>
                <w:sz w:val="24"/>
                <w:u w:val="single"/>
                <w:lang w:val="en-US" w:eastAsia="zh-CN"/>
              </w:rPr>
              <w:t>1</w:t>
            </w:r>
            <w:r>
              <w:rPr>
                <w:rFonts w:hint="eastAsia" w:hAnsi="宋体" w:cs="Times New Roman"/>
                <w:sz w:val="24"/>
                <w:u w:val="single"/>
              </w:rPr>
              <w:t xml:space="preserve"> </w:t>
            </w:r>
            <w:r>
              <w:rPr>
                <w:rFonts w:hAnsi="宋体" w:cs="Times New Roman"/>
                <w:sz w:val="24"/>
                <w:u w:val="single"/>
              </w:rPr>
              <w:t>月</w:t>
            </w:r>
            <w:r>
              <w:rPr>
                <w:rFonts w:hint="eastAsia" w:hAnsi="宋体" w:cs="Times New Roman"/>
                <w:sz w:val="24"/>
                <w:u w:val="single"/>
              </w:rPr>
              <w:t>0</w:t>
            </w:r>
            <w:r>
              <w:rPr>
                <w:rFonts w:hint="eastAsia" w:hAnsi="宋体" w:cs="Times New Roman"/>
                <w:sz w:val="24"/>
                <w:u w:val="single"/>
                <w:lang w:val="en-US" w:eastAsia="zh-CN"/>
              </w:rPr>
              <w:t>8</w:t>
            </w:r>
            <w:r>
              <w:rPr>
                <w:rFonts w:hAnsi="宋体" w:cs="Times New Roman"/>
                <w:sz w:val="24"/>
                <w:u w:val="single"/>
              </w:rPr>
              <w:t>日</w:t>
            </w:r>
            <w:r>
              <w:rPr>
                <w:rFonts w:hAnsi="宋体" w:cs="Times New Roman"/>
                <w:sz w:val="24"/>
              </w:rPr>
              <w:t>上午09点30分（北京时间）前提交投标文件。</w:t>
            </w:r>
          </w:p>
        </w:tc>
      </w:tr>
    </w:tbl>
    <w:p w14:paraId="573ECF9C">
      <w:pPr>
        <w:pStyle w:val="29"/>
        <w:spacing w:line="400" w:lineRule="atLeast"/>
        <w:ind w:firstLine="482" w:firstLineChars="200"/>
        <w:rPr>
          <w:rFonts w:cs="Times New Roman" w:asciiTheme="minorEastAsia" w:hAnsiTheme="minorEastAsia" w:eastAsiaTheme="minorEastAsia"/>
          <w:b/>
          <w:kern w:val="0"/>
          <w:sz w:val="24"/>
          <w:szCs w:val="24"/>
        </w:rPr>
      </w:pPr>
      <w:r>
        <w:rPr>
          <w:rFonts w:cs="Times New Roman" w:asciiTheme="minorEastAsia" w:hAnsiTheme="minorEastAsia" w:eastAsiaTheme="minorEastAsia"/>
          <w:b/>
          <w:kern w:val="0"/>
          <w:sz w:val="24"/>
          <w:szCs w:val="24"/>
        </w:rPr>
        <w:t>一、项目基本情况</w:t>
      </w:r>
    </w:p>
    <w:p w14:paraId="28800C09">
      <w:pPr>
        <w:pStyle w:val="29"/>
        <w:spacing w:line="400" w:lineRule="atLeast"/>
        <w:ind w:firstLine="482" w:firstLineChars="200"/>
        <w:rPr>
          <w:rFonts w:hint="eastAsia" w:cs="Times New Roman" w:asciiTheme="minorEastAsia" w:hAnsiTheme="minorEastAsia" w:eastAsiaTheme="minorEastAsia"/>
          <w:kern w:val="0"/>
          <w:sz w:val="24"/>
          <w:szCs w:val="24"/>
          <w:lang w:eastAsia="zh-CN"/>
        </w:rPr>
      </w:pPr>
      <w:r>
        <w:rPr>
          <w:rFonts w:cs="Times New Roman" w:asciiTheme="minorEastAsia" w:hAnsiTheme="minorEastAsia" w:eastAsiaTheme="minorEastAsia"/>
          <w:b/>
          <w:kern w:val="0"/>
          <w:sz w:val="24"/>
          <w:szCs w:val="24"/>
        </w:rPr>
        <w:t>1.采购项目编号：</w:t>
      </w:r>
      <w:r>
        <w:rPr>
          <w:rFonts w:hint="eastAsia" w:cs="Times New Roman" w:asciiTheme="minorEastAsia" w:hAnsiTheme="minorEastAsia" w:eastAsiaTheme="minorEastAsia"/>
          <w:kern w:val="0"/>
          <w:sz w:val="24"/>
          <w:szCs w:val="24"/>
          <w:lang w:eastAsia="zh-CN"/>
        </w:rPr>
        <w:t>DSYCG2024-010</w:t>
      </w:r>
    </w:p>
    <w:p w14:paraId="5372409F">
      <w:pPr>
        <w:pStyle w:val="29"/>
        <w:spacing w:line="400" w:lineRule="atLeast"/>
        <w:ind w:firstLine="482" w:firstLineChars="200"/>
        <w:rPr>
          <w:rFonts w:hint="eastAsia" w:cs="Times New Roman" w:asciiTheme="minorEastAsia" w:hAnsiTheme="minorEastAsia" w:eastAsiaTheme="minorEastAsia"/>
          <w:kern w:val="0"/>
          <w:sz w:val="24"/>
          <w:szCs w:val="24"/>
          <w:lang w:eastAsia="zh-CN"/>
        </w:rPr>
      </w:pPr>
      <w:r>
        <w:rPr>
          <w:rFonts w:cs="Times New Roman" w:asciiTheme="minorEastAsia" w:hAnsiTheme="minorEastAsia" w:eastAsiaTheme="minorEastAsia"/>
          <w:b/>
          <w:kern w:val="0"/>
          <w:sz w:val="24"/>
          <w:szCs w:val="24"/>
        </w:rPr>
        <w:t>2.项目名称：</w:t>
      </w:r>
      <w:r>
        <w:rPr>
          <w:rFonts w:hint="eastAsia" w:cs="Times New Roman" w:asciiTheme="minorEastAsia" w:hAnsiTheme="minorEastAsia" w:eastAsiaTheme="minorEastAsia"/>
          <w:kern w:val="0"/>
          <w:sz w:val="24"/>
          <w:szCs w:val="24"/>
          <w:lang w:eastAsia="zh-CN"/>
        </w:rPr>
        <w:t>衢州市冻猪肉储备政府购买服务项目（三次）</w:t>
      </w:r>
    </w:p>
    <w:p w14:paraId="17C7F9CE">
      <w:pPr>
        <w:pStyle w:val="29"/>
        <w:spacing w:line="400" w:lineRule="atLeast"/>
        <w:ind w:firstLine="482" w:firstLineChars="200"/>
        <w:rPr>
          <w:rFonts w:cs="Times New Roman" w:asciiTheme="minorEastAsia" w:hAnsiTheme="minorEastAsia" w:eastAsiaTheme="minorEastAsia"/>
          <w:kern w:val="0"/>
          <w:sz w:val="24"/>
          <w:szCs w:val="24"/>
        </w:rPr>
      </w:pPr>
      <w:r>
        <w:rPr>
          <w:rFonts w:cs="Times New Roman" w:asciiTheme="minorEastAsia" w:hAnsiTheme="minorEastAsia" w:eastAsiaTheme="minorEastAsia"/>
          <w:b/>
          <w:kern w:val="0"/>
          <w:sz w:val="24"/>
          <w:szCs w:val="24"/>
        </w:rPr>
        <w:t>3.采购方式：</w:t>
      </w:r>
      <w:r>
        <w:rPr>
          <w:rFonts w:cs="Times New Roman" w:asciiTheme="minorEastAsia" w:hAnsiTheme="minorEastAsia" w:eastAsiaTheme="minorEastAsia"/>
          <w:kern w:val="0"/>
          <w:sz w:val="24"/>
          <w:szCs w:val="24"/>
        </w:rPr>
        <w:t>公开招标</w:t>
      </w:r>
    </w:p>
    <w:p w14:paraId="080887AC">
      <w:pPr>
        <w:pStyle w:val="29"/>
        <w:spacing w:line="400" w:lineRule="atLeast"/>
        <w:ind w:firstLine="482" w:firstLineChars="200"/>
        <w:rPr>
          <w:rFonts w:cs="Times New Roman" w:asciiTheme="minorEastAsia" w:hAnsiTheme="minorEastAsia" w:eastAsiaTheme="minorEastAsia"/>
          <w:b/>
          <w:kern w:val="0"/>
          <w:sz w:val="24"/>
          <w:szCs w:val="24"/>
        </w:rPr>
      </w:pPr>
      <w:r>
        <w:rPr>
          <w:rFonts w:cs="Times New Roman" w:asciiTheme="minorEastAsia" w:hAnsiTheme="minorEastAsia" w:eastAsiaTheme="minorEastAsia"/>
          <w:b/>
          <w:kern w:val="0"/>
          <w:sz w:val="24"/>
          <w:szCs w:val="24"/>
        </w:rPr>
        <w:t>4.预算金额（元）：</w:t>
      </w:r>
      <w:r>
        <w:rPr>
          <w:rFonts w:hint="eastAsia" w:cs="Times New Roman" w:asciiTheme="minorEastAsia" w:hAnsiTheme="minorEastAsia" w:eastAsiaTheme="minorEastAsia"/>
          <w:b/>
          <w:kern w:val="0"/>
          <w:sz w:val="24"/>
          <w:szCs w:val="24"/>
        </w:rPr>
        <w:t>1，800,000.00</w:t>
      </w:r>
    </w:p>
    <w:p w14:paraId="68459492">
      <w:pPr>
        <w:pStyle w:val="29"/>
        <w:spacing w:line="400" w:lineRule="atLeast"/>
        <w:ind w:firstLine="482" w:firstLineChars="200"/>
        <w:rPr>
          <w:rFonts w:cs="Times New Roman" w:asciiTheme="minorEastAsia" w:hAnsiTheme="minorEastAsia" w:eastAsiaTheme="minorEastAsia"/>
          <w:b/>
          <w:kern w:val="0"/>
          <w:sz w:val="24"/>
          <w:szCs w:val="24"/>
        </w:rPr>
      </w:pPr>
      <w:r>
        <w:rPr>
          <w:rFonts w:cs="Times New Roman" w:asciiTheme="minorEastAsia" w:hAnsiTheme="minorEastAsia" w:eastAsiaTheme="minorEastAsia"/>
          <w:b/>
          <w:kern w:val="0"/>
          <w:sz w:val="24"/>
          <w:szCs w:val="24"/>
        </w:rPr>
        <w:t>最高限价（元）：</w:t>
      </w:r>
      <w:bookmarkEnd w:id="5"/>
      <w:bookmarkEnd w:id="6"/>
      <w:bookmarkEnd w:id="7"/>
      <w:bookmarkEnd w:id="8"/>
      <w:bookmarkEnd w:id="9"/>
      <w:bookmarkEnd w:id="10"/>
      <w:r>
        <w:rPr>
          <w:rFonts w:hint="eastAsia" w:cs="Times New Roman" w:asciiTheme="minorEastAsia" w:hAnsiTheme="minorEastAsia" w:eastAsiaTheme="minorEastAsia"/>
          <w:b/>
          <w:kern w:val="0"/>
          <w:sz w:val="24"/>
          <w:szCs w:val="24"/>
        </w:rPr>
        <w:t>1，800,000.00</w:t>
      </w:r>
    </w:p>
    <w:p w14:paraId="2CF2D36B">
      <w:pPr>
        <w:pStyle w:val="29"/>
        <w:spacing w:line="400" w:lineRule="atLeast"/>
        <w:ind w:firstLine="482" w:firstLineChars="200"/>
        <w:rPr>
          <w:rFonts w:cs="Times New Roman" w:asciiTheme="minorEastAsia" w:hAnsiTheme="minorEastAsia" w:eastAsiaTheme="minorEastAsia"/>
          <w:b/>
          <w:kern w:val="0"/>
          <w:sz w:val="24"/>
          <w:szCs w:val="24"/>
        </w:rPr>
      </w:pPr>
      <w:r>
        <w:rPr>
          <w:rFonts w:hint="eastAsia" w:cs="Times New Roman" w:asciiTheme="minorEastAsia" w:hAnsiTheme="minorEastAsia" w:eastAsiaTheme="minorEastAsia"/>
          <w:b/>
          <w:kern w:val="0"/>
          <w:sz w:val="24"/>
          <w:szCs w:val="24"/>
        </w:rPr>
        <w:t>5.</w:t>
      </w:r>
      <w:r>
        <w:rPr>
          <w:rFonts w:cs="Times New Roman" w:asciiTheme="minorEastAsia" w:hAnsiTheme="minorEastAsia" w:eastAsiaTheme="minorEastAsia"/>
          <w:b/>
          <w:kern w:val="0"/>
          <w:sz w:val="24"/>
          <w:szCs w:val="24"/>
        </w:rPr>
        <w:t>采购需求：</w:t>
      </w:r>
    </w:p>
    <w:p w14:paraId="28645F8F">
      <w:pPr>
        <w:pStyle w:val="29"/>
        <w:spacing w:line="400" w:lineRule="atLeast"/>
        <w:ind w:firstLine="480" w:firstLineChars="200"/>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标项一:</w:t>
      </w:r>
    </w:p>
    <w:p w14:paraId="1A148394">
      <w:pPr>
        <w:pStyle w:val="29"/>
        <w:spacing w:line="400" w:lineRule="atLeast"/>
        <w:ind w:firstLine="480" w:firstLineChars="200"/>
        <w:rPr>
          <w:rFonts w:hint="eastAsia" w:cs="Times New Roman" w:asciiTheme="minorEastAsia" w:hAnsiTheme="minorEastAsia" w:eastAsiaTheme="minorEastAsia"/>
          <w:kern w:val="0"/>
          <w:sz w:val="24"/>
          <w:szCs w:val="24"/>
          <w:lang w:eastAsia="zh-CN"/>
        </w:rPr>
      </w:pPr>
      <w:r>
        <w:rPr>
          <w:rFonts w:cs="Times New Roman" w:asciiTheme="minorEastAsia" w:hAnsiTheme="minorEastAsia" w:eastAsiaTheme="minorEastAsia"/>
          <w:kern w:val="0"/>
          <w:sz w:val="24"/>
          <w:szCs w:val="24"/>
        </w:rPr>
        <w:t>标项名称:</w:t>
      </w:r>
      <w:r>
        <w:rPr>
          <w:rFonts w:hint="eastAsia" w:cs="Times New Roman" w:asciiTheme="minorEastAsia" w:hAnsiTheme="minorEastAsia" w:eastAsiaTheme="minorEastAsia"/>
          <w:kern w:val="0"/>
          <w:sz w:val="24"/>
          <w:szCs w:val="24"/>
        </w:rPr>
        <w:t xml:space="preserve"> </w:t>
      </w:r>
      <w:r>
        <w:rPr>
          <w:rFonts w:hint="eastAsia" w:cs="Times New Roman" w:asciiTheme="minorEastAsia" w:hAnsiTheme="minorEastAsia" w:eastAsiaTheme="minorEastAsia"/>
          <w:kern w:val="0"/>
          <w:sz w:val="24"/>
          <w:szCs w:val="24"/>
          <w:lang w:eastAsia="zh-CN"/>
        </w:rPr>
        <w:t>衢州市冻猪肉储备政府购买服务项目（三次）</w:t>
      </w:r>
    </w:p>
    <w:p w14:paraId="0ECD681D">
      <w:pPr>
        <w:pStyle w:val="29"/>
        <w:spacing w:line="400" w:lineRule="atLeast"/>
        <w:ind w:firstLine="480" w:firstLineChars="200"/>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数量:</w:t>
      </w:r>
      <w:r>
        <w:rPr>
          <w:rFonts w:hint="eastAsia" w:cs="Times New Roman" w:asciiTheme="minorEastAsia" w:hAnsiTheme="minorEastAsia" w:eastAsiaTheme="minorEastAsia"/>
          <w:kern w:val="0"/>
          <w:sz w:val="24"/>
          <w:szCs w:val="24"/>
        </w:rPr>
        <w:t>1</w:t>
      </w:r>
    </w:p>
    <w:p w14:paraId="39D9BCC8">
      <w:pPr>
        <w:pStyle w:val="29"/>
        <w:spacing w:line="400" w:lineRule="atLeast"/>
        <w:ind w:firstLine="480" w:firstLineChars="200"/>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预算金额（元）:</w:t>
      </w:r>
      <w:r>
        <w:rPr>
          <w:rFonts w:hint="eastAsia" w:cs="Times New Roman" w:asciiTheme="minorEastAsia" w:hAnsiTheme="minorEastAsia" w:eastAsiaTheme="minorEastAsia"/>
          <w:kern w:val="0"/>
          <w:sz w:val="24"/>
          <w:szCs w:val="24"/>
        </w:rPr>
        <w:t>1，800,000</w:t>
      </w:r>
      <w:r>
        <w:rPr>
          <w:rFonts w:cs="Times New Roman" w:asciiTheme="minorEastAsia" w:hAnsiTheme="minorEastAsia" w:eastAsiaTheme="minorEastAsia"/>
          <w:kern w:val="0"/>
          <w:sz w:val="24"/>
          <w:szCs w:val="24"/>
        </w:rPr>
        <w:t>.00</w:t>
      </w:r>
    </w:p>
    <w:p w14:paraId="53C3A3BF">
      <w:pPr>
        <w:pStyle w:val="29"/>
        <w:spacing w:line="400" w:lineRule="atLeast"/>
        <w:ind w:firstLine="480" w:firstLineChars="200"/>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简要规格描述或项目基本概况介绍、用途：</w:t>
      </w:r>
      <w:r>
        <w:rPr>
          <w:rFonts w:hint="eastAsia" w:cs="Times New Roman" w:asciiTheme="minorEastAsia" w:hAnsiTheme="minorEastAsia" w:eastAsiaTheme="minorEastAsia"/>
          <w:kern w:val="0"/>
          <w:sz w:val="24"/>
          <w:szCs w:val="24"/>
        </w:rPr>
        <w:t>本项目采购主要内容是包括市本级、柯城区、衢江区、江山市、常山县、开化县、龙游县共七个地区的共600吨冻猪肉储备，其中具体技术规范、服务标准及服务要求详见</w:t>
      </w:r>
      <w:r>
        <w:rPr>
          <w:rFonts w:cs="Times New Roman" w:asciiTheme="minorEastAsia" w:hAnsiTheme="minorEastAsia" w:eastAsiaTheme="minorEastAsia"/>
          <w:kern w:val="0"/>
          <w:sz w:val="24"/>
          <w:szCs w:val="24"/>
        </w:rPr>
        <w:t>第三章</w:t>
      </w:r>
      <w:r>
        <w:rPr>
          <w:rFonts w:hint="eastAsia" w:cs="Times New Roman" w:asciiTheme="minorEastAsia" w:hAnsiTheme="minorEastAsia" w:eastAsiaTheme="minorEastAsia"/>
          <w:kern w:val="0"/>
          <w:sz w:val="24"/>
          <w:szCs w:val="24"/>
        </w:rPr>
        <w:t>---</w:t>
      </w:r>
      <w:r>
        <w:rPr>
          <w:rFonts w:cs="Times New Roman" w:asciiTheme="minorEastAsia" w:hAnsiTheme="minorEastAsia" w:eastAsiaTheme="minorEastAsia"/>
          <w:kern w:val="0"/>
          <w:sz w:val="24"/>
          <w:szCs w:val="24"/>
        </w:rPr>
        <w:t>招标项目要求</w:t>
      </w:r>
      <w:r>
        <w:rPr>
          <w:rFonts w:hint="eastAsia" w:cs="Times New Roman" w:asciiTheme="minorEastAsia" w:hAnsiTheme="minorEastAsia" w:eastAsiaTheme="minorEastAsia"/>
          <w:kern w:val="0"/>
          <w:sz w:val="24"/>
          <w:szCs w:val="24"/>
        </w:rPr>
        <w:t>。</w:t>
      </w:r>
    </w:p>
    <w:p w14:paraId="07EB2529">
      <w:pPr>
        <w:spacing w:line="46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w:t>
      </w:r>
      <w:r>
        <w:rPr>
          <w:rFonts w:asciiTheme="minorEastAsia" w:hAnsiTheme="minorEastAsia" w:eastAsiaTheme="minorEastAsia"/>
          <w:kern w:val="0"/>
          <w:sz w:val="24"/>
        </w:rPr>
        <w:t>备注：</w:t>
      </w:r>
      <w:r>
        <w:rPr>
          <w:rFonts w:hint="eastAsia" w:asciiTheme="minorEastAsia" w:hAnsiTheme="minorEastAsia" w:eastAsiaTheme="minorEastAsia"/>
          <w:kern w:val="0"/>
          <w:sz w:val="24"/>
        </w:rPr>
        <w:t>本项目采用联合采购的方式，采购预算180万元，其中：衢州市发展和改革委员会</w:t>
      </w:r>
      <w:r>
        <w:rPr>
          <w:rFonts w:asciiTheme="minorEastAsia" w:hAnsiTheme="minorEastAsia" w:eastAsiaTheme="minorEastAsia"/>
          <w:b/>
          <w:kern w:val="0"/>
          <w:sz w:val="24"/>
        </w:rPr>
        <w:t>30</w:t>
      </w:r>
      <w:r>
        <w:rPr>
          <w:rFonts w:hint="eastAsia" w:asciiTheme="minorEastAsia" w:hAnsiTheme="minorEastAsia" w:eastAsiaTheme="minorEastAsia"/>
          <w:b/>
          <w:kern w:val="0"/>
          <w:sz w:val="24"/>
        </w:rPr>
        <w:t>万元</w:t>
      </w:r>
      <w:r>
        <w:rPr>
          <w:rFonts w:hint="eastAsia" w:asciiTheme="minorEastAsia" w:hAnsiTheme="minorEastAsia" w:eastAsiaTheme="minorEastAsia"/>
          <w:kern w:val="0"/>
          <w:sz w:val="24"/>
        </w:rPr>
        <w:t>、 衢州市柯城区发展和改革局</w:t>
      </w:r>
      <w:r>
        <w:rPr>
          <w:rFonts w:asciiTheme="minorEastAsia" w:hAnsiTheme="minorEastAsia" w:eastAsiaTheme="minorEastAsia"/>
          <w:b/>
          <w:kern w:val="0"/>
          <w:sz w:val="24"/>
        </w:rPr>
        <w:t>21</w:t>
      </w:r>
      <w:r>
        <w:rPr>
          <w:rFonts w:hint="eastAsia" w:asciiTheme="minorEastAsia" w:hAnsiTheme="minorEastAsia" w:eastAsiaTheme="minorEastAsia"/>
          <w:b/>
          <w:kern w:val="0"/>
          <w:sz w:val="24"/>
        </w:rPr>
        <w:t>万元</w:t>
      </w:r>
      <w:r>
        <w:rPr>
          <w:rFonts w:hint="eastAsia" w:asciiTheme="minorEastAsia" w:hAnsiTheme="minorEastAsia" w:eastAsiaTheme="minorEastAsia"/>
          <w:kern w:val="0"/>
          <w:sz w:val="24"/>
        </w:rPr>
        <w:t>、衢州市衢江区发展和改革局</w:t>
      </w:r>
      <w:r>
        <w:rPr>
          <w:rFonts w:asciiTheme="minorEastAsia" w:hAnsiTheme="minorEastAsia" w:eastAsiaTheme="minorEastAsia"/>
          <w:b/>
          <w:kern w:val="0"/>
          <w:sz w:val="24"/>
        </w:rPr>
        <w:t>24</w:t>
      </w:r>
      <w:r>
        <w:rPr>
          <w:rFonts w:hint="eastAsia" w:asciiTheme="minorEastAsia" w:hAnsiTheme="minorEastAsia" w:eastAsiaTheme="minorEastAsia"/>
          <w:b/>
          <w:kern w:val="0"/>
          <w:sz w:val="24"/>
        </w:rPr>
        <w:t>万元</w:t>
      </w:r>
      <w:r>
        <w:rPr>
          <w:rFonts w:hint="eastAsia" w:asciiTheme="minorEastAsia" w:hAnsiTheme="minorEastAsia" w:eastAsiaTheme="minorEastAsia"/>
          <w:kern w:val="0"/>
          <w:sz w:val="24"/>
        </w:rPr>
        <w:t>、江山市经济和信息化局</w:t>
      </w:r>
      <w:r>
        <w:rPr>
          <w:rFonts w:asciiTheme="minorEastAsia" w:hAnsiTheme="minorEastAsia" w:eastAsiaTheme="minorEastAsia"/>
          <w:b/>
          <w:kern w:val="0"/>
          <w:sz w:val="24"/>
        </w:rPr>
        <w:t>39</w:t>
      </w:r>
      <w:r>
        <w:rPr>
          <w:rFonts w:hint="eastAsia" w:asciiTheme="minorEastAsia" w:hAnsiTheme="minorEastAsia" w:eastAsiaTheme="minorEastAsia"/>
          <w:b/>
          <w:kern w:val="0"/>
          <w:sz w:val="24"/>
        </w:rPr>
        <w:t>万元</w:t>
      </w:r>
      <w:r>
        <w:rPr>
          <w:rFonts w:hint="eastAsia" w:asciiTheme="minorEastAsia" w:hAnsiTheme="minorEastAsia" w:eastAsiaTheme="minorEastAsia"/>
          <w:kern w:val="0"/>
          <w:sz w:val="24"/>
        </w:rPr>
        <w:t>、常山县经济和信息化局</w:t>
      </w:r>
      <w:r>
        <w:rPr>
          <w:rFonts w:asciiTheme="minorEastAsia" w:hAnsiTheme="minorEastAsia" w:eastAsiaTheme="minorEastAsia"/>
          <w:b/>
          <w:kern w:val="0"/>
          <w:sz w:val="24"/>
        </w:rPr>
        <w:t>21</w:t>
      </w:r>
      <w:r>
        <w:rPr>
          <w:rFonts w:hint="eastAsia" w:asciiTheme="minorEastAsia" w:hAnsiTheme="minorEastAsia" w:eastAsiaTheme="minorEastAsia"/>
          <w:b/>
          <w:kern w:val="0"/>
          <w:sz w:val="24"/>
        </w:rPr>
        <w:t>万元</w:t>
      </w:r>
      <w:r>
        <w:rPr>
          <w:rFonts w:hint="eastAsia" w:asciiTheme="minorEastAsia" w:hAnsiTheme="minorEastAsia" w:eastAsiaTheme="minorEastAsia"/>
          <w:kern w:val="0"/>
          <w:sz w:val="24"/>
        </w:rPr>
        <w:t>、开化县发展和改革局</w:t>
      </w:r>
      <w:r>
        <w:rPr>
          <w:rFonts w:asciiTheme="minorEastAsia" w:hAnsiTheme="minorEastAsia" w:eastAsiaTheme="minorEastAsia"/>
          <w:b/>
          <w:kern w:val="0"/>
          <w:sz w:val="24"/>
        </w:rPr>
        <w:t>21</w:t>
      </w:r>
      <w:r>
        <w:rPr>
          <w:rFonts w:hint="eastAsia" w:asciiTheme="minorEastAsia" w:hAnsiTheme="minorEastAsia" w:eastAsiaTheme="minorEastAsia"/>
          <w:b/>
          <w:kern w:val="0"/>
          <w:sz w:val="24"/>
        </w:rPr>
        <w:t>万元</w:t>
      </w:r>
      <w:r>
        <w:rPr>
          <w:rFonts w:asciiTheme="minorEastAsia" w:hAnsiTheme="minorEastAsia" w:eastAsiaTheme="minorEastAsia"/>
          <w:b/>
          <w:kern w:val="0"/>
          <w:sz w:val="24"/>
        </w:rPr>
        <w:tab/>
      </w:r>
      <w:r>
        <w:rPr>
          <w:rFonts w:hint="eastAsia" w:asciiTheme="minorEastAsia" w:hAnsiTheme="minorEastAsia" w:eastAsiaTheme="minorEastAsia"/>
          <w:kern w:val="0"/>
          <w:sz w:val="24"/>
        </w:rPr>
        <w:t>、龙游县经济和信息化局</w:t>
      </w:r>
      <w:r>
        <w:rPr>
          <w:rFonts w:asciiTheme="minorEastAsia" w:hAnsiTheme="minorEastAsia" w:eastAsiaTheme="minorEastAsia"/>
          <w:b/>
          <w:kern w:val="0"/>
          <w:sz w:val="24"/>
        </w:rPr>
        <w:t>24</w:t>
      </w:r>
      <w:r>
        <w:rPr>
          <w:rFonts w:hint="eastAsia" w:asciiTheme="minorEastAsia" w:hAnsiTheme="minorEastAsia" w:eastAsiaTheme="minorEastAsia"/>
          <w:kern w:val="0"/>
          <w:sz w:val="24"/>
        </w:rPr>
        <w:t>万元。中标人按照中标价的</w:t>
      </w:r>
      <w:r>
        <w:rPr>
          <w:rFonts w:asciiTheme="minorEastAsia" w:hAnsiTheme="minorEastAsia" w:eastAsiaTheme="minorEastAsia"/>
          <w:kern w:val="0"/>
          <w:sz w:val="24"/>
        </w:rPr>
        <w:t>16.67</w:t>
      </w:r>
      <w:r>
        <w:rPr>
          <w:rFonts w:hint="eastAsia" w:asciiTheme="minorEastAsia" w:hAnsiTheme="minorEastAsia" w:eastAsiaTheme="minorEastAsia"/>
          <w:kern w:val="0"/>
          <w:sz w:val="24"/>
        </w:rPr>
        <w:t>：</w:t>
      </w:r>
      <w:r>
        <w:rPr>
          <w:rFonts w:asciiTheme="minorEastAsia" w:hAnsiTheme="minorEastAsia" w:eastAsiaTheme="minorEastAsia"/>
          <w:kern w:val="0"/>
          <w:sz w:val="24"/>
        </w:rPr>
        <w:t>11.67</w:t>
      </w:r>
      <w:r>
        <w:rPr>
          <w:rFonts w:hint="eastAsia" w:asciiTheme="minorEastAsia" w:hAnsiTheme="minorEastAsia" w:eastAsiaTheme="minorEastAsia"/>
          <w:kern w:val="0"/>
          <w:sz w:val="24"/>
        </w:rPr>
        <w:t>：</w:t>
      </w:r>
      <w:r>
        <w:rPr>
          <w:rFonts w:asciiTheme="minorEastAsia" w:hAnsiTheme="minorEastAsia" w:eastAsiaTheme="minorEastAsia"/>
          <w:kern w:val="0"/>
          <w:sz w:val="24"/>
        </w:rPr>
        <w:t>13.33</w:t>
      </w:r>
      <w:r>
        <w:rPr>
          <w:rFonts w:hint="eastAsia" w:asciiTheme="minorEastAsia" w:hAnsiTheme="minorEastAsia" w:eastAsiaTheme="minorEastAsia"/>
          <w:kern w:val="0"/>
          <w:sz w:val="24"/>
        </w:rPr>
        <w:t>：</w:t>
      </w:r>
      <w:r>
        <w:rPr>
          <w:rFonts w:asciiTheme="minorEastAsia" w:hAnsiTheme="minorEastAsia" w:eastAsiaTheme="minorEastAsia"/>
          <w:kern w:val="0"/>
          <w:sz w:val="24"/>
        </w:rPr>
        <w:t>21.66</w:t>
      </w:r>
      <w:r>
        <w:rPr>
          <w:rFonts w:hint="eastAsia" w:asciiTheme="minorEastAsia" w:hAnsiTheme="minorEastAsia" w:eastAsiaTheme="minorEastAsia"/>
          <w:kern w:val="0"/>
          <w:sz w:val="24"/>
        </w:rPr>
        <w:t>：</w:t>
      </w:r>
      <w:r>
        <w:rPr>
          <w:rFonts w:asciiTheme="minorEastAsia" w:hAnsiTheme="minorEastAsia" w:eastAsiaTheme="minorEastAsia"/>
          <w:kern w:val="0"/>
          <w:sz w:val="24"/>
        </w:rPr>
        <w:t>11.67</w:t>
      </w:r>
      <w:r>
        <w:rPr>
          <w:rFonts w:hint="eastAsia" w:asciiTheme="minorEastAsia" w:hAnsiTheme="minorEastAsia" w:eastAsiaTheme="minorEastAsia"/>
          <w:kern w:val="0"/>
          <w:sz w:val="24"/>
        </w:rPr>
        <w:t>：</w:t>
      </w:r>
      <w:r>
        <w:rPr>
          <w:rFonts w:asciiTheme="minorEastAsia" w:hAnsiTheme="minorEastAsia" w:eastAsiaTheme="minorEastAsia"/>
          <w:kern w:val="0"/>
          <w:sz w:val="24"/>
        </w:rPr>
        <w:t>11.67</w:t>
      </w:r>
      <w:r>
        <w:rPr>
          <w:rFonts w:hint="eastAsia" w:asciiTheme="minorEastAsia" w:hAnsiTheme="minorEastAsia" w:eastAsiaTheme="minorEastAsia"/>
          <w:kern w:val="0"/>
          <w:sz w:val="24"/>
        </w:rPr>
        <w:t>：</w:t>
      </w:r>
      <w:r>
        <w:rPr>
          <w:rFonts w:asciiTheme="minorEastAsia" w:hAnsiTheme="minorEastAsia" w:eastAsiaTheme="minorEastAsia"/>
          <w:kern w:val="0"/>
          <w:sz w:val="24"/>
        </w:rPr>
        <w:t>13.33</w:t>
      </w:r>
      <w:r>
        <w:rPr>
          <w:rFonts w:hint="eastAsia" w:asciiTheme="minorEastAsia" w:hAnsiTheme="minorEastAsia" w:eastAsiaTheme="minorEastAsia"/>
          <w:kern w:val="0"/>
          <w:sz w:val="24"/>
        </w:rPr>
        <w:t>分别与衢州市发展和改革委员会、 衢州市柯城区发展和改革局、衢州市衢江区发展和改革局、江山市经济和信息化局、常山县经济和信息化局、开化县发展和改革局、龙游县经济和信息化局签订合同（注：以上支付服务费计算比例及合同金额最终以合同签订时为准）。</w:t>
      </w:r>
    </w:p>
    <w:p w14:paraId="01643D07">
      <w:pPr>
        <w:spacing w:line="400" w:lineRule="atLeast"/>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7</w:t>
      </w:r>
      <w:r>
        <w:rPr>
          <w:rFonts w:asciiTheme="minorEastAsia" w:hAnsiTheme="minorEastAsia" w:eastAsiaTheme="minorEastAsia"/>
          <w:b/>
          <w:kern w:val="0"/>
          <w:sz w:val="24"/>
        </w:rPr>
        <w:t>.合同履约期限：</w:t>
      </w:r>
    </w:p>
    <w:p w14:paraId="53411F29">
      <w:pPr>
        <w:spacing w:line="460" w:lineRule="exact"/>
        <w:ind w:firstLine="482" w:firstLineChars="200"/>
        <w:rPr>
          <w:rFonts w:asciiTheme="minorEastAsia" w:hAnsiTheme="minorEastAsia" w:eastAsiaTheme="minorEastAsia"/>
          <w:bCs/>
          <w:kern w:val="0"/>
          <w:sz w:val="24"/>
        </w:rPr>
      </w:pPr>
      <w:r>
        <w:rPr>
          <w:rFonts w:hint="eastAsia" w:asciiTheme="minorEastAsia" w:hAnsiTheme="minorEastAsia" w:eastAsiaTheme="minorEastAsia"/>
          <w:b/>
          <w:kern w:val="0"/>
          <w:sz w:val="24"/>
        </w:rPr>
        <w:t>7.1本项目储备周期为1年（12个月），中标后根据各县（市，区）的储备计划作适当调整。储备冷库地点为浙江省内。</w:t>
      </w:r>
      <w:r>
        <w:rPr>
          <w:rFonts w:hint="eastAsia" w:asciiTheme="minorEastAsia" w:hAnsiTheme="minorEastAsia" w:eastAsiaTheme="minorEastAsia"/>
          <w:bCs/>
          <w:kern w:val="0"/>
          <w:sz w:val="24"/>
        </w:rPr>
        <w:t>（具体时间甲乙双方在签订合同时确定）</w:t>
      </w:r>
    </w:p>
    <w:p w14:paraId="39F30C4F">
      <w:pPr>
        <w:spacing w:line="400" w:lineRule="atLeast"/>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8</w:t>
      </w:r>
      <w:r>
        <w:rPr>
          <w:rFonts w:asciiTheme="minorEastAsia" w:hAnsiTheme="minorEastAsia" w:eastAsiaTheme="minorEastAsia"/>
          <w:b/>
          <w:kern w:val="0"/>
          <w:sz w:val="24"/>
        </w:rPr>
        <w:t>.本项目（否）不接受联合体投标。</w:t>
      </w:r>
    </w:p>
    <w:p w14:paraId="05694C5E">
      <w:pPr>
        <w:pStyle w:val="29"/>
        <w:spacing w:line="400" w:lineRule="atLeast"/>
        <w:ind w:firstLine="482" w:firstLineChars="200"/>
        <w:rPr>
          <w:rFonts w:asciiTheme="minorEastAsia" w:hAnsiTheme="minorEastAsia" w:eastAsiaTheme="minorEastAsia"/>
          <w:kern w:val="0"/>
          <w:sz w:val="24"/>
          <w:shd w:val="clear" w:color="auto" w:fill="FFFFFF"/>
        </w:rPr>
      </w:pPr>
      <w:r>
        <w:rPr>
          <w:rFonts w:cs="Times New Roman" w:asciiTheme="minorEastAsia" w:hAnsiTheme="minorEastAsia" w:eastAsiaTheme="minorEastAsia"/>
          <w:b/>
          <w:kern w:val="0"/>
          <w:sz w:val="24"/>
          <w:szCs w:val="24"/>
        </w:rPr>
        <w:t>二、</w:t>
      </w:r>
      <w:r>
        <w:rPr>
          <w:rFonts w:hint="eastAsia" w:cs="Times New Roman" w:asciiTheme="minorEastAsia" w:hAnsiTheme="minorEastAsia" w:eastAsiaTheme="minorEastAsia"/>
          <w:b/>
          <w:kern w:val="0"/>
          <w:sz w:val="24"/>
          <w:szCs w:val="24"/>
        </w:rPr>
        <w:t>投标供应商资格要求</w:t>
      </w:r>
    </w:p>
    <w:p w14:paraId="584814FE">
      <w:pPr>
        <w:tabs>
          <w:tab w:val="left" w:pos="284"/>
          <w:tab w:val="left" w:pos="851"/>
        </w:tabs>
        <w:spacing w:line="400" w:lineRule="atLeas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满足《中华人民共和国政府采购法》第二十二条规定的资格条件；未被“信用中国”（www.creditchina.gov.cn)、中国政府采购网（www.ccgp.gov.cn）列入失信被执行人、重大税收违法案件当事人名单、政府采购严重违法失信行为记录名单。</w:t>
      </w:r>
    </w:p>
    <w:p w14:paraId="07663AE6">
      <w:pPr>
        <w:tabs>
          <w:tab w:val="left" w:pos="284"/>
          <w:tab w:val="left" w:pos="851"/>
        </w:tabs>
        <w:spacing w:line="400" w:lineRule="atLeas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本项目的特定资格要求：</w:t>
      </w:r>
    </w:p>
    <w:p w14:paraId="7CE3B2D7">
      <w:pPr>
        <w:tabs>
          <w:tab w:val="left" w:pos="284"/>
          <w:tab w:val="left" w:pos="851"/>
        </w:tabs>
        <w:spacing w:line="400" w:lineRule="atLeas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（1）</w:t>
      </w:r>
      <w:r>
        <w:rPr>
          <w:rFonts w:hint="eastAsia" w:asciiTheme="minorEastAsia" w:hAnsiTheme="minorEastAsia" w:eastAsiaTheme="minorEastAsia"/>
          <w:color w:val="auto"/>
          <w:sz w:val="24"/>
        </w:rPr>
        <w:t>单位负责人为同一人或者存在直接控股、管理关系的不同供应商，不得同时参加同一合同项下的投标。</w:t>
      </w:r>
    </w:p>
    <w:p w14:paraId="238060B0">
      <w:pPr>
        <w:tabs>
          <w:tab w:val="left" w:pos="284"/>
          <w:tab w:val="left" w:pos="851"/>
        </w:tabs>
        <w:spacing w:line="400" w:lineRule="atLeas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仓储设施在浙江省域内，企业自有或租赁符合《中央猪肉储备冻肉储存冷库基本条件》（SB/T 10408-2013）要求的冷库，其中租赁库有效租期不得短于承储期。</w:t>
      </w:r>
    </w:p>
    <w:p w14:paraId="09EE32BF">
      <w:pPr>
        <w:tabs>
          <w:tab w:val="left" w:pos="284"/>
          <w:tab w:val="left" w:pos="851"/>
        </w:tabs>
        <w:spacing w:line="400" w:lineRule="atLeas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.具备《营业执照》《食品经营许可证》等合法经营资质，独立承担民事责任能力。</w:t>
      </w:r>
    </w:p>
    <w:p w14:paraId="1AC2090C">
      <w:pPr>
        <w:tabs>
          <w:tab w:val="left" w:pos="284"/>
          <w:tab w:val="left" w:pos="851"/>
        </w:tabs>
        <w:spacing w:line="400" w:lineRule="atLeas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管理规范，制度健全，经营管理状况良好。</w:t>
      </w:r>
    </w:p>
    <w:p w14:paraId="5F10AC2C">
      <w:pPr>
        <w:tabs>
          <w:tab w:val="left" w:pos="284"/>
          <w:tab w:val="left" w:pos="851"/>
        </w:tabs>
        <w:spacing w:line="400" w:lineRule="atLeas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5</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具有与储备任务相匹配的应急投放能力。</w:t>
      </w:r>
    </w:p>
    <w:p w14:paraId="58E8B779">
      <w:pPr>
        <w:tabs>
          <w:tab w:val="left" w:pos="284"/>
          <w:tab w:val="left" w:pos="851"/>
        </w:tabs>
        <w:spacing w:line="400" w:lineRule="atLeast"/>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3.落实政府采购政策需满足的资格要求：无</w:t>
      </w:r>
    </w:p>
    <w:p w14:paraId="7BD0AD2C">
      <w:pPr>
        <w:spacing w:line="400" w:lineRule="atLeast"/>
        <w:ind w:firstLine="482" w:firstLineChars="200"/>
        <w:jc w:val="left"/>
        <w:rPr>
          <w:rFonts w:asciiTheme="minorEastAsia" w:hAnsiTheme="minorEastAsia" w:eastAsiaTheme="minorEastAsia"/>
          <w:b/>
          <w:sz w:val="24"/>
        </w:rPr>
      </w:pPr>
      <w:r>
        <w:rPr>
          <w:rFonts w:asciiTheme="minorEastAsia" w:hAnsiTheme="minorEastAsia" w:eastAsiaTheme="minorEastAsia"/>
          <w:b/>
          <w:sz w:val="24"/>
        </w:rPr>
        <w:t>三、获取采购文件</w:t>
      </w:r>
    </w:p>
    <w:p w14:paraId="517EABCC">
      <w:pPr>
        <w:spacing w:line="400" w:lineRule="atLeast"/>
        <w:ind w:firstLine="480" w:firstLineChars="200"/>
        <w:jc w:val="left"/>
        <w:rPr>
          <w:rFonts w:asciiTheme="minorEastAsia" w:hAnsiTheme="minorEastAsia" w:eastAsiaTheme="minorEastAsia"/>
          <w:kern w:val="0"/>
          <w:sz w:val="24"/>
          <w:shd w:val="clear" w:color="auto" w:fill="FFFFFF"/>
        </w:rPr>
      </w:pPr>
      <w:r>
        <w:rPr>
          <w:rFonts w:asciiTheme="minorEastAsia" w:hAnsiTheme="minorEastAsia" w:eastAsiaTheme="minorEastAsia"/>
          <w:kern w:val="0"/>
          <w:sz w:val="24"/>
          <w:shd w:val="clear" w:color="auto" w:fill="FFFFFF"/>
        </w:rPr>
        <w:t>1.获取时间：至202</w:t>
      </w:r>
      <w:r>
        <w:rPr>
          <w:rFonts w:hint="eastAsia" w:asciiTheme="minorEastAsia" w:hAnsiTheme="minorEastAsia" w:eastAsiaTheme="minorEastAsia"/>
          <w:kern w:val="0"/>
          <w:sz w:val="24"/>
          <w:shd w:val="clear" w:color="auto" w:fill="FFFFFF"/>
        </w:rPr>
        <w:t>4</w:t>
      </w:r>
      <w:r>
        <w:rPr>
          <w:rFonts w:asciiTheme="minorEastAsia" w:hAnsiTheme="minorEastAsia" w:eastAsiaTheme="minorEastAsia"/>
          <w:kern w:val="0"/>
          <w:sz w:val="24"/>
          <w:shd w:val="clear" w:color="auto" w:fill="FFFFFF"/>
        </w:rPr>
        <w:t>年</w:t>
      </w:r>
      <w:r>
        <w:rPr>
          <w:rFonts w:hint="eastAsia" w:asciiTheme="minorEastAsia" w:hAnsiTheme="minorEastAsia" w:eastAsiaTheme="minorEastAsia"/>
          <w:kern w:val="0"/>
          <w:sz w:val="24"/>
          <w:shd w:val="clear" w:color="auto" w:fill="FFFFFF"/>
        </w:rPr>
        <w:t xml:space="preserve"> 1</w:t>
      </w:r>
      <w:r>
        <w:rPr>
          <w:rFonts w:hint="eastAsia" w:asciiTheme="minorEastAsia" w:hAnsiTheme="minorEastAsia" w:eastAsiaTheme="minorEastAsia"/>
          <w:kern w:val="0"/>
          <w:sz w:val="24"/>
          <w:shd w:val="clear" w:color="auto" w:fill="FFFFFF"/>
          <w:lang w:val="en-US" w:eastAsia="zh-CN"/>
        </w:rPr>
        <w:t>1</w:t>
      </w:r>
      <w:r>
        <w:rPr>
          <w:rFonts w:asciiTheme="minorEastAsia" w:hAnsiTheme="minorEastAsia" w:eastAsiaTheme="minorEastAsia"/>
          <w:kern w:val="0"/>
          <w:sz w:val="24"/>
          <w:shd w:val="clear" w:color="auto" w:fill="FFFFFF"/>
        </w:rPr>
        <w:t>月</w:t>
      </w:r>
      <w:r>
        <w:rPr>
          <w:rFonts w:hint="eastAsia" w:asciiTheme="minorEastAsia" w:hAnsiTheme="minorEastAsia" w:eastAsiaTheme="minorEastAsia"/>
          <w:kern w:val="0"/>
          <w:sz w:val="24"/>
          <w:shd w:val="clear" w:color="auto" w:fill="FFFFFF"/>
        </w:rPr>
        <w:t xml:space="preserve"> 0</w:t>
      </w:r>
      <w:r>
        <w:rPr>
          <w:rFonts w:hint="eastAsia" w:asciiTheme="minorEastAsia" w:hAnsiTheme="minorEastAsia" w:eastAsiaTheme="minorEastAsia"/>
          <w:kern w:val="0"/>
          <w:sz w:val="24"/>
          <w:shd w:val="clear" w:color="auto" w:fill="FFFFFF"/>
          <w:lang w:val="en-US" w:eastAsia="zh-CN"/>
        </w:rPr>
        <w:t>8</w:t>
      </w:r>
      <w:r>
        <w:rPr>
          <w:rFonts w:asciiTheme="minorEastAsia" w:hAnsiTheme="minorEastAsia" w:eastAsiaTheme="minorEastAsia"/>
          <w:kern w:val="0"/>
          <w:sz w:val="24"/>
          <w:shd w:val="clear" w:color="auto" w:fill="FFFFFF"/>
        </w:rPr>
        <w:t>日，每天上午00:00至12:00，下午12:00至23:59（北京时间，线上获取法定节假日均可，线下获取文件法定节假日除外）</w:t>
      </w:r>
    </w:p>
    <w:p w14:paraId="3D3FA4D2">
      <w:pPr>
        <w:spacing w:line="400" w:lineRule="atLeast"/>
        <w:ind w:firstLine="480" w:firstLineChars="200"/>
        <w:jc w:val="left"/>
        <w:rPr>
          <w:rFonts w:asciiTheme="minorEastAsia" w:hAnsiTheme="minorEastAsia" w:eastAsiaTheme="minorEastAsia"/>
          <w:sz w:val="24"/>
        </w:rPr>
      </w:pPr>
      <w:r>
        <w:rPr>
          <w:rFonts w:asciiTheme="minorEastAsia" w:hAnsiTheme="minorEastAsia" w:eastAsiaTheme="minorEastAsia"/>
          <w:sz w:val="24"/>
        </w:rPr>
        <w:t xml:space="preserve">2.获取地点（网址）：https://www.zcygov.cn </w:t>
      </w:r>
    </w:p>
    <w:p w14:paraId="2876505A">
      <w:pPr>
        <w:spacing w:line="400" w:lineRule="atLeast"/>
        <w:ind w:firstLine="480" w:firstLineChars="200"/>
        <w:jc w:val="left"/>
        <w:rPr>
          <w:rFonts w:asciiTheme="minorEastAsia" w:hAnsiTheme="minorEastAsia" w:eastAsiaTheme="minorEastAsia"/>
          <w:sz w:val="24"/>
        </w:rPr>
      </w:pPr>
      <w:r>
        <w:rPr>
          <w:rFonts w:asciiTheme="minorEastAsia" w:hAnsiTheme="minorEastAsia" w:eastAsiaTheme="minorEastAsia"/>
          <w:sz w:val="24"/>
        </w:rPr>
        <w:t>3.获取方式：（1）线上获取（登录政府采购云平台→项目采购→获取采购文件→申请，审核通过后可下载采购文件）。本次采购不提供纸质版采购文件。（2）供应商获取采购文件前应注册成为政府采购云平台正式供应商。（3）采购公告所附采购文件仅供阅览使用，供应商只有在“政府采购云平台”完成获取采购文件申请并下载了采购文件后才被视为合法获取了采购文件，否则其投标将被拒绝。</w:t>
      </w:r>
    </w:p>
    <w:p w14:paraId="28491F86">
      <w:pPr>
        <w:spacing w:line="400" w:lineRule="atLeast"/>
        <w:ind w:firstLine="480" w:firstLineChars="200"/>
        <w:jc w:val="left"/>
        <w:rPr>
          <w:rFonts w:asciiTheme="minorEastAsia" w:hAnsiTheme="minorEastAsia" w:eastAsiaTheme="minorEastAsia"/>
          <w:sz w:val="24"/>
        </w:rPr>
      </w:pPr>
      <w:bookmarkStart w:id="12" w:name="_Toc51872072"/>
      <w:r>
        <w:rPr>
          <w:rFonts w:asciiTheme="minorEastAsia" w:hAnsiTheme="minorEastAsia" w:eastAsiaTheme="minorEastAsia"/>
          <w:sz w:val="24"/>
        </w:rPr>
        <w:t>4.</w:t>
      </w:r>
      <w:r>
        <w:rPr>
          <w:rFonts w:hint="eastAsia" w:asciiTheme="minorEastAsia" w:hAnsiTheme="minorEastAsia" w:eastAsiaTheme="minorEastAsia"/>
          <w:sz w:val="24"/>
        </w:rPr>
        <w:t>获取时所需提供的资料：无</w:t>
      </w:r>
    </w:p>
    <w:p w14:paraId="2D9BABE8">
      <w:pPr>
        <w:spacing w:line="400" w:lineRule="atLeas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5.采购文件售价:0元</w:t>
      </w:r>
    </w:p>
    <w:p w14:paraId="4EE12A1E">
      <w:pPr>
        <w:spacing w:line="400" w:lineRule="atLeast"/>
        <w:ind w:firstLine="480" w:firstLineChars="200"/>
        <w:jc w:val="left"/>
        <w:rPr>
          <w:rFonts w:asciiTheme="minorEastAsia" w:hAnsiTheme="minorEastAsia" w:eastAsiaTheme="minorEastAsia"/>
          <w:sz w:val="24"/>
        </w:rPr>
      </w:pPr>
      <w:r>
        <w:rPr>
          <w:rFonts w:asciiTheme="minorEastAsia" w:hAnsiTheme="minorEastAsia" w:eastAsiaTheme="minorEastAsia"/>
          <w:sz w:val="24"/>
        </w:rPr>
        <w:t>提示：</w:t>
      </w:r>
      <w:bookmarkEnd w:id="12"/>
    </w:p>
    <w:p w14:paraId="6F4959ED">
      <w:pPr>
        <w:spacing w:line="400" w:lineRule="atLeast"/>
        <w:ind w:firstLine="482" w:firstLineChars="200"/>
        <w:jc w:val="left"/>
        <w:rPr>
          <w:rFonts w:asciiTheme="minorEastAsia" w:hAnsiTheme="minorEastAsia" w:eastAsiaTheme="minorEastAsia"/>
          <w:b/>
          <w:sz w:val="24"/>
        </w:rPr>
      </w:pPr>
      <w:r>
        <w:rPr>
          <w:rFonts w:asciiTheme="minorEastAsia" w:hAnsiTheme="minorEastAsia" w:eastAsiaTheme="minorEastAsia"/>
          <w:b/>
          <w:sz w:val="24"/>
        </w:rPr>
        <w:t>采购文件同时以本公告附件形式发布，该采购文件仅供阅览使用，供应商只有在“政府采购云平台”完成注册并下载了采购文件后才视作依法获取采购文件，未在政采云平台上获取采购文件的潜在供应商均无资格参加本次投标。已依法获取采购文件的供应商不代表已通过资格审查，资格审查由</w:t>
      </w:r>
      <w:r>
        <w:rPr>
          <w:rFonts w:hint="eastAsia" w:asciiTheme="minorEastAsia" w:hAnsiTheme="minorEastAsia" w:eastAsiaTheme="minorEastAsia"/>
          <w:b/>
          <w:sz w:val="24"/>
        </w:rPr>
        <w:t>采购人</w:t>
      </w:r>
      <w:r>
        <w:rPr>
          <w:rFonts w:asciiTheme="minorEastAsia" w:hAnsiTheme="minorEastAsia" w:eastAsiaTheme="minorEastAsia"/>
          <w:b/>
          <w:sz w:val="24"/>
        </w:rPr>
        <w:t>代表在</w:t>
      </w:r>
      <w:r>
        <w:rPr>
          <w:rFonts w:hint="eastAsia" w:asciiTheme="minorEastAsia" w:hAnsiTheme="minorEastAsia" w:eastAsiaTheme="minorEastAsia"/>
          <w:b/>
          <w:sz w:val="24"/>
        </w:rPr>
        <w:t>投标</w:t>
      </w:r>
      <w:r>
        <w:rPr>
          <w:rFonts w:asciiTheme="minorEastAsia" w:hAnsiTheme="minorEastAsia" w:eastAsiaTheme="minorEastAsia"/>
          <w:b/>
          <w:sz w:val="24"/>
        </w:rPr>
        <w:t>前根据供应商提交的投标文件认定。</w:t>
      </w:r>
    </w:p>
    <w:p w14:paraId="2217491C">
      <w:pPr>
        <w:pStyle w:val="215"/>
        <w:spacing w:line="400" w:lineRule="atLeast"/>
        <w:ind w:firstLine="482" w:firstLineChars="200"/>
        <w:rPr>
          <w:rFonts w:hint="default" w:asciiTheme="minorEastAsia" w:hAnsiTheme="minorEastAsia" w:eastAsiaTheme="minorEastAsia"/>
          <w:b/>
          <w:bCs/>
          <w:sz w:val="24"/>
          <w:szCs w:val="24"/>
          <w:lang w:val="zh-TW"/>
        </w:rPr>
      </w:pPr>
      <w:r>
        <w:rPr>
          <w:rFonts w:hint="default" w:asciiTheme="minorEastAsia" w:hAnsiTheme="minorEastAsia" w:eastAsiaTheme="minorEastAsia"/>
          <w:b/>
          <w:bCs/>
          <w:sz w:val="24"/>
          <w:szCs w:val="24"/>
          <w:lang w:val="zh-TW"/>
        </w:rPr>
        <w:t>四</w:t>
      </w:r>
      <w:r>
        <w:rPr>
          <w:rFonts w:hint="default" w:asciiTheme="minorEastAsia" w:hAnsiTheme="minorEastAsia" w:eastAsiaTheme="minorEastAsia"/>
          <w:b/>
          <w:bCs/>
          <w:sz w:val="24"/>
          <w:szCs w:val="24"/>
          <w:lang w:val="zh-TW" w:eastAsia="zh-TW"/>
        </w:rPr>
        <w:t>、</w:t>
      </w:r>
      <w:r>
        <w:rPr>
          <w:rFonts w:asciiTheme="minorEastAsia" w:hAnsiTheme="minorEastAsia" w:eastAsiaTheme="minorEastAsia"/>
          <w:b/>
          <w:bCs/>
          <w:sz w:val="24"/>
          <w:szCs w:val="24"/>
          <w:lang w:val="zh-TW"/>
        </w:rPr>
        <w:t>开标评标时间地址</w:t>
      </w:r>
    </w:p>
    <w:p w14:paraId="3D65E74F">
      <w:pPr>
        <w:pStyle w:val="215"/>
        <w:spacing w:line="400" w:lineRule="atLeast"/>
        <w:ind w:firstLine="482" w:firstLineChars="200"/>
        <w:rPr>
          <w:rFonts w:hint="default" w:asciiTheme="minorEastAsia" w:hAnsiTheme="minorEastAsia" w:eastAsiaTheme="minorEastAsia"/>
          <w:b/>
          <w:bCs/>
          <w:sz w:val="24"/>
          <w:szCs w:val="24"/>
          <w:lang w:val="zh-TW"/>
        </w:rPr>
      </w:pPr>
      <w:r>
        <w:rPr>
          <w:rFonts w:asciiTheme="minorEastAsia" w:hAnsiTheme="minorEastAsia" w:eastAsiaTheme="minorEastAsia"/>
          <w:b/>
          <w:bCs/>
          <w:sz w:val="24"/>
          <w:szCs w:val="24"/>
          <w:lang w:val="zh-TW"/>
        </w:rPr>
        <w:t>1.采购意向公开情况</w:t>
      </w:r>
    </w:p>
    <w:p w14:paraId="07903326">
      <w:pPr>
        <w:pStyle w:val="215"/>
        <w:spacing w:line="400" w:lineRule="atLeast"/>
        <w:ind w:firstLine="482" w:firstLineChars="200"/>
        <w:rPr>
          <w:rFonts w:hint="default" w:asciiTheme="minorEastAsia" w:hAnsiTheme="minorEastAsia" w:eastAsiaTheme="minorEastAsia"/>
          <w:b/>
          <w:bCs/>
          <w:sz w:val="24"/>
          <w:szCs w:val="24"/>
          <w:lang w:val="zh-TW" w:eastAsia="zh-TW"/>
        </w:rPr>
      </w:pPr>
      <w:r>
        <w:rPr>
          <w:rFonts w:asciiTheme="minorEastAsia" w:hAnsiTheme="minorEastAsia" w:eastAsiaTheme="minorEastAsia"/>
          <w:b/>
          <w:bCs/>
          <w:sz w:val="24"/>
          <w:szCs w:val="24"/>
          <w:lang w:val="zh-TW" w:eastAsia="zh-TW"/>
        </w:rPr>
        <w:t>已公开采购意向链接：</w:t>
      </w:r>
    </w:p>
    <w:p w14:paraId="003FEB2F">
      <w:pPr>
        <w:pStyle w:val="215"/>
        <w:spacing w:line="400" w:lineRule="atLeast"/>
        <w:ind w:firstLine="420" w:firstLineChars="200"/>
        <w:rPr>
          <w:rFonts w:hint="default" w:cs="Segoe UI" w:asciiTheme="minorEastAsia" w:hAnsiTheme="minorEastAsia" w:eastAsiaTheme="minorEastAsia"/>
          <w:b/>
          <w:bCs/>
          <w:kern w:val="0"/>
          <w:sz w:val="24"/>
          <w:szCs w:val="24"/>
          <w:lang w:eastAsia="zh-TW"/>
        </w:rPr>
      </w:pPr>
      <w:r>
        <w:fldChar w:fldCharType="begin"/>
      </w:r>
      <w:r>
        <w:instrText xml:space="preserve"> HYPERLINK "https://zfcg.czt.zj.gov.cn/site/detail?parentId=600007&amp;articleId=wdqWeDxJSDrpbAsYjgwJyA%3D%3D" </w:instrText>
      </w:r>
      <w:r>
        <w:fldChar w:fldCharType="separate"/>
      </w:r>
      <w:r>
        <w:rPr>
          <w:rStyle w:val="61"/>
          <w:rFonts w:cs="Segoe UI" w:asciiTheme="minorEastAsia" w:hAnsiTheme="minorEastAsia" w:eastAsiaTheme="minorEastAsia"/>
          <w:b/>
          <w:bCs/>
          <w:color w:val="auto"/>
          <w:kern w:val="0"/>
          <w:sz w:val="24"/>
          <w:szCs w:val="24"/>
          <w:lang w:eastAsia="zh-TW"/>
        </w:rPr>
        <w:t>https://zfcg.czt.zj.gov.cn/site/detail?parentId=600007&amp;articleId=wdqWeDxJSDrpbAsYjgwJyA%3D%3D</w:t>
      </w:r>
      <w:r>
        <w:rPr>
          <w:rStyle w:val="61"/>
          <w:rFonts w:cs="Segoe UI" w:asciiTheme="minorEastAsia" w:hAnsiTheme="minorEastAsia" w:eastAsiaTheme="minorEastAsia"/>
          <w:b/>
          <w:bCs/>
          <w:color w:val="auto"/>
          <w:kern w:val="0"/>
          <w:sz w:val="24"/>
          <w:szCs w:val="24"/>
          <w:lang w:eastAsia="zh-TW"/>
        </w:rPr>
        <w:fldChar w:fldCharType="end"/>
      </w:r>
    </w:p>
    <w:p w14:paraId="5E4ACE16">
      <w:pPr>
        <w:pStyle w:val="215"/>
        <w:spacing w:line="400" w:lineRule="atLeast"/>
        <w:ind w:firstLine="482" w:firstLineChars="200"/>
        <w:rPr>
          <w:rFonts w:hint="default" w:asciiTheme="minorEastAsia" w:hAnsiTheme="minorEastAsia" w:eastAsiaTheme="minorEastAsia"/>
          <w:b/>
          <w:bCs/>
          <w:sz w:val="24"/>
          <w:szCs w:val="24"/>
          <w:lang w:val="zh-TW" w:eastAsia="zh-TW"/>
        </w:rPr>
      </w:pPr>
      <w:r>
        <w:rPr>
          <w:rFonts w:asciiTheme="minorEastAsia" w:hAnsiTheme="minorEastAsia" w:eastAsiaTheme="minorEastAsia"/>
          <w:b/>
          <w:bCs/>
          <w:sz w:val="24"/>
          <w:szCs w:val="24"/>
          <w:lang w:val="zh-TW" w:eastAsia="zh-TW"/>
        </w:rPr>
        <w:t>2.采购意向公告发布时间：2024年</w:t>
      </w:r>
      <w:r>
        <w:rPr>
          <w:rFonts w:asciiTheme="minorEastAsia" w:hAnsiTheme="minorEastAsia" w:eastAsiaTheme="minorEastAsia"/>
          <w:b/>
          <w:bCs/>
          <w:sz w:val="24"/>
          <w:szCs w:val="24"/>
          <w:u w:val="single"/>
          <w:lang w:val="zh-TW" w:eastAsia="zh-TW"/>
        </w:rPr>
        <w:t>0</w:t>
      </w:r>
      <w:r>
        <w:rPr>
          <w:rFonts w:asciiTheme="minorEastAsia" w:hAnsiTheme="minorEastAsia" w:eastAsiaTheme="minorEastAsia"/>
          <w:b/>
          <w:bCs/>
          <w:sz w:val="24"/>
          <w:szCs w:val="24"/>
          <w:u w:val="single"/>
          <w:lang w:val="zh-TW"/>
        </w:rPr>
        <w:t>7</w:t>
      </w:r>
      <w:r>
        <w:rPr>
          <w:rFonts w:asciiTheme="minorEastAsia" w:hAnsiTheme="minorEastAsia" w:eastAsiaTheme="minorEastAsia"/>
          <w:b/>
          <w:bCs/>
          <w:sz w:val="24"/>
          <w:szCs w:val="24"/>
          <w:lang w:val="zh-TW" w:eastAsia="zh-TW"/>
        </w:rPr>
        <w:t>月</w:t>
      </w:r>
      <w:r>
        <w:rPr>
          <w:rFonts w:asciiTheme="minorEastAsia" w:hAnsiTheme="minorEastAsia" w:eastAsiaTheme="minorEastAsia"/>
          <w:b/>
          <w:bCs/>
          <w:sz w:val="24"/>
          <w:szCs w:val="24"/>
          <w:u w:val="single"/>
          <w:lang w:val="zh-TW"/>
        </w:rPr>
        <w:t>09</w:t>
      </w:r>
      <w:r>
        <w:rPr>
          <w:rFonts w:asciiTheme="minorEastAsia" w:hAnsiTheme="minorEastAsia" w:eastAsiaTheme="minorEastAsia"/>
          <w:b/>
          <w:bCs/>
          <w:sz w:val="24"/>
          <w:szCs w:val="24"/>
          <w:lang w:val="zh-TW" w:eastAsia="zh-TW"/>
        </w:rPr>
        <w:t>日</w:t>
      </w:r>
    </w:p>
    <w:p w14:paraId="6F2A03B7">
      <w:pPr>
        <w:pStyle w:val="215"/>
        <w:spacing w:line="400" w:lineRule="atLeast"/>
        <w:ind w:firstLine="482" w:firstLineChars="200"/>
        <w:rPr>
          <w:rFonts w:hint="default" w:asciiTheme="minorEastAsia" w:hAnsiTheme="minorEastAsia" w:eastAsiaTheme="minorEastAsia"/>
          <w:b/>
          <w:bCs/>
          <w:sz w:val="24"/>
          <w:szCs w:val="24"/>
          <w:lang w:val="zh-TW"/>
        </w:rPr>
      </w:pPr>
      <w:r>
        <w:rPr>
          <w:rFonts w:asciiTheme="minorEastAsia" w:hAnsiTheme="minorEastAsia" w:eastAsiaTheme="minorEastAsia"/>
          <w:b/>
          <w:bCs/>
          <w:sz w:val="24"/>
          <w:szCs w:val="24"/>
          <w:lang w:val="zh-TW"/>
        </w:rPr>
        <w:t>3.</w:t>
      </w:r>
      <w:r>
        <w:rPr>
          <w:rFonts w:hint="default" w:asciiTheme="minorEastAsia" w:hAnsiTheme="minorEastAsia" w:eastAsiaTheme="minorEastAsia"/>
          <w:b/>
          <w:bCs/>
          <w:sz w:val="24"/>
          <w:szCs w:val="24"/>
          <w:lang w:val="zh-TW" w:eastAsia="zh-TW"/>
        </w:rPr>
        <w:t>投标</w:t>
      </w:r>
      <w:r>
        <w:rPr>
          <w:rFonts w:hint="default" w:asciiTheme="minorEastAsia" w:hAnsiTheme="minorEastAsia" w:eastAsiaTheme="minorEastAsia"/>
          <w:b/>
          <w:bCs/>
          <w:sz w:val="24"/>
          <w:szCs w:val="24"/>
          <w:lang w:val="zh-TW"/>
        </w:rPr>
        <w:t>文件上传</w:t>
      </w:r>
      <w:r>
        <w:rPr>
          <w:rFonts w:asciiTheme="minorEastAsia" w:hAnsiTheme="minorEastAsia" w:eastAsiaTheme="minorEastAsia"/>
          <w:b/>
          <w:bCs/>
          <w:sz w:val="24"/>
          <w:szCs w:val="24"/>
          <w:lang w:val="zh-TW"/>
        </w:rPr>
        <w:t>截止时间及地址</w:t>
      </w:r>
    </w:p>
    <w:p w14:paraId="7FF7090D">
      <w:pPr>
        <w:pStyle w:val="215"/>
        <w:spacing w:line="400" w:lineRule="atLeast"/>
        <w:ind w:firstLine="480" w:firstLineChars="200"/>
        <w:rPr>
          <w:rFonts w:hint="default" w:asciiTheme="minorEastAsia" w:hAnsiTheme="minorEastAsia" w:eastAsiaTheme="minorEastAsia"/>
          <w:bCs/>
          <w:sz w:val="24"/>
          <w:szCs w:val="24"/>
          <w:lang w:val="zh-TW"/>
        </w:rPr>
      </w:pPr>
      <w:r>
        <w:rPr>
          <w:rFonts w:asciiTheme="minorEastAsia" w:hAnsiTheme="minorEastAsia" w:eastAsiaTheme="minorEastAsia"/>
          <w:bCs/>
          <w:sz w:val="24"/>
          <w:szCs w:val="24"/>
          <w:lang w:val="zh-TW"/>
        </w:rPr>
        <w:t>（1）</w:t>
      </w:r>
      <w:r>
        <w:rPr>
          <w:rFonts w:hint="default" w:asciiTheme="minorEastAsia" w:hAnsiTheme="minorEastAsia" w:eastAsiaTheme="minorEastAsia"/>
          <w:bCs/>
          <w:sz w:val="24"/>
          <w:szCs w:val="24"/>
          <w:lang w:val="zh-TW"/>
        </w:rPr>
        <w:t>投标截止时间：202</w:t>
      </w:r>
      <w:r>
        <w:rPr>
          <w:rFonts w:asciiTheme="minorEastAsia" w:hAnsiTheme="minorEastAsia" w:eastAsiaTheme="minorEastAsia"/>
          <w:bCs/>
          <w:sz w:val="24"/>
          <w:szCs w:val="24"/>
          <w:lang w:val="zh-TW"/>
        </w:rPr>
        <w:t>4</w:t>
      </w:r>
      <w:r>
        <w:rPr>
          <w:rFonts w:hint="default" w:asciiTheme="minorEastAsia" w:hAnsiTheme="minorEastAsia" w:eastAsiaTheme="minorEastAsia"/>
          <w:bCs/>
          <w:sz w:val="24"/>
          <w:szCs w:val="24"/>
          <w:lang w:val="zh-TW"/>
        </w:rPr>
        <w:t>年</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lang w:val="en-US" w:eastAsia="zh-CN"/>
        </w:rPr>
        <w:t>1</w:t>
      </w:r>
      <w:r>
        <w:rPr>
          <w:rFonts w:hint="default" w:asciiTheme="minorEastAsia" w:hAnsiTheme="minorEastAsia" w:eastAsiaTheme="minorEastAsia"/>
          <w:bCs/>
          <w:sz w:val="24"/>
          <w:szCs w:val="24"/>
          <w:lang w:val="zh-TW"/>
        </w:rPr>
        <w:t>月</w:t>
      </w:r>
      <w:r>
        <w:rPr>
          <w:rFonts w:asciiTheme="minorEastAsia" w:hAnsiTheme="minorEastAsia" w:eastAsiaTheme="minorEastAsia"/>
          <w:bCs/>
          <w:sz w:val="24"/>
          <w:szCs w:val="24"/>
        </w:rPr>
        <w:t>0</w:t>
      </w:r>
      <w:r>
        <w:rPr>
          <w:rFonts w:hint="eastAsia" w:asciiTheme="minorEastAsia" w:hAnsiTheme="minorEastAsia" w:eastAsiaTheme="minorEastAsia"/>
          <w:bCs/>
          <w:sz w:val="24"/>
          <w:szCs w:val="24"/>
          <w:lang w:val="en-US" w:eastAsia="zh-CN"/>
        </w:rPr>
        <w:t>8</w:t>
      </w:r>
      <w:r>
        <w:rPr>
          <w:rFonts w:hint="default" w:asciiTheme="minorEastAsia" w:hAnsiTheme="minorEastAsia" w:eastAsiaTheme="minorEastAsia"/>
          <w:bCs/>
          <w:sz w:val="24"/>
          <w:szCs w:val="24"/>
          <w:lang w:val="zh-TW"/>
        </w:rPr>
        <w:t>日上午09:30（北京时间）（从采购文件开始发出之日起至供应商提交投标文件截止之日止不得少于20日。</w:t>
      </w:r>
    </w:p>
    <w:p w14:paraId="2B0E75E2">
      <w:pPr>
        <w:pStyle w:val="215"/>
        <w:spacing w:line="400" w:lineRule="atLeast"/>
        <w:ind w:firstLine="480" w:firstLineChars="200"/>
        <w:rPr>
          <w:rFonts w:hint="default" w:asciiTheme="minorEastAsia" w:hAnsiTheme="minorEastAsia" w:eastAsiaTheme="minorEastAsia"/>
          <w:bCs/>
          <w:sz w:val="24"/>
          <w:szCs w:val="24"/>
          <w:lang w:val="zh-TW" w:eastAsia="zh-TW"/>
        </w:rPr>
      </w:pPr>
      <w:r>
        <w:rPr>
          <w:rFonts w:asciiTheme="minorEastAsia" w:hAnsiTheme="minorEastAsia" w:eastAsiaTheme="minorEastAsia"/>
          <w:bCs/>
          <w:sz w:val="24"/>
          <w:szCs w:val="24"/>
          <w:lang w:val="zh-TW" w:eastAsia="zh-TW"/>
        </w:rPr>
        <w:t>（2）</w:t>
      </w:r>
      <w:r>
        <w:rPr>
          <w:rFonts w:hint="default" w:asciiTheme="minorEastAsia" w:hAnsiTheme="minorEastAsia" w:eastAsiaTheme="minorEastAsia"/>
          <w:bCs/>
          <w:sz w:val="24"/>
          <w:szCs w:val="24"/>
          <w:lang w:val="zh-TW" w:eastAsia="zh-TW"/>
        </w:rPr>
        <w:t>地点（网址）：（1）“电子加密投标文件”：https://www.zcygov.cn在线递交；“电子备份投标文件”：以电子邮件方式发送至邮箱：</w:t>
      </w:r>
      <w:r>
        <w:rPr>
          <w:rFonts w:hint="eastAsia" w:asciiTheme="minorEastAsia" w:hAnsiTheme="minorEastAsia" w:eastAsiaTheme="minorEastAsia"/>
          <w:bCs/>
          <w:sz w:val="24"/>
          <w:szCs w:val="24"/>
          <w:lang w:val="en-US" w:eastAsia="zh-CN"/>
        </w:rPr>
        <w:t>346082301</w:t>
      </w:r>
      <w:r>
        <w:rPr>
          <w:rFonts w:hint="default" w:asciiTheme="minorEastAsia" w:hAnsiTheme="minorEastAsia" w:eastAsiaTheme="minorEastAsia"/>
          <w:bCs/>
          <w:sz w:val="24"/>
          <w:szCs w:val="24"/>
          <w:lang w:val="zh-TW" w:eastAsia="zh-TW"/>
        </w:rPr>
        <w:t>@qq.com。</w:t>
      </w:r>
    </w:p>
    <w:p w14:paraId="5B6A97DB">
      <w:pPr>
        <w:pStyle w:val="215"/>
        <w:spacing w:line="400" w:lineRule="atLeast"/>
        <w:ind w:firstLine="482" w:firstLineChars="200"/>
        <w:rPr>
          <w:rFonts w:hint="default" w:asciiTheme="minorEastAsia" w:hAnsiTheme="minorEastAsia" w:eastAsiaTheme="minorEastAsia"/>
          <w:b/>
          <w:bCs/>
          <w:sz w:val="24"/>
          <w:szCs w:val="24"/>
          <w:lang w:val="zh-TW"/>
        </w:rPr>
      </w:pPr>
      <w:r>
        <w:rPr>
          <w:rFonts w:hint="default" w:asciiTheme="minorEastAsia" w:hAnsiTheme="minorEastAsia" w:eastAsiaTheme="minorEastAsia"/>
          <w:b/>
          <w:bCs/>
          <w:sz w:val="24"/>
          <w:szCs w:val="24"/>
          <w:lang w:val="zh-TW"/>
        </w:rPr>
        <w:t>五、投标文件开启</w:t>
      </w:r>
    </w:p>
    <w:p w14:paraId="098EA048">
      <w:pPr>
        <w:pStyle w:val="215"/>
        <w:spacing w:line="400" w:lineRule="atLeast"/>
        <w:ind w:firstLine="480" w:firstLineChars="200"/>
        <w:rPr>
          <w:rFonts w:hint="default" w:cs="宋体" w:asciiTheme="minorEastAsia" w:hAnsiTheme="minorEastAsia" w:eastAsiaTheme="minorEastAsia"/>
          <w:bCs/>
          <w:sz w:val="24"/>
          <w:szCs w:val="24"/>
          <w:lang w:val="zh-TW"/>
        </w:rPr>
      </w:pPr>
      <w:r>
        <w:rPr>
          <w:rFonts w:cs="宋体" w:asciiTheme="minorEastAsia" w:hAnsiTheme="minorEastAsia" w:eastAsiaTheme="minorEastAsia"/>
          <w:bCs/>
          <w:sz w:val="24"/>
          <w:szCs w:val="24"/>
          <w:lang w:val="zh-TW"/>
        </w:rPr>
        <w:t>1.时间：2024年</w:t>
      </w:r>
      <w:r>
        <w:rPr>
          <w:rFonts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lang w:val="en-US" w:eastAsia="zh-CN"/>
        </w:rPr>
        <w:t>1</w:t>
      </w:r>
      <w:r>
        <w:rPr>
          <w:rFonts w:cs="宋体" w:asciiTheme="minorEastAsia" w:hAnsiTheme="minorEastAsia" w:eastAsiaTheme="minorEastAsia"/>
          <w:bCs/>
          <w:sz w:val="24"/>
          <w:szCs w:val="24"/>
          <w:lang w:val="zh-TW"/>
        </w:rPr>
        <w:t>月</w:t>
      </w:r>
      <w:r>
        <w:rPr>
          <w:rFonts w:hint="eastAsia" w:cs="宋体" w:asciiTheme="minorEastAsia" w:hAnsiTheme="minorEastAsia" w:eastAsiaTheme="minorEastAsia"/>
          <w:bCs/>
          <w:sz w:val="24"/>
          <w:szCs w:val="24"/>
          <w:lang w:val="en-US" w:eastAsia="zh-CN"/>
        </w:rPr>
        <w:t>08</w:t>
      </w:r>
      <w:r>
        <w:rPr>
          <w:rFonts w:cs="宋体" w:asciiTheme="minorEastAsia" w:hAnsiTheme="minorEastAsia" w:eastAsiaTheme="minorEastAsia"/>
          <w:bCs/>
          <w:sz w:val="24"/>
          <w:szCs w:val="24"/>
          <w:lang w:val="zh-TW"/>
        </w:rPr>
        <w:t>日上午09:30（北京时间）。</w:t>
      </w:r>
    </w:p>
    <w:p w14:paraId="6C32DD8F">
      <w:pPr>
        <w:pStyle w:val="215"/>
        <w:spacing w:line="380" w:lineRule="atLeast"/>
        <w:ind w:firstLine="480" w:firstLineChars="200"/>
        <w:rPr>
          <w:rFonts w:hint="default" w:cs="宋体" w:asciiTheme="minorEastAsia" w:hAnsiTheme="minorEastAsia" w:eastAsiaTheme="minorEastAsia"/>
          <w:bCs/>
          <w:sz w:val="24"/>
          <w:szCs w:val="24"/>
          <w:lang w:val="zh-TW" w:eastAsia="zh-TW"/>
        </w:rPr>
      </w:pPr>
      <w:r>
        <w:rPr>
          <w:rFonts w:cs="宋体" w:asciiTheme="minorEastAsia" w:hAnsiTheme="minorEastAsia" w:eastAsiaTheme="minorEastAsia"/>
          <w:bCs/>
          <w:sz w:val="24"/>
          <w:szCs w:val="24"/>
          <w:lang w:val="zh-TW" w:eastAsia="zh-TW"/>
        </w:rPr>
        <w:t>2.地点：（网址）：https://www.zcygov.cn（</w:t>
      </w:r>
      <w:r>
        <w:rPr>
          <w:rFonts w:hint="eastAsia" w:cs="宋体" w:asciiTheme="minorEastAsia" w:hAnsiTheme="minorEastAsia" w:eastAsiaTheme="minorEastAsia"/>
          <w:bCs/>
          <w:sz w:val="24"/>
          <w:szCs w:val="24"/>
          <w:lang w:val="zh-TW" w:eastAsia="zh-CN"/>
        </w:rPr>
        <w:t>杭州兑尚源工程管理有限公司</w:t>
      </w:r>
      <w:r>
        <w:rPr>
          <w:rFonts w:cs="宋体" w:asciiTheme="minorEastAsia" w:hAnsiTheme="minorEastAsia" w:eastAsiaTheme="minorEastAsia"/>
          <w:bCs/>
          <w:sz w:val="24"/>
          <w:szCs w:val="24"/>
          <w:lang w:val="zh-TW" w:eastAsia="zh-TW"/>
        </w:rPr>
        <w:t>（</w:t>
      </w:r>
      <w:r>
        <w:rPr>
          <w:rFonts w:cs="宋体" w:asciiTheme="minorEastAsia" w:hAnsiTheme="minorEastAsia" w:eastAsiaTheme="minorEastAsia"/>
          <w:kern w:val="0"/>
          <w:sz w:val="24"/>
          <w:szCs w:val="24"/>
          <w:lang w:eastAsia="zh-TW"/>
        </w:rPr>
        <w:t>衢州市柯城区信安街道浮石路</w:t>
      </w:r>
      <w:r>
        <w:rPr>
          <w:rFonts w:hint="eastAsia" w:cs="宋体" w:asciiTheme="minorEastAsia" w:hAnsiTheme="minorEastAsia" w:eastAsiaTheme="minorEastAsia"/>
          <w:kern w:val="0"/>
          <w:sz w:val="24"/>
          <w:szCs w:val="24"/>
          <w:lang w:val="en-US" w:eastAsia="zh-CN"/>
        </w:rPr>
        <w:t>51</w:t>
      </w:r>
      <w:r>
        <w:rPr>
          <w:rFonts w:cs="宋体" w:asciiTheme="minorEastAsia" w:hAnsiTheme="minorEastAsia" w:eastAsiaTheme="minorEastAsia"/>
          <w:kern w:val="0"/>
          <w:sz w:val="24"/>
          <w:szCs w:val="24"/>
          <w:lang w:eastAsia="zh-TW"/>
        </w:rPr>
        <w:t>号</w:t>
      </w:r>
      <w:r>
        <w:rPr>
          <w:rFonts w:hint="eastAsia" w:cs="宋体" w:asciiTheme="minorEastAsia" w:hAnsiTheme="minorEastAsia" w:eastAsiaTheme="minorEastAsia"/>
          <w:kern w:val="0"/>
          <w:sz w:val="24"/>
          <w:szCs w:val="24"/>
          <w:lang w:val="en-US" w:eastAsia="zh-CN"/>
        </w:rPr>
        <w:t>4</w:t>
      </w:r>
      <w:r>
        <w:rPr>
          <w:rFonts w:cs="宋体" w:asciiTheme="minorEastAsia" w:hAnsiTheme="minorEastAsia" w:eastAsiaTheme="minorEastAsia"/>
          <w:kern w:val="0"/>
          <w:sz w:val="24"/>
          <w:szCs w:val="24"/>
          <w:lang w:eastAsia="zh-TW"/>
        </w:rPr>
        <w:t>楼评标室）</w:t>
      </w:r>
      <w:r>
        <w:rPr>
          <w:rFonts w:cs="宋体" w:asciiTheme="minorEastAsia" w:hAnsiTheme="minorEastAsia" w:eastAsiaTheme="minorEastAsia"/>
          <w:bCs/>
          <w:sz w:val="24"/>
          <w:szCs w:val="24"/>
          <w:lang w:val="zh-TW" w:eastAsia="zh-TW"/>
        </w:rPr>
        <w:t>）（本项目采用在线投标方式，投标供应商无须前往投标现场）。</w:t>
      </w:r>
    </w:p>
    <w:p w14:paraId="59A027C4">
      <w:pPr>
        <w:tabs>
          <w:tab w:val="left" w:pos="284"/>
          <w:tab w:val="left" w:pos="851"/>
        </w:tabs>
        <w:spacing w:line="400" w:lineRule="atLeast"/>
        <w:ind w:firstLine="482" w:firstLineChars="200"/>
        <w:rPr>
          <w:rFonts w:asciiTheme="minorEastAsia" w:hAnsiTheme="minorEastAsia" w:eastAsiaTheme="minorEastAsia"/>
          <w:b/>
          <w:sz w:val="24"/>
        </w:rPr>
      </w:pPr>
      <w:r>
        <w:rPr>
          <w:rFonts w:asciiTheme="minorEastAsia" w:hAnsiTheme="minorEastAsia" w:eastAsiaTheme="minorEastAsia"/>
          <w:b/>
          <w:sz w:val="24"/>
        </w:rPr>
        <w:t>六、公告期限</w:t>
      </w:r>
    </w:p>
    <w:p w14:paraId="52D0D79E">
      <w:pPr>
        <w:tabs>
          <w:tab w:val="left" w:pos="284"/>
          <w:tab w:val="left" w:pos="851"/>
        </w:tabs>
        <w:spacing w:line="400" w:lineRule="atLeast"/>
        <w:ind w:firstLine="480" w:firstLineChars="200"/>
        <w:rPr>
          <w:rFonts w:asciiTheme="minorEastAsia" w:hAnsiTheme="minorEastAsia" w:eastAsiaTheme="minorEastAsia"/>
          <w:b/>
          <w:sz w:val="24"/>
        </w:rPr>
      </w:pPr>
      <w:r>
        <w:rPr>
          <w:rFonts w:asciiTheme="minorEastAsia" w:hAnsiTheme="minorEastAsia" w:eastAsiaTheme="minorEastAsia"/>
          <w:bCs/>
          <w:sz w:val="24"/>
        </w:rPr>
        <w:t>自本公告发布之日起5个工作日。</w:t>
      </w:r>
    </w:p>
    <w:p w14:paraId="257F4D44">
      <w:pPr>
        <w:tabs>
          <w:tab w:val="left" w:pos="284"/>
          <w:tab w:val="left" w:pos="851"/>
        </w:tabs>
        <w:spacing w:line="400" w:lineRule="atLeast"/>
        <w:ind w:firstLine="482" w:firstLineChars="200"/>
        <w:rPr>
          <w:rFonts w:asciiTheme="minorEastAsia" w:hAnsiTheme="minorEastAsia" w:eastAsiaTheme="minorEastAsia"/>
          <w:b/>
          <w:sz w:val="24"/>
        </w:rPr>
      </w:pPr>
      <w:r>
        <w:rPr>
          <w:rFonts w:asciiTheme="minorEastAsia" w:hAnsiTheme="minorEastAsia" w:eastAsiaTheme="minorEastAsia"/>
          <w:b/>
          <w:sz w:val="24"/>
        </w:rPr>
        <w:t>七、其他补充事宜</w:t>
      </w:r>
    </w:p>
    <w:p w14:paraId="10F788BE">
      <w:pPr>
        <w:tabs>
          <w:tab w:val="left" w:pos="284"/>
          <w:tab w:val="left" w:pos="851"/>
        </w:tabs>
        <w:spacing w:line="400" w:lineRule="atLeast"/>
        <w:ind w:firstLine="482" w:firstLineChars="200"/>
        <w:rPr>
          <w:rFonts w:asciiTheme="minorEastAsia" w:hAnsiTheme="minorEastAsia" w:eastAsiaTheme="minorEastAsia"/>
          <w:b/>
          <w:sz w:val="24"/>
        </w:rPr>
      </w:pPr>
      <w:r>
        <w:rPr>
          <w:rFonts w:asciiTheme="minorEastAsia" w:hAnsiTheme="minorEastAsia" w:eastAsiaTheme="minorEastAsia"/>
          <w:b/>
          <w:sz w:val="24"/>
        </w:rPr>
        <w:t>1.在线投标响应（电子投标）说明：</w:t>
      </w:r>
    </w:p>
    <w:p w14:paraId="20ED7D0A">
      <w:pPr>
        <w:pStyle w:val="54"/>
        <w:tabs>
          <w:tab w:val="left" w:pos="900"/>
        </w:tabs>
        <w:spacing w:after="0" w:line="400" w:lineRule="atLeast"/>
        <w:ind w:left="0" w:leftChars="0" w:firstLine="480"/>
        <w:rPr>
          <w:rFonts w:asciiTheme="minorEastAsia" w:hAnsiTheme="minorEastAsia" w:eastAsiaTheme="minorEastAsia"/>
          <w:sz w:val="24"/>
          <w:szCs w:val="24"/>
        </w:rPr>
      </w:pPr>
      <w:r>
        <w:rPr>
          <w:rFonts w:asciiTheme="minorEastAsia" w:hAnsiTheme="minorEastAsia" w:eastAsiaTheme="minorEastAsia"/>
          <w:sz w:val="24"/>
          <w:szCs w:val="24"/>
        </w:rPr>
        <w:t>1.1本项目通过“政府采购云平台（www.zcygov.cn）”实行在线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02A2F1E4">
      <w:pPr>
        <w:pStyle w:val="54"/>
        <w:tabs>
          <w:tab w:val="left" w:pos="900"/>
        </w:tabs>
        <w:spacing w:after="0" w:line="400" w:lineRule="atLeast"/>
        <w:ind w:left="0" w:leftChars="0" w:firstLine="480"/>
        <w:rPr>
          <w:rFonts w:asciiTheme="minorEastAsia" w:hAnsiTheme="minorEastAsia" w:eastAsiaTheme="minorEastAsia"/>
          <w:sz w:val="24"/>
          <w:szCs w:val="24"/>
        </w:rPr>
      </w:pPr>
      <w:r>
        <w:rPr>
          <w:rFonts w:asciiTheme="minorEastAsia" w:hAnsiTheme="minorEastAsia" w:eastAsiaTheme="minorEastAsia"/>
          <w:sz w:val="24"/>
          <w:szCs w:val="24"/>
        </w:rPr>
        <w:t>1.2“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95763。</w:t>
      </w:r>
    </w:p>
    <w:p w14:paraId="2B5FFDE3">
      <w:pPr>
        <w:pStyle w:val="54"/>
        <w:tabs>
          <w:tab w:val="left" w:pos="900"/>
        </w:tabs>
        <w:spacing w:after="0" w:line="400" w:lineRule="atLeast"/>
        <w:ind w:left="0" w:leftChars="0" w:firstLine="480"/>
        <w:rPr>
          <w:rFonts w:asciiTheme="minorEastAsia" w:hAnsiTheme="minorEastAsia" w:eastAsiaTheme="minorEastAsia"/>
          <w:sz w:val="24"/>
          <w:szCs w:val="24"/>
        </w:rPr>
      </w:pPr>
      <w:r>
        <w:rPr>
          <w:rFonts w:asciiTheme="minorEastAsia" w:hAnsiTheme="minorEastAsia" w:eastAsiaTheme="minorEastAsia"/>
          <w:sz w:val="24"/>
          <w:szCs w:val="24"/>
        </w:rPr>
        <w:t>1.3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完成CA数字证书办理预计一周左右，建议各投标人抓紧时间办理。</w:t>
      </w:r>
    </w:p>
    <w:p w14:paraId="06B72956">
      <w:pPr>
        <w:pStyle w:val="54"/>
        <w:tabs>
          <w:tab w:val="left" w:pos="900"/>
        </w:tabs>
        <w:spacing w:after="0" w:line="400" w:lineRule="atLeast"/>
        <w:ind w:left="0" w:leftChars="0" w:firstLine="480"/>
        <w:rPr>
          <w:rFonts w:asciiTheme="minorEastAsia" w:hAnsiTheme="minorEastAsia" w:eastAsiaTheme="minorEastAsia"/>
          <w:sz w:val="24"/>
          <w:szCs w:val="24"/>
        </w:rPr>
      </w:pPr>
      <w:r>
        <w:rPr>
          <w:rFonts w:asciiTheme="minorEastAsia" w:hAnsiTheme="minorEastAsia" w:eastAsiaTheme="minorEastAsia"/>
          <w:sz w:val="24"/>
          <w:szCs w:val="24"/>
        </w:rPr>
        <w:t>1.4投标供应商应当在投标截止时间前，将生成的“电子加密投标文件”上传递交至“政府采购云平台”。投标截止时间以后上传递交的投标文件将被“政府采购云平台”拒收。</w:t>
      </w:r>
    </w:p>
    <w:p w14:paraId="6D3FEAF6">
      <w:pPr>
        <w:pStyle w:val="54"/>
        <w:tabs>
          <w:tab w:val="left" w:pos="900"/>
        </w:tabs>
        <w:spacing w:after="0" w:line="400" w:lineRule="atLeast"/>
        <w:ind w:left="0" w:leftChars="0" w:firstLine="480"/>
        <w:rPr>
          <w:rFonts w:asciiTheme="minorEastAsia" w:hAnsiTheme="minorEastAsia" w:eastAsiaTheme="minorEastAsia"/>
          <w:sz w:val="24"/>
          <w:szCs w:val="24"/>
        </w:rPr>
      </w:pPr>
      <w:r>
        <w:rPr>
          <w:rFonts w:asciiTheme="minorEastAsia" w:hAnsiTheme="minorEastAsia" w:eastAsiaTheme="minorEastAsia"/>
          <w:sz w:val="24"/>
          <w:szCs w:val="24"/>
        </w:rPr>
        <w:t>1.5投标供应商在“政府采购云平台”完成“电子加密投标文件”的上传递交后，投标人应当在投标截止时间前将同时生成的电子备份加密投标文件（文件名后缀为bfbs）以电子邮件方式发送至邮箱：</w:t>
      </w:r>
      <w:r>
        <w:rPr>
          <w:rFonts w:hint="eastAsia" w:asciiTheme="minorEastAsia" w:hAnsiTheme="minorEastAsia" w:eastAsiaTheme="minorEastAsia"/>
          <w:sz w:val="24"/>
          <w:szCs w:val="24"/>
          <w:lang w:val="en-US" w:eastAsia="zh-CN"/>
        </w:rPr>
        <w:t>346082301</w:t>
      </w:r>
      <w:r>
        <w:rPr>
          <w:rFonts w:asciiTheme="minorEastAsia" w:hAnsiTheme="minorEastAsia" w:eastAsiaTheme="minorEastAsia"/>
          <w:sz w:val="24"/>
          <w:szCs w:val="24"/>
        </w:rPr>
        <w:t>@qq.com。电子加密投标文件在规定时间内解密成功的，电子备份加密投标文件自动失效；如电子加密投标文件解密失败，则在评标现场启用电子电子备份加密投标文件。</w:t>
      </w:r>
    </w:p>
    <w:p w14:paraId="62AFEF6B">
      <w:pPr>
        <w:tabs>
          <w:tab w:val="left" w:pos="284"/>
          <w:tab w:val="left" w:pos="851"/>
        </w:tabs>
        <w:spacing w:line="400" w:lineRule="atLeast"/>
        <w:ind w:firstLine="482" w:firstLineChars="200"/>
        <w:rPr>
          <w:rFonts w:asciiTheme="minorEastAsia" w:hAnsiTheme="minorEastAsia" w:eastAsiaTheme="minorEastAsia"/>
          <w:b/>
          <w:sz w:val="24"/>
        </w:rPr>
      </w:pPr>
      <w:r>
        <w:rPr>
          <w:rFonts w:asciiTheme="minorEastAsia" w:hAnsiTheme="minorEastAsia" w:eastAsiaTheme="minorEastAsia"/>
          <w:b/>
          <w:sz w:val="24"/>
        </w:rPr>
        <w:t>1.6.通过“政府采购云平台”上传递交的“电子加密投标文件”无法按时解密，投标人递交了电子备份加密投标文件的，以电子备份加密投标文件为依据，否则视为投标文件撤回。通过“政府采购云平台”上传递交的“电子加密投标文件”已按时解密的，“电子备份加密投标文件”自动失效。投标供应商仅递交了电子备份加密投标文件而未将电子加密投标文件上传至“政府采购云平台”的，则投标无效。</w:t>
      </w:r>
    </w:p>
    <w:p w14:paraId="207E184C">
      <w:pPr>
        <w:tabs>
          <w:tab w:val="left" w:pos="284"/>
          <w:tab w:val="left" w:pos="851"/>
        </w:tabs>
        <w:spacing w:line="400" w:lineRule="atLeast"/>
        <w:ind w:firstLine="482" w:firstLineChars="200"/>
        <w:rPr>
          <w:rFonts w:asciiTheme="minorEastAsia" w:hAnsiTheme="minorEastAsia" w:eastAsiaTheme="minorEastAsia"/>
          <w:b/>
          <w:sz w:val="24"/>
        </w:rPr>
      </w:pPr>
      <w:r>
        <w:rPr>
          <w:rFonts w:asciiTheme="minorEastAsia" w:hAnsiTheme="minorEastAsia" w:eastAsiaTheme="minorEastAsia"/>
          <w:b/>
          <w:sz w:val="24"/>
        </w:rPr>
        <w:t>2.其他事项：</w:t>
      </w:r>
    </w:p>
    <w:p w14:paraId="0313457B">
      <w:pPr>
        <w:snapToGrid w:val="0"/>
        <w:spacing w:line="40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8365F30">
      <w:pPr>
        <w:snapToGrid w:val="0"/>
        <w:spacing w:line="40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2BE863">
      <w:pPr>
        <w:tabs>
          <w:tab w:val="left" w:pos="284"/>
          <w:tab w:val="left" w:pos="851"/>
        </w:tabs>
        <w:spacing w:line="400" w:lineRule="atLeast"/>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2.3</w:t>
      </w:r>
      <w:r>
        <w:rPr>
          <w:rFonts w:asciiTheme="minorEastAsia" w:hAnsiTheme="minorEastAsia" w:eastAsiaTheme="minorEastAsia"/>
          <w:kern w:val="0"/>
          <w:sz w:val="24"/>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C41585">
      <w:pPr>
        <w:pStyle w:val="29"/>
        <w:spacing w:line="400" w:lineRule="atLeast"/>
        <w:ind w:firstLine="480" w:firstLineChars="20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采购项目需要落实的政府采购政策：</w:t>
      </w:r>
    </w:p>
    <w:p w14:paraId="11D39071">
      <w:pPr>
        <w:spacing w:line="400" w:lineRule="atLeast"/>
        <w:ind w:firstLine="480" w:firstLineChars="200"/>
        <w:jc w:val="left"/>
        <w:rPr>
          <w:rFonts w:asciiTheme="minorEastAsia" w:hAnsiTheme="minorEastAsia" w:eastAsiaTheme="minorEastAsia"/>
          <w:bCs/>
          <w:sz w:val="24"/>
        </w:rPr>
      </w:pPr>
      <w:r>
        <w:rPr>
          <w:rFonts w:asciiTheme="minorEastAsia" w:hAnsiTheme="minorEastAsia" w:eastAsiaTheme="minorEastAsia"/>
          <w:bCs/>
          <w:sz w:val="24"/>
        </w:rPr>
        <w:t>2.</w:t>
      </w:r>
      <w:r>
        <w:rPr>
          <w:rFonts w:hint="eastAsia" w:asciiTheme="minorEastAsia" w:hAnsiTheme="minorEastAsia" w:eastAsiaTheme="minorEastAsia"/>
          <w:bCs/>
          <w:sz w:val="24"/>
        </w:rPr>
        <w:t>4</w:t>
      </w:r>
      <w:r>
        <w:rPr>
          <w:rFonts w:asciiTheme="minorEastAsia" w:hAnsiTheme="minorEastAsia" w:eastAsiaTheme="minorEastAsia"/>
          <w:bCs/>
          <w:sz w:val="24"/>
        </w:rPr>
        <w:t>.1财政部 发展改革委 生态环境部 市场监管总局 关于调整优化节能产品、环境标志产品政府采购执行机制的通知（财库〔2019〕9号）；（如有）</w:t>
      </w:r>
    </w:p>
    <w:p w14:paraId="358A85B7">
      <w:pPr>
        <w:spacing w:line="400" w:lineRule="atLeast"/>
        <w:ind w:firstLine="480" w:firstLineChars="200"/>
        <w:jc w:val="left"/>
        <w:rPr>
          <w:rFonts w:asciiTheme="minorEastAsia" w:hAnsiTheme="minorEastAsia" w:eastAsiaTheme="minorEastAsia"/>
          <w:bCs/>
          <w:sz w:val="24"/>
        </w:rPr>
      </w:pPr>
      <w:r>
        <w:rPr>
          <w:rFonts w:asciiTheme="minorEastAsia" w:hAnsiTheme="minorEastAsia" w:eastAsiaTheme="minorEastAsia"/>
          <w:bCs/>
          <w:sz w:val="24"/>
        </w:rPr>
        <w:t>2.</w:t>
      </w:r>
      <w:r>
        <w:rPr>
          <w:rFonts w:hint="eastAsia" w:asciiTheme="minorEastAsia" w:hAnsiTheme="minorEastAsia" w:eastAsiaTheme="minorEastAsia"/>
          <w:bCs/>
          <w:sz w:val="24"/>
        </w:rPr>
        <w:t>4</w:t>
      </w:r>
      <w:r>
        <w:rPr>
          <w:rFonts w:asciiTheme="minorEastAsia" w:hAnsiTheme="minorEastAsia" w:eastAsiaTheme="minorEastAsia"/>
          <w:bCs/>
          <w:sz w:val="24"/>
        </w:rPr>
        <w:t>.2关于印发《环境标志产品政府采购品目清单》的通知（财库〔2019〕18号）；（如有）</w:t>
      </w:r>
    </w:p>
    <w:p w14:paraId="2F1A5C34">
      <w:pPr>
        <w:spacing w:line="380" w:lineRule="atLeas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sz w:val="24"/>
        </w:rPr>
        <w:t>2.4.3根据财政部工业和信息化部关于印发《政府采购促进中小企业发展管理办法》的通知（财库〔2020〕46号）的规定。本项目不属于预留采购份额项目，对小型、微型企业报价价格进行扣除，扣除比例见《第五章评标办法》；采购标的对应的中小企业划分标准所属行业：</w:t>
      </w:r>
      <w:r>
        <w:rPr>
          <w:rFonts w:hint="eastAsia" w:cs="宋体" w:asciiTheme="minorEastAsia" w:hAnsiTheme="minorEastAsia" w:eastAsiaTheme="minorEastAsia"/>
          <w:b/>
          <w:sz w:val="24"/>
        </w:rPr>
        <w:t>【仓储业】</w:t>
      </w:r>
    </w:p>
    <w:p w14:paraId="49592962">
      <w:pPr>
        <w:spacing w:line="380" w:lineRule="atLeast"/>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2.4.4根据财政部司法部关于政府采购支持监狱企业发展有关问题的通知（财库〔2014〕68 号）的规定，监狱企业视同小型、微型企业。</w:t>
      </w:r>
    </w:p>
    <w:p w14:paraId="35C0FD4F">
      <w:pPr>
        <w:spacing w:line="400" w:lineRule="atLeast"/>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2.4.5根据财政部 民政部 中国残疾人联合会关于促进残疾人就业政府采购政策的通知（财库〔2017〕141 号）的规定，残疾人福利性单位视同小型、微型企业。</w:t>
      </w:r>
    </w:p>
    <w:p w14:paraId="58DCD7C0">
      <w:pPr>
        <w:spacing w:line="400" w:lineRule="atLeast"/>
        <w:ind w:firstLine="480" w:firstLineChars="200"/>
        <w:jc w:val="left"/>
        <w:rPr>
          <w:rFonts w:asciiTheme="minorEastAsia" w:hAnsiTheme="minorEastAsia" w:eastAsiaTheme="minorEastAsia"/>
          <w:b/>
          <w:bCs/>
          <w:kern w:val="0"/>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6</w:t>
      </w:r>
      <w:r>
        <w:rPr>
          <w:rFonts w:asciiTheme="minorEastAsia" w:hAnsiTheme="minorEastAsia" w:eastAsiaTheme="minorEastAsia"/>
          <w:sz w:val="24"/>
        </w:rPr>
        <w:t>企业信用融资</w:t>
      </w:r>
      <w:r>
        <w:rPr>
          <w:rFonts w:hint="eastAsia" w:asciiTheme="minorEastAsia" w:hAnsiTheme="minorEastAsia" w:eastAsiaTheme="minorEastAsia"/>
          <w:sz w:val="24"/>
        </w:rPr>
        <w:t>：</w:t>
      </w:r>
      <w:r>
        <w:rPr>
          <w:rFonts w:asciiTheme="minorEastAsia" w:hAnsiTheme="minorEastAsia" w:eastAsiaTheme="minorEastAsia"/>
          <w:sz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 zcygov.cn/)首页的“金融服务”模块进入申请。</w:t>
      </w:r>
      <w:r>
        <w:rPr>
          <w:rFonts w:hint="eastAsia" w:asciiTheme="minorEastAsia" w:hAnsiTheme="minorEastAsia" w:eastAsiaTheme="minorEastAsia"/>
          <w:b/>
          <w:sz w:val="24"/>
        </w:rPr>
        <w:t>衢州地区政府采购中标的中小企业除在“政采云”平台申请“政采 贷”等政府采购金融服务产品外，也可以通过“浙江政务网” 登录到“衢融通”平台，发起政府采购质押融资申请。</w:t>
      </w:r>
    </w:p>
    <w:p w14:paraId="3FD097B8">
      <w:pPr>
        <w:spacing w:line="400" w:lineRule="atLeas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5</w:t>
      </w:r>
      <w:r>
        <w:rPr>
          <w:rFonts w:asciiTheme="minorEastAsia" w:hAnsiTheme="minorEastAsia" w:eastAsiaTheme="minorEastAsia"/>
          <w:sz w:val="24"/>
        </w:rPr>
        <w:t>其他事项</w:t>
      </w:r>
    </w:p>
    <w:p w14:paraId="5B7C7F8E">
      <w:pPr>
        <w:widowControl/>
        <w:spacing w:line="400" w:lineRule="atLeast"/>
        <w:ind w:firstLine="480" w:firstLineChars="200"/>
        <w:jc w:val="left"/>
        <w:rPr>
          <w:rFonts w:asciiTheme="minorEastAsia" w:hAnsiTheme="minorEastAsia" w:eastAsiaTheme="minorEastAsia"/>
          <w:kern w:val="0"/>
          <w:sz w:val="24"/>
        </w:rPr>
      </w:pPr>
      <w:r>
        <w:rPr>
          <w:rFonts w:asciiTheme="minorEastAsia" w:hAnsiTheme="minorEastAsia" w:eastAsiaTheme="minorEastAsia"/>
          <w:bCs/>
          <w:kern w:val="0"/>
          <w:sz w:val="24"/>
        </w:rPr>
        <w:t>（1）非浙江省政府采购网注册的供应商或发生变更且未及时更新的供应商，应当按照《浙江省政府采购供应商注册及诚信管理暂行办法》（浙财采监字［2009］28号）的相关规定，及时办理供应商注册或更新事项。</w:t>
      </w:r>
      <w:r>
        <w:rPr>
          <w:rFonts w:asciiTheme="minorEastAsia" w:hAnsiTheme="minorEastAsia" w:eastAsiaTheme="minorEastAsia"/>
          <w:sz w:val="24"/>
        </w:rPr>
        <w:t>政采云供应商注册指南具体见：</w:t>
      </w:r>
    </w:p>
    <w:p w14:paraId="5C4D40B6">
      <w:pPr>
        <w:spacing w:line="400" w:lineRule="atLeast"/>
        <w:ind w:firstLine="480" w:firstLineChars="200"/>
        <w:rPr>
          <w:rFonts w:asciiTheme="minorEastAsia" w:hAnsiTheme="minorEastAsia" w:eastAsiaTheme="minorEastAsia"/>
          <w:sz w:val="24"/>
        </w:rPr>
      </w:pPr>
      <w:r>
        <w:rPr>
          <w:rFonts w:asciiTheme="minorEastAsia" w:hAnsiTheme="minorEastAsia" w:eastAsiaTheme="minorEastAsia"/>
          <w:sz w:val="24"/>
        </w:rPr>
        <w:t>http://ggzy.cixi.gov.cn/art/2018/8/27/art_5590_1519947.html。</w:t>
      </w:r>
    </w:p>
    <w:p w14:paraId="4064D6DF">
      <w:pPr>
        <w:spacing w:line="400" w:lineRule="atLeast"/>
        <w:ind w:firstLine="480" w:firstLineChars="200"/>
        <w:rPr>
          <w:rFonts w:asciiTheme="minorEastAsia" w:hAnsiTheme="minorEastAsia" w:eastAsiaTheme="minorEastAsia"/>
          <w:sz w:val="24"/>
        </w:rPr>
      </w:pPr>
      <w:r>
        <w:rPr>
          <w:rFonts w:asciiTheme="minorEastAsia" w:hAnsiTheme="minorEastAsia" w:eastAsiaTheme="minorEastAsia"/>
          <w:sz w:val="24"/>
        </w:rPr>
        <w:t>（2）书面质疑受理地点：</w:t>
      </w:r>
      <w:r>
        <w:rPr>
          <w:rFonts w:hint="eastAsia" w:asciiTheme="minorEastAsia" w:hAnsiTheme="minorEastAsia" w:eastAsiaTheme="minorEastAsia"/>
          <w:sz w:val="24"/>
          <w:lang w:eastAsia="zh-CN"/>
        </w:rPr>
        <w:t>杭州兑尚源工程管理有限公司</w:t>
      </w:r>
      <w:r>
        <w:rPr>
          <w:rFonts w:asciiTheme="minorEastAsia" w:hAnsiTheme="minorEastAsia" w:eastAsiaTheme="minorEastAsia"/>
          <w:sz w:val="24"/>
        </w:rPr>
        <w:t>（</w:t>
      </w:r>
      <w:r>
        <w:rPr>
          <w:rFonts w:asciiTheme="minorEastAsia" w:hAnsiTheme="minorEastAsia" w:eastAsiaTheme="minorEastAsia"/>
          <w:kern w:val="0"/>
          <w:sz w:val="24"/>
          <w:lang w:eastAsia="zh-TW"/>
        </w:rPr>
        <w:t>衢州市柯城区信安街道浮石路</w:t>
      </w:r>
      <w:r>
        <w:rPr>
          <w:rFonts w:hint="eastAsia" w:asciiTheme="minorEastAsia" w:hAnsiTheme="minorEastAsia" w:eastAsiaTheme="minorEastAsia"/>
          <w:kern w:val="0"/>
          <w:sz w:val="24"/>
          <w:lang w:val="en-US" w:eastAsia="zh-CN"/>
        </w:rPr>
        <w:t>51</w:t>
      </w:r>
      <w:r>
        <w:rPr>
          <w:rFonts w:asciiTheme="minorEastAsia" w:hAnsiTheme="minorEastAsia" w:eastAsiaTheme="minorEastAsia"/>
          <w:kern w:val="0"/>
          <w:sz w:val="24"/>
          <w:lang w:eastAsia="zh-TW"/>
        </w:rPr>
        <w:t>号</w:t>
      </w:r>
      <w:r>
        <w:rPr>
          <w:rFonts w:hint="eastAsia" w:asciiTheme="minorEastAsia" w:hAnsiTheme="minorEastAsia" w:eastAsiaTheme="minorEastAsia"/>
          <w:kern w:val="0"/>
          <w:sz w:val="24"/>
          <w:lang w:val="en-US" w:eastAsia="zh-CN"/>
        </w:rPr>
        <w:t>4</w:t>
      </w:r>
      <w:r>
        <w:rPr>
          <w:rFonts w:asciiTheme="minorEastAsia" w:hAnsiTheme="minorEastAsia" w:eastAsiaTheme="minorEastAsia"/>
          <w:kern w:val="0"/>
          <w:sz w:val="24"/>
          <w:lang w:eastAsia="zh-TW"/>
        </w:rPr>
        <w:t>楼</w:t>
      </w:r>
      <w:r>
        <w:rPr>
          <w:rFonts w:hint="eastAsia" w:asciiTheme="minorEastAsia" w:hAnsiTheme="minorEastAsia" w:eastAsiaTheme="minorEastAsia"/>
          <w:sz w:val="24"/>
        </w:rPr>
        <w:t>政府采购代理部</w:t>
      </w:r>
      <w:r>
        <w:rPr>
          <w:rFonts w:asciiTheme="minorEastAsia" w:hAnsiTheme="minorEastAsia" w:eastAsiaTheme="minorEastAsia"/>
          <w:sz w:val="24"/>
        </w:rPr>
        <w:t>），联系人：</w:t>
      </w:r>
      <w:r>
        <w:rPr>
          <w:rFonts w:hint="eastAsia" w:asciiTheme="minorEastAsia" w:hAnsiTheme="minorEastAsia" w:eastAsiaTheme="minorEastAsia"/>
          <w:sz w:val="24"/>
          <w:lang w:val="en-US" w:eastAsia="zh-CN"/>
        </w:rPr>
        <w:t>周</w:t>
      </w:r>
      <w:r>
        <w:rPr>
          <w:rFonts w:asciiTheme="minorEastAsia" w:hAnsiTheme="minorEastAsia" w:eastAsiaTheme="minorEastAsia"/>
          <w:sz w:val="24"/>
        </w:rPr>
        <w:t>女士，联系电话：</w:t>
      </w:r>
      <w:r>
        <w:rPr>
          <w:rFonts w:hint="eastAsia" w:asciiTheme="minorEastAsia" w:hAnsiTheme="minorEastAsia" w:eastAsiaTheme="minorEastAsia"/>
          <w:sz w:val="24"/>
          <w:lang w:val="en-US" w:eastAsia="zh-CN"/>
        </w:rPr>
        <w:t>15356708558</w:t>
      </w:r>
      <w:r>
        <w:rPr>
          <w:rFonts w:asciiTheme="minorEastAsia" w:hAnsiTheme="minorEastAsia" w:eastAsiaTheme="minorEastAsia"/>
          <w:sz w:val="24"/>
        </w:rPr>
        <w:t>。</w:t>
      </w:r>
    </w:p>
    <w:p w14:paraId="4296E610">
      <w:pPr>
        <w:spacing w:line="400" w:lineRule="atLeast"/>
        <w:ind w:firstLine="480" w:firstLineChars="200"/>
        <w:rPr>
          <w:rFonts w:asciiTheme="minorEastAsia" w:hAnsiTheme="minorEastAsia" w:eastAsiaTheme="minorEastAsia"/>
          <w:sz w:val="24"/>
        </w:rPr>
      </w:pPr>
      <w:r>
        <w:rPr>
          <w:rFonts w:asciiTheme="minorEastAsia" w:hAnsiTheme="minorEastAsia" w:eastAsiaTheme="minorEastAsia"/>
          <w:sz w:val="24"/>
        </w:rPr>
        <w:t>（3）供应商信用查询</w:t>
      </w:r>
      <w:r>
        <w:rPr>
          <w:rFonts w:asciiTheme="minorEastAsia" w:hAnsiTheme="minorEastAsia" w:eastAsiaTheme="minorEastAsia"/>
          <w:sz w:val="24"/>
        </w:rPr>
        <w:tab/>
      </w:r>
    </w:p>
    <w:p w14:paraId="7BB5A245">
      <w:pPr>
        <w:spacing w:line="400" w:lineRule="atLeast"/>
        <w:ind w:firstLine="480" w:firstLineChars="200"/>
        <w:rPr>
          <w:rFonts w:asciiTheme="minorEastAsia" w:hAnsiTheme="minorEastAsia" w:eastAsiaTheme="minorEastAsia"/>
          <w:sz w:val="24"/>
        </w:rPr>
      </w:pPr>
      <w:r>
        <w:rPr>
          <w:rFonts w:asciiTheme="minorEastAsia" w:hAnsiTheme="minorEastAsia" w:eastAsiaTheme="minorEastAsia"/>
          <w:sz w:val="24"/>
        </w:rPr>
        <w:t>1）项目评审组织人员将通过“信用中国”网站(www.creditchina.gov.cn)、中国政府采购网(www.ccgp.gov.cn)渠道查询投标人投标截止时间前的信用记录。</w:t>
      </w:r>
    </w:p>
    <w:p w14:paraId="11457AE1">
      <w:pPr>
        <w:spacing w:line="400" w:lineRule="atLeast"/>
        <w:ind w:firstLine="480" w:firstLineChars="200"/>
        <w:rPr>
          <w:rFonts w:asciiTheme="minorEastAsia" w:hAnsiTheme="minorEastAsia" w:eastAsiaTheme="minorEastAsia"/>
          <w:sz w:val="24"/>
        </w:rPr>
      </w:pPr>
      <w:r>
        <w:rPr>
          <w:rFonts w:asciiTheme="minorEastAsia" w:hAnsiTheme="minorEastAsia" w:eastAsiaTheme="minorEastAsia"/>
          <w:sz w:val="24"/>
        </w:rPr>
        <w:t>2）信用信息查询记录和证据留存的具体方式：项目评审组织人员现场查询投标人的信用记录，查询结果与采购文件一起存档。</w:t>
      </w:r>
    </w:p>
    <w:p w14:paraId="286F71CB">
      <w:pPr>
        <w:spacing w:line="400" w:lineRule="atLeast"/>
        <w:ind w:firstLine="480" w:firstLineChars="200"/>
        <w:rPr>
          <w:rFonts w:asciiTheme="minorEastAsia" w:hAnsiTheme="minorEastAsia" w:eastAsiaTheme="minorEastAsia"/>
          <w:sz w:val="24"/>
        </w:rPr>
      </w:pPr>
      <w:r>
        <w:rPr>
          <w:rFonts w:asciiTheme="minorEastAsia" w:hAnsiTheme="minorEastAsia" w:eastAsiaTheme="minorEastAsia"/>
          <w:sz w:val="24"/>
        </w:rPr>
        <w:t>3）信用信息的使用规则：经查询列入失信被执行人名单、重大税收违法案件当事人名单、政府采购严重违法失信行为记录名单的投标人的投标文件将被拒绝。</w:t>
      </w:r>
    </w:p>
    <w:p w14:paraId="6CADE56E">
      <w:pPr>
        <w:pStyle w:val="29"/>
        <w:spacing w:line="400" w:lineRule="atLeast"/>
        <w:ind w:firstLine="482" w:firstLineChars="200"/>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八、对本次招标提出询问，请按以下方式联系：</w:t>
      </w:r>
    </w:p>
    <w:p w14:paraId="2FB9F2EF">
      <w:pPr>
        <w:tabs>
          <w:tab w:val="left" w:pos="284"/>
          <w:tab w:val="left" w:pos="851"/>
        </w:tabs>
        <w:spacing w:line="360" w:lineRule="atLeast"/>
        <w:ind w:firstLine="480" w:firstLineChars="200"/>
        <w:jc w:val="left"/>
        <w:rPr>
          <w:rFonts w:asciiTheme="minorEastAsia" w:hAnsiTheme="minorEastAsia" w:eastAsiaTheme="minorEastAsia"/>
          <w:sz w:val="24"/>
        </w:rPr>
      </w:pPr>
      <w:bookmarkStart w:id="13" w:name="_Toc488703904"/>
      <w:r>
        <w:rPr>
          <w:rFonts w:hint="eastAsia" w:asciiTheme="minorEastAsia" w:hAnsiTheme="minorEastAsia" w:eastAsiaTheme="minorEastAsia"/>
          <w:sz w:val="24"/>
        </w:rPr>
        <w:t>1.采购人信息</w:t>
      </w:r>
    </w:p>
    <w:p w14:paraId="27F69571">
      <w:pPr>
        <w:spacing w:line="440" w:lineRule="atLeas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    称：衢州市发展和改革委员会、衢州市柯城区发展和改革局、衢州市衢江区发展和改革局、龙游县经济和信息化局、江山市经济和信息化局、常山县经济和信息化局、开化县发展和改革局</w:t>
      </w:r>
    </w:p>
    <w:p w14:paraId="13E67E0F">
      <w:pPr>
        <w:spacing w:line="440" w:lineRule="atLeas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地    址：衢州市柯城区三江东路30号行政中心3号楼、</w:t>
      </w:r>
      <w:r>
        <w:rPr>
          <w:rFonts w:hint="eastAsia" w:asciiTheme="minorEastAsia" w:hAnsiTheme="minorEastAsia" w:eastAsiaTheme="minorEastAsia"/>
          <w:sz w:val="24"/>
        </w:rPr>
        <w:t>衢州市荷花街道荷三路229号营商大楼6楼、衢州市衢江区府前路6号、龙游县龙洲街道新二路16号、江山市城南新城山海路15号、浙江省常山县白马路168号、开化县凤凰南路2号政务服务中心4楼</w:t>
      </w:r>
    </w:p>
    <w:p w14:paraId="7CC4FD09">
      <w:pPr>
        <w:spacing w:line="440" w:lineRule="atLeas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传    真：/</w:t>
      </w:r>
    </w:p>
    <w:p w14:paraId="0E2B1810">
      <w:pPr>
        <w:spacing w:line="440" w:lineRule="atLeast"/>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项目联系人（询问）：林先生、</w:t>
      </w:r>
      <w:r>
        <w:rPr>
          <w:rFonts w:hint="eastAsia" w:asciiTheme="minorEastAsia" w:hAnsiTheme="minorEastAsia" w:eastAsiaTheme="minorEastAsia"/>
          <w:sz w:val="24"/>
        </w:rPr>
        <w:t>汪先生、陈女士、余女士、朱先生、温先生、严女士</w:t>
      </w:r>
    </w:p>
    <w:p w14:paraId="17659298">
      <w:pPr>
        <w:autoSpaceDE w:val="0"/>
        <w:autoSpaceDN w:val="0"/>
        <w:spacing w:line="460" w:lineRule="atLeas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项目联系方式（询问）：0570-3087706、0570-3036321、</w:t>
      </w:r>
      <w:r>
        <w:rPr>
          <w:rFonts w:asciiTheme="minorEastAsia" w:hAnsiTheme="minorEastAsia" w:eastAsiaTheme="minorEastAsia"/>
          <w:sz w:val="24"/>
        </w:rPr>
        <w:t>0570-3689336</w:t>
      </w:r>
      <w:r>
        <w:rPr>
          <w:rFonts w:hint="eastAsia" w:asciiTheme="minorEastAsia" w:hAnsiTheme="minorEastAsia" w:eastAsiaTheme="minorEastAsia"/>
          <w:sz w:val="24"/>
        </w:rPr>
        <w:t>、</w:t>
      </w:r>
      <w:r>
        <w:rPr>
          <w:rFonts w:asciiTheme="minorEastAsia" w:hAnsiTheme="minorEastAsia" w:eastAsiaTheme="minorEastAsia"/>
          <w:sz w:val="24"/>
        </w:rPr>
        <w:t>0570-7566553</w:t>
      </w:r>
      <w:r>
        <w:rPr>
          <w:rFonts w:hint="eastAsia" w:asciiTheme="minorEastAsia" w:hAnsiTheme="minorEastAsia" w:eastAsiaTheme="minorEastAsia"/>
          <w:sz w:val="24"/>
        </w:rPr>
        <w:t>、</w:t>
      </w:r>
      <w:r>
        <w:rPr>
          <w:rFonts w:asciiTheme="minorEastAsia" w:hAnsiTheme="minorEastAsia" w:eastAsiaTheme="minorEastAsia"/>
          <w:sz w:val="24"/>
        </w:rPr>
        <w:t>13867008300</w:t>
      </w:r>
      <w:r>
        <w:rPr>
          <w:rFonts w:hint="eastAsia" w:asciiTheme="minorEastAsia" w:hAnsiTheme="minorEastAsia" w:eastAsiaTheme="minorEastAsia"/>
          <w:sz w:val="24"/>
        </w:rPr>
        <w:t>、</w:t>
      </w:r>
      <w:r>
        <w:rPr>
          <w:rFonts w:asciiTheme="minorEastAsia" w:hAnsiTheme="minorEastAsia" w:eastAsiaTheme="minorEastAsia"/>
          <w:sz w:val="24"/>
        </w:rPr>
        <w:t>13867012841</w:t>
      </w:r>
      <w:r>
        <w:rPr>
          <w:rFonts w:hint="eastAsia" w:asciiTheme="minorEastAsia" w:hAnsiTheme="minorEastAsia" w:eastAsiaTheme="minorEastAsia"/>
          <w:sz w:val="24"/>
        </w:rPr>
        <w:t>、</w:t>
      </w:r>
      <w:r>
        <w:rPr>
          <w:rFonts w:asciiTheme="minorEastAsia" w:hAnsiTheme="minorEastAsia" w:eastAsiaTheme="minorEastAsia"/>
          <w:sz w:val="24"/>
        </w:rPr>
        <w:t>0570-6529601</w:t>
      </w:r>
    </w:p>
    <w:p w14:paraId="3159EC3E">
      <w:pPr>
        <w:spacing w:line="440" w:lineRule="atLeast"/>
        <w:ind w:firstLine="480" w:firstLineChars="200"/>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质疑联系人：管先生、胡女士、童女士、胡先生、詹先生、徐先生、郑先生</w:t>
      </w:r>
    </w:p>
    <w:p w14:paraId="2D5DEEDE">
      <w:pPr>
        <w:spacing w:line="440" w:lineRule="atLeast"/>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质疑联系方式： 13857022119  </w:t>
      </w:r>
      <w:r>
        <w:rPr>
          <w:rFonts w:hint="eastAsia" w:ascii="宋体" w:hAnsi="宋体"/>
          <w:sz w:val="24"/>
        </w:rPr>
        <w:t xml:space="preserve">0570-3025967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0570-3838866</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0570-7563012</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15857006670</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0570-5665931</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0570-6529599</w:t>
      </w:r>
    </w:p>
    <w:p w14:paraId="1B409A3E">
      <w:pPr>
        <w:spacing w:line="440" w:lineRule="atLeast"/>
        <w:ind w:firstLine="480"/>
        <w:rPr>
          <w:rFonts w:cs="宋体" w:asciiTheme="minorEastAsia" w:hAnsiTheme="minorEastAsia" w:eastAsiaTheme="minorEastAsia"/>
          <w:sz w:val="24"/>
        </w:rPr>
      </w:pPr>
      <w:r>
        <w:rPr>
          <w:rFonts w:hint="eastAsia" w:cs="宋体" w:asciiTheme="minorEastAsia" w:hAnsiTheme="minorEastAsia" w:eastAsiaTheme="minorEastAsia"/>
          <w:sz w:val="24"/>
        </w:rPr>
        <w:t>2.采购代理机构信息</w:t>
      </w:r>
    </w:p>
    <w:p w14:paraId="564BE766">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    称：</w:t>
      </w:r>
      <w:r>
        <w:rPr>
          <w:rFonts w:hint="eastAsia" w:cs="宋体" w:asciiTheme="minorEastAsia" w:hAnsiTheme="minorEastAsia" w:eastAsiaTheme="minorEastAsia"/>
          <w:sz w:val="24"/>
          <w:lang w:eastAsia="zh-CN"/>
        </w:rPr>
        <w:t>杭州兑尚源工程管理有限公司</w:t>
      </w:r>
      <w:r>
        <w:rPr>
          <w:rFonts w:hint="eastAsia" w:cs="宋体" w:asciiTheme="minorEastAsia" w:hAnsiTheme="minorEastAsia" w:eastAsiaTheme="minorEastAsia"/>
          <w:sz w:val="24"/>
        </w:rPr>
        <w:t xml:space="preserve"> </w:t>
      </w:r>
    </w:p>
    <w:p w14:paraId="0246ED48">
      <w:pPr>
        <w:spacing w:line="400" w:lineRule="atLeas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rPr>
        <w:t>地    址：衢州市柯城区信安街道</w:t>
      </w:r>
      <w:r>
        <w:rPr>
          <w:rFonts w:hint="eastAsia" w:cs="宋体" w:asciiTheme="minorEastAsia" w:hAnsiTheme="minorEastAsia" w:eastAsiaTheme="minorEastAsia"/>
          <w:sz w:val="24"/>
          <w:szCs w:val="22"/>
        </w:rPr>
        <w:t>浮石路</w:t>
      </w:r>
      <w:r>
        <w:rPr>
          <w:rFonts w:hint="eastAsia" w:cs="宋体" w:asciiTheme="minorEastAsia" w:hAnsiTheme="minorEastAsia" w:eastAsiaTheme="minorEastAsia"/>
          <w:sz w:val="24"/>
          <w:szCs w:val="22"/>
          <w:lang w:val="en-US" w:eastAsia="zh-CN"/>
        </w:rPr>
        <w:t>51</w:t>
      </w:r>
      <w:r>
        <w:rPr>
          <w:rFonts w:hint="eastAsia" w:cs="宋体" w:asciiTheme="minorEastAsia" w:hAnsiTheme="minorEastAsia" w:eastAsiaTheme="minorEastAsia"/>
          <w:sz w:val="24"/>
          <w:szCs w:val="22"/>
        </w:rPr>
        <w:t>号</w:t>
      </w:r>
    </w:p>
    <w:p w14:paraId="5438F08D">
      <w:pPr>
        <w:spacing w:line="400" w:lineRule="atLeas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传    真：/</w:t>
      </w:r>
    </w:p>
    <w:p w14:paraId="77712026">
      <w:pPr>
        <w:spacing w:line="400" w:lineRule="atLeas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项目联系人（询问）：</w:t>
      </w:r>
      <w:r>
        <w:rPr>
          <w:rFonts w:hint="eastAsia" w:cs="宋体" w:asciiTheme="minorEastAsia" w:hAnsiTheme="minorEastAsia" w:eastAsiaTheme="minorEastAsia"/>
          <w:sz w:val="24"/>
          <w:szCs w:val="22"/>
          <w:lang w:val="en-US" w:eastAsia="zh-CN"/>
        </w:rPr>
        <w:t>周</w:t>
      </w:r>
      <w:r>
        <w:rPr>
          <w:rFonts w:hint="eastAsia" w:cs="宋体" w:asciiTheme="minorEastAsia" w:hAnsiTheme="minorEastAsia" w:eastAsiaTheme="minorEastAsia"/>
          <w:sz w:val="24"/>
          <w:szCs w:val="22"/>
        </w:rPr>
        <w:t>女士</w:t>
      </w:r>
    </w:p>
    <w:p w14:paraId="48277C86">
      <w:pPr>
        <w:spacing w:line="400" w:lineRule="atLeas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项目联系方式（询问）：</w:t>
      </w:r>
      <w:r>
        <w:rPr>
          <w:rFonts w:hint="eastAsia" w:cs="宋体" w:asciiTheme="minorEastAsia" w:hAnsiTheme="minorEastAsia" w:eastAsiaTheme="minorEastAsia"/>
          <w:sz w:val="24"/>
          <w:szCs w:val="22"/>
          <w:lang w:val="en-US" w:eastAsia="zh-CN"/>
        </w:rPr>
        <w:t>15356708558</w:t>
      </w:r>
      <w:r>
        <w:rPr>
          <w:rFonts w:hint="eastAsia" w:cs="宋体" w:asciiTheme="minorEastAsia" w:hAnsiTheme="minorEastAsia" w:eastAsiaTheme="minorEastAsia"/>
          <w:sz w:val="24"/>
          <w:szCs w:val="22"/>
        </w:rPr>
        <w:t>质疑联系人：吴女士</w:t>
      </w:r>
    </w:p>
    <w:p w14:paraId="3FAAA95E">
      <w:pPr>
        <w:spacing w:line="400" w:lineRule="atLeast"/>
        <w:ind w:firstLine="480" w:firstLineChars="200"/>
        <w:rPr>
          <w:rFonts w:hint="default" w:cs="宋体" w:asciiTheme="minorEastAsia" w:hAnsiTheme="minorEastAsia" w:eastAsiaTheme="minorEastAsia"/>
          <w:sz w:val="24"/>
          <w:szCs w:val="22"/>
          <w:lang w:val="en-US" w:eastAsia="zh-CN"/>
        </w:rPr>
      </w:pPr>
      <w:r>
        <w:rPr>
          <w:rFonts w:hint="eastAsia" w:cs="宋体" w:asciiTheme="minorEastAsia" w:hAnsiTheme="minorEastAsia" w:eastAsiaTheme="minorEastAsia"/>
          <w:sz w:val="24"/>
          <w:szCs w:val="22"/>
        </w:rPr>
        <w:t>质疑联系方式：</w:t>
      </w:r>
      <w:r>
        <w:rPr>
          <w:rFonts w:hint="eastAsia" w:cs="宋体" w:asciiTheme="minorEastAsia" w:hAnsiTheme="minorEastAsia" w:eastAsiaTheme="minorEastAsia"/>
          <w:sz w:val="24"/>
          <w:szCs w:val="22"/>
          <w:lang w:val="en-US" w:eastAsia="zh-CN"/>
        </w:rPr>
        <w:t>13906705876</w:t>
      </w:r>
    </w:p>
    <w:p w14:paraId="30D89319">
      <w:pPr>
        <w:spacing w:line="400" w:lineRule="atLeast"/>
        <w:ind w:firstLine="470" w:firstLineChars="196"/>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3.</w:t>
      </w:r>
      <w:r>
        <w:rPr>
          <w:rFonts w:cs="宋体" w:asciiTheme="minorEastAsia" w:hAnsiTheme="minorEastAsia" w:eastAsiaTheme="minorEastAsia"/>
          <w:sz w:val="24"/>
          <w:szCs w:val="22"/>
        </w:rPr>
        <w:t>同级政府采购监督管理部门</w:t>
      </w:r>
    </w:p>
    <w:p w14:paraId="496D31B3">
      <w:pPr>
        <w:tabs>
          <w:tab w:val="left" w:pos="284"/>
          <w:tab w:val="left" w:pos="851"/>
        </w:tabs>
        <w:spacing w:line="360" w:lineRule="atLeast"/>
        <w:ind w:firstLine="480" w:firstLineChars="200"/>
        <w:jc w:val="left"/>
        <w:rPr>
          <w:rFonts w:asciiTheme="minorEastAsia" w:hAnsiTheme="minorEastAsia" w:eastAsiaTheme="minorEastAsia"/>
          <w:sz w:val="24"/>
        </w:rPr>
      </w:pPr>
      <w:r>
        <w:rPr>
          <w:rFonts w:asciiTheme="minorEastAsia" w:hAnsiTheme="minorEastAsia" w:eastAsiaTheme="minorEastAsia"/>
          <w:sz w:val="24"/>
        </w:rPr>
        <w:t>名    称：衢州市财政局</w:t>
      </w:r>
      <w:r>
        <w:rPr>
          <w:rFonts w:hint="eastAsia" w:asciiTheme="minorEastAsia" w:hAnsiTheme="minorEastAsia" w:eastAsiaTheme="minorEastAsia"/>
          <w:sz w:val="24"/>
        </w:rPr>
        <w:t>、衢州市柯城区财政局、衢州市衢江区财政局、江山市财政局、常山县财政局、开化县财政局、龙游县财政局</w:t>
      </w:r>
      <w:r>
        <w:rPr>
          <w:rFonts w:asciiTheme="minorEastAsia" w:hAnsiTheme="minorEastAsia" w:eastAsiaTheme="minorEastAsia"/>
          <w:sz w:val="24"/>
        </w:rPr>
        <w:t xml:space="preserve">             </w:t>
      </w:r>
    </w:p>
    <w:p w14:paraId="168CBF73">
      <w:pPr>
        <w:tabs>
          <w:tab w:val="left" w:pos="284"/>
          <w:tab w:val="left" w:pos="851"/>
        </w:tabs>
        <w:spacing w:line="360" w:lineRule="atLeast"/>
        <w:ind w:firstLine="480" w:firstLineChars="200"/>
        <w:jc w:val="left"/>
        <w:rPr>
          <w:rFonts w:asciiTheme="minorEastAsia" w:hAnsiTheme="minorEastAsia" w:eastAsiaTheme="minorEastAsia"/>
          <w:sz w:val="24"/>
        </w:rPr>
      </w:pPr>
      <w:r>
        <w:rPr>
          <w:rFonts w:asciiTheme="minorEastAsia" w:hAnsiTheme="minorEastAsia" w:eastAsiaTheme="minorEastAsia"/>
          <w:sz w:val="24"/>
        </w:rPr>
        <w:t>地    址：衢州市三江东路28号</w:t>
      </w:r>
      <w:r>
        <w:rPr>
          <w:rFonts w:hint="eastAsia" w:asciiTheme="minorEastAsia" w:hAnsiTheme="minorEastAsia" w:eastAsiaTheme="minorEastAsia"/>
          <w:sz w:val="24"/>
        </w:rPr>
        <w:t>、柯城区荷三路副231号行政服务中心9号楼、衢州市衢江区政和路6号、龙游县莲湖路69号、江山市鹿溪中路240号、天马街道定阳北路415号、开化县芹阳办事处永吉二路8号</w:t>
      </w:r>
      <w:r>
        <w:rPr>
          <w:rFonts w:asciiTheme="minorEastAsia" w:hAnsiTheme="minorEastAsia" w:eastAsiaTheme="minorEastAsia"/>
          <w:sz w:val="24"/>
        </w:rPr>
        <w:t xml:space="preserve">            </w:t>
      </w:r>
    </w:p>
    <w:p w14:paraId="11646662">
      <w:pPr>
        <w:tabs>
          <w:tab w:val="left" w:pos="284"/>
          <w:tab w:val="left" w:pos="851"/>
        </w:tabs>
        <w:spacing w:line="360" w:lineRule="atLeast"/>
        <w:ind w:firstLine="360" w:firstLineChars="150"/>
        <w:jc w:val="left"/>
        <w:rPr>
          <w:rFonts w:asciiTheme="minorEastAsia" w:hAnsiTheme="minorEastAsia" w:eastAsiaTheme="minorEastAsia"/>
          <w:sz w:val="24"/>
        </w:rPr>
      </w:pPr>
      <w:r>
        <w:rPr>
          <w:rFonts w:asciiTheme="minorEastAsia" w:hAnsiTheme="minorEastAsia" w:eastAsiaTheme="minorEastAsia"/>
          <w:sz w:val="24"/>
        </w:rPr>
        <w:t>联系人：</w:t>
      </w:r>
      <w:r>
        <w:rPr>
          <w:rFonts w:hint="eastAsia" w:asciiTheme="minorEastAsia" w:hAnsiTheme="minorEastAsia" w:eastAsiaTheme="minorEastAsia"/>
          <w:sz w:val="24"/>
        </w:rPr>
        <w:t>黄女士、蒋先生、杨女士、邱女士、王先生、李先生、俞先生</w:t>
      </w:r>
      <w:r>
        <w:rPr>
          <w:rFonts w:asciiTheme="minorEastAsia" w:hAnsiTheme="minorEastAsia" w:eastAsiaTheme="minorEastAsia"/>
          <w:sz w:val="24"/>
        </w:rPr>
        <w:t xml:space="preserve">             </w:t>
      </w:r>
    </w:p>
    <w:p w14:paraId="461F9F68">
      <w:pPr>
        <w:spacing w:line="460" w:lineRule="atLeast"/>
        <w:ind w:firstLine="480" w:firstLineChars="200"/>
        <w:rPr>
          <w:rFonts w:cs="宋体" w:asciiTheme="minorEastAsia" w:hAnsiTheme="minorEastAsia" w:eastAsiaTheme="minorEastAsia"/>
          <w:sz w:val="24"/>
        </w:rPr>
      </w:pPr>
      <w:r>
        <w:rPr>
          <w:rFonts w:asciiTheme="minorEastAsia" w:hAnsiTheme="minorEastAsia" w:eastAsiaTheme="minorEastAsia"/>
          <w:sz w:val="24"/>
        </w:rPr>
        <w:t>监督投诉电话：</w:t>
      </w:r>
      <w:r>
        <w:rPr>
          <w:rFonts w:cs="宋体" w:asciiTheme="minorEastAsia" w:hAnsiTheme="minorEastAsia" w:eastAsiaTheme="minorEastAsia"/>
          <w:kern w:val="0"/>
          <w:sz w:val="24"/>
        </w:rPr>
        <w:t>19957000570</w:t>
      </w:r>
      <w:r>
        <w:rPr>
          <w:rFonts w:hint="eastAsia" w:asciiTheme="minorEastAsia" w:hAnsiTheme="minorEastAsia" w:eastAsiaTheme="minorEastAsia"/>
          <w:sz w:val="24"/>
        </w:rPr>
        <w:t>、</w:t>
      </w:r>
      <w:r>
        <w:rPr>
          <w:rFonts w:hint="eastAsia" w:cs="宋体" w:asciiTheme="minorEastAsia" w:hAnsiTheme="minorEastAsia" w:eastAsiaTheme="minorEastAsia"/>
          <w:sz w:val="24"/>
        </w:rPr>
        <w:t>0570-3020829、</w:t>
      </w:r>
      <w:r>
        <w:rPr>
          <w:rFonts w:cs="宋体" w:asciiTheme="minorEastAsia" w:hAnsiTheme="minorEastAsia" w:eastAsiaTheme="minorEastAsia"/>
          <w:kern w:val="0"/>
          <w:sz w:val="24"/>
        </w:rPr>
        <w:t>0570-8762709</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0570-7022117</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0570-4033881</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0570-5015373</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0570-6013637</w:t>
      </w:r>
    </w:p>
    <w:p w14:paraId="69C7D877">
      <w:pPr>
        <w:spacing w:line="400" w:lineRule="atLeast"/>
        <w:rPr>
          <w:rFonts w:asciiTheme="minorEastAsia" w:hAnsiTheme="minorEastAsia" w:eastAsiaTheme="minorEastAsia"/>
          <w:sz w:val="24"/>
        </w:rPr>
      </w:pPr>
    </w:p>
    <w:bookmarkEnd w:id="13"/>
    <w:p w14:paraId="0CE4D2D7">
      <w:pPr>
        <w:widowControl/>
        <w:tabs>
          <w:tab w:val="left" w:pos="284"/>
          <w:tab w:val="left" w:pos="851"/>
        </w:tabs>
        <w:spacing w:line="360" w:lineRule="atLeast"/>
        <w:ind w:right="48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衢州市发展和改革委员会                            衢州市柯城区发展和改革局</w:t>
      </w:r>
    </w:p>
    <w:p w14:paraId="6BC0C42E">
      <w:pPr>
        <w:widowControl/>
        <w:tabs>
          <w:tab w:val="left" w:pos="284"/>
          <w:tab w:val="left" w:pos="851"/>
        </w:tabs>
        <w:spacing w:line="360" w:lineRule="atLeast"/>
        <w:ind w:right="480" w:firstLine="482" w:firstLineChars="200"/>
        <w:rPr>
          <w:rFonts w:cs="宋体" w:asciiTheme="minorEastAsia" w:hAnsiTheme="minorEastAsia" w:eastAsiaTheme="minorEastAsia"/>
          <w:b/>
          <w:bCs/>
          <w:kern w:val="0"/>
          <w:sz w:val="24"/>
        </w:rPr>
      </w:pPr>
    </w:p>
    <w:p w14:paraId="300517CA">
      <w:pPr>
        <w:widowControl/>
        <w:tabs>
          <w:tab w:val="left" w:pos="284"/>
          <w:tab w:val="left" w:pos="851"/>
        </w:tabs>
        <w:spacing w:line="360" w:lineRule="atLeast"/>
        <w:ind w:right="480"/>
        <w:rPr>
          <w:rFonts w:cs="宋体" w:asciiTheme="minorEastAsia" w:hAnsiTheme="minorEastAsia" w:eastAsiaTheme="minorEastAsia"/>
          <w:b/>
          <w:bCs/>
          <w:kern w:val="0"/>
          <w:sz w:val="24"/>
        </w:rPr>
      </w:pPr>
    </w:p>
    <w:p w14:paraId="6C1E4796">
      <w:pPr>
        <w:widowControl/>
        <w:tabs>
          <w:tab w:val="left" w:pos="284"/>
          <w:tab w:val="left" w:pos="851"/>
        </w:tabs>
        <w:spacing w:line="360" w:lineRule="atLeast"/>
        <w:ind w:right="480"/>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衢州市衢江区发展和改革局                              江山市经济和信息化局</w:t>
      </w:r>
    </w:p>
    <w:p w14:paraId="76CC8729">
      <w:pPr>
        <w:widowControl/>
        <w:tabs>
          <w:tab w:val="left" w:pos="284"/>
          <w:tab w:val="left" w:pos="851"/>
        </w:tabs>
        <w:spacing w:line="360" w:lineRule="atLeast"/>
        <w:ind w:right="480" w:firstLine="482" w:firstLineChars="200"/>
        <w:rPr>
          <w:rFonts w:cs="宋体" w:asciiTheme="minorEastAsia" w:hAnsiTheme="minorEastAsia" w:eastAsiaTheme="minorEastAsia"/>
          <w:b/>
          <w:bCs/>
          <w:kern w:val="0"/>
          <w:sz w:val="24"/>
        </w:rPr>
      </w:pPr>
    </w:p>
    <w:p w14:paraId="13E3FF75">
      <w:pPr>
        <w:widowControl/>
        <w:tabs>
          <w:tab w:val="left" w:pos="284"/>
          <w:tab w:val="left" w:pos="851"/>
        </w:tabs>
        <w:spacing w:line="360" w:lineRule="atLeast"/>
        <w:ind w:right="480"/>
        <w:rPr>
          <w:rFonts w:cs="宋体" w:asciiTheme="minorEastAsia" w:hAnsiTheme="minorEastAsia" w:eastAsiaTheme="minorEastAsia"/>
          <w:b/>
          <w:bCs/>
          <w:kern w:val="0"/>
          <w:sz w:val="24"/>
        </w:rPr>
      </w:pPr>
    </w:p>
    <w:p w14:paraId="08D12817">
      <w:pPr>
        <w:widowControl/>
        <w:tabs>
          <w:tab w:val="left" w:pos="284"/>
          <w:tab w:val="left" w:pos="851"/>
        </w:tabs>
        <w:spacing w:line="360" w:lineRule="atLeast"/>
        <w:ind w:right="480"/>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常山县经济和信息化局                                    开化县发展和改革局</w:t>
      </w:r>
    </w:p>
    <w:p w14:paraId="2BDEFAFC">
      <w:pPr>
        <w:widowControl/>
        <w:tabs>
          <w:tab w:val="left" w:pos="284"/>
          <w:tab w:val="left" w:pos="851"/>
        </w:tabs>
        <w:spacing w:line="360" w:lineRule="atLeast"/>
        <w:ind w:right="480" w:firstLine="354" w:firstLineChars="147"/>
        <w:rPr>
          <w:rFonts w:cs="宋体" w:asciiTheme="minorEastAsia" w:hAnsiTheme="minorEastAsia" w:eastAsiaTheme="minorEastAsia"/>
          <w:b/>
          <w:bCs/>
          <w:kern w:val="0"/>
          <w:sz w:val="24"/>
        </w:rPr>
      </w:pPr>
    </w:p>
    <w:p w14:paraId="29919782">
      <w:pPr>
        <w:widowControl/>
        <w:tabs>
          <w:tab w:val="left" w:pos="284"/>
          <w:tab w:val="left" w:pos="851"/>
        </w:tabs>
        <w:spacing w:line="360" w:lineRule="atLeast"/>
        <w:jc w:val="left"/>
        <w:rPr>
          <w:rFonts w:cs="宋体" w:asciiTheme="minorEastAsia" w:hAnsiTheme="minorEastAsia" w:eastAsiaTheme="minorEastAsia"/>
          <w:b/>
          <w:bCs/>
          <w:kern w:val="0"/>
          <w:sz w:val="24"/>
        </w:rPr>
      </w:pPr>
    </w:p>
    <w:p w14:paraId="6F1152A9">
      <w:pPr>
        <w:ind w:right="480"/>
        <w:jc w:val="right"/>
        <w:rPr>
          <w:rFonts w:hint="eastAsia" w:asciiTheme="minorEastAsia" w:hAnsiTheme="minorEastAsia" w:eastAsiaTheme="minorEastAsia"/>
          <w:b/>
          <w:bCs/>
          <w:sz w:val="24"/>
          <w:lang w:eastAsia="zh-CN"/>
        </w:rPr>
      </w:pPr>
      <w:r>
        <w:rPr>
          <w:rFonts w:hint="eastAsia" w:cs="宋体" w:asciiTheme="minorEastAsia" w:hAnsiTheme="minorEastAsia" w:eastAsiaTheme="minorEastAsia"/>
          <w:b/>
          <w:bCs/>
          <w:kern w:val="0"/>
          <w:sz w:val="24"/>
        </w:rPr>
        <w:t xml:space="preserve">龙游县经济和信息化局                            </w:t>
      </w:r>
      <w:r>
        <w:rPr>
          <w:rFonts w:hint="eastAsia" w:asciiTheme="minorEastAsia" w:hAnsiTheme="minorEastAsia" w:eastAsiaTheme="minorEastAsia"/>
          <w:b/>
          <w:bCs/>
          <w:sz w:val="24"/>
          <w:lang w:eastAsia="zh-CN"/>
        </w:rPr>
        <w:t>杭州兑尚源工程管理有限公司</w:t>
      </w:r>
    </w:p>
    <w:p w14:paraId="37B4256F">
      <w:pPr>
        <w:pStyle w:val="29"/>
        <w:tabs>
          <w:tab w:val="left" w:pos="945"/>
        </w:tabs>
        <w:spacing w:line="0" w:lineRule="atLeast"/>
        <w:ind w:right="480"/>
        <w:jc w:val="right"/>
        <w:rPr>
          <w:rFonts w:cs="Times New Roman" w:asciiTheme="minorEastAsia" w:hAnsiTheme="minorEastAsia" w:eastAsiaTheme="minorEastAsia"/>
          <w:b/>
          <w:bCs/>
          <w:kern w:val="44"/>
          <w:sz w:val="24"/>
          <w:szCs w:val="24"/>
        </w:rPr>
      </w:pPr>
      <w:r>
        <w:rPr>
          <w:rFonts w:hint="eastAsia" w:cs="Times New Roman" w:asciiTheme="minorEastAsia" w:hAnsiTheme="minorEastAsia" w:eastAsiaTheme="minorEastAsia"/>
          <w:b/>
          <w:bCs/>
          <w:kern w:val="44"/>
          <w:sz w:val="24"/>
          <w:szCs w:val="24"/>
        </w:rPr>
        <w:t>2024年</w:t>
      </w:r>
      <w:r>
        <w:rPr>
          <w:rFonts w:hint="eastAsia" w:cs="Times New Roman" w:asciiTheme="minorEastAsia" w:hAnsiTheme="minorEastAsia" w:eastAsiaTheme="minorEastAsia"/>
          <w:b/>
          <w:bCs/>
          <w:kern w:val="44"/>
          <w:sz w:val="24"/>
          <w:szCs w:val="24"/>
          <w:lang w:val="en-US" w:eastAsia="zh-CN"/>
        </w:rPr>
        <w:t>10</w:t>
      </w:r>
      <w:r>
        <w:rPr>
          <w:rFonts w:hint="eastAsia" w:cs="Times New Roman" w:asciiTheme="minorEastAsia" w:hAnsiTheme="minorEastAsia" w:eastAsiaTheme="minorEastAsia"/>
          <w:b/>
          <w:bCs/>
          <w:kern w:val="44"/>
          <w:sz w:val="24"/>
          <w:szCs w:val="24"/>
        </w:rPr>
        <w:t>月1</w:t>
      </w:r>
      <w:r>
        <w:rPr>
          <w:rFonts w:hint="eastAsia" w:cs="Times New Roman" w:asciiTheme="minorEastAsia" w:hAnsiTheme="minorEastAsia" w:eastAsiaTheme="minorEastAsia"/>
          <w:b/>
          <w:bCs/>
          <w:kern w:val="44"/>
          <w:sz w:val="24"/>
          <w:szCs w:val="24"/>
          <w:lang w:val="en-US" w:eastAsia="zh-CN"/>
        </w:rPr>
        <w:t>5</w:t>
      </w:r>
      <w:r>
        <w:rPr>
          <w:rFonts w:hint="eastAsia" w:cs="Times New Roman" w:asciiTheme="minorEastAsia" w:hAnsiTheme="minorEastAsia" w:eastAsiaTheme="minorEastAsia"/>
          <w:b/>
          <w:bCs/>
          <w:kern w:val="44"/>
          <w:sz w:val="24"/>
          <w:szCs w:val="24"/>
        </w:rPr>
        <w:t>日</w:t>
      </w:r>
      <w:bookmarkStart w:id="14" w:name="_Toc34919332"/>
      <w:bookmarkStart w:id="15" w:name="_Toc481242804"/>
      <w:bookmarkStart w:id="16" w:name="_Toc488703906"/>
      <w:bookmarkStart w:id="17" w:name="_Toc25376"/>
      <w:bookmarkStart w:id="18" w:name="_Toc519014192"/>
      <w:bookmarkStart w:id="19" w:name="_Toc481227865"/>
      <w:bookmarkStart w:id="20" w:name="_Toc465782672"/>
    </w:p>
    <w:p w14:paraId="29AE2F0A">
      <w:pPr>
        <w:pStyle w:val="29"/>
        <w:tabs>
          <w:tab w:val="left" w:pos="945"/>
        </w:tabs>
        <w:spacing w:line="0" w:lineRule="atLeast"/>
        <w:jc w:val="center"/>
        <w:outlineLvl w:val="0"/>
        <w:rPr>
          <w:rFonts w:hAnsi="宋体" w:cs="Times New Roman"/>
          <w:b/>
          <w:bCs/>
          <w:kern w:val="44"/>
          <w:sz w:val="36"/>
          <w:szCs w:val="36"/>
        </w:rPr>
      </w:pPr>
      <w:bookmarkStart w:id="21" w:name="_Toc21622"/>
    </w:p>
    <w:p w14:paraId="16952F60">
      <w:pPr>
        <w:pStyle w:val="29"/>
        <w:tabs>
          <w:tab w:val="left" w:pos="945"/>
        </w:tabs>
        <w:spacing w:line="0" w:lineRule="atLeast"/>
        <w:jc w:val="center"/>
        <w:outlineLvl w:val="0"/>
        <w:rPr>
          <w:rFonts w:hAnsi="宋体" w:cs="Times New Roman"/>
          <w:b/>
          <w:bCs/>
          <w:kern w:val="44"/>
          <w:sz w:val="36"/>
          <w:szCs w:val="36"/>
        </w:rPr>
      </w:pPr>
      <w:r>
        <w:rPr>
          <w:rFonts w:hAnsi="宋体" w:cs="Times New Roman"/>
          <w:b/>
          <w:bCs/>
          <w:kern w:val="44"/>
          <w:sz w:val="36"/>
          <w:szCs w:val="36"/>
        </w:rPr>
        <w:t>第二章 投标须知和投标须知前附表</w:t>
      </w:r>
      <w:bookmarkEnd w:id="14"/>
      <w:bookmarkEnd w:id="15"/>
      <w:bookmarkEnd w:id="16"/>
      <w:bookmarkEnd w:id="17"/>
      <w:bookmarkEnd w:id="18"/>
      <w:bookmarkEnd w:id="19"/>
      <w:bookmarkEnd w:id="20"/>
      <w:bookmarkEnd w:id="21"/>
    </w:p>
    <w:p w14:paraId="08D7C240">
      <w:pPr>
        <w:spacing w:line="0" w:lineRule="atLeast"/>
        <w:jc w:val="center"/>
        <w:rPr>
          <w:rFonts w:ascii="宋体" w:hAnsi="宋体"/>
          <w:b/>
          <w:sz w:val="36"/>
          <w:szCs w:val="36"/>
        </w:rPr>
      </w:pPr>
      <w:bookmarkStart w:id="22" w:name="_Toc481242805"/>
      <w:bookmarkStart w:id="23" w:name="_Toc481227866"/>
      <w:bookmarkStart w:id="24" w:name="_Toc519014193"/>
      <w:bookmarkStart w:id="25" w:name="_Toc34919333"/>
      <w:r>
        <w:rPr>
          <w:rFonts w:ascii="宋体" w:hAnsi="宋体"/>
          <w:b/>
          <w:sz w:val="36"/>
          <w:szCs w:val="36"/>
        </w:rPr>
        <w:t>投标须知前附表</w:t>
      </w:r>
      <w:bookmarkEnd w:id="22"/>
      <w:bookmarkEnd w:id="23"/>
      <w:bookmarkEnd w:id="24"/>
      <w:bookmarkEnd w:id="25"/>
    </w:p>
    <w:tbl>
      <w:tblPr>
        <w:tblStyle w:val="5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7088"/>
      </w:tblGrid>
      <w:tr w14:paraId="6CC0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10" w:type="dxa"/>
            <w:noWrap/>
            <w:vAlign w:val="center"/>
          </w:tcPr>
          <w:p w14:paraId="20CAFFC3">
            <w:pPr>
              <w:spacing w:line="0" w:lineRule="atLeast"/>
              <w:rPr>
                <w:rFonts w:asciiTheme="minorEastAsia" w:hAnsiTheme="minorEastAsia" w:eastAsiaTheme="minorEastAsia"/>
                <w:b/>
                <w:szCs w:val="21"/>
              </w:rPr>
            </w:pPr>
            <w:r>
              <w:rPr>
                <w:rFonts w:asciiTheme="minorEastAsia" w:hAnsiTheme="minorEastAsia" w:eastAsiaTheme="minorEastAsia"/>
                <w:b/>
                <w:szCs w:val="21"/>
              </w:rPr>
              <w:t>序号</w:t>
            </w:r>
          </w:p>
        </w:tc>
        <w:tc>
          <w:tcPr>
            <w:tcW w:w="8505" w:type="dxa"/>
            <w:gridSpan w:val="2"/>
            <w:noWrap/>
            <w:vAlign w:val="center"/>
          </w:tcPr>
          <w:p w14:paraId="14245430">
            <w:pPr>
              <w:spacing w:line="0" w:lineRule="atLeast"/>
              <w:jc w:val="center"/>
              <w:rPr>
                <w:rFonts w:asciiTheme="minorEastAsia" w:hAnsiTheme="minorEastAsia" w:eastAsiaTheme="minorEastAsia"/>
                <w:b/>
                <w:szCs w:val="21"/>
              </w:rPr>
            </w:pPr>
            <w:r>
              <w:rPr>
                <w:rFonts w:asciiTheme="minorEastAsia" w:hAnsiTheme="minorEastAsia" w:eastAsiaTheme="minorEastAsia"/>
                <w:b/>
                <w:szCs w:val="21"/>
              </w:rPr>
              <w:t>内容规定</w:t>
            </w:r>
          </w:p>
        </w:tc>
      </w:tr>
      <w:tr w14:paraId="7F37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10" w:type="dxa"/>
            <w:noWrap/>
            <w:vAlign w:val="center"/>
          </w:tcPr>
          <w:p w14:paraId="03A91EDE">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1</w:t>
            </w:r>
          </w:p>
        </w:tc>
        <w:tc>
          <w:tcPr>
            <w:tcW w:w="1417" w:type="dxa"/>
            <w:noWrap/>
            <w:vAlign w:val="center"/>
          </w:tcPr>
          <w:p w14:paraId="523E3658">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项目概况</w:t>
            </w:r>
          </w:p>
        </w:tc>
        <w:tc>
          <w:tcPr>
            <w:tcW w:w="7088" w:type="dxa"/>
            <w:noWrap/>
            <w:vAlign w:val="center"/>
          </w:tcPr>
          <w:p w14:paraId="230FE91F">
            <w:pPr>
              <w:spacing w:line="0" w:lineRule="atLeast"/>
              <w:rPr>
                <w:rFonts w:asciiTheme="minorEastAsia" w:hAnsiTheme="minorEastAsia" w:eastAsiaTheme="minorEastAsia"/>
                <w:b/>
                <w:bCs/>
                <w:szCs w:val="21"/>
                <w:lang w:val="zh-CN"/>
              </w:rPr>
            </w:pPr>
            <w:r>
              <w:rPr>
                <w:rFonts w:asciiTheme="minorEastAsia" w:hAnsiTheme="minorEastAsia" w:eastAsiaTheme="minorEastAsia"/>
                <w:b/>
                <w:szCs w:val="21"/>
              </w:rPr>
              <w:t>项目名称</w:t>
            </w:r>
            <w:r>
              <w:rPr>
                <w:rFonts w:hint="eastAsia" w:asciiTheme="minorEastAsia" w:hAnsiTheme="minorEastAsia" w:eastAsiaTheme="minorEastAsia"/>
                <w:b/>
                <w:kern w:val="0"/>
              </w:rPr>
              <w:t>：</w:t>
            </w:r>
            <w:r>
              <w:rPr>
                <w:rFonts w:hint="eastAsia" w:asciiTheme="minorEastAsia" w:hAnsiTheme="minorEastAsia" w:eastAsiaTheme="minorEastAsia"/>
                <w:b/>
                <w:bCs/>
                <w:szCs w:val="21"/>
                <w:lang w:val="zh-CN"/>
              </w:rPr>
              <w:t>衢州市冻猪肉储备政府购买服务项目（三次）</w:t>
            </w:r>
          </w:p>
          <w:p w14:paraId="264DC1B7">
            <w:pPr>
              <w:spacing w:line="0" w:lineRule="atLeast"/>
              <w:rPr>
                <w:rFonts w:asciiTheme="minorEastAsia" w:hAnsiTheme="minorEastAsia" w:eastAsiaTheme="minorEastAsia"/>
                <w:b/>
                <w:kern w:val="0"/>
              </w:rPr>
            </w:pPr>
            <w:r>
              <w:rPr>
                <w:rFonts w:hint="eastAsia" w:asciiTheme="minorEastAsia" w:hAnsiTheme="minorEastAsia" w:eastAsiaTheme="minorEastAsia"/>
                <w:b/>
                <w:kern w:val="0"/>
              </w:rPr>
              <w:t>采购内容：本项目采购主要内容是包括市本级、柯城区、衢江区、江山市、常山县、开化县、龙游县共七个地区的共600吨冻猪肉储备，其中具体技术规范、服务标准及服务要求详见第三章---招标项目要求</w:t>
            </w:r>
            <w:r>
              <w:rPr>
                <w:rFonts w:hint="eastAsia" w:asciiTheme="minorEastAsia" w:hAnsiTheme="minorEastAsia" w:eastAsiaTheme="minorEastAsia"/>
                <w:kern w:val="0"/>
              </w:rPr>
              <w:t>。</w:t>
            </w:r>
          </w:p>
        </w:tc>
      </w:tr>
      <w:tr w14:paraId="425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10" w:type="dxa"/>
            <w:noWrap/>
            <w:vAlign w:val="center"/>
          </w:tcPr>
          <w:p w14:paraId="18DEE23D">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17" w:type="dxa"/>
            <w:noWrap/>
            <w:vAlign w:val="center"/>
          </w:tcPr>
          <w:p w14:paraId="05B55C05">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采购人</w:t>
            </w:r>
          </w:p>
        </w:tc>
        <w:tc>
          <w:tcPr>
            <w:tcW w:w="7088" w:type="dxa"/>
            <w:noWrap/>
            <w:vAlign w:val="center"/>
          </w:tcPr>
          <w:p w14:paraId="5F4C4FDE">
            <w:pPr>
              <w:spacing w:line="0" w:lineRule="atLeast"/>
              <w:rPr>
                <w:rFonts w:asciiTheme="minorEastAsia" w:hAnsiTheme="minorEastAsia" w:eastAsiaTheme="minorEastAsia"/>
                <w:szCs w:val="21"/>
                <w:lang w:val="zh-CN"/>
              </w:rPr>
            </w:pPr>
            <w:r>
              <w:rPr>
                <w:rFonts w:hint="eastAsia" w:asciiTheme="minorEastAsia" w:hAnsiTheme="minorEastAsia" w:eastAsiaTheme="minorEastAsia"/>
                <w:szCs w:val="21"/>
                <w:lang w:val="zh-CN"/>
              </w:rPr>
              <w:t>衢州市发展和改革委员会、衢州市柯城区发展和改革局、衢州市衢江区发展和改革局、江山市经济和信息化局、常山县经济和信息化局、开化县发展和改革局、龙游县经济和信息化局。</w:t>
            </w:r>
          </w:p>
          <w:p w14:paraId="437CCC17">
            <w:pPr>
              <w:spacing w:line="0" w:lineRule="atLeast"/>
              <w:rPr>
                <w:rFonts w:asciiTheme="minorEastAsia" w:hAnsiTheme="minorEastAsia" w:eastAsiaTheme="minorEastAsia"/>
                <w:szCs w:val="21"/>
                <w:lang w:val="zh-CN"/>
              </w:rPr>
            </w:pPr>
            <w:r>
              <w:rPr>
                <w:rFonts w:hint="eastAsia" w:asciiTheme="minorEastAsia" w:hAnsiTheme="minorEastAsia" w:eastAsiaTheme="minorEastAsia"/>
                <w:szCs w:val="21"/>
                <w:lang w:val="zh-CN"/>
              </w:rPr>
              <w:t>注：本项目采用联合采购方式，中标人按照中标价的中标人按照中标价的16.67：11.67：13.33：21.66：11.67：11.67：13.33分别与衢州市发展和改革委员会、衢州市柯城区发展和改革局、衢州市衢江区发展和改革局、江山市经济和信息化局、常山县经济和信息化局、开化县发展和改革局、龙游县经济和信息化局签订合同（注：以上支付服务费计算比例及合同金额最终以合同签订时为准）。</w:t>
            </w:r>
          </w:p>
        </w:tc>
      </w:tr>
      <w:tr w14:paraId="10E0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10" w:type="dxa"/>
            <w:noWrap/>
            <w:vAlign w:val="center"/>
          </w:tcPr>
          <w:p w14:paraId="69A3A011">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417" w:type="dxa"/>
            <w:noWrap/>
            <w:vAlign w:val="center"/>
          </w:tcPr>
          <w:p w14:paraId="07AAD023">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预算金额</w:t>
            </w:r>
            <w:r>
              <w:rPr>
                <w:rFonts w:hint="eastAsia" w:asciiTheme="minorEastAsia" w:hAnsiTheme="minorEastAsia" w:eastAsiaTheme="minorEastAsia"/>
                <w:szCs w:val="21"/>
              </w:rPr>
              <w:t>及资金来源</w:t>
            </w:r>
          </w:p>
        </w:tc>
        <w:tc>
          <w:tcPr>
            <w:tcW w:w="7088" w:type="dxa"/>
            <w:noWrap/>
            <w:vAlign w:val="center"/>
          </w:tcPr>
          <w:p w14:paraId="6F361632">
            <w:pPr>
              <w:pStyle w:val="29"/>
              <w:spacing w:line="0" w:lineRule="atLeast"/>
              <w:jc w:val="left"/>
              <w:rPr>
                <w:rFonts w:asciiTheme="minorEastAsia" w:hAnsiTheme="minorEastAsia" w:eastAsiaTheme="minorEastAsia"/>
              </w:rPr>
            </w:pPr>
            <w:r>
              <w:rPr>
                <w:rFonts w:hint="eastAsia" w:asciiTheme="minorEastAsia" w:hAnsiTheme="minorEastAsia" w:eastAsiaTheme="minorEastAsia"/>
              </w:rPr>
              <w:t>预算金额（最高限价总额）：</w:t>
            </w:r>
            <w:r>
              <w:rPr>
                <w:rFonts w:hint="eastAsia" w:cs="Times New Roman" w:asciiTheme="minorEastAsia" w:hAnsiTheme="minorEastAsia" w:eastAsiaTheme="minorEastAsia"/>
                <w:b/>
                <w:kern w:val="0"/>
              </w:rPr>
              <w:t>180万</w:t>
            </w:r>
            <w:r>
              <w:rPr>
                <w:rFonts w:hint="eastAsia" w:asciiTheme="minorEastAsia" w:hAnsiTheme="minorEastAsia" w:eastAsiaTheme="minorEastAsia"/>
              </w:rPr>
              <w:t>元整。</w:t>
            </w:r>
          </w:p>
          <w:p w14:paraId="5BF3563C">
            <w:pPr>
              <w:pStyle w:val="29"/>
              <w:spacing w:line="0" w:lineRule="atLeast"/>
              <w:jc w:val="left"/>
              <w:rPr>
                <w:rFonts w:cs="Times New Roman" w:asciiTheme="minorEastAsia" w:hAnsiTheme="minorEastAsia" w:eastAsiaTheme="minorEastAsia"/>
                <w:b/>
                <w:kern w:val="0"/>
                <w:sz w:val="24"/>
                <w:szCs w:val="24"/>
              </w:rPr>
            </w:pPr>
            <w:r>
              <w:rPr>
                <w:rFonts w:hint="eastAsia" w:asciiTheme="minorEastAsia" w:hAnsiTheme="minorEastAsia" w:eastAsiaTheme="minorEastAsia"/>
              </w:rPr>
              <w:t>资金来源：衢州市本级及各县（市）区财政资金；该项目投入资金：</w:t>
            </w:r>
            <w:r>
              <w:rPr>
                <w:rFonts w:hint="eastAsia" w:asciiTheme="minorEastAsia" w:hAnsiTheme="minorEastAsia" w:eastAsiaTheme="minorEastAsia"/>
                <w:lang w:val="zh-CN"/>
              </w:rPr>
              <w:t>衢州市发展和改革委员会30万元、衢州市柯城区发展和改革局21万元、衢州市衢江区发展和改革局24万元、江山市经济和信息化局39万元、常山县经济和信息化局21万元、开化县发展和改革局21万元、龙游县经济和信息化局24万元。（占比为：16.67：11.67：13.33：21.66：11.67：11.67：13.33）</w:t>
            </w:r>
          </w:p>
        </w:tc>
      </w:tr>
      <w:tr w14:paraId="0C31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0" w:type="dxa"/>
            <w:noWrap/>
            <w:vAlign w:val="center"/>
          </w:tcPr>
          <w:p w14:paraId="7A4C3C92">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417" w:type="dxa"/>
            <w:noWrap/>
            <w:vAlign w:val="center"/>
          </w:tcPr>
          <w:p w14:paraId="26F61FB6">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评标办法</w:t>
            </w:r>
          </w:p>
        </w:tc>
        <w:tc>
          <w:tcPr>
            <w:tcW w:w="7088" w:type="dxa"/>
            <w:noWrap/>
            <w:vAlign w:val="center"/>
          </w:tcPr>
          <w:p w14:paraId="5992CAF5">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综合评分法，评审得分最高的投标人为本项目中标候选人。</w:t>
            </w:r>
          </w:p>
        </w:tc>
      </w:tr>
      <w:tr w14:paraId="1806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0" w:type="dxa"/>
            <w:noWrap/>
            <w:vAlign w:val="center"/>
          </w:tcPr>
          <w:p w14:paraId="70DF638A">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417" w:type="dxa"/>
            <w:noWrap/>
            <w:vAlign w:val="center"/>
          </w:tcPr>
          <w:p w14:paraId="6265186B">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投标人资格</w:t>
            </w:r>
          </w:p>
          <w:p w14:paraId="225426D2">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要求</w:t>
            </w:r>
          </w:p>
        </w:tc>
        <w:tc>
          <w:tcPr>
            <w:tcW w:w="7088" w:type="dxa"/>
            <w:noWrap/>
            <w:vAlign w:val="center"/>
          </w:tcPr>
          <w:p w14:paraId="7E1030B9">
            <w:pPr>
              <w:spacing w:line="0" w:lineRule="atLeast"/>
              <w:rPr>
                <w:rFonts w:asciiTheme="minorEastAsia" w:hAnsiTheme="minorEastAsia" w:eastAsiaTheme="minorEastAsia"/>
                <w:szCs w:val="21"/>
              </w:rPr>
            </w:pPr>
            <w:r>
              <w:rPr>
                <w:rFonts w:asciiTheme="minorEastAsia" w:hAnsiTheme="minorEastAsia" w:eastAsiaTheme="minorEastAsia"/>
                <w:kern w:val="0"/>
                <w:szCs w:val="21"/>
              </w:rPr>
              <w:t>详见招标公告</w:t>
            </w:r>
          </w:p>
        </w:tc>
      </w:tr>
      <w:tr w14:paraId="55A7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10" w:type="dxa"/>
            <w:noWrap/>
            <w:vAlign w:val="center"/>
          </w:tcPr>
          <w:p w14:paraId="6C259F14">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417" w:type="dxa"/>
            <w:noWrap/>
            <w:vAlign w:val="center"/>
          </w:tcPr>
          <w:p w14:paraId="0CAB6643">
            <w:pPr>
              <w:spacing w:line="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项目实施</w:t>
            </w:r>
          </w:p>
          <w:p w14:paraId="5A83BB87">
            <w:pPr>
              <w:spacing w:line="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期限</w:t>
            </w:r>
          </w:p>
        </w:tc>
        <w:tc>
          <w:tcPr>
            <w:tcW w:w="7088" w:type="dxa"/>
            <w:noWrap/>
            <w:vAlign w:val="center"/>
          </w:tcPr>
          <w:p w14:paraId="003846F9">
            <w:pPr>
              <w:pStyle w:val="54"/>
              <w:snapToGrid w:val="0"/>
              <w:spacing w:line="0" w:lineRule="atLeast"/>
              <w:ind w:left="0" w:leftChars="0" w:firstLine="0" w:firstLineChars="0"/>
              <w:rPr>
                <w:rFonts w:cs="宋体" w:asciiTheme="minorEastAsia" w:hAnsiTheme="minorEastAsia" w:eastAsiaTheme="minorEastAsia"/>
                <w:szCs w:val="21"/>
              </w:rPr>
            </w:pPr>
            <w:r>
              <w:rPr>
                <w:rFonts w:hint="eastAsia" w:asciiTheme="minorEastAsia" w:hAnsiTheme="minorEastAsia" w:eastAsiaTheme="minorEastAsia"/>
                <w:szCs w:val="21"/>
              </w:rPr>
              <w:t>本项目储备周期为1年（12个月），中标后根据各县（市，区）的储备计划作适当调整。储备冷库地点为省内。（具体时间甲乙双方在签订合同时确定）</w:t>
            </w:r>
          </w:p>
        </w:tc>
      </w:tr>
      <w:tr w14:paraId="65B8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0" w:type="dxa"/>
            <w:noWrap/>
            <w:vAlign w:val="center"/>
          </w:tcPr>
          <w:p w14:paraId="729A3979">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417" w:type="dxa"/>
            <w:noWrap/>
            <w:vAlign w:val="center"/>
          </w:tcPr>
          <w:p w14:paraId="42925D38">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采购文件发售时间和</w:t>
            </w:r>
          </w:p>
          <w:p w14:paraId="168D3960">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地点</w:t>
            </w:r>
          </w:p>
        </w:tc>
        <w:tc>
          <w:tcPr>
            <w:tcW w:w="7088" w:type="dxa"/>
            <w:noWrap/>
            <w:vAlign w:val="center"/>
          </w:tcPr>
          <w:p w14:paraId="585F65B3">
            <w:pPr>
              <w:spacing w:line="0" w:lineRule="atLeast"/>
              <w:rPr>
                <w:rFonts w:asciiTheme="minorEastAsia" w:hAnsiTheme="minorEastAsia" w:eastAsiaTheme="minorEastAsia"/>
                <w:szCs w:val="21"/>
              </w:rPr>
            </w:pPr>
            <w:r>
              <w:rPr>
                <w:rFonts w:asciiTheme="minorEastAsia" w:hAnsiTheme="minorEastAsia" w:eastAsiaTheme="minorEastAsia"/>
                <w:szCs w:val="21"/>
              </w:rPr>
              <w:t>详见招标公告</w:t>
            </w:r>
          </w:p>
        </w:tc>
      </w:tr>
      <w:tr w14:paraId="2F72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10" w:type="dxa"/>
            <w:noWrap/>
            <w:vAlign w:val="center"/>
          </w:tcPr>
          <w:p w14:paraId="427531BC">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417" w:type="dxa"/>
            <w:noWrap/>
            <w:vAlign w:val="center"/>
          </w:tcPr>
          <w:p w14:paraId="116306B6">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投标答疑</w:t>
            </w:r>
          </w:p>
        </w:tc>
        <w:tc>
          <w:tcPr>
            <w:tcW w:w="7088" w:type="dxa"/>
            <w:noWrap/>
            <w:vAlign w:val="center"/>
          </w:tcPr>
          <w:p w14:paraId="6F7257A5">
            <w:pPr>
              <w:spacing w:line="0" w:lineRule="atLeast"/>
              <w:rPr>
                <w:rFonts w:asciiTheme="minorEastAsia" w:hAnsiTheme="minorEastAsia" w:eastAsiaTheme="minorEastAsia"/>
                <w:szCs w:val="21"/>
              </w:rPr>
            </w:pPr>
            <w:r>
              <w:rPr>
                <w:rFonts w:asciiTheme="minorEastAsia" w:hAnsiTheme="minorEastAsia" w:eastAsiaTheme="minorEastAsia"/>
                <w:szCs w:val="21"/>
              </w:rPr>
              <w:t>供应商如认为采购文件表述不清晰、存在歧视性或者倾向性或者其他违法内容的，请于招标公告发布后十五日内将疑问发送至该电子邮件（邮箱</w:t>
            </w:r>
            <w:r>
              <w:rPr>
                <w:rFonts w:hint="eastAsia" w:asciiTheme="minorEastAsia" w:hAnsiTheme="minorEastAsia" w:eastAsiaTheme="minorEastAsia"/>
                <w:szCs w:val="21"/>
                <w:lang w:val="en-US" w:eastAsia="zh-CN"/>
              </w:rPr>
              <w:t>346082301</w:t>
            </w:r>
            <w:r>
              <w:rPr>
                <w:rFonts w:asciiTheme="minorEastAsia" w:hAnsiTheme="minorEastAsia" w:eastAsiaTheme="minorEastAsia"/>
                <w:szCs w:val="21"/>
              </w:rPr>
              <w:t>@qq.com）。答疑回复内容是采购文件的组成部份，并将以更正公告的形式在本采购公告发布的同一媒体发布，请供应商密切关注更正公告。</w:t>
            </w:r>
          </w:p>
        </w:tc>
      </w:tr>
      <w:tr w14:paraId="00AE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0" w:type="dxa"/>
            <w:noWrap/>
            <w:vAlign w:val="center"/>
          </w:tcPr>
          <w:p w14:paraId="7F88319A">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417" w:type="dxa"/>
            <w:noWrap/>
            <w:vAlign w:val="center"/>
          </w:tcPr>
          <w:p w14:paraId="2AF6F761">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采购文件的澄清与修改</w:t>
            </w:r>
          </w:p>
        </w:tc>
        <w:tc>
          <w:tcPr>
            <w:tcW w:w="7088" w:type="dxa"/>
            <w:noWrap/>
            <w:vAlign w:val="center"/>
          </w:tcPr>
          <w:p w14:paraId="2A3FAEAC">
            <w:pPr>
              <w:spacing w:line="0" w:lineRule="atLeast"/>
              <w:jc w:val="left"/>
              <w:rPr>
                <w:rFonts w:asciiTheme="minorEastAsia" w:hAnsiTheme="minorEastAsia" w:eastAsiaTheme="minorEastAsia"/>
                <w:szCs w:val="21"/>
              </w:rPr>
            </w:pPr>
            <w:r>
              <w:rPr>
                <w:rFonts w:asciiTheme="minorEastAsia" w:hAnsiTheme="minorEastAsia" w:eastAsiaTheme="minorEastAsia"/>
                <w:szCs w:val="21"/>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14:paraId="401F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0" w:type="dxa"/>
            <w:noWrap/>
            <w:vAlign w:val="center"/>
          </w:tcPr>
          <w:p w14:paraId="2701165B">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417" w:type="dxa"/>
            <w:noWrap/>
            <w:vAlign w:val="center"/>
          </w:tcPr>
          <w:p w14:paraId="23D652F4">
            <w:pPr>
              <w:spacing w:line="0" w:lineRule="atLeast"/>
              <w:jc w:val="center"/>
              <w:rPr>
                <w:rFonts w:asciiTheme="minorEastAsia" w:hAnsiTheme="minorEastAsia" w:eastAsiaTheme="minorEastAsia"/>
                <w:szCs w:val="21"/>
              </w:rPr>
            </w:pPr>
            <w:r>
              <w:rPr>
                <w:rFonts w:hint="eastAsia" w:asciiTheme="minorEastAsia" w:hAnsiTheme="minorEastAsia" w:eastAsiaTheme="minorEastAsia"/>
                <w:b/>
                <w:szCs w:val="21"/>
                <w:lang w:val="zh-CN"/>
              </w:rPr>
              <w:t>现场踏勘</w:t>
            </w:r>
          </w:p>
        </w:tc>
        <w:tc>
          <w:tcPr>
            <w:tcW w:w="7088" w:type="dxa"/>
            <w:noWrap/>
            <w:vAlign w:val="center"/>
          </w:tcPr>
          <w:p w14:paraId="58EE45AA">
            <w:pPr>
              <w:autoSpaceDE w:val="0"/>
              <w:autoSpaceDN w:val="0"/>
              <w:spacing w:line="0" w:lineRule="atLeast"/>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各投标供应商于投标截止时间前自行到现场进行踏勘 ，以获取本次投标所需的现场资料及数据，投标供应商若未到现场踏勘，引起的一切后果均由其自行负责，由此造成投标价的偏差均不予调整。现场踏勘费用自理。</w:t>
            </w:r>
          </w:p>
        </w:tc>
      </w:tr>
      <w:tr w14:paraId="0720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10" w:type="dxa"/>
            <w:noWrap/>
            <w:vAlign w:val="center"/>
          </w:tcPr>
          <w:p w14:paraId="5B2E0387">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417" w:type="dxa"/>
            <w:noWrap/>
            <w:vAlign w:val="center"/>
          </w:tcPr>
          <w:p w14:paraId="16846931">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投标有</w:t>
            </w:r>
          </w:p>
          <w:p w14:paraId="35CAB071">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效期</w:t>
            </w:r>
          </w:p>
        </w:tc>
        <w:tc>
          <w:tcPr>
            <w:tcW w:w="7088" w:type="dxa"/>
            <w:noWrap/>
            <w:vAlign w:val="center"/>
          </w:tcPr>
          <w:p w14:paraId="71B5343F">
            <w:pPr>
              <w:spacing w:line="0" w:lineRule="atLeast"/>
              <w:rPr>
                <w:rFonts w:asciiTheme="minorEastAsia" w:hAnsiTheme="minorEastAsia" w:eastAsiaTheme="minorEastAsia"/>
                <w:szCs w:val="21"/>
              </w:rPr>
            </w:pPr>
            <w:r>
              <w:rPr>
                <w:rFonts w:asciiTheme="minorEastAsia" w:hAnsiTheme="minorEastAsia" w:eastAsiaTheme="minorEastAsia"/>
                <w:szCs w:val="21"/>
              </w:rPr>
              <w:t>从提交投标文件的截止之日起90天（日历天）</w:t>
            </w:r>
          </w:p>
        </w:tc>
      </w:tr>
      <w:tr w14:paraId="758B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0" w:type="dxa"/>
            <w:noWrap/>
            <w:vAlign w:val="center"/>
          </w:tcPr>
          <w:p w14:paraId="6D1B4A7E">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417" w:type="dxa"/>
            <w:noWrap/>
            <w:vAlign w:val="center"/>
          </w:tcPr>
          <w:p w14:paraId="0D34DFD6">
            <w:pPr>
              <w:snapToGrid w:val="0"/>
              <w:spacing w:line="0" w:lineRule="atLeast"/>
              <w:jc w:val="center"/>
              <w:rPr>
                <w:rFonts w:asciiTheme="minorEastAsia" w:hAnsiTheme="minorEastAsia" w:eastAsiaTheme="minorEastAsia"/>
                <w:szCs w:val="21"/>
              </w:rPr>
            </w:pPr>
            <w:r>
              <w:rPr>
                <w:rFonts w:asciiTheme="minorEastAsia" w:hAnsiTheme="minorEastAsia" w:eastAsiaTheme="minorEastAsia"/>
                <w:szCs w:val="21"/>
              </w:rPr>
              <w:t>投标截止时间及投标</w:t>
            </w:r>
          </w:p>
          <w:p w14:paraId="0EC56043">
            <w:pPr>
              <w:snapToGrid w:val="0"/>
              <w:spacing w:line="0" w:lineRule="atLeast"/>
              <w:jc w:val="center"/>
              <w:rPr>
                <w:rFonts w:asciiTheme="minorEastAsia" w:hAnsiTheme="minorEastAsia" w:eastAsiaTheme="minorEastAsia"/>
                <w:szCs w:val="21"/>
              </w:rPr>
            </w:pPr>
            <w:r>
              <w:rPr>
                <w:rFonts w:asciiTheme="minorEastAsia" w:hAnsiTheme="minorEastAsia" w:eastAsiaTheme="minorEastAsia"/>
                <w:szCs w:val="21"/>
              </w:rPr>
              <w:t>地址</w:t>
            </w:r>
          </w:p>
        </w:tc>
        <w:tc>
          <w:tcPr>
            <w:tcW w:w="7088" w:type="dxa"/>
            <w:noWrap/>
            <w:vAlign w:val="center"/>
          </w:tcPr>
          <w:p w14:paraId="5C3D7469">
            <w:pPr>
              <w:snapToGrid w:val="0"/>
              <w:spacing w:line="0" w:lineRule="atLeast"/>
              <w:rPr>
                <w:rFonts w:asciiTheme="minorEastAsia" w:hAnsiTheme="minorEastAsia" w:eastAsiaTheme="minorEastAsia"/>
                <w:szCs w:val="21"/>
              </w:rPr>
            </w:pPr>
            <w:r>
              <w:rPr>
                <w:rFonts w:asciiTheme="minorEastAsia" w:hAnsiTheme="minorEastAsia" w:eastAsiaTheme="minorEastAsia"/>
                <w:szCs w:val="21"/>
              </w:rPr>
              <w:t>详见《第一章 招标公告》</w:t>
            </w:r>
          </w:p>
        </w:tc>
      </w:tr>
      <w:tr w14:paraId="3F63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0" w:type="dxa"/>
            <w:noWrap/>
            <w:vAlign w:val="center"/>
          </w:tcPr>
          <w:p w14:paraId="54589CD1">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417" w:type="dxa"/>
            <w:noWrap/>
            <w:vAlign w:val="center"/>
          </w:tcPr>
          <w:p w14:paraId="02930D0E">
            <w:pPr>
              <w:snapToGrid w:val="0"/>
              <w:spacing w:line="0" w:lineRule="atLeast"/>
              <w:jc w:val="center"/>
              <w:rPr>
                <w:rFonts w:asciiTheme="minorEastAsia" w:hAnsiTheme="minorEastAsia" w:eastAsiaTheme="minorEastAsia"/>
                <w:szCs w:val="21"/>
              </w:rPr>
            </w:pPr>
            <w:r>
              <w:rPr>
                <w:rFonts w:asciiTheme="minorEastAsia" w:hAnsiTheme="minorEastAsia" w:eastAsiaTheme="minorEastAsia"/>
                <w:szCs w:val="21"/>
              </w:rPr>
              <w:t>开标时间及开标地址</w:t>
            </w:r>
          </w:p>
        </w:tc>
        <w:tc>
          <w:tcPr>
            <w:tcW w:w="7088" w:type="dxa"/>
            <w:noWrap/>
            <w:vAlign w:val="center"/>
          </w:tcPr>
          <w:p w14:paraId="4F9F492D">
            <w:pPr>
              <w:spacing w:line="0" w:lineRule="atLeast"/>
              <w:rPr>
                <w:rFonts w:asciiTheme="minorEastAsia" w:hAnsiTheme="minorEastAsia" w:eastAsiaTheme="minorEastAsia"/>
                <w:szCs w:val="21"/>
              </w:rPr>
            </w:pPr>
            <w:r>
              <w:rPr>
                <w:rFonts w:asciiTheme="minorEastAsia" w:hAnsiTheme="minorEastAsia" w:eastAsiaTheme="minorEastAsia"/>
                <w:szCs w:val="21"/>
              </w:rPr>
              <w:t>详见《第一章  招标公告》</w:t>
            </w:r>
          </w:p>
        </w:tc>
      </w:tr>
      <w:tr w14:paraId="7C81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noWrap/>
            <w:vAlign w:val="center"/>
          </w:tcPr>
          <w:p w14:paraId="76EDAAB3">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417" w:type="dxa"/>
            <w:noWrap/>
            <w:vAlign w:val="center"/>
          </w:tcPr>
          <w:p w14:paraId="3788A4CF">
            <w:pPr>
              <w:snapToGrid w:val="0"/>
              <w:spacing w:line="0" w:lineRule="atLeast"/>
              <w:jc w:val="center"/>
              <w:rPr>
                <w:rFonts w:asciiTheme="minorEastAsia" w:hAnsiTheme="minorEastAsia" w:eastAsiaTheme="minorEastAsia"/>
                <w:bCs/>
                <w:szCs w:val="21"/>
              </w:rPr>
            </w:pPr>
            <w:r>
              <w:rPr>
                <w:rFonts w:asciiTheme="minorEastAsia" w:hAnsiTheme="minorEastAsia" w:eastAsiaTheme="minorEastAsia"/>
                <w:bCs/>
                <w:szCs w:val="21"/>
              </w:rPr>
              <w:t>投标文件</w:t>
            </w:r>
          </w:p>
          <w:p w14:paraId="072D8FC3">
            <w:pPr>
              <w:snapToGrid w:val="0"/>
              <w:spacing w:line="0" w:lineRule="atLeast"/>
              <w:jc w:val="center"/>
              <w:rPr>
                <w:rFonts w:asciiTheme="minorEastAsia" w:hAnsiTheme="minorEastAsia" w:eastAsiaTheme="minorEastAsia"/>
                <w:bCs/>
                <w:szCs w:val="21"/>
              </w:rPr>
            </w:pPr>
            <w:r>
              <w:rPr>
                <w:rFonts w:asciiTheme="minorEastAsia" w:hAnsiTheme="minorEastAsia" w:eastAsiaTheme="minorEastAsia"/>
                <w:bCs/>
                <w:szCs w:val="21"/>
              </w:rPr>
              <w:t>组成</w:t>
            </w:r>
          </w:p>
        </w:tc>
        <w:tc>
          <w:tcPr>
            <w:tcW w:w="7088" w:type="dxa"/>
            <w:noWrap/>
            <w:vAlign w:val="center"/>
          </w:tcPr>
          <w:p w14:paraId="5F5254BD">
            <w:pPr>
              <w:pStyle w:val="137"/>
              <w:adjustRightInd w:val="0"/>
              <w:snapToGrid w:val="0"/>
              <w:spacing w:before="0" w:line="0" w:lineRule="atLeast"/>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完整的《投标文件》由“资格文件”、“商务技术文件”和“报价文件”三个部分组成。</w:t>
            </w:r>
          </w:p>
        </w:tc>
      </w:tr>
      <w:tr w14:paraId="1FB5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0" w:type="dxa"/>
            <w:noWrap/>
            <w:vAlign w:val="center"/>
          </w:tcPr>
          <w:p w14:paraId="25879CE9">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417" w:type="dxa"/>
            <w:noWrap/>
            <w:vAlign w:val="center"/>
          </w:tcPr>
          <w:p w14:paraId="686D2DBE">
            <w:pPr>
              <w:snapToGrid w:val="0"/>
              <w:spacing w:line="0" w:lineRule="atLeast"/>
              <w:jc w:val="center"/>
              <w:rPr>
                <w:rFonts w:asciiTheme="minorEastAsia" w:hAnsiTheme="minorEastAsia" w:eastAsiaTheme="minorEastAsia"/>
                <w:bCs/>
                <w:szCs w:val="21"/>
              </w:rPr>
            </w:pPr>
            <w:r>
              <w:rPr>
                <w:rFonts w:asciiTheme="minorEastAsia" w:hAnsiTheme="minorEastAsia" w:eastAsiaTheme="minorEastAsia"/>
                <w:bCs/>
                <w:szCs w:val="21"/>
              </w:rPr>
              <w:t>投标文件的编制要求</w:t>
            </w:r>
          </w:p>
        </w:tc>
        <w:tc>
          <w:tcPr>
            <w:tcW w:w="7088" w:type="dxa"/>
            <w:noWrap/>
            <w:vAlign w:val="center"/>
          </w:tcPr>
          <w:p w14:paraId="156BD8C8">
            <w:pPr>
              <w:pStyle w:val="137"/>
              <w:adjustRightInd w:val="0"/>
              <w:snapToGrid w:val="0"/>
              <w:spacing w:before="0" w:line="0" w:lineRule="atLeast"/>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投标文件的编制要求</w:t>
            </w:r>
            <w:r>
              <w:rPr>
                <w:rFonts w:hint="eastAsia" w:asciiTheme="minorEastAsia" w:hAnsiTheme="minorEastAsia" w:eastAsiaTheme="minorEastAsia"/>
                <w:bCs/>
                <w:sz w:val="21"/>
                <w:szCs w:val="21"/>
              </w:rPr>
              <w:tab/>
            </w:r>
            <w:r>
              <w:rPr>
                <w:rFonts w:hint="eastAsia" w:asciiTheme="minorEastAsia" w:hAnsiTheme="minorEastAsia" w:eastAsiaTheme="minorEastAsia"/>
                <w:bCs/>
                <w:sz w:val="21"/>
                <w:szCs w:val="21"/>
              </w:rPr>
              <w:t>投标人应先安装“政采云电子交易客户端”，并按照采购文件中规定的“投标文件格式”中提供的格式和“政府采购云平台”的要求，通过“政采云电子交易客户端”编制并加密投标文件。其中《资格文件》和《商务技术文件》中不得出现本项目投标报价，如因投标人原因提前泄露投标报价，是投标人的责任。</w:t>
            </w:r>
          </w:p>
        </w:tc>
      </w:tr>
      <w:tr w14:paraId="101D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noWrap/>
            <w:vAlign w:val="center"/>
          </w:tcPr>
          <w:p w14:paraId="1096A95C">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417" w:type="dxa"/>
            <w:noWrap/>
            <w:vAlign w:val="center"/>
          </w:tcPr>
          <w:p w14:paraId="7E6B659B">
            <w:pPr>
              <w:snapToGrid w:val="0"/>
              <w:spacing w:line="0" w:lineRule="atLeast"/>
              <w:jc w:val="center"/>
              <w:rPr>
                <w:rFonts w:asciiTheme="minorEastAsia" w:hAnsiTheme="minorEastAsia" w:eastAsiaTheme="minorEastAsia"/>
                <w:bCs/>
                <w:szCs w:val="21"/>
              </w:rPr>
            </w:pPr>
            <w:r>
              <w:rPr>
                <w:rFonts w:hint="eastAsia" w:asciiTheme="minorEastAsia" w:hAnsiTheme="minorEastAsia" w:eastAsiaTheme="minorEastAsia"/>
                <w:bCs/>
                <w:szCs w:val="21"/>
              </w:rPr>
              <w:t>投标文件的签字或盖章要求</w:t>
            </w:r>
          </w:p>
        </w:tc>
        <w:tc>
          <w:tcPr>
            <w:tcW w:w="7088" w:type="dxa"/>
            <w:noWrap/>
            <w:vAlign w:val="center"/>
          </w:tcPr>
          <w:p w14:paraId="33CB7751">
            <w:pPr>
              <w:pStyle w:val="137"/>
              <w:adjustRightInd w:val="0"/>
              <w:snapToGrid w:val="0"/>
              <w:spacing w:before="0" w:line="0" w:lineRule="atLeast"/>
              <w:ind w:firstLine="0" w:firstLineChars="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1.按“投标文件格式”中提供的格式进行签字盖章。</w:t>
            </w:r>
          </w:p>
          <w:p w14:paraId="35414984">
            <w:pPr>
              <w:pStyle w:val="137"/>
              <w:adjustRightInd w:val="0"/>
              <w:snapToGrid w:val="0"/>
              <w:spacing w:before="0" w:line="0" w:lineRule="atLeast"/>
              <w:ind w:firstLine="0" w:firstLineChars="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2.投标文件签署人（签字或盖章）：因系统无法进行法定代表人或其授权代表签字或盖章操作，需线下签字或盖章扫描后上传至电子投标文件中。</w:t>
            </w:r>
          </w:p>
          <w:p w14:paraId="7A1C4CA1">
            <w:pPr>
              <w:pStyle w:val="137"/>
              <w:adjustRightInd w:val="0"/>
              <w:snapToGrid w:val="0"/>
              <w:spacing w:before="0" w:line="0" w:lineRule="atLeast"/>
              <w:ind w:firstLine="0" w:firstLineChars="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3.盖单位公章：可使用电子公章在线签章或盖单位公章扫描上传。</w:t>
            </w:r>
          </w:p>
          <w:p w14:paraId="77550AB4">
            <w:pPr>
              <w:pStyle w:val="137"/>
              <w:adjustRightInd w:val="0"/>
              <w:snapToGrid w:val="0"/>
              <w:spacing w:before="0" w:line="0" w:lineRule="atLeast"/>
              <w:ind w:firstLine="0" w:firstLineChars="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4.电子签章操作指南详见《政府采购项目电子交易管理操作指南-供应商》。系统要求进行电子签章的，按系统要求签章。</w:t>
            </w:r>
          </w:p>
        </w:tc>
      </w:tr>
      <w:tr w14:paraId="03E9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noWrap/>
            <w:vAlign w:val="center"/>
          </w:tcPr>
          <w:p w14:paraId="0A22FE1D">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417" w:type="dxa"/>
            <w:noWrap/>
            <w:vAlign w:val="center"/>
          </w:tcPr>
          <w:p w14:paraId="064F32C2">
            <w:pPr>
              <w:snapToGrid w:val="0"/>
              <w:spacing w:line="0" w:lineRule="atLeast"/>
              <w:jc w:val="center"/>
              <w:rPr>
                <w:rFonts w:asciiTheme="minorEastAsia" w:hAnsiTheme="minorEastAsia" w:eastAsiaTheme="minorEastAsia"/>
                <w:bCs/>
                <w:szCs w:val="21"/>
              </w:rPr>
            </w:pPr>
            <w:r>
              <w:rPr>
                <w:rFonts w:asciiTheme="minorEastAsia" w:hAnsiTheme="minorEastAsia" w:eastAsiaTheme="minorEastAsia"/>
                <w:bCs/>
                <w:szCs w:val="21"/>
              </w:rPr>
              <w:t>投标文件的</w:t>
            </w:r>
          </w:p>
          <w:p w14:paraId="2EF9D183">
            <w:pPr>
              <w:snapToGrid w:val="0"/>
              <w:spacing w:line="0" w:lineRule="atLeast"/>
              <w:jc w:val="center"/>
              <w:rPr>
                <w:rFonts w:asciiTheme="minorEastAsia" w:hAnsiTheme="minorEastAsia" w:eastAsiaTheme="minorEastAsia"/>
                <w:bCs/>
                <w:szCs w:val="21"/>
              </w:rPr>
            </w:pPr>
            <w:r>
              <w:rPr>
                <w:rFonts w:asciiTheme="minorEastAsia" w:hAnsiTheme="minorEastAsia" w:eastAsiaTheme="minorEastAsia"/>
                <w:bCs/>
                <w:szCs w:val="21"/>
              </w:rPr>
              <w:t>形式</w:t>
            </w:r>
          </w:p>
        </w:tc>
        <w:tc>
          <w:tcPr>
            <w:tcW w:w="7088" w:type="dxa"/>
            <w:noWrap/>
            <w:vAlign w:val="center"/>
          </w:tcPr>
          <w:p w14:paraId="3C3379EB">
            <w:pPr>
              <w:spacing w:line="0" w:lineRule="atLeast"/>
              <w:rPr>
                <w:rFonts w:asciiTheme="minorEastAsia" w:hAnsiTheme="minorEastAsia" w:eastAsiaTheme="minorEastAsia"/>
                <w:bCs/>
                <w:szCs w:val="21"/>
              </w:rPr>
            </w:pPr>
            <w:r>
              <w:rPr>
                <w:rFonts w:asciiTheme="minorEastAsia" w:hAnsiTheme="minorEastAsia" w:eastAsiaTheme="minorEastAsia"/>
                <w:bCs/>
                <w:szCs w:val="21"/>
              </w:rPr>
              <w:t>电子投标文件（包括“电子加密投标文件”和“电子备份加密投标文件”，在投标文件编制完成后同时生成）；</w:t>
            </w:r>
          </w:p>
          <w:p w14:paraId="4A406974">
            <w:pPr>
              <w:spacing w:line="0" w:lineRule="atLeast"/>
              <w:rPr>
                <w:rFonts w:asciiTheme="minorEastAsia" w:hAnsiTheme="minorEastAsia" w:eastAsiaTheme="minorEastAsia"/>
                <w:bCs/>
                <w:szCs w:val="21"/>
              </w:rPr>
            </w:pPr>
            <w:r>
              <w:rPr>
                <w:rFonts w:asciiTheme="minorEastAsia" w:hAnsiTheme="minorEastAsia" w:eastAsiaTheme="minorEastAsia"/>
                <w:bCs/>
                <w:szCs w:val="21"/>
              </w:rPr>
              <w:t>（1）“电子加密投标文件”是指通过“政采云电子交易客户端”完成投标文件编制后生成并加密的数据电文形式的投标文件。</w:t>
            </w:r>
          </w:p>
          <w:p w14:paraId="66646D9D">
            <w:pPr>
              <w:pStyle w:val="137"/>
              <w:adjustRightInd w:val="0"/>
              <w:snapToGrid w:val="0"/>
              <w:spacing w:before="0" w:line="0" w:lineRule="atLeast"/>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（2）“电子备份加密投标文件”是指与“电子加密投标文件”同时生成的数据电文形式的电子文件，其他方式编制的电子备份加密投标文件视为无效电子备份加密投标文件。</w:t>
            </w:r>
          </w:p>
        </w:tc>
      </w:tr>
      <w:tr w14:paraId="360F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10" w:type="dxa"/>
            <w:noWrap/>
            <w:vAlign w:val="center"/>
          </w:tcPr>
          <w:p w14:paraId="0C2BBB32">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417" w:type="dxa"/>
            <w:noWrap/>
            <w:vAlign w:val="center"/>
          </w:tcPr>
          <w:p w14:paraId="0AAB1A59">
            <w:pPr>
              <w:snapToGrid w:val="0"/>
              <w:spacing w:line="0" w:lineRule="atLeast"/>
              <w:jc w:val="center"/>
              <w:rPr>
                <w:rFonts w:asciiTheme="minorEastAsia" w:hAnsiTheme="minorEastAsia" w:eastAsiaTheme="minorEastAsia"/>
                <w:bCs/>
                <w:szCs w:val="21"/>
              </w:rPr>
            </w:pPr>
            <w:r>
              <w:rPr>
                <w:rFonts w:asciiTheme="minorEastAsia" w:hAnsiTheme="minorEastAsia" w:eastAsiaTheme="minorEastAsia"/>
                <w:bCs/>
                <w:szCs w:val="21"/>
              </w:rPr>
              <w:t>投标文件构成和份数</w:t>
            </w:r>
          </w:p>
        </w:tc>
        <w:tc>
          <w:tcPr>
            <w:tcW w:w="7088" w:type="dxa"/>
            <w:noWrap/>
            <w:vAlign w:val="center"/>
          </w:tcPr>
          <w:p w14:paraId="1CF6C31E">
            <w:pPr>
              <w:pStyle w:val="215"/>
              <w:spacing w:line="0" w:lineRule="atLeast"/>
              <w:rPr>
                <w:rFonts w:hint="default" w:asciiTheme="minorEastAsia" w:hAnsiTheme="minorEastAsia" w:eastAsiaTheme="minorEastAsia"/>
                <w:szCs w:val="21"/>
              </w:rPr>
            </w:pPr>
            <w:r>
              <w:rPr>
                <w:rFonts w:hint="default" w:asciiTheme="minorEastAsia" w:hAnsiTheme="minorEastAsia" w:eastAsiaTheme="minorEastAsia"/>
                <w:szCs w:val="21"/>
              </w:rPr>
              <w:t>本项目实行全流程网上电子投标。</w:t>
            </w:r>
          </w:p>
          <w:p w14:paraId="06359108">
            <w:pPr>
              <w:pStyle w:val="215"/>
              <w:spacing w:line="0" w:lineRule="atLeast"/>
              <w:rPr>
                <w:rFonts w:hint="default" w:asciiTheme="minorEastAsia" w:hAnsiTheme="minorEastAsia" w:eastAsiaTheme="minorEastAsia"/>
                <w:bCs/>
                <w:szCs w:val="21"/>
              </w:rPr>
            </w:pPr>
            <w:r>
              <w:rPr>
                <w:rFonts w:hint="default" w:asciiTheme="minorEastAsia" w:hAnsiTheme="minorEastAsia" w:eastAsiaTheme="minorEastAsia"/>
                <w:szCs w:val="21"/>
              </w:rPr>
              <w:t>（1）</w:t>
            </w:r>
            <w:r>
              <w:rPr>
                <w:rFonts w:hint="default" w:asciiTheme="minorEastAsia" w:hAnsiTheme="minorEastAsia" w:eastAsiaTheme="minorEastAsia"/>
                <w:bCs/>
                <w:szCs w:val="21"/>
              </w:rPr>
              <w:t>“电子加密投标文件”：在“政府采购云平台”上传递交、一份；（2）“电子备份加密投标文件”：</w:t>
            </w:r>
            <w:r>
              <w:rPr>
                <w:rFonts w:hint="default" w:asciiTheme="minorEastAsia" w:hAnsiTheme="minorEastAsia" w:eastAsiaTheme="minorEastAsia"/>
                <w:szCs w:val="21"/>
              </w:rPr>
              <w:t>在投标截止时间前电子邮件方式发送至邮箱：</w:t>
            </w:r>
            <w:r>
              <w:rPr>
                <w:rFonts w:hint="eastAsia" w:asciiTheme="minorEastAsia" w:hAnsiTheme="minorEastAsia" w:eastAsiaTheme="minorEastAsia"/>
                <w:szCs w:val="21"/>
                <w:lang w:val="en-US" w:eastAsia="zh-CN"/>
              </w:rPr>
              <w:t>346082301</w:t>
            </w:r>
            <w:r>
              <w:rPr>
                <w:rFonts w:hint="default" w:asciiTheme="minorEastAsia" w:hAnsiTheme="minorEastAsia" w:eastAsiaTheme="minorEastAsia"/>
                <w:szCs w:val="21"/>
              </w:rPr>
              <w:t>@qq.com一份。</w:t>
            </w:r>
          </w:p>
        </w:tc>
      </w:tr>
      <w:tr w14:paraId="12C9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10" w:type="dxa"/>
            <w:noWrap/>
            <w:vAlign w:val="center"/>
          </w:tcPr>
          <w:p w14:paraId="6C195E82">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417" w:type="dxa"/>
            <w:noWrap/>
            <w:vAlign w:val="center"/>
          </w:tcPr>
          <w:p w14:paraId="2ADCD87C">
            <w:pPr>
              <w:pStyle w:val="29"/>
              <w:snapToGrid w:val="0"/>
              <w:spacing w:line="0" w:lineRule="atLeast"/>
              <w:jc w:val="center"/>
              <w:rPr>
                <w:rFonts w:cs="Times New Roman" w:asciiTheme="minorEastAsia" w:hAnsiTheme="minorEastAsia" w:eastAsiaTheme="minorEastAsia"/>
              </w:rPr>
            </w:pPr>
            <w:r>
              <w:rPr>
                <w:rFonts w:cs="Times New Roman" w:asciiTheme="minorEastAsia" w:hAnsiTheme="minorEastAsia" w:eastAsiaTheme="minorEastAsia"/>
              </w:rPr>
              <w:t>“电子加密投标文件”的上传、递交</w:t>
            </w:r>
          </w:p>
        </w:tc>
        <w:tc>
          <w:tcPr>
            <w:tcW w:w="7088" w:type="dxa"/>
            <w:noWrap/>
            <w:vAlign w:val="center"/>
          </w:tcPr>
          <w:p w14:paraId="36AA9CF9">
            <w:pPr>
              <w:spacing w:line="0" w:lineRule="atLeast"/>
              <w:jc w:val="left"/>
              <w:rPr>
                <w:rFonts w:asciiTheme="minorEastAsia" w:hAnsiTheme="minorEastAsia" w:eastAsiaTheme="minorEastAsia"/>
                <w:szCs w:val="21"/>
              </w:rPr>
            </w:pPr>
            <w:r>
              <w:rPr>
                <w:rFonts w:asciiTheme="minorEastAsia" w:hAnsiTheme="minorEastAsia" w:eastAsiaTheme="minorEastAsia"/>
                <w:szCs w:val="21"/>
              </w:rPr>
              <w:t>（1）投标人应当在投标截止时间前完成电子投标文件的上传、递交，投标截止时间前可以补充、修改或者撤回电子投标文件。补充或者修改电子投标文件的，应当先行撤回原文件，补充、修改后重新上传、递交。投标截止时间前未完成上传的，视为撤回电子投标文件。投标截止时间后上传、递交的投标文件，将被拒收。（2）“电子加密投标文件”成功上传、递交后，投标人可自行打印投标文件接收回执。</w:t>
            </w:r>
          </w:p>
        </w:tc>
      </w:tr>
      <w:tr w14:paraId="0D23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10" w:type="dxa"/>
            <w:noWrap/>
            <w:vAlign w:val="center"/>
          </w:tcPr>
          <w:p w14:paraId="3F30A25E">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1417" w:type="dxa"/>
            <w:noWrap/>
            <w:vAlign w:val="center"/>
          </w:tcPr>
          <w:p w14:paraId="2CD311FB">
            <w:pPr>
              <w:pStyle w:val="29"/>
              <w:snapToGrid w:val="0"/>
              <w:spacing w:line="0" w:lineRule="atLeast"/>
              <w:jc w:val="center"/>
              <w:rPr>
                <w:rFonts w:cs="Times New Roman" w:asciiTheme="minorEastAsia" w:hAnsiTheme="minorEastAsia" w:eastAsiaTheme="minorEastAsia"/>
              </w:rPr>
            </w:pPr>
            <w:r>
              <w:rPr>
                <w:rFonts w:cs="Times New Roman" w:asciiTheme="minorEastAsia" w:hAnsiTheme="minorEastAsia" w:eastAsiaTheme="minorEastAsia"/>
              </w:rPr>
              <w:t>“电子备份加密投标文件”的密封包装、递交</w:t>
            </w:r>
          </w:p>
        </w:tc>
        <w:tc>
          <w:tcPr>
            <w:tcW w:w="7088" w:type="dxa"/>
            <w:noWrap/>
            <w:vAlign w:val="center"/>
          </w:tcPr>
          <w:p w14:paraId="763FA344">
            <w:pPr>
              <w:spacing w:line="0" w:lineRule="atLeast"/>
              <w:jc w:val="left"/>
              <w:rPr>
                <w:rFonts w:asciiTheme="minorEastAsia" w:hAnsiTheme="minorEastAsia" w:eastAsiaTheme="minorEastAsia"/>
                <w:szCs w:val="21"/>
              </w:rPr>
            </w:pPr>
            <w:r>
              <w:rPr>
                <w:rStyle w:val="91"/>
                <w:rFonts w:hint="default" w:asciiTheme="minorEastAsia" w:hAnsiTheme="minorEastAsia" w:eastAsiaTheme="minorEastAsia"/>
              </w:rPr>
              <w:t>投标供应商在“政府采购云平台”完成“电子加密投标文件”的上传递交后，投标人应当在投标截止时间前将同时生成的电子备份加密投标文件（文件名后缀为bfbs）以电子邮件方式发送至邮箱：</w:t>
            </w:r>
            <w:r>
              <w:rPr>
                <w:rStyle w:val="91"/>
                <w:rFonts w:hint="eastAsia" w:asciiTheme="minorEastAsia" w:hAnsiTheme="minorEastAsia" w:eastAsiaTheme="minorEastAsia"/>
                <w:lang w:val="en-US" w:eastAsia="zh-CN"/>
              </w:rPr>
              <w:t>346082301</w:t>
            </w:r>
            <w:r>
              <w:rPr>
                <w:rStyle w:val="91"/>
                <w:rFonts w:hint="default" w:asciiTheme="minorEastAsia" w:hAnsiTheme="minorEastAsia" w:eastAsiaTheme="minorEastAsia"/>
              </w:rPr>
              <w:t>@qq.com。电子加密投标文件在规定时间内解密成功的，电子备份加密投标文件自动失效；如电子加密投标文件解密失败，则在评标现场启用电子备份加密投标文件。</w:t>
            </w:r>
          </w:p>
        </w:tc>
      </w:tr>
      <w:tr w14:paraId="7ABE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10" w:type="dxa"/>
            <w:noWrap/>
            <w:vAlign w:val="center"/>
          </w:tcPr>
          <w:p w14:paraId="11249BC6">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21</w:t>
            </w:r>
          </w:p>
        </w:tc>
        <w:tc>
          <w:tcPr>
            <w:tcW w:w="1417" w:type="dxa"/>
            <w:noWrap/>
            <w:vAlign w:val="center"/>
          </w:tcPr>
          <w:p w14:paraId="60544A50">
            <w:pPr>
              <w:autoSpaceDE w:val="0"/>
              <w:autoSpaceDN w:val="0"/>
              <w:spacing w:line="0" w:lineRule="atLeast"/>
              <w:jc w:val="center"/>
              <w:rPr>
                <w:rFonts w:asciiTheme="minorEastAsia" w:hAnsiTheme="minorEastAsia" w:eastAsiaTheme="minorEastAsia"/>
                <w:szCs w:val="21"/>
                <w:lang w:val="zh-CN"/>
              </w:rPr>
            </w:pPr>
            <w:r>
              <w:rPr>
                <w:rFonts w:asciiTheme="minorEastAsia" w:hAnsiTheme="minorEastAsia" w:eastAsiaTheme="minorEastAsia"/>
                <w:szCs w:val="21"/>
              </w:rPr>
              <w:t>投标</w:t>
            </w:r>
            <w:r>
              <w:rPr>
                <w:rFonts w:asciiTheme="minorEastAsia" w:hAnsiTheme="minorEastAsia" w:eastAsiaTheme="minorEastAsia"/>
                <w:szCs w:val="21"/>
                <w:lang w:val="zh-CN"/>
              </w:rPr>
              <w:t>文件的</w:t>
            </w:r>
          </w:p>
          <w:p w14:paraId="4BECFE34">
            <w:pPr>
              <w:autoSpaceDE w:val="0"/>
              <w:autoSpaceDN w:val="0"/>
              <w:spacing w:line="0" w:lineRule="atLeast"/>
              <w:jc w:val="center"/>
              <w:rPr>
                <w:rFonts w:asciiTheme="minorEastAsia" w:hAnsiTheme="minorEastAsia" w:eastAsiaTheme="minorEastAsia"/>
                <w:szCs w:val="21"/>
                <w:lang w:val="zh-CN"/>
              </w:rPr>
            </w:pPr>
            <w:r>
              <w:rPr>
                <w:rFonts w:asciiTheme="minorEastAsia" w:hAnsiTheme="minorEastAsia" w:eastAsiaTheme="minorEastAsia"/>
                <w:szCs w:val="21"/>
                <w:lang w:val="zh-CN"/>
              </w:rPr>
              <w:t>效力</w:t>
            </w:r>
          </w:p>
        </w:tc>
        <w:tc>
          <w:tcPr>
            <w:tcW w:w="7088" w:type="dxa"/>
            <w:noWrap/>
          </w:tcPr>
          <w:p w14:paraId="74422980">
            <w:pPr>
              <w:autoSpaceDE w:val="0"/>
              <w:autoSpaceDN w:val="0"/>
              <w:spacing w:line="0" w:lineRule="atLeast"/>
              <w:jc w:val="left"/>
              <w:rPr>
                <w:rFonts w:asciiTheme="minorEastAsia" w:hAnsiTheme="minorEastAsia" w:eastAsiaTheme="minorEastAsia"/>
                <w:szCs w:val="21"/>
                <w:lang w:val="zh-CN"/>
              </w:rPr>
            </w:pPr>
            <w:r>
              <w:rPr>
                <w:rFonts w:asciiTheme="minorEastAsia" w:hAnsiTheme="minorEastAsia" w:eastAsiaTheme="minorEastAsia"/>
                <w:szCs w:val="21"/>
              </w:rPr>
              <w:t>电子投标</w:t>
            </w:r>
            <w:r>
              <w:rPr>
                <w:rFonts w:asciiTheme="minorEastAsia" w:hAnsiTheme="minorEastAsia" w:eastAsiaTheme="minorEastAsia"/>
                <w:szCs w:val="21"/>
                <w:lang w:val="zh-CN"/>
              </w:rPr>
              <w:t>文件的启用，须按先后顺位分别为电子加密投标文件、</w:t>
            </w:r>
            <w:r>
              <w:rPr>
                <w:rFonts w:asciiTheme="minorEastAsia" w:hAnsiTheme="minorEastAsia" w:eastAsiaTheme="minorEastAsia"/>
                <w:szCs w:val="21"/>
              </w:rPr>
              <w:t>邮箱发送的电子备份加密投标文件</w:t>
            </w:r>
            <w:r>
              <w:rPr>
                <w:rFonts w:asciiTheme="minorEastAsia" w:hAnsiTheme="minorEastAsia" w:eastAsiaTheme="minorEastAsia"/>
                <w:szCs w:val="21"/>
                <w:lang w:val="zh-CN"/>
              </w:rPr>
              <w:t>。因网络或者其他问题造成电子加密投标文件无法正常解密，才能启用电子备份加密投标文件。电子备份加密投标文件一旦启用，则电子加密投标文件失效，不予启用。</w:t>
            </w:r>
          </w:p>
        </w:tc>
      </w:tr>
      <w:tr w14:paraId="15E3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10" w:type="dxa"/>
            <w:noWrap/>
            <w:vAlign w:val="center"/>
          </w:tcPr>
          <w:p w14:paraId="28818204">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1417" w:type="dxa"/>
            <w:noWrap/>
            <w:vAlign w:val="center"/>
          </w:tcPr>
          <w:p w14:paraId="4B3D06BF">
            <w:pPr>
              <w:pStyle w:val="29"/>
              <w:snapToGrid w:val="0"/>
              <w:spacing w:line="0" w:lineRule="atLeast"/>
              <w:jc w:val="center"/>
              <w:rPr>
                <w:rFonts w:cs="Times New Roman" w:asciiTheme="minorEastAsia" w:hAnsiTheme="minorEastAsia" w:eastAsiaTheme="minorEastAsia"/>
                <w:lang w:val="zh-CN"/>
              </w:rPr>
            </w:pPr>
            <w:r>
              <w:rPr>
                <w:rStyle w:val="91"/>
                <w:rFonts w:hint="default" w:cs="Times New Roman" w:asciiTheme="minorEastAsia" w:hAnsiTheme="minorEastAsia" w:eastAsiaTheme="minorEastAsia"/>
              </w:rPr>
              <w:t>电子加密投标文件的解密和异常情况处理</w:t>
            </w:r>
          </w:p>
        </w:tc>
        <w:tc>
          <w:tcPr>
            <w:tcW w:w="7088" w:type="dxa"/>
            <w:noWrap/>
            <w:vAlign w:val="center"/>
          </w:tcPr>
          <w:p w14:paraId="7C40E80C">
            <w:pPr>
              <w:spacing w:line="0" w:lineRule="atLeast"/>
              <w:rPr>
                <w:rFonts w:asciiTheme="minorEastAsia" w:hAnsiTheme="minorEastAsia" w:eastAsiaTheme="minorEastAsia"/>
                <w:szCs w:val="21"/>
              </w:rPr>
            </w:pPr>
            <w:r>
              <w:rPr>
                <w:rFonts w:asciiTheme="minorEastAsia" w:hAnsiTheme="minorEastAsia" w:eastAsiaTheme="minorEastAsia"/>
                <w:bCs/>
                <w:szCs w:val="21"/>
              </w:rPr>
              <w:t>（1）开标后，采购代理机构将向各投标供应商发出“电子加密投标文件”的解密通知，各投标供应商代表应当在接到解密通知后30分钟内</w:t>
            </w:r>
            <w:r>
              <w:rPr>
                <w:rStyle w:val="91"/>
                <w:rFonts w:hint="default" w:asciiTheme="minorEastAsia" w:hAnsiTheme="minorEastAsia" w:eastAsiaTheme="minorEastAsia"/>
              </w:rPr>
              <w:t>登录“政采云”平台，用“项目采购-开标评标”功能</w:t>
            </w:r>
            <w:r>
              <w:rPr>
                <w:rFonts w:asciiTheme="minorEastAsia" w:hAnsiTheme="minorEastAsia" w:eastAsiaTheme="minorEastAsia"/>
                <w:bCs/>
                <w:szCs w:val="21"/>
              </w:rPr>
              <w:t>自行完成“电子加密投标文件”的在线解密。（2）通过“政府采购云平台”成功上传递交的“电子加密投标文件”无法按时解密，投标供应商如按规定递交了“电子备份加密投标文件”的，以“电子备份加密投标文件”为依据（由采购代理机构按“政府采购云平台”操作规范将“电子备份加密投标文件”上传至“政府采购云平台”，上传成功后，“电子加密投标文件”自动失效），否则视为投标文件撤回。</w:t>
            </w:r>
          </w:p>
          <w:p w14:paraId="2AF4B396">
            <w:pPr>
              <w:spacing w:line="0" w:lineRule="atLeast"/>
              <w:jc w:val="left"/>
              <w:rPr>
                <w:rFonts w:asciiTheme="minorEastAsia" w:hAnsiTheme="minorEastAsia" w:eastAsiaTheme="minorEastAsia"/>
                <w:bCs/>
                <w:szCs w:val="21"/>
                <w:lang w:val="zh-CN"/>
              </w:rPr>
            </w:pPr>
            <w:r>
              <w:rPr>
                <w:rFonts w:asciiTheme="minorEastAsia" w:hAnsiTheme="minorEastAsia" w:eastAsiaTheme="minorEastAsia"/>
                <w:bCs/>
                <w:szCs w:val="21"/>
              </w:rPr>
              <w:t>（3）投标截止时间前，投标供应商仅递交了电子备份加密投标文件而未将电子加密投标文件上传至“政府采购云平台”的，投标无效。</w:t>
            </w:r>
          </w:p>
        </w:tc>
      </w:tr>
      <w:tr w14:paraId="5731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10" w:type="dxa"/>
            <w:noWrap/>
            <w:vAlign w:val="center"/>
          </w:tcPr>
          <w:p w14:paraId="04616A35">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23</w:t>
            </w:r>
          </w:p>
        </w:tc>
        <w:tc>
          <w:tcPr>
            <w:tcW w:w="1417" w:type="dxa"/>
            <w:noWrap/>
            <w:vAlign w:val="center"/>
          </w:tcPr>
          <w:p w14:paraId="169F94AE">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储备费用结算和支付</w:t>
            </w:r>
          </w:p>
        </w:tc>
        <w:tc>
          <w:tcPr>
            <w:tcW w:w="7088" w:type="dxa"/>
            <w:noWrap/>
            <w:vAlign w:val="center"/>
          </w:tcPr>
          <w:p w14:paraId="771294F8">
            <w:pPr>
              <w:spacing w:line="0" w:lineRule="atLeast"/>
              <w:rPr>
                <w:rFonts w:asciiTheme="minorEastAsia" w:hAnsiTheme="minorEastAsia" w:eastAsiaTheme="minorEastAsia"/>
              </w:rPr>
            </w:pPr>
            <w:r>
              <w:rPr>
                <w:rFonts w:hint="eastAsia" w:asciiTheme="minorEastAsia" w:hAnsiTheme="minorEastAsia" w:eastAsiaTheme="minorEastAsia"/>
              </w:rPr>
              <w:t>1.衢州市冻猪肉储备遵循企业储备、政府补贴、市场运作、自负盈亏的原则。</w:t>
            </w:r>
          </w:p>
          <w:p w14:paraId="4CCBF01C">
            <w:pPr>
              <w:spacing w:line="0" w:lineRule="atLeast"/>
              <w:rPr>
                <w:rFonts w:asciiTheme="minorEastAsia" w:hAnsiTheme="minorEastAsia" w:eastAsiaTheme="minorEastAsia"/>
              </w:rPr>
            </w:pPr>
            <w:r>
              <w:rPr>
                <w:rFonts w:hint="eastAsia" w:asciiTheme="minorEastAsia" w:hAnsiTheme="minorEastAsia" w:eastAsiaTheme="minorEastAsia"/>
              </w:rPr>
              <w:t>2.储备费用结算：按照中标供应商中标项目合同总价（合同中要标明冻猪肉每吨每月的费用单价）结算储备费用，储备期满后，采购人将对中标供应商储备情况进行审计，如果发现不能履行合同要求，没有按实际时间和数量储备到位的，除按要求扣除不能履行合同中相关储备费用外，加扣合同总价10%的违约费用。</w:t>
            </w:r>
          </w:p>
          <w:p w14:paraId="6DA3FEC2">
            <w:pPr>
              <w:spacing w:line="0" w:lineRule="atLeast"/>
              <w:rPr>
                <w:rFonts w:asciiTheme="minorEastAsia" w:hAnsiTheme="minorEastAsia" w:eastAsiaTheme="minorEastAsia"/>
              </w:rPr>
            </w:pPr>
            <w:r>
              <w:rPr>
                <w:rFonts w:hint="eastAsia" w:asciiTheme="minorEastAsia" w:hAnsiTheme="minorEastAsia" w:eastAsiaTheme="minorEastAsia"/>
              </w:rPr>
              <w:t>3.因衢州市政府紧急指令或自然灾害等应急需要出库而造成的净损失经核准给予财政补助。</w:t>
            </w:r>
          </w:p>
          <w:p w14:paraId="68AAAAFD">
            <w:pPr>
              <w:spacing w:line="0" w:lineRule="atLeast"/>
              <w:rPr>
                <w:rFonts w:cs="宋体" w:asciiTheme="minorEastAsia" w:hAnsiTheme="minorEastAsia" w:eastAsiaTheme="minorEastAsia"/>
                <w:szCs w:val="21"/>
              </w:rPr>
            </w:pPr>
            <w:r>
              <w:rPr>
                <w:rFonts w:hint="eastAsia" w:asciiTheme="minorEastAsia" w:hAnsiTheme="minorEastAsia" w:eastAsiaTheme="minorEastAsia"/>
              </w:rPr>
              <w:t>4.储备费用支付：储备期满，甲方于30日内支付。</w:t>
            </w:r>
          </w:p>
        </w:tc>
      </w:tr>
      <w:tr w14:paraId="1ECD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10" w:type="dxa"/>
            <w:noWrap/>
            <w:vAlign w:val="center"/>
          </w:tcPr>
          <w:p w14:paraId="4C8F6CFD">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417" w:type="dxa"/>
            <w:noWrap/>
            <w:vAlign w:val="center"/>
          </w:tcPr>
          <w:p w14:paraId="604C72C8">
            <w:pPr>
              <w:spacing w:line="0" w:lineRule="atLeast"/>
              <w:rPr>
                <w:rFonts w:asciiTheme="minorEastAsia" w:hAnsiTheme="minorEastAsia" w:eastAsiaTheme="minorEastAsia"/>
                <w:szCs w:val="21"/>
              </w:rPr>
            </w:pPr>
            <w:r>
              <w:rPr>
                <w:rFonts w:asciiTheme="minorEastAsia" w:hAnsiTheme="minorEastAsia" w:eastAsiaTheme="minorEastAsia"/>
                <w:szCs w:val="21"/>
              </w:rPr>
              <w:t>履约保证金</w:t>
            </w:r>
          </w:p>
        </w:tc>
        <w:tc>
          <w:tcPr>
            <w:tcW w:w="7088" w:type="dxa"/>
            <w:noWrap/>
            <w:vAlign w:val="center"/>
          </w:tcPr>
          <w:p w14:paraId="104D28DE">
            <w:pPr>
              <w:spacing w:line="0" w:lineRule="atLeast"/>
              <w:rPr>
                <w:rFonts w:asciiTheme="minorEastAsia" w:hAnsiTheme="minorEastAsia" w:eastAsiaTheme="minorEastAsia"/>
              </w:rPr>
            </w:pPr>
            <w:r>
              <w:rPr>
                <w:rFonts w:hint="eastAsia" w:asciiTheme="minorEastAsia" w:hAnsiTheme="minorEastAsia" w:eastAsiaTheme="minorEastAsia"/>
              </w:rPr>
              <w:t>无</w:t>
            </w:r>
          </w:p>
        </w:tc>
      </w:tr>
      <w:tr w14:paraId="0772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0" w:type="dxa"/>
            <w:noWrap/>
            <w:vAlign w:val="center"/>
          </w:tcPr>
          <w:p w14:paraId="5E3389B5">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1417" w:type="dxa"/>
            <w:noWrap/>
            <w:vAlign w:val="center"/>
          </w:tcPr>
          <w:p w14:paraId="52831F97">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合同签订</w:t>
            </w:r>
          </w:p>
        </w:tc>
        <w:tc>
          <w:tcPr>
            <w:tcW w:w="7088" w:type="dxa"/>
            <w:noWrap/>
            <w:vAlign w:val="center"/>
          </w:tcPr>
          <w:p w14:paraId="78DA5E18">
            <w:pPr>
              <w:pStyle w:val="137"/>
              <w:adjustRightInd w:val="0"/>
              <w:snapToGrid w:val="0"/>
              <w:spacing w:before="0" w:line="0" w:lineRule="atLeast"/>
              <w:ind w:firstLine="0" w:firstLineChars="0"/>
              <w:rPr>
                <w:rFonts w:asciiTheme="minorEastAsia" w:hAnsiTheme="minorEastAsia" w:eastAsiaTheme="minorEastAsia"/>
                <w:bCs/>
                <w:szCs w:val="21"/>
              </w:rPr>
            </w:pPr>
            <w:r>
              <w:rPr>
                <w:rFonts w:asciiTheme="minorEastAsia" w:hAnsiTheme="minorEastAsia" w:eastAsiaTheme="minorEastAsia"/>
                <w:sz w:val="21"/>
                <w:szCs w:val="21"/>
              </w:rPr>
              <w:t>在《中标通知书》发出后三十日内签订合同。</w:t>
            </w:r>
          </w:p>
        </w:tc>
      </w:tr>
      <w:tr w14:paraId="2F99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0" w:type="dxa"/>
            <w:noWrap/>
            <w:vAlign w:val="center"/>
          </w:tcPr>
          <w:p w14:paraId="4263DB19">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1417" w:type="dxa"/>
            <w:noWrap/>
            <w:vAlign w:val="center"/>
          </w:tcPr>
          <w:p w14:paraId="2BF2D9E2">
            <w:pPr>
              <w:adjustRightInd w:val="0"/>
              <w:spacing w:line="0" w:lineRule="atLeast"/>
              <w:jc w:val="center"/>
              <w:rPr>
                <w:rFonts w:asciiTheme="minorEastAsia" w:hAnsiTheme="minorEastAsia" w:eastAsiaTheme="minorEastAsia"/>
                <w:szCs w:val="21"/>
              </w:rPr>
            </w:pPr>
            <w:r>
              <w:rPr>
                <w:rFonts w:asciiTheme="minorEastAsia" w:hAnsiTheme="minorEastAsia" w:eastAsiaTheme="minorEastAsia"/>
                <w:szCs w:val="21"/>
              </w:rPr>
              <w:t>政府采购</w:t>
            </w:r>
          </w:p>
          <w:p w14:paraId="53FF9E1A">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扶持政策</w:t>
            </w:r>
          </w:p>
        </w:tc>
        <w:tc>
          <w:tcPr>
            <w:tcW w:w="7088" w:type="dxa"/>
            <w:noWrap/>
            <w:vAlign w:val="center"/>
          </w:tcPr>
          <w:p w14:paraId="66DD9A06">
            <w:pPr>
              <w:autoSpaceDE w:val="0"/>
              <w:autoSpaceDN w:val="0"/>
              <w:spacing w:line="0" w:lineRule="atLeast"/>
              <w:textAlignment w:val="bottom"/>
              <w:rPr>
                <w:rFonts w:asciiTheme="minorEastAsia" w:hAnsiTheme="minorEastAsia" w:eastAsiaTheme="minorEastAsia"/>
                <w:szCs w:val="21"/>
              </w:rPr>
            </w:pPr>
            <w:r>
              <w:rPr>
                <w:rFonts w:hint="eastAsia" w:asciiTheme="minorEastAsia" w:hAnsiTheme="minorEastAsia" w:eastAsiaTheme="minorEastAsia"/>
                <w:szCs w:val="21"/>
              </w:rPr>
              <w:t>1.财政部 发展改革委 生态环境部 市场监管总局 关于调整优化节能产品、环境标志产品政府采购执行机制的通知（财库〔2019〕9号）；（如有）</w:t>
            </w:r>
          </w:p>
          <w:p w14:paraId="7073EB44">
            <w:pPr>
              <w:autoSpaceDE w:val="0"/>
              <w:autoSpaceDN w:val="0"/>
              <w:spacing w:line="0" w:lineRule="atLeast"/>
              <w:textAlignment w:val="bottom"/>
              <w:rPr>
                <w:rFonts w:asciiTheme="minorEastAsia" w:hAnsiTheme="minorEastAsia" w:eastAsiaTheme="minorEastAsia"/>
                <w:szCs w:val="21"/>
              </w:rPr>
            </w:pPr>
            <w:r>
              <w:rPr>
                <w:rFonts w:hint="eastAsia" w:asciiTheme="minorEastAsia" w:hAnsiTheme="minorEastAsia" w:eastAsiaTheme="minorEastAsia"/>
                <w:szCs w:val="21"/>
              </w:rPr>
              <w:t>2.关于印发《环境标志产品政府采购品目清单》的通知（财库〔2019〕18号）；（如有）</w:t>
            </w:r>
          </w:p>
          <w:p w14:paraId="7BDED3C4">
            <w:pPr>
              <w:autoSpaceDE w:val="0"/>
              <w:autoSpaceDN w:val="0"/>
              <w:spacing w:line="0" w:lineRule="atLeast"/>
              <w:textAlignment w:val="bottom"/>
              <w:rPr>
                <w:rFonts w:asciiTheme="minorEastAsia" w:hAnsiTheme="minorEastAsia" w:eastAsiaTheme="minorEastAsia"/>
                <w:szCs w:val="21"/>
              </w:rPr>
            </w:pPr>
            <w:r>
              <w:rPr>
                <w:rFonts w:hint="eastAsia" w:asciiTheme="minorEastAsia" w:hAnsiTheme="minorEastAsia" w:eastAsiaTheme="minorEastAsia"/>
                <w:szCs w:val="21"/>
              </w:rPr>
              <w:t>3.根据财政部工业和信息化部关于印发《政府采购促进中小企业发展管理办法》的通知（财库〔2020〕46号）的规定。</w:t>
            </w:r>
          </w:p>
          <w:p w14:paraId="32AFFD21">
            <w:pPr>
              <w:autoSpaceDE w:val="0"/>
              <w:autoSpaceDN w:val="0"/>
              <w:spacing w:line="0" w:lineRule="atLeast"/>
              <w:textAlignment w:val="bottom"/>
              <w:rPr>
                <w:rFonts w:asciiTheme="minorEastAsia" w:hAnsiTheme="minorEastAsia" w:eastAsiaTheme="minorEastAsia"/>
                <w:szCs w:val="21"/>
              </w:rPr>
            </w:pPr>
            <w:r>
              <w:rPr>
                <w:rFonts w:hint="eastAsia" w:asciiTheme="minorEastAsia" w:hAnsiTheme="minorEastAsia" w:eastAsiaTheme="minorEastAsia"/>
                <w:szCs w:val="21"/>
              </w:rPr>
              <w:t>4.根据财政部司法部关于政府采购支持监狱企业发展有关问题的通知（财库〔2014〕68 号）的规定，监狱企业视同小型、微型企业。</w:t>
            </w:r>
          </w:p>
          <w:p w14:paraId="753B9958">
            <w:pPr>
              <w:autoSpaceDE w:val="0"/>
              <w:autoSpaceDN w:val="0"/>
              <w:spacing w:line="0" w:lineRule="atLeast"/>
              <w:textAlignment w:val="bottom"/>
              <w:rPr>
                <w:rFonts w:asciiTheme="minorEastAsia" w:hAnsiTheme="minorEastAsia" w:eastAsiaTheme="minorEastAsia"/>
                <w:szCs w:val="21"/>
              </w:rPr>
            </w:pPr>
            <w:r>
              <w:rPr>
                <w:rFonts w:hint="eastAsia" w:asciiTheme="minorEastAsia" w:hAnsiTheme="minorEastAsia" w:eastAsiaTheme="minorEastAsia"/>
                <w:szCs w:val="21"/>
              </w:rPr>
              <w:t>5.根据财政部 民政部 中国残疾人联合会关于促进残疾人就业政府采购政策的通知（财库〔2017〕141 号）的规定，残疾人福利性单位视同小型、微型企业。</w:t>
            </w:r>
          </w:p>
          <w:p w14:paraId="40E7855B">
            <w:pPr>
              <w:autoSpaceDE w:val="0"/>
              <w:autoSpaceDN w:val="0"/>
              <w:spacing w:line="0" w:lineRule="atLeast"/>
              <w:textAlignment w:val="bottom"/>
              <w:rPr>
                <w:rFonts w:asciiTheme="minorEastAsia" w:hAnsiTheme="minorEastAsia" w:eastAsiaTheme="minorEastAsia"/>
                <w:szCs w:val="21"/>
              </w:rPr>
            </w:pPr>
            <w:r>
              <w:rPr>
                <w:rFonts w:hint="eastAsia" w:asciiTheme="minorEastAsia" w:hAnsiTheme="minorEastAsia" w:eastAsiaTheme="minorEastAsia"/>
                <w:szCs w:val="21"/>
              </w:rPr>
              <w:t>6.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 zcygov.cn/)首页的“金融服务”模块进入申请。衢州地区政府采购中标的中小企业除在“政采云”平台申请“政采 贷”等政府采购金融服务产品外，也可以通过“浙江政务网” 登录到“衢融通”平台，发起政府采购质押融资申请。</w:t>
            </w:r>
          </w:p>
        </w:tc>
      </w:tr>
      <w:tr w14:paraId="2C2D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10" w:type="dxa"/>
            <w:vMerge w:val="restart"/>
            <w:noWrap/>
            <w:vAlign w:val="center"/>
          </w:tcPr>
          <w:p w14:paraId="63CA55E2">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1417" w:type="dxa"/>
            <w:vMerge w:val="restart"/>
            <w:noWrap/>
            <w:vAlign w:val="center"/>
          </w:tcPr>
          <w:p w14:paraId="488307CC">
            <w:pPr>
              <w:autoSpaceDE w:val="0"/>
              <w:autoSpaceDN w:val="0"/>
              <w:spacing w:line="0" w:lineRule="atLeast"/>
              <w:jc w:val="center"/>
              <w:textAlignment w:val="bottom"/>
              <w:rPr>
                <w:rFonts w:asciiTheme="minorEastAsia" w:hAnsiTheme="minorEastAsia" w:eastAsiaTheme="minorEastAsia"/>
                <w:szCs w:val="21"/>
              </w:rPr>
            </w:pPr>
            <w:r>
              <w:rPr>
                <w:rFonts w:asciiTheme="minorEastAsia" w:hAnsiTheme="minorEastAsia" w:eastAsiaTheme="minorEastAsia"/>
                <w:szCs w:val="21"/>
              </w:rPr>
              <w:t>供应商信用</w:t>
            </w:r>
          </w:p>
          <w:p w14:paraId="140F1B1E">
            <w:pPr>
              <w:autoSpaceDE w:val="0"/>
              <w:autoSpaceDN w:val="0"/>
              <w:spacing w:line="0" w:lineRule="atLeast"/>
              <w:jc w:val="center"/>
              <w:textAlignment w:val="bottom"/>
              <w:rPr>
                <w:rFonts w:asciiTheme="minorEastAsia" w:hAnsiTheme="minorEastAsia" w:eastAsiaTheme="minorEastAsia"/>
                <w:szCs w:val="21"/>
              </w:rPr>
            </w:pPr>
            <w:r>
              <w:rPr>
                <w:rFonts w:asciiTheme="minorEastAsia" w:hAnsiTheme="minorEastAsia" w:eastAsiaTheme="minorEastAsia"/>
                <w:szCs w:val="21"/>
              </w:rPr>
              <w:t>查询</w:t>
            </w:r>
          </w:p>
        </w:tc>
        <w:tc>
          <w:tcPr>
            <w:tcW w:w="7088" w:type="dxa"/>
            <w:noWrap/>
            <w:vAlign w:val="center"/>
          </w:tcPr>
          <w:p w14:paraId="6FC91563">
            <w:pPr>
              <w:spacing w:line="0" w:lineRule="atLeast"/>
              <w:rPr>
                <w:rFonts w:asciiTheme="minorEastAsia" w:hAnsiTheme="minorEastAsia" w:eastAsiaTheme="minorEastAsia"/>
                <w:szCs w:val="21"/>
              </w:rPr>
            </w:pPr>
            <w:r>
              <w:rPr>
                <w:rFonts w:asciiTheme="minorEastAsia" w:hAnsiTheme="minorEastAsia" w:eastAsiaTheme="minorEastAsia"/>
                <w:b/>
                <w:szCs w:val="21"/>
              </w:rPr>
              <w:t>信用信息查询渠道及截止时间：</w:t>
            </w:r>
            <w:r>
              <w:rPr>
                <w:rFonts w:hint="eastAsia" w:asciiTheme="minorEastAsia" w:hAnsiTheme="minorEastAsia" w:eastAsiaTheme="minorEastAsia"/>
                <w:szCs w:val="21"/>
              </w:rPr>
              <w:t>采购人或代理机构</w:t>
            </w:r>
            <w:r>
              <w:rPr>
                <w:rFonts w:asciiTheme="minorEastAsia" w:hAnsiTheme="minorEastAsia" w:eastAsiaTheme="minorEastAsia"/>
                <w:szCs w:val="21"/>
              </w:rPr>
              <w:t>组织人员将通过“信用中国”网站(www.creditchina.gov.cn)、中国政府采购网(www.ccgp.gov.cn)渠道查询投标人</w:t>
            </w:r>
            <w:r>
              <w:rPr>
                <w:rFonts w:asciiTheme="minorEastAsia" w:hAnsiTheme="minorEastAsia" w:eastAsiaTheme="minorEastAsia"/>
                <w:b/>
                <w:szCs w:val="21"/>
              </w:rPr>
              <w:t>投标截止时间前</w:t>
            </w:r>
            <w:r>
              <w:rPr>
                <w:rFonts w:asciiTheme="minorEastAsia" w:hAnsiTheme="minorEastAsia" w:eastAsiaTheme="minorEastAsia"/>
                <w:szCs w:val="21"/>
              </w:rPr>
              <w:t>的信用记录。</w:t>
            </w:r>
          </w:p>
        </w:tc>
      </w:tr>
      <w:tr w14:paraId="7976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10" w:type="dxa"/>
            <w:vMerge w:val="continue"/>
            <w:noWrap/>
            <w:vAlign w:val="center"/>
          </w:tcPr>
          <w:p w14:paraId="3CF063D9">
            <w:pPr>
              <w:autoSpaceDE w:val="0"/>
              <w:autoSpaceDN w:val="0"/>
              <w:spacing w:line="0" w:lineRule="atLeast"/>
              <w:textAlignment w:val="bottom"/>
              <w:rPr>
                <w:rFonts w:asciiTheme="minorEastAsia" w:hAnsiTheme="minorEastAsia" w:eastAsiaTheme="minorEastAsia"/>
              </w:rPr>
            </w:pPr>
          </w:p>
        </w:tc>
        <w:tc>
          <w:tcPr>
            <w:tcW w:w="1417" w:type="dxa"/>
            <w:vMerge w:val="continue"/>
            <w:noWrap/>
            <w:vAlign w:val="center"/>
          </w:tcPr>
          <w:p w14:paraId="724D9449">
            <w:pPr>
              <w:autoSpaceDE w:val="0"/>
              <w:autoSpaceDN w:val="0"/>
              <w:spacing w:line="0" w:lineRule="atLeast"/>
              <w:textAlignment w:val="bottom"/>
              <w:rPr>
                <w:rFonts w:asciiTheme="minorEastAsia" w:hAnsiTheme="minorEastAsia" w:eastAsiaTheme="minorEastAsia"/>
              </w:rPr>
            </w:pPr>
          </w:p>
        </w:tc>
        <w:tc>
          <w:tcPr>
            <w:tcW w:w="7088" w:type="dxa"/>
            <w:noWrap/>
            <w:vAlign w:val="center"/>
          </w:tcPr>
          <w:p w14:paraId="66BB5FD3">
            <w:pPr>
              <w:autoSpaceDE w:val="0"/>
              <w:autoSpaceDN w:val="0"/>
              <w:spacing w:line="0" w:lineRule="atLeast"/>
              <w:textAlignment w:val="bottom"/>
              <w:rPr>
                <w:rFonts w:asciiTheme="minorEastAsia" w:hAnsiTheme="minorEastAsia" w:eastAsiaTheme="minorEastAsia"/>
                <w:szCs w:val="21"/>
              </w:rPr>
            </w:pPr>
            <w:r>
              <w:rPr>
                <w:rFonts w:asciiTheme="minorEastAsia" w:hAnsiTheme="minorEastAsia" w:eastAsiaTheme="minorEastAsia"/>
                <w:b/>
                <w:szCs w:val="21"/>
              </w:rPr>
              <w:t>信用信息查询记录和证据留存的具体方式：</w:t>
            </w:r>
            <w:r>
              <w:rPr>
                <w:rFonts w:hint="eastAsia" w:asciiTheme="minorEastAsia" w:hAnsiTheme="minorEastAsia" w:eastAsiaTheme="minorEastAsia"/>
                <w:szCs w:val="21"/>
              </w:rPr>
              <w:t>采购人或代理机构</w:t>
            </w:r>
            <w:r>
              <w:rPr>
                <w:rFonts w:asciiTheme="minorEastAsia" w:hAnsiTheme="minorEastAsia" w:eastAsiaTheme="minorEastAsia"/>
                <w:szCs w:val="21"/>
              </w:rPr>
              <w:t>现场查询投标人的信用记录，查询结果与采购文件一起存档。</w:t>
            </w:r>
          </w:p>
        </w:tc>
      </w:tr>
      <w:tr w14:paraId="6698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10" w:type="dxa"/>
            <w:vMerge w:val="continue"/>
            <w:noWrap/>
            <w:vAlign w:val="center"/>
          </w:tcPr>
          <w:p w14:paraId="58647CDE">
            <w:pPr>
              <w:autoSpaceDE w:val="0"/>
              <w:autoSpaceDN w:val="0"/>
              <w:spacing w:line="0" w:lineRule="atLeast"/>
              <w:textAlignment w:val="bottom"/>
              <w:rPr>
                <w:rFonts w:asciiTheme="minorEastAsia" w:hAnsiTheme="minorEastAsia" w:eastAsiaTheme="minorEastAsia"/>
                <w:szCs w:val="21"/>
              </w:rPr>
            </w:pPr>
          </w:p>
        </w:tc>
        <w:tc>
          <w:tcPr>
            <w:tcW w:w="1417" w:type="dxa"/>
            <w:vMerge w:val="continue"/>
            <w:noWrap/>
            <w:vAlign w:val="center"/>
          </w:tcPr>
          <w:p w14:paraId="1E58B948">
            <w:pPr>
              <w:autoSpaceDE w:val="0"/>
              <w:autoSpaceDN w:val="0"/>
              <w:spacing w:line="0" w:lineRule="atLeast"/>
              <w:textAlignment w:val="bottom"/>
              <w:rPr>
                <w:rFonts w:asciiTheme="minorEastAsia" w:hAnsiTheme="minorEastAsia" w:eastAsiaTheme="minorEastAsia"/>
                <w:szCs w:val="21"/>
              </w:rPr>
            </w:pPr>
          </w:p>
        </w:tc>
        <w:tc>
          <w:tcPr>
            <w:tcW w:w="7088" w:type="dxa"/>
            <w:noWrap/>
            <w:vAlign w:val="center"/>
          </w:tcPr>
          <w:p w14:paraId="728A4297">
            <w:pPr>
              <w:autoSpaceDE w:val="0"/>
              <w:autoSpaceDN w:val="0"/>
              <w:spacing w:line="0" w:lineRule="atLeast"/>
              <w:textAlignment w:val="bottom"/>
              <w:rPr>
                <w:rFonts w:asciiTheme="minorEastAsia" w:hAnsiTheme="minorEastAsia" w:eastAsiaTheme="minorEastAsia"/>
                <w:szCs w:val="21"/>
              </w:rPr>
            </w:pPr>
            <w:r>
              <w:rPr>
                <w:rFonts w:asciiTheme="minorEastAsia" w:hAnsiTheme="minorEastAsia" w:eastAsiaTheme="minorEastAsia"/>
                <w:b/>
                <w:szCs w:val="21"/>
              </w:rPr>
              <w:t>信用信息的使用规则：</w:t>
            </w:r>
            <w:r>
              <w:rPr>
                <w:rFonts w:asciiTheme="minorEastAsia" w:hAnsiTheme="minorEastAsia" w:eastAsiaTheme="minorEastAsia"/>
                <w:szCs w:val="21"/>
              </w:rPr>
              <w:t>经查询列入失信被执行人名单、重大税收违法案件当事人名单、政府采购严重违法失信行为记录名单的投标人的投标文件将被拒绝。</w:t>
            </w:r>
          </w:p>
        </w:tc>
      </w:tr>
      <w:tr w14:paraId="5DBD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10" w:type="dxa"/>
            <w:noWrap/>
            <w:vAlign w:val="center"/>
          </w:tcPr>
          <w:p w14:paraId="6A2BCE36">
            <w:pPr>
              <w:autoSpaceDE w:val="0"/>
              <w:autoSpaceDN w:val="0"/>
              <w:spacing w:line="0" w:lineRule="atLeast"/>
              <w:textAlignment w:val="bottom"/>
              <w:rPr>
                <w:rFonts w:asciiTheme="minorEastAsia" w:hAnsiTheme="minorEastAsia" w:eastAsiaTheme="minorEastAsia"/>
                <w:szCs w:val="21"/>
              </w:rPr>
            </w:pPr>
            <w:r>
              <w:rPr>
                <w:rFonts w:hint="eastAsia" w:asciiTheme="minorEastAsia" w:hAnsiTheme="minorEastAsia" w:eastAsiaTheme="minorEastAsia"/>
                <w:szCs w:val="21"/>
              </w:rPr>
              <w:t>28</w:t>
            </w:r>
          </w:p>
        </w:tc>
        <w:tc>
          <w:tcPr>
            <w:tcW w:w="1417" w:type="dxa"/>
            <w:noWrap/>
            <w:vAlign w:val="center"/>
          </w:tcPr>
          <w:p w14:paraId="136DC1FA">
            <w:pPr>
              <w:autoSpaceDE w:val="0"/>
              <w:autoSpaceDN w:val="0"/>
              <w:spacing w:line="0" w:lineRule="atLeast"/>
              <w:textAlignment w:val="bottom"/>
              <w:rPr>
                <w:rFonts w:asciiTheme="minorEastAsia" w:hAnsiTheme="minorEastAsia" w:eastAsiaTheme="minorEastAsia"/>
                <w:szCs w:val="21"/>
              </w:rPr>
            </w:pPr>
            <w:r>
              <w:rPr>
                <w:rFonts w:hint="eastAsia" w:cs="宋体" w:asciiTheme="minorEastAsia" w:hAnsiTheme="minorEastAsia" w:eastAsiaTheme="minorEastAsia"/>
                <w:szCs w:val="21"/>
              </w:rPr>
              <w:t>采购项目属性</w:t>
            </w:r>
          </w:p>
        </w:tc>
        <w:tc>
          <w:tcPr>
            <w:tcW w:w="7088" w:type="dxa"/>
            <w:noWrap/>
            <w:vAlign w:val="center"/>
          </w:tcPr>
          <w:p w14:paraId="1F1868D2">
            <w:pPr>
              <w:autoSpaceDE w:val="0"/>
              <w:autoSpaceDN w:val="0"/>
              <w:spacing w:line="0" w:lineRule="atLeast"/>
              <w:textAlignment w:val="bottom"/>
              <w:rPr>
                <w:rFonts w:asciiTheme="minorEastAsia" w:hAnsiTheme="minorEastAsia" w:eastAsiaTheme="minorEastAsia"/>
                <w:b/>
                <w:szCs w:val="21"/>
              </w:rPr>
            </w:pPr>
            <w:r>
              <w:rPr>
                <w:rFonts w:hint="eastAsia" w:asciiTheme="minorEastAsia" w:hAnsiTheme="minorEastAsia" w:eastAsiaTheme="minorEastAsia"/>
                <w:b/>
                <w:szCs w:val="21"/>
              </w:rPr>
              <w:t>C99000000其他服务</w:t>
            </w:r>
          </w:p>
        </w:tc>
      </w:tr>
      <w:tr w14:paraId="15EB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10" w:type="dxa"/>
            <w:noWrap/>
            <w:vAlign w:val="center"/>
          </w:tcPr>
          <w:p w14:paraId="4E44FCD0">
            <w:pPr>
              <w:autoSpaceDE w:val="0"/>
              <w:autoSpaceDN w:val="0"/>
              <w:spacing w:line="0" w:lineRule="atLeast"/>
              <w:textAlignment w:val="bottom"/>
              <w:rPr>
                <w:rFonts w:asciiTheme="minorEastAsia" w:hAnsiTheme="minorEastAsia" w:eastAsiaTheme="minorEastAsia"/>
                <w:szCs w:val="21"/>
              </w:rPr>
            </w:pPr>
            <w:r>
              <w:rPr>
                <w:rFonts w:hint="eastAsia" w:asciiTheme="minorEastAsia" w:hAnsiTheme="minorEastAsia" w:eastAsiaTheme="minorEastAsia"/>
                <w:szCs w:val="21"/>
              </w:rPr>
              <w:t>29</w:t>
            </w:r>
          </w:p>
        </w:tc>
        <w:tc>
          <w:tcPr>
            <w:tcW w:w="1417" w:type="dxa"/>
            <w:noWrap/>
            <w:vAlign w:val="center"/>
          </w:tcPr>
          <w:p w14:paraId="558ADF68">
            <w:pPr>
              <w:autoSpaceDE w:val="0"/>
              <w:autoSpaceDN w:val="0"/>
              <w:spacing w:line="0" w:lineRule="atLeast"/>
              <w:textAlignment w:val="bottom"/>
              <w:rPr>
                <w:rFonts w:asciiTheme="minorEastAsia" w:hAnsiTheme="minorEastAsia" w:eastAsiaTheme="minorEastAsia"/>
                <w:szCs w:val="21"/>
              </w:rPr>
            </w:pPr>
            <w:r>
              <w:rPr>
                <w:rFonts w:hint="eastAsia" w:cs="宋体" w:asciiTheme="minorEastAsia" w:hAnsiTheme="minorEastAsia" w:eastAsiaTheme="minorEastAsia"/>
                <w:szCs w:val="21"/>
              </w:rPr>
              <w:t>本项目</w:t>
            </w:r>
            <w:r>
              <w:rPr>
                <w:rFonts w:cs="Helvetica" w:asciiTheme="minorEastAsia" w:hAnsiTheme="minorEastAsia" w:eastAsiaTheme="minorEastAsia"/>
                <w:szCs w:val="21"/>
                <w:shd w:val="clear" w:color="auto" w:fill="FFFFFF"/>
              </w:rPr>
              <w:t>采购标的对应的中小企业划分标准所属行业</w:t>
            </w:r>
          </w:p>
        </w:tc>
        <w:tc>
          <w:tcPr>
            <w:tcW w:w="7088" w:type="dxa"/>
            <w:noWrap/>
            <w:vAlign w:val="center"/>
          </w:tcPr>
          <w:p w14:paraId="1D7F8C45">
            <w:pPr>
              <w:autoSpaceDE w:val="0"/>
              <w:autoSpaceDN w:val="0"/>
              <w:spacing w:line="0" w:lineRule="atLeast"/>
              <w:textAlignment w:val="bottom"/>
              <w:rPr>
                <w:rFonts w:asciiTheme="minorEastAsia" w:hAnsiTheme="minorEastAsia" w:eastAsiaTheme="minorEastAsia"/>
                <w:szCs w:val="21"/>
              </w:rPr>
            </w:pPr>
            <w:r>
              <w:rPr>
                <w:rFonts w:hint="eastAsia" w:asciiTheme="minorEastAsia" w:hAnsiTheme="minorEastAsia" w:eastAsiaTheme="minorEastAsia"/>
                <w:szCs w:val="21"/>
              </w:rPr>
              <w:t>本项目不属于预留采购份额项目，对小型、微型企业报价价格进行扣除，扣除比例见《第五章评标办法》；采购标的对应的中小企业划分标准所属行业：【仓储业】</w:t>
            </w:r>
          </w:p>
        </w:tc>
      </w:tr>
      <w:tr w14:paraId="1FD3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10" w:type="dxa"/>
            <w:noWrap/>
            <w:vAlign w:val="center"/>
          </w:tcPr>
          <w:p w14:paraId="2764F6BE">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1417" w:type="dxa"/>
            <w:noWrap/>
            <w:vAlign w:val="center"/>
          </w:tcPr>
          <w:p w14:paraId="6EB63C8C">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其他</w:t>
            </w:r>
          </w:p>
        </w:tc>
        <w:tc>
          <w:tcPr>
            <w:tcW w:w="7088" w:type="dxa"/>
            <w:noWrap/>
            <w:vAlign w:val="center"/>
          </w:tcPr>
          <w:p w14:paraId="7A402E10">
            <w:pPr>
              <w:spacing w:line="0" w:lineRule="atLeast"/>
              <w:rPr>
                <w:rFonts w:asciiTheme="minorEastAsia" w:hAnsiTheme="minorEastAsia" w:eastAsiaTheme="minorEastAsia"/>
              </w:rPr>
            </w:pPr>
            <w:r>
              <w:rPr>
                <w:rFonts w:hint="eastAsia" w:asciiTheme="minorEastAsia" w:hAnsiTheme="minorEastAsia" w:eastAsiaTheme="minorEastAsia"/>
              </w:rPr>
              <w:t>▲1.本项目进行一个标项投标响应，预算金额即为最高限价，报价高于预算价(最高综合单价限价和最高预算总价)其该标项投标为无效标。</w:t>
            </w:r>
          </w:p>
          <w:p w14:paraId="63D7387F">
            <w:pPr>
              <w:spacing w:line="0" w:lineRule="atLeast"/>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采购文件中要求投标人在制作投标文件时，提供的</w:t>
            </w:r>
            <w:r>
              <w:rPr>
                <w:rFonts w:hint="eastAsia" w:asciiTheme="minorEastAsia" w:hAnsiTheme="minorEastAsia" w:eastAsiaTheme="minorEastAsia"/>
              </w:rPr>
              <w:t>原件扫描件</w:t>
            </w:r>
            <w:r>
              <w:rPr>
                <w:rFonts w:asciiTheme="minorEastAsia" w:hAnsiTheme="minorEastAsia" w:eastAsiaTheme="minorEastAsia"/>
              </w:rPr>
              <w:t>必须根据评审细则对评审的内容复印完整、清晰可辨，否则在评审时以最不利于投标人原则评审。</w:t>
            </w:r>
          </w:p>
          <w:p w14:paraId="13AA9465">
            <w:pPr>
              <w:spacing w:line="0" w:lineRule="atLeast"/>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本项目采取“不见面”形式进行开评标活动，法定代表人或其授权委托人无须到场，通过政采云平台在线响应，并保持电话畅通。</w:t>
            </w:r>
          </w:p>
        </w:tc>
      </w:tr>
    </w:tbl>
    <w:p w14:paraId="32CF3387">
      <w:pPr>
        <w:rPr>
          <w:rFonts w:ascii="宋体" w:hAnsi="宋体"/>
          <w:b/>
          <w:spacing w:val="-8"/>
          <w:sz w:val="24"/>
        </w:rPr>
      </w:pPr>
      <w:r>
        <w:rPr>
          <w:rFonts w:ascii="宋体" w:hAnsi="宋体"/>
          <w:b/>
          <w:spacing w:val="-8"/>
          <w:sz w:val="24"/>
        </w:rPr>
        <w:t>注：投标须知前附表内容与本采购文件后述内容不一致的，以投标须知前附表为准。</w:t>
      </w:r>
      <w:bookmarkStart w:id="26" w:name="_Toc481242806"/>
      <w:bookmarkStart w:id="27" w:name="_Toc274303228"/>
      <w:bookmarkStart w:id="28" w:name="_Toc465782673"/>
      <w:bookmarkStart w:id="29" w:name="_Toc519014194"/>
      <w:bookmarkStart w:id="30" w:name="_Toc362250686"/>
      <w:bookmarkStart w:id="31" w:name="_Toc481227867"/>
    </w:p>
    <w:p w14:paraId="34EBAF1E">
      <w:pPr>
        <w:spacing w:line="0" w:lineRule="atLeast"/>
        <w:ind w:firstLine="450" w:firstLineChars="200"/>
        <w:jc w:val="center"/>
        <w:rPr>
          <w:rFonts w:ascii="宋体" w:hAnsi="宋体"/>
          <w:b/>
          <w:bCs/>
          <w:sz w:val="32"/>
          <w:szCs w:val="32"/>
        </w:rPr>
      </w:pPr>
      <w:r>
        <w:rPr>
          <w:rFonts w:ascii="宋体" w:hAnsi="宋体"/>
          <w:b/>
          <w:spacing w:val="-8"/>
          <w:sz w:val="24"/>
        </w:rPr>
        <w:br w:type="page"/>
      </w:r>
      <w:bookmarkStart w:id="32" w:name="_Toc34919334"/>
      <w:r>
        <w:rPr>
          <w:rFonts w:ascii="宋体" w:hAnsi="宋体"/>
          <w:b/>
          <w:sz w:val="32"/>
          <w:szCs w:val="32"/>
        </w:rPr>
        <w:t>投标须知</w:t>
      </w:r>
      <w:bookmarkEnd w:id="26"/>
      <w:bookmarkEnd w:id="27"/>
      <w:bookmarkEnd w:id="28"/>
      <w:bookmarkEnd w:id="29"/>
      <w:bookmarkEnd w:id="30"/>
      <w:bookmarkEnd w:id="31"/>
      <w:bookmarkEnd w:id="32"/>
    </w:p>
    <w:p w14:paraId="4AD12B10">
      <w:pPr>
        <w:spacing w:line="440" w:lineRule="atLeast"/>
        <w:jc w:val="center"/>
        <w:rPr>
          <w:rFonts w:ascii="宋体" w:hAnsi="宋体"/>
          <w:b/>
          <w:sz w:val="24"/>
        </w:rPr>
      </w:pPr>
      <w:bookmarkStart w:id="33" w:name="_Toc481227868"/>
      <w:bookmarkStart w:id="34" w:name="_Toc274303229"/>
      <w:bookmarkStart w:id="35" w:name="_Toc16331677"/>
      <w:bookmarkStart w:id="36" w:name="_Toc508641263"/>
      <w:bookmarkStart w:id="37" w:name="_Toc519014195"/>
      <w:bookmarkStart w:id="38" w:name="_Toc33098457"/>
      <w:bookmarkStart w:id="39" w:name="_Toc34830368"/>
      <w:bookmarkStart w:id="40" w:name="_Toc465782674"/>
      <w:bookmarkStart w:id="41" w:name="_Toc16331531"/>
      <w:bookmarkStart w:id="42" w:name="_Toc34898305"/>
      <w:bookmarkStart w:id="43" w:name="_Toc481242807"/>
      <w:bookmarkStart w:id="44" w:name="_Toc362250687"/>
      <w:bookmarkStart w:id="45" w:name="_Toc500113678"/>
      <w:bookmarkStart w:id="46" w:name="_Toc34919335"/>
      <w:r>
        <w:rPr>
          <w:rFonts w:ascii="宋体" w:hAnsi="宋体"/>
          <w:b/>
          <w:sz w:val="24"/>
        </w:rPr>
        <w:t>一、说明</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046CADA">
      <w:pPr>
        <w:pStyle w:val="22"/>
        <w:spacing w:line="440" w:lineRule="atLeast"/>
        <w:ind w:firstLine="482" w:firstLineChars="200"/>
        <w:jc w:val="both"/>
        <w:rPr>
          <w:color w:val="auto"/>
          <w:sz w:val="24"/>
          <w:szCs w:val="24"/>
        </w:rPr>
      </w:pPr>
      <w:r>
        <w:rPr>
          <w:color w:val="auto"/>
          <w:sz w:val="24"/>
          <w:szCs w:val="24"/>
        </w:rPr>
        <w:t>1.适用范围</w:t>
      </w:r>
    </w:p>
    <w:p w14:paraId="69EB6C76">
      <w:pPr>
        <w:pStyle w:val="22"/>
        <w:spacing w:line="440" w:lineRule="atLeast"/>
        <w:ind w:firstLine="480" w:firstLineChars="200"/>
        <w:jc w:val="both"/>
        <w:rPr>
          <w:b w:val="0"/>
          <w:bCs w:val="0"/>
          <w:color w:val="auto"/>
          <w:sz w:val="24"/>
          <w:szCs w:val="24"/>
        </w:rPr>
      </w:pPr>
      <w:r>
        <w:rPr>
          <w:b w:val="0"/>
          <w:bCs w:val="0"/>
          <w:color w:val="auto"/>
          <w:sz w:val="24"/>
          <w:szCs w:val="24"/>
        </w:rPr>
        <w:t>1.1本采购文件仅适用于本次招标采购项目的招标、投标、评标、定标、验收、合同履约、付款等行为。</w:t>
      </w:r>
    </w:p>
    <w:p w14:paraId="1EF44BBF">
      <w:pPr>
        <w:pStyle w:val="22"/>
        <w:spacing w:line="440" w:lineRule="atLeast"/>
        <w:ind w:firstLine="482" w:firstLineChars="200"/>
        <w:jc w:val="both"/>
        <w:rPr>
          <w:color w:val="auto"/>
          <w:sz w:val="24"/>
          <w:szCs w:val="24"/>
        </w:rPr>
      </w:pPr>
      <w:r>
        <w:rPr>
          <w:color w:val="auto"/>
          <w:sz w:val="24"/>
          <w:szCs w:val="24"/>
        </w:rPr>
        <w:t>2.定义</w:t>
      </w:r>
    </w:p>
    <w:p w14:paraId="15DB8F8F">
      <w:pPr>
        <w:pStyle w:val="29"/>
        <w:spacing w:line="440" w:lineRule="atLeast"/>
        <w:ind w:firstLine="480" w:firstLineChars="200"/>
        <w:rPr>
          <w:rFonts w:hAnsi="宋体" w:cs="Times New Roman"/>
          <w:sz w:val="24"/>
          <w:szCs w:val="24"/>
        </w:rPr>
      </w:pPr>
      <w:r>
        <w:rPr>
          <w:rFonts w:hAnsi="宋体" w:cs="Times New Roman"/>
          <w:sz w:val="24"/>
          <w:szCs w:val="24"/>
        </w:rPr>
        <w:t>2.1</w:t>
      </w:r>
      <w:r>
        <w:rPr>
          <w:rFonts w:hint="eastAsia" w:hAnsi="宋体" w:cs="Times New Roman"/>
          <w:sz w:val="24"/>
          <w:szCs w:val="24"/>
        </w:rPr>
        <w:t>采购</w:t>
      </w:r>
      <w:r>
        <w:rPr>
          <w:rFonts w:hAnsi="宋体" w:cs="Times New Roman"/>
          <w:sz w:val="24"/>
          <w:szCs w:val="24"/>
        </w:rPr>
        <w:t>人：系指</w:t>
      </w:r>
      <w:r>
        <w:rPr>
          <w:rFonts w:hint="eastAsia" w:hAnsi="宋体" w:cs="宋体"/>
          <w:sz w:val="24"/>
          <w:szCs w:val="24"/>
        </w:rPr>
        <w:t>衢州市发展和改革委员会、 衢州市柯城区发展和改革局、衢州市衢江区发展和改革局、江山市经济和信息化局、常山县经济和信息化局、开化县发展和改革局、龙游县经济和信息化局。</w:t>
      </w:r>
    </w:p>
    <w:p w14:paraId="0C3D0D3A">
      <w:pPr>
        <w:pStyle w:val="29"/>
        <w:spacing w:line="440" w:lineRule="atLeast"/>
        <w:ind w:firstLine="480" w:firstLineChars="200"/>
        <w:rPr>
          <w:rFonts w:hAnsi="宋体" w:cs="Times New Roman"/>
          <w:sz w:val="24"/>
          <w:szCs w:val="24"/>
        </w:rPr>
      </w:pPr>
      <w:r>
        <w:rPr>
          <w:rFonts w:hAnsi="宋体" w:cs="Times New Roman"/>
          <w:sz w:val="24"/>
          <w:szCs w:val="24"/>
        </w:rPr>
        <w:t>2.2</w:t>
      </w:r>
      <w:r>
        <w:rPr>
          <w:rFonts w:hint="eastAsia" w:hAnsi="宋体" w:cs="Times New Roman"/>
          <w:sz w:val="24"/>
          <w:szCs w:val="24"/>
        </w:rPr>
        <w:t>采购</w:t>
      </w:r>
      <w:r>
        <w:rPr>
          <w:rFonts w:hAnsi="宋体" w:cs="Times New Roman"/>
          <w:sz w:val="24"/>
          <w:szCs w:val="24"/>
        </w:rPr>
        <w:t>代理机构：系指</w:t>
      </w:r>
      <w:r>
        <w:rPr>
          <w:rFonts w:hint="eastAsia" w:hAnsi="宋体" w:cs="Times New Roman"/>
          <w:sz w:val="24"/>
          <w:szCs w:val="24"/>
          <w:lang w:eastAsia="zh-CN"/>
        </w:rPr>
        <w:t>杭州兑尚源工程管理有限公司</w:t>
      </w:r>
      <w:r>
        <w:rPr>
          <w:rFonts w:hAnsi="宋体" w:cs="Times New Roman"/>
          <w:sz w:val="24"/>
          <w:szCs w:val="24"/>
        </w:rPr>
        <w:t>。</w:t>
      </w:r>
    </w:p>
    <w:p w14:paraId="219B0A48">
      <w:pPr>
        <w:pStyle w:val="29"/>
        <w:spacing w:line="440" w:lineRule="atLeast"/>
        <w:ind w:firstLine="480" w:firstLineChars="200"/>
        <w:rPr>
          <w:rFonts w:hAnsi="宋体" w:cs="Times New Roman"/>
          <w:sz w:val="24"/>
          <w:szCs w:val="24"/>
        </w:rPr>
      </w:pPr>
      <w:r>
        <w:rPr>
          <w:rFonts w:hAnsi="宋体" w:cs="Times New Roman"/>
          <w:sz w:val="24"/>
          <w:szCs w:val="24"/>
        </w:rPr>
        <w:t>2.3投标人：系指向采购人提交投标文件的供应商。</w:t>
      </w:r>
    </w:p>
    <w:p w14:paraId="46A4EC5A">
      <w:pPr>
        <w:pStyle w:val="29"/>
        <w:spacing w:line="440" w:lineRule="atLeast"/>
        <w:ind w:firstLine="480" w:firstLineChars="200"/>
        <w:rPr>
          <w:rFonts w:hAnsi="宋体" w:cs="Times New Roman"/>
          <w:sz w:val="24"/>
          <w:szCs w:val="24"/>
        </w:rPr>
      </w:pPr>
      <w:r>
        <w:rPr>
          <w:rFonts w:hint="eastAsia" w:hAnsi="宋体" w:cs="宋体"/>
          <w:bCs/>
          <w:sz w:val="24"/>
          <w:szCs w:val="24"/>
        </w:rPr>
        <w:t>2.4服务：</w:t>
      </w:r>
      <w:r>
        <w:rPr>
          <w:rFonts w:hint="eastAsia" w:hAnsi="宋体" w:cs="宋体"/>
          <w:sz w:val="24"/>
          <w:szCs w:val="24"/>
        </w:rPr>
        <w:t>系指根据本合同规定，中标人必须承担</w:t>
      </w:r>
      <w:r>
        <w:rPr>
          <w:rFonts w:hint="eastAsia" w:hAnsi="宋体" w:cs="宋体"/>
          <w:sz w:val="24"/>
          <w:szCs w:val="24"/>
          <w:lang w:eastAsia="zh-CN"/>
        </w:rPr>
        <w:t>衢州市冻猪肉储备政府购买服务项目（三次）</w:t>
      </w:r>
      <w:r>
        <w:rPr>
          <w:rFonts w:hint="eastAsia" w:hAnsi="宋体" w:cs="Times New Roman"/>
          <w:sz w:val="24"/>
          <w:szCs w:val="24"/>
        </w:rPr>
        <w:t>的服务以及其他类似的义务。</w:t>
      </w:r>
    </w:p>
    <w:p w14:paraId="3CF4D021">
      <w:pPr>
        <w:pStyle w:val="29"/>
        <w:spacing w:line="440" w:lineRule="atLeast"/>
        <w:ind w:firstLine="480" w:firstLineChars="200"/>
        <w:rPr>
          <w:rFonts w:hAnsi="宋体" w:cs="Times New Roman"/>
          <w:sz w:val="24"/>
          <w:szCs w:val="24"/>
        </w:rPr>
      </w:pPr>
      <w:r>
        <w:rPr>
          <w:rFonts w:hint="eastAsia" w:hAnsi="宋体" w:cs="Times New Roman"/>
          <w:sz w:val="24"/>
          <w:szCs w:val="24"/>
        </w:rPr>
        <w:t>2.5货物：系指投标人按采购文件或合同要求，中标人承接本标项须向采购人提供所需的设备及其它有关技术资料和文字材料等。</w:t>
      </w:r>
    </w:p>
    <w:p w14:paraId="25513418">
      <w:pPr>
        <w:pStyle w:val="29"/>
        <w:spacing w:line="440" w:lineRule="atLeast"/>
        <w:ind w:firstLine="480" w:firstLineChars="200"/>
        <w:rPr>
          <w:rFonts w:hAnsi="宋体" w:cs="Times New Roman"/>
          <w:sz w:val="24"/>
          <w:szCs w:val="24"/>
        </w:rPr>
      </w:pPr>
      <w:r>
        <w:rPr>
          <w:rFonts w:hint="eastAsia" w:hAnsi="宋体" w:cs="Times New Roman"/>
          <w:sz w:val="24"/>
          <w:szCs w:val="24"/>
        </w:rPr>
        <w:t>2.6书面形式：系指包括信函、传真、电邮等。</w:t>
      </w:r>
    </w:p>
    <w:p w14:paraId="47764A66">
      <w:pPr>
        <w:pStyle w:val="29"/>
        <w:spacing w:line="440" w:lineRule="atLeast"/>
        <w:ind w:firstLine="480" w:firstLineChars="200"/>
        <w:rPr>
          <w:rFonts w:hAnsi="宋体" w:cs="Times New Roman"/>
          <w:sz w:val="24"/>
          <w:szCs w:val="24"/>
        </w:rPr>
      </w:pPr>
      <w:r>
        <w:rPr>
          <w:rFonts w:hint="eastAsia" w:hAnsi="宋体" w:cs="Times New Roman"/>
          <w:sz w:val="24"/>
          <w:szCs w:val="24"/>
        </w:rPr>
        <w:t>2.7“电子签章”系指可通过CA驱动正确读取签章信息的电子签章，电子签章包含法人电子签章和法定代表人电子签章。</w:t>
      </w:r>
    </w:p>
    <w:p w14:paraId="798F672B">
      <w:pPr>
        <w:pStyle w:val="29"/>
        <w:spacing w:line="440" w:lineRule="atLeast"/>
        <w:ind w:firstLine="480" w:firstLineChars="200"/>
        <w:rPr>
          <w:rFonts w:hAnsi="宋体" w:cs="Times New Roman"/>
          <w:sz w:val="24"/>
          <w:szCs w:val="24"/>
        </w:rPr>
      </w:pPr>
      <w:r>
        <w:rPr>
          <w:rFonts w:hint="eastAsia" w:hAnsi="宋体" w:cs="Times New Roman"/>
          <w:sz w:val="24"/>
          <w:szCs w:val="24"/>
        </w:rPr>
        <w:t>2.8甲方：即采购人，在招投标阶段称为采购人，在签订和执行合同阶段称为甲方。</w:t>
      </w:r>
    </w:p>
    <w:p w14:paraId="43B58679">
      <w:pPr>
        <w:pStyle w:val="29"/>
        <w:spacing w:line="440" w:lineRule="atLeast"/>
        <w:ind w:firstLine="480" w:firstLineChars="200"/>
        <w:rPr>
          <w:rFonts w:hAnsi="宋体" w:cs="Times New Roman"/>
          <w:sz w:val="24"/>
          <w:szCs w:val="24"/>
        </w:rPr>
      </w:pPr>
      <w:r>
        <w:rPr>
          <w:rFonts w:hint="eastAsia" w:hAnsi="宋体" w:cs="Times New Roman"/>
          <w:sz w:val="24"/>
          <w:szCs w:val="24"/>
        </w:rPr>
        <w:t>2.9乙方：在招投标阶段称为投标</w:t>
      </w:r>
      <w:r>
        <w:rPr>
          <w:rFonts w:hAnsi="宋体" w:cs="Times New Roman"/>
          <w:sz w:val="24"/>
          <w:szCs w:val="24"/>
        </w:rPr>
        <w:t>人，中标后在签订和执行合同阶段称为乙方。</w:t>
      </w:r>
    </w:p>
    <w:p w14:paraId="7EE8818A">
      <w:pPr>
        <w:pStyle w:val="29"/>
        <w:spacing w:line="440" w:lineRule="atLeast"/>
        <w:ind w:firstLine="480" w:firstLineChars="200"/>
        <w:rPr>
          <w:rFonts w:hAnsi="宋体"/>
          <w:szCs w:val="24"/>
        </w:rPr>
      </w:pPr>
      <w:r>
        <w:rPr>
          <w:rFonts w:hAnsi="宋体" w:cs="Times New Roman"/>
          <w:sz w:val="24"/>
          <w:szCs w:val="24"/>
        </w:rPr>
        <w:t>2.10“▲”标记系指必须满足不能负偏离或必</w:t>
      </w:r>
      <w:r>
        <w:rPr>
          <w:rFonts w:hAnsi="宋体"/>
          <w:szCs w:val="24"/>
        </w:rPr>
        <w:t>须应答的条款。</w:t>
      </w:r>
    </w:p>
    <w:p w14:paraId="75260666">
      <w:pPr>
        <w:pStyle w:val="22"/>
        <w:spacing w:line="400" w:lineRule="atLeast"/>
        <w:ind w:firstLine="480" w:firstLineChars="200"/>
        <w:jc w:val="left"/>
        <w:rPr>
          <w:b w:val="0"/>
          <w:color w:val="auto"/>
          <w:sz w:val="24"/>
          <w:szCs w:val="24"/>
        </w:rPr>
      </w:pPr>
      <w:r>
        <w:rPr>
          <w:rFonts w:hint="eastAsia"/>
          <w:b w:val="0"/>
          <w:color w:val="auto"/>
          <w:sz w:val="24"/>
          <w:szCs w:val="24"/>
        </w:rPr>
        <w:t>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A39828B">
      <w:pPr>
        <w:pStyle w:val="22"/>
        <w:spacing w:line="400" w:lineRule="atLeast"/>
        <w:ind w:firstLine="480" w:firstLineChars="200"/>
        <w:jc w:val="left"/>
        <w:rPr>
          <w:b w:val="0"/>
          <w:color w:val="auto"/>
          <w:sz w:val="24"/>
          <w:szCs w:val="24"/>
        </w:rPr>
      </w:pPr>
      <w:r>
        <w:rPr>
          <w:rFonts w:hint="eastAsia"/>
          <w:b w:val="0"/>
          <w:color w:val="auto"/>
          <w:sz w:val="24"/>
          <w:szCs w:val="24"/>
        </w:rPr>
        <w:t>2.12中小企业划分标准：《中小企业划分标准》（工信部联企业[2011]300 号）。</w:t>
      </w:r>
    </w:p>
    <w:p w14:paraId="3409F8E3">
      <w:pPr>
        <w:pStyle w:val="22"/>
        <w:spacing w:line="440" w:lineRule="exact"/>
        <w:ind w:firstLine="480" w:firstLineChars="200"/>
        <w:jc w:val="left"/>
        <w:rPr>
          <w:b w:val="0"/>
          <w:color w:val="auto"/>
          <w:sz w:val="24"/>
          <w:szCs w:val="24"/>
        </w:rPr>
      </w:pPr>
      <w:r>
        <w:rPr>
          <w:rFonts w:hint="eastAsia"/>
          <w:b w:val="0"/>
          <w:color w:val="auto"/>
          <w:sz w:val="24"/>
          <w:szCs w:val="24"/>
        </w:rPr>
        <w:t>2.13资金来源：衢州市本级及各县（市）区财政资金；该项目投入资金：衢州市发展和改革委员会30万元、 衢州市柯城区发展和改革局21万元、衢州市衢江区发展和改革局24万元、江山市经济和信息化局39万元、常山县经济和信息化局21万元、开化县发展和改革局21万元</w:t>
      </w:r>
      <w:r>
        <w:rPr>
          <w:rFonts w:hint="eastAsia"/>
          <w:b w:val="0"/>
          <w:color w:val="auto"/>
          <w:sz w:val="24"/>
          <w:szCs w:val="24"/>
        </w:rPr>
        <w:tab/>
      </w:r>
      <w:r>
        <w:rPr>
          <w:rFonts w:hint="eastAsia"/>
          <w:b w:val="0"/>
          <w:color w:val="auto"/>
          <w:sz w:val="24"/>
          <w:szCs w:val="24"/>
        </w:rPr>
        <w:t>、龙游县经济和信息化局24万元。（占比为：16.67：11.67：13.33：21.66：11.67：11.67：13.33）。</w:t>
      </w:r>
    </w:p>
    <w:p w14:paraId="3F5FD1E1">
      <w:pPr>
        <w:adjustRightInd w:val="0"/>
        <w:ind w:firstLine="482" w:firstLineChars="200"/>
        <w:rPr>
          <w:rFonts w:hint="default" w:ascii="宋体" w:hAnsi="宋体" w:eastAsia="宋体"/>
          <w:b/>
          <w:sz w:val="24"/>
          <w:lang w:val="en-US" w:eastAsia="zh-CN"/>
        </w:rPr>
      </w:pPr>
      <w:r>
        <w:rPr>
          <w:rFonts w:ascii="宋体" w:hAnsi="宋体"/>
          <w:b/>
          <w:sz w:val="24"/>
        </w:rPr>
        <w:t>3.</w:t>
      </w:r>
      <w:r>
        <w:rPr>
          <w:rFonts w:hint="eastAsia" w:ascii="宋体" w:hAnsi="宋体"/>
          <w:b/>
          <w:sz w:val="24"/>
        </w:rPr>
        <w:t>采购项目需要落实的政府采购政策</w:t>
      </w:r>
    </w:p>
    <w:p w14:paraId="335A4A6D">
      <w:pPr>
        <w:ind w:firstLine="241" w:firstLineChars="100"/>
        <w:rPr>
          <w:rFonts w:ascii="宋体" w:hAnsi="宋体"/>
          <w:b/>
          <w:sz w:val="24"/>
        </w:rPr>
      </w:pPr>
      <w:r>
        <w:rPr>
          <w:rFonts w:hint="eastAsia" w:ascii="宋体" w:hAnsi="宋体"/>
          <w:b/>
          <w:sz w:val="24"/>
        </w:rPr>
        <w:t xml:space="preserve">  </w:t>
      </w:r>
      <w:r>
        <w:rPr>
          <w:rFonts w:ascii="宋体" w:hAnsi="宋体"/>
          <w:b/>
          <w:sz w:val="24"/>
        </w:rPr>
        <w:t>3.</w:t>
      </w:r>
      <w:r>
        <w:rPr>
          <w:rFonts w:hint="eastAsia" w:ascii="宋体" w:hAnsi="宋体"/>
          <w:b/>
          <w:sz w:val="24"/>
          <w:lang w:val="en-US" w:eastAsia="zh-CN"/>
        </w:rPr>
        <w:t>1</w:t>
      </w:r>
      <w:r>
        <w:rPr>
          <w:rFonts w:ascii="宋体" w:hAnsi="宋体"/>
          <w:b/>
          <w:sz w:val="24"/>
        </w:rPr>
        <w:t xml:space="preserve"> </w:t>
      </w:r>
      <w:r>
        <w:rPr>
          <w:rFonts w:hint="eastAsia" w:ascii="宋体" w:hAnsi="宋体"/>
          <w:b/>
          <w:sz w:val="24"/>
        </w:rPr>
        <w:t>支持绿色发展</w:t>
      </w:r>
    </w:p>
    <w:p w14:paraId="2CC0CDEF">
      <w:pPr>
        <w:ind w:firstLine="480" w:firstLineChars="200"/>
        <w:rPr>
          <w:rFonts w:ascii="宋体" w:hAnsi="宋体"/>
          <w:b/>
          <w:sz w:val="24"/>
        </w:rPr>
      </w:pPr>
      <w:r>
        <w:rPr>
          <w:rFonts w:ascii="宋体" w:hAnsi="宋体"/>
          <w:sz w:val="24"/>
        </w:rPr>
        <w:t>3.</w:t>
      </w:r>
      <w:r>
        <w:rPr>
          <w:rFonts w:hint="eastAsia" w:ascii="宋体" w:hAnsi="宋体"/>
          <w:sz w:val="24"/>
          <w:lang w:val="en-US" w:eastAsia="zh-CN"/>
        </w:rPr>
        <w:t>1</w:t>
      </w:r>
      <w:r>
        <w:rPr>
          <w:rFonts w:ascii="宋体" w:hAnsi="宋体"/>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sz w:val="24"/>
        </w:rPr>
        <w:t>采购</w:t>
      </w:r>
      <w:r>
        <w:rPr>
          <w:rFonts w:ascii="宋体" w:hAnsi="宋体"/>
          <w:sz w:val="24"/>
        </w:rPr>
        <w:t>文件要求提供相关产品认证证书。▲</w:t>
      </w:r>
      <w:r>
        <w:rPr>
          <w:rFonts w:hint="eastAsia" w:ascii="宋体" w:hAnsi="宋体"/>
          <w:b/>
          <w:sz w:val="24"/>
        </w:rPr>
        <w:t>采购人拟采购的产品属于政府强制采购的节能产品品目清单范围的，投标人未按采购文件要求提供国家确定的认证机构出具的、处于有效期之内的节能产品认证证书的，投标无效。</w:t>
      </w:r>
    </w:p>
    <w:p w14:paraId="3CF3DF4F">
      <w:pPr>
        <w:ind w:firstLine="480" w:firstLineChars="200"/>
        <w:rPr>
          <w:rFonts w:ascii="宋体" w:hAnsi="宋体"/>
          <w:sz w:val="24"/>
        </w:rPr>
      </w:pPr>
      <w:r>
        <w:rPr>
          <w:rFonts w:ascii="宋体" w:hAnsi="宋体"/>
          <w:sz w:val="24"/>
        </w:rPr>
        <w:t>3.</w:t>
      </w:r>
      <w:r>
        <w:rPr>
          <w:rFonts w:hint="eastAsia" w:ascii="宋体" w:hAnsi="宋体"/>
          <w:sz w:val="24"/>
          <w:lang w:val="en-US" w:eastAsia="zh-CN"/>
        </w:rPr>
        <w:t>1</w:t>
      </w:r>
      <w:r>
        <w:rPr>
          <w:rFonts w:ascii="宋体" w:hAnsi="宋体"/>
          <w:sz w:val="24"/>
        </w:rPr>
        <w:t xml:space="preserve">.2 </w:t>
      </w:r>
      <w:r>
        <w:rPr>
          <w:rFonts w:hint="eastAsia" w:ascii="宋体" w:hAnsi="宋体"/>
          <w:sz w:val="24"/>
        </w:rPr>
        <w:t>修缮、装修类项目采购建材的，采购人应将绿色建筑和绿色建材性能、指标等作为实质性条件纳入采购文件和合同。</w:t>
      </w:r>
    </w:p>
    <w:p w14:paraId="532AFBEA">
      <w:pPr>
        <w:ind w:firstLine="480" w:firstLineChars="200"/>
        <w:rPr>
          <w:rFonts w:ascii="宋体" w:hAnsi="宋体"/>
          <w:sz w:val="24"/>
        </w:rPr>
      </w:pPr>
      <w:r>
        <w:rPr>
          <w:rFonts w:ascii="宋体" w:hAnsi="宋体"/>
          <w:sz w:val="24"/>
        </w:rPr>
        <w:t>3.</w:t>
      </w:r>
      <w:r>
        <w:rPr>
          <w:rFonts w:hint="eastAsia" w:ascii="宋体" w:hAnsi="宋体"/>
          <w:sz w:val="24"/>
          <w:lang w:val="en-US" w:eastAsia="zh-CN"/>
        </w:rPr>
        <w:t>1</w:t>
      </w:r>
      <w:r>
        <w:rPr>
          <w:rFonts w:ascii="宋体" w:hAnsi="宋体"/>
          <w:sz w:val="24"/>
        </w:rPr>
        <w:t>.3</w:t>
      </w:r>
      <w:r>
        <w:rPr>
          <w:rFonts w:hint="eastAsia" w:ascii="宋体" w:hAnsi="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364B373">
      <w:pPr>
        <w:ind w:firstLine="241" w:firstLineChars="100"/>
        <w:rPr>
          <w:rFonts w:ascii="宋体" w:hAnsi="宋体"/>
          <w:b/>
          <w:sz w:val="24"/>
        </w:rPr>
      </w:pPr>
      <w:r>
        <w:rPr>
          <w:rFonts w:ascii="宋体" w:hAnsi="宋体"/>
          <w:b/>
          <w:sz w:val="24"/>
        </w:rPr>
        <w:t>3.</w:t>
      </w:r>
      <w:r>
        <w:rPr>
          <w:rFonts w:hint="eastAsia" w:ascii="宋体" w:hAnsi="宋体"/>
          <w:b/>
          <w:sz w:val="24"/>
          <w:lang w:val="en-US" w:eastAsia="zh-CN"/>
        </w:rPr>
        <w:t>2</w:t>
      </w:r>
      <w:r>
        <w:rPr>
          <w:rFonts w:ascii="宋体" w:hAnsi="宋体"/>
          <w:b/>
          <w:sz w:val="24"/>
        </w:rPr>
        <w:t>支持中小企业发展</w:t>
      </w:r>
    </w:p>
    <w:p w14:paraId="0DE63B84">
      <w:pPr>
        <w:ind w:firstLine="480" w:firstLineChars="200"/>
        <w:rPr>
          <w:rFonts w:ascii="宋体" w:hAnsi="宋体"/>
          <w:sz w:val="24"/>
        </w:rPr>
      </w:pPr>
      <w:r>
        <w:rPr>
          <w:rFonts w:ascii="宋体" w:hAnsi="宋体"/>
          <w:sz w:val="24"/>
        </w:rPr>
        <w:t>3.</w:t>
      </w:r>
      <w:r>
        <w:rPr>
          <w:rFonts w:hint="eastAsia" w:ascii="宋体" w:hAnsi="宋体"/>
          <w:sz w:val="24"/>
          <w:lang w:val="en-US" w:eastAsia="zh-CN"/>
        </w:rPr>
        <w:t>2</w:t>
      </w:r>
      <w:r>
        <w:rPr>
          <w:rFonts w:ascii="宋体" w:hAnsi="宋体"/>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3F5DC590">
      <w:pPr>
        <w:ind w:firstLine="480" w:firstLineChars="200"/>
        <w:rPr>
          <w:rFonts w:ascii="宋体" w:hAnsi="宋体"/>
          <w:sz w:val="24"/>
        </w:rPr>
      </w:pPr>
      <w:r>
        <w:rPr>
          <w:rFonts w:ascii="宋体" w:hAnsi="宋体"/>
          <w:sz w:val="24"/>
        </w:rPr>
        <w:t>符合中小企业划分标准的个体工商户，在政府采购活动中视同中小企业。</w:t>
      </w:r>
    </w:p>
    <w:p w14:paraId="32B8AD5B">
      <w:pPr>
        <w:widowControl/>
        <w:ind w:firstLine="480" w:firstLineChars="200"/>
        <w:jc w:val="left"/>
        <w:rPr>
          <w:rFonts w:ascii="宋体" w:hAnsi="宋体" w:cs="宋体"/>
          <w:sz w:val="24"/>
        </w:rPr>
      </w:pPr>
      <w:r>
        <w:rPr>
          <w:rFonts w:ascii="宋体" w:hAnsi="宋体"/>
          <w:bCs/>
          <w:sz w:val="24"/>
        </w:rPr>
        <w:t>3.</w:t>
      </w:r>
      <w:r>
        <w:rPr>
          <w:rFonts w:hint="eastAsia" w:ascii="宋体" w:hAnsi="宋体"/>
          <w:bCs/>
          <w:sz w:val="24"/>
          <w:lang w:val="en-US" w:eastAsia="zh-CN"/>
        </w:rPr>
        <w:t>2</w:t>
      </w:r>
      <w:r>
        <w:rPr>
          <w:rFonts w:ascii="宋体" w:hAnsi="宋体"/>
          <w:bCs/>
          <w:sz w:val="24"/>
        </w:rPr>
        <w:t>.2</w:t>
      </w:r>
      <w:r>
        <w:rPr>
          <w:rFonts w:hint="eastAsia" w:ascii="宋体" w:hAnsi="宋体" w:cs="宋体"/>
          <w:sz w:val="24"/>
        </w:rPr>
        <w:t>在政府采购活动中，投标人提供的货物、工程或者服务符合下列情形的，享受中小企业扶持政策：</w:t>
      </w:r>
    </w:p>
    <w:p w14:paraId="711E44C0">
      <w:pPr>
        <w:widowControl/>
        <w:ind w:firstLine="480" w:firstLineChars="200"/>
        <w:jc w:val="left"/>
        <w:rPr>
          <w:rFonts w:ascii="宋体" w:hAnsi="宋体" w:cs="宋体"/>
          <w:sz w:val="24"/>
        </w:rPr>
      </w:pPr>
      <w:r>
        <w:rPr>
          <w:rFonts w:ascii="宋体" w:hAnsi="宋体" w:cs="宋体"/>
          <w:sz w:val="24"/>
        </w:rPr>
        <w:t>3.</w:t>
      </w:r>
      <w:r>
        <w:rPr>
          <w:rFonts w:hint="eastAsia" w:ascii="宋体" w:hAnsi="宋体" w:cs="宋体"/>
          <w:sz w:val="24"/>
          <w:lang w:val="en-US" w:eastAsia="zh-CN"/>
        </w:rPr>
        <w:t>2</w:t>
      </w:r>
      <w:r>
        <w:rPr>
          <w:rFonts w:ascii="宋体" w:hAnsi="宋体" w:cs="宋体"/>
          <w:sz w:val="24"/>
        </w:rPr>
        <w:t>.2.1在货物采购项目中，货物由中小企业制造，即货物由中小企业生产且使用该中小企业商号或者注册商标；</w:t>
      </w:r>
    </w:p>
    <w:p w14:paraId="4D54A07B">
      <w:pPr>
        <w:widowControl/>
        <w:ind w:firstLine="480" w:firstLineChars="200"/>
        <w:jc w:val="left"/>
        <w:rPr>
          <w:rFonts w:ascii="宋体" w:hAnsi="宋体" w:cs="宋体"/>
          <w:sz w:val="24"/>
        </w:rPr>
      </w:pPr>
      <w:r>
        <w:rPr>
          <w:rFonts w:ascii="宋体" w:hAnsi="宋体" w:cs="宋体"/>
          <w:sz w:val="24"/>
        </w:rPr>
        <w:t>3.</w:t>
      </w:r>
      <w:r>
        <w:rPr>
          <w:rFonts w:hint="eastAsia" w:ascii="宋体" w:hAnsi="宋体" w:cs="宋体"/>
          <w:sz w:val="24"/>
          <w:lang w:val="en-US" w:eastAsia="zh-CN"/>
        </w:rPr>
        <w:t>2</w:t>
      </w:r>
      <w:r>
        <w:rPr>
          <w:rFonts w:ascii="宋体" w:hAnsi="宋体" w:cs="宋体"/>
          <w:sz w:val="24"/>
        </w:rPr>
        <w:t>.2.2在工程采购项目中，工程由中小企业承建，即工程施工单位为中小企业；</w:t>
      </w:r>
    </w:p>
    <w:p w14:paraId="13EB41D4">
      <w:pPr>
        <w:widowControl/>
        <w:ind w:firstLine="480" w:firstLineChars="200"/>
        <w:jc w:val="left"/>
        <w:rPr>
          <w:rFonts w:ascii="宋体" w:hAnsi="宋体" w:cs="宋体"/>
          <w:sz w:val="24"/>
        </w:rPr>
      </w:pPr>
      <w:r>
        <w:rPr>
          <w:rFonts w:ascii="宋体" w:hAnsi="宋体" w:cs="宋体"/>
          <w:sz w:val="24"/>
        </w:rPr>
        <w:t>3.</w:t>
      </w:r>
      <w:r>
        <w:rPr>
          <w:rFonts w:hint="eastAsia" w:ascii="宋体" w:hAnsi="宋体" w:cs="宋体"/>
          <w:sz w:val="24"/>
          <w:lang w:val="en-US" w:eastAsia="zh-CN"/>
        </w:rPr>
        <w:t>2</w:t>
      </w:r>
      <w:r>
        <w:rPr>
          <w:rFonts w:ascii="宋体" w:hAnsi="宋体" w:cs="宋体"/>
          <w:sz w:val="24"/>
        </w:rPr>
        <w:t>.2.3在服务采购项目中，服务由中小企业承接，即提供服务的人员为中小企业依照《中华人民共和国劳动合同法》订立劳动合同的从业人员。</w:t>
      </w:r>
    </w:p>
    <w:p w14:paraId="30103E6B">
      <w:pPr>
        <w:widowControl/>
        <w:ind w:firstLine="480" w:firstLineChars="200"/>
        <w:jc w:val="left"/>
        <w:rPr>
          <w:rFonts w:ascii="宋体" w:hAnsi="宋体" w:cs="宋体"/>
          <w:sz w:val="24"/>
        </w:rPr>
      </w:pPr>
      <w:r>
        <w:rPr>
          <w:rFonts w:hint="eastAsia" w:ascii="宋体" w:hAnsi="宋体" w:cs="宋体"/>
          <w:sz w:val="24"/>
        </w:rPr>
        <w:t>在货物采购项目中，投标人提供的货物既有中小企业制造货物，也有大型企业制造货物的，不享受中小企业扶持政策。</w:t>
      </w:r>
    </w:p>
    <w:p w14:paraId="444E774E">
      <w:pPr>
        <w:widowControl/>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0DD77CEB">
      <w:pPr>
        <w:ind w:firstLine="480" w:firstLineChars="200"/>
        <w:rPr>
          <w:rFonts w:ascii="宋体" w:hAnsi="宋体"/>
          <w:sz w:val="24"/>
        </w:rPr>
      </w:pPr>
      <w:r>
        <w:rPr>
          <w:rFonts w:ascii="宋体" w:hAnsi="宋体"/>
          <w:sz w:val="24"/>
        </w:rPr>
        <w:t>3.</w:t>
      </w:r>
      <w:r>
        <w:rPr>
          <w:rFonts w:hint="eastAsia" w:ascii="宋体" w:hAnsi="宋体"/>
          <w:sz w:val="24"/>
          <w:lang w:val="en-US" w:eastAsia="zh-CN"/>
        </w:rPr>
        <w:t>2</w:t>
      </w:r>
      <w:r>
        <w:rPr>
          <w:rFonts w:ascii="宋体" w:hAnsi="宋体"/>
          <w:sz w:val="24"/>
        </w:rPr>
        <w:t>.3</w:t>
      </w:r>
      <w:r>
        <w:rPr>
          <w:rFonts w:hint="eastAsia" w:ascii="宋体" w:hAnsi="宋体"/>
          <w:sz w:val="24"/>
        </w:rPr>
        <w:t>对于未预留份额专门面向中小企业的政府采购货物或服务项目，以及预留份额政府采购货物或服务项目中的非预留部分标项，对小型和微型企业的投标报价给予1</w:t>
      </w:r>
      <w:r>
        <w:rPr>
          <w:rFonts w:ascii="宋体" w:hAnsi="宋体"/>
          <w:sz w:val="24"/>
        </w:rPr>
        <w:t>0%的扣除，用扣除后的价格参与评审。接受大中型企业与小微企业组成联合体或者允许大中型企业向一家或者多家小微企业分包的</w:t>
      </w:r>
      <w:r>
        <w:rPr>
          <w:rFonts w:hint="eastAsia" w:ascii="宋体" w:hAnsi="宋体"/>
          <w:sz w:val="24"/>
        </w:rPr>
        <w:t>政府</w:t>
      </w:r>
      <w:r>
        <w:rPr>
          <w:rFonts w:ascii="宋体" w:hAnsi="宋体"/>
          <w:sz w:val="24"/>
        </w:rPr>
        <w:t>采购</w:t>
      </w:r>
      <w:r>
        <w:rPr>
          <w:rFonts w:hint="eastAsia" w:ascii="宋体" w:hAnsi="宋体"/>
          <w:sz w:val="24"/>
        </w:rPr>
        <w:t>货物或服务</w:t>
      </w:r>
      <w:r>
        <w:rPr>
          <w:rFonts w:ascii="宋体" w:hAnsi="宋体"/>
          <w:sz w:val="24"/>
        </w:rPr>
        <w:t>项目，对于联合协议或者分包意向协议约定小微企业的合同份额占到合同总金额30%以上的，对联合体或者大中型企业的报价给予</w:t>
      </w:r>
      <w:r>
        <w:rPr>
          <w:rFonts w:hint="eastAsia" w:ascii="宋体" w:hAnsi="宋体"/>
          <w:sz w:val="24"/>
        </w:rPr>
        <w:t>6</w:t>
      </w:r>
      <w:r>
        <w:rPr>
          <w:rFonts w:ascii="宋体" w:hAnsi="宋体"/>
          <w:sz w:val="24"/>
        </w:rPr>
        <w:t>%的扣除，用扣除后的价格参加评审。组成联合体或者接受分包的小微企业与联合体内其他企业、分包企业之间存在直接控股、管理关系的，不享受价格扣除优惠政策。</w:t>
      </w:r>
    </w:p>
    <w:p w14:paraId="3CC4CE3F">
      <w:pPr>
        <w:ind w:firstLine="480" w:firstLineChars="200"/>
        <w:rPr>
          <w:rFonts w:ascii="宋体" w:hAnsi="宋体"/>
          <w:sz w:val="24"/>
        </w:rPr>
      </w:pPr>
      <w:r>
        <w:rPr>
          <w:rFonts w:ascii="宋体" w:hAnsi="宋体"/>
          <w:sz w:val="24"/>
        </w:rPr>
        <w:t>3.</w:t>
      </w:r>
      <w:r>
        <w:rPr>
          <w:rFonts w:hint="eastAsia" w:ascii="宋体" w:hAnsi="宋体"/>
          <w:sz w:val="24"/>
          <w:lang w:val="en-US" w:eastAsia="zh-CN"/>
        </w:rPr>
        <w:t>2</w:t>
      </w:r>
      <w:r>
        <w:rPr>
          <w:rFonts w:ascii="宋体" w:hAnsi="宋体"/>
          <w:sz w:val="24"/>
        </w:rPr>
        <w:t>.4符合《关于促进残疾人就业政府采购政策的通知》（财库〔2017〕141号）规定的条件并提供《残疾人福利性单位声明函》（附件1）的残疾人福利性单位视同小型、微型企业；</w:t>
      </w:r>
    </w:p>
    <w:p w14:paraId="3D1DE801">
      <w:pPr>
        <w:ind w:firstLine="480" w:firstLineChars="200"/>
        <w:rPr>
          <w:rFonts w:ascii="宋体" w:hAnsi="宋体"/>
          <w:sz w:val="24"/>
        </w:rPr>
      </w:pPr>
      <w:r>
        <w:rPr>
          <w:rFonts w:ascii="宋体" w:hAnsi="宋体"/>
          <w:sz w:val="24"/>
        </w:rPr>
        <w:t>3.</w:t>
      </w:r>
      <w:r>
        <w:rPr>
          <w:rFonts w:hint="eastAsia" w:ascii="宋体" w:hAnsi="宋体"/>
          <w:sz w:val="24"/>
          <w:lang w:val="en-US" w:eastAsia="zh-CN"/>
        </w:rPr>
        <w:t>2</w:t>
      </w:r>
      <w:r>
        <w:rPr>
          <w:rFonts w:ascii="宋体" w:hAnsi="宋体"/>
          <w:sz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0F6A425B">
      <w:pPr>
        <w:ind w:firstLine="480" w:firstLineChars="200"/>
        <w:rPr>
          <w:rFonts w:ascii="宋体" w:hAnsi="宋体"/>
          <w:sz w:val="24"/>
        </w:rPr>
      </w:pPr>
      <w:r>
        <w:rPr>
          <w:rFonts w:ascii="宋体" w:hAnsi="宋体"/>
          <w:sz w:val="24"/>
        </w:rPr>
        <w:t>3.</w:t>
      </w:r>
      <w:r>
        <w:rPr>
          <w:rFonts w:hint="eastAsia" w:ascii="宋体" w:hAnsi="宋体"/>
          <w:sz w:val="24"/>
          <w:lang w:val="en-US" w:eastAsia="zh-CN"/>
        </w:rPr>
        <w:t>2</w:t>
      </w:r>
      <w:r>
        <w:rPr>
          <w:rFonts w:ascii="宋体" w:hAnsi="宋体"/>
          <w:sz w:val="24"/>
        </w:rPr>
        <w:t>.6</w:t>
      </w:r>
      <w:r>
        <w:rPr>
          <w:rFonts w:hint="eastAsia" w:ascii="宋体" w:hAnsi="宋体"/>
          <w:sz w:val="24"/>
        </w:rPr>
        <w:t>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14:paraId="16A36D84">
      <w:pPr>
        <w:ind w:firstLine="480" w:firstLineChars="200"/>
        <w:rPr>
          <w:rFonts w:ascii="宋体" w:hAnsi="宋体"/>
          <w:sz w:val="24"/>
        </w:rPr>
      </w:pPr>
      <w:r>
        <w:rPr>
          <w:rFonts w:ascii="宋体" w:hAnsi="宋体"/>
          <w:sz w:val="24"/>
        </w:rPr>
        <w:t>3.</w:t>
      </w:r>
      <w:r>
        <w:rPr>
          <w:rFonts w:hint="eastAsia" w:ascii="宋体" w:hAnsi="宋体"/>
          <w:sz w:val="24"/>
          <w:lang w:val="en-US" w:eastAsia="zh-CN"/>
        </w:rPr>
        <w:t>2</w:t>
      </w:r>
      <w:r>
        <w:rPr>
          <w:rFonts w:ascii="宋体" w:hAnsi="宋体"/>
          <w:sz w:val="24"/>
        </w:rPr>
        <w:t>.7中小企业享受扶持政策获得政府采购合同的，小微企业不得将合同分包给大中型企业，中型企业不得将合同分包给大型企业</w:t>
      </w:r>
      <w:r>
        <w:rPr>
          <w:rFonts w:hint="eastAsia" w:ascii="宋体" w:hAnsi="宋体"/>
          <w:sz w:val="24"/>
        </w:rPr>
        <w:t>。</w:t>
      </w:r>
    </w:p>
    <w:p w14:paraId="51CFD264">
      <w:pPr>
        <w:ind w:firstLine="477" w:firstLineChars="198"/>
        <w:rPr>
          <w:rFonts w:ascii="宋体" w:hAnsi="宋体"/>
          <w:b/>
          <w:sz w:val="24"/>
        </w:rPr>
      </w:pPr>
      <w:r>
        <w:rPr>
          <w:rFonts w:ascii="宋体" w:hAnsi="宋体"/>
          <w:b/>
          <w:sz w:val="24"/>
        </w:rPr>
        <w:t>3.</w:t>
      </w:r>
      <w:r>
        <w:rPr>
          <w:rFonts w:hint="eastAsia" w:ascii="宋体" w:hAnsi="宋体"/>
          <w:b/>
          <w:sz w:val="24"/>
          <w:lang w:val="en-US" w:eastAsia="zh-CN"/>
        </w:rPr>
        <w:t>3</w:t>
      </w:r>
      <w:r>
        <w:rPr>
          <w:rFonts w:hint="eastAsia" w:ascii="宋体" w:hAnsi="宋体"/>
          <w:b/>
          <w:bCs/>
          <w:sz w:val="24"/>
        </w:rPr>
        <w:t>支持创新发展</w:t>
      </w:r>
    </w:p>
    <w:p w14:paraId="79622A12">
      <w:pPr>
        <w:ind w:firstLine="480" w:firstLineChars="200"/>
        <w:rPr>
          <w:rFonts w:ascii="宋体" w:hAnsi="宋体"/>
          <w:sz w:val="24"/>
        </w:rPr>
      </w:pPr>
      <w:r>
        <w:rPr>
          <w:rFonts w:ascii="宋体" w:hAnsi="宋体"/>
          <w:sz w:val="24"/>
        </w:rPr>
        <w:t>3.</w:t>
      </w:r>
      <w:r>
        <w:rPr>
          <w:rFonts w:hint="eastAsia" w:ascii="宋体" w:hAnsi="宋体"/>
          <w:sz w:val="24"/>
          <w:lang w:val="en-US" w:eastAsia="zh-CN"/>
        </w:rPr>
        <w:t>3</w:t>
      </w:r>
      <w:r>
        <w:rPr>
          <w:rFonts w:ascii="宋体" w:hAnsi="宋体"/>
          <w:sz w:val="24"/>
        </w:rPr>
        <w:t>.1 采购人优先采购被认定</w:t>
      </w:r>
      <w:r>
        <w:rPr>
          <w:rFonts w:hint="eastAsia" w:ascii="宋体" w:hAnsi="宋体"/>
          <w:sz w:val="24"/>
        </w:rPr>
        <w:t>为首台套产品和“制造精品”的自主创新产品。</w:t>
      </w:r>
    </w:p>
    <w:p w14:paraId="1EA1780B">
      <w:pPr>
        <w:ind w:firstLine="480" w:firstLineChars="200"/>
        <w:rPr>
          <w:rFonts w:ascii="宋体" w:hAnsi="宋体"/>
          <w:sz w:val="24"/>
        </w:rPr>
      </w:pPr>
      <w:r>
        <w:rPr>
          <w:rFonts w:ascii="宋体" w:hAnsi="宋体"/>
          <w:sz w:val="24"/>
        </w:rPr>
        <w:t>3.</w:t>
      </w:r>
      <w:r>
        <w:rPr>
          <w:rFonts w:hint="eastAsia" w:ascii="宋体" w:hAnsi="宋体"/>
          <w:sz w:val="24"/>
          <w:lang w:val="en-US" w:eastAsia="zh-CN"/>
        </w:rPr>
        <w:t>3</w:t>
      </w:r>
      <w:r>
        <w:rPr>
          <w:rFonts w:ascii="宋体" w:hAnsi="宋体"/>
          <w:sz w:val="24"/>
        </w:rPr>
        <w:t>.2首台套产品</w:t>
      </w:r>
      <w:r>
        <w:rPr>
          <w:rFonts w:hint="eastAsia" w:ascii="宋体" w:hAnsi="宋体"/>
          <w:sz w:val="24"/>
        </w:rPr>
        <w:t>被纳入《首台套产品推广应用指导目录》之日起</w:t>
      </w:r>
      <w:r>
        <w:rPr>
          <w:rFonts w:ascii="宋体" w:hAnsi="宋体"/>
          <w:sz w:val="24"/>
        </w:rPr>
        <w:t>2年内，以及产品核心技术高于国内领先水平，并具有明晰自主知识产权的“制造精品”产品，</w:t>
      </w:r>
      <w:r>
        <w:rPr>
          <w:rFonts w:hint="eastAsia" w:ascii="宋体" w:hAnsi="宋体"/>
          <w:sz w:val="24"/>
        </w:rPr>
        <w:t>自认定之日起</w:t>
      </w:r>
      <w:r>
        <w:rPr>
          <w:rFonts w:ascii="宋体" w:hAnsi="宋体"/>
          <w:sz w:val="24"/>
        </w:rPr>
        <w:t>2年内视同已具备相应销售业绩，参加政府采购活动</w:t>
      </w:r>
      <w:r>
        <w:rPr>
          <w:rFonts w:hint="eastAsia" w:ascii="宋体" w:hAnsi="宋体"/>
          <w:sz w:val="24"/>
        </w:rPr>
        <w:t>时业绩分值为满分。</w:t>
      </w:r>
    </w:p>
    <w:p w14:paraId="0AC9DC2A">
      <w:pPr>
        <w:ind w:firstLine="482" w:firstLineChars="200"/>
        <w:rPr>
          <w:rFonts w:ascii="宋体" w:hAnsi="宋体"/>
          <w:b/>
          <w:sz w:val="24"/>
        </w:rPr>
      </w:pPr>
      <w:r>
        <w:rPr>
          <w:rFonts w:ascii="宋体" w:hAnsi="宋体"/>
          <w:b/>
          <w:sz w:val="24"/>
        </w:rPr>
        <w:t>3.</w:t>
      </w:r>
      <w:r>
        <w:rPr>
          <w:rFonts w:hint="eastAsia" w:ascii="宋体" w:hAnsi="宋体"/>
          <w:b/>
          <w:sz w:val="24"/>
          <w:lang w:val="en-US" w:eastAsia="zh-CN"/>
        </w:rPr>
        <w:t>4</w:t>
      </w:r>
      <w:r>
        <w:rPr>
          <w:rFonts w:ascii="宋体" w:hAnsi="宋体"/>
          <w:b/>
          <w:sz w:val="24"/>
        </w:rPr>
        <w:t>中小企业信用融资</w:t>
      </w:r>
    </w:p>
    <w:p w14:paraId="7FDCBD80">
      <w:pPr>
        <w:spacing w:line="420" w:lineRule="atLeast"/>
        <w:ind w:firstLine="480" w:firstLineChars="200"/>
        <w:jc w:val="left"/>
        <w:rPr>
          <w:rFonts w:ascii="宋体" w:hAnsi="宋体"/>
          <w:b/>
          <w:bCs/>
          <w:kern w:val="0"/>
          <w:sz w:val="24"/>
        </w:rPr>
      </w:pPr>
      <w:r>
        <w:rPr>
          <w:rFonts w:ascii="宋体" w:hAnsi="宋体"/>
          <w:sz w:val="24"/>
        </w:rPr>
        <w:t>为支持和促进中小企业发展，进一步发挥政府采购政策功能，</w:t>
      </w:r>
      <w:r>
        <w:rPr>
          <w:rFonts w:hint="eastAsia" w:ascii="宋体" w:hAnsi="宋体"/>
          <w:b/>
          <w:sz w:val="24"/>
        </w:rPr>
        <w:t>衢州地区政府采购中标的中小企业除在“政采云”平台申请“政采 贷”等政府采购金融服务产品外，也可以通过“浙江政务网” 登录到“衢融通”平台，发起政府采购质押融资申请。</w:t>
      </w:r>
    </w:p>
    <w:p w14:paraId="6450D10E">
      <w:pPr>
        <w:pStyle w:val="22"/>
        <w:spacing w:line="440" w:lineRule="atLeast"/>
        <w:ind w:firstLine="482" w:firstLineChars="200"/>
        <w:jc w:val="both"/>
        <w:rPr>
          <w:color w:val="auto"/>
          <w:sz w:val="24"/>
          <w:szCs w:val="24"/>
        </w:rPr>
      </w:pPr>
      <w:r>
        <w:rPr>
          <w:rFonts w:hint="eastAsia"/>
          <w:color w:val="auto"/>
          <w:sz w:val="24"/>
          <w:szCs w:val="24"/>
        </w:rPr>
        <w:t>4</w:t>
      </w:r>
      <w:r>
        <w:rPr>
          <w:color w:val="auto"/>
          <w:sz w:val="24"/>
          <w:szCs w:val="24"/>
        </w:rPr>
        <w:t>.合格的投标人</w:t>
      </w:r>
    </w:p>
    <w:p w14:paraId="2B0B39E0">
      <w:pPr>
        <w:pStyle w:val="22"/>
        <w:spacing w:line="440" w:lineRule="atLeast"/>
        <w:ind w:firstLine="480" w:firstLineChars="200"/>
        <w:jc w:val="both"/>
        <w:rPr>
          <w:color w:val="auto"/>
          <w:sz w:val="24"/>
          <w:szCs w:val="24"/>
        </w:rPr>
      </w:pPr>
      <w:r>
        <w:rPr>
          <w:rFonts w:hint="eastAsia"/>
          <w:b w:val="0"/>
          <w:color w:val="auto"/>
          <w:sz w:val="24"/>
          <w:szCs w:val="24"/>
        </w:rPr>
        <w:t>4</w:t>
      </w:r>
      <w:r>
        <w:rPr>
          <w:b w:val="0"/>
          <w:color w:val="auto"/>
          <w:sz w:val="24"/>
          <w:szCs w:val="24"/>
        </w:rPr>
        <w:t>.1符合招标公告中</w:t>
      </w:r>
      <w:r>
        <w:rPr>
          <w:b w:val="0"/>
          <w:color w:val="auto"/>
          <w:kern w:val="0"/>
          <w:sz w:val="24"/>
          <w:szCs w:val="24"/>
        </w:rPr>
        <w:t>投标供应商的资格要求</w:t>
      </w:r>
      <w:r>
        <w:rPr>
          <w:b w:val="0"/>
          <w:color w:val="auto"/>
          <w:sz w:val="24"/>
          <w:szCs w:val="24"/>
        </w:rPr>
        <w:t>的条件；</w:t>
      </w:r>
    </w:p>
    <w:p w14:paraId="2384B271">
      <w:pPr>
        <w:pStyle w:val="22"/>
        <w:spacing w:line="440" w:lineRule="atLeast"/>
        <w:ind w:firstLine="482" w:firstLineChars="200"/>
        <w:jc w:val="both"/>
        <w:rPr>
          <w:b w:val="0"/>
          <w:color w:val="auto"/>
          <w:sz w:val="24"/>
          <w:szCs w:val="24"/>
        </w:rPr>
      </w:pPr>
      <w:r>
        <w:rPr>
          <w:rFonts w:hint="eastAsia"/>
          <w:color w:val="auto"/>
          <w:sz w:val="24"/>
          <w:szCs w:val="24"/>
        </w:rPr>
        <w:t>4</w:t>
      </w:r>
      <w:r>
        <w:rPr>
          <w:color w:val="auto"/>
          <w:sz w:val="24"/>
          <w:szCs w:val="24"/>
        </w:rPr>
        <w:t>.2参加政府采购活动前三年内，在经营活动中没有重大违法记录。</w:t>
      </w:r>
    </w:p>
    <w:p w14:paraId="053714A9">
      <w:pPr>
        <w:pStyle w:val="29"/>
        <w:spacing w:line="440" w:lineRule="atLeast"/>
        <w:ind w:firstLine="482" w:firstLineChars="200"/>
        <w:rPr>
          <w:rFonts w:hAnsi="宋体" w:cs="Times New Roman"/>
          <w:sz w:val="24"/>
          <w:szCs w:val="24"/>
        </w:rPr>
      </w:pPr>
      <w:r>
        <w:rPr>
          <w:rFonts w:hint="eastAsia" w:hAnsi="宋体" w:cs="Times New Roman"/>
          <w:b/>
          <w:sz w:val="24"/>
          <w:szCs w:val="24"/>
        </w:rPr>
        <w:t>5</w:t>
      </w:r>
      <w:r>
        <w:rPr>
          <w:rFonts w:hAnsi="宋体" w:cs="Times New Roman"/>
          <w:b/>
          <w:sz w:val="24"/>
          <w:szCs w:val="24"/>
        </w:rPr>
        <w:t>.保证</w:t>
      </w:r>
    </w:p>
    <w:p w14:paraId="37AF21EF">
      <w:pPr>
        <w:pStyle w:val="29"/>
        <w:spacing w:line="440" w:lineRule="atLeast"/>
        <w:ind w:firstLine="480" w:firstLineChars="200"/>
        <w:rPr>
          <w:rFonts w:hAnsi="宋体" w:cs="Times New Roman"/>
          <w:sz w:val="24"/>
          <w:szCs w:val="24"/>
        </w:rPr>
      </w:pPr>
      <w:r>
        <w:rPr>
          <w:rFonts w:hint="eastAsia" w:hAnsi="宋体" w:cs="Times New Roman"/>
          <w:sz w:val="24"/>
          <w:szCs w:val="24"/>
        </w:rPr>
        <w:t>5</w:t>
      </w:r>
      <w:r>
        <w:rPr>
          <w:rFonts w:hAnsi="宋体" w:cs="Times New Roman"/>
          <w:sz w:val="24"/>
          <w:szCs w:val="24"/>
        </w:rPr>
        <w:t>.1投标人应保证所提交给</w:t>
      </w:r>
      <w:r>
        <w:rPr>
          <w:rFonts w:hint="eastAsia" w:hAnsi="宋体" w:cs="Times New Roman"/>
          <w:sz w:val="24"/>
          <w:szCs w:val="24"/>
        </w:rPr>
        <w:t>采购</w:t>
      </w:r>
      <w:r>
        <w:rPr>
          <w:rFonts w:hAnsi="宋体" w:cs="Times New Roman"/>
          <w:sz w:val="24"/>
          <w:szCs w:val="24"/>
        </w:rPr>
        <w:t>代理机构和</w:t>
      </w:r>
      <w:r>
        <w:rPr>
          <w:rFonts w:hint="eastAsia" w:hAnsi="宋体" w:cs="Times New Roman"/>
          <w:sz w:val="24"/>
          <w:szCs w:val="24"/>
        </w:rPr>
        <w:t>采购</w:t>
      </w:r>
      <w:r>
        <w:rPr>
          <w:rFonts w:hAnsi="宋体" w:cs="Times New Roman"/>
          <w:sz w:val="24"/>
          <w:szCs w:val="24"/>
        </w:rPr>
        <w:t>人的资料和数据是真实的。</w:t>
      </w:r>
    </w:p>
    <w:p w14:paraId="4EE9954C">
      <w:pPr>
        <w:pStyle w:val="29"/>
        <w:spacing w:line="440" w:lineRule="atLeast"/>
        <w:ind w:firstLine="482" w:firstLineChars="200"/>
        <w:rPr>
          <w:rFonts w:hAnsi="宋体" w:cs="Times New Roman"/>
          <w:b/>
          <w:sz w:val="24"/>
          <w:szCs w:val="24"/>
        </w:rPr>
      </w:pPr>
      <w:r>
        <w:rPr>
          <w:rFonts w:hint="eastAsia" w:hAnsi="宋体" w:cs="Times New Roman"/>
          <w:b/>
          <w:sz w:val="24"/>
          <w:szCs w:val="24"/>
        </w:rPr>
        <w:t>6</w:t>
      </w:r>
      <w:r>
        <w:rPr>
          <w:rFonts w:hAnsi="宋体" w:cs="Times New Roman"/>
          <w:b/>
          <w:sz w:val="24"/>
          <w:szCs w:val="24"/>
        </w:rPr>
        <w:t>.招标投标费用</w:t>
      </w:r>
    </w:p>
    <w:p w14:paraId="39876B97">
      <w:pPr>
        <w:spacing w:line="440" w:lineRule="atLeast"/>
        <w:ind w:firstLine="480" w:firstLineChars="200"/>
        <w:rPr>
          <w:rFonts w:ascii="宋体" w:hAnsi="宋体"/>
          <w:sz w:val="24"/>
        </w:rPr>
      </w:pPr>
      <w:r>
        <w:rPr>
          <w:rFonts w:hint="eastAsia" w:ascii="宋体" w:hAnsi="宋体"/>
          <w:sz w:val="24"/>
        </w:rPr>
        <w:t>6</w:t>
      </w:r>
      <w:r>
        <w:rPr>
          <w:rFonts w:ascii="宋体" w:hAnsi="宋体"/>
          <w:sz w:val="24"/>
        </w:rPr>
        <w:t>.1不论投标过程中的作法和结果如何，投标人应承担所有与投标有关的全部费用。采购人和</w:t>
      </w:r>
      <w:r>
        <w:rPr>
          <w:rFonts w:hint="eastAsia" w:ascii="宋体" w:hAnsi="宋体"/>
          <w:sz w:val="24"/>
        </w:rPr>
        <w:t>采购</w:t>
      </w:r>
      <w:r>
        <w:rPr>
          <w:rFonts w:ascii="宋体" w:hAnsi="宋体"/>
          <w:sz w:val="24"/>
        </w:rPr>
        <w:t>代理机构在任何情况下均无义务和责任承担上述费用。</w:t>
      </w:r>
    </w:p>
    <w:p w14:paraId="600CAA2B">
      <w:pPr>
        <w:spacing w:line="500" w:lineRule="atLeast"/>
        <w:ind w:firstLine="482" w:firstLineChars="200"/>
        <w:jc w:val="left"/>
        <w:rPr>
          <w:rFonts w:ascii="宋体" w:hAnsi="宋体" w:cs="宋体"/>
          <w:b/>
          <w:sz w:val="24"/>
        </w:rPr>
      </w:pPr>
      <w:bookmarkStart w:id="47" w:name="_Toc34898306"/>
      <w:bookmarkStart w:id="48" w:name="_Toc34919336"/>
      <w:bookmarkStart w:id="49" w:name="_Toc34830369"/>
      <w:bookmarkStart w:id="50" w:name="_Toc33098458"/>
      <w:r>
        <w:rPr>
          <w:rFonts w:hint="eastAsia" w:ascii="宋体" w:hAnsi="宋体"/>
          <w:b/>
          <w:sz w:val="24"/>
        </w:rPr>
        <w:t>6</w:t>
      </w:r>
      <w:r>
        <w:rPr>
          <w:rFonts w:ascii="宋体" w:hAnsi="宋体"/>
          <w:b/>
          <w:sz w:val="24"/>
        </w:rPr>
        <w:t>.2</w:t>
      </w:r>
      <w:r>
        <w:rPr>
          <w:rFonts w:hint="eastAsia" w:hAnsi="宋体"/>
          <w:b/>
          <w:sz w:val="24"/>
        </w:rPr>
        <w:t>采购</w:t>
      </w:r>
      <w:r>
        <w:rPr>
          <w:rFonts w:hAnsi="宋体"/>
          <w:b/>
          <w:sz w:val="24"/>
        </w:rPr>
        <w:t>代理机构将按文件规定向中标单位收取代理服务费。代理服务费依据国家计委《关于招标代理服务收费管理暂行办法》（计价格[2002]1980号）和国家发改委办公厅《关于招标代理服务费有关问题的通知》（发改办价[2003]857号）</w:t>
      </w:r>
      <w:r>
        <w:rPr>
          <w:rFonts w:ascii="宋体" w:hAnsi="宋体"/>
          <w:b/>
          <w:sz w:val="24"/>
        </w:rPr>
        <w:t>规定标准计取</w:t>
      </w:r>
      <w:bookmarkEnd w:id="47"/>
      <w:bookmarkEnd w:id="48"/>
      <w:bookmarkEnd w:id="49"/>
      <w:bookmarkEnd w:id="50"/>
      <w:r>
        <w:rPr>
          <w:rFonts w:hint="eastAsia" w:ascii="宋体" w:hAnsi="宋体"/>
          <w:b/>
          <w:sz w:val="24"/>
        </w:rPr>
        <w:t>向中标人收取：</w:t>
      </w:r>
    </w:p>
    <w:tbl>
      <w:tblPr>
        <w:tblStyle w:val="55"/>
        <w:tblW w:w="0" w:type="auto"/>
        <w:jc w:val="center"/>
        <w:tblLayout w:type="fixed"/>
        <w:tblCellMar>
          <w:top w:w="0" w:type="dxa"/>
          <w:left w:w="0" w:type="dxa"/>
          <w:bottom w:w="0" w:type="dxa"/>
          <w:right w:w="0" w:type="dxa"/>
        </w:tblCellMar>
      </w:tblPr>
      <w:tblGrid>
        <w:gridCol w:w="2826"/>
        <w:gridCol w:w="1948"/>
        <w:gridCol w:w="1839"/>
        <w:gridCol w:w="1701"/>
      </w:tblGrid>
      <w:tr w14:paraId="41FED259">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ign w:val="center"/>
          </w:tcPr>
          <w:p w14:paraId="2FFA1120">
            <w:pPr>
              <w:widowControl/>
              <w:spacing w:line="300" w:lineRule="exact"/>
              <w:jc w:val="center"/>
              <w:rPr>
                <w:rFonts w:ascii="宋体" w:hAnsi="宋体"/>
                <w:kern w:val="0"/>
                <w:sz w:val="24"/>
                <w:szCs w:val="21"/>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671195</wp:posOffset>
                      </wp:positionH>
                      <wp:positionV relativeFrom="paragraph">
                        <wp:posOffset>3175</wp:posOffset>
                      </wp:positionV>
                      <wp:extent cx="1131570" cy="537210"/>
                      <wp:effectExtent l="1905" t="4445" r="9525" b="10795"/>
                      <wp:wrapNone/>
                      <wp:docPr id="2" name="直线 3"/>
                      <wp:cNvGraphicFramePr/>
                      <a:graphic xmlns:a="http://schemas.openxmlformats.org/drawingml/2006/main">
                        <a:graphicData uri="http://schemas.microsoft.com/office/word/2010/wordprocessingShape">
                          <wps:wsp>
                            <wps:cNvCnPr/>
                            <wps:spPr>
                              <a:xfrm>
                                <a:off x="0" y="0"/>
                                <a:ext cx="1131570" cy="5372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52.85pt;margin-top:0.25pt;height:42.3pt;width:89.1pt;z-index:251659264;mso-width-relative:page;mso-height-relative:page;" filled="f" stroked="t" coordsize="21600,21600" o:gfxdata="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UQ6ONUAAAAHAQAADwAAAAAAAAABACAAAAAiAAAAZHJzL2Rvd25yZXYueG1sUEsBAhQAFAAA&#10;AAgAh07iQC8ye8jyAQAA7gMAAA4AAAAAAAAAAQAgAAAAJAEAAGRycy9lMm9Eb2MueG1sUEsFBgAA&#10;AAAGAAYAWQEAAIgFA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168275</wp:posOffset>
                      </wp:positionV>
                      <wp:extent cx="1781175" cy="382270"/>
                      <wp:effectExtent l="1270" t="4445" r="8255" b="13335"/>
                      <wp:wrapNone/>
                      <wp:docPr id="3" name="直线 4"/>
                      <wp:cNvGraphicFramePr/>
                      <a:graphic xmlns:a="http://schemas.openxmlformats.org/drawingml/2006/main">
                        <a:graphicData uri="http://schemas.microsoft.com/office/word/2010/wordprocessingShape">
                          <wps:wsp>
                            <wps:cNvCnPr/>
                            <wps:spPr>
                              <a:xfrm>
                                <a:off x="0" y="0"/>
                                <a:ext cx="1781175" cy="382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1.1pt;margin-top:13.25pt;height:30.1pt;width:140.25pt;z-index:251660288;mso-width-relative:page;mso-height-relative:page;" filled="f" stroked="t" coordsize="21600,21600" o:gfxdata="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fhbUtUAAAAHAQAADwAAAAAAAAABACAAAAAiAAAAZHJzL2Rvd25yZXYueG1sUEsBAhQAFAAA&#10;AAgAh07iQAcsBsjyAQAA7gMAAA4AAAAAAAAAAQAgAAAAJAEAAGRycy9lMm9Eb2MueG1sUEsFBgAA&#10;AAAGAAYAWQEAAIgFAAAAAA==&#10;">
                      <v:fill on="f" focussize="0,0"/>
                      <v:stroke color="#000000" joinstyle="round"/>
                      <v:imagedata o:title=""/>
                      <o:lock v:ext="edit" aspectratio="f"/>
                    </v:line>
                  </w:pict>
                </mc:Fallback>
              </mc:AlternateContent>
            </w:r>
            <w:r>
              <w:rPr>
                <w:rFonts w:ascii="宋体" w:hAnsi="宋体"/>
                <w:kern w:val="0"/>
                <w:sz w:val="24"/>
                <w:szCs w:val="21"/>
              </w:rPr>
              <w:t xml:space="preserve">        服务类型</w:t>
            </w:r>
          </w:p>
          <w:p w14:paraId="1CC1EBA0">
            <w:pPr>
              <w:widowControl/>
              <w:spacing w:line="300" w:lineRule="exact"/>
              <w:ind w:firstLine="480" w:firstLineChars="200"/>
              <w:jc w:val="center"/>
              <w:rPr>
                <w:rFonts w:ascii="宋体" w:hAnsi="宋体"/>
                <w:kern w:val="0"/>
                <w:sz w:val="24"/>
                <w:szCs w:val="21"/>
              </w:rPr>
            </w:pPr>
            <w:r>
              <w:rPr>
                <w:rFonts w:ascii="宋体" w:hAnsi="宋体"/>
                <w:kern w:val="0"/>
                <w:sz w:val="24"/>
                <w:szCs w:val="21"/>
              </w:rPr>
              <w:t>费率</w:t>
            </w:r>
          </w:p>
          <w:p w14:paraId="79DA67D3">
            <w:pPr>
              <w:widowControl/>
              <w:spacing w:line="300" w:lineRule="exact"/>
              <w:jc w:val="center"/>
              <w:rPr>
                <w:rFonts w:ascii="宋体" w:hAnsi="宋体"/>
                <w:kern w:val="0"/>
                <w:sz w:val="24"/>
                <w:szCs w:val="21"/>
              </w:rPr>
            </w:pPr>
            <w:r>
              <w:rPr>
                <w:rFonts w:ascii="宋体" w:hAnsi="宋体"/>
                <w:kern w:val="0"/>
                <w:sz w:val="24"/>
                <w:szCs w:val="21"/>
              </w:rPr>
              <w:t>中标金额（万元）</w:t>
            </w:r>
          </w:p>
        </w:tc>
        <w:tc>
          <w:tcPr>
            <w:tcW w:w="1948" w:type="dxa"/>
            <w:tcBorders>
              <w:top w:val="single" w:color="auto" w:sz="6" w:space="0"/>
              <w:left w:val="single" w:color="auto" w:sz="6" w:space="0"/>
              <w:bottom w:val="single" w:color="auto" w:sz="6" w:space="0"/>
              <w:right w:val="single" w:color="auto" w:sz="6" w:space="0"/>
            </w:tcBorders>
            <w:noWrap/>
            <w:vAlign w:val="center"/>
          </w:tcPr>
          <w:p w14:paraId="43EEF6AB">
            <w:pPr>
              <w:widowControl/>
              <w:spacing w:line="300" w:lineRule="exact"/>
              <w:jc w:val="center"/>
              <w:rPr>
                <w:rFonts w:ascii="宋体" w:hAnsi="宋体"/>
                <w:kern w:val="0"/>
                <w:sz w:val="24"/>
                <w:szCs w:val="21"/>
              </w:rPr>
            </w:pPr>
            <w:r>
              <w:rPr>
                <w:rFonts w:ascii="宋体" w:hAnsi="宋体"/>
                <w:kern w:val="0"/>
                <w:sz w:val="24"/>
                <w:szCs w:val="21"/>
              </w:rPr>
              <w:t>货物招标</w:t>
            </w:r>
          </w:p>
        </w:tc>
        <w:tc>
          <w:tcPr>
            <w:tcW w:w="1839" w:type="dxa"/>
            <w:tcBorders>
              <w:top w:val="single" w:color="auto" w:sz="6" w:space="0"/>
              <w:left w:val="single" w:color="auto" w:sz="6" w:space="0"/>
              <w:bottom w:val="single" w:color="auto" w:sz="6" w:space="0"/>
              <w:right w:val="single" w:color="auto" w:sz="6" w:space="0"/>
            </w:tcBorders>
            <w:noWrap/>
            <w:vAlign w:val="center"/>
          </w:tcPr>
          <w:p w14:paraId="4ACB983E">
            <w:pPr>
              <w:widowControl/>
              <w:spacing w:line="300" w:lineRule="exact"/>
              <w:jc w:val="center"/>
              <w:rPr>
                <w:rFonts w:ascii="宋体" w:hAnsi="宋体"/>
                <w:kern w:val="0"/>
                <w:sz w:val="24"/>
                <w:szCs w:val="21"/>
              </w:rPr>
            </w:pPr>
            <w:r>
              <w:rPr>
                <w:rFonts w:ascii="宋体" w:hAnsi="宋体"/>
                <w:kern w:val="0"/>
                <w:sz w:val="24"/>
                <w:szCs w:val="21"/>
              </w:rPr>
              <w:t>服务招标</w:t>
            </w:r>
          </w:p>
        </w:tc>
        <w:tc>
          <w:tcPr>
            <w:tcW w:w="1701" w:type="dxa"/>
            <w:tcBorders>
              <w:top w:val="single" w:color="auto" w:sz="6" w:space="0"/>
              <w:left w:val="single" w:color="auto" w:sz="6" w:space="0"/>
              <w:bottom w:val="single" w:color="auto" w:sz="6" w:space="0"/>
              <w:right w:val="single" w:color="auto" w:sz="6" w:space="0"/>
            </w:tcBorders>
            <w:noWrap/>
            <w:vAlign w:val="center"/>
          </w:tcPr>
          <w:p w14:paraId="02B5A29E">
            <w:pPr>
              <w:widowControl/>
              <w:spacing w:line="300" w:lineRule="exact"/>
              <w:jc w:val="center"/>
              <w:rPr>
                <w:rFonts w:ascii="宋体" w:hAnsi="宋体"/>
                <w:kern w:val="0"/>
                <w:sz w:val="24"/>
                <w:szCs w:val="21"/>
              </w:rPr>
            </w:pPr>
            <w:r>
              <w:rPr>
                <w:rFonts w:ascii="宋体" w:hAnsi="宋体"/>
                <w:kern w:val="0"/>
                <w:sz w:val="24"/>
                <w:szCs w:val="21"/>
              </w:rPr>
              <w:t>工程招标</w:t>
            </w:r>
          </w:p>
        </w:tc>
      </w:tr>
      <w:tr w14:paraId="3373D4C7">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ign w:val="center"/>
          </w:tcPr>
          <w:p w14:paraId="6B35B1B0">
            <w:pPr>
              <w:widowControl/>
              <w:spacing w:line="300" w:lineRule="exact"/>
              <w:ind w:firstLine="204" w:firstLineChars="85"/>
              <w:jc w:val="center"/>
              <w:rPr>
                <w:rFonts w:ascii="宋体" w:hAnsi="宋体"/>
                <w:kern w:val="0"/>
                <w:sz w:val="24"/>
                <w:szCs w:val="21"/>
              </w:rPr>
            </w:pPr>
            <w:r>
              <w:rPr>
                <w:rFonts w:ascii="宋体" w:hAnsi="宋体"/>
                <w:kern w:val="0"/>
                <w:sz w:val="24"/>
                <w:szCs w:val="21"/>
              </w:rPr>
              <w:t>100以下</w:t>
            </w:r>
          </w:p>
        </w:tc>
        <w:tc>
          <w:tcPr>
            <w:tcW w:w="1948" w:type="dxa"/>
            <w:tcBorders>
              <w:top w:val="single" w:color="auto" w:sz="6" w:space="0"/>
              <w:left w:val="single" w:color="auto" w:sz="6" w:space="0"/>
              <w:bottom w:val="single" w:color="auto" w:sz="6" w:space="0"/>
              <w:right w:val="single" w:color="auto" w:sz="6" w:space="0"/>
            </w:tcBorders>
            <w:noWrap/>
            <w:vAlign w:val="center"/>
          </w:tcPr>
          <w:p w14:paraId="54226BD5">
            <w:pPr>
              <w:widowControl/>
              <w:spacing w:line="300" w:lineRule="exact"/>
              <w:jc w:val="center"/>
              <w:rPr>
                <w:rFonts w:ascii="宋体" w:hAnsi="宋体"/>
                <w:kern w:val="0"/>
                <w:sz w:val="24"/>
                <w:szCs w:val="21"/>
              </w:rPr>
            </w:pPr>
            <w:r>
              <w:rPr>
                <w:rFonts w:ascii="宋体" w:hAnsi="宋体"/>
                <w:kern w:val="0"/>
                <w:sz w:val="24"/>
                <w:szCs w:val="21"/>
              </w:rPr>
              <w:t>1.50％</w:t>
            </w:r>
          </w:p>
        </w:tc>
        <w:tc>
          <w:tcPr>
            <w:tcW w:w="1839" w:type="dxa"/>
            <w:tcBorders>
              <w:top w:val="single" w:color="auto" w:sz="6" w:space="0"/>
              <w:left w:val="single" w:color="auto" w:sz="6" w:space="0"/>
              <w:bottom w:val="single" w:color="auto" w:sz="6" w:space="0"/>
              <w:right w:val="single" w:color="auto" w:sz="6" w:space="0"/>
            </w:tcBorders>
            <w:noWrap/>
            <w:vAlign w:val="center"/>
          </w:tcPr>
          <w:p w14:paraId="30FE22EF">
            <w:pPr>
              <w:widowControl/>
              <w:spacing w:line="300" w:lineRule="exact"/>
              <w:jc w:val="center"/>
              <w:rPr>
                <w:rFonts w:ascii="宋体" w:hAnsi="宋体"/>
                <w:kern w:val="0"/>
                <w:sz w:val="24"/>
                <w:szCs w:val="21"/>
              </w:rPr>
            </w:pPr>
            <w:r>
              <w:rPr>
                <w:rFonts w:ascii="宋体" w:hAnsi="宋体"/>
                <w:kern w:val="0"/>
                <w:sz w:val="24"/>
                <w:szCs w:val="21"/>
              </w:rPr>
              <w:t>1.50％</w:t>
            </w:r>
          </w:p>
        </w:tc>
        <w:tc>
          <w:tcPr>
            <w:tcW w:w="1701" w:type="dxa"/>
            <w:tcBorders>
              <w:top w:val="single" w:color="auto" w:sz="6" w:space="0"/>
              <w:left w:val="single" w:color="auto" w:sz="6" w:space="0"/>
              <w:bottom w:val="single" w:color="auto" w:sz="6" w:space="0"/>
              <w:right w:val="single" w:color="auto" w:sz="6" w:space="0"/>
            </w:tcBorders>
            <w:noWrap/>
            <w:vAlign w:val="center"/>
          </w:tcPr>
          <w:p w14:paraId="3C1C86A2">
            <w:pPr>
              <w:widowControl/>
              <w:spacing w:line="300" w:lineRule="exact"/>
              <w:jc w:val="center"/>
              <w:rPr>
                <w:rFonts w:ascii="宋体" w:hAnsi="宋体"/>
                <w:kern w:val="0"/>
                <w:sz w:val="24"/>
                <w:szCs w:val="21"/>
              </w:rPr>
            </w:pPr>
            <w:r>
              <w:rPr>
                <w:rFonts w:ascii="宋体" w:hAnsi="宋体"/>
                <w:kern w:val="0"/>
                <w:sz w:val="24"/>
                <w:szCs w:val="21"/>
              </w:rPr>
              <w:t>1.00％</w:t>
            </w:r>
          </w:p>
        </w:tc>
      </w:tr>
      <w:tr w14:paraId="781114E9">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ign w:val="center"/>
          </w:tcPr>
          <w:p w14:paraId="7C910900">
            <w:pPr>
              <w:widowControl/>
              <w:spacing w:line="300" w:lineRule="exact"/>
              <w:ind w:firstLine="204" w:firstLineChars="85"/>
              <w:jc w:val="center"/>
              <w:rPr>
                <w:rFonts w:ascii="宋体" w:hAnsi="宋体"/>
                <w:kern w:val="0"/>
                <w:sz w:val="24"/>
              </w:rPr>
            </w:pPr>
            <w:r>
              <w:rPr>
                <w:rFonts w:ascii="宋体" w:hAnsi="宋体"/>
                <w:kern w:val="0"/>
                <w:sz w:val="24"/>
                <w:szCs w:val="21"/>
              </w:rPr>
              <w:t>100—</w:t>
            </w:r>
            <w:r>
              <w:rPr>
                <w:rFonts w:ascii="宋体" w:hAnsi="宋体"/>
                <w:kern w:val="0"/>
                <w:sz w:val="24"/>
              </w:rPr>
              <w:t>500</w:t>
            </w:r>
          </w:p>
        </w:tc>
        <w:tc>
          <w:tcPr>
            <w:tcW w:w="1948" w:type="dxa"/>
            <w:tcBorders>
              <w:top w:val="single" w:color="auto" w:sz="6" w:space="0"/>
              <w:left w:val="single" w:color="auto" w:sz="6" w:space="0"/>
              <w:bottom w:val="single" w:color="auto" w:sz="6" w:space="0"/>
              <w:right w:val="single" w:color="auto" w:sz="6" w:space="0"/>
            </w:tcBorders>
            <w:noWrap/>
            <w:vAlign w:val="center"/>
          </w:tcPr>
          <w:p w14:paraId="57F74351">
            <w:pPr>
              <w:widowControl/>
              <w:spacing w:line="300" w:lineRule="exact"/>
              <w:jc w:val="center"/>
              <w:rPr>
                <w:rFonts w:ascii="宋体" w:hAnsi="宋体"/>
                <w:kern w:val="0"/>
                <w:sz w:val="24"/>
                <w:szCs w:val="21"/>
              </w:rPr>
            </w:pPr>
            <w:r>
              <w:rPr>
                <w:rFonts w:ascii="宋体" w:hAnsi="宋体"/>
                <w:kern w:val="0"/>
                <w:sz w:val="24"/>
                <w:szCs w:val="21"/>
              </w:rPr>
              <w:t>1.l0％</w:t>
            </w:r>
          </w:p>
        </w:tc>
        <w:tc>
          <w:tcPr>
            <w:tcW w:w="1839" w:type="dxa"/>
            <w:tcBorders>
              <w:top w:val="single" w:color="auto" w:sz="6" w:space="0"/>
              <w:left w:val="single" w:color="auto" w:sz="6" w:space="0"/>
              <w:bottom w:val="single" w:color="auto" w:sz="6" w:space="0"/>
              <w:right w:val="single" w:color="auto" w:sz="6" w:space="0"/>
            </w:tcBorders>
            <w:noWrap/>
            <w:vAlign w:val="center"/>
          </w:tcPr>
          <w:p w14:paraId="6A88F73F">
            <w:pPr>
              <w:widowControl/>
              <w:spacing w:line="300" w:lineRule="exact"/>
              <w:jc w:val="center"/>
              <w:rPr>
                <w:rFonts w:ascii="宋体" w:hAnsi="宋体"/>
                <w:kern w:val="0"/>
                <w:sz w:val="24"/>
                <w:szCs w:val="21"/>
              </w:rPr>
            </w:pPr>
            <w:r>
              <w:rPr>
                <w:rFonts w:ascii="宋体" w:hAnsi="宋体"/>
                <w:kern w:val="0"/>
                <w:sz w:val="24"/>
                <w:szCs w:val="21"/>
              </w:rPr>
              <w:t>0.80％</w:t>
            </w:r>
          </w:p>
        </w:tc>
        <w:tc>
          <w:tcPr>
            <w:tcW w:w="1701" w:type="dxa"/>
            <w:tcBorders>
              <w:top w:val="single" w:color="auto" w:sz="6" w:space="0"/>
              <w:left w:val="single" w:color="auto" w:sz="6" w:space="0"/>
              <w:bottom w:val="single" w:color="auto" w:sz="6" w:space="0"/>
              <w:right w:val="single" w:color="auto" w:sz="6" w:space="0"/>
            </w:tcBorders>
            <w:noWrap/>
            <w:vAlign w:val="center"/>
          </w:tcPr>
          <w:p w14:paraId="4D778ECC">
            <w:pPr>
              <w:widowControl/>
              <w:spacing w:line="300" w:lineRule="exact"/>
              <w:jc w:val="center"/>
              <w:rPr>
                <w:rFonts w:ascii="宋体" w:hAnsi="宋体"/>
                <w:kern w:val="0"/>
                <w:sz w:val="24"/>
                <w:szCs w:val="21"/>
              </w:rPr>
            </w:pPr>
            <w:r>
              <w:rPr>
                <w:rFonts w:ascii="宋体" w:hAnsi="宋体"/>
                <w:kern w:val="0"/>
                <w:sz w:val="24"/>
                <w:szCs w:val="21"/>
              </w:rPr>
              <w:t>0.70％</w:t>
            </w:r>
          </w:p>
        </w:tc>
      </w:tr>
      <w:tr w14:paraId="0FDCEC9A">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ign w:val="center"/>
          </w:tcPr>
          <w:p w14:paraId="0972652E">
            <w:pPr>
              <w:widowControl/>
              <w:spacing w:line="300" w:lineRule="exact"/>
              <w:ind w:firstLine="204" w:firstLineChars="85"/>
              <w:jc w:val="center"/>
              <w:rPr>
                <w:rFonts w:ascii="宋体" w:hAnsi="宋体"/>
                <w:kern w:val="0"/>
                <w:sz w:val="24"/>
              </w:rPr>
            </w:pPr>
            <w:r>
              <w:rPr>
                <w:rFonts w:ascii="宋体" w:hAnsi="宋体"/>
                <w:kern w:val="0"/>
                <w:sz w:val="24"/>
                <w:szCs w:val="21"/>
              </w:rPr>
              <w:t>500—</w:t>
            </w:r>
            <w:r>
              <w:rPr>
                <w:rFonts w:ascii="宋体" w:hAnsi="宋体"/>
                <w:kern w:val="0"/>
                <w:sz w:val="24"/>
              </w:rPr>
              <w:t>1000</w:t>
            </w:r>
          </w:p>
        </w:tc>
        <w:tc>
          <w:tcPr>
            <w:tcW w:w="1948" w:type="dxa"/>
            <w:tcBorders>
              <w:top w:val="single" w:color="auto" w:sz="6" w:space="0"/>
              <w:left w:val="single" w:color="auto" w:sz="6" w:space="0"/>
              <w:bottom w:val="single" w:color="auto" w:sz="6" w:space="0"/>
              <w:right w:val="single" w:color="auto" w:sz="6" w:space="0"/>
            </w:tcBorders>
            <w:noWrap/>
            <w:vAlign w:val="center"/>
          </w:tcPr>
          <w:p w14:paraId="699F5D7A">
            <w:pPr>
              <w:widowControl/>
              <w:spacing w:line="300" w:lineRule="exact"/>
              <w:jc w:val="center"/>
              <w:rPr>
                <w:rFonts w:ascii="宋体" w:hAnsi="宋体"/>
                <w:kern w:val="0"/>
                <w:sz w:val="24"/>
                <w:szCs w:val="21"/>
              </w:rPr>
            </w:pPr>
            <w:r>
              <w:rPr>
                <w:rFonts w:ascii="宋体" w:hAnsi="宋体"/>
                <w:kern w:val="0"/>
                <w:sz w:val="24"/>
                <w:szCs w:val="21"/>
              </w:rPr>
              <w:t>0.80％</w:t>
            </w:r>
          </w:p>
        </w:tc>
        <w:tc>
          <w:tcPr>
            <w:tcW w:w="1839" w:type="dxa"/>
            <w:tcBorders>
              <w:top w:val="single" w:color="auto" w:sz="6" w:space="0"/>
              <w:left w:val="single" w:color="auto" w:sz="6" w:space="0"/>
              <w:bottom w:val="single" w:color="auto" w:sz="6" w:space="0"/>
              <w:right w:val="single" w:color="auto" w:sz="6" w:space="0"/>
            </w:tcBorders>
            <w:noWrap/>
            <w:vAlign w:val="center"/>
          </w:tcPr>
          <w:p w14:paraId="3B344911">
            <w:pPr>
              <w:widowControl/>
              <w:spacing w:line="300" w:lineRule="exact"/>
              <w:jc w:val="center"/>
              <w:rPr>
                <w:rFonts w:ascii="宋体" w:hAnsi="宋体"/>
                <w:kern w:val="0"/>
                <w:sz w:val="24"/>
                <w:szCs w:val="21"/>
              </w:rPr>
            </w:pPr>
            <w:r>
              <w:rPr>
                <w:rFonts w:ascii="宋体" w:hAnsi="宋体"/>
                <w:kern w:val="0"/>
                <w:sz w:val="24"/>
                <w:szCs w:val="21"/>
              </w:rPr>
              <w:t>0.45％</w:t>
            </w:r>
          </w:p>
        </w:tc>
        <w:tc>
          <w:tcPr>
            <w:tcW w:w="1701" w:type="dxa"/>
            <w:tcBorders>
              <w:top w:val="single" w:color="auto" w:sz="6" w:space="0"/>
              <w:left w:val="single" w:color="auto" w:sz="6" w:space="0"/>
              <w:bottom w:val="single" w:color="auto" w:sz="6" w:space="0"/>
              <w:right w:val="single" w:color="auto" w:sz="6" w:space="0"/>
            </w:tcBorders>
            <w:noWrap/>
            <w:vAlign w:val="center"/>
          </w:tcPr>
          <w:p w14:paraId="2B6EF111">
            <w:pPr>
              <w:widowControl/>
              <w:spacing w:line="300" w:lineRule="exact"/>
              <w:jc w:val="center"/>
              <w:rPr>
                <w:rFonts w:ascii="宋体" w:hAnsi="宋体"/>
                <w:kern w:val="0"/>
                <w:sz w:val="24"/>
                <w:szCs w:val="21"/>
              </w:rPr>
            </w:pPr>
            <w:r>
              <w:rPr>
                <w:rFonts w:ascii="宋体" w:hAnsi="宋体"/>
                <w:kern w:val="0"/>
                <w:sz w:val="24"/>
                <w:szCs w:val="21"/>
              </w:rPr>
              <w:t>0.55％</w:t>
            </w:r>
          </w:p>
        </w:tc>
      </w:tr>
      <w:tr w14:paraId="54BE034E">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ign w:val="center"/>
          </w:tcPr>
          <w:p w14:paraId="330502C2">
            <w:pPr>
              <w:widowControl/>
              <w:spacing w:line="300" w:lineRule="exact"/>
              <w:ind w:firstLine="204" w:firstLineChars="85"/>
              <w:jc w:val="center"/>
              <w:rPr>
                <w:rFonts w:ascii="宋体" w:hAnsi="宋体"/>
                <w:kern w:val="0"/>
                <w:sz w:val="24"/>
              </w:rPr>
            </w:pPr>
            <w:r>
              <w:rPr>
                <w:rFonts w:ascii="宋体" w:hAnsi="宋体"/>
                <w:kern w:val="0"/>
                <w:sz w:val="24"/>
                <w:szCs w:val="21"/>
              </w:rPr>
              <w:t>1000—</w:t>
            </w:r>
            <w:r>
              <w:rPr>
                <w:rFonts w:ascii="宋体" w:hAnsi="宋体"/>
                <w:kern w:val="0"/>
                <w:sz w:val="24"/>
              </w:rPr>
              <w:t>5000</w:t>
            </w:r>
          </w:p>
        </w:tc>
        <w:tc>
          <w:tcPr>
            <w:tcW w:w="1948" w:type="dxa"/>
            <w:tcBorders>
              <w:top w:val="single" w:color="auto" w:sz="6" w:space="0"/>
              <w:left w:val="single" w:color="auto" w:sz="6" w:space="0"/>
              <w:bottom w:val="single" w:color="auto" w:sz="6" w:space="0"/>
              <w:right w:val="single" w:color="auto" w:sz="6" w:space="0"/>
            </w:tcBorders>
            <w:noWrap/>
            <w:vAlign w:val="center"/>
          </w:tcPr>
          <w:p w14:paraId="004439C2">
            <w:pPr>
              <w:widowControl/>
              <w:spacing w:line="300" w:lineRule="exact"/>
              <w:jc w:val="center"/>
              <w:rPr>
                <w:rFonts w:ascii="宋体" w:hAnsi="宋体"/>
                <w:kern w:val="0"/>
                <w:sz w:val="24"/>
                <w:szCs w:val="21"/>
              </w:rPr>
            </w:pPr>
            <w:r>
              <w:rPr>
                <w:rFonts w:ascii="宋体" w:hAnsi="宋体"/>
                <w:kern w:val="0"/>
                <w:sz w:val="24"/>
                <w:szCs w:val="21"/>
              </w:rPr>
              <w:t>0.50％</w:t>
            </w:r>
          </w:p>
        </w:tc>
        <w:tc>
          <w:tcPr>
            <w:tcW w:w="1839" w:type="dxa"/>
            <w:tcBorders>
              <w:top w:val="single" w:color="auto" w:sz="6" w:space="0"/>
              <w:left w:val="single" w:color="auto" w:sz="6" w:space="0"/>
              <w:bottom w:val="single" w:color="auto" w:sz="6" w:space="0"/>
              <w:right w:val="single" w:color="auto" w:sz="6" w:space="0"/>
            </w:tcBorders>
            <w:noWrap/>
            <w:vAlign w:val="center"/>
          </w:tcPr>
          <w:p w14:paraId="35045CD3">
            <w:pPr>
              <w:widowControl/>
              <w:spacing w:line="300" w:lineRule="exact"/>
              <w:jc w:val="center"/>
              <w:rPr>
                <w:rFonts w:ascii="宋体" w:hAnsi="宋体"/>
                <w:kern w:val="0"/>
                <w:sz w:val="24"/>
                <w:szCs w:val="21"/>
              </w:rPr>
            </w:pPr>
            <w:r>
              <w:rPr>
                <w:rFonts w:ascii="宋体" w:hAnsi="宋体"/>
                <w:kern w:val="0"/>
                <w:sz w:val="24"/>
                <w:szCs w:val="21"/>
              </w:rPr>
              <w:t>0.25％</w:t>
            </w:r>
          </w:p>
        </w:tc>
        <w:tc>
          <w:tcPr>
            <w:tcW w:w="1701" w:type="dxa"/>
            <w:tcBorders>
              <w:top w:val="single" w:color="auto" w:sz="6" w:space="0"/>
              <w:left w:val="single" w:color="auto" w:sz="6" w:space="0"/>
              <w:bottom w:val="single" w:color="auto" w:sz="6" w:space="0"/>
              <w:right w:val="single" w:color="auto" w:sz="6" w:space="0"/>
            </w:tcBorders>
            <w:noWrap/>
            <w:vAlign w:val="center"/>
          </w:tcPr>
          <w:p w14:paraId="3346FF62">
            <w:pPr>
              <w:widowControl/>
              <w:spacing w:line="300" w:lineRule="exact"/>
              <w:jc w:val="center"/>
              <w:rPr>
                <w:rFonts w:ascii="宋体" w:hAnsi="宋体"/>
                <w:kern w:val="0"/>
                <w:sz w:val="24"/>
                <w:szCs w:val="21"/>
              </w:rPr>
            </w:pPr>
            <w:r>
              <w:rPr>
                <w:rFonts w:ascii="宋体" w:hAnsi="宋体"/>
                <w:kern w:val="0"/>
                <w:sz w:val="24"/>
                <w:szCs w:val="21"/>
              </w:rPr>
              <w:t>0.35％</w:t>
            </w:r>
          </w:p>
        </w:tc>
      </w:tr>
      <w:tr w14:paraId="179F8DDA">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ign w:val="center"/>
          </w:tcPr>
          <w:p w14:paraId="79D7B41E">
            <w:pPr>
              <w:widowControl/>
              <w:spacing w:line="300" w:lineRule="exact"/>
              <w:ind w:firstLine="204" w:firstLineChars="85"/>
              <w:jc w:val="center"/>
              <w:rPr>
                <w:rFonts w:ascii="宋体" w:hAnsi="宋体"/>
                <w:kern w:val="0"/>
                <w:sz w:val="24"/>
              </w:rPr>
            </w:pPr>
            <w:r>
              <w:rPr>
                <w:rFonts w:ascii="宋体" w:hAnsi="宋体"/>
                <w:kern w:val="0"/>
                <w:sz w:val="24"/>
                <w:szCs w:val="21"/>
              </w:rPr>
              <w:t>5000—</w:t>
            </w:r>
            <w:r>
              <w:rPr>
                <w:rFonts w:ascii="宋体" w:hAnsi="宋体"/>
                <w:kern w:val="0"/>
                <w:sz w:val="24"/>
              </w:rPr>
              <w:t>10000</w:t>
            </w:r>
          </w:p>
        </w:tc>
        <w:tc>
          <w:tcPr>
            <w:tcW w:w="1948" w:type="dxa"/>
            <w:tcBorders>
              <w:top w:val="single" w:color="auto" w:sz="6" w:space="0"/>
              <w:left w:val="single" w:color="auto" w:sz="6" w:space="0"/>
              <w:bottom w:val="single" w:color="auto" w:sz="6" w:space="0"/>
              <w:right w:val="single" w:color="auto" w:sz="6" w:space="0"/>
            </w:tcBorders>
            <w:noWrap/>
            <w:vAlign w:val="center"/>
          </w:tcPr>
          <w:p w14:paraId="2F7ADAC9">
            <w:pPr>
              <w:widowControl/>
              <w:spacing w:line="300" w:lineRule="exact"/>
              <w:jc w:val="center"/>
              <w:rPr>
                <w:rFonts w:ascii="宋体" w:hAnsi="宋体"/>
                <w:kern w:val="0"/>
                <w:sz w:val="24"/>
                <w:szCs w:val="21"/>
              </w:rPr>
            </w:pPr>
            <w:r>
              <w:rPr>
                <w:rFonts w:ascii="宋体" w:hAnsi="宋体"/>
                <w:kern w:val="0"/>
                <w:sz w:val="24"/>
                <w:szCs w:val="21"/>
              </w:rPr>
              <w:t>0.25％</w:t>
            </w:r>
          </w:p>
        </w:tc>
        <w:tc>
          <w:tcPr>
            <w:tcW w:w="1839" w:type="dxa"/>
            <w:tcBorders>
              <w:top w:val="single" w:color="auto" w:sz="6" w:space="0"/>
              <w:left w:val="single" w:color="auto" w:sz="6" w:space="0"/>
              <w:bottom w:val="single" w:color="auto" w:sz="6" w:space="0"/>
              <w:right w:val="single" w:color="auto" w:sz="6" w:space="0"/>
            </w:tcBorders>
            <w:noWrap/>
            <w:vAlign w:val="center"/>
          </w:tcPr>
          <w:p w14:paraId="618B8373">
            <w:pPr>
              <w:widowControl/>
              <w:spacing w:line="300" w:lineRule="exact"/>
              <w:jc w:val="center"/>
              <w:rPr>
                <w:rFonts w:ascii="宋体" w:hAnsi="宋体"/>
                <w:kern w:val="0"/>
                <w:sz w:val="24"/>
                <w:szCs w:val="21"/>
              </w:rPr>
            </w:pPr>
            <w:r>
              <w:rPr>
                <w:rFonts w:ascii="宋体" w:hAnsi="宋体"/>
                <w:kern w:val="0"/>
                <w:sz w:val="24"/>
                <w:szCs w:val="21"/>
              </w:rPr>
              <w:t>0.10％</w:t>
            </w:r>
          </w:p>
        </w:tc>
        <w:tc>
          <w:tcPr>
            <w:tcW w:w="1701" w:type="dxa"/>
            <w:tcBorders>
              <w:top w:val="single" w:color="auto" w:sz="6" w:space="0"/>
              <w:left w:val="single" w:color="auto" w:sz="6" w:space="0"/>
              <w:bottom w:val="single" w:color="auto" w:sz="6" w:space="0"/>
              <w:right w:val="single" w:color="auto" w:sz="6" w:space="0"/>
            </w:tcBorders>
            <w:noWrap/>
            <w:vAlign w:val="center"/>
          </w:tcPr>
          <w:p w14:paraId="73057C6A">
            <w:pPr>
              <w:widowControl/>
              <w:spacing w:line="300" w:lineRule="exact"/>
              <w:jc w:val="center"/>
              <w:rPr>
                <w:rFonts w:ascii="宋体" w:hAnsi="宋体"/>
                <w:kern w:val="0"/>
                <w:sz w:val="24"/>
                <w:szCs w:val="21"/>
              </w:rPr>
            </w:pPr>
            <w:r>
              <w:rPr>
                <w:rFonts w:ascii="宋体" w:hAnsi="宋体"/>
                <w:kern w:val="0"/>
                <w:sz w:val="24"/>
                <w:szCs w:val="21"/>
              </w:rPr>
              <w:t>0.20％</w:t>
            </w:r>
          </w:p>
        </w:tc>
      </w:tr>
      <w:tr w14:paraId="6B123713">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ign w:val="center"/>
          </w:tcPr>
          <w:p w14:paraId="340FE3C3">
            <w:pPr>
              <w:widowControl/>
              <w:spacing w:line="300" w:lineRule="exact"/>
              <w:ind w:firstLine="204" w:firstLineChars="85"/>
              <w:jc w:val="center"/>
              <w:rPr>
                <w:rFonts w:ascii="宋体" w:hAnsi="宋体"/>
                <w:kern w:val="0"/>
                <w:sz w:val="24"/>
              </w:rPr>
            </w:pPr>
            <w:r>
              <w:rPr>
                <w:rFonts w:ascii="宋体" w:hAnsi="宋体"/>
                <w:kern w:val="0"/>
                <w:sz w:val="24"/>
                <w:szCs w:val="21"/>
              </w:rPr>
              <w:t>10000—</w:t>
            </w:r>
            <w:r>
              <w:rPr>
                <w:rFonts w:ascii="宋体" w:hAnsi="宋体"/>
                <w:kern w:val="0"/>
                <w:sz w:val="24"/>
              </w:rPr>
              <w:t>100000</w:t>
            </w:r>
          </w:p>
        </w:tc>
        <w:tc>
          <w:tcPr>
            <w:tcW w:w="1948" w:type="dxa"/>
            <w:tcBorders>
              <w:top w:val="single" w:color="auto" w:sz="6" w:space="0"/>
              <w:left w:val="single" w:color="auto" w:sz="6" w:space="0"/>
              <w:bottom w:val="single" w:color="auto" w:sz="6" w:space="0"/>
              <w:right w:val="single" w:color="auto" w:sz="6" w:space="0"/>
            </w:tcBorders>
            <w:noWrap/>
            <w:vAlign w:val="center"/>
          </w:tcPr>
          <w:p w14:paraId="15D750BD">
            <w:pPr>
              <w:widowControl/>
              <w:spacing w:line="300" w:lineRule="exact"/>
              <w:jc w:val="center"/>
              <w:rPr>
                <w:rFonts w:ascii="宋体" w:hAnsi="宋体"/>
                <w:kern w:val="0"/>
                <w:sz w:val="24"/>
                <w:szCs w:val="21"/>
              </w:rPr>
            </w:pPr>
            <w:r>
              <w:rPr>
                <w:rFonts w:ascii="宋体" w:hAnsi="宋体"/>
                <w:kern w:val="0"/>
                <w:sz w:val="24"/>
                <w:szCs w:val="21"/>
              </w:rPr>
              <w:t>0.05％</w:t>
            </w:r>
          </w:p>
        </w:tc>
        <w:tc>
          <w:tcPr>
            <w:tcW w:w="1839" w:type="dxa"/>
            <w:tcBorders>
              <w:top w:val="single" w:color="auto" w:sz="6" w:space="0"/>
              <w:left w:val="single" w:color="auto" w:sz="6" w:space="0"/>
              <w:bottom w:val="single" w:color="auto" w:sz="6" w:space="0"/>
              <w:right w:val="single" w:color="auto" w:sz="6" w:space="0"/>
            </w:tcBorders>
            <w:noWrap/>
            <w:vAlign w:val="center"/>
          </w:tcPr>
          <w:p w14:paraId="4C55464C">
            <w:pPr>
              <w:widowControl/>
              <w:spacing w:line="300" w:lineRule="exact"/>
              <w:jc w:val="center"/>
              <w:rPr>
                <w:rFonts w:ascii="宋体" w:hAnsi="宋体"/>
                <w:kern w:val="0"/>
                <w:sz w:val="24"/>
                <w:szCs w:val="21"/>
              </w:rPr>
            </w:pPr>
            <w:r>
              <w:rPr>
                <w:rFonts w:ascii="宋体" w:hAnsi="宋体"/>
                <w:kern w:val="0"/>
                <w:sz w:val="24"/>
                <w:szCs w:val="21"/>
              </w:rPr>
              <w:t>0.05％</w:t>
            </w:r>
          </w:p>
        </w:tc>
        <w:tc>
          <w:tcPr>
            <w:tcW w:w="1701" w:type="dxa"/>
            <w:tcBorders>
              <w:top w:val="single" w:color="auto" w:sz="6" w:space="0"/>
              <w:left w:val="single" w:color="auto" w:sz="6" w:space="0"/>
              <w:bottom w:val="single" w:color="auto" w:sz="6" w:space="0"/>
              <w:right w:val="single" w:color="auto" w:sz="6" w:space="0"/>
            </w:tcBorders>
            <w:noWrap/>
            <w:vAlign w:val="center"/>
          </w:tcPr>
          <w:p w14:paraId="2A4CE7A6">
            <w:pPr>
              <w:widowControl/>
              <w:spacing w:line="300" w:lineRule="exact"/>
              <w:jc w:val="center"/>
              <w:rPr>
                <w:rFonts w:ascii="宋体" w:hAnsi="宋体"/>
                <w:kern w:val="0"/>
                <w:sz w:val="24"/>
                <w:szCs w:val="21"/>
              </w:rPr>
            </w:pPr>
            <w:r>
              <w:rPr>
                <w:rFonts w:ascii="宋体" w:hAnsi="宋体"/>
                <w:kern w:val="0"/>
                <w:sz w:val="24"/>
                <w:szCs w:val="21"/>
              </w:rPr>
              <w:t>0.05％</w:t>
            </w:r>
          </w:p>
        </w:tc>
      </w:tr>
      <w:tr w14:paraId="43FA871D">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ign w:val="center"/>
          </w:tcPr>
          <w:p w14:paraId="2CFE7C4A">
            <w:pPr>
              <w:widowControl/>
              <w:spacing w:line="300" w:lineRule="exact"/>
              <w:ind w:firstLine="204" w:firstLineChars="85"/>
              <w:jc w:val="center"/>
              <w:rPr>
                <w:rFonts w:ascii="宋体" w:hAnsi="宋体"/>
                <w:kern w:val="0"/>
                <w:sz w:val="24"/>
                <w:szCs w:val="21"/>
              </w:rPr>
            </w:pPr>
            <w:r>
              <w:rPr>
                <w:rFonts w:ascii="宋体" w:hAnsi="宋体"/>
                <w:kern w:val="0"/>
                <w:sz w:val="24"/>
                <w:szCs w:val="21"/>
              </w:rPr>
              <w:t>1000000以上</w:t>
            </w:r>
          </w:p>
        </w:tc>
        <w:tc>
          <w:tcPr>
            <w:tcW w:w="1948" w:type="dxa"/>
            <w:tcBorders>
              <w:top w:val="single" w:color="auto" w:sz="6" w:space="0"/>
              <w:left w:val="single" w:color="auto" w:sz="6" w:space="0"/>
              <w:bottom w:val="single" w:color="auto" w:sz="6" w:space="0"/>
              <w:right w:val="single" w:color="auto" w:sz="6" w:space="0"/>
            </w:tcBorders>
            <w:noWrap/>
            <w:vAlign w:val="center"/>
          </w:tcPr>
          <w:p w14:paraId="5FA2D542">
            <w:pPr>
              <w:widowControl/>
              <w:spacing w:line="300" w:lineRule="exact"/>
              <w:jc w:val="center"/>
              <w:rPr>
                <w:rFonts w:ascii="宋体" w:hAnsi="宋体"/>
                <w:kern w:val="0"/>
                <w:sz w:val="24"/>
                <w:szCs w:val="21"/>
              </w:rPr>
            </w:pPr>
            <w:r>
              <w:rPr>
                <w:rFonts w:ascii="宋体" w:hAnsi="宋体"/>
                <w:kern w:val="0"/>
                <w:sz w:val="24"/>
                <w:szCs w:val="21"/>
              </w:rPr>
              <w:t>0.01％</w:t>
            </w:r>
          </w:p>
        </w:tc>
        <w:tc>
          <w:tcPr>
            <w:tcW w:w="1839" w:type="dxa"/>
            <w:tcBorders>
              <w:top w:val="single" w:color="auto" w:sz="6" w:space="0"/>
              <w:left w:val="single" w:color="auto" w:sz="6" w:space="0"/>
              <w:bottom w:val="single" w:color="auto" w:sz="6" w:space="0"/>
              <w:right w:val="single" w:color="auto" w:sz="6" w:space="0"/>
            </w:tcBorders>
            <w:noWrap/>
            <w:vAlign w:val="center"/>
          </w:tcPr>
          <w:p w14:paraId="63A609F7">
            <w:pPr>
              <w:widowControl/>
              <w:spacing w:line="300" w:lineRule="exact"/>
              <w:jc w:val="center"/>
              <w:rPr>
                <w:rFonts w:ascii="宋体" w:hAnsi="宋体"/>
                <w:kern w:val="0"/>
                <w:sz w:val="24"/>
                <w:szCs w:val="21"/>
              </w:rPr>
            </w:pPr>
            <w:r>
              <w:rPr>
                <w:rFonts w:ascii="宋体" w:hAnsi="宋体"/>
                <w:kern w:val="0"/>
                <w:sz w:val="24"/>
                <w:szCs w:val="21"/>
              </w:rPr>
              <w:t>0.01％</w:t>
            </w:r>
          </w:p>
        </w:tc>
        <w:tc>
          <w:tcPr>
            <w:tcW w:w="1701" w:type="dxa"/>
            <w:tcBorders>
              <w:top w:val="single" w:color="auto" w:sz="6" w:space="0"/>
              <w:left w:val="single" w:color="auto" w:sz="6" w:space="0"/>
              <w:bottom w:val="single" w:color="auto" w:sz="6" w:space="0"/>
              <w:right w:val="single" w:color="auto" w:sz="6" w:space="0"/>
            </w:tcBorders>
            <w:noWrap/>
            <w:vAlign w:val="center"/>
          </w:tcPr>
          <w:p w14:paraId="08D653FA">
            <w:pPr>
              <w:widowControl/>
              <w:spacing w:line="300" w:lineRule="exact"/>
              <w:jc w:val="center"/>
              <w:rPr>
                <w:rFonts w:ascii="宋体" w:hAnsi="宋体"/>
                <w:kern w:val="0"/>
                <w:sz w:val="24"/>
                <w:szCs w:val="21"/>
              </w:rPr>
            </w:pPr>
            <w:r>
              <w:rPr>
                <w:rFonts w:ascii="宋体" w:hAnsi="宋体"/>
                <w:kern w:val="0"/>
                <w:sz w:val="24"/>
                <w:szCs w:val="21"/>
              </w:rPr>
              <w:t>0.01％</w:t>
            </w:r>
          </w:p>
        </w:tc>
      </w:tr>
    </w:tbl>
    <w:p w14:paraId="551FF62C">
      <w:pPr>
        <w:ind w:firstLine="482" w:firstLineChars="200"/>
        <w:rPr>
          <w:rFonts w:ascii="宋体" w:hAnsi="宋体"/>
          <w:b/>
          <w:bCs/>
          <w:sz w:val="24"/>
        </w:rPr>
      </w:pPr>
      <w:r>
        <w:rPr>
          <w:rFonts w:ascii="宋体" w:hAnsi="宋体"/>
          <w:b/>
          <w:sz w:val="24"/>
        </w:rPr>
        <w:t>注：本次项目</w:t>
      </w:r>
      <w:r>
        <w:rPr>
          <w:rFonts w:ascii="宋体" w:hAnsi="宋体"/>
          <w:b/>
          <w:bCs/>
          <w:sz w:val="24"/>
        </w:rPr>
        <w:t>属</w:t>
      </w:r>
      <w:r>
        <w:rPr>
          <w:rFonts w:hint="eastAsia" w:ascii="宋体" w:hAnsi="宋体"/>
          <w:b/>
          <w:bCs/>
          <w:sz w:val="24"/>
        </w:rPr>
        <w:t>服务类</w:t>
      </w:r>
      <w:r>
        <w:rPr>
          <w:rFonts w:ascii="宋体" w:hAnsi="宋体"/>
          <w:b/>
          <w:bCs/>
          <w:sz w:val="24"/>
        </w:rPr>
        <w:t>招标类型。</w:t>
      </w:r>
    </w:p>
    <w:p w14:paraId="34C7F0E8">
      <w:pPr>
        <w:ind w:firstLine="480" w:firstLineChars="200"/>
        <w:rPr>
          <w:rFonts w:ascii="宋体" w:hAnsi="宋体"/>
          <w:sz w:val="24"/>
        </w:rPr>
      </w:pPr>
      <w:r>
        <w:rPr>
          <w:rFonts w:hint="eastAsia" w:ascii="宋体" w:hAnsi="宋体"/>
          <w:sz w:val="24"/>
        </w:rPr>
        <w:t>6</w:t>
      </w:r>
      <w:r>
        <w:rPr>
          <w:rFonts w:ascii="宋体" w:hAnsi="宋体"/>
          <w:sz w:val="24"/>
        </w:rPr>
        <w:t>.3</w:t>
      </w:r>
      <w:r>
        <w:rPr>
          <w:rFonts w:ascii="宋体" w:hAnsi="宋体"/>
          <w:sz w:val="24"/>
          <w:lang w:val="zh-CN"/>
        </w:rPr>
        <w:t>采购代理服务费在领取中标通知书时向中标人收取，可用银行汇票、电汇、银行本票、网银等方式支付。</w:t>
      </w:r>
    </w:p>
    <w:p w14:paraId="53AD8EEE">
      <w:pPr>
        <w:autoSpaceDE w:val="0"/>
        <w:autoSpaceDN w:val="0"/>
        <w:spacing w:line="400" w:lineRule="exact"/>
        <w:ind w:firstLine="480" w:firstLineChars="200"/>
        <w:jc w:val="left"/>
        <w:rPr>
          <w:rFonts w:ascii="宋体" w:hAnsi="宋体"/>
          <w:b/>
          <w:sz w:val="24"/>
        </w:rPr>
      </w:pPr>
      <w:r>
        <w:rPr>
          <w:rFonts w:hint="eastAsia" w:ascii="宋体" w:hAnsi="宋体"/>
          <w:sz w:val="24"/>
        </w:rPr>
        <w:t>6</w:t>
      </w:r>
      <w:r>
        <w:rPr>
          <w:rFonts w:ascii="宋体" w:hAnsi="宋体"/>
          <w:sz w:val="24"/>
        </w:rPr>
        <w:t>.4</w:t>
      </w:r>
      <w:r>
        <w:rPr>
          <w:rFonts w:ascii="宋体" w:hAnsi="宋体"/>
          <w:sz w:val="24"/>
          <w:lang w:val="zh-CN"/>
        </w:rPr>
        <w:t>采购代理服务费不在报价中单列，请供应商在报价时予以考虑。</w:t>
      </w:r>
    </w:p>
    <w:p w14:paraId="5FBEB6FB">
      <w:pPr>
        <w:pStyle w:val="29"/>
        <w:spacing w:line="440" w:lineRule="atLeast"/>
        <w:ind w:firstLine="480" w:firstLineChars="200"/>
        <w:rPr>
          <w:rFonts w:hAnsi="宋体" w:cs="宋体"/>
          <w:sz w:val="24"/>
          <w:szCs w:val="24"/>
        </w:rPr>
      </w:pPr>
      <w:r>
        <w:rPr>
          <w:rFonts w:hint="eastAsia" w:hAnsi="宋体" w:cs="宋体"/>
          <w:sz w:val="24"/>
          <w:szCs w:val="24"/>
        </w:rPr>
        <w:t>7.通知的告知及获取</w:t>
      </w:r>
    </w:p>
    <w:p w14:paraId="4E28BE20">
      <w:pPr>
        <w:pStyle w:val="29"/>
        <w:spacing w:line="440" w:lineRule="atLeast"/>
        <w:ind w:firstLine="480" w:firstLineChars="200"/>
        <w:rPr>
          <w:rFonts w:hAnsi="宋体" w:cs="宋体"/>
          <w:sz w:val="24"/>
          <w:szCs w:val="24"/>
        </w:rPr>
      </w:pPr>
      <w:r>
        <w:rPr>
          <w:rFonts w:hint="eastAsia" w:hAnsi="宋体" w:cs="宋体"/>
          <w:sz w:val="24"/>
          <w:szCs w:val="24"/>
        </w:rPr>
        <w:t>7.1通知的告知</w:t>
      </w:r>
    </w:p>
    <w:p w14:paraId="2B11E6D9">
      <w:pPr>
        <w:pStyle w:val="29"/>
        <w:spacing w:line="440" w:lineRule="atLeast"/>
        <w:ind w:firstLine="480" w:firstLineChars="200"/>
        <w:rPr>
          <w:rFonts w:hAnsi="宋体" w:cs="宋体"/>
          <w:sz w:val="24"/>
          <w:szCs w:val="24"/>
        </w:rPr>
      </w:pPr>
      <w:r>
        <w:rPr>
          <w:rFonts w:hint="eastAsia" w:hAnsi="宋体" w:cs="宋体"/>
          <w:sz w:val="24"/>
          <w:szCs w:val="24"/>
        </w:rPr>
        <w:t>对与本项目有关的通知，采购代理机构将以在本次招标公告刊登的媒体上发布公告的形式告知所有已获取了采购文件的投标人及潜在投标人。</w:t>
      </w:r>
    </w:p>
    <w:p w14:paraId="12010CFE">
      <w:pPr>
        <w:pStyle w:val="29"/>
        <w:spacing w:line="440" w:lineRule="atLeast"/>
        <w:ind w:firstLine="480" w:firstLineChars="200"/>
        <w:rPr>
          <w:rFonts w:hAnsi="宋体" w:cs="宋体"/>
          <w:sz w:val="24"/>
          <w:szCs w:val="24"/>
        </w:rPr>
      </w:pPr>
      <w:r>
        <w:rPr>
          <w:rFonts w:hint="eastAsia" w:hAnsi="宋体" w:cs="宋体"/>
          <w:sz w:val="24"/>
          <w:szCs w:val="24"/>
        </w:rPr>
        <w:t>7.2通知的获取</w:t>
      </w:r>
    </w:p>
    <w:p w14:paraId="5B4C7AC6">
      <w:pPr>
        <w:spacing w:line="400" w:lineRule="atLeast"/>
        <w:ind w:firstLine="480" w:firstLineChars="200"/>
        <w:rPr>
          <w:rFonts w:ascii="宋体" w:hAnsi="宋体" w:cs="宋体"/>
          <w:sz w:val="24"/>
        </w:rPr>
      </w:pPr>
      <w:r>
        <w:rPr>
          <w:rFonts w:hint="eastAsia" w:ascii="宋体" w:hAnsi="宋体" w:cs="宋体"/>
          <w:sz w:val="24"/>
        </w:rPr>
        <w:t>已在浙江省政府采购网注册的正式投标人可登录政采云平台（网址：https://login.zcygov.cn/login）获取采购文件。其他投标人可在浙江政府采购网（https://zfcg.czt.zj.gov.cn）免费下载。</w:t>
      </w:r>
    </w:p>
    <w:p w14:paraId="4901E8BF">
      <w:pPr>
        <w:spacing w:line="440" w:lineRule="atLeast"/>
        <w:ind w:firstLine="482" w:firstLineChars="200"/>
        <w:rPr>
          <w:rFonts w:ascii="宋体" w:hAnsi="宋体" w:cs="宋体"/>
          <w:b/>
          <w:sz w:val="24"/>
        </w:rPr>
      </w:pPr>
      <w:r>
        <w:rPr>
          <w:rFonts w:hint="eastAsia" w:ascii="宋体" w:hAnsi="宋体" w:cs="宋体"/>
          <w:b/>
          <w:sz w:val="24"/>
        </w:rPr>
        <w:t>8．联合体投标</w:t>
      </w:r>
    </w:p>
    <w:p w14:paraId="664FCF7B">
      <w:pPr>
        <w:spacing w:line="440" w:lineRule="atLeast"/>
        <w:ind w:firstLine="480" w:firstLineChars="200"/>
        <w:rPr>
          <w:rFonts w:ascii="宋体" w:hAnsi="宋体" w:cs="宋体"/>
          <w:sz w:val="24"/>
        </w:rPr>
      </w:pPr>
      <w:r>
        <w:rPr>
          <w:rFonts w:hint="eastAsia" w:ascii="宋体" w:hAnsi="宋体" w:cs="宋体"/>
          <w:sz w:val="24"/>
        </w:rPr>
        <w:t>本项目不接受联合体投标。</w:t>
      </w:r>
    </w:p>
    <w:p w14:paraId="4D3486A4">
      <w:pPr>
        <w:autoSpaceDE w:val="0"/>
        <w:autoSpaceDN w:val="0"/>
        <w:spacing w:line="400" w:lineRule="exact"/>
        <w:ind w:firstLine="482" w:firstLineChars="200"/>
        <w:jc w:val="left"/>
        <w:rPr>
          <w:rFonts w:ascii="宋体" w:hAnsi="宋体"/>
          <w:b/>
          <w:sz w:val="24"/>
          <w:lang w:val="zh-CN"/>
        </w:rPr>
      </w:pPr>
      <w:r>
        <w:rPr>
          <w:rFonts w:hint="eastAsia" w:ascii="宋体" w:hAnsi="宋体" w:cs="宋体"/>
          <w:b/>
          <w:sz w:val="24"/>
        </w:rPr>
        <w:t>9.</w:t>
      </w:r>
      <w:r>
        <w:rPr>
          <w:rFonts w:hint="eastAsia" w:ascii="宋体" w:hAnsi="宋体"/>
          <w:b/>
          <w:sz w:val="24"/>
          <w:lang w:val="zh-CN"/>
        </w:rPr>
        <w:t>现场踏勘</w:t>
      </w:r>
    </w:p>
    <w:p w14:paraId="09658B98">
      <w:pPr>
        <w:autoSpaceDE w:val="0"/>
        <w:autoSpaceDN w:val="0"/>
        <w:spacing w:line="400" w:lineRule="exact"/>
        <w:ind w:firstLine="480" w:firstLineChars="200"/>
        <w:jc w:val="left"/>
        <w:rPr>
          <w:rFonts w:ascii="宋体" w:hAnsi="宋体"/>
          <w:sz w:val="24"/>
          <w:lang w:val="zh-CN"/>
        </w:rPr>
      </w:pPr>
      <w:r>
        <w:rPr>
          <w:rFonts w:hint="eastAsia" w:ascii="宋体" w:hAnsi="宋体"/>
          <w:sz w:val="24"/>
          <w:lang w:val="zh-CN"/>
        </w:rPr>
        <w:t>不集中组织踏勘。潜在供应商可自行进行现场踏勘，如因未踏勘现场造成报价失误，是供应商的责任且成交后不予调整。</w:t>
      </w:r>
    </w:p>
    <w:p w14:paraId="6C3C9AC9">
      <w:pPr>
        <w:pStyle w:val="137"/>
        <w:snapToGrid w:val="0"/>
        <w:spacing w:before="0" w:line="440" w:lineRule="exact"/>
        <w:ind w:firstLine="482"/>
        <w:rPr>
          <w:rFonts w:ascii="宋体" w:hAnsi="宋体" w:cs="宋体"/>
          <w:b/>
          <w:szCs w:val="24"/>
        </w:rPr>
      </w:pPr>
      <w:r>
        <w:rPr>
          <w:rFonts w:hint="eastAsia" w:ascii="宋体" w:hAnsi="宋体" w:cs="宋体"/>
          <w:b/>
          <w:szCs w:val="24"/>
        </w:rPr>
        <w:t>10.特别说明</w:t>
      </w:r>
    </w:p>
    <w:p w14:paraId="4B1DDBDF">
      <w:pPr>
        <w:autoSpaceDE w:val="0"/>
        <w:autoSpaceDN w:val="0"/>
        <w:spacing w:line="400" w:lineRule="exact"/>
        <w:ind w:firstLine="480" w:firstLineChars="200"/>
        <w:jc w:val="left"/>
        <w:rPr>
          <w:rFonts w:ascii="宋体" w:hAnsi="宋体" w:cs="宋体"/>
          <w:sz w:val="24"/>
          <w:lang w:val="zh-CN"/>
        </w:rPr>
      </w:pPr>
      <w:r>
        <w:rPr>
          <w:rFonts w:hint="eastAsia" w:ascii="宋体" w:hAnsi="宋体" w:cs="宋体"/>
          <w:sz w:val="24"/>
          <w:lang w:val="zh-CN"/>
        </w:rPr>
        <w:t>▲10.1单位负责人为同一人或者存在直接控股、管理关系的不同生产企业，不得参加同一合同项下的政府采购活动。</w:t>
      </w:r>
    </w:p>
    <w:p w14:paraId="37EC3D28">
      <w:pPr>
        <w:autoSpaceDE w:val="0"/>
        <w:autoSpaceDN w:val="0"/>
        <w:spacing w:line="400" w:lineRule="exact"/>
        <w:ind w:firstLine="480" w:firstLineChars="200"/>
        <w:jc w:val="left"/>
        <w:rPr>
          <w:rFonts w:ascii="宋体" w:hAnsi="宋体"/>
          <w:sz w:val="24"/>
          <w:lang w:val="zh-CN"/>
        </w:rPr>
      </w:pPr>
      <w:r>
        <w:rPr>
          <w:rFonts w:ascii="宋体" w:hAnsi="宋体"/>
          <w:sz w:val="24"/>
          <w:lang w:val="zh-CN"/>
        </w:rPr>
        <w:t>▲</w:t>
      </w:r>
      <w:r>
        <w:rPr>
          <w:rFonts w:hint="eastAsia" w:ascii="宋体" w:hAnsi="宋体"/>
          <w:sz w:val="24"/>
        </w:rPr>
        <w:t>10</w:t>
      </w:r>
      <w:r>
        <w:rPr>
          <w:rFonts w:ascii="宋体" w:hAnsi="宋体"/>
          <w:sz w:val="24"/>
          <w:lang w:val="zh-CN"/>
        </w:rPr>
        <w:t>.2投标人投标所使用的资格、信誉、荣誉、业绩与企业认证必须为本单位所拥有。</w:t>
      </w:r>
      <w:r>
        <w:rPr>
          <w:rFonts w:ascii="宋体" w:hAnsi="宋体"/>
          <w:sz w:val="24"/>
        </w:rPr>
        <w:t>投标人投标所使用的采购项目实施人员必须为本单位员工（或必须为本单位或控股公司正式员工）。</w:t>
      </w:r>
    </w:p>
    <w:p w14:paraId="238DCED5">
      <w:pPr>
        <w:autoSpaceDE w:val="0"/>
        <w:autoSpaceDN w:val="0"/>
        <w:spacing w:line="400" w:lineRule="exact"/>
        <w:ind w:firstLine="480" w:firstLineChars="200"/>
        <w:jc w:val="left"/>
        <w:rPr>
          <w:rFonts w:ascii="宋体" w:hAnsi="宋体"/>
          <w:sz w:val="24"/>
          <w:lang w:val="zh-CN"/>
        </w:rPr>
      </w:pPr>
      <w:r>
        <w:rPr>
          <w:rFonts w:hint="eastAsia" w:ascii="宋体" w:hAnsi="宋体"/>
          <w:sz w:val="24"/>
          <w:lang w:val="zh-CN"/>
        </w:rPr>
        <w:t>▲10.</w:t>
      </w:r>
      <w:r>
        <w:rPr>
          <w:rFonts w:hint="eastAsia" w:ascii="宋体" w:hAnsi="宋体"/>
          <w:sz w:val="24"/>
        </w:rPr>
        <w:t>3</w:t>
      </w:r>
      <w:r>
        <w:rPr>
          <w:rFonts w:hint="eastAsia" w:ascii="宋体" w:hAnsi="宋体"/>
          <w:sz w:val="24"/>
          <w:lang w:val="zh-CN"/>
        </w:rPr>
        <w:t>投标人应仔细阅读采购文件的所有内容，按照采购文件的要求提交投标文件，并对所提供的全部资料的真实性承担法律责任。</w:t>
      </w:r>
    </w:p>
    <w:p w14:paraId="21236135">
      <w:pPr>
        <w:autoSpaceDE w:val="0"/>
        <w:autoSpaceDN w:val="0"/>
        <w:spacing w:line="400" w:lineRule="exact"/>
        <w:ind w:firstLine="480" w:firstLineChars="200"/>
        <w:jc w:val="left"/>
        <w:rPr>
          <w:rFonts w:ascii="宋体" w:hAnsi="宋体"/>
          <w:sz w:val="24"/>
        </w:rPr>
      </w:pPr>
      <w:r>
        <w:rPr>
          <w:rFonts w:hint="eastAsia" w:ascii="宋体" w:hAnsi="宋体"/>
          <w:sz w:val="24"/>
        </w:rPr>
        <w:t>10.4供应商之间的利害关系</w:t>
      </w:r>
    </w:p>
    <w:p w14:paraId="03F6640D">
      <w:pPr>
        <w:autoSpaceDE w:val="0"/>
        <w:autoSpaceDN w:val="0"/>
        <w:spacing w:line="400" w:lineRule="exact"/>
        <w:ind w:firstLine="480" w:firstLineChars="200"/>
        <w:jc w:val="left"/>
        <w:rPr>
          <w:rFonts w:ascii="宋体" w:hAnsi="宋体"/>
          <w:sz w:val="24"/>
        </w:rPr>
      </w:pPr>
      <w:r>
        <w:rPr>
          <w:rFonts w:hint="eastAsia" w:ascii="宋体" w:hAnsi="宋体"/>
          <w:sz w:val="24"/>
        </w:rPr>
        <w:t>A.法定代表人或负责人或实际控制人是夫妻关系；</w:t>
      </w:r>
    </w:p>
    <w:p w14:paraId="741F6894">
      <w:pPr>
        <w:autoSpaceDE w:val="0"/>
        <w:autoSpaceDN w:val="0"/>
        <w:spacing w:line="400" w:lineRule="exact"/>
        <w:ind w:firstLine="480" w:firstLineChars="200"/>
        <w:jc w:val="left"/>
        <w:rPr>
          <w:rFonts w:ascii="宋体" w:hAnsi="宋体"/>
          <w:sz w:val="24"/>
        </w:rPr>
      </w:pPr>
      <w:r>
        <w:rPr>
          <w:rFonts w:hint="eastAsia" w:ascii="宋体" w:hAnsi="宋体"/>
          <w:sz w:val="24"/>
        </w:rPr>
        <w:t>B.法定代表人或负责人或实际控制人是直系血亲关系；</w:t>
      </w:r>
    </w:p>
    <w:p w14:paraId="20CA3AC7">
      <w:pPr>
        <w:autoSpaceDE w:val="0"/>
        <w:autoSpaceDN w:val="0"/>
        <w:spacing w:line="400" w:lineRule="exact"/>
        <w:ind w:firstLine="480" w:firstLineChars="200"/>
        <w:jc w:val="left"/>
        <w:rPr>
          <w:rFonts w:ascii="宋体" w:hAnsi="宋体"/>
          <w:sz w:val="24"/>
        </w:rPr>
      </w:pPr>
      <w:r>
        <w:rPr>
          <w:rFonts w:hint="eastAsia" w:ascii="宋体" w:hAnsi="宋体"/>
          <w:sz w:val="24"/>
        </w:rPr>
        <w:t>C.法定代表人或负责人或实际控制人存在三代以内旁系血亲关系；</w:t>
      </w:r>
    </w:p>
    <w:p w14:paraId="5733A0E9">
      <w:pPr>
        <w:autoSpaceDE w:val="0"/>
        <w:autoSpaceDN w:val="0"/>
        <w:spacing w:line="400" w:lineRule="exact"/>
        <w:ind w:firstLine="480" w:firstLineChars="200"/>
        <w:jc w:val="left"/>
        <w:rPr>
          <w:rFonts w:ascii="宋体" w:hAnsi="宋体"/>
          <w:sz w:val="24"/>
        </w:rPr>
      </w:pPr>
      <w:r>
        <w:rPr>
          <w:rFonts w:hint="eastAsia" w:ascii="宋体" w:hAnsi="宋体"/>
          <w:sz w:val="24"/>
        </w:rPr>
        <w:t>D.法定代表人或负责人或实际控制人存在近姻亲关系；</w:t>
      </w:r>
    </w:p>
    <w:p w14:paraId="7AAF615A">
      <w:pPr>
        <w:autoSpaceDE w:val="0"/>
        <w:autoSpaceDN w:val="0"/>
        <w:spacing w:line="400" w:lineRule="exact"/>
        <w:ind w:firstLine="480" w:firstLineChars="200"/>
        <w:jc w:val="left"/>
        <w:rPr>
          <w:rFonts w:ascii="宋体" w:hAnsi="宋体"/>
          <w:sz w:val="24"/>
        </w:rPr>
      </w:pPr>
      <w:r>
        <w:rPr>
          <w:rFonts w:hint="eastAsia" w:ascii="宋体" w:hAnsi="宋体"/>
          <w:sz w:val="24"/>
        </w:rPr>
        <w:t>E.法定代表人或负责人或实际控制人存在股份控制或实际控制关系；</w:t>
      </w:r>
    </w:p>
    <w:p w14:paraId="35D3D43B">
      <w:pPr>
        <w:autoSpaceDE w:val="0"/>
        <w:autoSpaceDN w:val="0"/>
        <w:spacing w:line="400" w:lineRule="exact"/>
        <w:ind w:firstLine="480" w:firstLineChars="200"/>
        <w:jc w:val="left"/>
        <w:rPr>
          <w:rFonts w:ascii="宋体" w:hAnsi="宋体"/>
          <w:sz w:val="24"/>
        </w:rPr>
      </w:pPr>
      <w:r>
        <w:rPr>
          <w:rFonts w:hint="eastAsia" w:ascii="宋体" w:hAnsi="宋体"/>
          <w:sz w:val="24"/>
        </w:rPr>
        <w:t>F.存在共同直接或间接投资设立子公司、联营企业和合营企业情况；</w:t>
      </w:r>
    </w:p>
    <w:p w14:paraId="34939553">
      <w:pPr>
        <w:autoSpaceDE w:val="0"/>
        <w:autoSpaceDN w:val="0"/>
        <w:spacing w:line="400" w:lineRule="exact"/>
        <w:ind w:firstLine="480" w:firstLineChars="200"/>
        <w:jc w:val="left"/>
        <w:rPr>
          <w:rFonts w:ascii="宋体" w:hAnsi="宋体"/>
          <w:sz w:val="24"/>
        </w:rPr>
      </w:pPr>
      <w:r>
        <w:rPr>
          <w:rFonts w:hint="eastAsia" w:ascii="宋体" w:hAnsi="宋体"/>
          <w:sz w:val="24"/>
        </w:rPr>
        <w:t>G.存在分级代理或代销关系、同一生产制造商关系、管理关系、重要业务（占主营业务收入50%以上）或重要财务往来关系（如融资）等其他实质性控制关系；</w:t>
      </w:r>
    </w:p>
    <w:p w14:paraId="17776167">
      <w:pPr>
        <w:autoSpaceDE w:val="0"/>
        <w:autoSpaceDN w:val="0"/>
        <w:spacing w:line="400" w:lineRule="exact"/>
        <w:ind w:firstLine="480" w:firstLineChars="200"/>
        <w:jc w:val="left"/>
        <w:rPr>
          <w:rFonts w:ascii="宋体" w:hAnsi="宋体"/>
          <w:sz w:val="24"/>
          <w:lang w:val="zh-CN"/>
        </w:rPr>
      </w:pPr>
      <w:r>
        <w:rPr>
          <w:rFonts w:hint="eastAsia" w:ascii="宋体" w:hAnsi="宋体"/>
          <w:sz w:val="24"/>
          <w:lang w:val="zh-CN"/>
        </w:rPr>
        <w:t>▲</w:t>
      </w:r>
      <w:r>
        <w:rPr>
          <w:rFonts w:hint="eastAsia" w:ascii="宋体" w:hAnsi="宋体"/>
          <w:b/>
          <w:sz w:val="24"/>
        </w:rPr>
        <w:t>如供应商之间存在以上利害关系并且存在影响政府采购公平竞争的行为的相关供应商的投标响应文件均无效。</w:t>
      </w:r>
    </w:p>
    <w:p w14:paraId="7012D265">
      <w:pPr>
        <w:autoSpaceDE w:val="0"/>
        <w:autoSpaceDN w:val="0"/>
        <w:spacing w:line="400" w:lineRule="exact"/>
        <w:ind w:firstLine="480" w:firstLineChars="200"/>
        <w:jc w:val="left"/>
        <w:rPr>
          <w:rFonts w:ascii="宋体" w:hAnsi="宋体"/>
          <w:sz w:val="24"/>
        </w:rPr>
      </w:pPr>
      <w:r>
        <w:rPr>
          <w:rFonts w:hint="eastAsia" w:ascii="宋体" w:hAnsi="宋体"/>
          <w:sz w:val="24"/>
        </w:rPr>
        <w:t>10.5</w:t>
      </w:r>
      <w:r>
        <w:rPr>
          <w:rFonts w:hint="eastAsia" w:ascii="宋体" w:hAnsi="宋体"/>
          <w:sz w:val="24"/>
          <w:lang w:val="zh-CN"/>
        </w:rPr>
        <w:t>根据财政部 工业和信息化部关于印发《政府采购促进中小企业发展管理办法的通知（财库〔2020〕46 号）的规定。</w:t>
      </w:r>
      <w:r>
        <w:rPr>
          <w:rFonts w:hint="eastAsia" w:ascii="宋体" w:hAnsi="宋体"/>
          <w:b/>
          <w:bCs/>
          <w:sz w:val="24"/>
          <w:lang w:val="zh-CN"/>
        </w:rPr>
        <w:t>本项目不属于预留采购份额项目，对小型、微型企业报价价格进行扣除，扣除比例见《第五章评标办法》；采购标的对应的中小企业划分标准所属行业：【仓储业】。</w:t>
      </w:r>
      <w:r>
        <w:rPr>
          <w:rFonts w:hint="eastAsia" w:ascii="宋体" w:hAnsi="宋体"/>
          <w:sz w:val="24"/>
        </w:rPr>
        <w:t>执行节能产品政府强制采购和优先采购政策，执行环境标志产品政府优先采购政策。（如有）</w:t>
      </w:r>
    </w:p>
    <w:p w14:paraId="070F1CA8">
      <w:pPr>
        <w:autoSpaceDE w:val="0"/>
        <w:autoSpaceDN w:val="0"/>
        <w:spacing w:line="400" w:lineRule="exact"/>
        <w:ind w:firstLine="480" w:firstLineChars="200"/>
        <w:jc w:val="left"/>
        <w:rPr>
          <w:rFonts w:ascii="宋体" w:hAnsi="宋体"/>
          <w:sz w:val="24"/>
          <w:lang w:val="zh-CN"/>
        </w:rPr>
      </w:pPr>
      <w:r>
        <w:rPr>
          <w:rFonts w:hint="eastAsia" w:ascii="宋体" w:hAnsi="宋体"/>
          <w:sz w:val="24"/>
        </w:rPr>
        <w:t>10.6</w:t>
      </w:r>
      <w:r>
        <w:rPr>
          <w:rFonts w:hint="eastAsia" w:ascii="宋体" w:hAnsi="宋体"/>
          <w:sz w:val="24"/>
          <w:lang w:val="zh-CN"/>
        </w:rPr>
        <w:t>供应商在政府采购活动中违反政府采购相关规定给采购组织机构造成损失的，采购组织机构可按照采购文件约定要求供应商承担赔偿责任。</w:t>
      </w:r>
    </w:p>
    <w:p w14:paraId="25BD63D4">
      <w:pPr>
        <w:spacing w:line="440" w:lineRule="atLeast"/>
        <w:ind w:firstLine="482" w:firstLineChars="200"/>
        <w:rPr>
          <w:rFonts w:ascii="宋体" w:hAnsi="宋体"/>
          <w:b/>
          <w:bCs/>
          <w:sz w:val="24"/>
        </w:rPr>
      </w:pPr>
      <w:r>
        <w:rPr>
          <w:rFonts w:hint="eastAsia" w:ascii="宋体" w:hAnsi="宋体"/>
          <w:b/>
          <w:bCs/>
          <w:sz w:val="24"/>
        </w:rPr>
        <w:t>11</w:t>
      </w:r>
      <w:r>
        <w:rPr>
          <w:rFonts w:ascii="宋体" w:hAnsi="宋体"/>
          <w:b/>
          <w:bCs/>
          <w:sz w:val="24"/>
        </w:rPr>
        <w:t>.</w:t>
      </w:r>
      <w:r>
        <w:rPr>
          <w:rFonts w:hint="eastAsia" w:ascii="宋体" w:hAnsi="宋体"/>
          <w:b/>
          <w:bCs/>
          <w:sz w:val="24"/>
        </w:rPr>
        <w:t>采购</w:t>
      </w:r>
      <w:r>
        <w:rPr>
          <w:rFonts w:ascii="宋体" w:hAnsi="宋体"/>
          <w:b/>
          <w:bCs/>
          <w:sz w:val="24"/>
        </w:rPr>
        <w:t>文件的质疑和投诉</w:t>
      </w:r>
    </w:p>
    <w:p w14:paraId="778E44C4">
      <w:pPr>
        <w:autoSpaceDE w:val="0"/>
        <w:autoSpaceDN w:val="0"/>
        <w:spacing w:line="400" w:lineRule="exact"/>
        <w:ind w:firstLine="480" w:firstLineChars="200"/>
        <w:jc w:val="left"/>
        <w:rPr>
          <w:rFonts w:ascii="宋体" w:hAnsi="宋体"/>
          <w:sz w:val="24"/>
          <w:lang w:val="zh-CN"/>
        </w:rPr>
      </w:pPr>
      <w:bookmarkStart w:id="51" w:name="_Toc34830370"/>
      <w:bookmarkStart w:id="52" w:name="_Toc34919337"/>
      <w:bookmarkStart w:id="53" w:name="_Toc34898307"/>
      <w:bookmarkStart w:id="54" w:name="_Toc33098459"/>
      <w:r>
        <w:rPr>
          <w:rFonts w:hint="eastAsia" w:ascii="宋体" w:hAnsi="宋体"/>
          <w:sz w:val="24"/>
          <w:lang w:val="zh-CN"/>
        </w:rPr>
        <w:t>11</w:t>
      </w:r>
      <w:r>
        <w:rPr>
          <w:rFonts w:ascii="宋体" w:hAnsi="宋体"/>
          <w:sz w:val="24"/>
          <w:lang w:val="zh-CN"/>
        </w:rPr>
        <w:t>.1投标人认为</w:t>
      </w:r>
      <w:r>
        <w:rPr>
          <w:rFonts w:hint="eastAsia" w:ascii="宋体" w:hAnsi="宋体"/>
          <w:sz w:val="24"/>
          <w:lang w:val="zh-CN"/>
        </w:rPr>
        <w:t>采购</w:t>
      </w:r>
      <w:r>
        <w:rPr>
          <w:rFonts w:ascii="宋体" w:hAnsi="宋体"/>
          <w:sz w:val="24"/>
          <w:lang w:val="zh-CN"/>
        </w:rPr>
        <w:t>文件、招标过程或中标结果使自己的合法权益受到损害的，应在知道或者应知其权益受到损害之日起七个工作日内，以书面形式向采购人、招标方提出质疑。投标人对采购人的质疑答复不满意或者采购人未在规定时间内做出答复的，可以在答复期满后十五个工作日内向同级采购监管部门投诉。</w:t>
      </w:r>
      <w:bookmarkEnd w:id="51"/>
      <w:bookmarkEnd w:id="52"/>
      <w:bookmarkEnd w:id="53"/>
      <w:bookmarkEnd w:id="54"/>
      <w:r>
        <w:rPr>
          <w:rFonts w:ascii="宋体" w:hAnsi="宋体"/>
          <w:sz w:val="24"/>
          <w:lang w:val="zh-CN"/>
        </w:rPr>
        <w:t>格式在浙江政府采购网自动下载。</w:t>
      </w:r>
      <w:bookmarkStart w:id="55" w:name="_Toc34898308"/>
      <w:bookmarkStart w:id="56" w:name="_Toc34919338"/>
      <w:bookmarkStart w:id="57" w:name="_Toc33098460"/>
      <w:bookmarkStart w:id="58" w:name="_Toc34830371"/>
    </w:p>
    <w:p w14:paraId="7EE93B4B">
      <w:pPr>
        <w:autoSpaceDE w:val="0"/>
        <w:autoSpaceDN w:val="0"/>
        <w:spacing w:line="400" w:lineRule="exact"/>
        <w:ind w:firstLine="480" w:firstLineChars="200"/>
        <w:jc w:val="left"/>
        <w:rPr>
          <w:rFonts w:ascii="宋体" w:hAnsi="宋体"/>
          <w:sz w:val="24"/>
          <w:lang w:val="zh-CN"/>
        </w:rPr>
      </w:pPr>
      <w:r>
        <w:rPr>
          <w:rFonts w:hint="eastAsia" w:ascii="宋体" w:hAnsi="宋体"/>
          <w:sz w:val="24"/>
          <w:lang w:val="zh-CN"/>
        </w:rPr>
        <w:t>11</w:t>
      </w:r>
      <w:r>
        <w:rPr>
          <w:rFonts w:ascii="宋体" w:hAnsi="宋体"/>
          <w:sz w:val="24"/>
          <w:lang w:val="zh-CN"/>
        </w:rPr>
        <w:t>.2</w:t>
      </w:r>
      <w:r>
        <w:rPr>
          <w:rFonts w:hint="eastAsia" w:ascii="宋体" w:hAnsi="宋体"/>
          <w:sz w:val="24"/>
          <w:lang w:val="zh-CN"/>
        </w:rPr>
        <w:t>在线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bookmarkEnd w:id="55"/>
    <w:bookmarkEnd w:id="56"/>
    <w:bookmarkEnd w:id="57"/>
    <w:bookmarkEnd w:id="58"/>
    <w:p w14:paraId="7AD40ECA">
      <w:pPr>
        <w:spacing w:line="440" w:lineRule="atLeast"/>
        <w:jc w:val="center"/>
        <w:rPr>
          <w:rFonts w:ascii="宋体" w:hAnsi="宋体"/>
          <w:b/>
          <w:sz w:val="24"/>
        </w:rPr>
      </w:pPr>
      <w:bookmarkStart w:id="59" w:name="_Toc508641264"/>
      <w:bookmarkStart w:id="60" w:name="_Toc465782675"/>
      <w:bookmarkStart w:id="61" w:name="_Toc481227869"/>
      <w:bookmarkStart w:id="62" w:name="_Toc500113679"/>
      <w:bookmarkStart w:id="63" w:name="_Toc33098461"/>
      <w:bookmarkStart w:id="64" w:name="_Toc34919339"/>
      <w:bookmarkStart w:id="65" w:name="_Toc16331532"/>
      <w:bookmarkStart w:id="66" w:name="_Toc519014196"/>
      <w:bookmarkStart w:id="67" w:name="_Toc16331678"/>
      <w:bookmarkStart w:id="68" w:name="_Toc481242808"/>
      <w:bookmarkStart w:id="69" w:name="_Toc274303230"/>
      <w:bookmarkStart w:id="70" w:name="_Toc34830372"/>
      <w:bookmarkStart w:id="71" w:name="_Toc362250688"/>
      <w:bookmarkStart w:id="72" w:name="_Toc34898309"/>
      <w:r>
        <w:rPr>
          <w:rFonts w:ascii="宋体" w:hAnsi="宋体"/>
          <w:b/>
          <w:sz w:val="24"/>
        </w:rPr>
        <w:t>二、采购文件</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D61B5AC">
      <w:pPr>
        <w:spacing w:line="440" w:lineRule="atLeast"/>
        <w:ind w:firstLine="482" w:firstLineChars="200"/>
        <w:rPr>
          <w:rFonts w:ascii="宋体" w:hAnsi="宋体"/>
          <w:b/>
          <w:sz w:val="24"/>
        </w:rPr>
      </w:pPr>
      <w:r>
        <w:rPr>
          <w:rFonts w:ascii="宋体" w:hAnsi="宋体"/>
          <w:b/>
          <w:sz w:val="24"/>
        </w:rPr>
        <w:t>（一）采购文件的构成</w:t>
      </w:r>
    </w:p>
    <w:p w14:paraId="01E0B756">
      <w:pPr>
        <w:spacing w:line="440" w:lineRule="atLeast"/>
        <w:ind w:firstLine="480" w:firstLineChars="200"/>
        <w:rPr>
          <w:rFonts w:ascii="宋体" w:hAnsi="宋体"/>
          <w:sz w:val="24"/>
        </w:rPr>
      </w:pPr>
      <w:r>
        <w:rPr>
          <w:rFonts w:ascii="宋体" w:hAnsi="宋体"/>
          <w:sz w:val="24"/>
        </w:rPr>
        <w:t>1.本采购文件由以下部分组成：</w:t>
      </w:r>
    </w:p>
    <w:p w14:paraId="04C3C0CA">
      <w:pPr>
        <w:spacing w:line="440" w:lineRule="atLeast"/>
        <w:ind w:firstLine="480" w:firstLineChars="200"/>
        <w:rPr>
          <w:rFonts w:ascii="宋体" w:hAnsi="宋体"/>
          <w:sz w:val="24"/>
        </w:rPr>
      </w:pPr>
      <w:r>
        <w:rPr>
          <w:rFonts w:ascii="宋体" w:hAnsi="宋体"/>
          <w:sz w:val="24"/>
        </w:rPr>
        <w:t>第一章 招标公告</w:t>
      </w:r>
    </w:p>
    <w:p w14:paraId="20DADF0C">
      <w:pPr>
        <w:spacing w:line="440" w:lineRule="atLeast"/>
        <w:ind w:firstLine="480" w:firstLineChars="200"/>
        <w:rPr>
          <w:rFonts w:ascii="宋体" w:hAnsi="宋体"/>
          <w:sz w:val="24"/>
        </w:rPr>
      </w:pPr>
      <w:r>
        <w:rPr>
          <w:rFonts w:ascii="宋体" w:hAnsi="宋体"/>
          <w:sz w:val="24"/>
        </w:rPr>
        <w:t>第二章 投标须知和投标须知前附表</w:t>
      </w:r>
    </w:p>
    <w:p w14:paraId="02A3FF71">
      <w:pPr>
        <w:spacing w:line="440" w:lineRule="atLeast"/>
        <w:ind w:firstLine="480" w:firstLineChars="200"/>
        <w:rPr>
          <w:rFonts w:ascii="宋体" w:hAnsi="宋体"/>
          <w:sz w:val="24"/>
        </w:rPr>
      </w:pPr>
      <w:r>
        <w:rPr>
          <w:rFonts w:ascii="宋体" w:hAnsi="宋体"/>
          <w:sz w:val="24"/>
        </w:rPr>
        <w:t>第三章 招标项目要求</w:t>
      </w:r>
    </w:p>
    <w:p w14:paraId="36EBCBCE">
      <w:pPr>
        <w:spacing w:line="440" w:lineRule="atLeast"/>
        <w:ind w:firstLine="480" w:firstLineChars="200"/>
        <w:rPr>
          <w:rFonts w:ascii="宋体" w:hAnsi="宋体"/>
          <w:sz w:val="24"/>
        </w:rPr>
      </w:pPr>
      <w:r>
        <w:rPr>
          <w:rFonts w:ascii="宋体" w:hAnsi="宋体"/>
          <w:sz w:val="24"/>
        </w:rPr>
        <w:t>第四章 开标、评标和定标</w:t>
      </w:r>
    </w:p>
    <w:p w14:paraId="2558E25E">
      <w:pPr>
        <w:spacing w:line="440" w:lineRule="atLeast"/>
        <w:ind w:firstLine="480" w:firstLineChars="200"/>
        <w:rPr>
          <w:rFonts w:ascii="宋体" w:hAnsi="宋体"/>
          <w:sz w:val="24"/>
        </w:rPr>
      </w:pPr>
      <w:r>
        <w:rPr>
          <w:rFonts w:ascii="宋体" w:hAnsi="宋体"/>
          <w:sz w:val="24"/>
        </w:rPr>
        <w:t>第五章 评标办法</w:t>
      </w:r>
    </w:p>
    <w:p w14:paraId="144EB4BB">
      <w:pPr>
        <w:spacing w:line="440" w:lineRule="atLeast"/>
        <w:ind w:firstLine="480" w:firstLineChars="200"/>
        <w:rPr>
          <w:rFonts w:ascii="宋体" w:hAnsi="宋体"/>
          <w:sz w:val="24"/>
        </w:rPr>
      </w:pPr>
      <w:r>
        <w:rPr>
          <w:rFonts w:ascii="宋体" w:hAnsi="宋体"/>
          <w:sz w:val="24"/>
        </w:rPr>
        <w:t>第六章 合同主要条款</w:t>
      </w:r>
    </w:p>
    <w:p w14:paraId="12AF8812">
      <w:pPr>
        <w:spacing w:line="440" w:lineRule="atLeast"/>
        <w:ind w:firstLine="480" w:firstLineChars="200"/>
        <w:rPr>
          <w:rFonts w:ascii="宋体" w:hAnsi="宋体"/>
          <w:sz w:val="24"/>
        </w:rPr>
      </w:pPr>
      <w:r>
        <w:rPr>
          <w:rFonts w:ascii="宋体" w:hAnsi="宋体"/>
          <w:sz w:val="24"/>
        </w:rPr>
        <w:t>第七章 投标文件部分格式</w:t>
      </w:r>
    </w:p>
    <w:p w14:paraId="0A56926F">
      <w:pPr>
        <w:spacing w:line="440" w:lineRule="atLeast"/>
        <w:ind w:firstLine="480" w:firstLineChars="200"/>
        <w:rPr>
          <w:rFonts w:ascii="宋体" w:hAnsi="宋体"/>
          <w:sz w:val="24"/>
        </w:rPr>
      </w:pPr>
      <w:r>
        <w:rPr>
          <w:rFonts w:ascii="宋体" w:hAnsi="宋体"/>
          <w:sz w:val="24"/>
        </w:rPr>
        <w:t>2.本项目采购文件的澄清、答复、修改、补充的内容。</w:t>
      </w:r>
    </w:p>
    <w:p w14:paraId="34FABB41">
      <w:pPr>
        <w:spacing w:line="440" w:lineRule="atLeast"/>
        <w:ind w:firstLine="482" w:firstLineChars="200"/>
        <w:rPr>
          <w:rFonts w:ascii="宋体" w:hAnsi="宋体"/>
          <w:b/>
          <w:bCs/>
          <w:sz w:val="24"/>
        </w:rPr>
      </w:pPr>
      <w:r>
        <w:rPr>
          <w:rFonts w:ascii="宋体" w:hAnsi="宋体"/>
          <w:b/>
          <w:bCs/>
          <w:sz w:val="24"/>
        </w:rPr>
        <w:t>（二）投标人的风险</w:t>
      </w:r>
    </w:p>
    <w:p w14:paraId="7E3F8FE1">
      <w:pPr>
        <w:spacing w:line="440" w:lineRule="atLeast"/>
        <w:ind w:firstLine="480" w:firstLineChars="200"/>
        <w:rPr>
          <w:rFonts w:ascii="宋体" w:hAnsi="宋体"/>
          <w:bCs/>
          <w:sz w:val="24"/>
        </w:rPr>
      </w:pPr>
      <w:r>
        <w:rPr>
          <w:rFonts w:ascii="宋体" w:hAnsi="宋体"/>
          <w:bCs/>
          <w:sz w:val="24"/>
        </w:rPr>
        <w:t>投标人没有按照采购文件要求提供全部资料，或者投标人没有对采购文件在各方面做出实质性响应是投标人的风险，并可能导致其投标被拒绝。</w:t>
      </w:r>
    </w:p>
    <w:p w14:paraId="17CA0A19">
      <w:pPr>
        <w:spacing w:line="440" w:lineRule="atLeast"/>
        <w:ind w:firstLine="482" w:firstLineChars="200"/>
        <w:rPr>
          <w:rFonts w:ascii="宋体" w:hAnsi="宋体"/>
          <w:b/>
          <w:bCs/>
          <w:sz w:val="24"/>
        </w:rPr>
      </w:pPr>
      <w:r>
        <w:rPr>
          <w:rFonts w:ascii="宋体" w:hAnsi="宋体"/>
          <w:b/>
          <w:bCs/>
          <w:sz w:val="24"/>
        </w:rPr>
        <w:t>（三）采购文件的澄清与修改</w:t>
      </w:r>
    </w:p>
    <w:p w14:paraId="3BAE7247">
      <w:pPr>
        <w:spacing w:line="440" w:lineRule="atLeast"/>
        <w:ind w:firstLine="480" w:firstLineChars="200"/>
        <w:rPr>
          <w:rFonts w:ascii="宋体" w:hAnsi="宋体"/>
          <w:bCs/>
          <w:sz w:val="24"/>
        </w:rPr>
      </w:pPr>
      <w:r>
        <w:rPr>
          <w:rFonts w:ascii="宋体" w:hAnsi="宋体"/>
          <w:bCs/>
          <w:sz w:val="24"/>
        </w:rPr>
        <w:t>1.详见供应商须知前附表“采购文件的澄清和修改”。</w:t>
      </w:r>
    </w:p>
    <w:p w14:paraId="626E4D7E">
      <w:pPr>
        <w:spacing w:line="440" w:lineRule="atLeast"/>
        <w:ind w:firstLine="480" w:firstLineChars="200"/>
        <w:rPr>
          <w:rFonts w:ascii="宋体" w:hAnsi="宋体"/>
          <w:bCs/>
          <w:sz w:val="24"/>
        </w:rPr>
      </w:pPr>
      <w:r>
        <w:rPr>
          <w:rFonts w:ascii="宋体" w:hAnsi="宋体"/>
          <w:bCs/>
          <w:sz w:val="24"/>
        </w:rPr>
        <w:t>2.采购人必须以书面形式答复投标人要求澄清的问题，并将不包含问题来源的答复书面通知所有购买采购文件的投标人，除书面答复以外的其他澄清方式及澄清内容均无效。</w:t>
      </w:r>
    </w:p>
    <w:p w14:paraId="19B2D0C2">
      <w:pPr>
        <w:spacing w:line="440" w:lineRule="atLeast"/>
        <w:ind w:firstLine="480" w:firstLineChars="200"/>
        <w:rPr>
          <w:rFonts w:ascii="宋体" w:hAnsi="宋体"/>
          <w:bCs/>
          <w:sz w:val="24"/>
        </w:rPr>
      </w:pPr>
      <w:r>
        <w:rPr>
          <w:rFonts w:ascii="宋体" w:hAnsi="宋体"/>
          <w:bCs/>
          <w:sz w:val="24"/>
        </w:rPr>
        <w:t>3.采购文件澄清、答复、修改、补充的内容为采购文件的组成部分。当采购文件与采购文件的答复、澄清、修改、补充通知就同一内容的表述不一致时，以最后发出的书面文件为准。</w:t>
      </w:r>
    </w:p>
    <w:p w14:paraId="70CE52A2">
      <w:pPr>
        <w:spacing w:line="440" w:lineRule="atLeast"/>
        <w:ind w:firstLine="480" w:firstLineChars="200"/>
        <w:rPr>
          <w:rFonts w:ascii="宋体" w:hAnsi="宋体"/>
          <w:bCs/>
          <w:sz w:val="24"/>
        </w:rPr>
      </w:pPr>
      <w:r>
        <w:rPr>
          <w:rFonts w:ascii="宋体" w:hAnsi="宋体"/>
          <w:bCs/>
          <w:sz w:val="24"/>
        </w:rPr>
        <w:t>4.采购文件的澄清、答复、修改或补充都应该通过本招标机构以法定形式发布，采购人非通过本机构，不得擅自澄清、答复、修改或补充采购文件。</w:t>
      </w:r>
    </w:p>
    <w:p w14:paraId="2CD0396C">
      <w:pPr>
        <w:spacing w:line="440" w:lineRule="atLeast"/>
        <w:jc w:val="center"/>
        <w:rPr>
          <w:rFonts w:ascii="宋体" w:hAnsi="宋体"/>
          <w:b/>
          <w:bCs/>
          <w:sz w:val="24"/>
        </w:rPr>
      </w:pPr>
      <w:bookmarkStart w:id="73" w:name="_Toc362250689"/>
      <w:bookmarkStart w:id="74" w:name="_Toc519014197"/>
      <w:bookmarkStart w:id="75" w:name="_Toc481227870"/>
      <w:bookmarkStart w:id="76" w:name="_Toc33098462"/>
      <w:bookmarkStart w:id="77" w:name="_Toc34919340"/>
      <w:bookmarkStart w:id="78" w:name="_Toc500113680"/>
      <w:bookmarkStart w:id="79" w:name="_Toc16331533"/>
      <w:bookmarkStart w:id="80" w:name="_Toc274303231"/>
      <w:bookmarkStart w:id="81" w:name="_Toc34830373"/>
      <w:bookmarkStart w:id="82" w:name="_Toc34898310"/>
      <w:bookmarkStart w:id="83" w:name="_Toc465782676"/>
      <w:bookmarkStart w:id="84" w:name="_Toc481242809"/>
      <w:bookmarkStart w:id="85" w:name="_Toc508641265"/>
      <w:bookmarkStart w:id="86" w:name="_Toc16331679"/>
      <w:r>
        <w:rPr>
          <w:rFonts w:ascii="宋体" w:hAnsi="宋体"/>
          <w:b/>
          <w:bCs/>
          <w:sz w:val="24"/>
        </w:rPr>
        <w:t>三、投标文件</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8EEAE84">
      <w:pPr>
        <w:spacing w:line="440" w:lineRule="atLeast"/>
        <w:ind w:firstLine="482" w:firstLineChars="200"/>
        <w:rPr>
          <w:rFonts w:ascii="宋体" w:hAnsi="宋体"/>
          <w:sz w:val="24"/>
        </w:rPr>
      </w:pPr>
      <w:r>
        <w:rPr>
          <w:rFonts w:ascii="宋体" w:hAnsi="宋体"/>
          <w:b/>
          <w:sz w:val="24"/>
        </w:rPr>
        <w:t>1.</w:t>
      </w:r>
      <w:r>
        <w:rPr>
          <w:rFonts w:ascii="宋体" w:hAnsi="宋体"/>
          <w:b/>
          <w:bCs/>
          <w:sz w:val="24"/>
        </w:rPr>
        <w:t>投标文件的语言及度量衡单位</w:t>
      </w:r>
    </w:p>
    <w:p w14:paraId="32356B70">
      <w:pPr>
        <w:spacing w:line="440" w:lineRule="atLeast"/>
        <w:ind w:firstLine="480" w:firstLineChars="200"/>
        <w:rPr>
          <w:rFonts w:ascii="宋体" w:hAnsi="宋体"/>
          <w:sz w:val="24"/>
        </w:rPr>
      </w:pPr>
      <w:r>
        <w:rPr>
          <w:rFonts w:ascii="宋体" w:hAnsi="宋体"/>
          <w:sz w:val="24"/>
        </w:rPr>
        <w:t>1.1投标文件和与投标有关的所有文件均应使用汉语。</w:t>
      </w:r>
    </w:p>
    <w:p w14:paraId="2E3AABD5">
      <w:pPr>
        <w:pStyle w:val="29"/>
        <w:spacing w:line="440" w:lineRule="atLeast"/>
        <w:ind w:firstLine="480" w:firstLineChars="200"/>
        <w:rPr>
          <w:rFonts w:hAnsi="宋体" w:cs="Times New Roman"/>
          <w:sz w:val="24"/>
          <w:szCs w:val="24"/>
        </w:rPr>
      </w:pPr>
      <w:r>
        <w:rPr>
          <w:rFonts w:hAnsi="宋体" w:cs="Times New Roman"/>
          <w:sz w:val="24"/>
          <w:szCs w:val="24"/>
        </w:rPr>
        <w:t>1.2除项目另有规定外，投标文件使用的度量衡单位，均采用中华人民共和国法定计量单位。</w:t>
      </w:r>
    </w:p>
    <w:p w14:paraId="5E213C80">
      <w:pPr>
        <w:spacing w:line="440" w:lineRule="atLeast"/>
        <w:ind w:firstLine="482" w:firstLineChars="200"/>
        <w:rPr>
          <w:rFonts w:ascii="宋体" w:hAnsi="宋体"/>
          <w:kern w:val="0"/>
          <w:sz w:val="24"/>
        </w:rPr>
      </w:pPr>
      <w:r>
        <w:rPr>
          <w:rFonts w:ascii="宋体" w:hAnsi="宋体"/>
          <w:b/>
          <w:bCs/>
          <w:sz w:val="24"/>
        </w:rPr>
        <w:t>2.对投标文件编制要求</w:t>
      </w:r>
    </w:p>
    <w:p w14:paraId="22C3F74A">
      <w:pPr>
        <w:spacing w:line="440" w:lineRule="atLeast"/>
        <w:ind w:firstLine="480" w:firstLineChars="200"/>
        <w:rPr>
          <w:rFonts w:ascii="宋体" w:hAnsi="宋体"/>
          <w:kern w:val="0"/>
          <w:sz w:val="24"/>
        </w:rPr>
      </w:pPr>
      <w:r>
        <w:rPr>
          <w:rFonts w:ascii="宋体" w:hAnsi="宋体"/>
          <w:kern w:val="0"/>
          <w:sz w:val="24"/>
        </w:rPr>
        <w:t>2.1资格审查要求、商务技术要求和报价要求后，编制投标文件。</w:t>
      </w:r>
    </w:p>
    <w:p w14:paraId="1DB82382">
      <w:pPr>
        <w:pStyle w:val="22"/>
        <w:spacing w:line="440" w:lineRule="atLeast"/>
        <w:ind w:firstLine="482" w:firstLineChars="200"/>
        <w:jc w:val="both"/>
        <w:rPr>
          <w:color w:val="auto"/>
          <w:kern w:val="0"/>
          <w:sz w:val="24"/>
          <w:szCs w:val="24"/>
        </w:rPr>
      </w:pPr>
      <w:r>
        <w:rPr>
          <w:color w:val="auto"/>
          <w:kern w:val="0"/>
          <w:sz w:val="24"/>
          <w:szCs w:val="24"/>
        </w:rPr>
        <w:t>2.2编制投标文件时，投标人对采购文件中资格审查、商务技术及报价要求须逐条逐项作出实质性回答。</w:t>
      </w:r>
    </w:p>
    <w:p w14:paraId="71E62D44">
      <w:pPr>
        <w:spacing w:line="440" w:lineRule="atLeast"/>
        <w:ind w:firstLine="480" w:firstLineChars="200"/>
        <w:rPr>
          <w:rFonts w:ascii="宋体" w:hAnsi="宋体"/>
          <w:sz w:val="24"/>
        </w:rPr>
      </w:pPr>
      <w:r>
        <w:rPr>
          <w:rFonts w:ascii="宋体" w:hAnsi="宋体"/>
          <w:sz w:val="24"/>
        </w:rPr>
        <w:t>2.3在采购文件对技术要求中，投标人必须充分应答和满足采购人的强制性的需求，如“▲”等，否则将导致投标无效。</w:t>
      </w:r>
    </w:p>
    <w:p w14:paraId="64E99AF5">
      <w:pPr>
        <w:spacing w:line="440" w:lineRule="atLeast"/>
        <w:ind w:firstLine="480" w:firstLineChars="200"/>
        <w:rPr>
          <w:rFonts w:ascii="宋体" w:hAnsi="宋体"/>
          <w:sz w:val="24"/>
        </w:rPr>
      </w:pPr>
      <w:r>
        <w:rPr>
          <w:rFonts w:ascii="宋体" w:hAnsi="宋体"/>
          <w:sz w:val="24"/>
        </w:rPr>
        <w:t>2.4编制的投标文件对采购文件中有关条款未提出异议的，均被视为接受和同意。</w:t>
      </w:r>
    </w:p>
    <w:p w14:paraId="4A060C55">
      <w:pPr>
        <w:spacing w:line="440" w:lineRule="atLeast"/>
        <w:ind w:firstLine="482" w:firstLineChars="200"/>
        <w:rPr>
          <w:rFonts w:ascii="宋体" w:hAnsi="宋体"/>
          <w:b/>
          <w:bCs/>
          <w:sz w:val="24"/>
        </w:rPr>
      </w:pPr>
      <w:r>
        <w:rPr>
          <w:rFonts w:ascii="宋体" w:hAnsi="宋体"/>
          <w:b/>
          <w:bCs/>
          <w:sz w:val="24"/>
        </w:rPr>
        <w:t>3.投标文件的组成</w:t>
      </w:r>
    </w:p>
    <w:p w14:paraId="3B51C446">
      <w:pPr>
        <w:spacing w:line="440" w:lineRule="atLeast"/>
        <w:ind w:firstLine="480" w:firstLineChars="200"/>
        <w:rPr>
          <w:rFonts w:ascii="宋体" w:hAnsi="宋体"/>
          <w:sz w:val="24"/>
        </w:rPr>
      </w:pPr>
      <w:r>
        <w:rPr>
          <w:rFonts w:ascii="宋体" w:hAnsi="宋体"/>
          <w:sz w:val="24"/>
        </w:rPr>
        <w:t>3.1采购文件“投标文件部分格式”所列的内容、格式及其投标人认为有必要提供的其他文件。</w:t>
      </w:r>
    </w:p>
    <w:p w14:paraId="24245FD5">
      <w:pPr>
        <w:autoSpaceDE w:val="0"/>
        <w:autoSpaceDN w:val="0"/>
        <w:adjustRightInd w:val="0"/>
        <w:spacing w:line="400" w:lineRule="exact"/>
        <w:ind w:firstLine="482" w:firstLineChars="200"/>
        <w:jc w:val="left"/>
        <w:rPr>
          <w:rFonts w:ascii="宋体" w:hAnsi="宋体"/>
          <w:b/>
          <w:sz w:val="24"/>
        </w:rPr>
      </w:pPr>
      <w:r>
        <w:rPr>
          <w:rFonts w:ascii="宋体" w:hAnsi="宋体"/>
          <w:b/>
          <w:sz w:val="24"/>
        </w:rPr>
        <w:t>▲3.2投标文件（电子加密投标文件、以邮件形式发送的电子备份加密投标文件）由资格文件、商务技术文件、报价文件三部分组成。</w:t>
      </w:r>
    </w:p>
    <w:p w14:paraId="4A6486D6">
      <w:pPr>
        <w:autoSpaceDE w:val="0"/>
        <w:autoSpaceDN w:val="0"/>
        <w:adjustRightInd w:val="0"/>
        <w:spacing w:line="400" w:lineRule="exact"/>
        <w:ind w:firstLine="482" w:firstLineChars="200"/>
        <w:jc w:val="left"/>
        <w:rPr>
          <w:rFonts w:ascii="宋体" w:hAnsi="宋体"/>
          <w:b/>
          <w:sz w:val="24"/>
        </w:rPr>
      </w:pPr>
      <w:r>
        <w:rPr>
          <w:rFonts w:ascii="宋体" w:hAnsi="宋体"/>
          <w:b/>
          <w:sz w:val="24"/>
        </w:rPr>
        <w:t>3.2.1资格文件</w:t>
      </w:r>
      <w:r>
        <w:rPr>
          <w:rFonts w:ascii="宋体" w:hAnsi="宋体"/>
          <w:sz w:val="24"/>
        </w:rPr>
        <w:t>：</w:t>
      </w:r>
    </w:p>
    <w:tbl>
      <w:tblPr>
        <w:tblStyle w:val="55"/>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768"/>
        <w:gridCol w:w="3803"/>
        <w:gridCol w:w="1748"/>
      </w:tblGrid>
      <w:tr w14:paraId="58E7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shd w:val="clear" w:color="auto" w:fill="7F7F7F"/>
            <w:noWrap/>
          </w:tcPr>
          <w:p w14:paraId="11C3B455">
            <w:pPr>
              <w:autoSpaceDE w:val="0"/>
              <w:autoSpaceDN w:val="0"/>
              <w:adjustRightInd w:val="0"/>
              <w:spacing w:line="0" w:lineRule="atLeast"/>
              <w:jc w:val="center"/>
              <w:rPr>
                <w:rFonts w:ascii="宋体" w:hAnsi="宋体" w:cs="宋体"/>
                <w:szCs w:val="21"/>
              </w:rPr>
            </w:pPr>
            <w:r>
              <w:rPr>
                <w:rFonts w:hint="eastAsia" w:ascii="宋体" w:hAnsi="宋体" w:cs="宋体"/>
                <w:szCs w:val="21"/>
              </w:rPr>
              <w:t>序号</w:t>
            </w:r>
          </w:p>
        </w:tc>
        <w:tc>
          <w:tcPr>
            <w:tcW w:w="3768" w:type="dxa"/>
            <w:shd w:val="clear" w:color="auto" w:fill="7F7F7F"/>
            <w:noWrap/>
            <w:vAlign w:val="center"/>
          </w:tcPr>
          <w:p w14:paraId="0C441D0B">
            <w:pPr>
              <w:autoSpaceDE w:val="0"/>
              <w:autoSpaceDN w:val="0"/>
              <w:adjustRightInd w:val="0"/>
              <w:spacing w:line="0" w:lineRule="atLeast"/>
              <w:jc w:val="center"/>
              <w:rPr>
                <w:rFonts w:ascii="宋体" w:hAnsi="宋体" w:cs="宋体"/>
                <w:szCs w:val="21"/>
              </w:rPr>
            </w:pPr>
            <w:r>
              <w:rPr>
                <w:rFonts w:hint="eastAsia" w:ascii="宋体" w:hAnsi="宋体" w:cs="宋体"/>
                <w:szCs w:val="21"/>
              </w:rPr>
              <w:t>资格条件</w:t>
            </w:r>
          </w:p>
        </w:tc>
        <w:tc>
          <w:tcPr>
            <w:tcW w:w="3803" w:type="dxa"/>
            <w:shd w:val="clear" w:color="auto" w:fill="7F7F7F"/>
            <w:noWrap/>
            <w:vAlign w:val="center"/>
          </w:tcPr>
          <w:p w14:paraId="73E8BCBE">
            <w:pPr>
              <w:autoSpaceDE w:val="0"/>
              <w:autoSpaceDN w:val="0"/>
              <w:adjustRightInd w:val="0"/>
              <w:spacing w:line="0" w:lineRule="atLeast"/>
              <w:jc w:val="center"/>
              <w:rPr>
                <w:rFonts w:ascii="宋体" w:hAnsi="宋体" w:cs="宋体"/>
                <w:szCs w:val="21"/>
              </w:rPr>
            </w:pPr>
            <w:r>
              <w:rPr>
                <w:rFonts w:hint="eastAsia" w:ascii="宋体" w:hAnsi="宋体" w:cs="宋体"/>
                <w:szCs w:val="21"/>
              </w:rPr>
              <w:t>应提供的资格审查资料（除承诺函、说明 、声明外的其他证件提供原件扫描件</w:t>
            </w:r>
          </w:p>
        </w:tc>
        <w:tc>
          <w:tcPr>
            <w:tcW w:w="1748" w:type="dxa"/>
            <w:shd w:val="clear" w:color="auto" w:fill="7F7F7F"/>
            <w:noWrap/>
            <w:vAlign w:val="center"/>
          </w:tcPr>
          <w:p w14:paraId="00EBE181">
            <w:pPr>
              <w:autoSpaceDE w:val="0"/>
              <w:autoSpaceDN w:val="0"/>
              <w:adjustRightInd w:val="0"/>
              <w:spacing w:line="0" w:lineRule="atLeast"/>
              <w:jc w:val="center"/>
              <w:rPr>
                <w:rFonts w:ascii="宋体" w:hAnsi="宋体" w:cs="宋体"/>
                <w:szCs w:val="21"/>
              </w:rPr>
            </w:pPr>
            <w:r>
              <w:rPr>
                <w:rFonts w:hint="eastAsia" w:ascii="宋体" w:hAnsi="宋体" w:cs="宋体"/>
                <w:szCs w:val="21"/>
              </w:rPr>
              <w:t>格式</w:t>
            </w:r>
          </w:p>
        </w:tc>
      </w:tr>
      <w:tr w14:paraId="6DDC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ign w:val="center"/>
          </w:tcPr>
          <w:p w14:paraId="042873E4">
            <w:pPr>
              <w:spacing w:line="0" w:lineRule="atLeast"/>
              <w:jc w:val="center"/>
              <w:rPr>
                <w:rFonts w:ascii="宋体" w:hAnsi="宋体" w:cs="宋体"/>
                <w:bCs/>
                <w:szCs w:val="21"/>
              </w:rPr>
            </w:pPr>
            <w:r>
              <w:rPr>
                <w:rFonts w:hint="eastAsia" w:ascii="宋体" w:hAnsi="宋体" w:cs="宋体"/>
                <w:bCs/>
                <w:szCs w:val="21"/>
              </w:rPr>
              <w:t>1</w:t>
            </w:r>
          </w:p>
        </w:tc>
        <w:tc>
          <w:tcPr>
            <w:tcW w:w="3768" w:type="dxa"/>
            <w:noWrap/>
            <w:vAlign w:val="center"/>
          </w:tcPr>
          <w:p w14:paraId="7D1FD7CF">
            <w:pPr>
              <w:autoSpaceDE w:val="0"/>
              <w:autoSpaceDN w:val="0"/>
              <w:adjustRightInd w:val="0"/>
              <w:spacing w:line="0" w:lineRule="atLeast"/>
              <w:rPr>
                <w:rFonts w:ascii="宋体" w:hAnsi="宋体"/>
                <w:szCs w:val="21"/>
              </w:rPr>
            </w:pPr>
            <w:r>
              <w:rPr>
                <w:rFonts w:hint="eastAsia" w:ascii="宋体" w:hAnsi="宋体"/>
                <w:szCs w:val="21"/>
              </w:rPr>
              <w:t>基本资格要求</w:t>
            </w:r>
          </w:p>
        </w:tc>
        <w:tc>
          <w:tcPr>
            <w:tcW w:w="3803" w:type="dxa"/>
            <w:noWrap/>
            <w:vAlign w:val="center"/>
          </w:tcPr>
          <w:p w14:paraId="2B0ECCA8">
            <w:pPr>
              <w:autoSpaceDE w:val="0"/>
              <w:autoSpaceDN w:val="0"/>
              <w:adjustRightInd w:val="0"/>
              <w:spacing w:line="0" w:lineRule="atLeast"/>
              <w:jc w:val="center"/>
              <w:rPr>
                <w:rFonts w:ascii="宋体" w:hAnsi="宋体" w:cs="宋体"/>
                <w:bCs/>
                <w:szCs w:val="21"/>
              </w:rPr>
            </w:pPr>
            <w:r>
              <w:rPr>
                <w:rFonts w:hint="eastAsia" w:ascii="宋体" w:hAnsi="宋体" w:cs="宋体"/>
                <w:bCs/>
                <w:szCs w:val="21"/>
              </w:rPr>
              <w:t>/</w:t>
            </w:r>
          </w:p>
        </w:tc>
        <w:tc>
          <w:tcPr>
            <w:tcW w:w="1748" w:type="dxa"/>
            <w:noWrap/>
            <w:vAlign w:val="center"/>
          </w:tcPr>
          <w:p w14:paraId="5E001A3A">
            <w:pPr>
              <w:autoSpaceDE w:val="0"/>
              <w:autoSpaceDN w:val="0"/>
              <w:adjustRightInd w:val="0"/>
              <w:spacing w:line="0" w:lineRule="atLeast"/>
              <w:jc w:val="center"/>
              <w:rPr>
                <w:rFonts w:ascii="宋体" w:hAnsi="宋体" w:cs="宋体"/>
                <w:bCs/>
                <w:szCs w:val="21"/>
              </w:rPr>
            </w:pPr>
            <w:r>
              <w:rPr>
                <w:rFonts w:hint="eastAsia" w:ascii="宋体" w:hAnsi="宋体" w:cs="宋体"/>
                <w:szCs w:val="21"/>
              </w:rPr>
              <w:t>/</w:t>
            </w:r>
          </w:p>
        </w:tc>
      </w:tr>
      <w:tr w14:paraId="6511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ign w:val="center"/>
          </w:tcPr>
          <w:p w14:paraId="0FE3483B">
            <w:pPr>
              <w:spacing w:line="0" w:lineRule="atLeast"/>
              <w:jc w:val="center"/>
              <w:rPr>
                <w:rFonts w:ascii="宋体" w:hAnsi="宋体" w:cs="宋体"/>
                <w:bCs/>
                <w:szCs w:val="21"/>
              </w:rPr>
            </w:pPr>
            <w:r>
              <w:rPr>
                <w:rFonts w:hint="eastAsia" w:ascii="宋体" w:hAnsi="宋体" w:cs="宋体"/>
                <w:bCs/>
                <w:szCs w:val="21"/>
              </w:rPr>
              <w:t>1.1</w:t>
            </w:r>
          </w:p>
        </w:tc>
        <w:tc>
          <w:tcPr>
            <w:tcW w:w="3768" w:type="dxa"/>
            <w:noWrap/>
            <w:vAlign w:val="center"/>
          </w:tcPr>
          <w:p w14:paraId="18E7E0A7">
            <w:pPr>
              <w:autoSpaceDE w:val="0"/>
              <w:autoSpaceDN w:val="0"/>
              <w:adjustRightInd w:val="0"/>
              <w:spacing w:line="0" w:lineRule="atLeast"/>
              <w:rPr>
                <w:rFonts w:ascii="宋体" w:hAnsi="宋体"/>
                <w:szCs w:val="21"/>
              </w:rPr>
            </w:pPr>
            <w:r>
              <w:rPr>
                <w:rFonts w:hint="eastAsia" w:ascii="宋体" w:hAnsi="宋体"/>
                <w:szCs w:val="21"/>
              </w:rPr>
              <w:t>1.满足《中华人民共和国政府采购法》第二十二条规定的资格条件；未被“信用中国”（www.creditchina.gov.cn)、中国政府采购网（www.ccgp.gov.cn）列入失信被执行人、重大税收违法案件当事人名单、政府采购严重违法失信行为记录名单；</w:t>
            </w:r>
          </w:p>
        </w:tc>
        <w:tc>
          <w:tcPr>
            <w:tcW w:w="3803" w:type="dxa"/>
            <w:noWrap/>
            <w:vAlign w:val="center"/>
          </w:tcPr>
          <w:p w14:paraId="50625673">
            <w:pPr>
              <w:autoSpaceDE w:val="0"/>
              <w:autoSpaceDN w:val="0"/>
              <w:adjustRightInd w:val="0"/>
              <w:spacing w:line="0" w:lineRule="atLeast"/>
              <w:jc w:val="center"/>
              <w:rPr>
                <w:rFonts w:ascii="宋体" w:hAnsi="宋体" w:cs="宋体"/>
                <w:szCs w:val="21"/>
              </w:rPr>
            </w:pPr>
            <w:r>
              <w:rPr>
                <w:rFonts w:hint="eastAsia" w:ascii="宋体" w:hAnsi="宋体" w:cs="宋体"/>
                <w:szCs w:val="21"/>
              </w:rPr>
              <w:t>应提供的资格审查资料（除承诺函、说明、声明外的其他证件提供原件扫描件，包括营业执照（或事业法人登记证或其他工商等登记证明材料）原件扫描件及无违法失信的声明函及投标截止日前</w:t>
            </w:r>
          </w:p>
          <w:p w14:paraId="259F2433">
            <w:pPr>
              <w:autoSpaceDE w:val="0"/>
              <w:autoSpaceDN w:val="0"/>
              <w:adjustRightInd w:val="0"/>
              <w:spacing w:line="0" w:lineRule="atLeast"/>
              <w:jc w:val="center"/>
              <w:rPr>
                <w:rFonts w:ascii="宋体" w:hAnsi="宋体" w:cs="宋体"/>
                <w:szCs w:val="21"/>
              </w:rPr>
            </w:pPr>
            <w:r>
              <w:rPr>
                <w:rFonts w:hint="eastAsia" w:ascii="宋体" w:hAnsi="宋体" w:cs="宋体"/>
                <w:szCs w:val="21"/>
              </w:rPr>
              <w:t>截图。</w:t>
            </w:r>
          </w:p>
        </w:tc>
        <w:tc>
          <w:tcPr>
            <w:tcW w:w="1748" w:type="dxa"/>
            <w:noWrap/>
            <w:vAlign w:val="center"/>
          </w:tcPr>
          <w:p w14:paraId="6C79F2EE">
            <w:pPr>
              <w:autoSpaceDE w:val="0"/>
              <w:autoSpaceDN w:val="0"/>
              <w:adjustRightInd w:val="0"/>
              <w:spacing w:line="0" w:lineRule="atLeast"/>
              <w:jc w:val="center"/>
              <w:rPr>
                <w:rFonts w:ascii="宋体" w:hAnsi="宋体" w:cs="宋体"/>
                <w:szCs w:val="21"/>
              </w:rPr>
            </w:pPr>
            <w:r>
              <w:rPr>
                <w:rFonts w:hint="eastAsia" w:ascii="宋体" w:hAnsi="宋体" w:cs="宋体"/>
                <w:szCs w:val="21"/>
              </w:rPr>
              <w:t>格式1.3</w:t>
            </w:r>
          </w:p>
        </w:tc>
      </w:tr>
      <w:tr w14:paraId="1445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ign w:val="center"/>
          </w:tcPr>
          <w:p w14:paraId="7BD7D609">
            <w:pPr>
              <w:spacing w:line="0" w:lineRule="atLeast"/>
              <w:jc w:val="center"/>
              <w:rPr>
                <w:rFonts w:ascii="宋体" w:hAnsi="宋体" w:cs="宋体"/>
                <w:bCs/>
                <w:szCs w:val="21"/>
              </w:rPr>
            </w:pPr>
            <w:r>
              <w:rPr>
                <w:rFonts w:hint="eastAsia" w:ascii="宋体" w:hAnsi="宋体" w:cs="宋体"/>
                <w:bCs/>
                <w:szCs w:val="21"/>
              </w:rPr>
              <w:t>2</w:t>
            </w:r>
          </w:p>
        </w:tc>
        <w:tc>
          <w:tcPr>
            <w:tcW w:w="3768" w:type="dxa"/>
            <w:noWrap/>
            <w:vAlign w:val="center"/>
          </w:tcPr>
          <w:p w14:paraId="05B4659E">
            <w:pPr>
              <w:autoSpaceDE w:val="0"/>
              <w:autoSpaceDN w:val="0"/>
              <w:adjustRightInd w:val="0"/>
              <w:spacing w:line="0" w:lineRule="atLeast"/>
              <w:rPr>
                <w:rFonts w:ascii="宋体" w:hAnsi="宋体"/>
                <w:szCs w:val="21"/>
              </w:rPr>
            </w:pPr>
            <w:r>
              <w:rPr>
                <w:rFonts w:hint="eastAsia" w:ascii="宋体" w:hAnsi="宋体"/>
                <w:szCs w:val="21"/>
              </w:rPr>
              <w:t>落实政府采购政策需满足的资格要求</w:t>
            </w:r>
          </w:p>
        </w:tc>
        <w:tc>
          <w:tcPr>
            <w:tcW w:w="3803" w:type="dxa"/>
            <w:noWrap/>
            <w:vAlign w:val="center"/>
          </w:tcPr>
          <w:p w14:paraId="62FEB3FE">
            <w:pPr>
              <w:autoSpaceDE w:val="0"/>
              <w:autoSpaceDN w:val="0"/>
              <w:adjustRightInd w:val="0"/>
              <w:spacing w:line="0" w:lineRule="atLeast"/>
              <w:jc w:val="center"/>
              <w:rPr>
                <w:rFonts w:ascii="宋体" w:hAnsi="宋体"/>
                <w:bCs/>
                <w:szCs w:val="21"/>
              </w:rPr>
            </w:pPr>
            <w:r>
              <w:rPr>
                <w:rFonts w:hint="eastAsia" w:ascii="宋体" w:hAnsi="宋体" w:cs="宋体"/>
                <w:kern w:val="0"/>
                <w:szCs w:val="21"/>
              </w:rPr>
              <w:t>无</w:t>
            </w:r>
          </w:p>
        </w:tc>
        <w:tc>
          <w:tcPr>
            <w:tcW w:w="1748" w:type="dxa"/>
            <w:noWrap/>
            <w:vAlign w:val="center"/>
          </w:tcPr>
          <w:p w14:paraId="0B65F4C8">
            <w:pPr>
              <w:autoSpaceDE w:val="0"/>
              <w:autoSpaceDN w:val="0"/>
              <w:adjustRightInd w:val="0"/>
              <w:spacing w:line="0" w:lineRule="atLeast"/>
              <w:jc w:val="center"/>
              <w:rPr>
                <w:rFonts w:ascii="宋体" w:hAnsi="宋体"/>
                <w:bCs/>
                <w:szCs w:val="21"/>
              </w:rPr>
            </w:pPr>
            <w:r>
              <w:rPr>
                <w:rFonts w:hint="eastAsia" w:ascii="宋体" w:hAnsi="宋体" w:cs="宋体"/>
                <w:szCs w:val="21"/>
              </w:rPr>
              <w:t>/</w:t>
            </w:r>
          </w:p>
        </w:tc>
      </w:tr>
      <w:tr w14:paraId="2E95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ign w:val="center"/>
          </w:tcPr>
          <w:p w14:paraId="2BA0CE89">
            <w:pPr>
              <w:spacing w:line="0" w:lineRule="atLeast"/>
              <w:jc w:val="center"/>
              <w:rPr>
                <w:rFonts w:ascii="宋体" w:hAnsi="宋体" w:cs="宋体"/>
                <w:bCs/>
                <w:szCs w:val="21"/>
              </w:rPr>
            </w:pPr>
            <w:r>
              <w:rPr>
                <w:rFonts w:hint="eastAsia" w:ascii="宋体" w:hAnsi="宋体" w:cs="宋体"/>
                <w:bCs/>
                <w:szCs w:val="21"/>
              </w:rPr>
              <w:t>3</w:t>
            </w:r>
          </w:p>
        </w:tc>
        <w:tc>
          <w:tcPr>
            <w:tcW w:w="3768" w:type="dxa"/>
            <w:noWrap/>
            <w:vAlign w:val="center"/>
          </w:tcPr>
          <w:p w14:paraId="6EDE8500">
            <w:pPr>
              <w:autoSpaceDE w:val="0"/>
              <w:autoSpaceDN w:val="0"/>
              <w:adjustRightInd w:val="0"/>
              <w:spacing w:line="0" w:lineRule="atLeast"/>
              <w:rPr>
                <w:rFonts w:ascii="宋体" w:hAnsi="宋体"/>
                <w:szCs w:val="21"/>
              </w:rPr>
            </w:pPr>
            <w:r>
              <w:rPr>
                <w:rFonts w:hint="eastAsia" w:ascii="宋体" w:hAnsi="宋体"/>
                <w:szCs w:val="21"/>
              </w:rPr>
              <w:t>特定资格要求</w:t>
            </w:r>
          </w:p>
        </w:tc>
        <w:tc>
          <w:tcPr>
            <w:tcW w:w="3803" w:type="dxa"/>
            <w:noWrap/>
            <w:vAlign w:val="center"/>
          </w:tcPr>
          <w:p w14:paraId="5D2952AC">
            <w:pPr>
              <w:autoSpaceDE w:val="0"/>
              <w:autoSpaceDN w:val="0"/>
              <w:adjustRightInd w:val="0"/>
              <w:spacing w:line="0" w:lineRule="atLeast"/>
              <w:jc w:val="center"/>
              <w:rPr>
                <w:rFonts w:ascii="宋体" w:hAnsi="宋体" w:cs="宋体"/>
                <w:szCs w:val="21"/>
              </w:rPr>
            </w:pPr>
            <w:r>
              <w:rPr>
                <w:rFonts w:hint="eastAsia" w:ascii="宋体" w:hAnsi="宋体" w:cs="宋体"/>
                <w:szCs w:val="21"/>
              </w:rPr>
              <w:t>/</w:t>
            </w:r>
          </w:p>
        </w:tc>
        <w:tc>
          <w:tcPr>
            <w:tcW w:w="1748" w:type="dxa"/>
            <w:noWrap/>
            <w:vAlign w:val="center"/>
          </w:tcPr>
          <w:p w14:paraId="773611F0">
            <w:pPr>
              <w:autoSpaceDE w:val="0"/>
              <w:autoSpaceDN w:val="0"/>
              <w:adjustRightInd w:val="0"/>
              <w:spacing w:line="0" w:lineRule="atLeast"/>
              <w:jc w:val="center"/>
              <w:rPr>
                <w:rFonts w:ascii="宋体" w:hAnsi="宋体" w:cs="宋体"/>
                <w:szCs w:val="21"/>
              </w:rPr>
            </w:pPr>
            <w:r>
              <w:rPr>
                <w:rFonts w:hint="eastAsia" w:ascii="宋体" w:hAnsi="宋体" w:cs="宋体"/>
                <w:szCs w:val="21"/>
              </w:rPr>
              <w:t>/</w:t>
            </w:r>
          </w:p>
        </w:tc>
      </w:tr>
      <w:tr w14:paraId="4365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ign w:val="center"/>
          </w:tcPr>
          <w:p w14:paraId="6E3E0A91">
            <w:pPr>
              <w:spacing w:line="0" w:lineRule="atLeast"/>
              <w:jc w:val="center"/>
              <w:rPr>
                <w:rFonts w:ascii="宋体" w:hAnsi="宋体" w:cs="宋体"/>
                <w:bCs/>
                <w:szCs w:val="21"/>
              </w:rPr>
            </w:pPr>
            <w:r>
              <w:rPr>
                <w:rFonts w:hint="eastAsia" w:ascii="宋体" w:hAnsi="宋体" w:cs="宋体"/>
                <w:bCs/>
                <w:szCs w:val="21"/>
              </w:rPr>
              <w:t>3.1</w:t>
            </w:r>
          </w:p>
        </w:tc>
        <w:tc>
          <w:tcPr>
            <w:tcW w:w="3768" w:type="dxa"/>
            <w:noWrap/>
          </w:tcPr>
          <w:p w14:paraId="4A03BFB9">
            <w:pPr>
              <w:spacing w:line="0" w:lineRule="atLeast"/>
              <w:rPr>
                <w:rFonts w:ascii="宋体" w:hAnsi="宋体"/>
              </w:rPr>
            </w:pPr>
            <w:r>
              <w:rPr>
                <w:rFonts w:hint="eastAsia" w:ascii="宋体" w:hAnsi="宋体"/>
              </w:rPr>
              <w:t>(1)单位负责人为同一人或者存在直接控股、管理关系的不同供应商，不得同时参加同一合同项下的投标。</w:t>
            </w:r>
          </w:p>
        </w:tc>
        <w:tc>
          <w:tcPr>
            <w:tcW w:w="3803" w:type="dxa"/>
            <w:noWrap/>
            <w:vAlign w:val="center"/>
          </w:tcPr>
          <w:p w14:paraId="61BE5853">
            <w:pPr>
              <w:autoSpaceDE w:val="0"/>
              <w:autoSpaceDN w:val="0"/>
              <w:adjustRightInd w:val="0"/>
              <w:spacing w:line="0" w:lineRule="atLeast"/>
              <w:jc w:val="center"/>
              <w:rPr>
                <w:rFonts w:ascii="宋体" w:hAnsi="宋体" w:cs="宋体"/>
                <w:szCs w:val="21"/>
              </w:rPr>
            </w:pPr>
            <w:r>
              <w:rPr>
                <w:rFonts w:hint="eastAsia" w:ascii="宋体" w:hAnsi="宋体"/>
                <w:szCs w:val="21"/>
              </w:rPr>
              <w:t>应提供《供应商资格声明函》</w:t>
            </w:r>
          </w:p>
        </w:tc>
        <w:tc>
          <w:tcPr>
            <w:tcW w:w="1748" w:type="dxa"/>
            <w:noWrap/>
            <w:vAlign w:val="center"/>
          </w:tcPr>
          <w:p w14:paraId="178BA71A">
            <w:pPr>
              <w:autoSpaceDE w:val="0"/>
              <w:autoSpaceDN w:val="0"/>
              <w:adjustRightInd w:val="0"/>
              <w:spacing w:line="0" w:lineRule="atLeast"/>
              <w:jc w:val="center"/>
              <w:rPr>
                <w:rFonts w:ascii="宋体" w:hAnsi="宋体" w:cs="宋体"/>
                <w:szCs w:val="21"/>
              </w:rPr>
            </w:pPr>
            <w:r>
              <w:rPr>
                <w:rFonts w:hint="eastAsia" w:ascii="宋体" w:hAnsi="宋体" w:cs="宋体"/>
                <w:szCs w:val="21"/>
              </w:rPr>
              <w:t>格式1.3</w:t>
            </w:r>
          </w:p>
        </w:tc>
      </w:tr>
      <w:tr w14:paraId="1CFD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ign w:val="center"/>
          </w:tcPr>
          <w:p w14:paraId="2514E635">
            <w:pPr>
              <w:spacing w:line="0" w:lineRule="atLeast"/>
              <w:jc w:val="center"/>
              <w:rPr>
                <w:rFonts w:ascii="宋体" w:hAnsi="宋体" w:cs="宋体"/>
                <w:b/>
                <w:bCs/>
                <w:szCs w:val="21"/>
              </w:rPr>
            </w:pPr>
            <w:r>
              <w:rPr>
                <w:rFonts w:hint="eastAsia" w:ascii="宋体" w:hAnsi="宋体" w:cs="宋体"/>
                <w:b/>
                <w:bCs/>
                <w:szCs w:val="21"/>
              </w:rPr>
              <w:t>3.2</w:t>
            </w:r>
          </w:p>
        </w:tc>
        <w:tc>
          <w:tcPr>
            <w:tcW w:w="3768" w:type="dxa"/>
            <w:noWrap/>
          </w:tcPr>
          <w:p w14:paraId="7417CBAC">
            <w:pPr>
              <w:spacing w:line="0" w:lineRule="atLeast"/>
              <w:rPr>
                <w:rFonts w:ascii="宋体" w:hAnsi="宋体"/>
                <w:b/>
                <w:color w:val="auto"/>
              </w:rPr>
            </w:pPr>
            <w:r>
              <w:rPr>
                <w:rFonts w:hint="eastAsia" w:ascii="宋体" w:hAnsi="宋体"/>
                <w:b/>
                <w:color w:val="auto"/>
              </w:rPr>
              <w:t>采购文件《第一章  招标公告》投标供应商资格要求</w:t>
            </w:r>
            <w:r>
              <w:rPr>
                <w:rFonts w:hint="eastAsia" w:ascii="宋体" w:hAnsi="宋体"/>
                <w:b/>
                <w:color w:val="auto"/>
                <w:lang w:val="en-US" w:eastAsia="zh-CN"/>
              </w:rPr>
              <w:t>中的</w:t>
            </w:r>
            <w:r>
              <w:rPr>
                <w:rFonts w:hint="eastAsia" w:ascii="宋体" w:hAnsi="宋体"/>
                <w:b/>
                <w:color w:val="auto"/>
              </w:rPr>
              <w:t>资格条件</w:t>
            </w:r>
          </w:p>
        </w:tc>
        <w:tc>
          <w:tcPr>
            <w:tcW w:w="3803" w:type="dxa"/>
            <w:noWrap/>
            <w:vAlign w:val="center"/>
          </w:tcPr>
          <w:p w14:paraId="5EFDD286">
            <w:pPr>
              <w:autoSpaceDE w:val="0"/>
              <w:autoSpaceDN w:val="0"/>
              <w:adjustRightInd w:val="0"/>
              <w:spacing w:line="0" w:lineRule="atLeast"/>
              <w:jc w:val="left"/>
              <w:rPr>
                <w:rFonts w:ascii="宋体" w:hAnsi="宋体"/>
                <w:b/>
                <w:color w:val="auto"/>
                <w:szCs w:val="21"/>
              </w:rPr>
            </w:pPr>
            <w:r>
              <w:rPr>
                <w:rFonts w:hint="eastAsia" w:ascii="宋体" w:hAnsi="宋体"/>
                <w:b/>
                <w:color w:val="auto"/>
                <w:szCs w:val="21"/>
              </w:rPr>
              <w:t>应提供：具备肉类经营资格的法人企业，肉类储存地点须在浙江省内证明材料；提供具备有效的食品经营或流通生产许可证。</w:t>
            </w:r>
          </w:p>
        </w:tc>
        <w:tc>
          <w:tcPr>
            <w:tcW w:w="1748" w:type="dxa"/>
            <w:noWrap/>
            <w:vAlign w:val="center"/>
          </w:tcPr>
          <w:p w14:paraId="1175C559">
            <w:pPr>
              <w:autoSpaceDE w:val="0"/>
              <w:autoSpaceDN w:val="0"/>
              <w:adjustRightInd w:val="0"/>
              <w:spacing w:line="0" w:lineRule="atLeast"/>
              <w:jc w:val="center"/>
              <w:rPr>
                <w:rFonts w:ascii="宋体" w:hAnsi="宋体" w:cs="宋体"/>
                <w:b/>
                <w:szCs w:val="21"/>
              </w:rPr>
            </w:pPr>
            <w:r>
              <w:rPr>
                <w:rFonts w:hint="eastAsia" w:ascii="宋体" w:hAnsi="宋体" w:cs="宋体"/>
                <w:b/>
                <w:szCs w:val="21"/>
              </w:rPr>
              <w:t>/</w:t>
            </w:r>
          </w:p>
        </w:tc>
      </w:tr>
      <w:tr w14:paraId="2B18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43" w:type="dxa"/>
            <w:noWrap/>
            <w:vAlign w:val="center"/>
          </w:tcPr>
          <w:p w14:paraId="5D17C163">
            <w:pPr>
              <w:spacing w:line="0" w:lineRule="atLeast"/>
              <w:jc w:val="center"/>
              <w:rPr>
                <w:rFonts w:ascii="宋体" w:hAnsi="宋体" w:cs="宋体"/>
                <w:bCs/>
                <w:szCs w:val="21"/>
              </w:rPr>
            </w:pPr>
            <w:r>
              <w:rPr>
                <w:rFonts w:hint="eastAsia" w:ascii="宋体" w:hAnsi="宋体" w:cs="宋体"/>
                <w:bCs/>
                <w:szCs w:val="21"/>
              </w:rPr>
              <w:t>4</w:t>
            </w:r>
          </w:p>
        </w:tc>
        <w:tc>
          <w:tcPr>
            <w:tcW w:w="3768" w:type="dxa"/>
            <w:noWrap/>
            <w:vAlign w:val="center"/>
          </w:tcPr>
          <w:p w14:paraId="1587162C">
            <w:pPr>
              <w:autoSpaceDE w:val="0"/>
              <w:autoSpaceDN w:val="0"/>
              <w:adjustRightInd w:val="0"/>
              <w:spacing w:line="0" w:lineRule="atLeast"/>
              <w:rPr>
                <w:rFonts w:ascii="宋体" w:hAnsi="宋体"/>
                <w:szCs w:val="21"/>
              </w:rPr>
            </w:pPr>
            <w:r>
              <w:rPr>
                <w:rFonts w:hint="eastAsia" w:ascii="宋体" w:hAnsi="宋体"/>
                <w:szCs w:val="21"/>
              </w:rPr>
              <w:t>其他投标人认为须提供的资料（如有）</w:t>
            </w:r>
          </w:p>
        </w:tc>
        <w:tc>
          <w:tcPr>
            <w:tcW w:w="3803" w:type="dxa"/>
            <w:noWrap/>
            <w:vAlign w:val="center"/>
          </w:tcPr>
          <w:p w14:paraId="3F8B2D38">
            <w:pPr>
              <w:autoSpaceDE w:val="0"/>
              <w:autoSpaceDN w:val="0"/>
              <w:adjustRightInd w:val="0"/>
              <w:spacing w:line="0" w:lineRule="atLeast"/>
              <w:jc w:val="center"/>
              <w:rPr>
                <w:rFonts w:ascii="宋体" w:hAnsi="宋体" w:cs="宋体"/>
                <w:szCs w:val="21"/>
              </w:rPr>
            </w:pPr>
            <w:r>
              <w:rPr>
                <w:rFonts w:hint="eastAsia" w:ascii="宋体" w:hAnsi="宋体" w:cs="宋体"/>
                <w:szCs w:val="21"/>
              </w:rPr>
              <w:t>/</w:t>
            </w:r>
          </w:p>
        </w:tc>
        <w:tc>
          <w:tcPr>
            <w:tcW w:w="1748" w:type="dxa"/>
            <w:noWrap/>
            <w:vAlign w:val="center"/>
          </w:tcPr>
          <w:p w14:paraId="415C0699">
            <w:pPr>
              <w:autoSpaceDE w:val="0"/>
              <w:autoSpaceDN w:val="0"/>
              <w:adjustRightInd w:val="0"/>
              <w:spacing w:line="0" w:lineRule="atLeast"/>
              <w:jc w:val="center"/>
              <w:rPr>
                <w:rFonts w:ascii="宋体" w:hAnsi="宋体" w:cs="宋体"/>
                <w:szCs w:val="21"/>
              </w:rPr>
            </w:pPr>
            <w:r>
              <w:rPr>
                <w:rFonts w:hint="eastAsia" w:ascii="宋体" w:hAnsi="宋体" w:cs="宋体"/>
                <w:szCs w:val="21"/>
              </w:rPr>
              <w:t>/</w:t>
            </w:r>
          </w:p>
        </w:tc>
      </w:tr>
    </w:tbl>
    <w:p w14:paraId="22299FD9">
      <w:pPr>
        <w:autoSpaceDE w:val="0"/>
        <w:autoSpaceDN w:val="0"/>
        <w:adjustRightInd w:val="0"/>
        <w:spacing w:line="400" w:lineRule="exact"/>
        <w:ind w:firstLine="482" w:firstLineChars="200"/>
        <w:jc w:val="left"/>
        <w:rPr>
          <w:rFonts w:ascii="宋体" w:hAnsi="宋体" w:cs="宋体"/>
          <w:b/>
          <w:sz w:val="24"/>
        </w:rPr>
      </w:pPr>
      <w:r>
        <w:rPr>
          <w:rFonts w:ascii="宋体" w:hAnsi="宋体"/>
          <w:b/>
          <w:bCs/>
          <w:sz w:val="24"/>
        </w:rPr>
        <w:t>3.3.2</w:t>
      </w:r>
      <w:r>
        <w:rPr>
          <w:rFonts w:hint="eastAsia" w:ascii="宋体" w:hAnsi="宋体"/>
          <w:b/>
          <w:bCs/>
          <w:sz w:val="24"/>
        </w:rPr>
        <w:t>.1</w:t>
      </w:r>
      <w:r>
        <w:rPr>
          <w:rFonts w:ascii="宋体" w:hAnsi="宋体"/>
          <w:b/>
          <w:bCs/>
          <w:sz w:val="24"/>
        </w:rPr>
        <w:t>商务技术文件应包括下列内容:</w:t>
      </w:r>
    </w:p>
    <w:tbl>
      <w:tblPr>
        <w:tblStyle w:val="55"/>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7015"/>
        <w:gridCol w:w="1632"/>
      </w:tblGrid>
      <w:tr w14:paraId="0FFA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shd w:val="clear" w:color="auto" w:fill="7F7F7F"/>
            <w:noWrap/>
            <w:vAlign w:val="center"/>
          </w:tcPr>
          <w:p w14:paraId="74DA465D">
            <w:pPr>
              <w:autoSpaceDE w:val="0"/>
              <w:autoSpaceDN w:val="0"/>
              <w:adjustRightInd w:val="0"/>
              <w:spacing w:line="0" w:lineRule="atLeast"/>
              <w:jc w:val="center"/>
              <w:rPr>
                <w:rFonts w:ascii="宋体" w:hAnsi="宋体" w:cs="宋体"/>
                <w:szCs w:val="21"/>
              </w:rPr>
            </w:pPr>
            <w:r>
              <w:rPr>
                <w:rFonts w:hint="eastAsia" w:ascii="宋体" w:hAnsi="宋体" w:cs="宋体"/>
                <w:szCs w:val="21"/>
              </w:rPr>
              <w:t>序号</w:t>
            </w:r>
          </w:p>
        </w:tc>
        <w:tc>
          <w:tcPr>
            <w:tcW w:w="7015" w:type="dxa"/>
            <w:shd w:val="clear" w:color="auto" w:fill="7F7F7F"/>
            <w:noWrap/>
            <w:vAlign w:val="center"/>
          </w:tcPr>
          <w:p w14:paraId="0EB549BC">
            <w:pPr>
              <w:autoSpaceDE w:val="0"/>
              <w:autoSpaceDN w:val="0"/>
              <w:adjustRightInd w:val="0"/>
              <w:spacing w:line="0" w:lineRule="atLeast"/>
              <w:jc w:val="center"/>
              <w:rPr>
                <w:rFonts w:ascii="宋体" w:hAnsi="宋体" w:cs="宋体"/>
                <w:szCs w:val="21"/>
              </w:rPr>
            </w:pPr>
            <w:r>
              <w:rPr>
                <w:rFonts w:hint="eastAsia" w:ascii="宋体" w:hAnsi="宋体" w:cs="宋体"/>
                <w:szCs w:val="21"/>
              </w:rPr>
              <w:t>编制内容</w:t>
            </w:r>
          </w:p>
        </w:tc>
        <w:tc>
          <w:tcPr>
            <w:tcW w:w="1632" w:type="dxa"/>
            <w:shd w:val="clear" w:color="auto" w:fill="7F7F7F"/>
            <w:noWrap/>
            <w:vAlign w:val="center"/>
          </w:tcPr>
          <w:p w14:paraId="470B8FC4">
            <w:pPr>
              <w:autoSpaceDE w:val="0"/>
              <w:autoSpaceDN w:val="0"/>
              <w:adjustRightInd w:val="0"/>
              <w:spacing w:line="0" w:lineRule="atLeast"/>
              <w:jc w:val="center"/>
              <w:rPr>
                <w:rFonts w:ascii="宋体" w:hAnsi="宋体" w:cs="宋体"/>
                <w:szCs w:val="21"/>
              </w:rPr>
            </w:pPr>
            <w:r>
              <w:rPr>
                <w:rFonts w:hint="eastAsia" w:ascii="宋体" w:hAnsi="宋体" w:cs="宋体"/>
                <w:szCs w:val="21"/>
              </w:rPr>
              <w:t>格式</w:t>
            </w:r>
          </w:p>
        </w:tc>
      </w:tr>
      <w:tr w14:paraId="795F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1EC69D8E">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7015" w:type="dxa"/>
            <w:noWrap/>
            <w:vAlign w:val="center"/>
          </w:tcPr>
          <w:p w14:paraId="234A7677">
            <w:pPr>
              <w:autoSpaceDE w:val="0"/>
              <w:autoSpaceDN w:val="0"/>
              <w:adjustRightInd w:val="0"/>
              <w:spacing w:line="0" w:lineRule="atLeast"/>
              <w:rPr>
                <w:rFonts w:ascii="宋体" w:hAnsi="宋体" w:cs="宋体"/>
                <w:szCs w:val="21"/>
              </w:rPr>
            </w:pPr>
            <w:r>
              <w:rPr>
                <w:rFonts w:hint="eastAsia" w:ascii="宋体" w:hAnsi="宋体" w:cs="宋体"/>
                <w:szCs w:val="21"/>
              </w:rPr>
              <w:t>商务技术文件封面</w:t>
            </w:r>
          </w:p>
        </w:tc>
        <w:tc>
          <w:tcPr>
            <w:tcW w:w="1632" w:type="dxa"/>
            <w:noWrap/>
            <w:vAlign w:val="center"/>
          </w:tcPr>
          <w:p w14:paraId="54A9BEFD">
            <w:pPr>
              <w:autoSpaceDE w:val="0"/>
              <w:autoSpaceDN w:val="0"/>
              <w:adjustRightInd w:val="0"/>
              <w:spacing w:line="0" w:lineRule="atLeast"/>
              <w:jc w:val="center"/>
              <w:rPr>
                <w:rFonts w:ascii="宋体" w:hAnsi="宋体" w:cs="宋体"/>
                <w:bCs/>
                <w:sz w:val="22"/>
                <w:szCs w:val="22"/>
              </w:rPr>
            </w:pPr>
            <w:r>
              <w:rPr>
                <w:rFonts w:hint="eastAsia" w:ascii="宋体" w:hAnsi="宋体" w:cs="宋体"/>
                <w:szCs w:val="21"/>
              </w:rPr>
              <w:t>格式2.1</w:t>
            </w:r>
          </w:p>
        </w:tc>
      </w:tr>
      <w:tr w14:paraId="72EC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666290B9">
            <w:pPr>
              <w:autoSpaceDE w:val="0"/>
              <w:autoSpaceDN w:val="0"/>
              <w:adjustRightInd w:val="0"/>
              <w:spacing w:line="0" w:lineRule="atLeast"/>
              <w:jc w:val="center"/>
              <w:rPr>
                <w:rFonts w:ascii="宋体" w:hAnsi="宋体" w:cs="宋体"/>
                <w:szCs w:val="21"/>
              </w:rPr>
            </w:pPr>
            <w:r>
              <w:rPr>
                <w:rFonts w:hint="eastAsia" w:ascii="宋体" w:hAnsi="宋体" w:cs="宋体"/>
                <w:szCs w:val="21"/>
              </w:rPr>
              <w:t>2</w:t>
            </w:r>
          </w:p>
        </w:tc>
        <w:tc>
          <w:tcPr>
            <w:tcW w:w="7015" w:type="dxa"/>
            <w:noWrap/>
            <w:vAlign w:val="center"/>
          </w:tcPr>
          <w:p w14:paraId="112C4205">
            <w:pPr>
              <w:autoSpaceDE w:val="0"/>
              <w:autoSpaceDN w:val="0"/>
              <w:adjustRightInd w:val="0"/>
              <w:spacing w:line="0" w:lineRule="atLeast"/>
              <w:rPr>
                <w:rFonts w:ascii="宋体" w:hAnsi="宋体" w:cs="宋体"/>
                <w:szCs w:val="21"/>
              </w:rPr>
            </w:pPr>
            <w:r>
              <w:rPr>
                <w:rFonts w:hint="eastAsia" w:ascii="宋体" w:hAnsi="宋体" w:cs="宋体"/>
                <w:szCs w:val="21"/>
              </w:rPr>
              <w:t>商务技术文件目录</w:t>
            </w:r>
          </w:p>
        </w:tc>
        <w:tc>
          <w:tcPr>
            <w:tcW w:w="1632" w:type="dxa"/>
            <w:noWrap/>
            <w:vAlign w:val="center"/>
          </w:tcPr>
          <w:p w14:paraId="4177B886">
            <w:pPr>
              <w:spacing w:line="0" w:lineRule="atLeast"/>
              <w:jc w:val="center"/>
              <w:rPr>
                <w:rFonts w:ascii="宋体" w:hAnsi="宋体" w:cs="宋体"/>
                <w:szCs w:val="21"/>
              </w:rPr>
            </w:pPr>
            <w:r>
              <w:rPr>
                <w:rFonts w:hint="eastAsia" w:ascii="宋体" w:hAnsi="宋体" w:cs="宋体"/>
                <w:szCs w:val="21"/>
              </w:rPr>
              <w:t>格式2.2</w:t>
            </w:r>
          </w:p>
        </w:tc>
      </w:tr>
      <w:tr w14:paraId="4166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066560DF">
            <w:pPr>
              <w:autoSpaceDE w:val="0"/>
              <w:autoSpaceDN w:val="0"/>
              <w:adjustRightInd w:val="0"/>
              <w:spacing w:line="0" w:lineRule="atLeast"/>
              <w:jc w:val="center"/>
              <w:rPr>
                <w:rFonts w:ascii="宋体" w:hAnsi="宋体" w:cs="宋体"/>
                <w:bCs/>
                <w:szCs w:val="21"/>
              </w:rPr>
            </w:pPr>
            <w:r>
              <w:rPr>
                <w:rFonts w:hint="eastAsia" w:ascii="宋体" w:hAnsi="宋体" w:cs="宋体"/>
                <w:szCs w:val="21"/>
              </w:rPr>
              <w:t>3</w:t>
            </w:r>
          </w:p>
        </w:tc>
        <w:tc>
          <w:tcPr>
            <w:tcW w:w="7015" w:type="dxa"/>
            <w:noWrap/>
            <w:vAlign w:val="center"/>
          </w:tcPr>
          <w:p w14:paraId="520E29E3">
            <w:pPr>
              <w:autoSpaceDE w:val="0"/>
              <w:autoSpaceDN w:val="0"/>
              <w:adjustRightInd w:val="0"/>
              <w:spacing w:line="0" w:lineRule="atLeast"/>
              <w:rPr>
                <w:rFonts w:ascii="宋体" w:hAnsi="宋体" w:cs="宋体"/>
                <w:szCs w:val="21"/>
              </w:rPr>
            </w:pPr>
            <w:r>
              <w:rPr>
                <w:rFonts w:hint="eastAsia" w:ascii="宋体" w:hAnsi="宋体" w:cs="宋体"/>
                <w:szCs w:val="21"/>
              </w:rPr>
              <w:t>自评分表</w:t>
            </w:r>
          </w:p>
        </w:tc>
        <w:tc>
          <w:tcPr>
            <w:tcW w:w="1632" w:type="dxa"/>
            <w:noWrap/>
            <w:vAlign w:val="center"/>
          </w:tcPr>
          <w:p w14:paraId="07B0D1E9">
            <w:pPr>
              <w:spacing w:line="0" w:lineRule="atLeast"/>
              <w:jc w:val="center"/>
              <w:rPr>
                <w:rFonts w:ascii="宋体" w:hAnsi="宋体" w:cs="宋体"/>
                <w:bCs/>
                <w:sz w:val="22"/>
                <w:szCs w:val="22"/>
              </w:rPr>
            </w:pPr>
            <w:r>
              <w:rPr>
                <w:rFonts w:hint="eastAsia" w:ascii="宋体" w:hAnsi="宋体" w:cs="宋体"/>
                <w:szCs w:val="21"/>
              </w:rPr>
              <w:t>格式2.2.1</w:t>
            </w:r>
          </w:p>
        </w:tc>
      </w:tr>
      <w:tr w14:paraId="63CF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393571DF">
            <w:pPr>
              <w:autoSpaceDE w:val="0"/>
              <w:autoSpaceDN w:val="0"/>
              <w:adjustRightInd w:val="0"/>
              <w:spacing w:line="0" w:lineRule="atLeast"/>
              <w:jc w:val="center"/>
              <w:rPr>
                <w:rFonts w:ascii="宋体" w:hAnsi="宋体" w:cs="宋体"/>
                <w:bCs/>
                <w:szCs w:val="21"/>
              </w:rPr>
            </w:pPr>
            <w:r>
              <w:rPr>
                <w:rFonts w:hint="eastAsia" w:ascii="宋体" w:hAnsi="宋体" w:cs="宋体"/>
                <w:szCs w:val="21"/>
              </w:rPr>
              <w:t>4</w:t>
            </w:r>
          </w:p>
        </w:tc>
        <w:tc>
          <w:tcPr>
            <w:tcW w:w="7015" w:type="dxa"/>
            <w:noWrap/>
            <w:vAlign w:val="center"/>
          </w:tcPr>
          <w:p w14:paraId="64DAC7CE">
            <w:pPr>
              <w:autoSpaceDE w:val="0"/>
              <w:autoSpaceDN w:val="0"/>
              <w:adjustRightInd w:val="0"/>
              <w:spacing w:line="0" w:lineRule="atLeast"/>
              <w:rPr>
                <w:rFonts w:ascii="宋体" w:hAnsi="宋体" w:cs="宋体"/>
                <w:szCs w:val="21"/>
              </w:rPr>
            </w:pPr>
            <w:r>
              <w:rPr>
                <w:rFonts w:hint="eastAsia" w:ascii="宋体" w:hAnsi="宋体" w:cs="宋体"/>
                <w:szCs w:val="21"/>
              </w:rPr>
              <w:t>法定代表人证明书</w:t>
            </w:r>
          </w:p>
        </w:tc>
        <w:tc>
          <w:tcPr>
            <w:tcW w:w="1632" w:type="dxa"/>
            <w:noWrap/>
            <w:vAlign w:val="center"/>
          </w:tcPr>
          <w:p w14:paraId="21AB9340">
            <w:pPr>
              <w:spacing w:line="0" w:lineRule="atLeast"/>
              <w:jc w:val="center"/>
              <w:rPr>
                <w:rFonts w:ascii="宋体" w:hAnsi="宋体" w:cs="宋体"/>
                <w:szCs w:val="21"/>
              </w:rPr>
            </w:pPr>
            <w:r>
              <w:rPr>
                <w:rFonts w:hint="eastAsia" w:ascii="宋体" w:hAnsi="宋体" w:cs="宋体"/>
                <w:szCs w:val="21"/>
              </w:rPr>
              <w:t>格式2.2.2</w:t>
            </w:r>
          </w:p>
        </w:tc>
      </w:tr>
      <w:tr w14:paraId="555D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0A0A890F">
            <w:pPr>
              <w:autoSpaceDE w:val="0"/>
              <w:autoSpaceDN w:val="0"/>
              <w:adjustRightInd w:val="0"/>
              <w:spacing w:line="0" w:lineRule="atLeast"/>
              <w:jc w:val="center"/>
              <w:rPr>
                <w:rFonts w:ascii="宋体" w:hAnsi="宋体" w:cs="宋体"/>
                <w:szCs w:val="21"/>
              </w:rPr>
            </w:pPr>
            <w:r>
              <w:rPr>
                <w:rFonts w:hint="eastAsia" w:ascii="宋体" w:hAnsi="宋体" w:cs="宋体"/>
                <w:szCs w:val="21"/>
              </w:rPr>
              <w:t>5</w:t>
            </w:r>
          </w:p>
        </w:tc>
        <w:tc>
          <w:tcPr>
            <w:tcW w:w="7015" w:type="dxa"/>
            <w:noWrap/>
            <w:vAlign w:val="center"/>
          </w:tcPr>
          <w:p w14:paraId="7DD5A6BF">
            <w:pPr>
              <w:autoSpaceDE w:val="0"/>
              <w:autoSpaceDN w:val="0"/>
              <w:adjustRightInd w:val="0"/>
              <w:spacing w:line="0" w:lineRule="atLeast"/>
              <w:rPr>
                <w:rFonts w:ascii="宋体" w:hAnsi="宋体" w:cs="宋体"/>
                <w:szCs w:val="21"/>
              </w:rPr>
            </w:pPr>
            <w:r>
              <w:rPr>
                <w:rFonts w:hint="eastAsia" w:ascii="宋体" w:hAnsi="宋体" w:cs="宋体"/>
                <w:szCs w:val="21"/>
              </w:rPr>
              <w:t>法定代表人授权委托书</w:t>
            </w:r>
          </w:p>
        </w:tc>
        <w:tc>
          <w:tcPr>
            <w:tcW w:w="1632" w:type="dxa"/>
            <w:noWrap/>
            <w:vAlign w:val="center"/>
          </w:tcPr>
          <w:p w14:paraId="0FFA9D57">
            <w:pPr>
              <w:spacing w:line="0" w:lineRule="atLeast"/>
              <w:jc w:val="center"/>
              <w:rPr>
                <w:rFonts w:ascii="宋体" w:hAnsi="宋体" w:cs="宋体"/>
                <w:bCs/>
                <w:sz w:val="22"/>
                <w:szCs w:val="22"/>
              </w:rPr>
            </w:pPr>
            <w:r>
              <w:rPr>
                <w:rFonts w:hint="eastAsia" w:ascii="宋体" w:hAnsi="宋体" w:cs="宋体"/>
                <w:szCs w:val="21"/>
              </w:rPr>
              <w:t>格式2.2.3</w:t>
            </w:r>
          </w:p>
        </w:tc>
      </w:tr>
      <w:tr w14:paraId="20F2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54488037">
            <w:pPr>
              <w:autoSpaceDE w:val="0"/>
              <w:autoSpaceDN w:val="0"/>
              <w:adjustRightInd w:val="0"/>
              <w:spacing w:line="0" w:lineRule="atLeast"/>
              <w:jc w:val="center"/>
              <w:rPr>
                <w:rFonts w:ascii="宋体" w:hAnsi="宋体" w:cs="宋体"/>
                <w:szCs w:val="21"/>
              </w:rPr>
            </w:pPr>
            <w:r>
              <w:rPr>
                <w:rFonts w:hint="eastAsia" w:ascii="宋体" w:hAnsi="宋体" w:cs="宋体"/>
                <w:szCs w:val="21"/>
              </w:rPr>
              <w:t>6</w:t>
            </w:r>
          </w:p>
        </w:tc>
        <w:tc>
          <w:tcPr>
            <w:tcW w:w="7015" w:type="dxa"/>
            <w:noWrap/>
            <w:vAlign w:val="center"/>
          </w:tcPr>
          <w:p w14:paraId="5165343E">
            <w:pPr>
              <w:spacing w:line="0" w:lineRule="atLeast"/>
              <w:rPr>
                <w:rFonts w:ascii="宋体" w:hAnsi="宋体" w:cs="宋体"/>
                <w:szCs w:val="21"/>
              </w:rPr>
            </w:pPr>
            <w:r>
              <w:rPr>
                <w:rFonts w:hint="eastAsia" w:ascii="宋体" w:hAnsi="宋体" w:cs="宋体"/>
                <w:szCs w:val="21"/>
              </w:rPr>
              <w:t>投标人基本情况表</w:t>
            </w:r>
          </w:p>
        </w:tc>
        <w:tc>
          <w:tcPr>
            <w:tcW w:w="1632" w:type="dxa"/>
            <w:noWrap/>
            <w:vAlign w:val="center"/>
          </w:tcPr>
          <w:p w14:paraId="509BDE7B">
            <w:pPr>
              <w:spacing w:line="0" w:lineRule="atLeast"/>
              <w:jc w:val="center"/>
              <w:rPr>
                <w:rFonts w:ascii="宋体" w:hAnsi="宋体" w:cs="宋体"/>
                <w:szCs w:val="21"/>
              </w:rPr>
            </w:pPr>
            <w:r>
              <w:rPr>
                <w:rFonts w:hint="eastAsia" w:ascii="宋体" w:hAnsi="宋体" w:cs="宋体"/>
                <w:szCs w:val="21"/>
              </w:rPr>
              <w:t>格式2.2.4</w:t>
            </w:r>
          </w:p>
        </w:tc>
      </w:tr>
      <w:tr w14:paraId="7124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6829AC10">
            <w:pPr>
              <w:autoSpaceDE w:val="0"/>
              <w:autoSpaceDN w:val="0"/>
              <w:adjustRightInd w:val="0"/>
              <w:spacing w:line="0" w:lineRule="atLeast"/>
              <w:jc w:val="center"/>
              <w:rPr>
                <w:rFonts w:ascii="宋体" w:hAnsi="宋体" w:cs="宋体"/>
                <w:szCs w:val="21"/>
              </w:rPr>
            </w:pPr>
            <w:r>
              <w:rPr>
                <w:rFonts w:hint="eastAsia" w:ascii="宋体" w:hAnsi="宋体" w:cs="宋体"/>
                <w:szCs w:val="21"/>
              </w:rPr>
              <w:t>7</w:t>
            </w:r>
          </w:p>
        </w:tc>
        <w:tc>
          <w:tcPr>
            <w:tcW w:w="7015" w:type="dxa"/>
            <w:noWrap/>
            <w:vAlign w:val="center"/>
          </w:tcPr>
          <w:p w14:paraId="10312907">
            <w:pPr>
              <w:spacing w:line="0" w:lineRule="atLeast"/>
              <w:rPr>
                <w:rFonts w:ascii="宋体" w:hAnsi="宋体" w:cs="宋体"/>
                <w:szCs w:val="21"/>
              </w:rPr>
            </w:pPr>
            <w:r>
              <w:rPr>
                <w:rFonts w:hint="eastAsia" w:ascii="宋体" w:hAnsi="宋体"/>
                <w:szCs w:val="21"/>
              </w:rPr>
              <w:t>技术(商务)响应表（格式见第六章）</w:t>
            </w:r>
          </w:p>
        </w:tc>
        <w:tc>
          <w:tcPr>
            <w:tcW w:w="1632" w:type="dxa"/>
            <w:noWrap/>
            <w:vAlign w:val="center"/>
          </w:tcPr>
          <w:p w14:paraId="77BCE790">
            <w:pPr>
              <w:spacing w:line="0" w:lineRule="atLeast"/>
              <w:jc w:val="center"/>
              <w:rPr>
                <w:rFonts w:ascii="宋体" w:hAnsi="宋体" w:cs="宋体"/>
                <w:szCs w:val="21"/>
              </w:rPr>
            </w:pPr>
            <w:r>
              <w:rPr>
                <w:rFonts w:hint="eastAsia" w:ascii="宋体" w:hAnsi="宋体" w:cs="宋体"/>
                <w:szCs w:val="21"/>
              </w:rPr>
              <w:t>格式2.2.5</w:t>
            </w:r>
          </w:p>
        </w:tc>
      </w:tr>
      <w:tr w14:paraId="1293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62F4946F">
            <w:pPr>
              <w:autoSpaceDE w:val="0"/>
              <w:autoSpaceDN w:val="0"/>
              <w:adjustRightInd w:val="0"/>
              <w:spacing w:line="0" w:lineRule="atLeast"/>
              <w:jc w:val="center"/>
              <w:rPr>
                <w:rFonts w:ascii="宋体" w:hAnsi="宋体" w:cs="宋体"/>
                <w:szCs w:val="21"/>
              </w:rPr>
            </w:pPr>
            <w:r>
              <w:rPr>
                <w:rFonts w:hint="eastAsia" w:ascii="宋体" w:hAnsi="宋体" w:cs="宋体"/>
                <w:szCs w:val="21"/>
              </w:rPr>
              <w:t>8</w:t>
            </w:r>
          </w:p>
        </w:tc>
        <w:tc>
          <w:tcPr>
            <w:tcW w:w="7015" w:type="dxa"/>
            <w:noWrap/>
            <w:vAlign w:val="center"/>
          </w:tcPr>
          <w:p w14:paraId="2C7AAD47">
            <w:pPr>
              <w:spacing w:line="0" w:lineRule="atLeast"/>
              <w:rPr>
                <w:rFonts w:ascii="宋体" w:hAnsi="宋体"/>
                <w:szCs w:val="21"/>
              </w:rPr>
            </w:pPr>
            <w:r>
              <w:rPr>
                <w:rFonts w:hint="eastAsia" w:ascii="宋体" w:hAnsi="宋体"/>
                <w:szCs w:val="21"/>
              </w:rPr>
              <w:t>企业履约能力-企业荣誉（如有）</w:t>
            </w:r>
            <w:r>
              <w:rPr>
                <w:rFonts w:hint="eastAsia" w:hAnsi="宋体" w:cs="宋体"/>
              </w:rPr>
              <w:t>（详见第五章评标办法）</w:t>
            </w:r>
          </w:p>
        </w:tc>
        <w:tc>
          <w:tcPr>
            <w:tcW w:w="1632" w:type="dxa"/>
            <w:noWrap/>
            <w:vAlign w:val="center"/>
          </w:tcPr>
          <w:p w14:paraId="48A3CBDF">
            <w:pPr>
              <w:spacing w:line="0" w:lineRule="atLeast"/>
              <w:jc w:val="center"/>
              <w:rPr>
                <w:rFonts w:ascii="宋体" w:hAnsi="宋体" w:cs="宋体"/>
                <w:szCs w:val="21"/>
              </w:rPr>
            </w:pPr>
            <w:r>
              <w:rPr>
                <w:rFonts w:hint="eastAsia" w:ascii="宋体" w:hAnsi="宋体" w:cs="宋体"/>
                <w:szCs w:val="21"/>
              </w:rPr>
              <w:t>/</w:t>
            </w:r>
          </w:p>
        </w:tc>
      </w:tr>
      <w:tr w14:paraId="3A17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31" w:type="dxa"/>
            <w:noWrap/>
            <w:vAlign w:val="center"/>
          </w:tcPr>
          <w:p w14:paraId="4AAA4216">
            <w:pPr>
              <w:autoSpaceDE w:val="0"/>
              <w:autoSpaceDN w:val="0"/>
              <w:adjustRightInd w:val="0"/>
              <w:spacing w:line="0" w:lineRule="atLeast"/>
              <w:jc w:val="center"/>
              <w:rPr>
                <w:rFonts w:ascii="宋体" w:hAnsi="宋体" w:cs="宋体"/>
                <w:szCs w:val="21"/>
              </w:rPr>
            </w:pPr>
            <w:r>
              <w:rPr>
                <w:rFonts w:hint="eastAsia" w:ascii="宋体" w:hAnsi="宋体" w:cs="宋体"/>
                <w:szCs w:val="21"/>
              </w:rPr>
              <w:t>9</w:t>
            </w:r>
          </w:p>
        </w:tc>
        <w:tc>
          <w:tcPr>
            <w:tcW w:w="7015" w:type="dxa"/>
            <w:noWrap/>
            <w:vAlign w:val="center"/>
          </w:tcPr>
          <w:p w14:paraId="577CE94C">
            <w:pPr>
              <w:spacing w:line="0" w:lineRule="atLeast"/>
              <w:rPr>
                <w:rFonts w:ascii="宋体" w:hAnsi="宋体"/>
                <w:szCs w:val="21"/>
              </w:rPr>
            </w:pPr>
            <w:r>
              <w:rPr>
                <w:rFonts w:hint="eastAsia" w:ascii="宋体" w:hAnsi="宋体"/>
                <w:szCs w:val="21"/>
              </w:rPr>
              <w:t>类似项目业绩</w:t>
            </w:r>
            <w:r>
              <w:rPr>
                <w:rFonts w:hint="eastAsia" w:hAnsi="宋体" w:cs="宋体"/>
              </w:rPr>
              <w:t>（详见第五章评标办法）</w:t>
            </w:r>
          </w:p>
        </w:tc>
        <w:tc>
          <w:tcPr>
            <w:tcW w:w="1632" w:type="dxa"/>
            <w:noWrap/>
            <w:vAlign w:val="center"/>
          </w:tcPr>
          <w:p w14:paraId="7A7EC7DC">
            <w:pPr>
              <w:spacing w:line="0" w:lineRule="atLeast"/>
              <w:jc w:val="center"/>
              <w:rPr>
                <w:rFonts w:ascii="宋体" w:hAnsi="宋体" w:cs="宋体"/>
                <w:szCs w:val="21"/>
              </w:rPr>
            </w:pPr>
            <w:r>
              <w:rPr>
                <w:rFonts w:hint="eastAsia" w:ascii="宋体" w:hAnsi="宋体" w:cs="宋体"/>
                <w:szCs w:val="21"/>
              </w:rPr>
              <w:t>格式2.2.6</w:t>
            </w:r>
          </w:p>
        </w:tc>
      </w:tr>
      <w:tr w14:paraId="1166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0B8EBD3B">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rPr>
              <w:t>10</w:t>
            </w:r>
          </w:p>
        </w:tc>
        <w:tc>
          <w:tcPr>
            <w:tcW w:w="7015" w:type="dxa"/>
            <w:noWrap/>
            <w:vAlign w:val="center"/>
          </w:tcPr>
          <w:p w14:paraId="549DB136">
            <w:pPr>
              <w:spacing w:line="0" w:lineRule="atLeast"/>
              <w:rPr>
                <w:rFonts w:ascii="宋体" w:hAnsi="宋体"/>
                <w:b/>
                <w:bCs/>
                <w:szCs w:val="21"/>
              </w:rPr>
            </w:pPr>
            <w:r>
              <w:rPr>
                <w:rFonts w:hint="eastAsia" w:ascii="宋体" w:hAnsi="宋体"/>
                <w:b/>
                <w:bCs/>
                <w:szCs w:val="21"/>
              </w:rPr>
              <w:t>人员技术力量投入情况</w:t>
            </w:r>
            <w:r>
              <w:rPr>
                <w:rFonts w:hint="eastAsia" w:hAnsi="宋体" w:cs="宋体"/>
                <w:b/>
                <w:bCs/>
              </w:rPr>
              <w:t>（详见第五章评标办法）</w:t>
            </w:r>
          </w:p>
        </w:tc>
        <w:tc>
          <w:tcPr>
            <w:tcW w:w="1632" w:type="dxa"/>
            <w:noWrap/>
            <w:vAlign w:val="center"/>
          </w:tcPr>
          <w:p w14:paraId="012675D2">
            <w:pPr>
              <w:spacing w:line="0" w:lineRule="atLeast"/>
              <w:jc w:val="center"/>
              <w:rPr>
                <w:rFonts w:ascii="宋体" w:hAnsi="宋体" w:cs="宋体"/>
                <w:szCs w:val="21"/>
              </w:rPr>
            </w:pPr>
            <w:r>
              <w:rPr>
                <w:rFonts w:hint="eastAsia" w:ascii="宋体" w:hAnsi="宋体" w:cs="宋体"/>
                <w:szCs w:val="21"/>
              </w:rPr>
              <w:t>/</w:t>
            </w:r>
          </w:p>
        </w:tc>
      </w:tr>
      <w:tr w14:paraId="0C18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15AAA423">
            <w:pPr>
              <w:autoSpaceDE w:val="0"/>
              <w:autoSpaceDN w:val="0"/>
              <w:adjustRightInd w:val="0"/>
              <w:spacing w:line="0" w:lineRule="atLeast"/>
              <w:jc w:val="center"/>
              <w:rPr>
                <w:rFonts w:ascii="宋体" w:hAnsi="宋体" w:cs="宋体"/>
                <w:szCs w:val="21"/>
              </w:rPr>
            </w:pPr>
            <w:r>
              <w:rPr>
                <w:rFonts w:hint="eastAsia" w:ascii="宋体" w:hAnsi="宋体" w:cs="宋体"/>
                <w:szCs w:val="21"/>
              </w:rPr>
              <w:t>10.1</w:t>
            </w:r>
          </w:p>
        </w:tc>
        <w:tc>
          <w:tcPr>
            <w:tcW w:w="7015" w:type="dxa"/>
            <w:noWrap/>
            <w:vAlign w:val="center"/>
          </w:tcPr>
          <w:p w14:paraId="069AEA89">
            <w:pPr>
              <w:spacing w:line="0" w:lineRule="atLeast"/>
              <w:rPr>
                <w:rFonts w:ascii="宋体" w:hAnsi="宋体"/>
                <w:szCs w:val="21"/>
              </w:rPr>
            </w:pPr>
            <w:r>
              <w:rPr>
                <w:rFonts w:hint="eastAsia" w:asciiTheme="minorEastAsia" w:hAnsiTheme="minorEastAsia" w:eastAsiaTheme="minorEastAsia"/>
                <w:szCs w:val="21"/>
              </w:rPr>
              <w:t>项目负责人</w:t>
            </w:r>
            <w:r>
              <w:rPr>
                <w:rFonts w:hint="eastAsia" w:hAnsi="宋体" w:cs="宋体"/>
              </w:rPr>
              <w:t>（详见第五章评标办法）</w:t>
            </w:r>
            <w:r>
              <w:rPr>
                <w:rFonts w:hint="eastAsia"/>
                <w:szCs w:val="21"/>
              </w:rPr>
              <w:t xml:space="preserve"> 拟派项目负责人简历表格式</w:t>
            </w:r>
            <w:r>
              <w:rPr>
                <w:rFonts w:hint="eastAsia" w:ascii="宋体" w:hAnsi="宋体"/>
                <w:bCs/>
                <w:szCs w:val="21"/>
              </w:rPr>
              <w:t>（格式见第六章）</w:t>
            </w:r>
          </w:p>
        </w:tc>
        <w:tc>
          <w:tcPr>
            <w:tcW w:w="1632" w:type="dxa"/>
            <w:noWrap/>
            <w:vAlign w:val="center"/>
          </w:tcPr>
          <w:p w14:paraId="2C1F5BBE">
            <w:pPr>
              <w:spacing w:line="0" w:lineRule="atLeast"/>
              <w:jc w:val="center"/>
              <w:rPr>
                <w:rFonts w:ascii="宋体" w:hAnsi="宋体" w:cs="宋体"/>
                <w:szCs w:val="21"/>
              </w:rPr>
            </w:pPr>
            <w:r>
              <w:rPr>
                <w:rFonts w:hint="eastAsia" w:ascii="宋体" w:hAnsi="宋体" w:cs="宋体"/>
                <w:szCs w:val="21"/>
              </w:rPr>
              <w:t>格式2.2.7</w:t>
            </w:r>
          </w:p>
        </w:tc>
      </w:tr>
      <w:tr w14:paraId="1D97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31" w:type="dxa"/>
            <w:noWrap/>
            <w:vAlign w:val="center"/>
          </w:tcPr>
          <w:p w14:paraId="3BCCE596">
            <w:pPr>
              <w:autoSpaceDE w:val="0"/>
              <w:autoSpaceDN w:val="0"/>
              <w:adjustRightInd w:val="0"/>
              <w:spacing w:line="0" w:lineRule="atLeast"/>
              <w:jc w:val="center"/>
              <w:rPr>
                <w:rFonts w:ascii="宋体" w:hAnsi="宋体" w:cs="宋体"/>
                <w:szCs w:val="21"/>
              </w:rPr>
            </w:pPr>
            <w:r>
              <w:rPr>
                <w:rFonts w:hint="eastAsia" w:ascii="宋体" w:hAnsi="宋体" w:cs="宋体"/>
                <w:szCs w:val="21"/>
              </w:rPr>
              <w:t>10.2</w:t>
            </w:r>
          </w:p>
        </w:tc>
        <w:tc>
          <w:tcPr>
            <w:tcW w:w="7015" w:type="dxa"/>
            <w:noWrap/>
            <w:vAlign w:val="center"/>
          </w:tcPr>
          <w:p w14:paraId="1890622B">
            <w:pPr>
              <w:spacing w:line="0" w:lineRule="atLeast"/>
              <w:rPr>
                <w:rFonts w:ascii="宋体" w:hAnsi="宋体"/>
                <w:b/>
                <w:szCs w:val="21"/>
              </w:rPr>
            </w:pPr>
            <w:r>
              <w:rPr>
                <w:rFonts w:hint="eastAsia"/>
                <w:szCs w:val="21"/>
              </w:rPr>
              <w:t>项目团队成员</w:t>
            </w:r>
            <w:r>
              <w:rPr>
                <w:rFonts w:hint="eastAsia" w:hAnsi="宋体" w:cs="宋体"/>
              </w:rPr>
              <w:t>（详见第五章评标办法）</w:t>
            </w:r>
            <w:r>
              <w:rPr>
                <w:rFonts w:hint="eastAsia" w:ascii="宋体" w:hAnsi="宋体"/>
                <w:bCs/>
                <w:szCs w:val="21"/>
              </w:rPr>
              <w:t>拟派项目团队成员情况表格式</w:t>
            </w:r>
            <w:r>
              <w:rPr>
                <w:rFonts w:hint="eastAsia"/>
                <w:szCs w:val="21"/>
              </w:rPr>
              <w:t>（格式见第六章）</w:t>
            </w:r>
          </w:p>
        </w:tc>
        <w:tc>
          <w:tcPr>
            <w:tcW w:w="1632" w:type="dxa"/>
            <w:noWrap/>
            <w:vAlign w:val="center"/>
          </w:tcPr>
          <w:p w14:paraId="145DF9F5">
            <w:pPr>
              <w:spacing w:line="0" w:lineRule="atLeast"/>
              <w:jc w:val="center"/>
              <w:rPr>
                <w:rFonts w:ascii="宋体" w:hAnsi="宋体" w:cs="宋体"/>
                <w:szCs w:val="21"/>
              </w:rPr>
            </w:pPr>
            <w:r>
              <w:rPr>
                <w:rFonts w:hint="eastAsia" w:ascii="宋体" w:hAnsi="宋体" w:cs="宋体"/>
                <w:szCs w:val="21"/>
              </w:rPr>
              <w:t>格式2.2.8</w:t>
            </w:r>
          </w:p>
        </w:tc>
      </w:tr>
      <w:tr w14:paraId="08A3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5B3EB013">
            <w:pPr>
              <w:autoSpaceDE w:val="0"/>
              <w:autoSpaceDN w:val="0"/>
              <w:adjustRightInd w:val="0"/>
              <w:spacing w:line="0" w:lineRule="atLeast"/>
              <w:jc w:val="center"/>
              <w:rPr>
                <w:rFonts w:ascii="宋体" w:hAnsi="宋体" w:cs="宋体"/>
                <w:szCs w:val="21"/>
              </w:rPr>
            </w:pPr>
            <w:r>
              <w:rPr>
                <w:rFonts w:hint="eastAsia" w:ascii="宋体" w:hAnsi="宋体" w:cs="宋体"/>
                <w:szCs w:val="21"/>
              </w:rPr>
              <w:t>11</w:t>
            </w:r>
          </w:p>
        </w:tc>
        <w:tc>
          <w:tcPr>
            <w:tcW w:w="7015" w:type="dxa"/>
            <w:noWrap/>
            <w:vAlign w:val="center"/>
          </w:tcPr>
          <w:p w14:paraId="5CF45A3A">
            <w:pPr>
              <w:spacing w:line="0" w:lineRule="atLeast"/>
              <w:rPr>
                <w:rFonts w:ascii="宋体" w:hAnsi="宋体"/>
                <w:szCs w:val="21"/>
              </w:rPr>
            </w:pPr>
            <w:r>
              <w:rPr>
                <w:rFonts w:hint="eastAsia" w:ascii="宋体" w:hAnsi="宋体"/>
                <w:szCs w:val="21"/>
              </w:rPr>
              <w:t>项目理解与分析</w:t>
            </w:r>
            <w:r>
              <w:rPr>
                <w:rFonts w:hint="eastAsia" w:hAnsi="宋体" w:cs="宋体"/>
              </w:rPr>
              <w:t>（详见第五章评标办法）</w:t>
            </w:r>
          </w:p>
        </w:tc>
        <w:tc>
          <w:tcPr>
            <w:tcW w:w="1632" w:type="dxa"/>
            <w:noWrap/>
            <w:vAlign w:val="center"/>
          </w:tcPr>
          <w:p w14:paraId="10BA5AF0">
            <w:pPr>
              <w:spacing w:line="0" w:lineRule="atLeast"/>
              <w:jc w:val="center"/>
              <w:rPr>
                <w:rFonts w:ascii="宋体" w:hAnsi="宋体" w:cs="宋体"/>
                <w:szCs w:val="21"/>
              </w:rPr>
            </w:pPr>
            <w:r>
              <w:rPr>
                <w:rFonts w:hint="eastAsia" w:ascii="宋体" w:hAnsi="宋体" w:cs="宋体"/>
                <w:szCs w:val="21"/>
              </w:rPr>
              <w:t>内容格式自拟</w:t>
            </w:r>
          </w:p>
        </w:tc>
      </w:tr>
      <w:tr w14:paraId="56B5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0537FF3B">
            <w:pPr>
              <w:autoSpaceDE w:val="0"/>
              <w:autoSpaceDN w:val="0"/>
              <w:adjustRightInd w:val="0"/>
              <w:spacing w:line="0" w:lineRule="atLeast"/>
              <w:jc w:val="center"/>
              <w:rPr>
                <w:rFonts w:ascii="宋体" w:hAnsi="宋体" w:cs="宋体"/>
                <w:szCs w:val="21"/>
              </w:rPr>
            </w:pPr>
            <w:r>
              <w:rPr>
                <w:rFonts w:hint="eastAsia" w:ascii="宋体" w:hAnsi="宋体" w:cs="宋体"/>
                <w:szCs w:val="21"/>
              </w:rPr>
              <w:t>12</w:t>
            </w:r>
          </w:p>
        </w:tc>
        <w:tc>
          <w:tcPr>
            <w:tcW w:w="7015" w:type="dxa"/>
            <w:noWrap/>
            <w:vAlign w:val="center"/>
          </w:tcPr>
          <w:p w14:paraId="040029F5">
            <w:pPr>
              <w:spacing w:line="0" w:lineRule="atLeast"/>
              <w:rPr>
                <w:rFonts w:ascii="宋体" w:hAnsi="宋体"/>
                <w:kern w:val="0"/>
                <w:szCs w:val="21"/>
              </w:rPr>
            </w:pPr>
            <w:r>
              <w:rPr>
                <w:rFonts w:hint="eastAsia" w:ascii="宋体" w:hAnsi="宋体"/>
                <w:kern w:val="0"/>
                <w:szCs w:val="21"/>
              </w:rPr>
              <w:t>销售能力情况</w:t>
            </w:r>
            <w:r>
              <w:rPr>
                <w:rFonts w:hint="eastAsia" w:hAnsi="宋体" w:cs="宋体"/>
              </w:rPr>
              <w:t>（详见第五章评标办法）</w:t>
            </w:r>
          </w:p>
        </w:tc>
        <w:tc>
          <w:tcPr>
            <w:tcW w:w="1632" w:type="dxa"/>
            <w:noWrap/>
            <w:vAlign w:val="center"/>
          </w:tcPr>
          <w:p w14:paraId="719FF9A1">
            <w:pPr>
              <w:spacing w:line="0" w:lineRule="atLeast"/>
              <w:jc w:val="center"/>
              <w:rPr>
                <w:rFonts w:ascii="宋体" w:hAnsi="宋体" w:cs="宋体"/>
                <w:szCs w:val="21"/>
              </w:rPr>
            </w:pPr>
            <w:r>
              <w:rPr>
                <w:rFonts w:hint="eastAsia" w:ascii="宋体" w:hAnsi="宋体" w:cs="宋体"/>
                <w:szCs w:val="21"/>
              </w:rPr>
              <w:t>内容格式自拟</w:t>
            </w:r>
          </w:p>
        </w:tc>
      </w:tr>
      <w:tr w14:paraId="4BB7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31" w:type="dxa"/>
            <w:noWrap/>
            <w:vAlign w:val="center"/>
          </w:tcPr>
          <w:p w14:paraId="64D1F6F4">
            <w:pPr>
              <w:autoSpaceDE w:val="0"/>
              <w:autoSpaceDN w:val="0"/>
              <w:adjustRightInd w:val="0"/>
              <w:spacing w:line="0" w:lineRule="atLeast"/>
              <w:jc w:val="center"/>
              <w:rPr>
                <w:rFonts w:ascii="宋体" w:hAnsi="宋体" w:cs="宋体"/>
                <w:szCs w:val="21"/>
              </w:rPr>
            </w:pPr>
            <w:r>
              <w:rPr>
                <w:rFonts w:hint="eastAsia" w:ascii="宋体" w:hAnsi="宋体" w:cs="宋体"/>
                <w:szCs w:val="21"/>
              </w:rPr>
              <w:t>13</w:t>
            </w:r>
          </w:p>
        </w:tc>
        <w:tc>
          <w:tcPr>
            <w:tcW w:w="7015" w:type="dxa"/>
            <w:noWrap/>
            <w:vAlign w:val="center"/>
          </w:tcPr>
          <w:p w14:paraId="03C03A56">
            <w:pPr>
              <w:spacing w:line="0" w:lineRule="atLeast"/>
              <w:rPr>
                <w:rFonts w:ascii="宋体" w:hAnsi="宋体"/>
                <w:kern w:val="0"/>
                <w:szCs w:val="21"/>
              </w:rPr>
            </w:pPr>
            <w:r>
              <w:rPr>
                <w:rFonts w:hint="eastAsia" w:ascii="宋体" w:hAnsi="宋体"/>
                <w:kern w:val="0"/>
                <w:szCs w:val="21"/>
              </w:rPr>
              <w:t>企业库容及库存情况</w:t>
            </w:r>
            <w:r>
              <w:rPr>
                <w:rFonts w:hint="eastAsia" w:hAnsi="宋体" w:cs="宋体"/>
              </w:rPr>
              <w:t>（详见第五章评标办法）</w:t>
            </w:r>
          </w:p>
        </w:tc>
        <w:tc>
          <w:tcPr>
            <w:tcW w:w="1632" w:type="dxa"/>
            <w:noWrap/>
            <w:vAlign w:val="center"/>
          </w:tcPr>
          <w:p w14:paraId="3B3E8982">
            <w:pPr>
              <w:spacing w:line="0" w:lineRule="atLeast"/>
              <w:jc w:val="center"/>
              <w:rPr>
                <w:rFonts w:ascii="宋体" w:hAnsi="宋体" w:cs="宋体"/>
                <w:szCs w:val="21"/>
              </w:rPr>
            </w:pPr>
            <w:r>
              <w:rPr>
                <w:rFonts w:hint="eastAsia" w:ascii="宋体" w:hAnsi="宋体" w:cs="宋体"/>
                <w:szCs w:val="21"/>
              </w:rPr>
              <w:t>/</w:t>
            </w:r>
          </w:p>
        </w:tc>
      </w:tr>
      <w:tr w14:paraId="2980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1" w:type="dxa"/>
            <w:noWrap/>
            <w:vAlign w:val="center"/>
          </w:tcPr>
          <w:p w14:paraId="4811425B">
            <w:pPr>
              <w:autoSpaceDE w:val="0"/>
              <w:autoSpaceDN w:val="0"/>
              <w:adjustRightInd w:val="0"/>
              <w:spacing w:line="0" w:lineRule="atLeast"/>
              <w:jc w:val="center"/>
              <w:rPr>
                <w:rFonts w:ascii="宋体" w:hAnsi="宋体" w:cs="宋体"/>
                <w:szCs w:val="21"/>
              </w:rPr>
            </w:pPr>
            <w:r>
              <w:rPr>
                <w:rFonts w:hint="eastAsia" w:ascii="宋体" w:hAnsi="宋体" w:cs="宋体"/>
                <w:szCs w:val="21"/>
              </w:rPr>
              <w:t>14</w:t>
            </w:r>
          </w:p>
        </w:tc>
        <w:tc>
          <w:tcPr>
            <w:tcW w:w="7015" w:type="dxa"/>
            <w:noWrap/>
            <w:vAlign w:val="center"/>
          </w:tcPr>
          <w:p w14:paraId="0E276FA2">
            <w:pPr>
              <w:spacing w:line="0" w:lineRule="atLeast"/>
              <w:rPr>
                <w:rFonts w:ascii="宋体" w:hAnsi="宋体"/>
                <w:kern w:val="0"/>
                <w:szCs w:val="21"/>
              </w:rPr>
            </w:pPr>
            <w:r>
              <w:rPr>
                <w:rFonts w:hint="eastAsia" w:ascii="宋体" w:hAnsi="宋体"/>
                <w:kern w:val="0"/>
                <w:szCs w:val="21"/>
              </w:rPr>
              <w:t>运输保障能力</w:t>
            </w:r>
            <w:r>
              <w:rPr>
                <w:rFonts w:hint="eastAsia" w:hAnsi="宋体" w:cs="宋体"/>
              </w:rPr>
              <w:t>（详见第五章评标办法）</w:t>
            </w:r>
          </w:p>
        </w:tc>
        <w:tc>
          <w:tcPr>
            <w:tcW w:w="1632" w:type="dxa"/>
            <w:noWrap/>
            <w:vAlign w:val="center"/>
          </w:tcPr>
          <w:p w14:paraId="3AE2F82D">
            <w:pPr>
              <w:spacing w:line="0" w:lineRule="atLeast"/>
              <w:jc w:val="center"/>
              <w:rPr>
                <w:rFonts w:ascii="宋体" w:hAnsi="宋体" w:cs="宋体"/>
                <w:szCs w:val="21"/>
              </w:rPr>
            </w:pPr>
            <w:r>
              <w:rPr>
                <w:rFonts w:hint="eastAsia" w:ascii="宋体" w:hAnsi="宋体" w:cs="宋体"/>
                <w:szCs w:val="21"/>
              </w:rPr>
              <w:t>/</w:t>
            </w:r>
          </w:p>
        </w:tc>
      </w:tr>
      <w:tr w14:paraId="5BCD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1" w:type="dxa"/>
            <w:noWrap/>
            <w:vAlign w:val="center"/>
          </w:tcPr>
          <w:p w14:paraId="5F3B1811">
            <w:pPr>
              <w:autoSpaceDE w:val="0"/>
              <w:autoSpaceDN w:val="0"/>
              <w:adjustRightInd w:val="0"/>
              <w:spacing w:line="0" w:lineRule="atLeast"/>
              <w:jc w:val="center"/>
              <w:rPr>
                <w:rFonts w:ascii="宋体" w:hAnsi="宋体" w:cs="宋体"/>
                <w:szCs w:val="21"/>
              </w:rPr>
            </w:pPr>
            <w:r>
              <w:rPr>
                <w:rFonts w:hint="eastAsia" w:ascii="宋体" w:hAnsi="宋体" w:cs="宋体"/>
                <w:szCs w:val="21"/>
              </w:rPr>
              <w:t>15</w:t>
            </w:r>
          </w:p>
        </w:tc>
        <w:tc>
          <w:tcPr>
            <w:tcW w:w="7015" w:type="dxa"/>
            <w:noWrap/>
            <w:vAlign w:val="center"/>
          </w:tcPr>
          <w:p w14:paraId="5CDCB1BE">
            <w:pPr>
              <w:spacing w:line="0" w:lineRule="atLeast"/>
              <w:rPr>
                <w:rFonts w:ascii="宋体" w:hAnsi="宋体"/>
                <w:kern w:val="0"/>
                <w:szCs w:val="21"/>
              </w:rPr>
            </w:pPr>
            <w:r>
              <w:rPr>
                <w:rFonts w:hint="eastAsia" w:ascii="宋体" w:hAnsi="宋体"/>
                <w:kern w:val="0"/>
                <w:szCs w:val="21"/>
              </w:rPr>
              <w:t>投放方案</w:t>
            </w:r>
            <w:r>
              <w:rPr>
                <w:rFonts w:hint="eastAsia" w:hAnsi="宋体" w:cs="宋体"/>
              </w:rPr>
              <w:t>（详见第五章评标办法）</w:t>
            </w:r>
          </w:p>
        </w:tc>
        <w:tc>
          <w:tcPr>
            <w:tcW w:w="1632" w:type="dxa"/>
            <w:noWrap/>
            <w:vAlign w:val="center"/>
          </w:tcPr>
          <w:p w14:paraId="2253337D">
            <w:pPr>
              <w:spacing w:line="0" w:lineRule="atLeast"/>
              <w:jc w:val="center"/>
              <w:rPr>
                <w:rFonts w:ascii="宋体" w:hAnsi="宋体" w:cs="宋体"/>
                <w:szCs w:val="21"/>
              </w:rPr>
            </w:pPr>
            <w:r>
              <w:rPr>
                <w:rFonts w:hint="eastAsia" w:ascii="宋体" w:hAnsi="宋体" w:cs="宋体"/>
                <w:szCs w:val="21"/>
              </w:rPr>
              <w:t>内容格式自拟</w:t>
            </w:r>
          </w:p>
        </w:tc>
      </w:tr>
      <w:tr w14:paraId="3E01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1" w:type="dxa"/>
            <w:noWrap/>
            <w:vAlign w:val="center"/>
          </w:tcPr>
          <w:p w14:paraId="530506DC">
            <w:pPr>
              <w:autoSpaceDE w:val="0"/>
              <w:autoSpaceDN w:val="0"/>
              <w:adjustRightInd w:val="0"/>
              <w:spacing w:line="0" w:lineRule="atLeast"/>
              <w:jc w:val="center"/>
              <w:rPr>
                <w:rFonts w:ascii="宋体" w:hAnsi="宋体" w:cs="宋体"/>
                <w:szCs w:val="21"/>
              </w:rPr>
            </w:pPr>
            <w:r>
              <w:rPr>
                <w:rFonts w:hint="eastAsia" w:ascii="宋体" w:hAnsi="宋体" w:cs="宋体"/>
                <w:szCs w:val="21"/>
              </w:rPr>
              <w:t>16</w:t>
            </w:r>
          </w:p>
        </w:tc>
        <w:tc>
          <w:tcPr>
            <w:tcW w:w="7015" w:type="dxa"/>
            <w:noWrap/>
            <w:vAlign w:val="center"/>
          </w:tcPr>
          <w:p w14:paraId="148BB7A6">
            <w:pPr>
              <w:snapToGrid w:val="0"/>
              <w:rPr>
                <w:rFonts w:ascii="宋体" w:hAnsi="宋体"/>
                <w:szCs w:val="21"/>
              </w:rPr>
            </w:pPr>
            <w:r>
              <w:rPr>
                <w:rFonts w:hint="eastAsia" w:ascii="宋体" w:hAnsi="宋体"/>
                <w:szCs w:val="21"/>
              </w:rPr>
              <w:t>服务响应时间</w:t>
            </w:r>
            <w:r>
              <w:rPr>
                <w:rFonts w:hint="eastAsia" w:hAnsi="宋体" w:cs="宋体"/>
              </w:rPr>
              <w:t>（详见第五章评标办法）</w:t>
            </w:r>
          </w:p>
        </w:tc>
        <w:tc>
          <w:tcPr>
            <w:tcW w:w="1632" w:type="dxa"/>
            <w:noWrap/>
            <w:vAlign w:val="center"/>
          </w:tcPr>
          <w:p w14:paraId="677DF8A2">
            <w:pPr>
              <w:spacing w:line="0" w:lineRule="atLeast"/>
              <w:jc w:val="center"/>
              <w:rPr>
                <w:rFonts w:ascii="宋体" w:hAnsi="宋体"/>
                <w:szCs w:val="21"/>
              </w:rPr>
            </w:pPr>
            <w:r>
              <w:rPr>
                <w:rFonts w:hint="eastAsia" w:ascii="宋体" w:hAnsi="宋体" w:cs="宋体"/>
                <w:szCs w:val="21"/>
              </w:rPr>
              <w:t>内容格式自拟</w:t>
            </w:r>
          </w:p>
        </w:tc>
      </w:tr>
      <w:tr w14:paraId="1D20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1" w:type="dxa"/>
            <w:noWrap/>
            <w:vAlign w:val="center"/>
          </w:tcPr>
          <w:p w14:paraId="252A8423">
            <w:pPr>
              <w:autoSpaceDE w:val="0"/>
              <w:autoSpaceDN w:val="0"/>
              <w:adjustRightInd w:val="0"/>
              <w:spacing w:line="0" w:lineRule="atLeast"/>
              <w:jc w:val="center"/>
              <w:rPr>
                <w:rFonts w:ascii="宋体" w:hAnsi="宋体" w:cs="宋体"/>
                <w:szCs w:val="21"/>
              </w:rPr>
            </w:pPr>
            <w:r>
              <w:rPr>
                <w:rFonts w:hint="eastAsia" w:ascii="宋体" w:hAnsi="宋体" w:cs="宋体"/>
                <w:szCs w:val="21"/>
              </w:rPr>
              <w:t>17</w:t>
            </w:r>
          </w:p>
        </w:tc>
        <w:tc>
          <w:tcPr>
            <w:tcW w:w="7015" w:type="dxa"/>
            <w:noWrap/>
            <w:vAlign w:val="center"/>
          </w:tcPr>
          <w:p w14:paraId="7F8E4B98">
            <w:pPr>
              <w:rPr>
                <w:szCs w:val="21"/>
              </w:rPr>
            </w:pPr>
            <w:r>
              <w:rPr>
                <w:rFonts w:hint="eastAsia"/>
                <w:szCs w:val="21"/>
              </w:rPr>
              <w:t>质量保证措施</w:t>
            </w:r>
            <w:r>
              <w:rPr>
                <w:rFonts w:hint="eastAsia" w:hAnsi="宋体" w:cs="宋体"/>
              </w:rPr>
              <w:t>（详见第五章评标办法）</w:t>
            </w:r>
          </w:p>
        </w:tc>
        <w:tc>
          <w:tcPr>
            <w:tcW w:w="1632" w:type="dxa"/>
            <w:noWrap/>
            <w:vAlign w:val="center"/>
          </w:tcPr>
          <w:p w14:paraId="3AA83CC9">
            <w:pPr>
              <w:spacing w:line="0" w:lineRule="atLeast"/>
              <w:jc w:val="center"/>
              <w:rPr>
                <w:rFonts w:ascii="宋体" w:hAnsi="宋体"/>
                <w:szCs w:val="21"/>
              </w:rPr>
            </w:pPr>
            <w:r>
              <w:rPr>
                <w:rFonts w:hint="eastAsia" w:ascii="宋体" w:hAnsi="宋体" w:cs="宋体"/>
                <w:szCs w:val="21"/>
              </w:rPr>
              <w:t>内容格式自拟</w:t>
            </w:r>
          </w:p>
        </w:tc>
      </w:tr>
      <w:tr w14:paraId="3BC3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31" w:type="dxa"/>
            <w:noWrap/>
            <w:vAlign w:val="center"/>
          </w:tcPr>
          <w:p w14:paraId="03D3B37C">
            <w:pPr>
              <w:autoSpaceDE w:val="0"/>
              <w:autoSpaceDN w:val="0"/>
              <w:adjustRightInd w:val="0"/>
              <w:spacing w:line="0" w:lineRule="atLeast"/>
              <w:jc w:val="center"/>
              <w:rPr>
                <w:rFonts w:ascii="宋体" w:hAnsi="宋体" w:cs="宋体"/>
                <w:szCs w:val="21"/>
              </w:rPr>
            </w:pPr>
            <w:r>
              <w:rPr>
                <w:rFonts w:hint="eastAsia" w:ascii="宋体" w:hAnsi="宋体" w:cs="宋体"/>
                <w:szCs w:val="21"/>
              </w:rPr>
              <w:t>18</w:t>
            </w:r>
          </w:p>
        </w:tc>
        <w:tc>
          <w:tcPr>
            <w:tcW w:w="7015" w:type="dxa"/>
            <w:noWrap/>
            <w:vAlign w:val="center"/>
          </w:tcPr>
          <w:p w14:paraId="02ACC079">
            <w:pPr>
              <w:rPr>
                <w:szCs w:val="21"/>
              </w:rPr>
            </w:pPr>
            <w:r>
              <w:rPr>
                <w:rFonts w:hint="eastAsia"/>
                <w:szCs w:val="21"/>
              </w:rPr>
              <w:t>应急预案</w:t>
            </w:r>
            <w:r>
              <w:rPr>
                <w:rFonts w:hint="eastAsia" w:hAnsi="宋体" w:cs="宋体"/>
              </w:rPr>
              <w:t>（详见第五章评标办法）</w:t>
            </w:r>
          </w:p>
        </w:tc>
        <w:tc>
          <w:tcPr>
            <w:tcW w:w="1632" w:type="dxa"/>
            <w:noWrap/>
            <w:vAlign w:val="center"/>
          </w:tcPr>
          <w:p w14:paraId="3779E389">
            <w:pPr>
              <w:spacing w:line="0" w:lineRule="atLeast"/>
              <w:jc w:val="center"/>
              <w:rPr>
                <w:rFonts w:ascii="宋体" w:hAnsi="宋体" w:cs="宋体"/>
                <w:szCs w:val="21"/>
              </w:rPr>
            </w:pPr>
            <w:r>
              <w:rPr>
                <w:rFonts w:hint="eastAsia" w:ascii="宋体" w:hAnsi="宋体" w:cs="宋体"/>
                <w:szCs w:val="21"/>
              </w:rPr>
              <w:t>内容格式自拟</w:t>
            </w:r>
          </w:p>
        </w:tc>
      </w:tr>
      <w:tr w14:paraId="2823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29149F23">
            <w:pPr>
              <w:autoSpaceDE w:val="0"/>
              <w:autoSpaceDN w:val="0"/>
              <w:adjustRightInd w:val="0"/>
              <w:spacing w:line="0" w:lineRule="atLeast"/>
              <w:jc w:val="center"/>
              <w:rPr>
                <w:rFonts w:ascii="宋体" w:hAnsi="宋体" w:cs="宋体"/>
                <w:szCs w:val="21"/>
              </w:rPr>
            </w:pPr>
            <w:r>
              <w:rPr>
                <w:rFonts w:hint="eastAsia" w:ascii="宋体" w:hAnsi="宋体" w:cs="宋体"/>
                <w:szCs w:val="21"/>
              </w:rPr>
              <w:t>19</w:t>
            </w:r>
          </w:p>
        </w:tc>
        <w:tc>
          <w:tcPr>
            <w:tcW w:w="7015" w:type="dxa"/>
            <w:noWrap/>
            <w:vAlign w:val="center"/>
          </w:tcPr>
          <w:p w14:paraId="040348EA">
            <w:pPr>
              <w:rPr>
                <w:szCs w:val="21"/>
              </w:rPr>
            </w:pPr>
            <w:r>
              <w:rPr>
                <w:rFonts w:hint="eastAsia"/>
                <w:szCs w:val="21"/>
              </w:rPr>
              <w:t>管理制度</w:t>
            </w:r>
            <w:r>
              <w:rPr>
                <w:rFonts w:hint="eastAsia" w:ascii="宋体" w:hAnsi="宋体" w:cs="宋体"/>
                <w:b/>
                <w:bCs/>
                <w:szCs w:val="21"/>
              </w:rPr>
              <w:t>（详见第五章评标办法）</w:t>
            </w:r>
          </w:p>
        </w:tc>
        <w:tc>
          <w:tcPr>
            <w:tcW w:w="1632" w:type="dxa"/>
            <w:noWrap/>
            <w:vAlign w:val="center"/>
          </w:tcPr>
          <w:p w14:paraId="2508B918">
            <w:pPr>
              <w:spacing w:line="0" w:lineRule="atLeast"/>
              <w:jc w:val="center"/>
              <w:rPr>
                <w:rFonts w:ascii="宋体" w:hAnsi="宋体" w:cs="宋体"/>
                <w:szCs w:val="21"/>
              </w:rPr>
            </w:pPr>
            <w:r>
              <w:rPr>
                <w:rFonts w:hint="eastAsia" w:ascii="宋体" w:hAnsi="宋体" w:cs="宋体"/>
                <w:szCs w:val="21"/>
              </w:rPr>
              <w:t>内容格式自拟</w:t>
            </w:r>
          </w:p>
        </w:tc>
      </w:tr>
      <w:tr w14:paraId="03B5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40C83369">
            <w:pPr>
              <w:autoSpaceDE w:val="0"/>
              <w:autoSpaceDN w:val="0"/>
              <w:adjustRightInd w:val="0"/>
              <w:spacing w:line="0" w:lineRule="atLeast"/>
              <w:jc w:val="center"/>
              <w:rPr>
                <w:rFonts w:ascii="宋体" w:hAnsi="宋体" w:cs="宋体"/>
                <w:szCs w:val="21"/>
              </w:rPr>
            </w:pPr>
            <w:r>
              <w:rPr>
                <w:rFonts w:hint="eastAsia" w:ascii="宋体" w:hAnsi="宋体" w:cs="宋体"/>
                <w:szCs w:val="21"/>
              </w:rPr>
              <w:t>20</w:t>
            </w:r>
          </w:p>
        </w:tc>
        <w:tc>
          <w:tcPr>
            <w:tcW w:w="7015" w:type="dxa"/>
            <w:noWrap/>
            <w:vAlign w:val="center"/>
          </w:tcPr>
          <w:p w14:paraId="24662A39">
            <w:pPr>
              <w:rPr>
                <w:szCs w:val="21"/>
              </w:rPr>
            </w:pPr>
            <w:r>
              <w:rPr>
                <w:rFonts w:hint="eastAsia"/>
                <w:szCs w:val="21"/>
              </w:rPr>
              <w:t>储备保证</w:t>
            </w:r>
            <w:r>
              <w:rPr>
                <w:rFonts w:hint="eastAsia" w:ascii="宋体" w:hAnsi="宋体" w:cs="宋体"/>
                <w:b/>
                <w:bCs/>
                <w:szCs w:val="21"/>
              </w:rPr>
              <w:t>（详见第五章评标办法）</w:t>
            </w:r>
          </w:p>
        </w:tc>
        <w:tc>
          <w:tcPr>
            <w:tcW w:w="1632" w:type="dxa"/>
            <w:noWrap/>
            <w:vAlign w:val="center"/>
          </w:tcPr>
          <w:p w14:paraId="35CDB838">
            <w:pPr>
              <w:spacing w:line="0" w:lineRule="atLeast"/>
              <w:jc w:val="center"/>
              <w:rPr>
                <w:rFonts w:ascii="宋体" w:hAnsi="宋体" w:cs="宋体"/>
                <w:szCs w:val="21"/>
              </w:rPr>
            </w:pPr>
            <w:r>
              <w:rPr>
                <w:rFonts w:hint="eastAsia" w:ascii="宋体" w:hAnsi="宋体" w:cs="宋体"/>
                <w:szCs w:val="21"/>
              </w:rPr>
              <w:t>内容格式自拟</w:t>
            </w:r>
          </w:p>
        </w:tc>
      </w:tr>
      <w:tr w14:paraId="52EF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522A6F90">
            <w:pPr>
              <w:autoSpaceDE w:val="0"/>
              <w:autoSpaceDN w:val="0"/>
              <w:adjustRightInd w:val="0"/>
              <w:spacing w:line="0" w:lineRule="atLeast"/>
              <w:jc w:val="center"/>
              <w:rPr>
                <w:rFonts w:ascii="宋体" w:hAnsi="宋体" w:cs="宋体"/>
                <w:szCs w:val="21"/>
              </w:rPr>
            </w:pPr>
            <w:r>
              <w:rPr>
                <w:rFonts w:hint="eastAsia" w:ascii="宋体" w:hAnsi="宋体" w:cs="宋体"/>
                <w:szCs w:val="21"/>
              </w:rPr>
              <w:t>21</w:t>
            </w:r>
          </w:p>
        </w:tc>
        <w:tc>
          <w:tcPr>
            <w:tcW w:w="7015" w:type="dxa"/>
            <w:noWrap/>
            <w:vAlign w:val="center"/>
          </w:tcPr>
          <w:p w14:paraId="15ED32C1">
            <w:pPr>
              <w:snapToGrid w:val="0"/>
              <w:spacing w:line="0" w:lineRule="atLeast"/>
              <w:rPr>
                <w:rFonts w:ascii="宋体" w:hAnsi="宋体" w:cs="宋体"/>
                <w:b/>
                <w:bCs/>
                <w:szCs w:val="21"/>
              </w:rPr>
            </w:pPr>
            <w:r>
              <w:rPr>
                <w:rFonts w:hint="eastAsia" w:ascii="宋体" w:hAnsi="宋体" w:cs="宋体"/>
                <w:b/>
                <w:bCs/>
                <w:szCs w:val="21"/>
              </w:rPr>
              <w:t>投标人承诺（详见第五章评标办法）</w:t>
            </w:r>
          </w:p>
        </w:tc>
        <w:tc>
          <w:tcPr>
            <w:tcW w:w="1632" w:type="dxa"/>
            <w:noWrap/>
            <w:vAlign w:val="center"/>
          </w:tcPr>
          <w:p w14:paraId="37A1F263">
            <w:pPr>
              <w:spacing w:line="0" w:lineRule="atLeast"/>
              <w:jc w:val="center"/>
              <w:rPr>
                <w:rFonts w:ascii="宋体" w:hAnsi="宋体" w:cs="宋体"/>
                <w:bCs/>
                <w:sz w:val="22"/>
                <w:szCs w:val="22"/>
              </w:rPr>
            </w:pPr>
            <w:r>
              <w:rPr>
                <w:rFonts w:hint="eastAsia" w:ascii="宋体" w:hAnsi="宋体" w:cs="宋体"/>
                <w:bCs/>
                <w:sz w:val="22"/>
                <w:szCs w:val="22"/>
              </w:rPr>
              <w:t>内容格式自拟</w:t>
            </w:r>
          </w:p>
        </w:tc>
      </w:tr>
      <w:tr w14:paraId="258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31" w:type="dxa"/>
            <w:noWrap/>
            <w:vAlign w:val="center"/>
          </w:tcPr>
          <w:p w14:paraId="546871FB">
            <w:pPr>
              <w:autoSpaceDE w:val="0"/>
              <w:autoSpaceDN w:val="0"/>
              <w:adjustRightInd w:val="0"/>
              <w:spacing w:line="0" w:lineRule="atLeast"/>
              <w:jc w:val="center"/>
              <w:rPr>
                <w:rFonts w:ascii="宋体" w:hAnsi="宋体" w:cs="宋体"/>
                <w:szCs w:val="21"/>
              </w:rPr>
            </w:pPr>
            <w:r>
              <w:rPr>
                <w:rFonts w:hint="eastAsia" w:ascii="宋体" w:hAnsi="宋体" w:cs="宋体"/>
                <w:szCs w:val="21"/>
              </w:rPr>
              <w:t>22</w:t>
            </w:r>
          </w:p>
        </w:tc>
        <w:tc>
          <w:tcPr>
            <w:tcW w:w="7015" w:type="dxa"/>
            <w:noWrap/>
            <w:vAlign w:val="center"/>
          </w:tcPr>
          <w:p w14:paraId="186A1547">
            <w:pPr>
              <w:pStyle w:val="29"/>
              <w:adjustRightInd w:val="0"/>
              <w:spacing w:before="120" w:after="120" w:line="0" w:lineRule="atLeast"/>
              <w:rPr>
                <w:rFonts w:hAnsi="宋体" w:cs="宋体"/>
                <w:b/>
                <w:bCs/>
              </w:rPr>
            </w:pPr>
            <w:r>
              <w:rPr>
                <w:rFonts w:hint="eastAsia" w:hAnsi="宋体" w:cs="宋体"/>
                <w:b/>
                <w:bCs/>
              </w:rPr>
              <w:t>投标人认为有必要提供的其他资料（如有）</w:t>
            </w:r>
          </w:p>
        </w:tc>
        <w:tc>
          <w:tcPr>
            <w:tcW w:w="1632" w:type="dxa"/>
            <w:noWrap/>
            <w:vAlign w:val="center"/>
          </w:tcPr>
          <w:p w14:paraId="4783F7F7">
            <w:pPr>
              <w:spacing w:line="0" w:lineRule="atLeast"/>
              <w:jc w:val="center"/>
              <w:rPr>
                <w:rFonts w:ascii="宋体" w:hAnsi="宋体" w:cs="宋体"/>
                <w:szCs w:val="21"/>
              </w:rPr>
            </w:pPr>
            <w:r>
              <w:rPr>
                <w:rFonts w:hint="eastAsia" w:ascii="宋体" w:hAnsi="宋体" w:cs="宋体"/>
                <w:szCs w:val="21"/>
              </w:rPr>
              <w:t>如有，内容自拟</w:t>
            </w:r>
          </w:p>
        </w:tc>
      </w:tr>
    </w:tbl>
    <w:p w14:paraId="76CC530E">
      <w:pPr>
        <w:autoSpaceDE w:val="0"/>
        <w:autoSpaceDN w:val="0"/>
        <w:adjustRightInd w:val="0"/>
        <w:spacing w:line="400" w:lineRule="exact"/>
        <w:ind w:firstLine="482" w:firstLineChars="200"/>
        <w:jc w:val="left"/>
        <w:rPr>
          <w:rFonts w:ascii="宋体" w:hAnsi="宋体"/>
          <w:b/>
          <w:sz w:val="24"/>
        </w:rPr>
      </w:pPr>
      <w:r>
        <w:rPr>
          <w:rFonts w:hAnsi="宋体"/>
          <w:b/>
          <w:bCs/>
          <w:sz w:val="24"/>
        </w:rPr>
        <w:t>3.3.3报价文件应包括下列内容：</w:t>
      </w:r>
    </w:p>
    <w:tbl>
      <w:tblPr>
        <w:tblStyle w:val="55"/>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5210"/>
        <w:gridCol w:w="2585"/>
      </w:tblGrid>
      <w:tr w14:paraId="3BFF1F60">
        <w:tblPrEx>
          <w:tblCellMar>
            <w:top w:w="0" w:type="dxa"/>
            <w:left w:w="108" w:type="dxa"/>
            <w:bottom w:w="0" w:type="dxa"/>
            <w:right w:w="108" w:type="dxa"/>
          </w:tblCellMar>
        </w:tblPrEx>
        <w:trPr>
          <w:trHeight w:val="399" w:hRule="atLeast"/>
          <w:jc w:val="center"/>
        </w:trPr>
        <w:tc>
          <w:tcPr>
            <w:tcW w:w="1100" w:type="dxa"/>
            <w:shd w:val="clear" w:color="auto" w:fill="7F7F7F"/>
            <w:noWrap/>
          </w:tcPr>
          <w:p w14:paraId="38ADD152">
            <w:pPr>
              <w:autoSpaceDE w:val="0"/>
              <w:autoSpaceDN w:val="0"/>
              <w:adjustRightInd w:val="0"/>
              <w:spacing w:line="400" w:lineRule="exact"/>
              <w:jc w:val="center"/>
              <w:rPr>
                <w:rFonts w:ascii="宋体" w:hAnsi="宋体"/>
                <w:szCs w:val="21"/>
              </w:rPr>
            </w:pPr>
            <w:r>
              <w:rPr>
                <w:rFonts w:ascii="宋体" w:hAnsi="宋体"/>
                <w:szCs w:val="21"/>
              </w:rPr>
              <w:t>序号</w:t>
            </w:r>
          </w:p>
        </w:tc>
        <w:tc>
          <w:tcPr>
            <w:tcW w:w="5210" w:type="dxa"/>
            <w:shd w:val="clear" w:color="auto" w:fill="7F7F7F"/>
            <w:noWrap/>
          </w:tcPr>
          <w:p w14:paraId="19A05A8B">
            <w:pPr>
              <w:autoSpaceDE w:val="0"/>
              <w:autoSpaceDN w:val="0"/>
              <w:adjustRightInd w:val="0"/>
              <w:spacing w:line="400" w:lineRule="exact"/>
              <w:jc w:val="center"/>
              <w:rPr>
                <w:rFonts w:ascii="宋体" w:hAnsi="宋体"/>
                <w:szCs w:val="21"/>
              </w:rPr>
            </w:pPr>
            <w:r>
              <w:rPr>
                <w:rFonts w:ascii="宋体" w:hAnsi="宋体"/>
                <w:szCs w:val="21"/>
              </w:rPr>
              <w:t>编制内容</w:t>
            </w:r>
          </w:p>
        </w:tc>
        <w:tc>
          <w:tcPr>
            <w:tcW w:w="2585" w:type="dxa"/>
            <w:shd w:val="clear" w:color="auto" w:fill="7F7F7F"/>
            <w:noWrap/>
          </w:tcPr>
          <w:p w14:paraId="78C61069">
            <w:pPr>
              <w:autoSpaceDE w:val="0"/>
              <w:autoSpaceDN w:val="0"/>
              <w:adjustRightInd w:val="0"/>
              <w:spacing w:line="400" w:lineRule="exact"/>
              <w:jc w:val="center"/>
              <w:rPr>
                <w:rFonts w:ascii="宋体" w:hAnsi="宋体"/>
                <w:szCs w:val="21"/>
              </w:rPr>
            </w:pPr>
            <w:r>
              <w:rPr>
                <w:rFonts w:ascii="宋体" w:hAnsi="宋体"/>
                <w:szCs w:val="21"/>
              </w:rPr>
              <w:t>格式</w:t>
            </w:r>
          </w:p>
        </w:tc>
      </w:tr>
      <w:tr w14:paraId="34C3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0" w:type="dxa"/>
            <w:noWrap/>
            <w:vAlign w:val="center"/>
          </w:tcPr>
          <w:p w14:paraId="714260E9">
            <w:pPr>
              <w:autoSpaceDE w:val="0"/>
              <w:autoSpaceDN w:val="0"/>
              <w:adjustRightInd w:val="0"/>
              <w:spacing w:line="0" w:lineRule="atLeast"/>
              <w:jc w:val="center"/>
              <w:rPr>
                <w:rFonts w:ascii="宋体" w:hAnsi="宋体"/>
                <w:szCs w:val="21"/>
              </w:rPr>
            </w:pPr>
            <w:r>
              <w:rPr>
                <w:rFonts w:ascii="宋体" w:hAnsi="宋体"/>
                <w:szCs w:val="21"/>
              </w:rPr>
              <w:t>1</w:t>
            </w:r>
          </w:p>
        </w:tc>
        <w:tc>
          <w:tcPr>
            <w:tcW w:w="5210" w:type="dxa"/>
            <w:noWrap/>
            <w:vAlign w:val="center"/>
          </w:tcPr>
          <w:p w14:paraId="007A3D08">
            <w:pPr>
              <w:autoSpaceDE w:val="0"/>
              <w:autoSpaceDN w:val="0"/>
              <w:adjustRightInd w:val="0"/>
              <w:spacing w:line="0" w:lineRule="atLeast"/>
              <w:rPr>
                <w:rFonts w:ascii="宋体" w:hAnsi="宋体"/>
                <w:szCs w:val="21"/>
              </w:rPr>
            </w:pPr>
            <w:r>
              <w:rPr>
                <w:rFonts w:ascii="宋体" w:hAnsi="宋体"/>
                <w:szCs w:val="21"/>
              </w:rPr>
              <w:t>报价文件封面</w:t>
            </w:r>
          </w:p>
        </w:tc>
        <w:tc>
          <w:tcPr>
            <w:tcW w:w="2585" w:type="dxa"/>
            <w:noWrap/>
            <w:vAlign w:val="center"/>
          </w:tcPr>
          <w:p w14:paraId="1A6C5220">
            <w:pPr>
              <w:autoSpaceDE w:val="0"/>
              <w:autoSpaceDN w:val="0"/>
              <w:adjustRightInd w:val="0"/>
              <w:spacing w:line="0" w:lineRule="atLeast"/>
              <w:jc w:val="center"/>
              <w:rPr>
                <w:rFonts w:ascii="宋体" w:hAnsi="宋体"/>
                <w:szCs w:val="21"/>
              </w:rPr>
            </w:pPr>
            <w:r>
              <w:rPr>
                <w:rFonts w:ascii="宋体" w:hAnsi="宋体"/>
                <w:szCs w:val="21"/>
              </w:rPr>
              <w:t>格式3.1</w:t>
            </w:r>
          </w:p>
        </w:tc>
      </w:tr>
      <w:tr w14:paraId="4FA4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0" w:type="dxa"/>
            <w:noWrap/>
            <w:vAlign w:val="center"/>
          </w:tcPr>
          <w:p w14:paraId="4C1BD9AB">
            <w:pPr>
              <w:autoSpaceDE w:val="0"/>
              <w:autoSpaceDN w:val="0"/>
              <w:adjustRightInd w:val="0"/>
              <w:spacing w:line="0" w:lineRule="atLeast"/>
              <w:jc w:val="center"/>
              <w:rPr>
                <w:rFonts w:ascii="宋体" w:hAnsi="宋体"/>
                <w:szCs w:val="21"/>
              </w:rPr>
            </w:pPr>
            <w:r>
              <w:rPr>
                <w:rFonts w:ascii="宋体" w:hAnsi="宋体"/>
                <w:szCs w:val="21"/>
              </w:rPr>
              <w:t>2</w:t>
            </w:r>
          </w:p>
        </w:tc>
        <w:tc>
          <w:tcPr>
            <w:tcW w:w="5210" w:type="dxa"/>
            <w:noWrap/>
            <w:vAlign w:val="center"/>
          </w:tcPr>
          <w:p w14:paraId="0FA1AFEA">
            <w:pPr>
              <w:autoSpaceDE w:val="0"/>
              <w:autoSpaceDN w:val="0"/>
              <w:adjustRightInd w:val="0"/>
              <w:spacing w:line="0" w:lineRule="atLeast"/>
              <w:rPr>
                <w:rFonts w:ascii="宋体" w:hAnsi="宋体"/>
                <w:szCs w:val="21"/>
              </w:rPr>
            </w:pPr>
            <w:r>
              <w:rPr>
                <w:rFonts w:ascii="宋体" w:hAnsi="宋体"/>
                <w:szCs w:val="21"/>
              </w:rPr>
              <w:t>报价文件格式目录</w:t>
            </w:r>
          </w:p>
        </w:tc>
        <w:tc>
          <w:tcPr>
            <w:tcW w:w="2585" w:type="dxa"/>
            <w:noWrap/>
            <w:vAlign w:val="center"/>
          </w:tcPr>
          <w:p w14:paraId="772EC70F">
            <w:pPr>
              <w:autoSpaceDE w:val="0"/>
              <w:autoSpaceDN w:val="0"/>
              <w:adjustRightInd w:val="0"/>
              <w:spacing w:line="0" w:lineRule="atLeast"/>
              <w:jc w:val="center"/>
              <w:rPr>
                <w:rFonts w:ascii="宋体" w:hAnsi="宋体"/>
                <w:szCs w:val="21"/>
              </w:rPr>
            </w:pPr>
            <w:r>
              <w:rPr>
                <w:rFonts w:ascii="宋体" w:hAnsi="宋体"/>
                <w:szCs w:val="21"/>
              </w:rPr>
              <w:t>格式3.2</w:t>
            </w:r>
          </w:p>
        </w:tc>
      </w:tr>
      <w:tr w14:paraId="0127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0" w:type="dxa"/>
            <w:noWrap/>
            <w:vAlign w:val="center"/>
          </w:tcPr>
          <w:p w14:paraId="2663BEA1">
            <w:pPr>
              <w:autoSpaceDE w:val="0"/>
              <w:autoSpaceDN w:val="0"/>
              <w:adjustRightInd w:val="0"/>
              <w:spacing w:line="400" w:lineRule="exact"/>
              <w:jc w:val="center"/>
              <w:rPr>
                <w:rFonts w:ascii="宋体" w:hAnsi="宋体"/>
                <w:szCs w:val="21"/>
              </w:rPr>
            </w:pPr>
            <w:r>
              <w:rPr>
                <w:rFonts w:ascii="宋体" w:hAnsi="宋体"/>
                <w:szCs w:val="21"/>
              </w:rPr>
              <w:t>3</w:t>
            </w:r>
          </w:p>
        </w:tc>
        <w:tc>
          <w:tcPr>
            <w:tcW w:w="5210" w:type="dxa"/>
            <w:noWrap/>
          </w:tcPr>
          <w:p w14:paraId="10149DA8">
            <w:pPr>
              <w:autoSpaceDE w:val="0"/>
              <w:autoSpaceDN w:val="0"/>
              <w:adjustRightInd w:val="0"/>
              <w:spacing w:line="400" w:lineRule="exact"/>
              <w:jc w:val="left"/>
              <w:rPr>
                <w:rFonts w:ascii="宋体" w:hAnsi="宋体"/>
                <w:szCs w:val="21"/>
              </w:rPr>
            </w:pPr>
            <w:r>
              <w:rPr>
                <w:rFonts w:ascii="宋体" w:hAnsi="宋体"/>
                <w:szCs w:val="21"/>
                <w:lang w:val="zh-CN"/>
              </w:rPr>
              <w:t>投标函</w:t>
            </w:r>
          </w:p>
        </w:tc>
        <w:tc>
          <w:tcPr>
            <w:tcW w:w="2585" w:type="dxa"/>
            <w:noWrap/>
            <w:vAlign w:val="center"/>
          </w:tcPr>
          <w:p w14:paraId="1AFF2CFF">
            <w:pPr>
              <w:autoSpaceDE w:val="0"/>
              <w:autoSpaceDN w:val="0"/>
              <w:adjustRightInd w:val="0"/>
              <w:spacing w:line="0" w:lineRule="atLeast"/>
              <w:jc w:val="center"/>
              <w:rPr>
                <w:rFonts w:ascii="宋体" w:hAnsi="宋体"/>
                <w:szCs w:val="21"/>
              </w:rPr>
            </w:pPr>
            <w:r>
              <w:rPr>
                <w:rFonts w:ascii="宋体" w:hAnsi="宋体"/>
                <w:szCs w:val="21"/>
              </w:rPr>
              <w:t>格式3.2.1</w:t>
            </w:r>
          </w:p>
        </w:tc>
      </w:tr>
      <w:tr w14:paraId="4A16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0" w:type="dxa"/>
            <w:noWrap/>
            <w:vAlign w:val="center"/>
          </w:tcPr>
          <w:p w14:paraId="71CEC02C">
            <w:pPr>
              <w:autoSpaceDE w:val="0"/>
              <w:autoSpaceDN w:val="0"/>
              <w:adjustRightInd w:val="0"/>
              <w:spacing w:line="400" w:lineRule="exact"/>
              <w:jc w:val="center"/>
              <w:rPr>
                <w:rFonts w:ascii="宋体" w:hAnsi="宋体"/>
                <w:szCs w:val="21"/>
              </w:rPr>
            </w:pPr>
            <w:r>
              <w:rPr>
                <w:rFonts w:ascii="宋体" w:hAnsi="宋体"/>
                <w:szCs w:val="21"/>
              </w:rPr>
              <w:t>4</w:t>
            </w:r>
          </w:p>
        </w:tc>
        <w:tc>
          <w:tcPr>
            <w:tcW w:w="5210" w:type="dxa"/>
            <w:noWrap/>
          </w:tcPr>
          <w:p w14:paraId="23CC21E2">
            <w:pPr>
              <w:autoSpaceDE w:val="0"/>
              <w:autoSpaceDN w:val="0"/>
              <w:adjustRightInd w:val="0"/>
              <w:spacing w:line="400" w:lineRule="exact"/>
              <w:jc w:val="left"/>
              <w:rPr>
                <w:rFonts w:ascii="宋体" w:hAnsi="宋体"/>
                <w:szCs w:val="21"/>
              </w:rPr>
            </w:pPr>
            <w:r>
              <w:rPr>
                <w:rFonts w:ascii="宋体" w:hAnsi="宋体"/>
                <w:szCs w:val="21"/>
                <w:lang w:val="zh-CN"/>
              </w:rPr>
              <w:t>投标报价一览表（开标一览表）</w:t>
            </w:r>
          </w:p>
        </w:tc>
        <w:tc>
          <w:tcPr>
            <w:tcW w:w="2585" w:type="dxa"/>
            <w:noWrap/>
            <w:vAlign w:val="center"/>
          </w:tcPr>
          <w:p w14:paraId="51383B00">
            <w:pPr>
              <w:autoSpaceDE w:val="0"/>
              <w:autoSpaceDN w:val="0"/>
              <w:adjustRightInd w:val="0"/>
              <w:spacing w:line="0" w:lineRule="atLeast"/>
              <w:jc w:val="center"/>
              <w:rPr>
                <w:rFonts w:ascii="宋体" w:hAnsi="宋体"/>
                <w:szCs w:val="21"/>
              </w:rPr>
            </w:pPr>
            <w:r>
              <w:rPr>
                <w:rFonts w:ascii="宋体" w:hAnsi="宋体"/>
                <w:szCs w:val="21"/>
              </w:rPr>
              <w:t>格式3.2.2</w:t>
            </w:r>
          </w:p>
        </w:tc>
      </w:tr>
      <w:tr w14:paraId="30B6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0" w:type="dxa"/>
            <w:noWrap/>
            <w:vAlign w:val="center"/>
          </w:tcPr>
          <w:p w14:paraId="42783E0D">
            <w:pPr>
              <w:autoSpaceDE w:val="0"/>
              <w:autoSpaceDN w:val="0"/>
              <w:adjustRightInd w:val="0"/>
              <w:spacing w:line="400" w:lineRule="exact"/>
              <w:jc w:val="center"/>
              <w:rPr>
                <w:rFonts w:ascii="宋体" w:hAnsi="宋体"/>
                <w:szCs w:val="21"/>
              </w:rPr>
            </w:pPr>
            <w:r>
              <w:rPr>
                <w:rFonts w:hint="eastAsia" w:ascii="宋体" w:hAnsi="宋体"/>
                <w:szCs w:val="21"/>
              </w:rPr>
              <w:t>5</w:t>
            </w:r>
          </w:p>
        </w:tc>
        <w:tc>
          <w:tcPr>
            <w:tcW w:w="5210" w:type="dxa"/>
            <w:noWrap/>
          </w:tcPr>
          <w:p w14:paraId="62405B92">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投标报价明细表</w:t>
            </w:r>
          </w:p>
        </w:tc>
        <w:tc>
          <w:tcPr>
            <w:tcW w:w="2585" w:type="dxa"/>
            <w:noWrap/>
            <w:vAlign w:val="center"/>
          </w:tcPr>
          <w:p w14:paraId="2E11D0E4">
            <w:pPr>
              <w:autoSpaceDE w:val="0"/>
              <w:autoSpaceDN w:val="0"/>
              <w:adjustRightInd w:val="0"/>
              <w:spacing w:line="0" w:lineRule="atLeast"/>
              <w:jc w:val="center"/>
              <w:rPr>
                <w:rFonts w:ascii="宋体" w:hAnsi="宋体"/>
                <w:szCs w:val="21"/>
              </w:rPr>
            </w:pPr>
            <w:r>
              <w:rPr>
                <w:rFonts w:hint="eastAsia" w:ascii="宋体" w:hAnsi="宋体"/>
                <w:szCs w:val="21"/>
              </w:rPr>
              <w:t>格式3.2.3</w:t>
            </w:r>
          </w:p>
        </w:tc>
      </w:tr>
      <w:tr w14:paraId="7963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0" w:type="dxa"/>
            <w:noWrap/>
            <w:vAlign w:val="center"/>
          </w:tcPr>
          <w:p w14:paraId="7B3C3896">
            <w:pPr>
              <w:autoSpaceDE w:val="0"/>
              <w:autoSpaceDN w:val="0"/>
              <w:adjustRightInd w:val="0"/>
              <w:spacing w:line="400" w:lineRule="exact"/>
              <w:jc w:val="center"/>
              <w:rPr>
                <w:rFonts w:ascii="宋体" w:hAnsi="宋体"/>
                <w:szCs w:val="21"/>
              </w:rPr>
            </w:pPr>
            <w:r>
              <w:rPr>
                <w:rFonts w:hint="eastAsia" w:ascii="宋体" w:hAnsi="宋体"/>
                <w:szCs w:val="21"/>
              </w:rPr>
              <w:t>6</w:t>
            </w:r>
          </w:p>
        </w:tc>
        <w:tc>
          <w:tcPr>
            <w:tcW w:w="5210" w:type="dxa"/>
            <w:noWrap/>
          </w:tcPr>
          <w:p w14:paraId="4406E089">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中小企业声明函（如有）</w:t>
            </w:r>
          </w:p>
        </w:tc>
        <w:tc>
          <w:tcPr>
            <w:tcW w:w="2585" w:type="dxa"/>
            <w:noWrap/>
            <w:vAlign w:val="center"/>
          </w:tcPr>
          <w:p w14:paraId="4A382BC7">
            <w:pPr>
              <w:autoSpaceDE w:val="0"/>
              <w:autoSpaceDN w:val="0"/>
              <w:adjustRightInd w:val="0"/>
              <w:spacing w:line="0" w:lineRule="atLeast"/>
              <w:jc w:val="center"/>
              <w:rPr>
                <w:rFonts w:ascii="宋体" w:hAnsi="宋体"/>
                <w:szCs w:val="21"/>
              </w:rPr>
            </w:pPr>
            <w:r>
              <w:rPr>
                <w:rFonts w:hint="eastAsia" w:ascii="宋体" w:hAnsi="宋体"/>
                <w:szCs w:val="21"/>
              </w:rPr>
              <w:t>格式3.2.4</w:t>
            </w:r>
          </w:p>
        </w:tc>
      </w:tr>
      <w:tr w14:paraId="49EC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0" w:type="dxa"/>
            <w:noWrap/>
            <w:vAlign w:val="center"/>
          </w:tcPr>
          <w:p w14:paraId="2190F92E">
            <w:pPr>
              <w:autoSpaceDE w:val="0"/>
              <w:autoSpaceDN w:val="0"/>
              <w:adjustRightInd w:val="0"/>
              <w:spacing w:line="400" w:lineRule="exact"/>
              <w:jc w:val="center"/>
              <w:rPr>
                <w:rFonts w:ascii="宋体" w:hAnsi="宋体"/>
                <w:szCs w:val="21"/>
              </w:rPr>
            </w:pPr>
            <w:r>
              <w:rPr>
                <w:rFonts w:hint="eastAsia" w:ascii="宋体" w:hAnsi="宋体"/>
                <w:szCs w:val="21"/>
              </w:rPr>
              <w:t>7</w:t>
            </w:r>
          </w:p>
        </w:tc>
        <w:tc>
          <w:tcPr>
            <w:tcW w:w="5210" w:type="dxa"/>
            <w:noWrap/>
          </w:tcPr>
          <w:p w14:paraId="102E7F82">
            <w:pPr>
              <w:autoSpaceDE w:val="0"/>
              <w:autoSpaceDN w:val="0"/>
              <w:adjustRightInd w:val="0"/>
              <w:spacing w:line="400" w:lineRule="exact"/>
              <w:jc w:val="left"/>
              <w:rPr>
                <w:rFonts w:ascii="宋体" w:hAnsi="宋体"/>
                <w:szCs w:val="21"/>
                <w:lang w:val="zh-CN"/>
              </w:rPr>
            </w:pPr>
            <w:r>
              <w:rPr>
                <w:rFonts w:ascii="宋体" w:hAnsi="宋体"/>
                <w:szCs w:val="21"/>
              </w:rPr>
              <w:t>其他投标人认为须提供的资料</w:t>
            </w:r>
          </w:p>
        </w:tc>
        <w:tc>
          <w:tcPr>
            <w:tcW w:w="2585" w:type="dxa"/>
            <w:noWrap/>
            <w:vAlign w:val="center"/>
          </w:tcPr>
          <w:p w14:paraId="2B86F3EF">
            <w:pPr>
              <w:autoSpaceDE w:val="0"/>
              <w:autoSpaceDN w:val="0"/>
              <w:adjustRightInd w:val="0"/>
              <w:spacing w:line="0" w:lineRule="atLeast"/>
              <w:jc w:val="center"/>
              <w:rPr>
                <w:rFonts w:ascii="宋体" w:hAnsi="宋体"/>
                <w:szCs w:val="21"/>
              </w:rPr>
            </w:pPr>
            <w:r>
              <w:rPr>
                <w:rFonts w:ascii="宋体" w:hAnsi="宋体"/>
                <w:szCs w:val="21"/>
              </w:rPr>
              <w:t>/</w:t>
            </w:r>
          </w:p>
        </w:tc>
      </w:tr>
    </w:tbl>
    <w:p w14:paraId="52D465BC">
      <w:pPr>
        <w:pStyle w:val="29"/>
        <w:spacing w:line="0" w:lineRule="atLeast"/>
        <w:ind w:firstLine="482" w:firstLineChars="200"/>
        <w:rPr>
          <w:rFonts w:hAnsi="宋体" w:cs="Times New Roman"/>
          <w:b/>
          <w:bCs/>
          <w:sz w:val="24"/>
          <w:szCs w:val="24"/>
        </w:rPr>
      </w:pPr>
      <w:r>
        <w:rPr>
          <w:rFonts w:hAnsi="宋体" w:cs="Times New Roman"/>
          <w:b/>
          <w:bCs/>
          <w:sz w:val="24"/>
          <w:szCs w:val="24"/>
        </w:rPr>
        <w:t>注：以上若有表格等要求格式，须按“第七章  投标文件部分格式”要求响应。</w:t>
      </w:r>
    </w:p>
    <w:p w14:paraId="70B22D5D">
      <w:pPr>
        <w:pStyle w:val="22"/>
        <w:spacing w:line="440" w:lineRule="exact"/>
        <w:ind w:firstLine="482" w:firstLineChars="200"/>
        <w:jc w:val="both"/>
        <w:rPr>
          <w:b w:val="0"/>
          <w:bCs w:val="0"/>
          <w:color w:val="auto"/>
          <w:sz w:val="24"/>
          <w:szCs w:val="24"/>
        </w:rPr>
      </w:pPr>
      <w:r>
        <w:rPr>
          <w:color w:val="auto"/>
          <w:sz w:val="24"/>
          <w:szCs w:val="24"/>
        </w:rPr>
        <w:t>4.投标人资格的有关证明资料</w:t>
      </w:r>
    </w:p>
    <w:p w14:paraId="7775A99E">
      <w:pPr>
        <w:spacing w:line="440" w:lineRule="exact"/>
        <w:ind w:firstLine="480" w:firstLineChars="200"/>
        <w:rPr>
          <w:rFonts w:ascii="宋体" w:hAnsi="宋体"/>
          <w:sz w:val="24"/>
        </w:rPr>
      </w:pPr>
      <w:r>
        <w:rPr>
          <w:rFonts w:ascii="宋体" w:hAnsi="宋体"/>
          <w:sz w:val="24"/>
        </w:rPr>
        <w:t>4.1投标人应提交上述资格文件内容材料参加投标和中标后有能力履行合同的文件，并作为其投标文件的一部分。</w:t>
      </w:r>
    </w:p>
    <w:p w14:paraId="5705B438">
      <w:pPr>
        <w:spacing w:line="440" w:lineRule="exact"/>
        <w:ind w:firstLine="480" w:firstLineChars="200"/>
        <w:rPr>
          <w:rFonts w:ascii="宋体" w:hAnsi="宋体"/>
          <w:sz w:val="24"/>
        </w:rPr>
      </w:pPr>
      <w:r>
        <w:rPr>
          <w:rFonts w:ascii="宋体" w:hAnsi="宋体"/>
          <w:sz w:val="24"/>
        </w:rPr>
        <w:t>4.2</w:t>
      </w:r>
      <w:r>
        <w:rPr>
          <w:rFonts w:ascii="宋体" w:hAnsi="宋体"/>
          <w:b/>
          <w:bCs/>
          <w:sz w:val="24"/>
          <w:lang w:val="zh-CN"/>
        </w:rPr>
        <w:t>所有</w:t>
      </w:r>
      <w:r>
        <w:rPr>
          <w:rFonts w:ascii="宋体" w:hAnsi="宋体"/>
          <w:b/>
          <w:bCs/>
          <w:sz w:val="24"/>
        </w:rPr>
        <w:t>投标</w:t>
      </w:r>
      <w:r>
        <w:rPr>
          <w:rFonts w:ascii="宋体" w:hAnsi="宋体"/>
          <w:b/>
          <w:bCs/>
          <w:sz w:val="24"/>
          <w:lang w:val="zh-CN"/>
        </w:rPr>
        <w:t>文件中所需的各种证书、证件、证明资料如是</w:t>
      </w:r>
      <w:r>
        <w:rPr>
          <w:rFonts w:hint="eastAsia" w:ascii="宋体" w:hAnsi="宋体"/>
          <w:b/>
          <w:bCs/>
          <w:sz w:val="24"/>
          <w:lang w:val="zh-CN"/>
        </w:rPr>
        <w:t>原件扫描件</w:t>
      </w:r>
      <w:r>
        <w:rPr>
          <w:rFonts w:ascii="宋体" w:hAnsi="宋体"/>
          <w:b/>
          <w:bCs/>
          <w:sz w:val="24"/>
          <w:lang w:val="zh-CN"/>
        </w:rPr>
        <w:t>，须在</w:t>
      </w:r>
      <w:r>
        <w:rPr>
          <w:rFonts w:hint="eastAsia" w:ascii="宋体" w:hAnsi="宋体"/>
          <w:b/>
          <w:bCs/>
          <w:sz w:val="24"/>
          <w:lang w:val="zh-CN"/>
        </w:rPr>
        <w:t>原件扫描件</w:t>
      </w:r>
      <w:r>
        <w:rPr>
          <w:rFonts w:ascii="宋体" w:hAnsi="宋体"/>
          <w:b/>
          <w:bCs/>
          <w:sz w:val="24"/>
          <w:lang w:val="zh-CN"/>
        </w:rPr>
        <w:t>上加盖有效公章。</w:t>
      </w:r>
      <w:r>
        <w:rPr>
          <w:rFonts w:ascii="宋体" w:hAnsi="宋体"/>
          <w:b/>
          <w:bCs/>
          <w:sz w:val="24"/>
        </w:rPr>
        <w:t>投标</w:t>
      </w:r>
      <w:r>
        <w:rPr>
          <w:rFonts w:ascii="宋体" w:hAnsi="宋体"/>
          <w:b/>
          <w:bCs/>
          <w:sz w:val="24"/>
          <w:lang w:val="zh-CN"/>
        </w:rPr>
        <w:t>人的投标文件必须按照</w:t>
      </w:r>
      <w:r>
        <w:rPr>
          <w:rFonts w:ascii="宋体" w:hAnsi="宋体"/>
          <w:b/>
          <w:bCs/>
          <w:sz w:val="24"/>
        </w:rPr>
        <w:t>采购文件</w:t>
      </w:r>
      <w:r>
        <w:rPr>
          <w:rFonts w:ascii="宋体" w:hAnsi="宋体"/>
          <w:b/>
          <w:bCs/>
          <w:sz w:val="24"/>
          <w:lang w:val="zh-CN"/>
        </w:rPr>
        <w:t>要求制作。</w:t>
      </w:r>
    </w:p>
    <w:p w14:paraId="25354A72">
      <w:pPr>
        <w:pStyle w:val="29"/>
        <w:spacing w:line="440" w:lineRule="exact"/>
        <w:ind w:firstLine="482" w:firstLineChars="200"/>
        <w:rPr>
          <w:rFonts w:hAnsi="宋体" w:cs="Times New Roman"/>
          <w:b/>
          <w:bCs/>
          <w:sz w:val="24"/>
          <w:szCs w:val="24"/>
        </w:rPr>
      </w:pPr>
      <w:r>
        <w:rPr>
          <w:rFonts w:hAnsi="宋体" w:cs="Times New Roman"/>
          <w:b/>
          <w:bCs/>
          <w:sz w:val="24"/>
          <w:szCs w:val="24"/>
        </w:rPr>
        <w:t>5.投标报价</w:t>
      </w:r>
    </w:p>
    <w:p w14:paraId="47CE381C">
      <w:pPr>
        <w:spacing w:line="400" w:lineRule="atLeast"/>
        <w:ind w:firstLine="480" w:firstLineChars="200"/>
        <w:rPr>
          <w:rFonts w:hAnsi="宋体"/>
          <w:b/>
          <w:sz w:val="24"/>
        </w:rPr>
      </w:pPr>
      <w:r>
        <w:rPr>
          <w:rFonts w:hint="eastAsia" w:hAnsi="宋体" w:cs="宋体"/>
          <w:sz w:val="24"/>
        </w:rPr>
        <w:t>5.1投标人应根据国家的有关规定和</w:t>
      </w:r>
      <w:r>
        <w:rPr>
          <w:rFonts w:hint="eastAsia" w:hAnsi="宋体" w:cs="宋体"/>
          <w:b/>
          <w:sz w:val="24"/>
          <w:shd w:val="pct10" w:color="auto" w:fill="FFFFFF"/>
        </w:rPr>
        <w:t>采购文件要求</w:t>
      </w:r>
      <w:r>
        <w:rPr>
          <w:rFonts w:hint="eastAsia" w:hAnsi="宋体" w:cs="宋体"/>
          <w:sz w:val="24"/>
        </w:rPr>
        <w:t>并结合企业的实际情况进行投标报价。投标报价以人民币为结算货币，是履行合同的最终价格，</w:t>
      </w:r>
      <w:r>
        <w:rPr>
          <w:rFonts w:hint="eastAsia" w:hAnsi="宋体"/>
          <w:sz w:val="24"/>
        </w:rPr>
        <w:t>应包括</w:t>
      </w:r>
      <w:r>
        <w:rPr>
          <w:rFonts w:hint="eastAsia" w:asciiTheme="minorEastAsia" w:hAnsiTheme="minorEastAsia" w:eastAsiaTheme="minorEastAsia" w:cstheme="minorEastAsia"/>
          <w:sz w:val="24"/>
        </w:rPr>
        <w:t>储备费用、冻猪肉收储服务及其资金利息费用和人工费、服务费、各类保险、运输（含投放）、加工包装、检验、仓储、轮换管理等环节产生的一切费用。</w:t>
      </w:r>
      <w:r>
        <w:rPr>
          <w:rFonts w:hint="eastAsia" w:hAnsi="宋体"/>
          <w:b/>
          <w:sz w:val="24"/>
        </w:rPr>
        <w:t>投标人凡未列入的，将被认为均已包含在报价中。</w:t>
      </w:r>
    </w:p>
    <w:p w14:paraId="3ABDD284">
      <w:pPr>
        <w:pStyle w:val="29"/>
        <w:spacing w:line="460" w:lineRule="exact"/>
        <w:ind w:firstLine="480" w:firstLineChars="200"/>
        <w:rPr>
          <w:rFonts w:hAnsi="宋体" w:cs="宋体"/>
          <w:sz w:val="24"/>
        </w:rPr>
      </w:pPr>
      <w:r>
        <w:rPr>
          <w:rFonts w:hint="eastAsia" w:hAnsi="宋体" w:cs="宋体"/>
          <w:sz w:val="24"/>
        </w:rPr>
        <w:t>5.2投标人应在投标书的《报价一览表》上写明该标项的投标报价项目的单价，</w:t>
      </w:r>
      <w:r>
        <w:rPr>
          <w:rFonts w:hint="eastAsia" w:hAnsi="宋体" w:cs="宋体"/>
          <w:b/>
          <w:sz w:val="24"/>
        </w:rPr>
        <w:t>中标人所填写的该项投标报价在合同实施期间不因市场变化因素而变动；</w:t>
      </w:r>
      <w:r>
        <w:rPr>
          <w:rFonts w:hint="eastAsia" w:hAnsi="宋体" w:cs="宋体"/>
          <w:sz w:val="24"/>
        </w:rPr>
        <w:t>投标人在计算报价时应考虑一定的风险系数。</w:t>
      </w:r>
    </w:p>
    <w:p w14:paraId="7C0D2D79">
      <w:pPr>
        <w:pStyle w:val="29"/>
        <w:spacing w:line="440" w:lineRule="atLeast"/>
        <w:ind w:firstLine="480" w:firstLineChars="200"/>
        <w:rPr>
          <w:rFonts w:hAnsi="宋体" w:cs="宋体"/>
          <w:sz w:val="24"/>
          <w:szCs w:val="24"/>
        </w:rPr>
      </w:pPr>
      <w:r>
        <w:rPr>
          <w:rFonts w:hint="eastAsia" w:hAnsi="宋体" w:cs="宋体"/>
          <w:sz w:val="24"/>
        </w:rPr>
        <w:t>5.3</w:t>
      </w:r>
      <w:r>
        <w:rPr>
          <w:rFonts w:hint="eastAsia" w:hAnsi="宋体" w:cs="宋体"/>
          <w:sz w:val="24"/>
          <w:szCs w:val="24"/>
        </w:rPr>
        <w:t>投标人应按采购文件规定的报价格式进行投标报价。</w:t>
      </w:r>
    </w:p>
    <w:p w14:paraId="1DD69846">
      <w:pPr>
        <w:pStyle w:val="29"/>
        <w:spacing w:line="440" w:lineRule="atLeast"/>
        <w:ind w:firstLine="480" w:firstLineChars="200"/>
        <w:rPr>
          <w:rFonts w:hAnsi="宋体" w:cs="宋体"/>
          <w:b/>
          <w:bCs/>
          <w:spacing w:val="-8"/>
          <w:sz w:val="24"/>
          <w:szCs w:val="24"/>
        </w:rPr>
      </w:pPr>
      <w:r>
        <w:rPr>
          <w:rFonts w:hint="eastAsia" w:hAnsi="宋体" w:cs="宋体"/>
          <w:sz w:val="24"/>
          <w:szCs w:val="24"/>
        </w:rPr>
        <w:t>5.4</w:t>
      </w:r>
      <w:r>
        <w:rPr>
          <w:rFonts w:hint="eastAsia" w:hAnsi="宋体" w:cs="宋体"/>
          <w:b/>
          <w:bCs/>
          <w:spacing w:val="-8"/>
          <w:sz w:val="24"/>
          <w:szCs w:val="24"/>
        </w:rPr>
        <w:t>根据中华人民共和国财政部令第87号《政府采购货物和服务招标投标管理办法》第六十条规定：根据评标委员会认为投标人的报价明显低于其他通过符合性审查投标人的报价，有可能影响产品或服务质量或者不能诚信履约的，应当要求其在评标现场合理的时间内提供书面说明，必要时提交相关证明材料；投标人不能证明其报价合理性的，评标委员会应当将其作为无效投标处理。</w:t>
      </w:r>
    </w:p>
    <w:p w14:paraId="21E47FCE">
      <w:pPr>
        <w:pStyle w:val="29"/>
        <w:spacing w:line="440" w:lineRule="atLeast"/>
        <w:ind w:firstLine="480" w:firstLineChars="200"/>
        <w:rPr>
          <w:rFonts w:hAnsi="宋体" w:cs="宋体"/>
          <w:sz w:val="24"/>
          <w:szCs w:val="24"/>
        </w:rPr>
      </w:pPr>
      <w:r>
        <w:rPr>
          <w:rFonts w:hint="eastAsia" w:hAnsi="宋体" w:cs="宋体"/>
          <w:sz w:val="24"/>
          <w:szCs w:val="24"/>
        </w:rPr>
        <w:t>5.5投标人按照上述要求编制投标报价。一旦确认某一投标人中标，除合同规定的可调整内容外，中标人不得要求追加任何费用。</w:t>
      </w:r>
    </w:p>
    <w:p w14:paraId="361A5F84">
      <w:pPr>
        <w:pStyle w:val="29"/>
        <w:spacing w:line="380" w:lineRule="atLeast"/>
        <w:ind w:firstLine="480" w:firstLineChars="200"/>
        <w:rPr>
          <w:rFonts w:hAnsi="宋体" w:cs="宋体"/>
          <w:sz w:val="24"/>
          <w:szCs w:val="24"/>
        </w:rPr>
      </w:pPr>
      <w:r>
        <w:rPr>
          <w:rFonts w:hint="eastAsia" w:hAnsi="宋体" w:cs="宋体"/>
          <w:sz w:val="24"/>
          <w:szCs w:val="24"/>
        </w:rPr>
        <w:t>5.6须由中标单位开具正式发票。</w:t>
      </w:r>
    </w:p>
    <w:p w14:paraId="10E85E83">
      <w:pPr>
        <w:pStyle w:val="29"/>
        <w:spacing w:line="380" w:lineRule="atLeast"/>
        <w:ind w:firstLine="480" w:firstLineChars="200"/>
        <w:rPr>
          <w:rFonts w:hAnsi="宋体" w:cs="宋体"/>
          <w:sz w:val="24"/>
          <w:szCs w:val="24"/>
        </w:rPr>
      </w:pPr>
      <w:r>
        <w:rPr>
          <w:rFonts w:hint="eastAsia" w:hAnsi="宋体" w:cs="宋体"/>
          <w:sz w:val="24"/>
          <w:szCs w:val="24"/>
        </w:rPr>
        <w:t>5.7采购文件中规定由投标人承担并支付的相关费用在投标报价时应一并考虑。</w:t>
      </w:r>
    </w:p>
    <w:p w14:paraId="408FBB0A">
      <w:pPr>
        <w:pStyle w:val="29"/>
        <w:spacing w:line="380" w:lineRule="atLeast"/>
        <w:ind w:firstLine="482" w:firstLineChars="200"/>
        <w:rPr>
          <w:rFonts w:hAnsi="宋体" w:cs="Times New Roman"/>
          <w:b/>
          <w:bCs/>
          <w:sz w:val="24"/>
          <w:szCs w:val="24"/>
        </w:rPr>
      </w:pPr>
      <w:r>
        <w:rPr>
          <w:rFonts w:hAnsi="宋体" w:cs="Times New Roman"/>
          <w:b/>
          <w:bCs/>
          <w:sz w:val="24"/>
          <w:szCs w:val="24"/>
        </w:rPr>
        <w:t>6.投标保证金</w:t>
      </w:r>
    </w:p>
    <w:p w14:paraId="1FF76980">
      <w:pPr>
        <w:pStyle w:val="29"/>
        <w:spacing w:line="380" w:lineRule="atLeast"/>
        <w:ind w:firstLine="480" w:firstLineChars="200"/>
        <w:rPr>
          <w:rFonts w:hAnsi="宋体" w:cs="Times New Roman"/>
          <w:sz w:val="24"/>
          <w:szCs w:val="24"/>
        </w:rPr>
      </w:pPr>
      <w:r>
        <w:rPr>
          <w:rFonts w:hAnsi="宋体" w:cs="Times New Roman"/>
          <w:sz w:val="24"/>
          <w:szCs w:val="24"/>
        </w:rPr>
        <w:t>6.1本项目不需缴纳投标保证金。</w:t>
      </w:r>
    </w:p>
    <w:p w14:paraId="55A57A9E">
      <w:pPr>
        <w:pStyle w:val="29"/>
        <w:spacing w:line="380" w:lineRule="atLeast"/>
        <w:ind w:firstLine="482" w:firstLineChars="200"/>
        <w:rPr>
          <w:rFonts w:hAnsi="宋体" w:cs="Times New Roman"/>
          <w:sz w:val="24"/>
          <w:szCs w:val="24"/>
        </w:rPr>
      </w:pPr>
      <w:r>
        <w:rPr>
          <w:rFonts w:hAnsi="宋体" w:cs="Times New Roman"/>
          <w:b/>
          <w:bCs/>
          <w:sz w:val="24"/>
          <w:szCs w:val="24"/>
        </w:rPr>
        <w:t>7.投标文件构成和份数</w:t>
      </w:r>
    </w:p>
    <w:p w14:paraId="101997F8">
      <w:pPr>
        <w:pStyle w:val="29"/>
        <w:spacing w:line="380" w:lineRule="atLeast"/>
        <w:ind w:firstLine="480" w:firstLineChars="200"/>
        <w:rPr>
          <w:rFonts w:hAnsi="宋体" w:cs="Times New Roman"/>
          <w:sz w:val="24"/>
          <w:szCs w:val="24"/>
        </w:rPr>
      </w:pPr>
      <w:r>
        <w:rPr>
          <w:rFonts w:hAnsi="宋体" w:cs="Times New Roman"/>
          <w:sz w:val="24"/>
          <w:szCs w:val="24"/>
        </w:rPr>
        <w:t>本项目实行全流程网上电子投标。</w:t>
      </w:r>
    </w:p>
    <w:p w14:paraId="1FD7DCA8">
      <w:pPr>
        <w:pStyle w:val="29"/>
        <w:spacing w:line="380" w:lineRule="atLeast"/>
        <w:ind w:firstLine="480" w:firstLineChars="200"/>
        <w:rPr>
          <w:rFonts w:hAnsi="宋体" w:cs="Times New Roman"/>
          <w:sz w:val="24"/>
          <w:szCs w:val="24"/>
        </w:rPr>
      </w:pPr>
      <w:r>
        <w:rPr>
          <w:rFonts w:hAnsi="宋体" w:cs="Times New Roman"/>
          <w:sz w:val="24"/>
          <w:szCs w:val="24"/>
        </w:rPr>
        <w:t>（1）“电子加密投标文件”：在“政府采购云平台”上传递交、一份；</w:t>
      </w:r>
    </w:p>
    <w:p w14:paraId="2D590A1F">
      <w:pPr>
        <w:pStyle w:val="29"/>
        <w:spacing w:line="380" w:lineRule="atLeast"/>
        <w:ind w:firstLine="480" w:firstLineChars="200"/>
        <w:rPr>
          <w:rFonts w:hAnsi="宋体" w:cs="Times New Roman"/>
          <w:sz w:val="24"/>
          <w:szCs w:val="24"/>
        </w:rPr>
      </w:pPr>
      <w:r>
        <w:rPr>
          <w:rFonts w:hAnsi="宋体" w:cs="Times New Roman"/>
          <w:sz w:val="24"/>
          <w:szCs w:val="24"/>
        </w:rPr>
        <w:t>（2）“电子备份加密投标文件”：在投标截止时间前以电子邮件方式发送至邮箱：</w:t>
      </w:r>
      <w:r>
        <w:rPr>
          <w:rFonts w:hint="eastAsia" w:hAnsi="宋体" w:cs="Times New Roman"/>
          <w:sz w:val="24"/>
          <w:szCs w:val="24"/>
        </w:rPr>
        <w:t>346082301@qq.com</w:t>
      </w:r>
      <w:r>
        <w:rPr>
          <w:rFonts w:hAnsi="宋体" w:cs="Times New Roman"/>
          <w:sz w:val="24"/>
          <w:szCs w:val="24"/>
        </w:rPr>
        <w:t>一份。</w:t>
      </w:r>
    </w:p>
    <w:p w14:paraId="1300DEF4">
      <w:pPr>
        <w:spacing w:line="380" w:lineRule="atLeast"/>
        <w:ind w:firstLine="482" w:firstLineChars="200"/>
        <w:rPr>
          <w:rFonts w:ascii="宋体" w:hAnsi="宋体"/>
          <w:b/>
          <w:bCs/>
          <w:sz w:val="24"/>
        </w:rPr>
      </w:pPr>
      <w:r>
        <w:rPr>
          <w:rFonts w:ascii="宋体" w:hAnsi="宋体"/>
          <w:b/>
          <w:bCs/>
          <w:sz w:val="24"/>
        </w:rPr>
        <w:t>8.投标文件修改、补充与撤回</w:t>
      </w:r>
    </w:p>
    <w:p w14:paraId="12E335A4">
      <w:pPr>
        <w:spacing w:line="380" w:lineRule="atLeast"/>
        <w:ind w:firstLine="480" w:firstLineChars="200"/>
        <w:rPr>
          <w:rFonts w:ascii="宋体" w:hAnsi="宋体"/>
          <w:bCs/>
          <w:sz w:val="24"/>
        </w:rPr>
      </w:pPr>
      <w:r>
        <w:rPr>
          <w:rFonts w:ascii="宋体" w:hAnsi="宋体"/>
          <w:bCs/>
          <w:sz w:val="24"/>
        </w:rPr>
        <w:t>8.1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B56C800">
      <w:pPr>
        <w:spacing w:line="380" w:lineRule="atLeast"/>
        <w:ind w:firstLine="480" w:firstLineChars="200"/>
        <w:rPr>
          <w:rFonts w:ascii="宋体" w:hAnsi="宋体"/>
          <w:bCs/>
          <w:sz w:val="24"/>
        </w:rPr>
      </w:pPr>
      <w:r>
        <w:rPr>
          <w:rFonts w:ascii="宋体" w:hAnsi="宋体"/>
          <w:bCs/>
          <w:sz w:val="24"/>
        </w:rPr>
        <w:t>8.2投标截止时间后，投标供应商不得撤回、修改投标文件。</w:t>
      </w:r>
    </w:p>
    <w:p w14:paraId="4DE37510">
      <w:pPr>
        <w:pStyle w:val="54"/>
        <w:spacing w:after="0" w:line="380" w:lineRule="atLeast"/>
        <w:ind w:left="0" w:leftChars="0" w:firstLine="480"/>
        <w:rPr>
          <w:rFonts w:ascii="宋体" w:hAnsi="宋体"/>
          <w:b/>
          <w:bCs/>
          <w:sz w:val="24"/>
          <w:szCs w:val="24"/>
        </w:rPr>
      </w:pPr>
      <w:r>
        <w:rPr>
          <w:rFonts w:ascii="宋体" w:hAnsi="宋体"/>
          <w:sz w:val="24"/>
          <w:szCs w:val="24"/>
        </w:rPr>
        <w:t>9.</w:t>
      </w:r>
      <w:r>
        <w:rPr>
          <w:rFonts w:ascii="宋体" w:hAnsi="宋体"/>
          <w:b/>
          <w:bCs/>
          <w:sz w:val="24"/>
          <w:szCs w:val="24"/>
        </w:rPr>
        <w:t>投标有效期</w:t>
      </w:r>
    </w:p>
    <w:p w14:paraId="10B882D9">
      <w:pPr>
        <w:spacing w:line="380" w:lineRule="atLeast"/>
        <w:ind w:firstLine="480" w:firstLineChars="200"/>
        <w:rPr>
          <w:rFonts w:ascii="宋体" w:hAnsi="宋体"/>
          <w:sz w:val="24"/>
        </w:rPr>
      </w:pPr>
      <w:r>
        <w:rPr>
          <w:rFonts w:ascii="宋体" w:hAnsi="宋体"/>
          <w:sz w:val="24"/>
        </w:rPr>
        <w:t>9.1从提交投标文件的截止之日起90天（日历天）。</w:t>
      </w:r>
    </w:p>
    <w:p w14:paraId="1A3E4504">
      <w:pPr>
        <w:spacing w:line="380" w:lineRule="atLeast"/>
        <w:ind w:firstLine="480" w:firstLineChars="200"/>
        <w:rPr>
          <w:rFonts w:ascii="宋体" w:hAnsi="宋体"/>
          <w:b/>
          <w:sz w:val="24"/>
        </w:rPr>
      </w:pPr>
      <w:r>
        <w:rPr>
          <w:rFonts w:ascii="宋体" w:hAnsi="宋体"/>
          <w:sz w:val="24"/>
        </w:rPr>
        <w:t>9.2特殊情况下，在原投标有效期截止之前，采购人可要求投标方同意延长有效期，这种要求与答复均应以书面形式提交。</w:t>
      </w:r>
      <w:bookmarkStart w:id="87" w:name="_Toc16331680"/>
      <w:bookmarkStart w:id="88" w:name="_Toc362250690"/>
      <w:bookmarkStart w:id="89" w:name="_Toc34919341"/>
      <w:bookmarkStart w:id="90" w:name="_Toc16331534"/>
      <w:bookmarkStart w:id="91" w:name="_Toc500113681"/>
      <w:bookmarkStart w:id="92" w:name="_Toc508641266"/>
      <w:bookmarkStart w:id="93" w:name="_Toc481242810"/>
      <w:bookmarkStart w:id="94" w:name="_Toc465782677"/>
      <w:bookmarkStart w:id="95" w:name="_Toc34830374"/>
      <w:bookmarkStart w:id="96" w:name="_Toc481227871"/>
      <w:bookmarkStart w:id="97" w:name="_Toc33098463"/>
      <w:bookmarkStart w:id="98" w:name="_Toc34898311"/>
      <w:bookmarkStart w:id="99" w:name="_Toc274303232"/>
      <w:bookmarkStart w:id="100" w:name="_Toc519014198"/>
    </w:p>
    <w:p w14:paraId="73047D5A">
      <w:pPr>
        <w:spacing w:line="380" w:lineRule="atLeast"/>
        <w:jc w:val="center"/>
        <w:rPr>
          <w:rFonts w:ascii="宋体" w:hAnsi="宋体"/>
          <w:b/>
          <w:sz w:val="24"/>
        </w:rPr>
      </w:pPr>
      <w:r>
        <w:rPr>
          <w:rFonts w:ascii="宋体" w:hAnsi="宋体"/>
          <w:b/>
          <w:sz w:val="24"/>
        </w:rPr>
        <w:t>四、投标文件的上传、递交</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C23D1B5">
      <w:pPr>
        <w:pStyle w:val="29"/>
        <w:spacing w:line="380" w:lineRule="atLeast"/>
        <w:ind w:firstLine="482" w:firstLineChars="200"/>
        <w:rPr>
          <w:rFonts w:hAnsi="宋体" w:cs="Times New Roman"/>
          <w:b/>
          <w:sz w:val="24"/>
          <w:szCs w:val="24"/>
        </w:rPr>
      </w:pPr>
      <w:r>
        <w:rPr>
          <w:rFonts w:hAnsi="宋体" w:cs="Times New Roman"/>
          <w:b/>
          <w:sz w:val="24"/>
          <w:szCs w:val="24"/>
        </w:rPr>
        <w:t>10.投标文件的编制和签署</w:t>
      </w:r>
    </w:p>
    <w:p w14:paraId="43DB83FE">
      <w:pPr>
        <w:pStyle w:val="29"/>
        <w:spacing w:line="380" w:lineRule="atLeast"/>
        <w:ind w:firstLine="480" w:firstLineChars="200"/>
        <w:rPr>
          <w:rFonts w:hAnsi="宋体" w:cs="Times New Roman"/>
          <w:sz w:val="24"/>
          <w:szCs w:val="24"/>
        </w:rPr>
      </w:pPr>
      <w:r>
        <w:rPr>
          <w:rFonts w:hAnsi="宋体" w:cs="Times New Roman"/>
          <w:sz w:val="24"/>
          <w:szCs w:val="24"/>
        </w:rPr>
        <w:t>10.1本项目通过“政府采购云平台（www.zcygov.cn）”实行在线投标响应（电子投标）。供应商应通过“政采云电子交易客户端”，并按照本采购文件和“政府采购云平台”的要求编制并加密投标文件。</w:t>
      </w:r>
    </w:p>
    <w:p w14:paraId="53E47171">
      <w:pPr>
        <w:pStyle w:val="29"/>
        <w:spacing w:line="380" w:lineRule="atLeast"/>
        <w:ind w:firstLine="480" w:firstLineChars="200"/>
        <w:rPr>
          <w:rFonts w:hAnsi="宋体" w:cs="Times New Roman"/>
          <w:sz w:val="24"/>
          <w:szCs w:val="24"/>
        </w:rPr>
      </w:pPr>
      <w:r>
        <w:rPr>
          <w:rFonts w:hAnsi="宋体" w:cs="Times New Roman"/>
          <w:sz w:val="24"/>
          <w:szCs w:val="24"/>
        </w:rPr>
        <w:t>10.2投标供应商应当按照本章节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14:paraId="323C7AF1">
      <w:pPr>
        <w:pStyle w:val="29"/>
        <w:spacing w:line="380" w:lineRule="atLeast"/>
        <w:ind w:firstLine="480" w:firstLineChars="200"/>
        <w:rPr>
          <w:rFonts w:hAnsi="宋体" w:cs="Times New Roman"/>
          <w:sz w:val="24"/>
          <w:szCs w:val="24"/>
        </w:rPr>
      </w:pPr>
      <w:r>
        <w:rPr>
          <w:rFonts w:hAnsi="宋体" w:cs="Times New Roman"/>
          <w:sz w:val="24"/>
          <w:szCs w:val="24"/>
        </w:rPr>
        <w:t>10.3本文件《第七章  投标文件部分格式》中有提供格式的，投标供应商须参照格式进行编制（格式中要求提供相关证明材料的还需后附相关证明材料），并按格式要求在指定位置根据要求进行签章，否则视为未提供；本文件《第七章  投标文件部分格式》未提供格式的，请各投标单位自行拟定格式，并加盖单位电子签章，否则视为未提供。</w:t>
      </w:r>
    </w:p>
    <w:p w14:paraId="7FB41C0E">
      <w:pPr>
        <w:pStyle w:val="29"/>
        <w:spacing w:line="380" w:lineRule="atLeast"/>
        <w:ind w:firstLine="480" w:firstLineChars="200"/>
        <w:rPr>
          <w:rFonts w:hAnsi="宋体" w:cs="Times New Roman"/>
          <w:sz w:val="24"/>
          <w:szCs w:val="24"/>
        </w:rPr>
      </w:pPr>
      <w:r>
        <w:rPr>
          <w:rFonts w:hAnsi="宋体" w:cs="Times New Roman"/>
          <w:sz w:val="24"/>
          <w:szCs w:val="24"/>
        </w:rPr>
        <w:t>10.4投标文件内容不完整、编排混乱导致投标文件被误读、漏读或者查找不到相关内容的，是投标供应商的责任。</w:t>
      </w:r>
    </w:p>
    <w:p w14:paraId="3E73A48F">
      <w:pPr>
        <w:pStyle w:val="29"/>
        <w:spacing w:line="380" w:lineRule="atLeast"/>
        <w:ind w:firstLine="480" w:firstLineChars="200"/>
        <w:rPr>
          <w:rFonts w:hAnsi="宋体" w:cs="Times New Roman"/>
          <w:sz w:val="24"/>
          <w:szCs w:val="24"/>
        </w:rPr>
      </w:pPr>
      <w:r>
        <w:rPr>
          <w:rFonts w:hAnsi="宋体" w:cs="Times New Roman"/>
          <w:sz w:val="24"/>
          <w:szCs w:val="24"/>
        </w:rPr>
        <w:t>10.5投标文件因字迹潦草或表达不清所引起的后果由投标供应商负责。</w:t>
      </w:r>
    </w:p>
    <w:p w14:paraId="4EBDE897">
      <w:pPr>
        <w:pStyle w:val="29"/>
        <w:spacing w:line="380" w:lineRule="atLeast"/>
        <w:ind w:firstLine="480" w:firstLineChars="200"/>
        <w:rPr>
          <w:rFonts w:hAnsi="宋体" w:cs="Times New Roman"/>
          <w:sz w:val="24"/>
          <w:szCs w:val="24"/>
        </w:rPr>
      </w:pPr>
      <w:r>
        <w:rPr>
          <w:rFonts w:hAnsi="宋体" w:cs="Times New Roman"/>
          <w:sz w:val="24"/>
          <w:szCs w:val="24"/>
        </w:rPr>
        <w:t>10.6投标供应商没有按照本章节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488C3F25">
      <w:pPr>
        <w:pStyle w:val="29"/>
        <w:spacing w:line="380" w:lineRule="atLeast"/>
        <w:ind w:firstLine="480" w:firstLineChars="200"/>
        <w:rPr>
          <w:rFonts w:hAnsi="宋体" w:cs="Times New Roman"/>
          <w:sz w:val="24"/>
          <w:szCs w:val="24"/>
        </w:rPr>
      </w:pPr>
      <w:r>
        <w:rPr>
          <w:rFonts w:hAnsi="宋体" w:cs="Times New Roman"/>
          <w:sz w:val="24"/>
          <w:szCs w:val="24"/>
        </w:rPr>
        <w:t>11.投标文件的签章</w:t>
      </w:r>
    </w:p>
    <w:p w14:paraId="418669CB">
      <w:pPr>
        <w:pStyle w:val="29"/>
        <w:spacing w:line="380" w:lineRule="atLeast"/>
        <w:ind w:firstLine="480" w:firstLineChars="200"/>
        <w:rPr>
          <w:rFonts w:hAnsi="宋体" w:cs="Times New Roman"/>
          <w:sz w:val="24"/>
          <w:szCs w:val="24"/>
        </w:rPr>
      </w:pPr>
      <w:r>
        <w:rPr>
          <w:rFonts w:hAnsi="宋体" w:cs="Times New Roman"/>
          <w:sz w:val="24"/>
          <w:szCs w:val="24"/>
        </w:rPr>
        <w:t>11.1投标文件的签章：见《前附表》。</w:t>
      </w:r>
    </w:p>
    <w:p w14:paraId="56AD8A7E">
      <w:pPr>
        <w:pStyle w:val="29"/>
        <w:spacing w:line="380" w:lineRule="atLeast"/>
        <w:ind w:firstLine="480" w:firstLineChars="200"/>
        <w:jc w:val="left"/>
        <w:rPr>
          <w:rFonts w:hAnsi="宋体" w:cs="Times New Roman"/>
          <w:sz w:val="24"/>
          <w:szCs w:val="24"/>
        </w:rPr>
      </w:pPr>
      <w:r>
        <w:rPr>
          <w:rFonts w:hAnsi="宋体" w:cs="Times New Roman"/>
          <w:sz w:val="24"/>
          <w:szCs w:val="24"/>
        </w:rPr>
        <w:t>11.2投标文件应由投标供应商法定代表人或其授权代表签字（或盖章），并加盖投标供应商公章。</w:t>
      </w:r>
    </w:p>
    <w:p w14:paraId="49667533">
      <w:pPr>
        <w:pStyle w:val="29"/>
        <w:spacing w:line="380" w:lineRule="atLeast"/>
        <w:ind w:firstLine="480" w:firstLineChars="200"/>
        <w:jc w:val="left"/>
        <w:rPr>
          <w:rFonts w:hAnsi="宋体" w:cs="Times New Roman"/>
          <w:sz w:val="24"/>
          <w:szCs w:val="24"/>
        </w:rPr>
      </w:pPr>
      <w:r>
        <w:rPr>
          <w:rFonts w:hAnsi="宋体" w:cs="Times New Roman"/>
          <w:sz w:val="24"/>
          <w:szCs w:val="24"/>
        </w:rPr>
        <w:t>11.3电子签章操作指南详见“政府采购云平台”帮助文档附件《供应商项目采购-电子招投标操作指南》。</w:t>
      </w:r>
    </w:p>
    <w:p w14:paraId="613F5913">
      <w:pPr>
        <w:pStyle w:val="29"/>
        <w:spacing w:line="380" w:lineRule="atLeast"/>
        <w:ind w:firstLine="480" w:firstLineChars="200"/>
        <w:jc w:val="left"/>
        <w:rPr>
          <w:rFonts w:hAnsi="宋体" w:cs="Times New Roman"/>
          <w:sz w:val="24"/>
          <w:szCs w:val="24"/>
        </w:rPr>
      </w:pPr>
      <w:r>
        <w:rPr>
          <w:rFonts w:hAnsi="宋体" w:cs="Times New Roman"/>
          <w:sz w:val="24"/>
          <w:szCs w:val="24"/>
        </w:rPr>
        <w:t>12.投标文件的形式</w:t>
      </w:r>
    </w:p>
    <w:p w14:paraId="1E34E589">
      <w:pPr>
        <w:pStyle w:val="29"/>
        <w:spacing w:line="380" w:lineRule="atLeast"/>
        <w:ind w:firstLine="480" w:firstLineChars="200"/>
        <w:jc w:val="left"/>
        <w:rPr>
          <w:rFonts w:hAnsi="宋体" w:cs="Times New Roman"/>
          <w:sz w:val="24"/>
          <w:szCs w:val="24"/>
        </w:rPr>
      </w:pPr>
      <w:r>
        <w:rPr>
          <w:rFonts w:hAnsi="宋体" w:cs="Times New Roman"/>
          <w:sz w:val="24"/>
          <w:szCs w:val="24"/>
        </w:rPr>
        <w:t>12.1投标文件的形式：见《前附表》。</w:t>
      </w:r>
    </w:p>
    <w:p w14:paraId="26DFA448">
      <w:pPr>
        <w:pStyle w:val="29"/>
        <w:spacing w:line="380" w:lineRule="atLeast"/>
        <w:ind w:firstLine="480" w:firstLineChars="200"/>
        <w:jc w:val="left"/>
        <w:rPr>
          <w:rFonts w:hAnsi="宋体" w:cs="Times New Roman"/>
          <w:sz w:val="24"/>
          <w:szCs w:val="24"/>
        </w:rPr>
      </w:pPr>
      <w:r>
        <w:rPr>
          <w:rFonts w:hAnsi="宋体" w:cs="Times New Roman"/>
          <w:sz w:val="24"/>
          <w:szCs w:val="24"/>
        </w:rPr>
        <w:t>12.2“电子加密投标文件”的上传、递交</w:t>
      </w:r>
    </w:p>
    <w:p w14:paraId="2DD8E046">
      <w:pPr>
        <w:pStyle w:val="29"/>
        <w:spacing w:line="380" w:lineRule="atLeast"/>
        <w:ind w:firstLine="480" w:firstLineChars="200"/>
        <w:jc w:val="left"/>
        <w:rPr>
          <w:rFonts w:hAnsi="宋体" w:cs="Times New Roman"/>
          <w:sz w:val="24"/>
          <w:szCs w:val="24"/>
        </w:rPr>
      </w:pPr>
      <w:r>
        <w:rPr>
          <w:rFonts w:hAnsi="宋体" w:cs="Times New Roman"/>
          <w:sz w:val="24"/>
          <w:szCs w:val="24"/>
        </w:rPr>
        <w:t>“电子加密投标文件”是指通过“政采云电子交易客户端”完成投标文件编制后生成并加密的数据电文形式的投标文件。</w:t>
      </w:r>
    </w:p>
    <w:p w14:paraId="57B77F10">
      <w:pPr>
        <w:pStyle w:val="29"/>
        <w:spacing w:line="380" w:lineRule="atLeast"/>
        <w:ind w:firstLine="480" w:firstLineChars="200"/>
        <w:jc w:val="left"/>
        <w:rPr>
          <w:rFonts w:hAnsi="宋体" w:cs="Times New Roman"/>
          <w:sz w:val="24"/>
          <w:szCs w:val="24"/>
        </w:rPr>
      </w:pPr>
      <w:r>
        <w:rPr>
          <w:rFonts w:hAnsi="宋体" w:cs="Times New Roman"/>
          <w:sz w:val="24"/>
          <w:szCs w:val="24"/>
        </w:rPr>
        <w:t>（1）投标人应当在投标截止时间前完成电子投标文件的上传、递交。投标截止时间前未完成上传的，视为撤回电子投标文件。投标截止时间后上传、递交的投标文件，将被拒收。</w:t>
      </w:r>
    </w:p>
    <w:p w14:paraId="7AF284F3">
      <w:pPr>
        <w:pStyle w:val="29"/>
        <w:spacing w:line="380" w:lineRule="atLeast"/>
        <w:ind w:firstLine="480" w:firstLineChars="200"/>
        <w:jc w:val="left"/>
        <w:rPr>
          <w:rFonts w:hAnsi="宋体" w:cs="Times New Roman"/>
          <w:sz w:val="24"/>
          <w:szCs w:val="24"/>
        </w:rPr>
      </w:pPr>
      <w:r>
        <w:rPr>
          <w:rFonts w:hAnsi="宋体" w:cs="Times New Roman"/>
          <w:sz w:val="24"/>
          <w:szCs w:val="24"/>
        </w:rPr>
        <w:t>（2）“电子加密投标文件”成功上传、递交后，投标人可自行打印响应文件接收回执。</w:t>
      </w:r>
    </w:p>
    <w:p w14:paraId="57F6E49F">
      <w:pPr>
        <w:pStyle w:val="29"/>
        <w:spacing w:line="380" w:lineRule="atLeast"/>
        <w:ind w:firstLine="480" w:firstLineChars="200"/>
        <w:jc w:val="left"/>
        <w:rPr>
          <w:rFonts w:hAnsi="宋体" w:cs="Times New Roman"/>
          <w:sz w:val="24"/>
          <w:szCs w:val="24"/>
        </w:rPr>
      </w:pPr>
      <w:r>
        <w:rPr>
          <w:rFonts w:hAnsi="宋体" w:cs="Times New Roman"/>
          <w:sz w:val="24"/>
          <w:szCs w:val="24"/>
        </w:rPr>
        <w:t>12.3“备份投标文件”的密封包装、递交</w:t>
      </w:r>
    </w:p>
    <w:p w14:paraId="657A1993">
      <w:pPr>
        <w:pStyle w:val="29"/>
        <w:spacing w:line="380" w:lineRule="atLeast"/>
        <w:ind w:firstLine="480" w:firstLineChars="200"/>
        <w:jc w:val="left"/>
        <w:rPr>
          <w:rFonts w:hAnsi="宋体" w:cs="Times New Roman"/>
          <w:sz w:val="24"/>
          <w:szCs w:val="24"/>
        </w:rPr>
      </w:pPr>
      <w:r>
        <w:rPr>
          <w:rFonts w:hAnsi="宋体" w:cs="Times New Roman"/>
          <w:sz w:val="24"/>
          <w:szCs w:val="24"/>
        </w:rPr>
        <w:t>“电子备份加密投标文件”是指与“电子加密投标文件”同时生成的数据电文形式的电子文件（电子备份加密投标文件），其他方式编制的“电子备份加密投标文件”视为无效的“电子备份加密投标文件”。</w:t>
      </w:r>
    </w:p>
    <w:p w14:paraId="767E254C">
      <w:pPr>
        <w:pStyle w:val="29"/>
        <w:spacing w:line="380" w:lineRule="atLeast"/>
        <w:ind w:firstLine="480" w:firstLineChars="200"/>
        <w:jc w:val="left"/>
        <w:rPr>
          <w:rFonts w:hAnsi="宋体" w:cs="Times New Roman"/>
          <w:sz w:val="24"/>
          <w:szCs w:val="24"/>
        </w:rPr>
      </w:pPr>
      <w:r>
        <w:rPr>
          <w:rFonts w:hAnsi="宋体" w:cs="Times New Roman"/>
          <w:sz w:val="24"/>
          <w:szCs w:val="24"/>
        </w:rPr>
        <w:t>投标供应商在“政府采购云平台”完成“电子加密投标文件”的上传递交后，投标人应当在投标截止时间前将同时生成的电子备份加密投标文件（文件名后缀为bfbs）以电子邮件方式发送至邮箱：</w:t>
      </w:r>
      <w:r>
        <w:rPr>
          <w:rFonts w:hint="eastAsia" w:hAnsi="宋体" w:cs="Times New Roman"/>
          <w:sz w:val="24"/>
          <w:szCs w:val="24"/>
          <w:lang w:val="en-US" w:eastAsia="zh-CN"/>
        </w:rPr>
        <w:t>346082301</w:t>
      </w:r>
      <w:r>
        <w:rPr>
          <w:rFonts w:hAnsi="宋体" w:cs="Times New Roman"/>
          <w:sz w:val="24"/>
          <w:szCs w:val="24"/>
        </w:rPr>
        <w:t>@qq.com。电子加密投标文件在规定时间内解密成功的，电子备份加密投标文件自动失效；如电子加密投标文件解密失败，则在评标现场启用电子备份加密投标文件。</w:t>
      </w:r>
    </w:p>
    <w:p w14:paraId="0C1C8D79">
      <w:pPr>
        <w:pStyle w:val="29"/>
        <w:spacing w:line="380" w:lineRule="atLeast"/>
        <w:ind w:firstLine="480" w:firstLineChars="200"/>
        <w:jc w:val="left"/>
        <w:rPr>
          <w:rFonts w:hAnsi="宋体" w:cs="Times New Roman"/>
          <w:sz w:val="24"/>
          <w:szCs w:val="24"/>
        </w:rPr>
      </w:pPr>
      <w:r>
        <w:rPr>
          <w:rFonts w:hAnsi="宋体" w:cs="Times New Roman"/>
          <w:sz w:val="24"/>
          <w:szCs w:val="24"/>
        </w:rPr>
        <w:t>13.投标文件的备选方案</w:t>
      </w:r>
    </w:p>
    <w:p w14:paraId="63A962F4">
      <w:pPr>
        <w:pStyle w:val="29"/>
        <w:spacing w:line="380" w:lineRule="atLeast"/>
        <w:ind w:firstLine="480" w:firstLineChars="200"/>
        <w:jc w:val="left"/>
        <w:rPr>
          <w:rFonts w:hAnsi="宋体" w:cs="Times New Roman"/>
          <w:sz w:val="24"/>
          <w:szCs w:val="24"/>
        </w:rPr>
      </w:pPr>
      <w:r>
        <w:rPr>
          <w:rFonts w:hAnsi="宋体" w:cs="Times New Roman"/>
          <w:sz w:val="24"/>
          <w:szCs w:val="24"/>
        </w:rPr>
        <w:t>13.1投标供应商不得递交任何的投标备选（替代）方案，否则其投标文件将作无效标处理。与“电子加密投标文件”同时生成的“备份投标文件”不是投标备选（替代）方案。</w:t>
      </w:r>
    </w:p>
    <w:p w14:paraId="108DB95E">
      <w:pPr>
        <w:pStyle w:val="29"/>
        <w:spacing w:line="380" w:lineRule="atLeast"/>
        <w:ind w:firstLine="480" w:firstLineChars="200"/>
        <w:jc w:val="left"/>
        <w:rPr>
          <w:rFonts w:hAnsi="宋体" w:cs="Times New Roman"/>
          <w:sz w:val="24"/>
          <w:szCs w:val="24"/>
        </w:rPr>
      </w:pPr>
      <w:r>
        <w:rPr>
          <w:rFonts w:hAnsi="宋体" w:cs="Times New Roman"/>
          <w:sz w:val="24"/>
          <w:szCs w:val="24"/>
        </w:rPr>
        <w:t>14.投标截止时间及投标地址（邮寄地址）</w:t>
      </w:r>
    </w:p>
    <w:p w14:paraId="03223804">
      <w:pPr>
        <w:pStyle w:val="29"/>
        <w:spacing w:line="380" w:lineRule="atLeast"/>
        <w:ind w:firstLine="480" w:firstLineChars="200"/>
        <w:jc w:val="left"/>
        <w:rPr>
          <w:rFonts w:hAnsi="宋体" w:cs="Times New Roman"/>
          <w:sz w:val="24"/>
          <w:szCs w:val="24"/>
        </w:rPr>
      </w:pPr>
      <w:r>
        <w:rPr>
          <w:rFonts w:hAnsi="宋体" w:cs="Times New Roman"/>
          <w:sz w:val="24"/>
          <w:szCs w:val="24"/>
        </w:rPr>
        <w:t>详见《第一章 招标公告》</w:t>
      </w:r>
    </w:p>
    <w:p w14:paraId="1B984ACE">
      <w:pPr>
        <w:pStyle w:val="29"/>
        <w:spacing w:line="380" w:lineRule="atLeast"/>
        <w:ind w:firstLine="480" w:firstLineChars="200"/>
        <w:jc w:val="left"/>
        <w:rPr>
          <w:rFonts w:hAnsi="宋体" w:cs="Times New Roman"/>
          <w:sz w:val="24"/>
          <w:szCs w:val="24"/>
        </w:rPr>
      </w:pPr>
      <w:r>
        <w:rPr>
          <w:rFonts w:hAnsi="宋体" w:cs="Times New Roman"/>
          <w:sz w:val="24"/>
          <w:szCs w:val="24"/>
        </w:rPr>
        <w:t>15.开标时间及开标地址</w:t>
      </w:r>
    </w:p>
    <w:p w14:paraId="124DCD2B">
      <w:pPr>
        <w:pStyle w:val="29"/>
        <w:spacing w:line="380" w:lineRule="atLeast"/>
        <w:ind w:firstLine="480" w:firstLineChars="200"/>
        <w:jc w:val="left"/>
        <w:rPr>
          <w:rFonts w:hAnsi="宋体"/>
          <w:b/>
          <w:sz w:val="24"/>
        </w:rPr>
      </w:pPr>
      <w:r>
        <w:rPr>
          <w:rFonts w:hAnsi="宋体" w:cs="Times New Roman"/>
          <w:sz w:val="24"/>
          <w:szCs w:val="24"/>
        </w:rPr>
        <w:t>详见《第一章  招标公告》</w:t>
      </w:r>
      <w:bookmarkStart w:id="101" w:name="_Toc34919342"/>
      <w:bookmarkStart w:id="102" w:name="_Toc16331681"/>
      <w:bookmarkStart w:id="103" w:name="_Toc508641267"/>
      <w:bookmarkStart w:id="104" w:name="_Toc500113682"/>
      <w:bookmarkStart w:id="105" w:name="_Toc16331535"/>
      <w:bookmarkStart w:id="106" w:name="_Toc481227872"/>
      <w:bookmarkStart w:id="107" w:name="_Toc519014199"/>
      <w:bookmarkStart w:id="108" w:name="_Toc465782678"/>
      <w:bookmarkStart w:id="109" w:name="_Toc34898312"/>
      <w:bookmarkStart w:id="110" w:name="_Toc481242811"/>
      <w:bookmarkStart w:id="111" w:name="_Toc274303233"/>
      <w:bookmarkStart w:id="112" w:name="_Toc362250691"/>
      <w:bookmarkStart w:id="113" w:name="_Toc34830375"/>
      <w:bookmarkStart w:id="114" w:name="_Toc33098464"/>
    </w:p>
    <w:p w14:paraId="3F04C372">
      <w:pPr>
        <w:spacing w:line="380" w:lineRule="atLeast"/>
        <w:jc w:val="center"/>
        <w:rPr>
          <w:rFonts w:ascii="宋体" w:hAnsi="宋体"/>
          <w:b/>
          <w:bCs/>
          <w:sz w:val="24"/>
        </w:rPr>
      </w:pPr>
      <w:r>
        <w:rPr>
          <w:rFonts w:hint="eastAsia" w:ascii="宋体" w:hAnsi="宋体"/>
          <w:b/>
          <w:sz w:val="24"/>
        </w:rPr>
        <w:t>五、</w:t>
      </w:r>
      <w:r>
        <w:rPr>
          <w:rFonts w:ascii="宋体" w:hAnsi="宋体"/>
          <w:b/>
          <w:sz w:val="24"/>
        </w:rPr>
        <w:t>其它</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Start w:id="115" w:name="_Toc18349"/>
      <w:bookmarkStart w:id="116" w:name="_Toc274303234"/>
    </w:p>
    <w:p w14:paraId="5F2AA6C2">
      <w:pPr>
        <w:spacing w:line="460" w:lineRule="exact"/>
        <w:ind w:firstLine="482" w:firstLineChars="200"/>
        <w:rPr>
          <w:rFonts w:ascii="宋体" w:hAnsi="宋体"/>
          <w:kern w:val="0"/>
          <w:sz w:val="24"/>
        </w:rPr>
      </w:pPr>
      <w:r>
        <w:rPr>
          <w:rFonts w:hint="eastAsia" w:cs="宋体"/>
          <w:b/>
          <w:sz w:val="24"/>
        </w:rPr>
        <w:t>1.本项目虽涉及</w:t>
      </w:r>
      <w:r>
        <w:rPr>
          <w:rFonts w:hint="eastAsia" w:cs="宋体"/>
          <w:sz w:val="24"/>
        </w:rPr>
        <w:t>衢州市发展和改革委员会、 衢州市柯城区发展和改革局、衢州市衢江区发展和改革局、江山市经济和信息化局、常山县经济和信息化局、开化县发展和改革局、龙游县经济和信息化局</w:t>
      </w:r>
      <w:r>
        <w:rPr>
          <w:rFonts w:hint="eastAsia" w:cs="宋体"/>
          <w:b/>
          <w:sz w:val="24"/>
        </w:rPr>
        <w:t>等七个单位，但为一个不可分割的整体，因此，本项目采用联合招标方式，中标人按照中标价的</w:t>
      </w:r>
      <w:r>
        <w:rPr>
          <w:rFonts w:ascii="宋体" w:hAnsi="宋体"/>
          <w:kern w:val="0"/>
          <w:sz w:val="24"/>
        </w:rPr>
        <w:t>16.67</w:t>
      </w:r>
      <w:r>
        <w:rPr>
          <w:rFonts w:hint="eastAsia" w:ascii="宋体" w:hAnsi="宋体"/>
          <w:kern w:val="0"/>
          <w:sz w:val="24"/>
        </w:rPr>
        <w:t>：</w:t>
      </w:r>
      <w:r>
        <w:rPr>
          <w:rFonts w:ascii="宋体" w:hAnsi="宋体"/>
          <w:kern w:val="0"/>
          <w:sz w:val="24"/>
        </w:rPr>
        <w:t>11.67</w:t>
      </w:r>
      <w:r>
        <w:rPr>
          <w:rFonts w:hint="eastAsia" w:ascii="宋体" w:hAnsi="宋体"/>
          <w:kern w:val="0"/>
          <w:sz w:val="24"/>
        </w:rPr>
        <w:t>：</w:t>
      </w:r>
      <w:r>
        <w:rPr>
          <w:rFonts w:ascii="宋体" w:hAnsi="宋体"/>
          <w:kern w:val="0"/>
          <w:sz w:val="24"/>
        </w:rPr>
        <w:t>13.33</w:t>
      </w:r>
      <w:r>
        <w:rPr>
          <w:rFonts w:hint="eastAsia" w:ascii="宋体" w:hAnsi="宋体"/>
          <w:kern w:val="0"/>
          <w:sz w:val="24"/>
        </w:rPr>
        <w:t>：</w:t>
      </w:r>
      <w:r>
        <w:rPr>
          <w:rFonts w:ascii="宋体" w:hAnsi="宋体"/>
          <w:kern w:val="0"/>
          <w:sz w:val="24"/>
        </w:rPr>
        <w:t>21.66</w:t>
      </w:r>
      <w:r>
        <w:rPr>
          <w:rFonts w:hint="eastAsia" w:ascii="宋体" w:hAnsi="宋体"/>
          <w:kern w:val="0"/>
          <w:sz w:val="24"/>
        </w:rPr>
        <w:t>：</w:t>
      </w:r>
      <w:r>
        <w:rPr>
          <w:rFonts w:ascii="宋体" w:hAnsi="宋体"/>
          <w:kern w:val="0"/>
          <w:sz w:val="24"/>
        </w:rPr>
        <w:t>11.67</w:t>
      </w:r>
      <w:r>
        <w:rPr>
          <w:rFonts w:hint="eastAsia" w:ascii="宋体" w:hAnsi="宋体"/>
          <w:kern w:val="0"/>
          <w:sz w:val="24"/>
        </w:rPr>
        <w:t>：</w:t>
      </w:r>
      <w:r>
        <w:rPr>
          <w:rFonts w:ascii="宋体" w:hAnsi="宋体"/>
          <w:kern w:val="0"/>
          <w:sz w:val="24"/>
        </w:rPr>
        <w:t>11.67</w:t>
      </w:r>
      <w:r>
        <w:rPr>
          <w:rFonts w:hint="eastAsia" w:ascii="宋体" w:hAnsi="宋体"/>
          <w:kern w:val="0"/>
          <w:sz w:val="24"/>
        </w:rPr>
        <w:t>：</w:t>
      </w:r>
      <w:r>
        <w:rPr>
          <w:rFonts w:ascii="宋体" w:hAnsi="宋体"/>
          <w:kern w:val="0"/>
          <w:sz w:val="24"/>
        </w:rPr>
        <w:t>13.33</w:t>
      </w:r>
      <w:r>
        <w:rPr>
          <w:rFonts w:hint="eastAsia" w:ascii="宋体" w:hAnsi="宋体"/>
          <w:kern w:val="0"/>
          <w:sz w:val="24"/>
        </w:rPr>
        <w:t>分别与衢州市发展和改革委员会、 衢州市柯城区发展和改革局、衢州市衢江区发展和改革局、江山市经济和信息化局、常山县经济和信息化局、开化县发展和改革局、龙游县经济和信息化局签订合同（注：以上支付服务费计算比例及合同金额最终以合同签订时为准）。</w:t>
      </w:r>
    </w:p>
    <w:p w14:paraId="77418F11">
      <w:pPr>
        <w:pStyle w:val="221"/>
        <w:keepNext w:val="0"/>
        <w:keepLines w:val="0"/>
        <w:spacing w:before="0" w:after="0" w:line="500" w:lineRule="exact"/>
        <w:ind w:firstLine="480" w:firstLineChars="200"/>
        <w:jc w:val="left"/>
        <w:outlineLvl w:val="9"/>
        <w:rPr>
          <w:rFonts w:eastAsia="宋体"/>
          <w:bCs w:val="0"/>
          <w:sz w:val="30"/>
          <w:szCs w:val="30"/>
        </w:rPr>
        <w:sectPr>
          <w:headerReference r:id="rId11" w:type="default"/>
          <w:footerReference r:id="rId12" w:type="default"/>
          <w:pgSz w:w="11906" w:h="16840"/>
          <w:pgMar w:top="1440" w:right="1128" w:bottom="1701" w:left="1276" w:header="851" w:footer="992" w:gutter="0"/>
          <w:cols w:space="720" w:num="1"/>
          <w:docGrid w:linePitch="312" w:charSpace="0"/>
        </w:sectPr>
      </w:pPr>
      <w:r>
        <w:rPr>
          <w:rFonts w:hint="eastAsia" w:eastAsia="宋体" w:cs="宋体"/>
          <w:b w:val="0"/>
          <w:sz w:val="24"/>
        </w:rPr>
        <w:t>2.本采购文件解释权归采购人。</w:t>
      </w:r>
      <w:bookmarkStart w:id="117" w:name="_Toc34919343"/>
      <w:bookmarkStart w:id="118" w:name="_Toc465782679"/>
      <w:bookmarkStart w:id="119" w:name="_Toc481227873"/>
      <w:bookmarkStart w:id="120" w:name="_Toc481242812"/>
      <w:bookmarkStart w:id="121" w:name="_Toc519014200"/>
    </w:p>
    <w:p w14:paraId="7E548D0F">
      <w:pPr>
        <w:pStyle w:val="221"/>
        <w:keepNext w:val="0"/>
        <w:keepLines w:val="0"/>
        <w:spacing w:before="0" w:after="0" w:line="500" w:lineRule="exact"/>
        <w:ind w:firstLine="723" w:firstLineChars="200"/>
        <w:outlineLvl w:val="0"/>
        <w:rPr>
          <w:rFonts w:eastAsia="宋体"/>
          <w:bCs w:val="0"/>
          <w:sz w:val="30"/>
          <w:szCs w:val="30"/>
        </w:rPr>
      </w:pPr>
      <w:bookmarkStart w:id="122" w:name="_Toc4534"/>
      <w:r>
        <w:rPr>
          <w:rFonts w:eastAsia="宋体"/>
          <w:kern w:val="44"/>
        </w:rPr>
        <w:t>第三章 招标项目要求</w:t>
      </w:r>
      <w:bookmarkEnd w:id="115"/>
      <w:bookmarkEnd w:id="116"/>
      <w:bookmarkEnd w:id="117"/>
      <w:bookmarkEnd w:id="118"/>
      <w:bookmarkEnd w:id="119"/>
      <w:bookmarkEnd w:id="120"/>
      <w:bookmarkEnd w:id="121"/>
      <w:bookmarkEnd w:id="122"/>
      <w:bookmarkStart w:id="123" w:name="_Toc240902091"/>
    </w:p>
    <w:bookmarkEnd w:id="123"/>
    <w:p w14:paraId="000BAAE7">
      <w:pPr>
        <w:spacing w:line="240" w:lineRule="auto"/>
        <w:ind w:left="992" w:hanging="567"/>
        <w:rPr>
          <w:rFonts w:ascii="宋体" w:hAnsi="宋体"/>
          <w:b/>
          <w:bCs/>
          <w:sz w:val="24"/>
        </w:rPr>
      </w:pPr>
      <w:bookmarkStart w:id="124" w:name="_Toc519014247"/>
      <w:bookmarkStart w:id="125" w:name="_Toc34919371"/>
      <w:bookmarkStart w:id="126" w:name="_Toc274303251"/>
      <w:bookmarkStart w:id="127" w:name="_Toc465782680"/>
      <w:bookmarkStart w:id="128" w:name="_Toc25390"/>
      <w:bookmarkStart w:id="129" w:name="_Toc226973000"/>
      <w:r>
        <w:rPr>
          <w:rFonts w:hint="eastAsia" w:ascii="宋体" w:hAnsi="宋体"/>
          <w:b/>
          <w:bCs/>
          <w:sz w:val="24"/>
        </w:rPr>
        <w:t>一、项目采购概况</w:t>
      </w:r>
    </w:p>
    <w:tbl>
      <w:tblPr>
        <w:tblStyle w:val="55"/>
        <w:tblW w:w="5543" w:type="pct"/>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5"/>
        <w:gridCol w:w="4214"/>
        <w:gridCol w:w="2060"/>
        <w:gridCol w:w="2323"/>
        <w:gridCol w:w="1211"/>
      </w:tblGrid>
      <w:tr w14:paraId="6CE3E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14:paraId="52EAAE79">
            <w:pPr>
              <w:spacing w:line="24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标项</w:t>
            </w:r>
          </w:p>
        </w:tc>
        <w:tc>
          <w:tcPr>
            <w:tcW w:w="1956" w:type="pct"/>
            <w:vAlign w:val="center"/>
          </w:tcPr>
          <w:p w14:paraId="0CCC1843">
            <w:pPr>
              <w:spacing w:line="24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标项内容</w:t>
            </w:r>
          </w:p>
        </w:tc>
        <w:tc>
          <w:tcPr>
            <w:tcW w:w="956" w:type="pct"/>
            <w:vAlign w:val="center"/>
          </w:tcPr>
          <w:p w14:paraId="4AEC8418">
            <w:pPr>
              <w:spacing w:line="24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数量</w:t>
            </w:r>
          </w:p>
        </w:tc>
        <w:tc>
          <w:tcPr>
            <w:tcW w:w="1078" w:type="pct"/>
            <w:vAlign w:val="center"/>
          </w:tcPr>
          <w:p w14:paraId="5B034BFD">
            <w:pPr>
              <w:spacing w:line="24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采购预算(最高限价)(万元)</w:t>
            </w:r>
          </w:p>
        </w:tc>
        <w:tc>
          <w:tcPr>
            <w:tcW w:w="562" w:type="pct"/>
            <w:vAlign w:val="center"/>
          </w:tcPr>
          <w:p w14:paraId="695A8C89">
            <w:pPr>
              <w:spacing w:line="24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备注</w:t>
            </w:r>
          </w:p>
        </w:tc>
      </w:tr>
      <w:tr w14:paraId="3C468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448" w:type="pct"/>
            <w:vAlign w:val="center"/>
          </w:tcPr>
          <w:p w14:paraId="27B25142">
            <w:pPr>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956" w:type="pct"/>
            <w:vAlign w:val="center"/>
          </w:tcPr>
          <w:p w14:paraId="1D798E11">
            <w:pPr>
              <w:snapToGrid w:val="0"/>
              <w:spacing w:line="240" w:lineRule="auto"/>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衢州市冻猪肉储备政府购买服务项目（三次）</w:t>
            </w:r>
          </w:p>
        </w:tc>
        <w:tc>
          <w:tcPr>
            <w:tcW w:w="956" w:type="pct"/>
            <w:vAlign w:val="center"/>
          </w:tcPr>
          <w:p w14:paraId="75E5BB3C">
            <w:pPr>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1项</w:t>
            </w:r>
          </w:p>
        </w:tc>
        <w:tc>
          <w:tcPr>
            <w:tcW w:w="1078" w:type="pct"/>
            <w:tcBorders>
              <w:bottom w:val="single" w:color="auto" w:sz="4" w:space="0"/>
            </w:tcBorders>
            <w:vAlign w:val="center"/>
          </w:tcPr>
          <w:p w14:paraId="0B4546DE">
            <w:pPr>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180</w:t>
            </w:r>
          </w:p>
        </w:tc>
        <w:tc>
          <w:tcPr>
            <w:tcW w:w="562" w:type="pct"/>
            <w:tcBorders>
              <w:bottom w:val="single" w:color="auto" w:sz="4" w:space="0"/>
            </w:tcBorders>
            <w:vAlign w:val="center"/>
          </w:tcPr>
          <w:p w14:paraId="7E9B5D12">
            <w:pPr>
              <w:spacing w:line="240" w:lineRule="auto"/>
              <w:jc w:val="left"/>
              <w:rPr>
                <w:rFonts w:asciiTheme="minorEastAsia" w:hAnsiTheme="minorEastAsia" w:eastAsiaTheme="minorEastAsia"/>
                <w:sz w:val="24"/>
              </w:rPr>
            </w:pPr>
          </w:p>
        </w:tc>
      </w:tr>
    </w:tbl>
    <w:p w14:paraId="2065087F">
      <w:pPr>
        <w:spacing w:line="240" w:lineRule="auto"/>
        <w:ind w:firstLine="482" w:firstLineChars="200"/>
        <w:jc w:val="left"/>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二、本项目采购背景</w:t>
      </w:r>
    </w:p>
    <w:p w14:paraId="3BE8AC5B">
      <w:pPr>
        <w:spacing w:line="240" w:lineRule="auto"/>
        <w:ind w:firstLine="480" w:firstLineChars="200"/>
        <w:rPr>
          <w:rFonts w:ascii="宋体" w:hAnsi="宋体" w:cs="宋体"/>
          <w:bCs/>
          <w:sz w:val="24"/>
        </w:rPr>
      </w:pPr>
      <w:r>
        <w:rPr>
          <w:rFonts w:hint="eastAsia" w:ascii="宋体" w:hAnsi="宋体" w:cs="宋体"/>
          <w:bCs/>
          <w:sz w:val="24"/>
        </w:rPr>
        <w:t>按照《浙江省省级猪肉储备管理办法》、</w:t>
      </w:r>
      <w:r>
        <w:rPr>
          <w:rFonts w:hint="eastAsia" w:asciiTheme="minorEastAsia" w:hAnsiTheme="minorEastAsia" w:eastAsiaTheme="minorEastAsia" w:cstheme="minorEastAsia"/>
          <w:sz w:val="24"/>
        </w:rPr>
        <w:t>《衢州市防治动物疫病指挥部关于进一步加强非洲猪瘟防控稳定生猪生产保障市场供应的通知》</w:t>
      </w:r>
      <w:r>
        <w:rPr>
          <w:rFonts w:hint="eastAsia" w:ascii="宋体" w:hAnsi="宋体" w:cs="宋体"/>
          <w:bCs/>
          <w:sz w:val="24"/>
        </w:rPr>
        <w:t>文件精神，衢州市</w:t>
      </w:r>
      <w:r>
        <w:rPr>
          <w:rFonts w:hint="eastAsia"/>
          <w:sz w:val="24"/>
        </w:rPr>
        <w:t>为</w:t>
      </w:r>
      <w:r>
        <w:rPr>
          <w:sz w:val="24"/>
        </w:rPr>
        <w:t>进一步加强</w:t>
      </w:r>
      <w:r>
        <w:rPr>
          <w:rFonts w:hint="eastAsia"/>
          <w:sz w:val="24"/>
        </w:rPr>
        <w:t>全市冻猪肉</w:t>
      </w:r>
      <w:r>
        <w:rPr>
          <w:sz w:val="24"/>
        </w:rPr>
        <w:t>储备管理，确保储备</w:t>
      </w:r>
      <w:r>
        <w:rPr>
          <w:rFonts w:hint="eastAsia"/>
          <w:sz w:val="24"/>
        </w:rPr>
        <w:t>肉</w:t>
      </w:r>
      <w:r>
        <w:rPr>
          <w:sz w:val="24"/>
        </w:rPr>
        <w:t>数量真实、质量合格和储存安全，做到储得进、管得好、调得动、用得上，有效发挥其应急保供作用</w:t>
      </w:r>
      <w:r>
        <w:rPr>
          <w:rFonts w:hint="eastAsia" w:ascii="宋体" w:hAnsi="宋体" w:cs="宋体"/>
          <w:bCs/>
          <w:sz w:val="24"/>
        </w:rPr>
        <w:t>，</w:t>
      </w:r>
      <w:r>
        <w:rPr>
          <w:rFonts w:hint="eastAsia" w:asciiTheme="minorEastAsia" w:hAnsiTheme="minorEastAsia" w:eastAsiaTheme="minorEastAsia" w:cstheme="minorEastAsia"/>
          <w:sz w:val="24"/>
        </w:rPr>
        <w:t>特组织衢州市本级与各县（市、区）联合对“冻猪肉储备政府购买服务项目</w:t>
      </w:r>
      <w:r>
        <w:rPr>
          <w:rFonts w:asciiTheme="minorEastAsia" w:hAnsiTheme="minorEastAsia" w:eastAsiaTheme="minorEastAsia" w:cstheme="minorEastAsia"/>
          <w:sz w:val="24"/>
        </w:rPr>
        <w:t>”</w:t>
      </w:r>
      <w:r>
        <w:rPr>
          <w:rFonts w:hint="eastAsia" w:ascii="宋体" w:hAnsi="宋体" w:cs="宋体"/>
          <w:bCs/>
          <w:sz w:val="24"/>
        </w:rPr>
        <w:t>采用公开招标方式确定一家固定承储服务单位，提供全市冻猪肉政府储备服务。</w:t>
      </w:r>
    </w:p>
    <w:p w14:paraId="04F5F08F">
      <w:pPr>
        <w:spacing w:line="240" w:lineRule="auto"/>
        <w:ind w:firstLine="482" w:firstLineChars="200"/>
        <w:jc w:val="left"/>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三、采购需求</w:t>
      </w:r>
    </w:p>
    <w:p w14:paraId="319F240F">
      <w:pPr>
        <w:adjustRightInd w:val="0"/>
        <w:snapToGrid w:val="0"/>
        <w:spacing w:line="24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（一）项目采购内容</w:t>
      </w:r>
    </w:p>
    <w:p w14:paraId="5C3C23D3">
      <w:pPr>
        <w:adjustRightInd w:val="0"/>
        <w:snapToGrid w:val="0"/>
        <w:spacing w:line="24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1.</w:t>
      </w:r>
      <w:r>
        <w:rPr>
          <w:rFonts w:hint="eastAsia" w:asciiTheme="minorEastAsia" w:hAnsiTheme="minorEastAsia" w:eastAsiaTheme="minorEastAsia" w:cstheme="minorEastAsia"/>
          <w:sz w:val="24"/>
        </w:rPr>
        <w:t>采购主要内容：</w:t>
      </w:r>
    </w:p>
    <w:p w14:paraId="6DDC0165">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承储计划：包括市本级、柯城区、衢江区、江山市、常山县、开化县、龙游县共七个地区的共</w:t>
      </w:r>
      <w:r>
        <w:rPr>
          <w:rFonts w:hint="eastAsia" w:asciiTheme="minorEastAsia" w:hAnsiTheme="minorEastAsia" w:eastAsiaTheme="minorEastAsia" w:cstheme="minorEastAsia"/>
          <w:sz w:val="24"/>
          <w:u w:val="single"/>
        </w:rPr>
        <w:t>600</w:t>
      </w:r>
      <w:r>
        <w:rPr>
          <w:rFonts w:hint="eastAsia" w:asciiTheme="minorEastAsia" w:hAnsiTheme="minorEastAsia" w:eastAsiaTheme="minorEastAsia" w:cstheme="minorEastAsia"/>
          <w:sz w:val="24"/>
        </w:rPr>
        <w:t>吨冻猪肉储备。本项目共分一个标项采购：</w:t>
      </w:r>
    </w:p>
    <w:tbl>
      <w:tblPr>
        <w:tblStyle w:val="5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985"/>
        <w:gridCol w:w="1559"/>
        <w:gridCol w:w="1984"/>
        <w:gridCol w:w="3261"/>
      </w:tblGrid>
      <w:tr w14:paraId="33C3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14:paraId="66BE343E">
            <w:pPr>
              <w:tabs>
                <w:tab w:val="left" w:pos="680"/>
                <w:tab w:val="left" w:pos="840"/>
              </w:tabs>
              <w:spacing w:line="24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1985" w:type="dxa"/>
            <w:vAlign w:val="center"/>
          </w:tcPr>
          <w:p w14:paraId="7FEBC0AC">
            <w:pPr>
              <w:tabs>
                <w:tab w:val="left" w:pos="680"/>
                <w:tab w:val="left" w:pos="840"/>
              </w:tabs>
              <w:spacing w:line="24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标项内容</w:t>
            </w:r>
          </w:p>
        </w:tc>
        <w:tc>
          <w:tcPr>
            <w:tcW w:w="1559" w:type="dxa"/>
            <w:vAlign w:val="center"/>
          </w:tcPr>
          <w:p w14:paraId="1CE2DE1B">
            <w:pPr>
              <w:tabs>
                <w:tab w:val="left" w:pos="680"/>
                <w:tab w:val="left" w:pos="840"/>
              </w:tabs>
              <w:spacing w:line="24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储备数量</w:t>
            </w:r>
          </w:p>
        </w:tc>
        <w:tc>
          <w:tcPr>
            <w:tcW w:w="1984" w:type="dxa"/>
            <w:vAlign w:val="center"/>
          </w:tcPr>
          <w:p w14:paraId="636E73C4">
            <w:pPr>
              <w:tabs>
                <w:tab w:val="left" w:pos="680"/>
                <w:tab w:val="left" w:pos="840"/>
              </w:tabs>
              <w:spacing w:line="24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储备周期</w:t>
            </w:r>
          </w:p>
        </w:tc>
        <w:tc>
          <w:tcPr>
            <w:tcW w:w="3261" w:type="dxa"/>
            <w:vAlign w:val="center"/>
          </w:tcPr>
          <w:p w14:paraId="7BDAAE55">
            <w:pPr>
              <w:tabs>
                <w:tab w:val="left" w:pos="680"/>
                <w:tab w:val="left" w:pos="840"/>
              </w:tabs>
              <w:spacing w:line="24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备注</w:t>
            </w:r>
          </w:p>
        </w:tc>
      </w:tr>
      <w:tr w14:paraId="3C9A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14:paraId="248737AA">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985" w:type="dxa"/>
            <w:vAlign w:val="center"/>
          </w:tcPr>
          <w:p w14:paraId="66D7C077">
            <w:pPr>
              <w:spacing w:line="240" w:lineRule="auto"/>
              <w:jc w:val="center"/>
              <w:rPr>
                <w:rFonts w:asciiTheme="minorEastAsia" w:hAnsiTheme="minorEastAsia" w:eastAsiaTheme="minorEastAsia" w:cstheme="minorEastAsia"/>
                <w:sz w:val="24"/>
              </w:rPr>
            </w:pPr>
            <w:r>
              <w:rPr>
                <w:rFonts w:hint="eastAsia" w:cs="宋体" w:asciiTheme="minorEastAsia" w:hAnsiTheme="minorEastAsia" w:eastAsiaTheme="minorEastAsia"/>
                <w:kern w:val="0"/>
                <w:sz w:val="24"/>
              </w:rPr>
              <w:t>市本级</w:t>
            </w:r>
            <w:r>
              <w:rPr>
                <w:rFonts w:hint="eastAsia" w:asciiTheme="minorEastAsia" w:hAnsiTheme="minorEastAsia" w:eastAsiaTheme="minorEastAsia" w:cstheme="minorEastAsia"/>
                <w:sz w:val="24"/>
              </w:rPr>
              <w:t>冻猪</w:t>
            </w:r>
          </w:p>
          <w:p w14:paraId="07F841A5">
            <w:pPr>
              <w:spacing w:line="240" w:lineRule="auto"/>
              <w:jc w:val="center"/>
              <w:rPr>
                <w:rFonts w:cs="宋体" w:asciiTheme="minorEastAsia" w:hAnsiTheme="minorEastAsia" w:eastAsiaTheme="minorEastAsia"/>
                <w:sz w:val="24"/>
              </w:rPr>
            </w:pPr>
            <w:r>
              <w:rPr>
                <w:rFonts w:hint="eastAsia" w:asciiTheme="minorEastAsia" w:hAnsiTheme="minorEastAsia" w:eastAsiaTheme="minorEastAsia" w:cstheme="minorEastAsia"/>
                <w:sz w:val="24"/>
              </w:rPr>
              <w:t>肉储备</w:t>
            </w:r>
          </w:p>
        </w:tc>
        <w:tc>
          <w:tcPr>
            <w:tcW w:w="1559" w:type="dxa"/>
            <w:vAlign w:val="center"/>
          </w:tcPr>
          <w:p w14:paraId="27CF6D1C">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100吨</w:t>
            </w:r>
          </w:p>
        </w:tc>
        <w:tc>
          <w:tcPr>
            <w:tcW w:w="1984" w:type="dxa"/>
            <w:vAlign w:val="center"/>
          </w:tcPr>
          <w:p w14:paraId="64A7B7C9">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暂定1年（1</w:t>
            </w:r>
            <w:r>
              <w:rPr>
                <w:rFonts w:cs="宋体" w:asciiTheme="minorEastAsia" w:hAnsiTheme="minorEastAsia" w:eastAsiaTheme="minorEastAsia"/>
                <w:sz w:val="24"/>
              </w:rPr>
              <w:t>2</w:t>
            </w:r>
            <w:r>
              <w:rPr>
                <w:rFonts w:hint="eastAsia" w:cs="宋体" w:asciiTheme="minorEastAsia" w:hAnsiTheme="minorEastAsia" w:eastAsiaTheme="minorEastAsia"/>
                <w:sz w:val="24"/>
              </w:rPr>
              <w:t>个月）</w:t>
            </w:r>
          </w:p>
        </w:tc>
        <w:tc>
          <w:tcPr>
            <w:tcW w:w="3261" w:type="dxa"/>
            <w:vMerge w:val="restart"/>
            <w:vAlign w:val="center"/>
          </w:tcPr>
          <w:p w14:paraId="0E3393E4">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服务期限：本项目储备周期为1年（12个月），中标后根据各县（市，区）的储备计划作适当调整。储备冷库地点为</w:t>
            </w:r>
          </w:p>
          <w:p w14:paraId="7A79BDF0">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省内。</w:t>
            </w:r>
          </w:p>
        </w:tc>
      </w:tr>
      <w:tr w14:paraId="71A3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14:paraId="453F6289">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985" w:type="dxa"/>
            <w:vAlign w:val="center"/>
          </w:tcPr>
          <w:p w14:paraId="539386E7">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柯城区冻猪</w:t>
            </w:r>
          </w:p>
          <w:p w14:paraId="4F12272F">
            <w:pPr>
              <w:spacing w:line="240" w:lineRule="auto"/>
              <w:jc w:val="center"/>
              <w:rPr>
                <w:rFonts w:cs="宋体" w:asciiTheme="minorEastAsia" w:hAnsiTheme="minorEastAsia" w:eastAsiaTheme="minorEastAsia"/>
                <w:sz w:val="24"/>
              </w:rPr>
            </w:pPr>
            <w:r>
              <w:rPr>
                <w:rFonts w:hint="eastAsia" w:asciiTheme="minorEastAsia" w:hAnsiTheme="minorEastAsia" w:eastAsiaTheme="minorEastAsia" w:cstheme="minorEastAsia"/>
                <w:sz w:val="24"/>
              </w:rPr>
              <w:t>肉储备</w:t>
            </w:r>
          </w:p>
        </w:tc>
        <w:tc>
          <w:tcPr>
            <w:tcW w:w="1559" w:type="dxa"/>
            <w:vAlign w:val="center"/>
          </w:tcPr>
          <w:p w14:paraId="265852C6">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70吨</w:t>
            </w:r>
          </w:p>
        </w:tc>
        <w:tc>
          <w:tcPr>
            <w:tcW w:w="1984" w:type="dxa"/>
            <w:vAlign w:val="center"/>
          </w:tcPr>
          <w:p w14:paraId="57F3900F">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暂定1年（1</w:t>
            </w:r>
            <w:r>
              <w:rPr>
                <w:rFonts w:cs="宋体" w:asciiTheme="minorEastAsia" w:hAnsiTheme="minorEastAsia" w:eastAsiaTheme="minorEastAsia"/>
                <w:sz w:val="24"/>
              </w:rPr>
              <w:t>2</w:t>
            </w:r>
            <w:r>
              <w:rPr>
                <w:rFonts w:hint="eastAsia" w:cs="宋体" w:asciiTheme="minorEastAsia" w:hAnsiTheme="minorEastAsia" w:eastAsiaTheme="minorEastAsia"/>
                <w:sz w:val="24"/>
              </w:rPr>
              <w:t>个月）</w:t>
            </w:r>
          </w:p>
        </w:tc>
        <w:tc>
          <w:tcPr>
            <w:tcW w:w="3261" w:type="dxa"/>
            <w:vMerge w:val="continue"/>
            <w:vAlign w:val="center"/>
          </w:tcPr>
          <w:p w14:paraId="6D8D41F0">
            <w:pPr>
              <w:tabs>
                <w:tab w:val="left" w:pos="680"/>
                <w:tab w:val="left" w:pos="840"/>
              </w:tabs>
              <w:spacing w:line="240" w:lineRule="auto"/>
              <w:jc w:val="center"/>
              <w:rPr>
                <w:rFonts w:cs="宋体" w:asciiTheme="minorEastAsia" w:hAnsiTheme="minorEastAsia" w:eastAsiaTheme="minorEastAsia"/>
                <w:sz w:val="24"/>
              </w:rPr>
            </w:pPr>
          </w:p>
        </w:tc>
      </w:tr>
      <w:tr w14:paraId="4BBD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14:paraId="436155E5">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985" w:type="dxa"/>
            <w:vAlign w:val="center"/>
          </w:tcPr>
          <w:p w14:paraId="054AF5C7">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衢江区冻猪</w:t>
            </w:r>
          </w:p>
          <w:p w14:paraId="56CCB2EC">
            <w:pPr>
              <w:spacing w:line="240" w:lineRule="auto"/>
              <w:jc w:val="center"/>
              <w:rPr>
                <w:rFonts w:cs="宋体" w:asciiTheme="minorEastAsia" w:hAnsiTheme="minorEastAsia" w:eastAsiaTheme="minorEastAsia"/>
                <w:kern w:val="0"/>
                <w:sz w:val="24"/>
              </w:rPr>
            </w:pPr>
            <w:r>
              <w:rPr>
                <w:rFonts w:hint="eastAsia" w:asciiTheme="minorEastAsia" w:hAnsiTheme="minorEastAsia" w:eastAsiaTheme="minorEastAsia" w:cstheme="minorEastAsia"/>
                <w:sz w:val="24"/>
              </w:rPr>
              <w:t>肉储备</w:t>
            </w:r>
          </w:p>
        </w:tc>
        <w:tc>
          <w:tcPr>
            <w:tcW w:w="1559" w:type="dxa"/>
            <w:vAlign w:val="center"/>
          </w:tcPr>
          <w:p w14:paraId="333491CF">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80吨</w:t>
            </w:r>
          </w:p>
        </w:tc>
        <w:tc>
          <w:tcPr>
            <w:tcW w:w="1984" w:type="dxa"/>
            <w:vAlign w:val="center"/>
          </w:tcPr>
          <w:p w14:paraId="043C8E11">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暂定1年（1</w:t>
            </w:r>
            <w:r>
              <w:rPr>
                <w:rFonts w:cs="宋体" w:asciiTheme="minorEastAsia" w:hAnsiTheme="minorEastAsia" w:eastAsiaTheme="minorEastAsia"/>
                <w:sz w:val="24"/>
              </w:rPr>
              <w:t>2</w:t>
            </w:r>
            <w:r>
              <w:rPr>
                <w:rFonts w:hint="eastAsia" w:cs="宋体" w:asciiTheme="minorEastAsia" w:hAnsiTheme="minorEastAsia" w:eastAsiaTheme="minorEastAsia"/>
                <w:sz w:val="24"/>
              </w:rPr>
              <w:t>个月）</w:t>
            </w:r>
          </w:p>
        </w:tc>
        <w:tc>
          <w:tcPr>
            <w:tcW w:w="3261" w:type="dxa"/>
            <w:vMerge w:val="continue"/>
            <w:vAlign w:val="center"/>
          </w:tcPr>
          <w:p w14:paraId="5A525A78">
            <w:pPr>
              <w:tabs>
                <w:tab w:val="left" w:pos="680"/>
                <w:tab w:val="left" w:pos="840"/>
              </w:tabs>
              <w:spacing w:line="240" w:lineRule="auto"/>
              <w:jc w:val="center"/>
              <w:rPr>
                <w:rFonts w:cs="宋体" w:asciiTheme="minorEastAsia" w:hAnsiTheme="minorEastAsia" w:eastAsiaTheme="minorEastAsia"/>
                <w:sz w:val="24"/>
              </w:rPr>
            </w:pPr>
          </w:p>
        </w:tc>
      </w:tr>
      <w:tr w14:paraId="2174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14:paraId="4E7276A9">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985" w:type="dxa"/>
            <w:vAlign w:val="center"/>
          </w:tcPr>
          <w:p w14:paraId="2358F403">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江山市冻猪</w:t>
            </w:r>
          </w:p>
          <w:p w14:paraId="30219CD6">
            <w:pPr>
              <w:spacing w:line="240" w:lineRule="auto"/>
              <w:jc w:val="center"/>
              <w:rPr>
                <w:rFonts w:cs="宋体" w:asciiTheme="minorEastAsia" w:hAnsiTheme="minorEastAsia" w:eastAsiaTheme="minorEastAsia"/>
                <w:sz w:val="24"/>
              </w:rPr>
            </w:pPr>
            <w:r>
              <w:rPr>
                <w:rFonts w:hint="eastAsia" w:asciiTheme="minorEastAsia" w:hAnsiTheme="minorEastAsia" w:eastAsiaTheme="minorEastAsia" w:cstheme="minorEastAsia"/>
                <w:sz w:val="24"/>
              </w:rPr>
              <w:t>肉储备</w:t>
            </w:r>
          </w:p>
        </w:tc>
        <w:tc>
          <w:tcPr>
            <w:tcW w:w="1559" w:type="dxa"/>
            <w:vAlign w:val="center"/>
          </w:tcPr>
          <w:p w14:paraId="6FB2C2F8">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130吨</w:t>
            </w:r>
          </w:p>
        </w:tc>
        <w:tc>
          <w:tcPr>
            <w:tcW w:w="1984" w:type="dxa"/>
            <w:vAlign w:val="center"/>
          </w:tcPr>
          <w:p w14:paraId="3A624485">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暂定1年（1</w:t>
            </w:r>
            <w:r>
              <w:rPr>
                <w:rFonts w:cs="宋体" w:asciiTheme="minorEastAsia" w:hAnsiTheme="minorEastAsia" w:eastAsiaTheme="minorEastAsia"/>
                <w:sz w:val="24"/>
              </w:rPr>
              <w:t>2</w:t>
            </w:r>
            <w:r>
              <w:rPr>
                <w:rFonts w:hint="eastAsia" w:cs="宋体" w:asciiTheme="minorEastAsia" w:hAnsiTheme="minorEastAsia" w:eastAsiaTheme="minorEastAsia"/>
                <w:sz w:val="24"/>
              </w:rPr>
              <w:t>个月）</w:t>
            </w:r>
          </w:p>
        </w:tc>
        <w:tc>
          <w:tcPr>
            <w:tcW w:w="3261" w:type="dxa"/>
            <w:vMerge w:val="continue"/>
            <w:vAlign w:val="center"/>
          </w:tcPr>
          <w:p w14:paraId="61988D30">
            <w:pPr>
              <w:tabs>
                <w:tab w:val="left" w:pos="680"/>
                <w:tab w:val="left" w:pos="840"/>
              </w:tabs>
              <w:spacing w:line="240" w:lineRule="auto"/>
              <w:jc w:val="center"/>
              <w:rPr>
                <w:rFonts w:cs="宋体" w:asciiTheme="minorEastAsia" w:hAnsiTheme="minorEastAsia" w:eastAsiaTheme="minorEastAsia"/>
                <w:sz w:val="24"/>
              </w:rPr>
            </w:pPr>
          </w:p>
        </w:tc>
      </w:tr>
      <w:tr w14:paraId="1D0D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14:paraId="6C1C7A03">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985" w:type="dxa"/>
            <w:vAlign w:val="center"/>
          </w:tcPr>
          <w:p w14:paraId="7EC15007">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常山县冻猪</w:t>
            </w:r>
          </w:p>
          <w:p w14:paraId="5F53E3BE">
            <w:pPr>
              <w:spacing w:line="240" w:lineRule="auto"/>
              <w:jc w:val="center"/>
              <w:rPr>
                <w:rFonts w:cs="宋体" w:asciiTheme="minorEastAsia" w:hAnsiTheme="minorEastAsia" w:eastAsiaTheme="minorEastAsia"/>
                <w:kern w:val="0"/>
                <w:sz w:val="24"/>
              </w:rPr>
            </w:pPr>
            <w:r>
              <w:rPr>
                <w:rFonts w:hint="eastAsia" w:asciiTheme="minorEastAsia" w:hAnsiTheme="minorEastAsia" w:eastAsiaTheme="minorEastAsia" w:cstheme="minorEastAsia"/>
                <w:sz w:val="24"/>
              </w:rPr>
              <w:t>肉储备</w:t>
            </w:r>
          </w:p>
        </w:tc>
        <w:tc>
          <w:tcPr>
            <w:tcW w:w="1559" w:type="dxa"/>
            <w:vAlign w:val="center"/>
          </w:tcPr>
          <w:p w14:paraId="06B3F186">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70吨</w:t>
            </w:r>
          </w:p>
        </w:tc>
        <w:tc>
          <w:tcPr>
            <w:tcW w:w="1984" w:type="dxa"/>
            <w:vAlign w:val="center"/>
          </w:tcPr>
          <w:p w14:paraId="611F8A89">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暂定1年（1</w:t>
            </w:r>
            <w:r>
              <w:rPr>
                <w:rFonts w:cs="宋体" w:asciiTheme="minorEastAsia" w:hAnsiTheme="minorEastAsia" w:eastAsiaTheme="minorEastAsia"/>
                <w:sz w:val="24"/>
              </w:rPr>
              <w:t>2</w:t>
            </w:r>
            <w:r>
              <w:rPr>
                <w:rFonts w:hint="eastAsia" w:cs="宋体" w:asciiTheme="minorEastAsia" w:hAnsiTheme="minorEastAsia" w:eastAsiaTheme="minorEastAsia"/>
                <w:sz w:val="24"/>
              </w:rPr>
              <w:t>个月）</w:t>
            </w:r>
          </w:p>
        </w:tc>
        <w:tc>
          <w:tcPr>
            <w:tcW w:w="3261" w:type="dxa"/>
            <w:vMerge w:val="continue"/>
            <w:vAlign w:val="center"/>
          </w:tcPr>
          <w:p w14:paraId="65C420C3">
            <w:pPr>
              <w:tabs>
                <w:tab w:val="left" w:pos="680"/>
                <w:tab w:val="left" w:pos="840"/>
              </w:tabs>
              <w:spacing w:line="240" w:lineRule="auto"/>
              <w:jc w:val="center"/>
              <w:rPr>
                <w:rFonts w:cs="宋体" w:asciiTheme="minorEastAsia" w:hAnsiTheme="minorEastAsia" w:eastAsiaTheme="minorEastAsia"/>
                <w:sz w:val="24"/>
              </w:rPr>
            </w:pPr>
          </w:p>
        </w:tc>
      </w:tr>
      <w:tr w14:paraId="2394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14:paraId="1A7896E7">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985" w:type="dxa"/>
            <w:vAlign w:val="center"/>
          </w:tcPr>
          <w:p w14:paraId="5A5BE564">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开化县冻猪</w:t>
            </w:r>
          </w:p>
          <w:p w14:paraId="7D8D65D9">
            <w:pPr>
              <w:tabs>
                <w:tab w:val="left" w:pos="680"/>
                <w:tab w:val="left" w:pos="840"/>
              </w:tabs>
              <w:spacing w:line="240" w:lineRule="auto"/>
              <w:jc w:val="center"/>
              <w:rPr>
                <w:rFonts w:cs="宋体" w:asciiTheme="minorEastAsia" w:hAnsiTheme="minorEastAsia" w:eastAsiaTheme="minorEastAsia"/>
                <w:kern w:val="0"/>
                <w:sz w:val="24"/>
              </w:rPr>
            </w:pPr>
            <w:r>
              <w:rPr>
                <w:rFonts w:hint="eastAsia" w:asciiTheme="minorEastAsia" w:hAnsiTheme="minorEastAsia" w:eastAsiaTheme="minorEastAsia" w:cstheme="minorEastAsia"/>
                <w:sz w:val="24"/>
              </w:rPr>
              <w:t>肉储备</w:t>
            </w:r>
          </w:p>
        </w:tc>
        <w:tc>
          <w:tcPr>
            <w:tcW w:w="1559" w:type="dxa"/>
            <w:vAlign w:val="center"/>
          </w:tcPr>
          <w:p w14:paraId="66F98A12">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70吨</w:t>
            </w:r>
          </w:p>
        </w:tc>
        <w:tc>
          <w:tcPr>
            <w:tcW w:w="1984" w:type="dxa"/>
            <w:vAlign w:val="center"/>
          </w:tcPr>
          <w:p w14:paraId="0CA70536">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暂定1年（1</w:t>
            </w:r>
            <w:r>
              <w:rPr>
                <w:rFonts w:cs="宋体" w:asciiTheme="minorEastAsia" w:hAnsiTheme="minorEastAsia" w:eastAsiaTheme="minorEastAsia"/>
                <w:sz w:val="24"/>
              </w:rPr>
              <w:t>2</w:t>
            </w:r>
            <w:r>
              <w:rPr>
                <w:rFonts w:hint="eastAsia" w:cs="宋体" w:asciiTheme="minorEastAsia" w:hAnsiTheme="minorEastAsia" w:eastAsiaTheme="minorEastAsia"/>
                <w:sz w:val="24"/>
              </w:rPr>
              <w:t>个月）</w:t>
            </w:r>
          </w:p>
        </w:tc>
        <w:tc>
          <w:tcPr>
            <w:tcW w:w="3261" w:type="dxa"/>
            <w:vMerge w:val="continue"/>
            <w:vAlign w:val="center"/>
          </w:tcPr>
          <w:p w14:paraId="716D006E">
            <w:pPr>
              <w:tabs>
                <w:tab w:val="left" w:pos="680"/>
                <w:tab w:val="left" w:pos="840"/>
              </w:tabs>
              <w:spacing w:line="240" w:lineRule="auto"/>
              <w:jc w:val="center"/>
              <w:rPr>
                <w:rFonts w:cs="宋体" w:asciiTheme="minorEastAsia" w:hAnsiTheme="minorEastAsia" w:eastAsiaTheme="minorEastAsia"/>
                <w:sz w:val="24"/>
              </w:rPr>
            </w:pPr>
          </w:p>
        </w:tc>
      </w:tr>
      <w:tr w14:paraId="5922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14:paraId="677409B9">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985" w:type="dxa"/>
            <w:vAlign w:val="center"/>
          </w:tcPr>
          <w:p w14:paraId="25D4834E">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龙游县冻猪</w:t>
            </w:r>
          </w:p>
          <w:p w14:paraId="0BAA4BC0">
            <w:pPr>
              <w:tabs>
                <w:tab w:val="left" w:pos="680"/>
                <w:tab w:val="left" w:pos="840"/>
              </w:tabs>
              <w:spacing w:line="240" w:lineRule="auto"/>
              <w:jc w:val="center"/>
              <w:rPr>
                <w:rFonts w:cs="宋体" w:asciiTheme="minorEastAsia" w:hAnsiTheme="minorEastAsia" w:eastAsiaTheme="minorEastAsia"/>
                <w:kern w:val="0"/>
                <w:sz w:val="24"/>
              </w:rPr>
            </w:pPr>
            <w:r>
              <w:rPr>
                <w:rFonts w:hint="eastAsia" w:asciiTheme="minorEastAsia" w:hAnsiTheme="minorEastAsia" w:eastAsiaTheme="minorEastAsia" w:cstheme="minorEastAsia"/>
                <w:sz w:val="24"/>
              </w:rPr>
              <w:t>肉储备</w:t>
            </w:r>
          </w:p>
        </w:tc>
        <w:tc>
          <w:tcPr>
            <w:tcW w:w="1559" w:type="dxa"/>
            <w:vAlign w:val="center"/>
          </w:tcPr>
          <w:p w14:paraId="16855A38">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80吨</w:t>
            </w:r>
          </w:p>
        </w:tc>
        <w:tc>
          <w:tcPr>
            <w:tcW w:w="1984" w:type="dxa"/>
            <w:vAlign w:val="center"/>
          </w:tcPr>
          <w:p w14:paraId="4DAD95BB">
            <w:pPr>
              <w:tabs>
                <w:tab w:val="left" w:pos="680"/>
                <w:tab w:val="left" w:pos="840"/>
              </w:tabs>
              <w:spacing w:line="24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暂定1年（1</w:t>
            </w:r>
            <w:r>
              <w:rPr>
                <w:rFonts w:cs="宋体" w:asciiTheme="minorEastAsia" w:hAnsiTheme="minorEastAsia" w:eastAsiaTheme="minorEastAsia"/>
                <w:sz w:val="24"/>
              </w:rPr>
              <w:t>2</w:t>
            </w:r>
            <w:r>
              <w:rPr>
                <w:rFonts w:hint="eastAsia" w:cs="宋体" w:asciiTheme="minorEastAsia" w:hAnsiTheme="minorEastAsia" w:eastAsiaTheme="minorEastAsia"/>
                <w:sz w:val="24"/>
              </w:rPr>
              <w:t>个月）</w:t>
            </w:r>
          </w:p>
        </w:tc>
        <w:tc>
          <w:tcPr>
            <w:tcW w:w="3261" w:type="dxa"/>
            <w:vMerge w:val="continue"/>
            <w:vAlign w:val="center"/>
          </w:tcPr>
          <w:p w14:paraId="31940347">
            <w:pPr>
              <w:tabs>
                <w:tab w:val="left" w:pos="680"/>
                <w:tab w:val="left" w:pos="840"/>
              </w:tabs>
              <w:spacing w:line="240" w:lineRule="auto"/>
              <w:jc w:val="center"/>
              <w:rPr>
                <w:rFonts w:cs="宋体" w:asciiTheme="minorEastAsia" w:hAnsiTheme="minorEastAsia" w:eastAsiaTheme="minorEastAsia"/>
                <w:sz w:val="24"/>
              </w:rPr>
            </w:pPr>
          </w:p>
        </w:tc>
      </w:tr>
    </w:tbl>
    <w:p w14:paraId="73A04142">
      <w:pPr>
        <w:adjustRightInd w:val="0"/>
        <w:snapToGrid w:val="0"/>
        <w:spacing w:line="24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（二）服务内容及要求</w:t>
      </w:r>
    </w:p>
    <w:p w14:paraId="25322602">
      <w:pPr>
        <w:spacing w:line="24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bCs/>
          <w:sz w:val="24"/>
        </w:rPr>
        <w:t>衢州市冻猪肉储备遵循企业储备、政府补贴、市场运作、自负盈亏（包括每年企业自主轮换）的原则。</w:t>
      </w:r>
    </w:p>
    <w:p w14:paraId="261EF558">
      <w:pPr>
        <w:adjustRightInd w:val="0"/>
        <w:snapToGrid w:val="0"/>
        <w:spacing w:line="24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2.储备地点及冷库要求</w:t>
      </w:r>
    </w:p>
    <w:p w14:paraId="191555AF">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2.1投标人的冷库应落实在省域内库房交通便利、地势较高而不易受灾的地点，并配备一定的中转、装卸、调运能力，符合《中央储备肉冻肉储存冷库资质条件》 (SB/T 10408-2013 S)要求，库内温度应保持在-15℃以下并且干净整洁无杂物，无异味。</w:t>
      </w:r>
    </w:p>
    <w:p w14:paraId="310673F9">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2.2投标人的冷库抗震设防标准应按照《建筑工程抗震设防分类标准》（GB50223）和《建筑抗震设计规范》（GB50011）相关规定。库房屋面防水等级和要求符合《屋面工程质量验收规范》(GB50207)相关规定。</w:t>
      </w:r>
    </w:p>
    <w:p w14:paraId="47AE89B2">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2.3投标人的冷库应具备防火要求，消防给水和灭火设施、防烟与排烟设施、火灾自动报警系统、消防车道等符合《建筑设计防火规范》(GB50016)相关规定。</w:t>
      </w:r>
    </w:p>
    <w:p w14:paraId="447F0D8F">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2.4投标人的冷库给排水系统应符合防洪排涝要求。库房地面应做防潮处理，室内地坪高于室外地坪。</w:t>
      </w:r>
    </w:p>
    <w:p w14:paraId="7201C26D">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2.5投标人的冷库的库房应采取密闭、防潮、通风、避光、隔热、防鼠、防雷等措施，满足冻猪肉安全储存条件。</w:t>
      </w:r>
    </w:p>
    <w:p w14:paraId="6F70BC5E">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2.6投标人的冷库库房大门应方便运输，满足装卸设备出入。</w:t>
      </w:r>
    </w:p>
    <w:p w14:paraId="0FE2248C">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2.7投标人的应建立人员岗位责任、卫生管理、设备操作维护、安全生产、库存商品登记管理等各项规章制度，并严格执行落实。</w:t>
      </w:r>
    </w:p>
    <w:p w14:paraId="0EDD3855">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2.8投标人的应建立储备冻猪肉管理档案，包括但不仅限于：冻猪肉检验检疫记录、日常检查记录、消毒记录等。</w:t>
      </w:r>
    </w:p>
    <w:p w14:paraId="6BEE726E">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2.9▲投标人必须具备不少于600吨存储容量的冷库（投标文件中须提供相关证明材料）。</w:t>
      </w:r>
    </w:p>
    <w:p w14:paraId="18371662">
      <w:pPr>
        <w:adjustRightInd w:val="0"/>
        <w:snapToGrid w:val="0"/>
        <w:spacing w:line="24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3.入库管理</w:t>
      </w:r>
    </w:p>
    <w:p w14:paraId="4A28A3E6">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3.1合同签订后,中标人须三十日内将冻猪肉入库到位。</w:t>
      </w:r>
    </w:p>
    <w:p w14:paraId="777D81C4">
      <w:pPr>
        <w:adjustRightInd w:val="0"/>
        <w:snapToGrid w:val="0"/>
        <w:spacing w:line="24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3.2入库品种必须是符合国家有关标准的国产或进口带皮、去皮猪肉、预冷猪肉及其分割产品。</w:t>
      </w:r>
    </w:p>
    <w:p w14:paraId="3CB9F520">
      <w:pPr>
        <w:adjustRightInd w:val="0"/>
        <w:snapToGrid w:val="0"/>
        <w:spacing w:line="24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3.3储备冻猪肉入库数量与实际数量的差异不得超过1%。</w:t>
      </w:r>
    </w:p>
    <w:p w14:paraId="469E8C1E">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rPr>
        <w:t>3.4入库冻猪肉质量必须符合《中华人民共和国食品安全法》</w:t>
      </w:r>
      <w:r>
        <w:rPr>
          <w:rFonts w:hint="eastAsia" w:asciiTheme="minorEastAsia" w:hAnsiTheme="minorEastAsia" w:eastAsiaTheme="minorEastAsia" w:cstheme="minorEastAsia"/>
          <w:sz w:val="24"/>
        </w:rPr>
        <w:t>、《鲜、冻猪肉及猪副产品第1部分：片猪肉》(GB/T 9959.1-2019)、《分割鲜、冻猪瘦肉》(GB/T 9959.2-2008) 、《鲜（冻）畜、禽产品》（GB2707-2016）。符合相关食品安全标准，如有更新的，按最新标准执行。</w:t>
      </w:r>
    </w:p>
    <w:p w14:paraId="049B752C">
      <w:pPr>
        <w:adjustRightInd w:val="0"/>
        <w:snapToGrid w:val="0"/>
        <w:spacing w:line="24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3.5提供第三方检测机构出具的检验检疫合格证明。</w:t>
      </w:r>
    </w:p>
    <w:p w14:paraId="0D347B11">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3.6投标人须加强人员管控，做好人员健康体检。</w:t>
      </w:r>
    </w:p>
    <w:p w14:paraId="5B2CE26F">
      <w:pPr>
        <w:adjustRightInd w:val="0"/>
        <w:snapToGrid w:val="0"/>
        <w:spacing w:line="24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4.在库管理</w:t>
      </w:r>
    </w:p>
    <w:p w14:paraId="0A84148E">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储备冻猪肉实行专库（区域）储存，投标人应指定专人进行库存管理。库内储备冻猪肉应分品种按生产日期先后分垛堆放整齐，每货位（区域）内应悬挂储备冻猪肉标识牌，清晰标识储备库点、储备性质、储备品种等信息，方便清点。如变更储存库点（区域），需提前10天向采购人提出书面申请，经批准后方可执行。</w:t>
      </w:r>
    </w:p>
    <w:p w14:paraId="67F00822">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4.2储备冻猪肉实行专账登记，投标人应严格执行进出库登记制度，设立专门库存台账，每月清点储备冻猪肉数量，确保账实相符。</w:t>
      </w:r>
    </w:p>
    <w:p w14:paraId="2E8067D5">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4.3投标人应建立健全管理制度。投标人要对库点定期检查，保障库区安全、存储安全，保持冷库整洁，并做好检查记录。安全验收、检查记录要存档待查。</w:t>
      </w:r>
    </w:p>
    <w:p w14:paraId="4A4A7F73">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投标人按合同要求自行组织轮换。轮换过程中任何时点储备冻猪肉库存数量不得低于委托储备计划数70%，并应于30天内补齐计划数，否则按擅自动用储备处理。日常经营中一次性动用储备规模的30%以上的，须向采购人出具书面告知函。</w:t>
      </w:r>
    </w:p>
    <w:p w14:paraId="10B2A03C">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4.5投标人库存储备冻猪肉库存台账数量与实际数量的差异不得超过1%，保质期应在三个月以上。</w:t>
      </w:r>
    </w:p>
    <w:p w14:paraId="082E35CD">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4.6投标人不得以储备的冻猪肉对外进行质押、担保或清偿债务；投标人(以集团公司应标的含储存冷库)</w:t>
      </w:r>
      <w:r>
        <w:rPr>
          <w:rFonts w:hint="eastAsia" w:asciiTheme="minorEastAsia" w:hAnsiTheme="minorEastAsia" w:eastAsiaTheme="minorEastAsia" w:cstheme="minorEastAsia"/>
          <w:b/>
          <w:sz w:val="24"/>
        </w:rPr>
        <w:t>资产负债率达到70%及以上</w:t>
      </w:r>
      <w:r>
        <w:rPr>
          <w:rFonts w:hint="eastAsia" w:asciiTheme="minorEastAsia" w:hAnsiTheme="minorEastAsia" w:eastAsiaTheme="minorEastAsia" w:cstheme="minorEastAsia"/>
          <w:sz w:val="24"/>
        </w:rPr>
        <w:t>、发生违法违规违纪等不良行为或进入撤销、解散或者破产程序时，应及时书面报告采购人。</w:t>
      </w:r>
    </w:p>
    <w:p w14:paraId="5EEB5845">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4.7因投标人管理不善或人为因素等引起储备冻猪肉质量问题所造成的经济损失由投标人承担，采购人有权追究投标人相关责任。</w:t>
      </w:r>
    </w:p>
    <w:p w14:paraId="01D5BFA4">
      <w:pPr>
        <w:adjustRightInd w:val="0"/>
        <w:snapToGrid w:val="0"/>
        <w:spacing w:line="24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5.出库和投放</w:t>
      </w:r>
    </w:p>
    <w:p w14:paraId="5921D36E">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根据政府指令，采购人负责实施，投标人按照采购人的投放计划要求，落实储备冻猪肉投放的品种、数量、价格、网点、对象和方式，实施精准投放，确保市场供应。</w:t>
      </w:r>
    </w:p>
    <w:p w14:paraId="057E4A2E">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随市投放。根据采购人的投放通知，投标人按照指定的时间、数量在自身的销售点组织投放，由投标人与投放点自行结算，相关费用由投标人承担。完成后投放清单报采购人备案。衢州市域外投标人由采购人负责投放安排，投标人负责运输到采购人指定地点并进行交接。</w:t>
      </w:r>
    </w:p>
    <w:p w14:paraId="4A0B012C">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5.2应急投放。根据采购人的投放通知，投标人按照指定的时间、数量和投放地点进行投放，投标人直接与投放点进行结算。完成后投放清单报采购人备案。</w:t>
      </w:r>
    </w:p>
    <w:p w14:paraId="4557F055">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调价投放。根据采购人的投放通知，投标人按照指定的时间、数量、投放地点、价格等要求进行投放。投标人统计各投放点的投放数量和品种，提供投放清单报采购人备案。采购人会同商务局和市场监管局核实，提出费用结算报告（包括实际投放差价补贴、投放点租用费、劳务费、衢州市外企业投放运输费等，其中差价补贴按照农业农村局“菜篮子工程”市场监测点提供的上一周的市场平均价格对比指定投放价格确定）。费用结算报告经采购人和财政局审核后，由财政局拨付差价补贴和其他相关费用补贴，采购人与投标人进行结算。</w:t>
      </w:r>
    </w:p>
    <w:p w14:paraId="50D0B2B0">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各县（市、区）申请市级储备肉投放的，相关费用由采购人负责协调后，投标人直接与需求县（市、区）财政进行结算。</w:t>
      </w:r>
    </w:p>
    <w:p w14:paraId="5CF7EB91">
      <w:pPr>
        <w:adjustRightInd w:val="0"/>
        <w:snapToGrid w:val="0"/>
        <w:spacing w:line="24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有下列情形之一，</w:t>
      </w:r>
      <w:r>
        <w:rPr>
          <w:rFonts w:hint="eastAsia" w:asciiTheme="minorEastAsia" w:hAnsiTheme="minorEastAsia" w:eastAsiaTheme="minorEastAsia" w:cstheme="minorEastAsia"/>
          <w:color w:val="auto"/>
          <w:sz w:val="24"/>
          <w:highlight w:val="none"/>
          <w:lang w:eastAsia="zh-CN"/>
        </w:rPr>
        <w:t>且</w:t>
      </w:r>
      <w:r>
        <w:rPr>
          <w:rFonts w:hint="eastAsia" w:asciiTheme="minorEastAsia" w:hAnsiTheme="minorEastAsia" w:eastAsiaTheme="minorEastAsia" w:cstheme="minorEastAsia"/>
          <w:color w:val="auto"/>
          <w:sz w:val="24"/>
          <w:highlight w:val="none"/>
        </w:rPr>
        <w:t>不及时整改到位的（不可抗原因除外），有权考虑并提出终止全部或部分合同。并可根据合同约定收取相应的违约金。</w:t>
      </w:r>
    </w:p>
    <w:p w14:paraId="55509F9F">
      <w:pPr>
        <w:adjustRightInd w:val="0"/>
        <w:snapToGrid w:val="0"/>
        <w:spacing w:line="24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（1）两次巡查均发现未按规定完成储备任务的；</w:t>
      </w:r>
    </w:p>
    <w:p w14:paraId="48C4F97D">
      <w:pPr>
        <w:adjustRightInd w:val="0"/>
        <w:snapToGrid w:val="0"/>
        <w:spacing w:line="24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（2）无正当理由拒绝管理单位进行储备检查的；</w:t>
      </w:r>
    </w:p>
    <w:p w14:paraId="715DDE1B">
      <w:pPr>
        <w:adjustRightInd w:val="0"/>
        <w:snapToGrid w:val="0"/>
        <w:spacing w:line="24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（3）经检查储备台账不齐全，难以核实协议履行情况的；</w:t>
      </w:r>
    </w:p>
    <w:p w14:paraId="16DA3DC1">
      <w:pPr>
        <w:adjustRightInd w:val="0"/>
        <w:snapToGrid w:val="0"/>
        <w:spacing w:line="24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（4）未按应急投放要求完成储备商品投放任务的。</w:t>
      </w:r>
    </w:p>
    <w:p w14:paraId="086B5EA8">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5.4投放补回：投放结束后，采购人督促投标人及时采购货源，根据投放情况充实原来储备数量和品种，原则上投标人要在45天内达到原有标的储备量，确保储备肉数量充足、质量完好。</w:t>
      </w:r>
    </w:p>
    <w:p w14:paraId="45934359">
      <w:pPr>
        <w:adjustRightInd w:val="0"/>
        <w:snapToGrid w:val="0"/>
        <w:spacing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5.5投放时间：投标人接到采购人书面通知后，市域内投标人投放时间不超过接到采购人投放通知后12小时，市域外投标人投放时间不超过接到采购人投放通知后24小时（投放地点以采购人指定地点为准）。</w:t>
      </w:r>
    </w:p>
    <w:p w14:paraId="2D33F32E">
      <w:pPr>
        <w:spacing w:line="240" w:lineRule="auto"/>
        <w:ind w:firstLine="482" w:firstLineChars="200"/>
        <w:rPr>
          <w:rFonts w:asciiTheme="minorEastAsia" w:hAnsiTheme="minorEastAsia" w:eastAsiaTheme="minorEastAsia"/>
          <w:bCs/>
          <w:sz w:val="24"/>
        </w:rPr>
      </w:pPr>
      <w:r>
        <w:rPr>
          <w:rFonts w:hint="eastAsia" w:asciiTheme="minorEastAsia" w:hAnsiTheme="minorEastAsia" w:eastAsiaTheme="minorEastAsia" w:cstheme="minorEastAsia"/>
          <w:b/>
          <w:sz w:val="24"/>
        </w:rPr>
        <w:t>6.</w:t>
      </w:r>
      <w:r>
        <w:rPr>
          <w:rFonts w:hint="eastAsia" w:asciiTheme="minorEastAsia" w:hAnsiTheme="minorEastAsia" w:eastAsiaTheme="minorEastAsia"/>
          <w:bCs/>
          <w:sz w:val="24"/>
        </w:rPr>
        <w:t xml:space="preserve"> 储备肉轮换工作</w:t>
      </w:r>
    </w:p>
    <w:p w14:paraId="337DA7E5">
      <w:pPr>
        <w:spacing w:line="24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建立储备肉轮换工作流程，储备肉的轮库出库须履行内部管理的审批流程，按规定在保质期内自行组织轮换，储备轮出后应当及时、保质、同品种、等量轮入，原则上轮换时间不得超过30日，轮换期间最低库存数量不得低于储备计划的70％。特殊情况不能按时轮入的，承储单位须报采购单位批准同意，否则按擅自动用储备处理。因突发事件或市政府提出出库指令，承储单位要积极配合，按要求及时、高效地完成各项工作。</w:t>
      </w:r>
    </w:p>
    <w:p w14:paraId="1CA128DF">
      <w:pPr>
        <w:adjustRightInd w:val="0"/>
        <w:snapToGrid w:val="0"/>
        <w:spacing w:line="24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（三）监督检查</w:t>
      </w:r>
    </w:p>
    <w:p w14:paraId="014632B5">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1.中标人应定期按月编制储备肉库存月报表，于月后7日内报送采购人。</w:t>
      </w:r>
    </w:p>
    <w:p w14:paraId="64E634F2">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2.采购人对储备冻猪肉数量、品种、生产日期、入库时间等进行盘点、核对，每年不少于两次，投标人需无条件配合。</w:t>
      </w:r>
    </w:p>
    <w:p w14:paraId="1A3FEA18">
      <w:pPr>
        <w:adjustRightInd w:val="0"/>
        <w:snapToGrid w:val="0"/>
        <w:spacing w:line="24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采购人实行定期和不定期检查，定期检查半年一次，合同期内不少于2次，如遇特殊情况可做相应调整。检查内容主要包括在库储存数量、生产日期、入库时间、冻猪肉品种、质量、冷库及设施设备管理情况、疫情防控、储备台账、监控设备记录等项目。在检查过程中，发现没有按照合同规定要求的，可采取当场提出整改意见、扣减或追回储备费用、取消储备资格等方式进行处理。</w:t>
      </w:r>
      <w:r>
        <w:rPr>
          <w:rFonts w:hint="eastAsia" w:asciiTheme="minorEastAsia" w:hAnsiTheme="minorEastAsia" w:eastAsiaTheme="minorEastAsia" w:cstheme="minorEastAsia"/>
          <w:b/>
          <w:sz w:val="24"/>
        </w:rPr>
        <w:t>注：附：衢州市冻猪肉储备管理检查及工作内容清单</w:t>
      </w:r>
    </w:p>
    <w:p w14:paraId="69D334F1">
      <w:pPr>
        <w:adjustRightInd w:val="0"/>
        <w:snapToGrid w:val="0"/>
        <w:spacing w:line="24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（四）履约验收</w:t>
      </w:r>
    </w:p>
    <w:p w14:paraId="6646FE9B">
      <w:pPr>
        <w:adjustRightInd w:val="0"/>
        <w:snapToGrid w:val="0"/>
        <w:spacing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bCs/>
          <w:sz w:val="24"/>
        </w:rPr>
        <w:t xml:space="preserve"> </w:t>
      </w:r>
      <w:r>
        <w:rPr>
          <w:rFonts w:hint="eastAsia" w:asciiTheme="minorEastAsia" w:hAnsiTheme="minorEastAsia" w:eastAsiaTheme="minorEastAsia" w:cstheme="minorEastAsia"/>
          <w:sz w:val="24"/>
        </w:rPr>
        <w:t>根据财政部关于进一步加强政府采购需求和履约验收管理的指导意见财库〔2016〕205号规定，项目完结时采购人进行验收，项目与采购文件、投标(响应)文件、采购合同、约定条件不一致的，酌情扣除服务款，中标人必须无条件接受该条款。</w:t>
      </w:r>
    </w:p>
    <w:p w14:paraId="3099F011">
      <w:pPr>
        <w:spacing w:line="24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2.采购人按照要求，对成交供应商的各项储备台账进行认真审核，必要时现场查验，委托第三方审计确定承储单位的储备履约情况。</w:t>
      </w:r>
    </w:p>
    <w:p w14:paraId="12B29B73">
      <w:pPr>
        <w:adjustRightInd w:val="0"/>
        <w:snapToGrid w:val="0"/>
        <w:spacing w:line="24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四、商务条款</w:t>
      </w:r>
    </w:p>
    <w:p w14:paraId="1E0DEC28">
      <w:pPr>
        <w:adjustRightInd w:val="0"/>
        <w:snapToGrid w:val="0"/>
        <w:spacing w:line="24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（一）项目实施期限</w:t>
      </w:r>
    </w:p>
    <w:p w14:paraId="32CF014D">
      <w:pPr>
        <w:adjustRightInd w:val="0"/>
        <w:snapToGrid w:val="0"/>
        <w:spacing w:line="24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本项目储备周期为1年（12个月），中标后根据各县（市，区）的储备计划作适当调整。</w:t>
      </w:r>
    </w:p>
    <w:p w14:paraId="5745C8F5">
      <w:pPr>
        <w:adjustRightInd w:val="0"/>
        <w:snapToGrid w:val="0"/>
        <w:spacing w:line="24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（二）商务报价要求</w:t>
      </w:r>
    </w:p>
    <w:p w14:paraId="047D8C92">
      <w:pPr>
        <w:adjustRightInd w:val="0"/>
        <w:snapToGrid w:val="0"/>
        <w:spacing w:line="24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1.项目投标响应报价要求</w:t>
      </w:r>
    </w:p>
    <w:p w14:paraId="0B39B3AD">
      <w:pPr>
        <w:adjustRightInd w:val="0"/>
        <w:snapToGrid w:val="0"/>
        <w:spacing w:line="24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1.1本项目投标报价为每吨每月存储费用综合单价，根据实际的储备时间及数量进行结算。</w:t>
      </w:r>
    </w:p>
    <w:p w14:paraId="28B76ECE">
      <w:pPr>
        <w:adjustRightInd w:val="0"/>
        <w:snapToGrid w:val="0"/>
        <w:spacing w:line="24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1.2报价均为含税价。</w:t>
      </w:r>
    </w:p>
    <w:p w14:paraId="326C7969">
      <w:pPr>
        <w:adjustRightInd w:val="0"/>
        <w:snapToGrid w:val="0"/>
        <w:spacing w:line="24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1.3本项目费用包括储备费用、冻猪肉收储服务及其资金利息费用和人工费、服务费、各类保险、运输（含投放）、加工包装、检验、仓储、轮换管理等环节产生的一切费用。</w:t>
      </w:r>
      <w:r>
        <w:rPr>
          <w:rFonts w:hint="eastAsia" w:asciiTheme="minorEastAsia" w:hAnsiTheme="minorEastAsia" w:eastAsiaTheme="minorEastAsia" w:cstheme="minorEastAsia"/>
          <w:bCs/>
          <w:sz w:val="24"/>
        </w:rPr>
        <w:t>报价人凡未列入的，将被认为均已包含在报价中。</w:t>
      </w:r>
    </w:p>
    <w:p w14:paraId="017A4195">
      <w:pPr>
        <w:adjustRightInd w:val="0"/>
        <w:snapToGrid w:val="0"/>
        <w:spacing w:line="24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1.4</w:t>
      </w:r>
      <w:r>
        <w:rPr>
          <w:rFonts w:hint="eastAsia" w:asciiTheme="minorEastAsia" w:hAnsiTheme="minorEastAsia" w:eastAsiaTheme="minorEastAsia" w:cstheme="minorEastAsia"/>
          <w:sz w:val="24"/>
          <w:lang w:val="zh-CN"/>
        </w:rPr>
        <w:t>投标响应报价的单价、合价、总价全部采用人民币表示。</w:t>
      </w:r>
    </w:p>
    <w:p w14:paraId="1A713EF1">
      <w:pPr>
        <w:pStyle w:val="54"/>
        <w:adjustRightInd w:val="0"/>
        <w:snapToGrid w:val="0"/>
        <w:spacing w:line="240" w:lineRule="auto"/>
        <w:ind w:left="0" w:leftChars="0" w:firstLine="482"/>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五、储备费用结算和支付</w:t>
      </w:r>
    </w:p>
    <w:p w14:paraId="6D8706C0">
      <w:pPr>
        <w:pStyle w:val="54"/>
        <w:adjustRightInd w:val="0"/>
        <w:snapToGrid w:val="0"/>
        <w:spacing w:after="0" w:line="240" w:lineRule="auto"/>
        <w:ind w:left="0" w:leftChars="0"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1.衢州市冻猪肉储备遵循企业储备、政府补贴、市场运作、自负盈亏的原则。</w:t>
      </w:r>
    </w:p>
    <w:p w14:paraId="4592B14B">
      <w:pPr>
        <w:pStyle w:val="54"/>
        <w:adjustRightInd w:val="0"/>
        <w:snapToGrid w:val="0"/>
        <w:spacing w:after="0" w:line="240" w:lineRule="auto"/>
        <w:ind w:left="0" w:leftChars="0" w:firstLine="48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储备费用结算：按照中标供应商中标项目合同总价（合同中要标明冻猪肉每吨每月的费用单价）结算储备费用，储备期满后，采购人将对中标供应商储备情况进行审计，如果发现不能履行合同要求，没有按实际时间和数量储备到位的，除按要求扣除不能履行合同中相关储备费用外，加扣合同总价10%的违约费用。</w:t>
      </w:r>
    </w:p>
    <w:p w14:paraId="41558941">
      <w:pPr>
        <w:pStyle w:val="54"/>
        <w:adjustRightInd w:val="0"/>
        <w:snapToGrid w:val="0"/>
        <w:spacing w:after="0" w:line="240" w:lineRule="auto"/>
        <w:ind w:left="0" w:leftChars="0" w:firstLine="48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3.因衢州市政府紧急指令或自然灾害等应急需要出库而造成的净损失经核准给予财政补助。</w:t>
      </w:r>
    </w:p>
    <w:p w14:paraId="08E38994">
      <w:pPr>
        <w:pStyle w:val="54"/>
        <w:adjustRightInd w:val="0"/>
        <w:snapToGrid w:val="0"/>
        <w:spacing w:after="0" w:line="240" w:lineRule="auto"/>
        <w:ind w:left="0" w:leftChars="0" w:firstLine="48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4.储备费用支付：储备期满，甲方委托第三方机构进行审计，并于审计报告出具之日的30日内且收到乙方合法有效的等额发票后，根据审计结果支付。</w:t>
      </w:r>
    </w:p>
    <w:p w14:paraId="07DD735D">
      <w:pPr>
        <w:pStyle w:val="24"/>
        <w:spacing w:line="240" w:lineRule="auto"/>
        <w:jc w:val="left"/>
        <w:rPr>
          <w:rFonts w:hint="eastAsia" w:ascii="宋体" w:hAnsi="宋体" w:eastAsia="宋体" w:cs="Times New Roman"/>
          <w:b/>
          <w:bCs w:val="0"/>
          <w:kern w:val="2"/>
          <w:sz w:val="24"/>
          <w:szCs w:val="20"/>
          <w:shd w:val="clear"/>
          <w:lang w:val="en-US" w:eastAsia="zh-CN" w:bidi="ar-SA"/>
        </w:rPr>
      </w:pPr>
      <w:r>
        <w:rPr>
          <w:rFonts w:hint="eastAsia" w:ascii="宋体" w:hAnsi="宋体" w:eastAsia="宋体" w:cs="Times New Roman"/>
          <w:b/>
          <w:bCs w:val="0"/>
          <w:kern w:val="2"/>
          <w:sz w:val="24"/>
          <w:szCs w:val="20"/>
          <w:shd w:val="clear"/>
          <w:lang w:val="en-US" w:eastAsia="zh-CN" w:bidi="ar-SA"/>
        </w:rPr>
        <w:t xml:space="preserve">  六、未尽事宜详见合同相关条款要求</w:t>
      </w:r>
    </w:p>
    <w:p w14:paraId="5FD2AA1E">
      <w:pPr>
        <w:spacing w:line="240" w:lineRule="auto"/>
        <w:ind w:firstLine="480" w:firstLineChars="200"/>
        <w:jc w:val="left"/>
        <w:outlineLvl w:val="1"/>
        <w:rPr>
          <w:rFonts w:asciiTheme="minorEastAsia" w:hAnsiTheme="minorEastAsia" w:eastAsiaTheme="minorEastAsia"/>
          <w:b/>
          <w:bCs/>
          <w:sz w:val="24"/>
        </w:rPr>
      </w:pPr>
      <w:r>
        <w:rPr>
          <w:rFonts w:hint="eastAsia" w:asciiTheme="minorEastAsia" w:hAnsiTheme="minorEastAsia" w:eastAsiaTheme="minorEastAsia"/>
          <w:bCs/>
          <w:sz w:val="24"/>
        </w:rPr>
        <w:t xml:space="preserve"> </w:t>
      </w:r>
      <w:r>
        <w:rPr>
          <w:rFonts w:hint="eastAsia" w:asciiTheme="minorEastAsia" w:hAnsiTheme="minorEastAsia" w:eastAsiaTheme="minorEastAsia"/>
          <w:b/>
          <w:bCs/>
          <w:sz w:val="24"/>
        </w:rPr>
        <w:t>七、其他</w:t>
      </w:r>
    </w:p>
    <w:p w14:paraId="3BCDAB05">
      <w:pPr>
        <w:spacing w:line="0" w:lineRule="atLeast"/>
        <w:ind w:firstLine="480" w:firstLineChars="200"/>
        <w:jc w:val="left"/>
        <w:outlineLvl w:val="1"/>
        <w:rPr>
          <w:rFonts w:asciiTheme="minorEastAsia" w:hAnsiTheme="minorEastAsia" w:eastAsiaTheme="minorEastAsia"/>
          <w:bCs/>
          <w:sz w:val="24"/>
        </w:rPr>
      </w:pPr>
      <w:r>
        <w:rPr>
          <w:rFonts w:hint="eastAsia" w:asciiTheme="minorEastAsia" w:hAnsiTheme="minorEastAsia" w:eastAsiaTheme="minorEastAsia"/>
          <w:bCs/>
          <w:sz w:val="24"/>
        </w:rPr>
        <w:t>1.本项目采用联合采购的方式，中标人按照中标价的比例分别与衢州市发展和改革委员会、衢州市柯城区发展和改革局、衢州市衢江区发展和改革局、江山市经济和信息化局、常山县经济和信息化局、开化县发展和改革局及龙游县经济和信息化局签订合同（注：以上支付服务费计算比例及合同金额最终以合同签订时为准）。</w:t>
      </w:r>
    </w:p>
    <w:p w14:paraId="2CC83D12">
      <w:pPr>
        <w:pStyle w:val="33"/>
        <w:adjustRightInd w:val="0"/>
        <w:snapToGrid w:val="0"/>
        <w:spacing w:line="0" w:lineRule="atLeast"/>
        <w:ind w:firstLine="7560" w:firstLineChars="2700"/>
        <w:rPr>
          <w:rFonts w:hint="default" w:hAnsi="宋体"/>
        </w:rPr>
      </w:pPr>
      <w:r>
        <w:rPr>
          <w:rFonts w:hAnsi="宋体"/>
          <w:sz w:val="28"/>
          <w:szCs w:val="28"/>
        </w:rPr>
        <w:t xml:space="preserve">   </w:t>
      </w:r>
      <w:r>
        <w:rPr>
          <w:rFonts w:hAnsi="宋体"/>
        </w:rPr>
        <w:t>单位：万元、%</w:t>
      </w:r>
    </w:p>
    <w:tbl>
      <w:tblPr>
        <w:tblStyle w:val="55"/>
        <w:tblW w:w="10115" w:type="dxa"/>
        <w:jc w:val="center"/>
        <w:tblLayout w:type="fixed"/>
        <w:tblCellMar>
          <w:top w:w="0" w:type="dxa"/>
          <w:left w:w="108" w:type="dxa"/>
          <w:bottom w:w="0" w:type="dxa"/>
          <w:right w:w="108" w:type="dxa"/>
        </w:tblCellMar>
      </w:tblPr>
      <w:tblGrid>
        <w:gridCol w:w="1809"/>
        <w:gridCol w:w="1002"/>
        <w:gridCol w:w="1004"/>
        <w:gridCol w:w="1142"/>
        <w:gridCol w:w="1004"/>
        <w:gridCol w:w="1258"/>
        <w:gridCol w:w="1084"/>
        <w:gridCol w:w="981"/>
        <w:gridCol w:w="831"/>
      </w:tblGrid>
      <w:tr w14:paraId="1C499062">
        <w:tblPrEx>
          <w:tblCellMar>
            <w:top w:w="0" w:type="dxa"/>
            <w:left w:w="108" w:type="dxa"/>
            <w:bottom w:w="0" w:type="dxa"/>
            <w:right w:w="108" w:type="dxa"/>
          </w:tblCellMar>
        </w:tblPrEx>
        <w:trPr>
          <w:trHeight w:val="63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525D743">
            <w:pPr>
              <w:widowControl/>
              <w:spacing w:line="0" w:lineRule="atLeast"/>
              <w:jc w:val="center"/>
              <w:rPr>
                <w:rFonts w:ascii="宋体" w:hAnsi="宋体"/>
                <w:sz w:val="24"/>
              </w:rPr>
            </w:pPr>
            <w:r>
              <w:rPr>
                <w:rFonts w:hint="eastAsia" w:ascii="宋体" w:hAnsi="宋体"/>
                <w:sz w:val="24"/>
              </w:rPr>
              <w:t>项目</w:t>
            </w:r>
          </w:p>
        </w:tc>
        <w:tc>
          <w:tcPr>
            <w:tcW w:w="1002" w:type="dxa"/>
            <w:tcBorders>
              <w:top w:val="single" w:color="auto" w:sz="4" w:space="0"/>
              <w:left w:val="nil"/>
              <w:bottom w:val="single" w:color="auto" w:sz="4" w:space="0"/>
              <w:right w:val="single" w:color="auto" w:sz="4" w:space="0"/>
            </w:tcBorders>
            <w:vAlign w:val="center"/>
          </w:tcPr>
          <w:p w14:paraId="3E970F27">
            <w:pPr>
              <w:widowControl/>
              <w:spacing w:line="0" w:lineRule="atLeast"/>
              <w:jc w:val="center"/>
              <w:rPr>
                <w:rFonts w:ascii="宋体" w:hAnsi="宋体"/>
                <w:sz w:val="24"/>
              </w:rPr>
            </w:pPr>
            <w:r>
              <w:rPr>
                <w:rFonts w:hint="eastAsia" w:ascii="宋体" w:hAnsi="宋体"/>
                <w:sz w:val="24"/>
              </w:rPr>
              <w:t>市本级</w:t>
            </w:r>
          </w:p>
        </w:tc>
        <w:tc>
          <w:tcPr>
            <w:tcW w:w="1004" w:type="dxa"/>
            <w:tcBorders>
              <w:top w:val="single" w:color="auto" w:sz="4" w:space="0"/>
              <w:left w:val="nil"/>
              <w:bottom w:val="single" w:color="auto" w:sz="4" w:space="0"/>
              <w:right w:val="single" w:color="auto" w:sz="4" w:space="0"/>
            </w:tcBorders>
            <w:vAlign w:val="center"/>
          </w:tcPr>
          <w:p w14:paraId="673874CA">
            <w:pPr>
              <w:widowControl/>
              <w:spacing w:line="0" w:lineRule="atLeast"/>
              <w:jc w:val="center"/>
              <w:rPr>
                <w:rFonts w:ascii="宋体" w:hAnsi="宋体"/>
                <w:sz w:val="24"/>
              </w:rPr>
            </w:pPr>
            <w:r>
              <w:rPr>
                <w:rFonts w:hint="eastAsia" w:ascii="宋体" w:hAnsi="宋体"/>
                <w:sz w:val="24"/>
              </w:rPr>
              <w:t>柯城区</w:t>
            </w:r>
          </w:p>
        </w:tc>
        <w:tc>
          <w:tcPr>
            <w:tcW w:w="1142" w:type="dxa"/>
            <w:tcBorders>
              <w:top w:val="single" w:color="auto" w:sz="4" w:space="0"/>
              <w:left w:val="nil"/>
              <w:bottom w:val="single" w:color="auto" w:sz="4" w:space="0"/>
              <w:right w:val="single" w:color="auto" w:sz="4" w:space="0"/>
            </w:tcBorders>
            <w:vAlign w:val="center"/>
          </w:tcPr>
          <w:p w14:paraId="05E429CA">
            <w:pPr>
              <w:widowControl/>
              <w:spacing w:line="0" w:lineRule="atLeast"/>
              <w:jc w:val="center"/>
              <w:rPr>
                <w:rFonts w:ascii="宋体" w:hAnsi="宋体"/>
                <w:sz w:val="24"/>
              </w:rPr>
            </w:pPr>
            <w:r>
              <w:rPr>
                <w:rFonts w:hint="eastAsia" w:ascii="宋体" w:hAnsi="宋体"/>
                <w:sz w:val="24"/>
              </w:rPr>
              <w:t>衢江区</w:t>
            </w:r>
          </w:p>
        </w:tc>
        <w:tc>
          <w:tcPr>
            <w:tcW w:w="1004" w:type="dxa"/>
            <w:tcBorders>
              <w:top w:val="single" w:color="auto" w:sz="4" w:space="0"/>
              <w:left w:val="nil"/>
              <w:bottom w:val="single" w:color="auto" w:sz="4" w:space="0"/>
              <w:right w:val="single" w:color="auto" w:sz="4" w:space="0"/>
            </w:tcBorders>
            <w:vAlign w:val="center"/>
          </w:tcPr>
          <w:p w14:paraId="63BF156A">
            <w:pPr>
              <w:widowControl/>
              <w:spacing w:line="0" w:lineRule="atLeast"/>
              <w:jc w:val="center"/>
              <w:rPr>
                <w:rFonts w:ascii="宋体" w:hAnsi="宋体"/>
                <w:sz w:val="24"/>
              </w:rPr>
            </w:pPr>
            <w:r>
              <w:rPr>
                <w:rFonts w:hint="eastAsia" w:ascii="宋体" w:hAnsi="宋体"/>
                <w:sz w:val="24"/>
              </w:rPr>
              <w:t>江山市</w:t>
            </w:r>
          </w:p>
        </w:tc>
        <w:tc>
          <w:tcPr>
            <w:tcW w:w="1258" w:type="dxa"/>
            <w:tcBorders>
              <w:top w:val="single" w:color="auto" w:sz="4" w:space="0"/>
              <w:left w:val="nil"/>
              <w:bottom w:val="single" w:color="auto" w:sz="4" w:space="0"/>
              <w:right w:val="single" w:color="auto" w:sz="4" w:space="0"/>
            </w:tcBorders>
            <w:vAlign w:val="center"/>
          </w:tcPr>
          <w:p w14:paraId="634B01BF">
            <w:pPr>
              <w:widowControl/>
              <w:spacing w:line="0" w:lineRule="atLeast"/>
              <w:jc w:val="center"/>
              <w:rPr>
                <w:rFonts w:ascii="宋体" w:hAnsi="宋体"/>
                <w:sz w:val="24"/>
              </w:rPr>
            </w:pPr>
            <w:r>
              <w:rPr>
                <w:rFonts w:hint="eastAsia" w:ascii="宋体" w:hAnsi="宋体"/>
                <w:sz w:val="24"/>
              </w:rPr>
              <w:t>常山县</w:t>
            </w:r>
          </w:p>
        </w:tc>
        <w:tc>
          <w:tcPr>
            <w:tcW w:w="1084" w:type="dxa"/>
            <w:tcBorders>
              <w:top w:val="single" w:color="auto" w:sz="4" w:space="0"/>
              <w:left w:val="nil"/>
              <w:bottom w:val="single" w:color="auto" w:sz="4" w:space="0"/>
              <w:right w:val="single" w:color="auto" w:sz="4" w:space="0"/>
            </w:tcBorders>
            <w:vAlign w:val="center"/>
          </w:tcPr>
          <w:p w14:paraId="65D8C865">
            <w:pPr>
              <w:widowControl/>
              <w:spacing w:line="0" w:lineRule="atLeast"/>
              <w:jc w:val="center"/>
              <w:rPr>
                <w:rFonts w:ascii="宋体" w:hAnsi="宋体"/>
                <w:sz w:val="24"/>
              </w:rPr>
            </w:pPr>
            <w:r>
              <w:rPr>
                <w:rFonts w:hint="eastAsia" w:ascii="宋体" w:hAnsi="宋体"/>
                <w:sz w:val="24"/>
              </w:rPr>
              <w:t>开化县</w:t>
            </w:r>
          </w:p>
        </w:tc>
        <w:tc>
          <w:tcPr>
            <w:tcW w:w="981" w:type="dxa"/>
            <w:tcBorders>
              <w:top w:val="single" w:color="auto" w:sz="4" w:space="0"/>
              <w:left w:val="nil"/>
              <w:bottom w:val="single" w:color="auto" w:sz="4" w:space="0"/>
              <w:right w:val="single" w:color="auto" w:sz="4" w:space="0"/>
            </w:tcBorders>
            <w:vAlign w:val="center"/>
          </w:tcPr>
          <w:p w14:paraId="616FA246">
            <w:pPr>
              <w:widowControl/>
              <w:spacing w:line="0" w:lineRule="atLeast"/>
              <w:jc w:val="center"/>
              <w:rPr>
                <w:rFonts w:ascii="宋体" w:hAnsi="宋体"/>
                <w:sz w:val="24"/>
              </w:rPr>
            </w:pPr>
            <w:r>
              <w:rPr>
                <w:rFonts w:hint="eastAsia" w:ascii="宋体" w:hAnsi="宋体"/>
                <w:sz w:val="24"/>
              </w:rPr>
              <w:t>龙游县</w:t>
            </w:r>
          </w:p>
        </w:tc>
        <w:tc>
          <w:tcPr>
            <w:tcW w:w="831" w:type="dxa"/>
            <w:tcBorders>
              <w:top w:val="single" w:color="auto" w:sz="4" w:space="0"/>
              <w:left w:val="nil"/>
              <w:bottom w:val="single" w:color="auto" w:sz="4" w:space="0"/>
              <w:right w:val="single" w:color="auto" w:sz="4" w:space="0"/>
            </w:tcBorders>
            <w:vAlign w:val="center"/>
          </w:tcPr>
          <w:p w14:paraId="3B13E13C">
            <w:pPr>
              <w:widowControl/>
              <w:spacing w:line="0" w:lineRule="atLeast"/>
              <w:jc w:val="center"/>
              <w:rPr>
                <w:rFonts w:ascii="宋体" w:hAnsi="宋体"/>
                <w:sz w:val="24"/>
              </w:rPr>
            </w:pPr>
            <w:r>
              <w:rPr>
                <w:rFonts w:hint="eastAsia" w:ascii="宋体" w:hAnsi="宋体"/>
                <w:sz w:val="24"/>
              </w:rPr>
              <w:t>小计</w:t>
            </w:r>
          </w:p>
        </w:tc>
      </w:tr>
      <w:tr w14:paraId="1793305D">
        <w:tblPrEx>
          <w:tblCellMar>
            <w:top w:w="0" w:type="dxa"/>
            <w:left w:w="108" w:type="dxa"/>
            <w:bottom w:w="0" w:type="dxa"/>
            <w:right w:w="108" w:type="dxa"/>
          </w:tblCellMar>
        </w:tblPrEx>
        <w:trPr>
          <w:trHeight w:val="463" w:hRule="atLeast"/>
          <w:jc w:val="center"/>
        </w:trPr>
        <w:tc>
          <w:tcPr>
            <w:tcW w:w="1809" w:type="dxa"/>
            <w:vMerge w:val="restart"/>
            <w:tcBorders>
              <w:top w:val="single" w:color="auto" w:sz="4" w:space="0"/>
              <w:left w:val="single" w:color="auto" w:sz="4" w:space="0"/>
              <w:right w:val="single" w:color="auto" w:sz="4" w:space="0"/>
            </w:tcBorders>
            <w:vAlign w:val="center"/>
          </w:tcPr>
          <w:p w14:paraId="78BA6188">
            <w:pPr>
              <w:widowControl/>
              <w:spacing w:line="240" w:lineRule="auto"/>
              <w:jc w:val="center"/>
              <w:rPr>
                <w:rFonts w:hint="eastAsia" w:ascii="宋体" w:hAnsi="宋体" w:eastAsia="宋体"/>
                <w:sz w:val="24"/>
                <w:lang w:eastAsia="zh-CN"/>
              </w:rPr>
            </w:pPr>
            <w:r>
              <w:rPr>
                <w:rFonts w:hint="eastAsia" w:ascii="宋体" w:hAnsi="宋体"/>
                <w:sz w:val="24"/>
                <w:lang w:eastAsia="zh-CN"/>
              </w:rPr>
              <w:t>衢州市冻猪肉储备政府购买服务项目（三次）</w:t>
            </w:r>
          </w:p>
        </w:tc>
        <w:tc>
          <w:tcPr>
            <w:tcW w:w="1002" w:type="dxa"/>
            <w:tcBorders>
              <w:top w:val="single" w:color="auto" w:sz="4" w:space="0"/>
              <w:left w:val="nil"/>
              <w:bottom w:val="single" w:color="auto" w:sz="4" w:space="0"/>
              <w:right w:val="single" w:color="auto" w:sz="4" w:space="0"/>
            </w:tcBorders>
            <w:vAlign w:val="center"/>
          </w:tcPr>
          <w:p w14:paraId="695C58DD">
            <w:pPr>
              <w:widowControl/>
              <w:spacing w:line="240" w:lineRule="auto"/>
              <w:jc w:val="center"/>
              <w:rPr>
                <w:rFonts w:ascii="宋体" w:hAnsi="宋体"/>
                <w:sz w:val="24"/>
              </w:rPr>
            </w:pPr>
            <w:r>
              <w:rPr>
                <w:rFonts w:hint="eastAsia" w:ascii="宋体" w:hAnsi="宋体"/>
                <w:sz w:val="24"/>
              </w:rPr>
              <w:t>30</w:t>
            </w:r>
            <w:r>
              <w:rPr>
                <w:rFonts w:ascii="宋体" w:hAnsi="宋体"/>
                <w:sz w:val="24"/>
              </w:rPr>
              <w:t xml:space="preserve"> </w:t>
            </w:r>
          </w:p>
        </w:tc>
        <w:tc>
          <w:tcPr>
            <w:tcW w:w="1004" w:type="dxa"/>
            <w:tcBorders>
              <w:top w:val="single" w:color="auto" w:sz="4" w:space="0"/>
              <w:left w:val="nil"/>
              <w:bottom w:val="single" w:color="auto" w:sz="4" w:space="0"/>
              <w:right w:val="single" w:color="auto" w:sz="4" w:space="0"/>
            </w:tcBorders>
            <w:vAlign w:val="center"/>
          </w:tcPr>
          <w:p w14:paraId="23FB64BC">
            <w:pPr>
              <w:widowControl/>
              <w:spacing w:line="240" w:lineRule="auto"/>
              <w:jc w:val="center"/>
              <w:rPr>
                <w:rFonts w:ascii="宋体" w:hAnsi="宋体"/>
                <w:sz w:val="24"/>
              </w:rPr>
            </w:pPr>
            <w:r>
              <w:rPr>
                <w:rFonts w:hint="eastAsia" w:ascii="宋体" w:hAnsi="宋体"/>
                <w:sz w:val="24"/>
              </w:rPr>
              <w:t>21</w:t>
            </w:r>
            <w:r>
              <w:rPr>
                <w:rFonts w:ascii="宋体" w:hAnsi="宋体"/>
                <w:sz w:val="24"/>
              </w:rPr>
              <w:t xml:space="preserve"> </w:t>
            </w:r>
          </w:p>
        </w:tc>
        <w:tc>
          <w:tcPr>
            <w:tcW w:w="1142" w:type="dxa"/>
            <w:tcBorders>
              <w:top w:val="single" w:color="auto" w:sz="4" w:space="0"/>
              <w:left w:val="nil"/>
              <w:bottom w:val="single" w:color="auto" w:sz="4" w:space="0"/>
              <w:right w:val="single" w:color="auto" w:sz="4" w:space="0"/>
            </w:tcBorders>
            <w:vAlign w:val="center"/>
          </w:tcPr>
          <w:p w14:paraId="6A306247">
            <w:pPr>
              <w:widowControl/>
              <w:spacing w:line="240" w:lineRule="auto"/>
              <w:jc w:val="center"/>
              <w:rPr>
                <w:rFonts w:ascii="宋体" w:hAnsi="宋体"/>
                <w:sz w:val="24"/>
              </w:rPr>
            </w:pPr>
            <w:r>
              <w:rPr>
                <w:rFonts w:hint="eastAsia" w:ascii="宋体" w:hAnsi="宋体"/>
                <w:sz w:val="24"/>
              </w:rPr>
              <w:t>24</w:t>
            </w:r>
            <w:r>
              <w:rPr>
                <w:rFonts w:ascii="宋体" w:hAnsi="宋体"/>
                <w:sz w:val="24"/>
              </w:rPr>
              <w:t xml:space="preserve"> </w:t>
            </w:r>
          </w:p>
        </w:tc>
        <w:tc>
          <w:tcPr>
            <w:tcW w:w="1004" w:type="dxa"/>
            <w:tcBorders>
              <w:top w:val="single" w:color="auto" w:sz="4" w:space="0"/>
              <w:left w:val="nil"/>
              <w:bottom w:val="single" w:color="auto" w:sz="4" w:space="0"/>
              <w:right w:val="single" w:color="auto" w:sz="4" w:space="0"/>
            </w:tcBorders>
            <w:vAlign w:val="center"/>
          </w:tcPr>
          <w:p w14:paraId="181EEE7E">
            <w:pPr>
              <w:widowControl/>
              <w:spacing w:line="240" w:lineRule="auto"/>
              <w:jc w:val="center"/>
              <w:rPr>
                <w:rFonts w:ascii="宋体" w:hAnsi="宋体"/>
                <w:sz w:val="24"/>
              </w:rPr>
            </w:pPr>
            <w:r>
              <w:rPr>
                <w:rFonts w:hint="eastAsia" w:ascii="宋体" w:hAnsi="宋体"/>
                <w:sz w:val="24"/>
              </w:rPr>
              <w:t>39</w:t>
            </w:r>
            <w:r>
              <w:rPr>
                <w:rFonts w:ascii="宋体" w:hAnsi="宋体"/>
                <w:sz w:val="24"/>
              </w:rPr>
              <w:t xml:space="preserve"> </w:t>
            </w:r>
          </w:p>
        </w:tc>
        <w:tc>
          <w:tcPr>
            <w:tcW w:w="1258" w:type="dxa"/>
            <w:tcBorders>
              <w:top w:val="single" w:color="auto" w:sz="4" w:space="0"/>
              <w:left w:val="nil"/>
              <w:bottom w:val="single" w:color="auto" w:sz="4" w:space="0"/>
              <w:right w:val="single" w:color="auto" w:sz="4" w:space="0"/>
            </w:tcBorders>
            <w:vAlign w:val="center"/>
          </w:tcPr>
          <w:p w14:paraId="178CEB80">
            <w:pPr>
              <w:widowControl/>
              <w:spacing w:line="240" w:lineRule="auto"/>
              <w:jc w:val="center"/>
              <w:rPr>
                <w:rFonts w:ascii="宋体" w:hAnsi="宋体"/>
                <w:sz w:val="24"/>
              </w:rPr>
            </w:pPr>
            <w:r>
              <w:rPr>
                <w:rFonts w:hint="eastAsia" w:ascii="宋体" w:hAnsi="宋体"/>
                <w:sz w:val="24"/>
              </w:rPr>
              <w:t>21</w:t>
            </w:r>
            <w:r>
              <w:rPr>
                <w:rFonts w:ascii="宋体" w:hAnsi="宋体"/>
                <w:sz w:val="24"/>
              </w:rPr>
              <w:t xml:space="preserve"> </w:t>
            </w:r>
          </w:p>
        </w:tc>
        <w:tc>
          <w:tcPr>
            <w:tcW w:w="1084" w:type="dxa"/>
            <w:tcBorders>
              <w:top w:val="single" w:color="auto" w:sz="4" w:space="0"/>
              <w:left w:val="nil"/>
              <w:bottom w:val="single" w:color="auto" w:sz="4" w:space="0"/>
              <w:right w:val="single" w:color="auto" w:sz="4" w:space="0"/>
            </w:tcBorders>
            <w:vAlign w:val="center"/>
          </w:tcPr>
          <w:p w14:paraId="327F9138">
            <w:pPr>
              <w:widowControl/>
              <w:spacing w:line="240" w:lineRule="auto"/>
              <w:jc w:val="center"/>
              <w:rPr>
                <w:rFonts w:ascii="宋体" w:hAnsi="宋体"/>
                <w:sz w:val="24"/>
              </w:rPr>
            </w:pPr>
            <w:r>
              <w:rPr>
                <w:rFonts w:hint="eastAsia" w:ascii="宋体" w:hAnsi="宋体"/>
                <w:sz w:val="24"/>
              </w:rPr>
              <w:t>21</w:t>
            </w:r>
          </w:p>
        </w:tc>
        <w:tc>
          <w:tcPr>
            <w:tcW w:w="981" w:type="dxa"/>
            <w:tcBorders>
              <w:top w:val="single" w:color="auto" w:sz="4" w:space="0"/>
              <w:left w:val="nil"/>
              <w:bottom w:val="single" w:color="auto" w:sz="4" w:space="0"/>
              <w:right w:val="single" w:color="auto" w:sz="4" w:space="0"/>
            </w:tcBorders>
            <w:vAlign w:val="center"/>
          </w:tcPr>
          <w:p w14:paraId="3911052E">
            <w:pPr>
              <w:widowControl/>
              <w:spacing w:line="240" w:lineRule="auto"/>
              <w:jc w:val="center"/>
              <w:rPr>
                <w:rFonts w:ascii="宋体" w:hAnsi="宋体"/>
                <w:sz w:val="24"/>
              </w:rPr>
            </w:pPr>
            <w:r>
              <w:rPr>
                <w:rFonts w:hint="eastAsia" w:ascii="宋体" w:hAnsi="宋体"/>
                <w:sz w:val="24"/>
              </w:rPr>
              <w:t>24</w:t>
            </w:r>
          </w:p>
        </w:tc>
        <w:tc>
          <w:tcPr>
            <w:tcW w:w="831" w:type="dxa"/>
            <w:tcBorders>
              <w:top w:val="single" w:color="auto" w:sz="4" w:space="0"/>
              <w:left w:val="nil"/>
              <w:bottom w:val="single" w:color="auto" w:sz="4" w:space="0"/>
              <w:right w:val="single" w:color="auto" w:sz="4" w:space="0"/>
            </w:tcBorders>
            <w:vAlign w:val="center"/>
          </w:tcPr>
          <w:p w14:paraId="2D8759C7">
            <w:pPr>
              <w:widowControl/>
              <w:spacing w:line="240" w:lineRule="auto"/>
              <w:jc w:val="center"/>
              <w:rPr>
                <w:rFonts w:ascii="宋体" w:hAnsi="宋体"/>
                <w:sz w:val="24"/>
              </w:rPr>
            </w:pPr>
            <w:r>
              <w:rPr>
                <w:rFonts w:hint="eastAsia" w:ascii="宋体" w:hAnsi="宋体"/>
                <w:sz w:val="24"/>
              </w:rPr>
              <w:t>180</w:t>
            </w:r>
            <w:r>
              <w:rPr>
                <w:rFonts w:ascii="宋体" w:hAnsi="宋体"/>
                <w:sz w:val="24"/>
              </w:rPr>
              <w:t xml:space="preserve"> </w:t>
            </w:r>
          </w:p>
        </w:tc>
      </w:tr>
      <w:tr w14:paraId="2010A8C6">
        <w:tblPrEx>
          <w:tblCellMar>
            <w:top w:w="0" w:type="dxa"/>
            <w:left w:w="108" w:type="dxa"/>
            <w:bottom w:w="0" w:type="dxa"/>
            <w:right w:w="108" w:type="dxa"/>
          </w:tblCellMar>
        </w:tblPrEx>
        <w:trPr>
          <w:trHeight w:val="412" w:hRule="atLeast"/>
          <w:jc w:val="center"/>
        </w:trPr>
        <w:tc>
          <w:tcPr>
            <w:tcW w:w="1809" w:type="dxa"/>
            <w:vMerge w:val="continue"/>
            <w:tcBorders>
              <w:left w:val="single" w:color="auto" w:sz="4" w:space="0"/>
              <w:bottom w:val="single" w:color="auto" w:sz="4" w:space="0"/>
              <w:right w:val="single" w:color="auto" w:sz="4" w:space="0"/>
            </w:tcBorders>
            <w:vAlign w:val="center"/>
          </w:tcPr>
          <w:p w14:paraId="5EF99674">
            <w:pPr>
              <w:spacing w:line="240" w:lineRule="auto"/>
              <w:jc w:val="left"/>
              <w:rPr>
                <w:rFonts w:ascii="宋体" w:hAnsi="宋体"/>
                <w:sz w:val="24"/>
                <w:lang w:val="zh-CN"/>
              </w:rPr>
            </w:pPr>
          </w:p>
        </w:tc>
        <w:tc>
          <w:tcPr>
            <w:tcW w:w="1002" w:type="dxa"/>
            <w:tcBorders>
              <w:top w:val="nil"/>
              <w:left w:val="nil"/>
              <w:bottom w:val="single" w:color="auto" w:sz="4" w:space="0"/>
              <w:right w:val="single" w:color="auto" w:sz="4" w:space="0"/>
            </w:tcBorders>
            <w:vAlign w:val="center"/>
          </w:tcPr>
          <w:p w14:paraId="322C8E66">
            <w:pPr>
              <w:widowControl/>
              <w:spacing w:line="240" w:lineRule="auto"/>
              <w:jc w:val="center"/>
              <w:rPr>
                <w:rFonts w:ascii="宋体" w:hAnsi="宋体"/>
                <w:sz w:val="24"/>
              </w:rPr>
            </w:pPr>
            <w:r>
              <w:rPr>
                <w:rFonts w:hint="eastAsia" w:ascii="宋体" w:hAnsi="宋体"/>
                <w:sz w:val="24"/>
              </w:rPr>
              <w:t>16.67</w:t>
            </w:r>
          </w:p>
        </w:tc>
        <w:tc>
          <w:tcPr>
            <w:tcW w:w="1004" w:type="dxa"/>
            <w:tcBorders>
              <w:top w:val="nil"/>
              <w:left w:val="nil"/>
              <w:bottom w:val="single" w:color="auto" w:sz="4" w:space="0"/>
              <w:right w:val="single" w:color="auto" w:sz="4" w:space="0"/>
            </w:tcBorders>
            <w:vAlign w:val="center"/>
          </w:tcPr>
          <w:p w14:paraId="0C2BD638">
            <w:pPr>
              <w:widowControl/>
              <w:spacing w:line="240" w:lineRule="auto"/>
              <w:jc w:val="center"/>
              <w:rPr>
                <w:rFonts w:ascii="宋体" w:hAnsi="宋体"/>
                <w:sz w:val="24"/>
              </w:rPr>
            </w:pPr>
            <w:r>
              <w:rPr>
                <w:rFonts w:hint="eastAsia" w:ascii="宋体" w:hAnsi="宋体"/>
                <w:sz w:val="24"/>
              </w:rPr>
              <w:t>11.67</w:t>
            </w:r>
          </w:p>
        </w:tc>
        <w:tc>
          <w:tcPr>
            <w:tcW w:w="1142" w:type="dxa"/>
            <w:tcBorders>
              <w:top w:val="nil"/>
              <w:left w:val="nil"/>
              <w:bottom w:val="single" w:color="auto" w:sz="4" w:space="0"/>
              <w:right w:val="single" w:color="auto" w:sz="4" w:space="0"/>
            </w:tcBorders>
            <w:vAlign w:val="center"/>
          </w:tcPr>
          <w:p w14:paraId="230A18DF">
            <w:pPr>
              <w:widowControl/>
              <w:spacing w:line="240" w:lineRule="auto"/>
              <w:jc w:val="center"/>
              <w:rPr>
                <w:rFonts w:ascii="宋体" w:hAnsi="宋体"/>
                <w:sz w:val="24"/>
              </w:rPr>
            </w:pPr>
            <w:r>
              <w:rPr>
                <w:rFonts w:hint="eastAsia" w:ascii="宋体" w:hAnsi="宋体"/>
                <w:sz w:val="24"/>
              </w:rPr>
              <w:t>13.33</w:t>
            </w:r>
          </w:p>
        </w:tc>
        <w:tc>
          <w:tcPr>
            <w:tcW w:w="1004" w:type="dxa"/>
            <w:tcBorders>
              <w:top w:val="nil"/>
              <w:left w:val="nil"/>
              <w:bottom w:val="single" w:color="auto" w:sz="4" w:space="0"/>
              <w:right w:val="single" w:color="auto" w:sz="4" w:space="0"/>
            </w:tcBorders>
            <w:vAlign w:val="center"/>
          </w:tcPr>
          <w:p w14:paraId="1E646C53">
            <w:pPr>
              <w:widowControl/>
              <w:spacing w:line="240" w:lineRule="auto"/>
              <w:jc w:val="center"/>
              <w:rPr>
                <w:rFonts w:ascii="宋体" w:hAnsi="宋体"/>
                <w:sz w:val="24"/>
              </w:rPr>
            </w:pPr>
            <w:r>
              <w:rPr>
                <w:rFonts w:hint="eastAsia" w:ascii="宋体" w:hAnsi="宋体"/>
                <w:sz w:val="24"/>
              </w:rPr>
              <w:t>21.66</w:t>
            </w:r>
          </w:p>
        </w:tc>
        <w:tc>
          <w:tcPr>
            <w:tcW w:w="1258" w:type="dxa"/>
            <w:tcBorders>
              <w:top w:val="nil"/>
              <w:left w:val="nil"/>
              <w:bottom w:val="single" w:color="auto" w:sz="4" w:space="0"/>
              <w:right w:val="single" w:color="auto" w:sz="4" w:space="0"/>
            </w:tcBorders>
            <w:vAlign w:val="center"/>
          </w:tcPr>
          <w:p w14:paraId="362E4038">
            <w:pPr>
              <w:spacing w:line="240" w:lineRule="auto"/>
              <w:jc w:val="center"/>
              <w:rPr>
                <w:rFonts w:ascii="宋体" w:hAnsi="宋体"/>
                <w:sz w:val="24"/>
              </w:rPr>
            </w:pPr>
            <w:r>
              <w:rPr>
                <w:rFonts w:hint="eastAsia" w:ascii="宋体" w:hAnsi="宋体"/>
                <w:sz w:val="24"/>
              </w:rPr>
              <w:t>11.67</w:t>
            </w:r>
          </w:p>
        </w:tc>
        <w:tc>
          <w:tcPr>
            <w:tcW w:w="1084" w:type="dxa"/>
            <w:tcBorders>
              <w:top w:val="nil"/>
              <w:left w:val="nil"/>
              <w:bottom w:val="single" w:color="auto" w:sz="4" w:space="0"/>
              <w:right w:val="single" w:color="auto" w:sz="4" w:space="0"/>
            </w:tcBorders>
            <w:vAlign w:val="center"/>
          </w:tcPr>
          <w:p w14:paraId="6C914D60">
            <w:pPr>
              <w:spacing w:line="240" w:lineRule="auto"/>
              <w:jc w:val="center"/>
              <w:rPr>
                <w:rFonts w:ascii="宋体" w:hAnsi="宋体"/>
                <w:sz w:val="24"/>
              </w:rPr>
            </w:pPr>
            <w:r>
              <w:rPr>
                <w:rFonts w:hint="eastAsia" w:ascii="宋体" w:hAnsi="宋体"/>
                <w:sz w:val="24"/>
              </w:rPr>
              <w:t>11.67</w:t>
            </w:r>
          </w:p>
        </w:tc>
        <w:tc>
          <w:tcPr>
            <w:tcW w:w="981" w:type="dxa"/>
            <w:tcBorders>
              <w:top w:val="nil"/>
              <w:left w:val="nil"/>
              <w:bottom w:val="single" w:color="auto" w:sz="4" w:space="0"/>
              <w:right w:val="single" w:color="auto" w:sz="4" w:space="0"/>
            </w:tcBorders>
            <w:vAlign w:val="center"/>
          </w:tcPr>
          <w:p w14:paraId="1AFA04DB">
            <w:pPr>
              <w:spacing w:line="240" w:lineRule="auto"/>
              <w:jc w:val="center"/>
              <w:rPr>
                <w:rFonts w:ascii="宋体" w:hAnsi="宋体"/>
                <w:sz w:val="24"/>
              </w:rPr>
            </w:pPr>
            <w:r>
              <w:rPr>
                <w:rFonts w:hint="eastAsia" w:ascii="宋体" w:hAnsi="宋体"/>
                <w:sz w:val="24"/>
              </w:rPr>
              <w:t>13.33</w:t>
            </w:r>
          </w:p>
        </w:tc>
        <w:tc>
          <w:tcPr>
            <w:tcW w:w="831" w:type="dxa"/>
            <w:tcBorders>
              <w:top w:val="nil"/>
              <w:left w:val="nil"/>
              <w:bottom w:val="single" w:color="auto" w:sz="4" w:space="0"/>
              <w:right w:val="single" w:color="auto" w:sz="4" w:space="0"/>
            </w:tcBorders>
            <w:vAlign w:val="center"/>
          </w:tcPr>
          <w:p w14:paraId="4EEAD472">
            <w:pPr>
              <w:spacing w:line="240" w:lineRule="auto"/>
              <w:jc w:val="center"/>
              <w:rPr>
                <w:rFonts w:ascii="宋体" w:hAnsi="宋体"/>
                <w:sz w:val="24"/>
              </w:rPr>
            </w:pPr>
            <w:r>
              <w:rPr>
                <w:rFonts w:hint="eastAsia" w:ascii="宋体" w:hAnsi="宋体"/>
                <w:sz w:val="24"/>
              </w:rPr>
              <w:t>100%</w:t>
            </w:r>
          </w:p>
        </w:tc>
      </w:tr>
    </w:tbl>
    <w:p w14:paraId="3E3BB133">
      <w:pPr>
        <w:spacing w:line="240" w:lineRule="auto"/>
      </w:pPr>
      <w:r>
        <w:rPr>
          <w:rFonts w:hint="eastAsia" w:ascii="宋体" w:hAnsi="宋体"/>
          <w:b/>
          <w:sz w:val="24"/>
          <w:szCs w:val="20"/>
        </w:rPr>
        <w:t xml:space="preserve">   八、本采购文件解释权归采购人。</w:t>
      </w:r>
    </w:p>
    <w:p w14:paraId="5EA4A517">
      <w:pPr>
        <w:sectPr>
          <w:pgSz w:w="11906" w:h="16840"/>
          <w:pgMar w:top="1440" w:right="1128" w:bottom="1701" w:left="1276" w:header="851" w:footer="992" w:gutter="0"/>
          <w:cols w:space="720" w:num="1"/>
          <w:docGrid w:linePitch="312" w:charSpace="0"/>
        </w:sectPr>
      </w:pPr>
    </w:p>
    <w:p w14:paraId="3D7076A2">
      <w:r>
        <w:rPr>
          <w:rFonts w:hint="eastAsia"/>
        </w:rPr>
        <w:t xml:space="preserve">附件：               </w:t>
      </w:r>
    </w:p>
    <w:p w14:paraId="43553D6D">
      <w:pPr>
        <w:jc w:val="center"/>
      </w:pPr>
      <w:r>
        <w:rPr>
          <w:rFonts w:hint="eastAsia"/>
          <w:b/>
          <w:bCs/>
          <w:sz w:val="24"/>
        </w:rPr>
        <w:t>衢州市</w:t>
      </w:r>
      <w:r>
        <w:rPr>
          <w:rFonts w:hint="eastAsia" w:ascii="宋体" w:hAnsi="宋体"/>
          <w:b/>
          <w:bCs/>
          <w:sz w:val="24"/>
        </w:rPr>
        <w:t>冻猪肉储备管理检查及工作内容清单</w:t>
      </w:r>
    </w:p>
    <w:tbl>
      <w:tblPr>
        <w:tblStyle w:val="5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5490"/>
        <w:gridCol w:w="2431"/>
      </w:tblGrid>
      <w:tr w14:paraId="130E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tcPr>
          <w:p w14:paraId="79820013">
            <w:pPr>
              <w:pStyle w:val="22"/>
              <w:rPr>
                <w:b w:val="0"/>
                <w:color w:val="auto"/>
                <w:sz w:val="21"/>
                <w:szCs w:val="21"/>
              </w:rPr>
            </w:pPr>
            <w:r>
              <w:rPr>
                <w:b w:val="0"/>
                <w:color w:val="auto"/>
                <w:sz w:val="21"/>
                <w:szCs w:val="21"/>
              </w:rPr>
              <w:t>编号</w:t>
            </w:r>
          </w:p>
        </w:tc>
        <w:tc>
          <w:tcPr>
            <w:tcW w:w="5490" w:type="dxa"/>
            <w:tcBorders>
              <w:top w:val="single" w:color="auto" w:sz="4" w:space="0"/>
              <w:left w:val="nil"/>
              <w:bottom w:val="single" w:color="auto" w:sz="4" w:space="0"/>
              <w:right w:val="single" w:color="auto" w:sz="4" w:space="0"/>
            </w:tcBorders>
          </w:tcPr>
          <w:p w14:paraId="4137BF71">
            <w:pPr>
              <w:pStyle w:val="22"/>
              <w:rPr>
                <w:b w:val="0"/>
                <w:color w:val="auto"/>
                <w:sz w:val="21"/>
                <w:szCs w:val="21"/>
              </w:rPr>
            </w:pPr>
            <w:r>
              <w:rPr>
                <w:b w:val="0"/>
                <w:color w:val="auto"/>
                <w:sz w:val="21"/>
                <w:szCs w:val="21"/>
              </w:rPr>
              <w:t>检查和工作内容</w:t>
            </w:r>
          </w:p>
        </w:tc>
        <w:tc>
          <w:tcPr>
            <w:tcW w:w="2431" w:type="dxa"/>
            <w:tcBorders>
              <w:top w:val="single" w:color="auto" w:sz="4" w:space="0"/>
              <w:left w:val="nil"/>
              <w:bottom w:val="single" w:color="auto" w:sz="4" w:space="0"/>
              <w:right w:val="single" w:color="auto" w:sz="4" w:space="0"/>
            </w:tcBorders>
          </w:tcPr>
          <w:p w14:paraId="774D7A80">
            <w:pPr>
              <w:pStyle w:val="22"/>
              <w:rPr>
                <w:b w:val="0"/>
                <w:color w:val="auto"/>
                <w:sz w:val="21"/>
                <w:szCs w:val="21"/>
              </w:rPr>
            </w:pPr>
            <w:r>
              <w:rPr>
                <w:b w:val="0"/>
                <w:color w:val="auto"/>
                <w:sz w:val="21"/>
                <w:szCs w:val="21"/>
              </w:rPr>
              <w:t>备注</w:t>
            </w:r>
          </w:p>
        </w:tc>
      </w:tr>
      <w:tr w14:paraId="101D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14:paraId="1C3F7A49">
            <w:pPr>
              <w:pStyle w:val="22"/>
              <w:rPr>
                <w:b w:val="0"/>
                <w:color w:val="auto"/>
                <w:sz w:val="21"/>
                <w:szCs w:val="21"/>
              </w:rPr>
            </w:pPr>
            <w:r>
              <w:rPr>
                <w:b w:val="0"/>
                <w:color w:val="auto"/>
                <w:sz w:val="21"/>
                <w:szCs w:val="21"/>
              </w:rPr>
              <w:t>1</w:t>
            </w:r>
          </w:p>
        </w:tc>
        <w:tc>
          <w:tcPr>
            <w:tcW w:w="5490" w:type="dxa"/>
            <w:tcBorders>
              <w:top w:val="single" w:color="auto" w:sz="4" w:space="0"/>
              <w:left w:val="nil"/>
              <w:bottom w:val="single" w:color="auto" w:sz="4" w:space="0"/>
              <w:right w:val="single" w:color="auto" w:sz="4" w:space="0"/>
            </w:tcBorders>
          </w:tcPr>
          <w:p w14:paraId="3500EB26">
            <w:pPr>
              <w:pStyle w:val="22"/>
              <w:jc w:val="left"/>
              <w:rPr>
                <w:b w:val="0"/>
                <w:color w:val="auto"/>
                <w:sz w:val="21"/>
                <w:szCs w:val="21"/>
              </w:rPr>
            </w:pPr>
            <w:r>
              <w:rPr>
                <w:b w:val="0"/>
                <w:color w:val="auto"/>
                <w:sz w:val="21"/>
                <w:szCs w:val="21"/>
              </w:rPr>
              <w:t>建立健全内部管理制度和应急工作机制</w:t>
            </w:r>
          </w:p>
        </w:tc>
        <w:tc>
          <w:tcPr>
            <w:tcW w:w="2431" w:type="dxa"/>
            <w:tcBorders>
              <w:top w:val="single" w:color="auto" w:sz="4" w:space="0"/>
              <w:left w:val="nil"/>
              <w:bottom w:val="single" w:color="auto" w:sz="4" w:space="0"/>
              <w:right w:val="single" w:color="auto" w:sz="4" w:space="0"/>
            </w:tcBorders>
          </w:tcPr>
          <w:p w14:paraId="17F64B77">
            <w:pPr>
              <w:pStyle w:val="22"/>
              <w:rPr>
                <w:b w:val="0"/>
                <w:color w:val="auto"/>
                <w:sz w:val="21"/>
                <w:szCs w:val="21"/>
              </w:rPr>
            </w:pPr>
          </w:p>
        </w:tc>
      </w:tr>
      <w:tr w14:paraId="366F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14:paraId="574BE4AB">
            <w:pPr>
              <w:pStyle w:val="22"/>
              <w:rPr>
                <w:b w:val="0"/>
                <w:color w:val="auto"/>
                <w:sz w:val="21"/>
                <w:szCs w:val="21"/>
              </w:rPr>
            </w:pPr>
            <w:r>
              <w:rPr>
                <w:b w:val="0"/>
                <w:color w:val="auto"/>
                <w:sz w:val="21"/>
                <w:szCs w:val="21"/>
              </w:rPr>
              <w:t>2</w:t>
            </w:r>
          </w:p>
        </w:tc>
        <w:tc>
          <w:tcPr>
            <w:tcW w:w="5490" w:type="dxa"/>
            <w:tcBorders>
              <w:top w:val="single" w:color="auto" w:sz="4" w:space="0"/>
              <w:left w:val="nil"/>
              <w:bottom w:val="single" w:color="auto" w:sz="4" w:space="0"/>
              <w:right w:val="single" w:color="auto" w:sz="4" w:space="0"/>
            </w:tcBorders>
          </w:tcPr>
          <w:p w14:paraId="0B350EEE">
            <w:pPr>
              <w:pStyle w:val="22"/>
              <w:jc w:val="left"/>
              <w:rPr>
                <w:b w:val="0"/>
                <w:color w:val="auto"/>
                <w:sz w:val="21"/>
                <w:szCs w:val="21"/>
              </w:rPr>
            </w:pPr>
            <w:r>
              <w:rPr>
                <w:b w:val="0"/>
                <w:color w:val="auto"/>
                <w:sz w:val="21"/>
                <w:szCs w:val="21"/>
              </w:rPr>
              <w:t>建立储备</w:t>
            </w:r>
            <w:r>
              <w:rPr>
                <w:rFonts w:hint="eastAsia"/>
                <w:b w:val="0"/>
                <w:color w:val="auto"/>
                <w:sz w:val="21"/>
                <w:szCs w:val="21"/>
              </w:rPr>
              <w:t>冻猪肉</w:t>
            </w:r>
            <w:r>
              <w:rPr>
                <w:b w:val="0"/>
                <w:color w:val="auto"/>
                <w:sz w:val="21"/>
                <w:szCs w:val="21"/>
              </w:rPr>
              <w:t>保管制度和财务制度</w:t>
            </w:r>
          </w:p>
        </w:tc>
        <w:tc>
          <w:tcPr>
            <w:tcW w:w="2431" w:type="dxa"/>
            <w:tcBorders>
              <w:top w:val="single" w:color="auto" w:sz="4" w:space="0"/>
              <w:left w:val="nil"/>
              <w:bottom w:val="single" w:color="auto" w:sz="4" w:space="0"/>
              <w:right w:val="single" w:color="auto" w:sz="4" w:space="0"/>
            </w:tcBorders>
          </w:tcPr>
          <w:p w14:paraId="04A4B7CD">
            <w:pPr>
              <w:pStyle w:val="22"/>
              <w:rPr>
                <w:b w:val="0"/>
                <w:color w:val="auto"/>
                <w:sz w:val="21"/>
                <w:szCs w:val="21"/>
              </w:rPr>
            </w:pPr>
          </w:p>
        </w:tc>
      </w:tr>
      <w:tr w14:paraId="24EF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14:paraId="4E78CB93">
            <w:pPr>
              <w:pStyle w:val="22"/>
              <w:rPr>
                <w:b w:val="0"/>
                <w:color w:val="auto"/>
                <w:sz w:val="21"/>
                <w:szCs w:val="21"/>
              </w:rPr>
            </w:pPr>
            <w:r>
              <w:rPr>
                <w:b w:val="0"/>
                <w:color w:val="auto"/>
                <w:sz w:val="21"/>
                <w:szCs w:val="21"/>
              </w:rPr>
              <w:t>3</w:t>
            </w:r>
          </w:p>
        </w:tc>
        <w:tc>
          <w:tcPr>
            <w:tcW w:w="5490" w:type="dxa"/>
            <w:tcBorders>
              <w:top w:val="single" w:color="auto" w:sz="4" w:space="0"/>
              <w:left w:val="nil"/>
              <w:bottom w:val="single" w:color="auto" w:sz="4" w:space="0"/>
              <w:right w:val="single" w:color="auto" w:sz="4" w:space="0"/>
            </w:tcBorders>
          </w:tcPr>
          <w:p w14:paraId="1C800124">
            <w:pPr>
              <w:rPr>
                <w:rFonts w:ascii="宋体" w:hAnsi="宋体"/>
                <w:szCs w:val="21"/>
              </w:rPr>
            </w:pPr>
            <w:r>
              <w:rPr>
                <w:rFonts w:ascii="宋体" w:hAnsi="宋体"/>
                <w:szCs w:val="21"/>
              </w:rPr>
              <w:t>依据本协议确定的储备计划及时足额组织货源，专帐记载和挂牌明示</w:t>
            </w:r>
          </w:p>
        </w:tc>
        <w:tc>
          <w:tcPr>
            <w:tcW w:w="2431" w:type="dxa"/>
            <w:tcBorders>
              <w:top w:val="single" w:color="auto" w:sz="4" w:space="0"/>
              <w:left w:val="nil"/>
              <w:bottom w:val="single" w:color="auto" w:sz="4" w:space="0"/>
              <w:right w:val="single" w:color="auto" w:sz="4" w:space="0"/>
            </w:tcBorders>
          </w:tcPr>
          <w:p w14:paraId="00FF0E25">
            <w:pPr>
              <w:pStyle w:val="22"/>
              <w:rPr>
                <w:b w:val="0"/>
                <w:color w:val="auto"/>
                <w:sz w:val="21"/>
                <w:szCs w:val="21"/>
              </w:rPr>
            </w:pPr>
          </w:p>
        </w:tc>
      </w:tr>
      <w:tr w14:paraId="1ED8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14:paraId="2067C72D">
            <w:pPr>
              <w:pStyle w:val="22"/>
              <w:rPr>
                <w:b w:val="0"/>
                <w:color w:val="auto"/>
                <w:sz w:val="21"/>
                <w:szCs w:val="21"/>
              </w:rPr>
            </w:pPr>
            <w:r>
              <w:rPr>
                <w:b w:val="0"/>
                <w:color w:val="auto"/>
                <w:sz w:val="21"/>
                <w:szCs w:val="21"/>
              </w:rPr>
              <w:t>4</w:t>
            </w:r>
          </w:p>
        </w:tc>
        <w:tc>
          <w:tcPr>
            <w:tcW w:w="5490" w:type="dxa"/>
            <w:tcBorders>
              <w:top w:val="single" w:color="auto" w:sz="4" w:space="0"/>
              <w:left w:val="nil"/>
              <w:bottom w:val="single" w:color="auto" w:sz="4" w:space="0"/>
              <w:right w:val="single" w:color="auto" w:sz="4" w:space="0"/>
            </w:tcBorders>
          </w:tcPr>
          <w:p w14:paraId="14CE16C1">
            <w:pPr>
              <w:pStyle w:val="22"/>
              <w:jc w:val="left"/>
              <w:rPr>
                <w:b w:val="0"/>
                <w:color w:val="auto"/>
                <w:sz w:val="21"/>
                <w:szCs w:val="21"/>
              </w:rPr>
            </w:pPr>
            <w:r>
              <w:rPr>
                <w:rFonts w:hint="eastAsia"/>
                <w:b w:val="0"/>
                <w:color w:val="auto"/>
                <w:sz w:val="21"/>
                <w:szCs w:val="21"/>
              </w:rPr>
              <w:t>储备冻猪肉</w:t>
            </w:r>
            <w:r>
              <w:rPr>
                <w:b w:val="0"/>
                <w:color w:val="auto"/>
                <w:sz w:val="21"/>
                <w:szCs w:val="21"/>
              </w:rPr>
              <w:t>应按生产日期先后、不同品种分垛堆码</w:t>
            </w:r>
            <w:r>
              <w:rPr>
                <w:rFonts w:hint="eastAsia"/>
                <w:b w:val="0"/>
                <w:color w:val="auto"/>
                <w:sz w:val="21"/>
                <w:szCs w:val="21"/>
              </w:rPr>
              <w:t>，堆码按照国家冻肉储备相关管理规范执行。</w:t>
            </w:r>
          </w:p>
        </w:tc>
        <w:tc>
          <w:tcPr>
            <w:tcW w:w="2431" w:type="dxa"/>
            <w:tcBorders>
              <w:top w:val="single" w:color="auto" w:sz="4" w:space="0"/>
              <w:left w:val="nil"/>
              <w:bottom w:val="single" w:color="auto" w:sz="4" w:space="0"/>
              <w:right w:val="single" w:color="auto" w:sz="4" w:space="0"/>
            </w:tcBorders>
          </w:tcPr>
          <w:p w14:paraId="22CDEB5C">
            <w:pPr>
              <w:pStyle w:val="22"/>
              <w:rPr>
                <w:b w:val="0"/>
                <w:color w:val="auto"/>
                <w:sz w:val="21"/>
                <w:szCs w:val="21"/>
              </w:rPr>
            </w:pPr>
          </w:p>
        </w:tc>
      </w:tr>
      <w:tr w14:paraId="33B7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14:paraId="2577B69C">
            <w:pPr>
              <w:pStyle w:val="22"/>
              <w:rPr>
                <w:b w:val="0"/>
                <w:color w:val="auto"/>
                <w:sz w:val="21"/>
                <w:szCs w:val="21"/>
              </w:rPr>
            </w:pPr>
            <w:r>
              <w:rPr>
                <w:rFonts w:hint="eastAsia"/>
                <w:b w:val="0"/>
                <w:color w:val="auto"/>
                <w:sz w:val="21"/>
                <w:szCs w:val="21"/>
              </w:rPr>
              <w:t>5</w:t>
            </w:r>
          </w:p>
        </w:tc>
        <w:tc>
          <w:tcPr>
            <w:tcW w:w="5490" w:type="dxa"/>
            <w:tcBorders>
              <w:top w:val="single" w:color="auto" w:sz="4" w:space="0"/>
              <w:left w:val="nil"/>
              <w:bottom w:val="single" w:color="auto" w:sz="4" w:space="0"/>
              <w:right w:val="single" w:color="auto" w:sz="4" w:space="0"/>
            </w:tcBorders>
          </w:tcPr>
          <w:p w14:paraId="2C690681">
            <w:pPr>
              <w:pStyle w:val="22"/>
              <w:jc w:val="left"/>
              <w:rPr>
                <w:b w:val="0"/>
                <w:color w:val="auto"/>
                <w:sz w:val="21"/>
                <w:szCs w:val="21"/>
              </w:rPr>
            </w:pPr>
            <w:r>
              <w:rPr>
                <w:rFonts w:hint="eastAsia"/>
                <w:b w:val="0"/>
                <w:color w:val="auto"/>
                <w:sz w:val="21"/>
                <w:szCs w:val="21"/>
              </w:rPr>
              <w:t>建立储备冻猪肉轮出库工作流程</w:t>
            </w:r>
          </w:p>
        </w:tc>
        <w:tc>
          <w:tcPr>
            <w:tcW w:w="2431" w:type="dxa"/>
            <w:tcBorders>
              <w:top w:val="single" w:color="auto" w:sz="4" w:space="0"/>
              <w:left w:val="nil"/>
              <w:bottom w:val="single" w:color="auto" w:sz="4" w:space="0"/>
              <w:right w:val="single" w:color="auto" w:sz="4" w:space="0"/>
            </w:tcBorders>
            <w:vAlign w:val="center"/>
          </w:tcPr>
          <w:p w14:paraId="6E76BB1F">
            <w:pPr>
              <w:pStyle w:val="22"/>
              <w:jc w:val="left"/>
              <w:rPr>
                <w:b w:val="0"/>
                <w:color w:val="auto"/>
                <w:sz w:val="21"/>
                <w:szCs w:val="21"/>
              </w:rPr>
            </w:pPr>
          </w:p>
        </w:tc>
      </w:tr>
      <w:tr w14:paraId="4AA3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14:paraId="3328006E">
            <w:pPr>
              <w:pStyle w:val="22"/>
              <w:rPr>
                <w:b w:val="0"/>
                <w:color w:val="auto"/>
                <w:sz w:val="21"/>
                <w:szCs w:val="21"/>
              </w:rPr>
            </w:pPr>
            <w:r>
              <w:rPr>
                <w:rFonts w:hint="eastAsia"/>
                <w:b w:val="0"/>
                <w:color w:val="auto"/>
                <w:sz w:val="21"/>
                <w:szCs w:val="21"/>
              </w:rPr>
              <w:t>6</w:t>
            </w:r>
          </w:p>
        </w:tc>
        <w:tc>
          <w:tcPr>
            <w:tcW w:w="5490" w:type="dxa"/>
            <w:tcBorders>
              <w:top w:val="single" w:color="auto" w:sz="4" w:space="0"/>
              <w:left w:val="nil"/>
              <w:bottom w:val="single" w:color="auto" w:sz="4" w:space="0"/>
              <w:right w:val="single" w:color="auto" w:sz="4" w:space="0"/>
            </w:tcBorders>
          </w:tcPr>
          <w:p w14:paraId="18FC200B">
            <w:pPr>
              <w:pStyle w:val="22"/>
              <w:jc w:val="left"/>
              <w:rPr>
                <w:b w:val="0"/>
                <w:color w:val="auto"/>
                <w:sz w:val="21"/>
                <w:szCs w:val="21"/>
              </w:rPr>
            </w:pPr>
            <w:r>
              <w:rPr>
                <w:b w:val="0"/>
                <w:color w:val="auto"/>
                <w:sz w:val="21"/>
                <w:szCs w:val="21"/>
              </w:rPr>
              <w:t>储备轮出后应当及时、保质、同品种、等量轮入，轮换期间最低库存数量不得低于储备计划的70％。特殊情况不能按时轮入的，须报批准同意，否则按擅自动用储备处理</w:t>
            </w:r>
          </w:p>
        </w:tc>
        <w:tc>
          <w:tcPr>
            <w:tcW w:w="2431" w:type="dxa"/>
            <w:tcBorders>
              <w:top w:val="single" w:color="auto" w:sz="4" w:space="0"/>
              <w:left w:val="nil"/>
              <w:bottom w:val="single" w:color="auto" w:sz="4" w:space="0"/>
              <w:right w:val="single" w:color="auto" w:sz="4" w:space="0"/>
            </w:tcBorders>
            <w:vAlign w:val="center"/>
          </w:tcPr>
          <w:p w14:paraId="350C399D">
            <w:pPr>
              <w:pStyle w:val="22"/>
              <w:jc w:val="left"/>
              <w:rPr>
                <w:b w:val="0"/>
                <w:color w:val="auto"/>
                <w:sz w:val="21"/>
                <w:szCs w:val="21"/>
              </w:rPr>
            </w:pPr>
          </w:p>
        </w:tc>
      </w:tr>
      <w:tr w14:paraId="2D51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14:paraId="74A7E085">
            <w:pPr>
              <w:pStyle w:val="22"/>
              <w:rPr>
                <w:b w:val="0"/>
                <w:color w:val="auto"/>
                <w:sz w:val="21"/>
                <w:szCs w:val="21"/>
              </w:rPr>
            </w:pPr>
            <w:r>
              <w:rPr>
                <w:rFonts w:hint="eastAsia"/>
                <w:b w:val="0"/>
                <w:color w:val="auto"/>
                <w:sz w:val="21"/>
                <w:szCs w:val="21"/>
              </w:rPr>
              <w:t>7</w:t>
            </w:r>
          </w:p>
        </w:tc>
        <w:tc>
          <w:tcPr>
            <w:tcW w:w="5490" w:type="dxa"/>
            <w:tcBorders>
              <w:top w:val="single" w:color="auto" w:sz="4" w:space="0"/>
              <w:left w:val="nil"/>
              <w:bottom w:val="single" w:color="auto" w:sz="4" w:space="0"/>
              <w:right w:val="single" w:color="auto" w:sz="4" w:space="0"/>
            </w:tcBorders>
          </w:tcPr>
          <w:p w14:paraId="634D2D34">
            <w:pPr>
              <w:pStyle w:val="22"/>
              <w:jc w:val="left"/>
              <w:rPr>
                <w:b w:val="0"/>
                <w:color w:val="auto"/>
                <w:sz w:val="21"/>
                <w:szCs w:val="21"/>
              </w:rPr>
            </w:pPr>
            <w:r>
              <w:rPr>
                <w:b w:val="0"/>
                <w:color w:val="auto"/>
                <w:sz w:val="21"/>
                <w:szCs w:val="21"/>
              </w:rPr>
              <w:t>按月编制报送储备</w:t>
            </w:r>
            <w:r>
              <w:rPr>
                <w:rFonts w:hint="eastAsia"/>
                <w:b w:val="0"/>
                <w:color w:val="auto"/>
                <w:sz w:val="21"/>
                <w:szCs w:val="21"/>
              </w:rPr>
              <w:t>冻猪肉</w:t>
            </w:r>
            <w:r>
              <w:rPr>
                <w:b w:val="0"/>
                <w:color w:val="auto"/>
                <w:sz w:val="21"/>
                <w:szCs w:val="21"/>
              </w:rPr>
              <w:t>数量和金额报表</w:t>
            </w:r>
          </w:p>
        </w:tc>
        <w:tc>
          <w:tcPr>
            <w:tcW w:w="2431" w:type="dxa"/>
            <w:tcBorders>
              <w:top w:val="single" w:color="auto" w:sz="4" w:space="0"/>
              <w:left w:val="nil"/>
              <w:bottom w:val="single" w:color="auto" w:sz="4" w:space="0"/>
              <w:right w:val="single" w:color="auto" w:sz="4" w:space="0"/>
            </w:tcBorders>
            <w:vAlign w:val="center"/>
          </w:tcPr>
          <w:p w14:paraId="6BB26D49">
            <w:pPr>
              <w:pStyle w:val="22"/>
              <w:jc w:val="left"/>
              <w:rPr>
                <w:b w:val="0"/>
                <w:color w:val="auto"/>
                <w:sz w:val="21"/>
                <w:szCs w:val="21"/>
              </w:rPr>
            </w:pPr>
            <w:r>
              <w:rPr>
                <w:b w:val="0"/>
                <w:color w:val="auto"/>
                <w:sz w:val="21"/>
                <w:szCs w:val="21"/>
              </w:rPr>
              <w:t>月度终止后7日内</w:t>
            </w:r>
          </w:p>
        </w:tc>
      </w:tr>
      <w:tr w14:paraId="0BA3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14:paraId="1CB107FC">
            <w:pPr>
              <w:pStyle w:val="22"/>
              <w:rPr>
                <w:b w:val="0"/>
                <w:color w:val="auto"/>
                <w:sz w:val="21"/>
                <w:szCs w:val="21"/>
              </w:rPr>
            </w:pPr>
            <w:r>
              <w:rPr>
                <w:rFonts w:hint="eastAsia"/>
                <w:b w:val="0"/>
                <w:color w:val="auto"/>
                <w:sz w:val="21"/>
                <w:szCs w:val="21"/>
              </w:rPr>
              <w:t>8</w:t>
            </w:r>
          </w:p>
        </w:tc>
        <w:tc>
          <w:tcPr>
            <w:tcW w:w="5490" w:type="dxa"/>
            <w:tcBorders>
              <w:top w:val="single" w:color="auto" w:sz="4" w:space="0"/>
              <w:left w:val="nil"/>
              <w:bottom w:val="single" w:color="auto" w:sz="4" w:space="0"/>
              <w:right w:val="single" w:color="auto" w:sz="4" w:space="0"/>
            </w:tcBorders>
          </w:tcPr>
          <w:p w14:paraId="78AF68EC">
            <w:pPr>
              <w:pStyle w:val="22"/>
              <w:jc w:val="left"/>
              <w:rPr>
                <w:b w:val="0"/>
                <w:color w:val="auto"/>
                <w:sz w:val="21"/>
                <w:szCs w:val="21"/>
              </w:rPr>
            </w:pPr>
            <w:r>
              <w:rPr>
                <w:b w:val="0"/>
                <w:color w:val="auto"/>
                <w:sz w:val="21"/>
                <w:szCs w:val="21"/>
              </w:rPr>
              <w:t>编制报送季度储备</w:t>
            </w:r>
            <w:r>
              <w:rPr>
                <w:rFonts w:hint="eastAsia"/>
                <w:b w:val="0"/>
                <w:color w:val="auto"/>
                <w:sz w:val="21"/>
                <w:szCs w:val="21"/>
              </w:rPr>
              <w:t>冻猪肉</w:t>
            </w:r>
            <w:r>
              <w:rPr>
                <w:b w:val="0"/>
                <w:color w:val="auto"/>
                <w:sz w:val="21"/>
                <w:szCs w:val="21"/>
              </w:rPr>
              <w:t>业务、财务报表</w:t>
            </w:r>
          </w:p>
        </w:tc>
        <w:tc>
          <w:tcPr>
            <w:tcW w:w="2431" w:type="dxa"/>
            <w:tcBorders>
              <w:top w:val="single" w:color="auto" w:sz="4" w:space="0"/>
              <w:left w:val="nil"/>
              <w:bottom w:val="single" w:color="auto" w:sz="4" w:space="0"/>
              <w:right w:val="single" w:color="auto" w:sz="4" w:space="0"/>
            </w:tcBorders>
            <w:vAlign w:val="center"/>
          </w:tcPr>
          <w:p w14:paraId="10B9F6D1">
            <w:pPr>
              <w:pStyle w:val="22"/>
              <w:jc w:val="left"/>
              <w:rPr>
                <w:b w:val="0"/>
                <w:color w:val="auto"/>
                <w:sz w:val="21"/>
                <w:szCs w:val="21"/>
              </w:rPr>
            </w:pPr>
            <w:r>
              <w:rPr>
                <w:b w:val="0"/>
                <w:color w:val="auto"/>
                <w:sz w:val="21"/>
                <w:szCs w:val="21"/>
              </w:rPr>
              <w:t>季度终止后10日内</w:t>
            </w:r>
          </w:p>
        </w:tc>
      </w:tr>
      <w:tr w14:paraId="16AE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14:paraId="482B6D67">
            <w:pPr>
              <w:pStyle w:val="22"/>
              <w:rPr>
                <w:b w:val="0"/>
                <w:color w:val="auto"/>
                <w:sz w:val="21"/>
                <w:szCs w:val="21"/>
              </w:rPr>
            </w:pPr>
            <w:r>
              <w:rPr>
                <w:rFonts w:hint="eastAsia"/>
                <w:b w:val="0"/>
                <w:color w:val="auto"/>
                <w:sz w:val="21"/>
                <w:szCs w:val="21"/>
              </w:rPr>
              <w:t>9</w:t>
            </w:r>
          </w:p>
        </w:tc>
        <w:tc>
          <w:tcPr>
            <w:tcW w:w="5490" w:type="dxa"/>
            <w:tcBorders>
              <w:top w:val="single" w:color="auto" w:sz="4" w:space="0"/>
              <w:left w:val="nil"/>
              <w:bottom w:val="single" w:color="auto" w:sz="4" w:space="0"/>
              <w:right w:val="single" w:color="auto" w:sz="4" w:space="0"/>
            </w:tcBorders>
          </w:tcPr>
          <w:p w14:paraId="2CE100A6">
            <w:pPr>
              <w:pStyle w:val="22"/>
              <w:jc w:val="left"/>
              <w:rPr>
                <w:b w:val="0"/>
                <w:color w:val="auto"/>
                <w:sz w:val="21"/>
                <w:szCs w:val="21"/>
              </w:rPr>
            </w:pPr>
            <w:r>
              <w:rPr>
                <w:b w:val="0"/>
                <w:color w:val="auto"/>
                <w:sz w:val="21"/>
                <w:szCs w:val="21"/>
              </w:rPr>
              <w:t>报送</w:t>
            </w:r>
            <w:r>
              <w:rPr>
                <w:rFonts w:hint="eastAsia"/>
                <w:b w:val="0"/>
                <w:color w:val="auto"/>
                <w:sz w:val="21"/>
                <w:szCs w:val="21"/>
              </w:rPr>
              <w:t>全年</w:t>
            </w:r>
            <w:r>
              <w:rPr>
                <w:b w:val="0"/>
                <w:color w:val="auto"/>
                <w:sz w:val="21"/>
                <w:szCs w:val="21"/>
              </w:rPr>
              <w:t>储备</w:t>
            </w:r>
            <w:r>
              <w:rPr>
                <w:rFonts w:hint="eastAsia"/>
                <w:b w:val="0"/>
                <w:color w:val="auto"/>
                <w:sz w:val="21"/>
                <w:szCs w:val="21"/>
              </w:rPr>
              <w:t>冻猪肉</w:t>
            </w:r>
            <w:r>
              <w:rPr>
                <w:b w:val="0"/>
                <w:color w:val="auto"/>
                <w:sz w:val="21"/>
                <w:szCs w:val="21"/>
              </w:rPr>
              <w:t>管理工作总结</w:t>
            </w:r>
          </w:p>
        </w:tc>
        <w:tc>
          <w:tcPr>
            <w:tcW w:w="2431" w:type="dxa"/>
            <w:tcBorders>
              <w:top w:val="single" w:color="auto" w:sz="4" w:space="0"/>
              <w:left w:val="nil"/>
              <w:bottom w:val="single" w:color="auto" w:sz="4" w:space="0"/>
              <w:right w:val="single" w:color="auto" w:sz="4" w:space="0"/>
            </w:tcBorders>
            <w:vAlign w:val="center"/>
          </w:tcPr>
          <w:p w14:paraId="0ACD9557">
            <w:pPr>
              <w:pStyle w:val="22"/>
              <w:jc w:val="left"/>
              <w:rPr>
                <w:b w:val="0"/>
                <w:color w:val="auto"/>
                <w:sz w:val="21"/>
                <w:szCs w:val="21"/>
              </w:rPr>
            </w:pPr>
            <w:r>
              <w:rPr>
                <w:rFonts w:hint="eastAsia"/>
                <w:b w:val="0"/>
                <w:color w:val="auto"/>
                <w:sz w:val="21"/>
                <w:szCs w:val="21"/>
              </w:rPr>
              <w:t>储备期满后次</w:t>
            </w:r>
            <w:r>
              <w:rPr>
                <w:b w:val="0"/>
                <w:color w:val="auto"/>
                <w:sz w:val="21"/>
                <w:szCs w:val="21"/>
              </w:rPr>
              <w:t>月30日前</w:t>
            </w:r>
          </w:p>
        </w:tc>
      </w:tr>
      <w:tr w14:paraId="7484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14:paraId="661A430D">
            <w:pPr>
              <w:pStyle w:val="22"/>
              <w:rPr>
                <w:b w:val="0"/>
                <w:color w:val="auto"/>
                <w:sz w:val="21"/>
                <w:szCs w:val="21"/>
              </w:rPr>
            </w:pPr>
            <w:r>
              <w:rPr>
                <w:rFonts w:hint="eastAsia"/>
                <w:b w:val="0"/>
                <w:color w:val="auto"/>
                <w:sz w:val="21"/>
                <w:szCs w:val="21"/>
              </w:rPr>
              <w:t>10</w:t>
            </w:r>
          </w:p>
        </w:tc>
        <w:tc>
          <w:tcPr>
            <w:tcW w:w="5490" w:type="dxa"/>
            <w:tcBorders>
              <w:top w:val="single" w:color="auto" w:sz="4" w:space="0"/>
              <w:left w:val="nil"/>
              <w:bottom w:val="single" w:color="auto" w:sz="4" w:space="0"/>
              <w:right w:val="single" w:color="auto" w:sz="4" w:space="0"/>
            </w:tcBorders>
          </w:tcPr>
          <w:p w14:paraId="5664C6B4">
            <w:pPr>
              <w:pStyle w:val="22"/>
              <w:jc w:val="left"/>
              <w:rPr>
                <w:b w:val="0"/>
                <w:color w:val="auto"/>
                <w:sz w:val="21"/>
                <w:szCs w:val="21"/>
              </w:rPr>
            </w:pPr>
            <w:r>
              <w:rPr>
                <w:rFonts w:hint="eastAsia"/>
                <w:b w:val="0"/>
                <w:color w:val="auto"/>
                <w:sz w:val="21"/>
                <w:szCs w:val="21"/>
              </w:rPr>
              <w:t>承储单位</w:t>
            </w:r>
            <w:r>
              <w:rPr>
                <w:b w:val="0"/>
                <w:color w:val="auto"/>
                <w:sz w:val="21"/>
                <w:szCs w:val="21"/>
              </w:rPr>
              <w:t>不得以储备肉对外进行质押、担保或清偿债务；承储单位（以集团公司应标的含储存冷库）资产负债率达到70%、发生违法违规违纪等不良行为或进入撤销、解散或者破产程序时，应及时书面报告</w:t>
            </w:r>
          </w:p>
        </w:tc>
        <w:tc>
          <w:tcPr>
            <w:tcW w:w="2431" w:type="dxa"/>
            <w:tcBorders>
              <w:top w:val="single" w:color="auto" w:sz="4" w:space="0"/>
              <w:left w:val="nil"/>
              <w:bottom w:val="single" w:color="auto" w:sz="4" w:space="0"/>
              <w:right w:val="single" w:color="auto" w:sz="4" w:space="0"/>
            </w:tcBorders>
            <w:vAlign w:val="center"/>
          </w:tcPr>
          <w:p w14:paraId="49C0518E">
            <w:pPr>
              <w:pStyle w:val="22"/>
              <w:jc w:val="left"/>
              <w:rPr>
                <w:b w:val="0"/>
                <w:color w:val="auto"/>
                <w:sz w:val="21"/>
                <w:szCs w:val="21"/>
              </w:rPr>
            </w:pPr>
            <w:r>
              <w:rPr>
                <w:b w:val="0"/>
                <w:color w:val="auto"/>
                <w:sz w:val="21"/>
                <w:szCs w:val="21"/>
              </w:rPr>
              <w:t>10个工作日内</w:t>
            </w:r>
          </w:p>
        </w:tc>
      </w:tr>
      <w:tr w14:paraId="09BD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14:paraId="606A441D">
            <w:pPr>
              <w:pStyle w:val="22"/>
              <w:rPr>
                <w:b w:val="0"/>
                <w:color w:val="auto"/>
                <w:sz w:val="21"/>
                <w:szCs w:val="21"/>
              </w:rPr>
            </w:pPr>
            <w:r>
              <w:rPr>
                <w:rFonts w:hint="eastAsia"/>
                <w:b w:val="0"/>
                <w:color w:val="auto"/>
                <w:sz w:val="21"/>
                <w:szCs w:val="21"/>
              </w:rPr>
              <w:t>11</w:t>
            </w:r>
          </w:p>
        </w:tc>
        <w:tc>
          <w:tcPr>
            <w:tcW w:w="5490" w:type="dxa"/>
            <w:tcBorders>
              <w:top w:val="single" w:color="auto" w:sz="4" w:space="0"/>
              <w:left w:val="nil"/>
              <w:bottom w:val="single" w:color="auto" w:sz="4" w:space="0"/>
              <w:right w:val="single" w:color="auto" w:sz="4" w:space="0"/>
            </w:tcBorders>
          </w:tcPr>
          <w:p w14:paraId="2E124598">
            <w:pPr>
              <w:pStyle w:val="22"/>
              <w:jc w:val="left"/>
              <w:rPr>
                <w:b w:val="0"/>
                <w:color w:val="auto"/>
                <w:sz w:val="21"/>
                <w:szCs w:val="21"/>
              </w:rPr>
            </w:pPr>
            <w:r>
              <w:rPr>
                <w:rFonts w:hint="eastAsia"/>
                <w:b w:val="0"/>
                <w:color w:val="auto"/>
                <w:sz w:val="21"/>
                <w:szCs w:val="21"/>
              </w:rPr>
              <w:t>招标书要求和承储单位在投标响应文件中的各项内容落实情况</w:t>
            </w:r>
          </w:p>
        </w:tc>
        <w:tc>
          <w:tcPr>
            <w:tcW w:w="2431" w:type="dxa"/>
            <w:tcBorders>
              <w:top w:val="single" w:color="auto" w:sz="4" w:space="0"/>
              <w:left w:val="nil"/>
              <w:bottom w:val="single" w:color="auto" w:sz="4" w:space="0"/>
              <w:right w:val="single" w:color="auto" w:sz="4" w:space="0"/>
            </w:tcBorders>
            <w:vAlign w:val="center"/>
          </w:tcPr>
          <w:p w14:paraId="10949B58">
            <w:pPr>
              <w:pStyle w:val="22"/>
              <w:jc w:val="left"/>
              <w:rPr>
                <w:b w:val="0"/>
                <w:color w:val="auto"/>
                <w:sz w:val="21"/>
                <w:szCs w:val="21"/>
              </w:rPr>
            </w:pPr>
          </w:p>
        </w:tc>
      </w:tr>
    </w:tbl>
    <w:p w14:paraId="4A4F5C42">
      <w:r>
        <w:rPr>
          <w:rFonts w:hint="eastAsia"/>
        </w:rPr>
        <w:t>注：以上检查内容及要求最终以采购人需求为准。</w:t>
      </w:r>
    </w:p>
    <w:p w14:paraId="755DE9EA">
      <w:pPr>
        <w:rPr>
          <w:rFonts w:ascii="宋体" w:hAnsi="宋体"/>
          <w:b/>
          <w:sz w:val="36"/>
          <w:szCs w:val="36"/>
        </w:rPr>
        <w:sectPr>
          <w:pgSz w:w="11906" w:h="16840"/>
          <w:pgMar w:top="1440" w:right="1128" w:bottom="1701" w:left="1276" w:header="851" w:footer="992" w:gutter="0"/>
          <w:cols w:space="720" w:num="1"/>
          <w:docGrid w:linePitch="312" w:charSpace="0"/>
        </w:sectPr>
      </w:pPr>
      <w:r>
        <w:rPr>
          <w:rFonts w:hint="eastAsia" w:ascii="宋体" w:hAnsi="宋体"/>
          <w:b/>
          <w:sz w:val="36"/>
          <w:szCs w:val="36"/>
        </w:rPr>
        <w:t xml:space="preserve"> </w:t>
      </w:r>
    </w:p>
    <w:p w14:paraId="66F778C8">
      <w:pPr>
        <w:jc w:val="center"/>
        <w:outlineLvl w:val="0"/>
        <w:rPr>
          <w:rFonts w:ascii="宋体" w:hAnsi="宋体"/>
          <w:b/>
          <w:sz w:val="36"/>
          <w:szCs w:val="36"/>
        </w:rPr>
      </w:pPr>
      <w:bookmarkStart w:id="130" w:name="_Toc32653"/>
      <w:r>
        <w:rPr>
          <w:rFonts w:ascii="宋体" w:hAnsi="宋体"/>
          <w:b/>
          <w:sz w:val="36"/>
          <w:szCs w:val="36"/>
        </w:rPr>
        <w:t>第四章 开标、评标和定标须知</w:t>
      </w:r>
      <w:bookmarkEnd w:id="124"/>
      <w:bookmarkEnd w:id="125"/>
      <w:bookmarkEnd w:id="130"/>
    </w:p>
    <w:bookmarkEnd w:id="126"/>
    <w:bookmarkEnd w:id="127"/>
    <w:bookmarkEnd w:id="128"/>
    <w:bookmarkEnd w:id="129"/>
    <w:p w14:paraId="349A44E0">
      <w:pPr>
        <w:snapToGrid w:val="0"/>
        <w:spacing w:line="400" w:lineRule="atLeast"/>
        <w:ind w:firstLine="480" w:firstLineChars="200"/>
        <w:rPr>
          <w:rFonts w:ascii="宋体" w:hAnsi="宋体"/>
          <w:sz w:val="24"/>
        </w:rPr>
      </w:pPr>
      <w:bookmarkStart w:id="131" w:name="_Toc34830405"/>
      <w:bookmarkStart w:id="132" w:name="_Toc518332135"/>
      <w:bookmarkStart w:id="133" w:name="_Toc519014248"/>
      <w:bookmarkStart w:id="134" w:name="_Toc362250704"/>
      <w:bookmarkStart w:id="135" w:name="_Toc274303252"/>
      <w:r>
        <w:rPr>
          <w:rFonts w:ascii="宋体" w:hAnsi="宋体"/>
          <w:sz w:val="24"/>
        </w:rPr>
        <w:t>一、开标</w:t>
      </w:r>
    </w:p>
    <w:p w14:paraId="53058DB8">
      <w:pPr>
        <w:adjustRightInd w:val="0"/>
        <w:snapToGrid w:val="0"/>
        <w:ind w:firstLine="480" w:firstLineChars="200"/>
        <w:jc w:val="left"/>
        <w:rPr>
          <w:rFonts w:ascii="宋体" w:hAnsi="宋体"/>
          <w:snapToGrid w:val="0"/>
          <w:kern w:val="0"/>
          <w:sz w:val="24"/>
        </w:rPr>
      </w:pPr>
      <w:r>
        <w:rPr>
          <w:rFonts w:ascii="宋体" w:hAnsi="宋体"/>
          <w:snapToGrid w:val="0"/>
          <w:kern w:val="0"/>
          <w:sz w:val="24"/>
        </w:rPr>
        <w:t>1.采购代理机构将在规定的时间和地点进行开标，并做好相应的开标及现场监控设备的准备。</w:t>
      </w:r>
    </w:p>
    <w:p w14:paraId="17CA80B6">
      <w:pPr>
        <w:adjustRightInd w:val="0"/>
        <w:snapToGrid w:val="0"/>
        <w:ind w:firstLine="480" w:firstLineChars="200"/>
        <w:jc w:val="left"/>
        <w:rPr>
          <w:rFonts w:ascii="宋体" w:hAnsi="宋体"/>
          <w:snapToGrid w:val="0"/>
          <w:kern w:val="0"/>
          <w:sz w:val="24"/>
        </w:rPr>
      </w:pPr>
      <w:r>
        <w:rPr>
          <w:rFonts w:ascii="宋体" w:hAnsi="宋体"/>
          <w:snapToGrid w:val="0"/>
          <w:kern w:val="0"/>
          <w:sz w:val="24"/>
        </w:rPr>
        <w:t>2.招标组织机构将按照采购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A6E5C1B">
      <w:pPr>
        <w:adjustRightInd w:val="0"/>
        <w:snapToGrid w:val="0"/>
        <w:ind w:firstLine="480" w:firstLineChars="200"/>
        <w:jc w:val="left"/>
        <w:rPr>
          <w:rFonts w:ascii="宋体" w:hAnsi="宋体"/>
          <w:snapToGrid w:val="0"/>
          <w:kern w:val="0"/>
          <w:sz w:val="24"/>
        </w:rPr>
      </w:pPr>
      <w:r>
        <w:rPr>
          <w:rFonts w:ascii="宋体" w:hAnsi="宋体"/>
          <w:snapToGrid w:val="0"/>
          <w:kern w:val="0"/>
          <w:sz w:val="24"/>
        </w:rPr>
        <w:t>3.开标程序</w:t>
      </w:r>
    </w:p>
    <w:p w14:paraId="40E75453">
      <w:pPr>
        <w:ind w:firstLine="394"/>
        <w:rPr>
          <w:rFonts w:ascii="宋体" w:hAnsi="宋体"/>
          <w:b/>
          <w:sz w:val="24"/>
        </w:rPr>
      </w:pPr>
      <w:r>
        <w:rPr>
          <w:rFonts w:ascii="宋体" w:hAnsi="宋体"/>
          <w:b/>
          <w:sz w:val="24"/>
        </w:rPr>
        <w:t>分两阶段开标。</w:t>
      </w:r>
    </w:p>
    <w:p w14:paraId="191C3AB4">
      <w:pPr>
        <w:ind w:firstLine="426" w:firstLineChars="177"/>
        <w:jc w:val="left"/>
        <w:rPr>
          <w:rFonts w:ascii="宋体" w:hAnsi="宋体"/>
          <w:b/>
          <w:kern w:val="0"/>
          <w:sz w:val="24"/>
        </w:rPr>
      </w:pPr>
      <w:r>
        <w:rPr>
          <w:rFonts w:ascii="宋体" w:hAnsi="宋体"/>
          <w:b/>
          <w:kern w:val="0"/>
          <w:sz w:val="24"/>
        </w:rPr>
        <w:t>3.1．第一阶段</w:t>
      </w:r>
    </w:p>
    <w:p w14:paraId="5C21029A">
      <w:pPr>
        <w:ind w:firstLine="424" w:firstLineChars="177"/>
        <w:jc w:val="left"/>
        <w:rPr>
          <w:rFonts w:ascii="宋体" w:hAnsi="宋体"/>
          <w:kern w:val="0"/>
          <w:sz w:val="24"/>
        </w:rPr>
      </w:pPr>
      <w:r>
        <w:rPr>
          <w:rFonts w:ascii="宋体" w:hAnsi="宋体"/>
          <w:kern w:val="0"/>
          <w:sz w:val="24"/>
        </w:rPr>
        <w:t>（1）“电子加密投标文件”解密：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9313E68">
      <w:pPr>
        <w:ind w:firstLine="424" w:firstLineChars="177"/>
        <w:jc w:val="left"/>
        <w:rPr>
          <w:rFonts w:ascii="宋体" w:hAnsi="宋体"/>
          <w:kern w:val="0"/>
          <w:sz w:val="24"/>
        </w:rPr>
      </w:pPr>
      <w:r>
        <w:rPr>
          <w:rFonts w:ascii="宋体" w:hAnsi="宋体"/>
          <w:kern w:val="0"/>
          <w:sz w:val="24"/>
        </w:rPr>
        <w:t>（2）投标文件解密结束后，各投标人签署“政府采购活动现场确认声明书”，如在规定时间（开标结束后30分钟）内未签署“政府采购活动现场确认声明书”的，将视同该投标人已如实确认与采购人以及参加本次采购的其他投标人不存在影响公平竞争的利害关系。</w:t>
      </w:r>
    </w:p>
    <w:p w14:paraId="65674B3F">
      <w:pPr>
        <w:ind w:firstLine="424" w:firstLineChars="177"/>
        <w:jc w:val="left"/>
        <w:rPr>
          <w:rFonts w:ascii="宋体" w:hAnsi="宋体"/>
          <w:kern w:val="0"/>
          <w:sz w:val="24"/>
        </w:rPr>
      </w:pPr>
      <w:r>
        <w:rPr>
          <w:rFonts w:ascii="宋体" w:hAnsi="宋体"/>
          <w:kern w:val="0"/>
          <w:sz w:val="24"/>
        </w:rPr>
        <w:t>（3）开启投标文件，进入资格审查</w:t>
      </w:r>
    </w:p>
    <w:p w14:paraId="09781D6B">
      <w:pPr>
        <w:ind w:firstLine="424" w:firstLineChars="177"/>
        <w:jc w:val="left"/>
        <w:rPr>
          <w:rFonts w:ascii="宋体" w:hAnsi="宋体"/>
          <w:kern w:val="0"/>
          <w:sz w:val="24"/>
        </w:rPr>
      </w:pPr>
      <w:r>
        <w:rPr>
          <w:rFonts w:ascii="宋体" w:hAnsi="宋体"/>
          <w:kern w:val="0"/>
          <w:sz w:val="24"/>
        </w:rPr>
        <w:t>开启资格审查通过的投标供应商的商务技术文件进入符合性审查、商务技术评审；</w:t>
      </w:r>
    </w:p>
    <w:p w14:paraId="1624AED8">
      <w:pPr>
        <w:ind w:firstLine="424" w:firstLineChars="177"/>
        <w:jc w:val="left"/>
        <w:rPr>
          <w:rFonts w:ascii="宋体" w:hAnsi="宋体"/>
          <w:kern w:val="0"/>
          <w:sz w:val="24"/>
        </w:rPr>
      </w:pPr>
      <w:r>
        <w:rPr>
          <w:rFonts w:ascii="宋体" w:hAnsi="宋体"/>
          <w:kern w:val="0"/>
          <w:sz w:val="24"/>
        </w:rPr>
        <w:t>第一阶段开标结束后，采购人或采购代理机构将对依法对投标人的资格响应文件进行审查，资格审查结束后进入符合性审查和商务技术的评审。</w:t>
      </w:r>
    </w:p>
    <w:p w14:paraId="23E14406">
      <w:pPr>
        <w:ind w:firstLine="482" w:firstLineChars="200"/>
        <w:jc w:val="left"/>
        <w:rPr>
          <w:rFonts w:ascii="宋体" w:hAnsi="宋体"/>
          <w:b/>
          <w:kern w:val="0"/>
          <w:sz w:val="24"/>
        </w:rPr>
      </w:pPr>
      <w:r>
        <w:rPr>
          <w:rFonts w:ascii="宋体" w:hAnsi="宋体"/>
          <w:b/>
          <w:kern w:val="0"/>
          <w:sz w:val="24"/>
        </w:rPr>
        <w:t>3.2.第二阶段</w:t>
      </w:r>
    </w:p>
    <w:p w14:paraId="708D2CAB">
      <w:pPr>
        <w:ind w:firstLine="424" w:firstLineChars="177"/>
        <w:jc w:val="left"/>
        <w:rPr>
          <w:rFonts w:ascii="宋体" w:hAnsi="宋体"/>
          <w:kern w:val="0"/>
          <w:sz w:val="24"/>
        </w:rPr>
      </w:pPr>
      <w:r>
        <w:rPr>
          <w:rFonts w:ascii="宋体" w:hAnsi="宋体"/>
          <w:kern w:val="0"/>
          <w:sz w:val="24"/>
        </w:rPr>
        <w:t>（1）资格审查、符合性审查、商务技术评审结束后，进行第二阶段开标。</w:t>
      </w:r>
    </w:p>
    <w:p w14:paraId="4724FADE">
      <w:pPr>
        <w:ind w:firstLine="424" w:firstLineChars="177"/>
        <w:jc w:val="left"/>
        <w:rPr>
          <w:rFonts w:ascii="宋体" w:hAnsi="宋体"/>
          <w:kern w:val="0"/>
          <w:sz w:val="24"/>
        </w:rPr>
      </w:pPr>
      <w:r>
        <w:rPr>
          <w:rFonts w:ascii="宋体" w:hAnsi="宋体"/>
          <w:kern w:val="0"/>
          <w:sz w:val="24"/>
        </w:rPr>
        <w:t>公布资格审查、符合性审查、商务技术评审无效投标人名称及理由；公布经商务技术评审后有效投标人的名单，同时公布其商务技术部分得分情况。</w:t>
      </w:r>
    </w:p>
    <w:p w14:paraId="27D4D98C">
      <w:pPr>
        <w:ind w:firstLine="424" w:firstLineChars="177"/>
        <w:jc w:val="left"/>
        <w:rPr>
          <w:rFonts w:ascii="宋体" w:hAnsi="宋体"/>
          <w:kern w:val="0"/>
          <w:sz w:val="24"/>
        </w:rPr>
      </w:pPr>
      <w:r>
        <w:rPr>
          <w:rFonts w:ascii="宋体" w:hAnsi="宋体"/>
          <w:kern w:val="0"/>
          <w:sz w:val="24"/>
        </w:rPr>
        <w:t>（2）开启符合性审查、商务技术评审有效投标人的报价文件，公布开标一览表有关内容，同时当场制作开标记录表。第二阶段开标结束后，由评审委员会对报价的合理性、准确性等进行审查核实。</w:t>
      </w:r>
    </w:p>
    <w:p w14:paraId="3B048D2B">
      <w:pPr>
        <w:ind w:firstLine="424" w:firstLineChars="177"/>
        <w:jc w:val="left"/>
        <w:rPr>
          <w:rFonts w:ascii="宋体" w:hAnsi="宋体"/>
          <w:kern w:val="0"/>
          <w:sz w:val="24"/>
        </w:rPr>
      </w:pPr>
      <w:r>
        <w:rPr>
          <w:rFonts w:ascii="宋体" w:hAnsi="宋体"/>
          <w:kern w:val="0"/>
          <w:sz w:val="24"/>
        </w:rPr>
        <w:t>（3）评审结束后，公布中标（成交）候选投标人名单，及采购人最终确定中标或成交投标人名单的时间和公告方式等。</w:t>
      </w:r>
    </w:p>
    <w:p w14:paraId="2BE5B87B">
      <w:pPr>
        <w:adjustRightInd w:val="0"/>
        <w:snapToGrid w:val="0"/>
        <w:ind w:firstLine="482" w:firstLineChars="200"/>
        <w:jc w:val="left"/>
        <w:rPr>
          <w:rFonts w:ascii="宋体" w:hAnsi="宋体"/>
          <w:sz w:val="24"/>
        </w:rPr>
      </w:pPr>
      <w:r>
        <w:rPr>
          <w:rFonts w:ascii="宋体" w:hAnsi="宋体"/>
          <w:b/>
          <w:kern w:val="0"/>
          <w:sz w:val="24"/>
        </w:rPr>
        <w:t>注：以上各环节流程和工作的未尽之处及具体操作以“政府采购云平台”电子交易系统设定的在线流程为准。</w:t>
      </w:r>
    </w:p>
    <w:p w14:paraId="277E716D">
      <w:pPr>
        <w:snapToGrid w:val="0"/>
        <w:spacing w:line="400" w:lineRule="atLeast"/>
        <w:ind w:firstLine="480" w:firstLineChars="200"/>
        <w:rPr>
          <w:rFonts w:ascii="宋体" w:hAnsi="宋体"/>
          <w:sz w:val="24"/>
        </w:rPr>
      </w:pPr>
      <w:r>
        <w:rPr>
          <w:rFonts w:ascii="宋体" w:hAnsi="宋体"/>
          <w:sz w:val="24"/>
        </w:rPr>
        <w:t>二、评标</w:t>
      </w:r>
    </w:p>
    <w:p w14:paraId="505DA498">
      <w:pPr>
        <w:pStyle w:val="29"/>
        <w:snapToGrid w:val="0"/>
        <w:ind w:left="720" w:leftChars="228" w:hanging="241" w:hangingChars="100"/>
        <w:rPr>
          <w:rFonts w:hAnsi="宋体"/>
          <w:b/>
          <w:sz w:val="24"/>
          <w:szCs w:val="24"/>
        </w:rPr>
      </w:pPr>
      <w:r>
        <w:rPr>
          <w:rFonts w:hAnsi="宋体"/>
          <w:b/>
          <w:sz w:val="24"/>
        </w:rPr>
        <w:t>1.1</w:t>
      </w:r>
      <w:r>
        <w:rPr>
          <w:rFonts w:hAnsi="宋体"/>
          <w:b/>
          <w:sz w:val="24"/>
          <w:szCs w:val="24"/>
        </w:rPr>
        <w:t>组建评标委员会</w:t>
      </w:r>
    </w:p>
    <w:p w14:paraId="24783C2F">
      <w:pPr>
        <w:pStyle w:val="29"/>
        <w:snapToGrid w:val="0"/>
        <w:ind w:firstLine="480" w:firstLineChars="200"/>
        <w:rPr>
          <w:rFonts w:hAnsi="宋体"/>
          <w:sz w:val="24"/>
          <w:szCs w:val="24"/>
        </w:rPr>
      </w:pPr>
      <w:r>
        <w:rPr>
          <w:rFonts w:hint="eastAsia" w:hAnsi="宋体"/>
          <w:sz w:val="24"/>
          <w:szCs w:val="24"/>
        </w:rPr>
        <w:t>依法组建</w:t>
      </w:r>
      <w:r>
        <w:rPr>
          <w:rFonts w:hAnsi="宋体"/>
          <w:sz w:val="24"/>
          <w:szCs w:val="24"/>
        </w:rPr>
        <w:t>本项目评标委员会</w:t>
      </w:r>
      <w:r>
        <w:rPr>
          <w:rFonts w:hint="eastAsia" w:hAnsi="宋体"/>
          <w:sz w:val="24"/>
          <w:szCs w:val="24"/>
        </w:rPr>
        <w:t>，并</w:t>
      </w:r>
      <w:r>
        <w:rPr>
          <w:rFonts w:hAnsi="宋体"/>
          <w:sz w:val="24"/>
          <w:szCs w:val="24"/>
        </w:rPr>
        <w:t>由政府采购评审专家</w:t>
      </w:r>
      <w:r>
        <w:rPr>
          <w:rFonts w:hint="eastAsia" w:hAnsi="宋体"/>
          <w:sz w:val="24"/>
          <w:szCs w:val="24"/>
        </w:rPr>
        <w:t>等</w:t>
      </w:r>
      <w:r>
        <w:rPr>
          <w:rFonts w:hAnsi="宋体"/>
          <w:sz w:val="24"/>
          <w:szCs w:val="24"/>
        </w:rPr>
        <w:t>共</w:t>
      </w:r>
      <w:r>
        <w:rPr>
          <w:rFonts w:hint="eastAsia" w:hAnsi="宋体"/>
          <w:sz w:val="24"/>
          <w:szCs w:val="24"/>
        </w:rPr>
        <w:t>5</w:t>
      </w:r>
      <w:r>
        <w:rPr>
          <w:rFonts w:hAnsi="宋体"/>
          <w:sz w:val="24"/>
          <w:szCs w:val="24"/>
        </w:rPr>
        <w:t>人</w:t>
      </w:r>
      <w:r>
        <w:rPr>
          <w:rFonts w:hint="eastAsia" w:hAnsi="宋体"/>
          <w:sz w:val="24"/>
          <w:szCs w:val="24"/>
        </w:rPr>
        <w:t>单数</w:t>
      </w:r>
      <w:r>
        <w:rPr>
          <w:rFonts w:hAnsi="宋体"/>
          <w:sz w:val="24"/>
          <w:szCs w:val="24"/>
        </w:rPr>
        <w:t>组成</w:t>
      </w:r>
      <w:r>
        <w:rPr>
          <w:rFonts w:hint="eastAsia" w:hAnsi="宋体"/>
          <w:sz w:val="24"/>
          <w:szCs w:val="24"/>
        </w:rPr>
        <w:t>，政府采购评审专家须具</w:t>
      </w:r>
      <w:r>
        <w:rPr>
          <w:rFonts w:hAnsi="宋体"/>
          <w:sz w:val="24"/>
        </w:rPr>
        <w:t>有</w:t>
      </w:r>
      <w:r>
        <w:rPr>
          <w:rFonts w:hint="eastAsia" w:hAnsi="宋体"/>
          <w:sz w:val="24"/>
        </w:rPr>
        <w:t>相</w:t>
      </w:r>
      <w:r>
        <w:rPr>
          <w:rFonts w:hAnsi="宋体"/>
          <w:sz w:val="24"/>
        </w:rPr>
        <w:t>关</w:t>
      </w:r>
      <w:r>
        <w:rPr>
          <w:rFonts w:hint="eastAsia" w:hAnsi="宋体"/>
          <w:sz w:val="24"/>
        </w:rPr>
        <w:t>专业经验，</w:t>
      </w:r>
      <w:r>
        <w:rPr>
          <w:rFonts w:hint="eastAsia" w:hAnsi="宋体"/>
          <w:sz w:val="24"/>
          <w:szCs w:val="24"/>
        </w:rPr>
        <w:t>并</w:t>
      </w:r>
      <w:r>
        <w:rPr>
          <w:rFonts w:hint="eastAsia" w:hAnsi="宋体"/>
          <w:sz w:val="24"/>
        </w:rPr>
        <w:t>在政采云平台依法抽取</w:t>
      </w:r>
      <w:r>
        <w:rPr>
          <w:rFonts w:hAnsi="宋体"/>
          <w:sz w:val="24"/>
        </w:rPr>
        <w:t>。</w:t>
      </w:r>
    </w:p>
    <w:p w14:paraId="1809F25C">
      <w:pPr>
        <w:adjustRightInd w:val="0"/>
        <w:snapToGrid w:val="0"/>
        <w:ind w:firstLine="482" w:firstLineChars="200"/>
        <w:jc w:val="left"/>
        <w:rPr>
          <w:rFonts w:ascii="宋体" w:hAnsi="宋体"/>
          <w:b/>
          <w:sz w:val="24"/>
        </w:rPr>
      </w:pPr>
      <w:r>
        <w:rPr>
          <w:rFonts w:ascii="宋体" w:hAnsi="宋体"/>
          <w:b/>
          <w:sz w:val="24"/>
        </w:rPr>
        <w:t>1.2评标办法</w:t>
      </w:r>
    </w:p>
    <w:p w14:paraId="6526D5D0">
      <w:pPr>
        <w:adjustRightInd w:val="0"/>
        <w:snapToGrid w:val="0"/>
        <w:ind w:firstLine="480" w:firstLineChars="200"/>
        <w:jc w:val="left"/>
        <w:rPr>
          <w:rFonts w:ascii="宋体" w:hAnsi="宋体"/>
          <w:sz w:val="24"/>
        </w:rPr>
      </w:pPr>
      <w:r>
        <w:rPr>
          <w:rFonts w:ascii="宋体" w:hAnsi="宋体"/>
          <w:sz w:val="24"/>
        </w:rPr>
        <w:t>采用综合评分法，详见采购文件第五章“评标办法”。</w:t>
      </w:r>
    </w:p>
    <w:p w14:paraId="385C2ADD">
      <w:pPr>
        <w:adjustRightInd w:val="0"/>
        <w:snapToGrid w:val="0"/>
        <w:ind w:firstLine="482" w:firstLineChars="200"/>
        <w:jc w:val="left"/>
        <w:rPr>
          <w:rFonts w:ascii="宋体" w:hAnsi="宋体"/>
          <w:b/>
          <w:sz w:val="24"/>
        </w:rPr>
      </w:pPr>
      <w:r>
        <w:rPr>
          <w:rFonts w:ascii="宋体" w:hAnsi="宋体"/>
          <w:b/>
          <w:sz w:val="24"/>
        </w:rPr>
        <w:t>1.3评标程序</w:t>
      </w:r>
    </w:p>
    <w:p w14:paraId="66712C02">
      <w:pPr>
        <w:adjustRightInd w:val="0"/>
        <w:snapToGrid w:val="0"/>
        <w:ind w:firstLine="480" w:firstLineChars="200"/>
        <w:jc w:val="left"/>
        <w:rPr>
          <w:rFonts w:ascii="宋体" w:hAnsi="宋体"/>
          <w:sz w:val="24"/>
        </w:rPr>
      </w:pPr>
      <w:r>
        <w:rPr>
          <w:rFonts w:ascii="宋体" w:hAnsi="宋体"/>
          <w:sz w:val="24"/>
        </w:rPr>
        <w:t>1.3.1在评审专家中推选评审委员会组长。</w:t>
      </w:r>
    </w:p>
    <w:p w14:paraId="736857D5">
      <w:pPr>
        <w:adjustRightInd w:val="0"/>
        <w:snapToGrid w:val="0"/>
        <w:ind w:firstLine="480" w:firstLineChars="200"/>
        <w:jc w:val="left"/>
        <w:rPr>
          <w:rFonts w:ascii="宋体" w:hAnsi="宋体"/>
          <w:sz w:val="24"/>
        </w:rPr>
      </w:pPr>
      <w:r>
        <w:rPr>
          <w:rFonts w:ascii="宋体" w:hAnsi="宋体"/>
          <w:sz w:val="24"/>
        </w:rPr>
        <w:t>1.3.2评</w:t>
      </w:r>
      <w:r>
        <w:rPr>
          <w:rFonts w:hint="eastAsia" w:ascii="宋体" w:hAnsi="宋体"/>
          <w:sz w:val="24"/>
        </w:rPr>
        <w:t>标</w:t>
      </w:r>
      <w:r>
        <w:rPr>
          <w:rFonts w:ascii="宋体" w:hAnsi="宋体"/>
          <w:sz w:val="24"/>
        </w:rPr>
        <w:t>委员会组长召集成员认真阅读采购文件以及相关补充、质疑、答复文件、项目书面说明等材料，熟悉采购项目的基本概况，采购项目的质量要求、数量、主要技术标准或服务需求，采购合同主要条款，投标无效情形，评审方法、评审依据、评审标准等。</w:t>
      </w:r>
    </w:p>
    <w:p w14:paraId="18B6AFA2">
      <w:pPr>
        <w:adjustRightInd w:val="0"/>
        <w:snapToGrid w:val="0"/>
        <w:ind w:firstLine="480" w:firstLineChars="200"/>
        <w:jc w:val="left"/>
        <w:rPr>
          <w:rFonts w:ascii="宋体" w:hAnsi="宋体"/>
          <w:sz w:val="24"/>
        </w:rPr>
      </w:pPr>
      <w:r>
        <w:rPr>
          <w:rFonts w:ascii="宋体" w:hAnsi="宋体"/>
          <w:sz w:val="24"/>
        </w:rPr>
        <w:t>1.3.3采购人或者采购代理机构对各投标人的资格进行审查，投标人资格条件不符合采购文件要求的投标无效，不再进入符合性审查。</w:t>
      </w:r>
    </w:p>
    <w:p w14:paraId="57F02DA7">
      <w:pPr>
        <w:adjustRightInd w:val="0"/>
        <w:snapToGrid w:val="0"/>
        <w:ind w:firstLine="480" w:firstLineChars="200"/>
        <w:jc w:val="left"/>
        <w:rPr>
          <w:rFonts w:ascii="宋体" w:hAnsi="宋体"/>
          <w:sz w:val="24"/>
        </w:rPr>
      </w:pPr>
      <w:r>
        <w:rPr>
          <w:rFonts w:ascii="宋体" w:hAnsi="宋体"/>
          <w:sz w:val="24"/>
        </w:rPr>
        <w:t>1.3.4.评</w:t>
      </w:r>
      <w:r>
        <w:rPr>
          <w:rFonts w:hint="eastAsia" w:ascii="宋体" w:hAnsi="宋体"/>
          <w:sz w:val="24"/>
        </w:rPr>
        <w:t>标</w:t>
      </w:r>
      <w:r>
        <w:rPr>
          <w:rFonts w:ascii="宋体" w:hAnsi="宋体"/>
          <w:sz w:val="24"/>
        </w:rPr>
        <w:t>委员会对各投标文件的符合性进行审查，确定是否对采购文件作出了实质性响应。实质上没有响应采购文件要求的投标将被视为无效投标，不再进入下一阶段的评审。</w:t>
      </w:r>
    </w:p>
    <w:p w14:paraId="5F0A800E">
      <w:pPr>
        <w:adjustRightInd w:val="0"/>
        <w:snapToGrid w:val="0"/>
        <w:ind w:firstLine="480" w:firstLineChars="200"/>
        <w:jc w:val="left"/>
        <w:rPr>
          <w:rFonts w:ascii="宋体" w:hAnsi="宋体"/>
          <w:sz w:val="24"/>
        </w:rPr>
      </w:pPr>
      <w:r>
        <w:rPr>
          <w:rFonts w:ascii="宋体" w:hAnsi="宋体"/>
          <w:sz w:val="24"/>
        </w:rPr>
        <w:t>1.3.5评</w:t>
      </w:r>
      <w:r>
        <w:rPr>
          <w:rFonts w:hint="eastAsia" w:ascii="宋体" w:hAnsi="宋体"/>
          <w:sz w:val="24"/>
        </w:rPr>
        <w:t>标</w:t>
      </w:r>
      <w:r>
        <w:rPr>
          <w:rFonts w:ascii="宋体" w:hAnsi="宋体"/>
          <w:sz w:val="24"/>
        </w:rPr>
        <w:t>人员按采购文件规定的评审方法和评审标准，依法独立对投标人投标文件进行评估、比较，并给予评价或打分，不受任何单位和个人的干预。</w:t>
      </w:r>
    </w:p>
    <w:p w14:paraId="6B7E3AD8">
      <w:pPr>
        <w:adjustRightInd w:val="0"/>
        <w:snapToGrid w:val="0"/>
        <w:ind w:firstLine="480" w:firstLineChars="200"/>
        <w:jc w:val="left"/>
        <w:rPr>
          <w:rFonts w:ascii="宋体" w:hAnsi="宋体"/>
          <w:sz w:val="24"/>
        </w:rPr>
      </w:pPr>
      <w:r>
        <w:rPr>
          <w:rFonts w:ascii="宋体" w:hAnsi="宋体"/>
          <w:sz w:val="24"/>
        </w:rPr>
        <w:t>1.3.6各投标人的得分为所有评委的有效评分的算术平均数，由指定专人进行计算复核。</w:t>
      </w:r>
    </w:p>
    <w:p w14:paraId="76997B80">
      <w:pPr>
        <w:adjustRightInd w:val="0"/>
        <w:snapToGrid w:val="0"/>
        <w:ind w:firstLine="480" w:firstLineChars="200"/>
        <w:jc w:val="left"/>
        <w:rPr>
          <w:rFonts w:ascii="宋体" w:hAnsi="宋体"/>
          <w:sz w:val="24"/>
        </w:rPr>
      </w:pPr>
      <w:r>
        <w:rPr>
          <w:rFonts w:ascii="宋体" w:hAnsi="宋体"/>
          <w:sz w:val="24"/>
        </w:rPr>
        <w:t>1.3.7评</w:t>
      </w:r>
      <w:r>
        <w:rPr>
          <w:rFonts w:hint="eastAsia" w:ascii="宋体" w:hAnsi="宋体"/>
          <w:sz w:val="24"/>
        </w:rPr>
        <w:t>标</w:t>
      </w:r>
      <w:r>
        <w:rPr>
          <w:rFonts w:ascii="宋体" w:hAnsi="宋体"/>
          <w:sz w:val="24"/>
        </w:rPr>
        <w:t>委员会完成评标后,评委对各部分得分汇总,计算出本项目最终得分。</w:t>
      </w:r>
      <w:r>
        <w:rPr>
          <w:rFonts w:hint="eastAsia" w:ascii="宋体" w:hAnsi="宋体"/>
          <w:sz w:val="24"/>
        </w:rPr>
        <w:t>评标</w:t>
      </w:r>
      <w:r>
        <w:rPr>
          <w:rFonts w:ascii="宋体" w:hAnsi="宋体"/>
          <w:sz w:val="24"/>
        </w:rPr>
        <w:t>委员会按评标原则推荐中标候选人，同时起草评标报告。</w:t>
      </w:r>
    </w:p>
    <w:p w14:paraId="3088EDE9">
      <w:pPr>
        <w:adjustRightInd w:val="0"/>
        <w:snapToGrid w:val="0"/>
        <w:ind w:firstLine="480" w:firstLineChars="200"/>
        <w:jc w:val="left"/>
        <w:rPr>
          <w:rFonts w:ascii="宋体" w:hAnsi="宋体"/>
          <w:sz w:val="24"/>
        </w:rPr>
      </w:pPr>
      <w:r>
        <w:rPr>
          <w:rFonts w:ascii="宋体" w:hAnsi="宋体"/>
          <w:sz w:val="24"/>
        </w:rPr>
        <w:t>1.3.8实质上响应采购文件要求的投标人不足三家的，除财政部门另有规定外，应当作废标处理。</w:t>
      </w:r>
    </w:p>
    <w:bookmarkEnd w:id="131"/>
    <w:bookmarkEnd w:id="132"/>
    <w:bookmarkEnd w:id="133"/>
    <w:bookmarkEnd w:id="134"/>
    <w:bookmarkEnd w:id="135"/>
    <w:p w14:paraId="308918CB">
      <w:pPr>
        <w:pStyle w:val="29"/>
        <w:snapToGrid w:val="0"/>
        <w:spacing w:line="440" w:lineRule="atLeast"/>
        <w:ind w:firstLine="470" w:firstLineChars="196"/>
        <w:rPr>
          <w:rFonts w:hAnsi="宋体" w:cs="Times New Roman"/>
          <w:sz w:val="24"/>
          <w:szCs w:val="24"/>
        </w:rPr>
      </w:pPr>
      <w:r>
        <w:rPr>
          <w:rFonts w:hAnsi="宋体" w:cs="Times New Roman"/>
          <w:sz w:val="24"/>
          <w:szCs w:val="24"/>
        </w:rPr>
        <w:t>1.4澄清问题的形式</w:t>
      </w:r>
    </w:p>
    <w:p w14:paraId="5C4B270D">
      <w:pPr>
        <w:pStyle w:val="29"/>
        <w:snapToGrid w:val="0"/>
        <w:spacing w:line="440" w:lineRule="atLeast"/>
        <w:ind w:firstLine="470" w:firstLineChars="196"/>
        <w:rPr>
          <w:rFonts w:hAnsi="宋体" w:cs="Times New Roman"/>
          <w:sz w:val="24"/>
          <w:szCs w:val="24"/>
        </w:rPr>
      </w:pPr>
      <w:r>
        <w:rPr>
          <w:rFonts w:hAnsi="宋体" w:cs="Times New Roman"/>
          <w:sz w:val="24"/>
          <w:szCs w:val="24"/>
        </w:rPr>
        <w:t>对投标文件中含义不明确、同类问题表述不一致或者有明显文字和计算错误的内容，</w:t>
      </w:r>
      <w:r>
        <w:rPr>
          <w:rFonts w:hint="eastAsia" w:hAnsi="宋体" w:cs="Times New Roman"/>
          <w:sz w:val="24"/>
          <w:szCs w:val="24"/>
        </w:rPr>
        <w:t>评标</w:t>
      </w:r>
      <w:r>
        <w:rPr>
          <w:rFonts w:hAnsi="宋体" w:cs="Times New Roman"/>
          <w:sz w:val="24"/>
          <w:szCs w:val="24"/>
        </w:rPr>
        <w:t>委员会可要求投标人做出必要的澄清、说明或者纠正。投标人的澄清、说明或者补正应当采用书面（或有效电子数据电文）形式，由其授权代表签字或盖章确认，并不得超出投标文件的范围或者改变投标文件的实质性内容。</w:t>
      </w:r>
    </w:p>
    <w:p w14:paraId="3F80B6B9">
      <w:pPr>
        <w:pStyle w:val="29"/>
        <w:snapToGrid w:val="0"/>
        <w:spacing w:line="440" w:lineRule="atLeast"/>
        <w:ind w:firstLine="470" w:firstLineChars="196"/>
        <w:rPr>
          <w:rFonts w:hAnsi="宋体" w:cs="Times New Roman"/>
          <w:sz w:val="24"/>
          <w:szCs w:val="24"/>
        </w:rPr>
      </w:pPr>
      <w:r>
        <w:rPr>
          <w:rFonts w:hAnsi="宋体" w:cs="Times New Roman"/>
          <w:sz w:val="24"/>
          <w:szCs w:val="24"/>
        </w:rPr>
        <w:t>1.5错误修正</w:t>
      </w:r>
    </w:p>
    <w:p w14:paraId="0C0E13C9">
      <w:pPr>
        <w:pStyle w:val="29"/>
        <w:snapToGrid w:val="0"/>
        <w:spacing w:line="440" w:lineRule="atLeast"/>
        <w:ind w:firstLine="470" w:firstLineChars="196"/>
        <w:rPr>
          <w:rFonts w:hAnsi="宋体" w:cs="Times New Roman"/>
          <w:sz w:val="24"/>
          <w:szCs w:val="24"/>
        </w:rPr>
      </w:pPr>
      <w:r>
        <w:rPr>
          <w:rFonts w:hAnsi="宋体" w:cs="Times New Roman"/>
          <w:sz w:val="24"/>
          <w:szCs w:val="24"/>
        </w:rPr>
        <w:t>投标文件如果出现计算或表达上的错误，修正错误的原则如下：</w:t>
      </w:r>
    </w:p>
    <w:p w14:paraId="6FC38DEE">
      <w:pPr>
        <w:pStyle w:val="29"/>
        <w:snapToGrid w:val="0"/>
        <w:spacing w:line="440" w:lineRule="atLeast"/>
        <w:ind w:firstLine="470" w:firstLineChars="196"/>
        <w:rPr>
          <w:rFonts w:hAnsi="宋体" w:cs="Times New Roman"/>
          <w:sz w:val="24"/>
          <w:szCs w:val="24"/>
        </w:rPr>
      </w:pPr>
      <w:r>
        <w:rPr>
          <w:rFonts w:hAnsi="宋体" w:cs="Times New Roman"/>
          <w:sz w:val="24"/>
          <w:szCs w:val="24"/>
        </w:rPr>
        <w:t>1.5.1.投标文件中开标一览表内容与投标文件中相应内容不一致的，以开标一览表为准；</w:t>
      </w:r>
    </w:p>
    <w:p w14:paraId="7238FF15">
      <w:pPr>
        <w:pStyle w:val="29"/>
        <w:snapToGrid w:val="0"/>
        <w:spacing w:line="440" w:lineRule="atLeast"/>
        <w:ind w:firstLine="470" w:firstLineChars="196"/>
        <w:rPr>
          <w:rFonts w:hAnsi="宋体" w:cs="Times New Roman"/>
          <w:sz w:val="24"/>
          <w:szCs w:val="24"/>
        </w:rPr>
      </w:pPr>
      <w:r>
        <w:rPr>
          <w:rFonts w:hAnsi="宋体" w:cs="Times New Roman"/>
          <w:sz w:val="24"/>
          <w:szCs w:val="24"/>
        </w:rPr>
        <w:t>1.5.2.大写金额和小写金额不一致的，以大写金额为准；</w:t>
      </w:r>
    </w:p>
    <w:p w14:paraId="75B68F90">
      <w:pPr>
        <w:pStyle w:val="29"/>
        <w:snapToGrid w:val="0"/>
        <w:spacing w:line="440" w:lineRule="atLeast"/>
        <w:ind w:firstLine="470" w:firstLineChars="196"/>
        <w:rPr>
          <w:rFonts w:hAnsi="宋体" w:cs="Times New Roman"/>
          <w:sz w:val="24"/>
          <w:szCs w:val="24"/>
        </w:rPr>
      </w:pPr>
      <w:r>
        <w:rPr>
          <w:rFonts w:hAnsi="宋体" w:cs="Times New Roman"/>
          <w:sz w:val="24"/>
          <w:szCs w:val="24"/>
        </w:rPr>
        <w:t>1.5.3.单价金额小数点或者百分比有明显错位的，以开标一览表的总价为准，并修改单价；</w:t>
      </w:r>
    </w:p>
    <w:p w14:paraId="7D09C6C7">
      <w:pPr>
        <w:pStyle w:val="29"/>
        <w:snapToGrid w:val="0"/>
        <w:spacing w:line="440" w:lineRule="atLeast"/>
        <w:ind w:firstLine="470" w:firstLineChars="196"/>
        <w:rPr>
          <w:rFonts w:hAnsi="宋体" w:cs="Times New Roman"/>
          <w:sz w:val="24"/>
          <w:szCs w:val="24"/>
        </w:rPr>
      </w:pPr>
      <w:r>
        <w:rPr>
          <w:rFonts w:hAnsi="宋体" w:cs="Times New Roman"/>
          <w:sz w:val="24"/>
          <w:szCs w:val="24"/>
        </w:rPr>
        <w:t>1.5.4.总价金额与按单价汇总金额不一致的，以单价金额计算结果为准。</w:t>
      </w:r>
    </w:p>
    <w:p w14:paraId="7DF6F853">
      <w:pPr>
        <w:pStyle w:val="29"/>
        <w:snapToGrid w:val="0"/>
        <w:spacing w:line="440" w:lineRule="atLeast"/>
        <w:ind w:firstLine="472" w:firstLineChars="196"/>
        <w:rPr>
          <w:rFonts w:hAnsi="宋体" w:cs="Times New Roman"/>
          <w:b/>
          <w:sz w:val="24"/>
          <w:szCs w:val="24"/>
        </w:rPr>
      </w:pPr>
      <w:r>
        <w:rPr>
          <w:rFonts w:hAnsi="宋体" w:cs="Times New Roman"/>
          <w:b/>
          <w:sz w:val="24"/>
          <w:szCs w:val="24"/>
        </w:rPr>
        <w:t>1.5.5政采云开标一览表与上传的报价文件不一致的，以上传的报价文件为准。</w:t>
      </w:r>
    </w:p>
    <w:p w14:paraId="3320C32C">
      <w:pPr>
        <w:pStyle w:val="29"/>
        <w:snapToGrid w:val="0"/>
        <w:spacing w:line="440" w:lineRule="atLeast"/>
        <w:ind w:firstLine="470" w:firstLineChars="196"/>
        <w:rPr>
          <w:rFonts w:hAnsi="宋体" w:cs="Times New Roman"/>
          <w:sz w:val="24"/>
          <w:szCs w:val="24"/>
        </w:rPr>
      </w:pPr>
      <w:r>
        <w:rPr>
          <w:rFonts w:hAnsi="宋体" w:cs="Times New Roman"/>
          <w:sz w:val="24"/>
          <w:szCs w:val="24"/>
        </w:rPr>
        <w:t>同时出现两种以上不一致的，按照前款规定的顺序修正。</w:t>
      </w:r>
      <w:r>
        <w:rPr>
          <w:rFonts w:hint="eastAsia" w:hAnsi="宋体" w:cs="Times New Roman"/>
          <w:sz w:val="24"/>
          <w:szCs w:val="24"/>
        </w:rPr>
        <w:t>评标</w:t>
      </w:r>
      <w:r>
        <w:rPr>
          <w:rFonts w:hAnsi="宋体" w:cs="Times New Roman"/>
          <w:sz w:val="24"/>
          <w:szCs w:val="24"/>
        </w:rPr>
        <w:t>委员会应当以书面形式要求投标人对修正后的报价予以确认并对投标人产生约束力。投标人不予确认的，其投标无效。</w:t>
      </w:r>
    </w:p>
    <w:p w14:paraId="333099E1">
      <w:pPr>
        <w:pStyle w:val="29"/>
        <w:snapToGrid w:val="0"/>
        <w:spacing w:line="440" w:lineRule="atLeast"/>
        <w:ind w:firstLine="472" w:firstLineChars="196"/>
        <w:rPr>
          <w:rFonts w:hAnsi="宋体" w:cs="Times New Roman"/>
          <w:b/>
          <w:sz w:val="24"/>
          <w:szCs w:val="24"/>
        </w:rPr>
      </w:pPr>
      <w:r>
        <w:rPr>
          <w:rFonts w:hAnsi="宋体" w:cs="Times New Roman"/>
          <w:b/>
          <w:sz w:val="24"/>
          <w:szCs w:val="24"/>
        </w:rPr>
        <w:t>（三）评标过程的监控</w:t>
      </w:r>
    </w:p>
    <w:p w14:paraId="2349FD61">
      <w:pPr>
        <w:pStyle w:val="29"/>
        <w:snapToGrid w:val="0"/>
        <w:spacing w:line="440" w:lineRule="atLeast"/>
        <w:ind w:firstLine="480" w:firstLineChars="200"/>
        <w:rPr>
          <w:rFonts w:hAnsi="宋体" w:cs="Times New Roman"/>
          <w:sz w:val="24"/>
          <w:szCs w:val="24"/>
        </w:rPr>
      </w:pPr>
      <w:r>
        <w:rPr>
          <w:rFonts w:hAnsi="宋体" w:cs="Times New Roman"/>
          <w:sz w:val="24"/>
          <w:szCs w:val="24"/>
        </w:rPr>
        <w:t>本项目评标过程实行全程录音、录像监控，投标人在评标过程中所进行的试图影响评标结果的不公正活动，可能导致其投标被拒绝。</w:t>
      </w:r>
    </w:p>
    <w:p w14:paraId="2FC2E681">
      <w:pPr>
        <w:pStyle w:val="29"/>
        <w:snapToGrid w:val="0"/>
        <w:spacing w:line="440" w:lineRule="atLeast"/>
        <w:ind w:firstLine="472" w:firstLineChars="196"/>
        <w:rPr>
          <w:rFonts w:hAnsi="宋体" w:cs="Times New Roman"/>
          <w:b/>
          <w:sz w:val="24"/>
          <w:szCs w:val="24"/>
        </w:rPr>
      </w:pPr>
      <w:r>
        <w:rPr>
          <w:rFonts w:hAnsi="宋体" w:cs="Times New Roman"/>
          <w:b/>
          <w:sz w:val="24"/>
          <w:szCs w:val="24"/>
        </w:rPr>
        <w:t>（四）评标原则和评标办法</w:t>
      </w:r>
    </w:p>
    <w:p w14:paraId="44754673">
      <w:pPr>
        <w:pStyle w:val="29"/>
        <w:snapToGrid w:val="0"/>
        <w:spacing w:line="440" w:lineRule="atLeast"/>
        <w:ind w:firstLine="470" w:firstLineChars="196"/>
        <w:rPr>
          <w:rFonts w:hAnsi="宋体" w:cs="Times New Roman"/>
          <w:sz w:val="24"/>
          <w:szCs w:val="24"/>
        </w:rPr>
      </w:pPr>
      <w:r>
        <w:rPr>
          <w:rFonts w:hAnsi="宋体" w:cs="Times New Roman"/>
          <w:sz w:val="24"/>
          <w:szCs w:val="24"/>
        </w:rPr>
        <w:t>1.</w:t>
      </w:r>
      <w:r>
        <w:rPr>
          <w:rFonts w:hint="eastAsia" w:hAnsi="宋体" w:cs="Times New Roman"/>
          <w:sz w:val="24"/>
          <w:szCs w:val="24"/>
        </w:rPr>
        <w:t>评标</w:t>
      </w:r>
      <w:r>
        <w:rPr>
          <w:rFonts w:hAnsi="宋体" w:cs="Times New Roman"/>
          <w:sz w:val="24"/>
          <w:szCs w:val="24"/>
        </w:rPr>
        <w:t>委员会必须</w:t>
      </w:r>
      <w:r>
        <w:rPr>
          <w:rFonts w:hint="eastAsia" w:hAnsi="宋体" w:cs="Times New Roman"/>
          <w:sz w:val="24"/>
          <w:szCs w:val="24"/>
        </w:rPr>
        <w:t>客观</w:t>
      </w:r>
      <w:r>
        <w:rPr>
          <w:rFonts w:hAnsi="宋体" w:cs="Times New Roman"/>
          <w:sz w:val="24"/>
          <w:szCs w:val="24"/>
        </w:rPr>
        <w:t>、公正、</w:t>
      </w:r>
      <w:r>
        <w:rPr>
          <w:rFonts w:hint="eastAsia" w:hAnsi="宋体" w:cs="Times New Roman"/>
          <w:sz w:val="24"/>
          <w:szCs w:val="24"/>
        </w:rPr>
        <w:t>审慎原则</w:t>
      </w:r>
      <w:r>
        <w:rPr>
          <w:rFonts w:hAnsi="宋体" w:cs="Times New Roman"/>
          <w:sz w:val="24"/>
          <w:szCs w:val="24"/>
        </w:rPr>
        <w:t>，不带任何倾向性和启发性；不得向外界透露任何与评标有关的内容；任何单位和个人不得干扰、影响评标的正常进行；评</w:t>
      </w:r>
      <w:r>
        <w:rPr>
          <w:rFonts w:hint="eastAsia" w:hAnsi="宋体" w:cs="Times New Roman"/>
          <w:sz w:val="24"/>
          <w:szCs w:val="24"/>
        </w:rPr>
        <w:t>标</w:t>
      </w:r>
      <w:r>
        <w:rPr>
          <w:rFonts w:hAnsi="宋体" w:cs="Times New Roman"/>
          <w:sz w:val="24"/>
          <w:szCs w:val="24"/>
        </w:rPr>
        <w:t>委员会及有关工作人员不得私下与投标人接触。</w:t>
      </w:r>
    </w:p>
    <w:p w14:paraId="38B4930B">
      <w:pPr>
        <w:pStyle w:val="29"/>
        <w:snapToGrid w:val="0"/>
        <w:spacing w:line="440" w:lineRule="atLeast"/>
        <w:ind w:firstLine="470" w:firstLineChars="196"/>
        <w:rPr>
          <w:rFonts w:hAnsi="宋体" w:cs="Times New Roman"/>
          <w:sz w:val="24"/>
          <w:szCs w:val="24"/>
        </w:rPr>
      </w:pPr>
      <w:r>
        <w:rPr>
          <w:rFonts w:hint="eastAsia" w:hAnsi="宋体" w:cs="Times New Roman"/>
          <w:sz w:val="24"/>
          <w:szCs w:val="24"/>
        </w:rPr>
        <w:t>2</w:t>
      </w:r>
      <w:r>
        <w:rPr>
          <w:rFonts w:hAnsi="宋体" w:cs="Times New Roman"/>
          <w:sz w:val="24"/>
          <w:szCs w:val="24"/>
        </w:rPr>
        <w:t>.</w:t>
      </w:r>
      <w:r>
        <w:rPr>
          <w:rFonts w:hint="eastAsia" w:hAnsi="宋体"/>
          <w:sz w:val="24"/>
        </w:rPr>
        <w:t>通过综合评分法推荐该项目中标候选人。根据开标顺序依次评审确定候选中标单位，</w:t>
      </w:r>
      <w:r>
        <w:rPr>
          <w:rFonts w:hAnsi="宋体" w:cs="Times New Roman"/>
          <w:sz w:val="24"/>
          <w:szCs w:val="24"/>
        </w:rPr>
        <w:t>具体评标内容及评分标准等详见第</w:t>
      </w:r>
      <w:r>
        <w:rPr>
          <w:rFonts w:hint="eastAsia" w:hAnsi="宋体" w:cs="Times New Roman"/>
          <w:sz w:val="24"/>
          <w:szCs w:val="24"/>
        </w:rPr>
        <w:t>五</w:t>
      </w:r>
      <w:r>
        <w:rPr>
          <w:rFonts w:hAnsi="宋体" w:cs="Times New Roman"/>
          <w:sz w:val="24"/>
          <w:szCs w:val="24"/>
        </w:rPr>
        <w:t>章《评标办法》。</w:t>
      </w:r>
    </w:p>
    <w:p w14:paraId="69D87896">
      <w:pPr>
        <w:pStyle w:val="29"/>
        <w:snapToGrid w:val="0"/>
        <w:spacing w:line="440" w:lineRule="atLeast"/>
        <w:ind w:firstLine="472" w:firstLineChars="196"/>
        <w:rPr>
          <w:rFonts w:hAnsi="宋体" w:cs="Times New Roman"/>
          <w:b/>
          <w:sz w:val="24"/>
          <w:szCs w:val="24"/>
        </w:rPr>
      </w:pPr>
      <w:r>
        <w:rPr>
          <w:rFonts w:hAnsi="宋体" w:cs="Times New Roman"/>
          <w:b/>
          <w:sz w:val="24"/>
          <w:szCs w:val="24"/>
        </w:rPr>
        <w:t>（五）废标</w:t>
      </w:r>
    </w:p>
    <w:p w14:paraId="2273C439">
      <w:pPr>
        <w:pStyle w:val="29"/>
        <w:snapToGrid w:val="0"/>
        <w:spacing w:line="440" w:lineRule="atLeast"/>
        <w:ind w:firstLine="470" w:firstLineChars="196"/>
        <w:rPr>
          <w:rFonts w:hAnsi="宋体" w:cs="Times New Roman"/>
          <w:sz w:val="24"/>
          <w:szCs w:val="24"/>
        </w:rPr>
      </w:pPr>
      <w:r>
        <w:rPr>
          <w:rFonts w:hint="eastAsia" w:hAnsi="宋体" w:cs="Times New Roman"/>
          <w:sz w:val="24"/>
          <w:szCs w:val="24"/>
        </w:rPr>
        <w:t>1.</w:t>
      </w:r>
      <w:r>
        <w:rPr>
          <w:rFonts w:hAnsi="宋体" w:cs="Times New Roman"/>
          <w:sz w:val="24"/>
          <w:szCs w:val="24"/>
        </w:rPr>
        <w:t>根据《中华人民共和国政府采购法》第三十六条，出现下列情形之一的，应予以废标：</w:t>
      </w:r>
    </w:p>
    <w:p w14:paraId="2955B358">
      <w:pPr>
        <w:pStyle w:val="29"/>
        <w:snapToGrid w:val="0"/>
        <w:spacing w:line="440" w:lineRule="atLeast"/>
        <w:ind w:firstLine="470" w:firstLineChars="196"/>
        <w:rPr>
          <w:rFonts w:hAnsi="宋体" w:cs="Times New Roman"/>
          <w:sz w:val="24"/>
          <w:szCs w:val="24"/>
        </w:rPr>
      </w:pPr>
      <w:r>
        <w:rPr>
          <w:rFonts w:hAnsi="宋体" w:cs="Times New Roman"/>
          <w:sz w:val="24"/>
          <w:szCs w:val="24"/>
        </w:rPr>
        <w:t>（1）符合专业条件的投标人或者对采购文件作实质响应的投标人不足三家的；</w:t>
      </w:r>
    </w:p>
    <w:p w14:paraId="6FE4596D">
      <w:pPr>
        <w:pStyle w:val="29"/>
        <w:snapToGrid w:val="0"/>
        <w:spacing w:line="440" w:lineRule="atLeast"/>
        <w:ind w:firstLine="470" w:firstLineChars="196"/>
        <w:rPr>
          <w:rFonts w:hAnsi="宋体" w:cs="Times New Roman"/>
          <w:sz w:val="24"/>
          <w:szCs w:val="24"/>
        </w:rPr>
      </w:pPr>
      <w:r>
        <w:rPr>
          <w:rFonts w:hAnsi="宋体" w:cs="Times New Roman"/>
          <w:sz w:val="24"/>
          <w:szCs w:val="24"/>
        </w:rPr>
        <w:t>（2）出现影响采购公正的违法、违规行为的；</w:t>
      </w:r>
    </w:p>
    <w:p w14:paraId="53854610">
      <w:pPr>
        <w:pStyle w:val="29"/>
        <w:snapToGrid w:val="0"/>
        <w:spacing w:line="440" w:lineRule="atLeast"/>
        <w:ind w:firstLine="470" w:firstLineChars="196"/>
        <w:rPr>
          <w:rFonts w:hAnsi="宋体" w:cs="Times New Roman"/>
          <w:sz w:val="24"/>
          <w:szCs w:val="24"/>
        </w:rPr>
      </w:pPr>
      <w:r>
        <w:rPr>
          <w:rFonts w:hAnsi="宋体" w:cs="Times New Roman"/>
          <w:sz w:val="24"/>
          <w:szCs w:val="24"/>
        </w:rPr>
        <w:t>（3）所有投标人的报价均超过了采购预算，采购人不能支付的；</w:t>
      </w:r>
    </w:p>
    <w:p w14:paraId="66C044B3">
      <w:pPr>
        <w:pStyle w:val="29"/>
        <w:snapToGrid w:val="0"/>
        <w:spacing w:line="440" w:lineRule="atLeast"/>
        <w:ind w:firstLine="470" w:firstLineChars="196"/>
        <w:rPr>
          <w:rFonts w:hAnsi="宋体" w:cs="Times New Roman"/>
          <w:sz w:val="24"/>
          <w:szCs w:val="24"/>
        </w:rPr>
      </w:pPr>
      <w:r>
        <w:rPr>
          <w:rFonts w:hAnsi="宋体" w:cs="Times New Roman"/>
          <w:sz w:val="24"/>
          <w:szCs w:val="24"/>
        </w:rPr>
        <w:t>（4）因重大变故，采购任务取消的。</w:t>
      </w:r>
    </w:p>
    <w:p w14:paraId="04CB5C56">
      <w:pPr>
        <w:pStyle w:val="29"/>
        <w:snapToGrid w:val="0"/>
        <w:spacing w:line="440" w:lineRule="atLeast"/>
        <w:ind w:firstLine="470" w:firstLineChars="196"/>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采购过程中出现以下情形，导致电子交易平台无法正常运行，或者无法保证电子交易的公平、公正和安全时，采购组织机构可中止电子交易活动：</w:t>
      </w:r>
    </w:p>
    <w:p w14:paraId="252D471C">
      <w:pPr>
        <w:pStyle w:val="29"/>
        <w:snapToGrid w:val="0"/>
        <w:spacing w:line="440" w:lineRule="atLeast"/>
        <w:ind w:firstLine="470" w:firstLineChars="196"/>
        <w:rPr>
          <w:rFonts w:hAnsi="宋体" w:cs="Times New Roman"/>
          <w:sz w:val="24"/>
          <w:szCs w:val="24"/>
        </w:rPr>
      </w:pPr>
      <w:r>
        <w:rPr>
          <w:rFonts w:hAnsi="宋体" w:cs="Times New Roman"/>
          <w:sz w:val="24"/>
          <w:szCs w:val="24"/>
        </w:rPr>
        <w:t xml:space="preserve">（1）电子交易平台发生故障而无法登录访问的； </w:t>
      </w:r>
    </w:p>
    <w:p w14:paraId="54A5660F">
      <w:pPr>
        <w:pStyle w:val="29"/>
        <w:snapToGrid w:val="0"/>
        <w:spacing w:line="440" w:lineRule="atLeast"/>
        <w:ind w:firstLine="470" w:firstLineChars="196"/>
        <w:rPr>
          <w:rFonts w:hAnsi="宋体" w:cs="Times New Roman"/>
          <w:sz w:val="24"/>
          <w:szCs w:val="24"/>
        </w:rPr>
      </w:pPr>
      <w:r>
        <w:rPr>
          <w:rFonts w:hAnsi="宋体" w:cs="Times New Roman"/>
          <w:sz w:val="24"/>
          <w:szCs w:val="24"/>
        </w:rPr>
        <w:t>（2）电子交易平台应用或数据库出现错误，不能进行正常操作的；</w:t>
      </w:r>
    </w:p>
    <w:p w14:paraId="55E950AD">
      <w:pPr>
        <w:pStyle w:val="29"/>
        <w:snapToGrid w:val="0"/>
        <w:spacing w:line="440" w:lineRule="atLeast"/>
        <w:ind w:firstLine="470" w:firstLineChars="196"/>
        <w:rPr>
          <w:rFonts w:hAnsi="宋体" w:cs="Times New Roman"/>
          <w:sz w:val="24"/>
          <w:szCs w:val="24"/>
        </w:rPr>
      </w:pPr>
      <w:r>
        <w:rPr>
          <w:rFonts w:hAnsi="宋体" w:cs="Times New Roman"/>
          <w:sz w:val="24"/>
          <w:szCs w:val="24"/>
        </w:rPr>
        <w:t>（3）电子交易平台发现严重安全漏洞，有潜在泄密危险的；</w:t>
      </w:r>
    </w:p>
    <w:p w14:paraId="789C759A">
      <w:pPr>
        <w:pStyle w:val="29"/>
        <w:snapToGrid w:val="0"/>
        <w:spacing w:line="440" w:lineRule="atLeast"/>
        <w:ind w:firstLine="470" w:firstLineChars="196"/>
        <w:rPr>
          <w:rFonts w:hAnsi="宋体" w:cs="Times New Roman"/>
          <w:sz w:val="24"/>
          <w:szCs w:val="24"/>
        </w:rPr>
      </w:pPr>
      <w:r>
        <w:rPr>
          <w:rFonts w:hAnsi="宋体" w:cs="Times New Roman"/>
          <w:sz w:val="24"/>
          <w:szCs w:val="24"/>
        </w:rPr>
        <w:t xml:space="preserve">（4）病毒发作导致不能进行正常操作的； </w:t>
      </w:r>
    </w:p>
    <w:p w14:paraId="1F54CA17">
      <w:pPr>
        <w:pStyle w:val="29"/>
        <w:snapToGrid w:val="0"/>
        <w:spacing w:line="440" w:lineRule="atLeast"/>
        <w:ind w:firstLine="470" w:firstLineChars="196"/>
        <w:rPr>
          <w:rFonts w:hAnsi="宋体" w:cs="Times New Roman"/>
          <w:sz w:val="24"/>
          <w:szCs w:val="24"/>
        </w:rPr>
      </w:pPr>
      <w:r>
        <w:rPr>
          <w:rFonts w:hAnsi="宋体" w:cs="Times New Roman"/>
          <w:sz w:val="24"/>
          <w:szCs w:val="24"/>
        </w:rPr>
        <w:t>（5）其他无法保证电子交易的公平、公正和安全的情况。</w:t>
      </w:r>
    </w:p>
    <w:p w14:paraId="2C0F296A">
      <w:pPr>
        <w:pStyle w:val="29"/>
        <w:snapToGrid w:val="0"/>
        <w:spacing w:line="440" w:lineRule="atLeast"/>
        <w:ind w:firstLine="470" w:firstLineChars="196"/>
        <w:rPr>
          <w:rFonts w:hAnsi="宋体" w:cs="Times New Roman"/>
          <w:sz w:val="24"/>
          <w:szCs w:val="24"/>
        </w:rPr>
      </w:pPr>
      <w:r>
        <w:rPr>
          <w:rFonts w:hAnsi="宋体" w:cs="Times New Roman"/>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77A08F5">
      <w:pPr>
        <w:pStyle w:val="29"/>
        <w:snapToGrid w:val="0"/>
        <w:spacing w:line="440" w:lineRule="atLeast"/>
        <w:ind w:firstLine="470" w:firstLineChars="196"/>
        <w:rPr>
          <w:rFonts w:hAnsi="宋体" w:cs="Times New Roman"/>
          <w:sz w:val="24"/>
          <w:szCs w:val="24"/>
        </w:rPr>
      </w:pPr>
      <w:r>
        <w:rPr>
          <w:rFonts w:hAnsi="宋体" w:cs="Times New Roman"/>
          <w:sz w:val="24"/>
          <w:szCs w:val="24"/>
        </w:rPr>
        <w:t>3.废标后，采购人应当将废标理由通知所有投标人并重新组织招标；或者经主管部门批准，采取其他方式组织采购。</w:t>
      </w:r>
    </w:p>
    <w:p w14:paraId="2372393D">
      <w:pPr>
        <w:snapToGrid w:val="0"/>
        <w:spacing w:line="400" w:lineRule="atLeast"/>
        <w:ind w:firstLine="480" w:firstLineChars="200"/>
        <w:rPr>
          <w:rFonts w:ascii="宋体" w:hAnsi="宋体"/>
          <w:sz w:val="24"/>
        </w:rPr>
      </w:pPr>
      <w:r>
        <w:rPr>
          <w:rFonts w:ascii="宋体" w:hAnsi="宋体"/>
          <w:sz w:val="24"/>
        </w:rPr>
        <w:t>三、定标</w:t>
      </w:r>
    </w:p>
    <w:p w14:paraId="546919EB">
      <w:pPr>
        <w:spacing w:line="440" w:lineRule="atLeast"/>
        <w:ind w:firstLine="482" w:firstLineChars="200"/>
        <w:rPr>
          <w:rFonts w:ascii="宋体" w:hAnsi="宋体"/>
          <w:b/>
          <w:bCs/>
          <w:sz w:val="24"/>
        </w:rPr>
      </w:pPr>
      <w:r>
        <w:rPr>
          <w:rFonts w:ascii="宋体" w:hAnsi="宋体"/>
          <w:b/>
          <w:kern w:val="0"/>
          <w:sz w:val="24"/>
        </w:rPr>
        <w:t>1.</w:t>
      </w:r>
      <w:r>
        <w:rPr>
          <w:rFonts w:ascii="宋体" w:hAnsi="宋体"/>
          <w:b/>
          <w:bCs/>
          <w:sz w:val="24"/>
        </w:rPr>
        <w:t>中标通知</w:t>
      </w:r>
    </w:p>
    <w:p w14:paraId="381FBFEC">
      <w:pPr>
        <w:pStyle w:val="29"/>
        <w:snapToGrid w:val="0"/>
        <w:spacing w:line="440" w:lineRule="atLeast"/>
        <w:ind w:firstLine="470" w:firstLineChars="196"/>
        <w:rPr>
          <w:rFonts w:hAnsi="宋体" w:cs="Times New Roman"/>
          <w:sz w:val="24"/>
          <w:szCs w:val="24"/>
        </w:rPr>
      </w:pPr>
      <w:r>
        <w:rPr>
          <w:rFonts w:hAnsi="宋体" w:cs="Times New Roman"/>
          <w:sz w:val="24"/>
          <w:szCs w:val="24"/>
        </w:rPr>
        <w:t>1.1采购人根据评标</w:t>
      </w:r>
      <w:r>
        <w:rPr>
          <w:rFonts w:hint="eastAsia" w:hAnsi="宋体" w:cs="Times New Roman"/>
          <w:sz w:val="24"/>
          <w:szCs w:val="24"/>
        </w:rPr>
        <w:t>委员会</w:t>
      </w:r>
      <w:r>
        <w:rPr>
          <w:rFonts w:hAnsi="宋体" w:cs="Times New Roman"/>
          <w:sz w:val="24"/>
          <w:szCs w:val="24"/>
        </w:rPr>
        <w:t>的书面评审报告和推荐的</w:t>
      </w:r>
      <w:r>
        <w:rPr>
          <w:rFonts w:hint="eastAsia" w:hAnsi="宋体" w:cs="Times New Roman"/>
          <w:sz w:val="24"/>
          <w:szCs w:val="24"/>
        </w:rPr>
        <w:t>本项目</w:t>
      </w:r>
      <w:r>
        <w:rPr>
          <w:rFonts w:hAnsi="宋体" w:cs="Times New Roman"/>
          <w:sz w:val="24"/>
          <w:szCs w:val="24"/>
        </w:rPr>
        <w:t>中标候选人直接委托评标委员会确定</w:t>
      </w:r>
      <w:r>
        <w:rPr>
          <w:rFonts w:hint="eastAsia" w:hAnsi="宋体" w:cs="Times New Roman"/>
          <w:sz w:val="24"/>
          <w:szCs w:val="24"/>
        </w:rPr>
        <w:t>该项目的</w:t>
      </w:r>
      <w:r>
        <w:rPr>
          <w:rFonts w:hAnsi="宋体" w:cs="Times New Roman"/>
          <w:sz w:val="24"/>
          <w:szCs w:val="24"/>
        </w:rPr>
        <w:t>中标人。</w:t>
      </w:r>
    </w:p>
    <w:p w14:paraId="7C23CAB3">
      <w:pPr>
        <w:pStyle w:val="29"/>
        <w:snapToGrid w:val="0"/>
        <w:spacing w:line="440" w:lineRule="atLeast"/>
        <w:ind w:firstLine="470" w:firstLineChars="196"/>
        <w:rPr>
          <w:rFonts w:hAnsi="宋体" w:cs="Times New Roman"/>
          <w:sz w:val="24"/>
          <w:szCs w:val="24"/>
        </w:rPr>
      </w:pPr>
      <w:r>
        <w:rPr>
          <w:rFonts w:hAnsi="宋体" w:cs="Times New Roman"/>
          <w:sz w:val="24"/>
          <w:szCs w:val="24"/>
        </w:rPr>
        <w:t>1.2评标结束后，中标结果公告一个工作日，发布中标结果公告的媒体为：浙江政府采购网。</w:t>
      </w:r>
    </w:p>
    <w:p w14:paraId="21C13622">
      <w:pPr>
        <w:pStyle w:val="29"/>
        <w:snapToGrid w:val="0"/>
        <w:spacing w:line="440" w:lineRule="atLeast"/>
        <w:ind w:firstLine="470" w:firstLineChars="196"/>
        <w:rPr>
          <w:rFonts w:hAnsi="宋体" w:cs="Times New Roman"/>
          <w:sz w:val="24"/>
          <w:szCs w:val="24"/>
        </w:rPr>
      </w:pPr>
      <w:r>
        <w:rPr>
          <w:rFonts w:hAnsi="宋体" w:cs="Times New Roman"/>
          <w:sz w:val="24"/>
          <w:szCs w:val="24"/>
        </w:rPr>
        <w:t>1.3在中标公示期间对中标候选人及其法</w:t>
      </w:r>
      <w:r>
        <w:rPr>
          <w:rFonts w:hint="eastAsia" w:hAnsi="宋体" w:cs="Times New Roman"/>
          <w:sz w:val="24"/>
          <w:szCs w:val="24"/>
        </w:rPr>
        <w:t>定</w:t>
      </w:r>
      <w:r>
        <w:rPr>
          <w:rFonts w:hAnsi="宋体" w:cs="Times New Roman"/>
          <w:sz w:val="24"/>
          <w:szCs w:val="24"/>
        </w:rPr>
        <w:t>代表</w:t>
      </w:r>
      <w:r>
        <w:rPr>
          <w:rFonts w:hint="eastAsia" w:hAnsi="宋体" w:cs="Times New Roman"/>
          <w:sz w:val="24"/>
          <w:szCs w:val="24"/>
        </w:rPr>
        <w:t>人</w:t>
      </w:r>
      <w:r>
        <w:rPr>
          <w:rFonts w:hAnsi="宋体" w:cs="Times New Roman"/>
          <w:sz w:val="24"/>
          <w:szCs w:val="24"/>
        </w:rPr>
        <w:t>进行前三年内（为采购文件发布之日起）行贿犯罪记录查询。经查询，若被查询单位或个人无行贿犯罪记录的，则发出中标通知书。若被查询单位或个人有行贿犯罪记录的，则取消其中标资格。</w:t>
      </w:r>
    </w:p>
    <w:p w14:paraId="71B0791E">
      <w:pPr>
        <w:pStyle w:val="29"/>
        <w:snapToGrid w:val="0"/>
        <w:spacing w:line="440" w:lineRule="atLeast"/>
        <w:ind w:firstLine="470" w:firstLineChars="196"/>
        <w:rPr>
          <w:rFonts w:hAnsi="宋体" w:cs="Times New Roman"/>
          <w:sz w:val="24"/>
          <w:szCs w:val="24"/>
        </w:rPr>
      </w:pPr>
      <w:r>
        <w:rPr>
          <w:rFonts w:hAnsi="宋体" w:cs="Times New Roman"/>
          <w:sz w:val="24"/>
          <w:szCs w:val="24"/>
        </w:rPr>
        <w:t>1.4如无有效异议、无行贿犯罪记录，采购人和</w:t>
      </w:r>
      <w:r>
        <w:rPr>
          <w:rFonts w:hint="eastAsia" w:hAnsi="宋体" w:cs="Times New Roman"/>
          <w:sz w:val="24"/>
          <w:szCs w:val="24"/>
          <w:lang w:eastAsia="zh-CN"/>
        </w:rPr>
        <w:t>杭州兑尚源工程管理有限公司</w:t>
      </w:r>
      <w:r>
        <w:rPr>
          <w:rFonts w:hAnsi="宋体" w:cs="Times New Roman"/>
          <w:sz w:val="24"/>
          <w:szCs w:val="24"/>
        </w:rPr>
        <w:t>将在两个工作日内共同签发《中标通知书》，中标方凭有效证明到</w:t>
      </w:r>
      <w:r>
        <w:rPr>
          <w:rFonts w:hint="eastAsia" w:hAnsi="宋体" w:cs="Times New Roman"/>
          <w:sz w:val="24"/>
          <w:szCs w:val="24"/>
          <w:lang w:eastAsia="zh-CN"/>
        </w:rPr>
        <w:t>杭州兑尚源工程管理有限公司</w:t>
      </w:r>
      <w:r>
        <w:rPr>
          <w:rFonts w:hAnsi="宋体" w:cs="Times New Roman"/>
          <w:sz w:val="24"/>
          <w:szCs w:val="24"/>
        </w:rPr>
        <w:t>领取《中标通知书》。《中标通知书》一经发出即发生法律效力。</w:t>
      </w:r>
    </w:p>
    <w:p w14:paraId="1A0CD38A">
      <w:pPr>
        <w:pStyle w:val="29"/>
        <w:snapToGrid w:val="0"/>
        <w:spacing w:line="440" w:lineRule="atLeast"/>
        <w:ind w:firstLine="470" w:firstLineChars="196"/>
        <w:rPr>
          <w:rFonts w:hAnsi="宋体" w:cs="Times New Roman"/>
          <w:sz w:val="24"/>
          <w:szCs w:val="24"/>
        </w:rPr>
      </w:pPr>
      <w:r>
        <w:rPr>
          <w:rFonts w:hAnsi="宋体" w:cs="Times New Roman"/>
          <w:sz w:val="24"/>
          <w:szCs w:val="24"/>
        </w:rPr>
        <w:t>2.质疑与投诉</w:t>
      </w:r>
    </w:p>
    <w:p w14:paraId="2E5505F3">
      <w:pPr>
        <w:pStyle w:val="29"/>
        <w:snapToGrid w:val="0"/>
        <w:spacing w:line="440" w:lineRule="atLeast"/>
        <w:ind w:firstLine="470" w:firstLineChars="196"/>
        <w:rPr>
          <w:rFonts w:hAnsi="宋体" w:cs="Times New Roman"/>
          <w:sz w:val="24"/>
          <w:szCs w:val="24"/>
        </w:rPr>
      </w:pPr>
      <w:r>
        <w:rPr>
          <w:rFonts w:hAnsi="宋体" w:cs="Times New Roman"/>
          <w:sz w:val="24"/>
          <w:szCs w:val="24"/>
        </w:rPr>
        <w:t>2.1开标过程中，投标人对开标有异议的，应当在开标现场书面提出，评</w:t>
      </w:r>
      <w:r>
        <w:rPr>
          <w:rFonts w:hint="eastAsia" w:hAnsi="宋体" w:cs="Times New Roman"/>
          <w:sz w:val="24"/>
          <w:szCs w:val="24"/>
        </w:rPr>
        <w:t>标</w:t>
      </w:r>
      <w:r>
        <w:rPr>
          <w:rFonts w:hAnsi="宋体" w:cs="Times New Roman"/>
          <w:sz w:val="24"/>
          <w:szCs w:val="24"/>
        </w:rPr>
        <w:t>委员会应对异常情况作记录。</w:t>
      </w:r>
    </w:p>
    <w:p w14:paraId="60BCF894">
      <w:pPr>
        <w:pStyle w:val="29"/>
        <w:snapToGrid w:val="0"/>
        <w:spacing w:line="440" w:lineRule="atLeast"/>
        <w:ind w:firstLine="470" w:firstLineChars="196"/>
        <w:rPr>
          <w:rFonts w:hAnsi="宋体" w:cs="Times New Roman"/>
          <w:sz w:val="24"/>
          <w:szCs w:val="24"/>
        </w:rPr>
      </w:pPr>
      <w:r>
        <w:rPr>
          <w:rFonts w:hAnsi="宋体" w:cs="Times New Roman"/>
          <w:sz w:val="24"/>
          <w:szCs w:val="24"/>
        </w:rPr>
        <w:t>2.2开评标结束后，各参加政府采购活动的供应商认为该中标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做出答复的，可以再答复期满后十五个工作日内向同级政府采购监督管理部门投诉。质疑函范本、投诉书范本请到浙江政府采购网下载专区下载。</w:t>
      </w:r>
    </w:p>
    <w:p w14:paraId="0318DDD3">
      <w:pPr>
        <w:pStyle w:val="29"/>
        <w:snapToGrid w:val="0"/>
        <w:spacing w:line="440" w:lineRule="atLeast"/>
        <w:ind w:firstLine="470" w:firstLineChars="196"/>
        <w:rPr>
          <w:rFonts w:hAnsi="宋体" w:cs="Times New Roman"/>
          <w:sz w:val="24"/>
          <w:szCs w:val="24"/>
        </w:rPr>
      </w:pPr>
      <w:r>
        <w:rPr>
          <w:rFonts w:hAnsi="宋体" w:cs="Times New Roman"/>
          <w:sz w:val="24"/>
          <w:szCs w:val="24"/>
        </w:rPr>
        <w:t>2.3投标人质疑、投诉应当有明确的请求和必要的证明材料。投诉人投诉事项不得超出已质疑事项的范围。</w:t>
      </w:r>
    </w:p>
    <w:p w14:paraId="42101A51">
      <w:pPr>
        <w:pStyle w:val="29"/>
        <w:snapToGrid w:val="0"/>
        <w:spacing w:line="440" w:lineRule="atLeast"/>
        <w:ind w:firstLine="470" w:firstLineChars="196"/>
        <w:rPr>
          <w:rFonts w:hAnsi="宋体" w:cs="Times New Roman"/>
          <w:sz w:val="24"/>
          <w:szCs w:val="24"/>
        </w:rPr>
      </w:pPr>
      <w:r>
        <w:rPr>
          <w:rFonts w:hAnsi="宋体" w:cs="Times New Roman"/>
          <w:sz w:val="24"/>
          <w:szCs w:val="24"/>
        </w:rPr>
        <w:t>2.4投诉人捏造事实，提供虚假材料或者以非法手段取得证明材料进行投诉的，招投标监管部门予以驳回。</w:t>
      </w:r>
    </w:p>
    <w:p w14:paraId="389E15EB">
      <w:pPr>
        <w:pStyle w:val="29"/>
        <w:snapToGrid w:val="0"/>
        <w:spacing w:line="440" w:lineRule="atLeast"/>
        <w:ind w:firstLine="470" w:firstLineChars="196"/>
        <w:rPr>
          <w:rFonts w:hAnsi="宋体" w:cs="Times New Roman"/>
          <w:sz w:val="24"/>
          <w:szCs w:val="24"/>
        </w:rPr>
      </w:pPr>
      <w:r>
        <w:rPr>
          <w:rFonts w:hAnsi="宋体" w:cs="Times New Roman"/>
          <w:sz w:val="24"/>
          <w:szCs w:val="24"/>
        </w:rPr>
        <w:t>2.5质疑投诉的相关规定</w:t>
      </w:r>
    </w:p>
    <w:p w14:paraId="312CF34A">
      <w:pPr>
        <w:pStyle w:val="29"/>
        <w:snapToGrid w:val="0"/>
        <w:spacing w:line="440" w:lineRule="atLeast"/>
        <w:ind w:firstLine="470" w:firstLineChars="196"/>
        <w:rPr>
          <w:rFonts w:hAnsi="宋体" w:cs="Times New Roman"/>
          <w:sz w:val="24"/>
          <w:szCs w:val="24"/>
        </w:rPr>
      </w:pPr>
      <w:r>
        <w:rPr>
          <w:rFonts w:hAnsi="宋体" w:cs="Times New Roman"/>
          <w:sz w:val="24"/>
          <w:szCs w:val="24"/>
        </w:rPr>
        <w:t>（一）质疑投诉递交的资料需为书面材料。质疑投诉书面材料需法</w:t>
      </w:r>
      <w:r>
        <w:rPr>
          <w:rFonts w:hint="eastAsia" w:hAnsi="宋体" w:cs="Times New Roman"/>
          <w:sz w:val="24"/>
          <w:szCs w:val="24"/>
        </w:rPr>
        <w:t>定</w:t>
      </w:r>
      <w:r>
        <w:rPr>
          <w:rFonts w:hAnsi="宋体" w:cs="Times New Roman"/>
          <w:sz w:val="24"/>
          <w:szCs w:val="24"/>
        </w:rPr>
        <w:t>代表人或授权代表签字并加盖公章。</w:t>
      </w:r>
    </w:p>
    <w:p w14:paraId="5ADBF5CB">
      <w:pPr>
        <w:pStyle w:val="29"/>
        <w:snapToGrid w:val="0"/>
        <w:spacing w:line="440" w:lineRule="atLeast"/>
        <w:ind w:firstLine="470" w:firstLineChars="196"/>
        <w:rPr>
          <w:rFonts w:hAnsi="宋体" w:cs="Times New Roman"/>
          <w:sz w:val="24"/>
          <w:szCs w:val="24"/>
        </w:rPr>
      </w:pPr>
      <w:r>
        <w:rPr>
          <w:rFonts w:hAnsi="宋体" w:cs="Times New Roman"/>
          <w:sz w:val="24"/>
          <w:szCs w:val="24"/>
        </w:rPr>
        <w:t>（二）质疑投诉属于以下情况之一的，将不予受理：</w:t>
      </w:r>
    </w:p>
    <w:p w14:paraId="61B2742A">
      <w:pPr>
        <w:pStyle w:val="29"/>
        <w:snapToGrid w:val="0"/>
        <w:spacing w:line="440" w:lineRule="atLeast"/>
        <w:ind w:firstLine="470" w:firstLineChars="196"/>
        <w:rPr>
          <w:rFonts w:hAnsi="宋体" w:cs="Times New Roman"/>
          <w:sz w:val="24"/>
          <w:szCs w:val="24"/>
        </w:rPr>
      </w:pPr>
      <w:r>
        <w:rPr>
          <w:rFonts w:hAnsi="宋体" w:cs="Times New Roman"/>
          <w:sz w:val="24"/>
          <w:szCs w:val="24"/>
        </w:rPr>
        <w:t>1.质疑投诉人不是所投诉项目的参与者，或者与质疑投诉项目无任何利害关系。</w:t>
      </w:r>
    </w:p>
    <w:p w14:paraId="2A4C7EA7">
      <w:pPr>
        <w:pStyle w:val="29"/>
        <w:snapToGrid w:val="0"/>
        <w:spacing w:line="440" w:lineRule="atLeast"/>
        <w:ind w:firstLine="470" w:firstLineChars="196"/>
        <w:rPr>
          <w:rFonts w:hAnsi="宋体" w:cs="Times New Roman"/>
          <w:sz w:val="24"/>
          <w:szCs w:val="24"/>
        </w:rPr>
      </w:pPr>
      <w:r>
        <w:rPr>
          <w:rFonts w:hAnsi="宋体" w:cs="Times New Roman"/>
          <w:sz w:val="24"/>
          <w:szCs w:val="24"/>
        </w:rPr>
        <w:t>2.质疑投诉事项不具体，且未提供有效线索，难以查证。</w:t>
      </w:r>
    </w:p>
    <w:p w14:paraId="626F7CA2">
      <w:pPr>
        <w:pStyle w:val="29"/>
        <w:snapToGrid w:val="0"/>
        <w:spacing w:line="440" w:lineRule="atLeast"/>
        <w:ind w:firstLine="470" w:firstLineChars="196"/>
        <w:rPr>
          <w:rFonts w:hAnsi="宋体" w:cs="Times New Roman"/>
          <w:sz w:val="24"/>
          <w:szCs w:val="24"/>
        </w:rPr>
      </w:pPr>
      <w:r>
        <w:rPr>
          <w:rFonts w:hAnsi="宋体" w:cs="Times New Roman"/>
          <w:sz w:val="24"/>
          <w:szCs w:val="24"/>
        </w:rPr>
        <w:t>3.未提供书面质疑或者质疑未加盖公章的；投诉人为法人或者其他组织，其投诉书未经法定代表人或者主要负责人签字并加盖公章的。</w:t>
      </w:r>
    </w:p>
    <w:p w14:paraId="05A3E67C">
      <w:pPr>
        <w:pStyle w:val="29"/>
        <w:snapToGrid w:val="0"/>
        <w:spacing w:line="440" w:lineRule="atLeast"/>
        <w:ind w:firstLine="470" w:firstLineChars="196"/>
        <w:rPr>
          <w:rFonts w:hAnsi="宋体" w:cs="Times New Roman"/>
          <w:sz w:val="24"/>
          <w:szCs w:val="24"/>
        </w:rPr>
      </w:pPr>
      <w:r>
        <w:rPr>
          <w:rFonts w:hAnsi="宋体" w:cs="Times New Roman"/>
          <w:sz w:val="24"/>
          <w:szCs w:val="24"/>
        </w:rPr>
        <w:t>4.已超过采购文件规定质疑投诉提出期限的事项。</w:t>
      </w:r>
    </w:p>
    <w:p w14:paraId="63651B41">
      <w:pPr>
        <w:pStyle w:val="29"/>
        <w:snapToGrid w:val="0"/>
        <w:spacing w:line="440" w:lineRule="atLeast"/>
        <w:ind w:firstLine="470" w:firstLineChars="196"/>
        <w:rPr>
          <w:rFonts w:hAnsi="宋体" w:cs="Times New Roman"/>
          <w:sz w:val="24"/>
          <w:szCs w:val="24"/>
        </w:rPr>
      </w:pPr>
      <w:r>
        <w:rPr>
          <w:rFonts w:hAnsi="宋体" w:cs="Times New Roman"/>
          <w:sz w:val="24"/>
          <w:szCs w:val="24"/>
        </w:rPr>
        <w:t>5.投诉事项已做出处理决定，并且投诉人没有提出新的证据；</w:t>
      </w:r>
    </w:p>
    <w:p w14:paraId="42FD601B">
      <w:pPr>
        <w:pStyle w:val="29"/>
        <w:snapToGrid w:val="0"/>
        <w:spacing w:line="440" w:lineRule="atLeast"/>
        <w:ind w:firstLine="470" w:firstLineChars="196"/>
        <w:rPr>
          <w:rFonts w:hAnsi="宋体" w:cs="Times New Roman"/>
          <w:sz w:val="24"/>
          <w:szCs w:val="24"/>
        </w:rPr>
      </w:pPr>
      <w:r>
        <w:rPr>
          <w:rFonts w:hAnsi="宋体" w:cs="Times New Roman"/>
          <w:sz w:val="24"/>
          <w:szCs w:val="24"/>
        </w:rPr>
        <w:t>6.质疑投诉的事项已经进入行政复议或者行政诉讼程序的；投诉事项应先提出质疑而没有提出质疑的。</w:t>
      </w:r>
    </w:p>
    <w:p w14:paraId="79AD7AE3">
      <w:pPr>
        <w:pStyle w:val="29"/>
        <w:snapToGrid w:val="0"/>
        <w:spacing w:line="440" w:lineRule="atLeast"/>
        <w:ind w:firstLine="470" w:firstLineChars="196"/>
        <w:rPr>
          <w:rFonts w:hAnsi="宋体" w:cs="Times New Roman"/>
          <w:sz w:val="24"/>
          <w:szCs w:val="24"/>
        </w:rPr>
      </w:pPr>
      <w:r>
        <w:rPr>
          <w:rFonts w:hAnsi="宋体" w:cs="Times New Roman"/>
          <w:sz w:val="24"/>
          <w:szCs w:val="24"/>
        </w:rPr>
        <w:t>7.不符合《政府采购质疑和投诉办法》（财政部令第94号）等有关规定的质疑投诉。</w:t>
      </w:r>
    </w:p>
    <w:p w14:paraId="513FEC55">
      <w:pPr>
        <w:pStyle w:val="29"/>
        <w:snapToGrid w:val="0"/>
        <w:spacing w:line="400" w:lineRule="atLeast"/>
        <w:ind w:firstLine="480" w:firstLineChars="200"/>
        <w:jc w:val="left"/>
        <w:rPr>
          <w:rFonts w:hAnsi="宋体" w:cs="Times New Roman"/>
          <w:sz w:val="24"/>
          <w:szCs w:val="24"/>
        </w:rPr>
      </w:pPr>
      <w:r>
        <w:rPr>
          <w:rFonts w:hAnsi="宋体" w:cs="Times New Roman"/>
          <w:sz w:val="24"/>
          <w:szCs w:val="24"/>
        </w:rPr>
        <w:t>（三）因质疑投诉成立或其他原因，取消中标（成交，下同）候选人或中标人中标资格的，应重新组织招标。</w:t>
      </w:r>
    </w:p>
    <w:p w14:paraId="6216031E">
      <w:pPr>
        <w:snapToGrid w:val="0"/>
        <w:spacing w:line="400" w:lineRule="atLeast"/>
        <w:ind w:firstLine="480" w:firstLineChars="200"/>
        <w:jc w:val="left"/>
        <w:rPr>
          <w:rFonts w:ascii="宋体" w:hAnsi="宋体"/>
          <w:sz w:val="24"/>
        </w:rPr>
      </w:pPr>
      <w:r>
        <w:rPr>
          <w:rFonts w:hint="eastAsia" w:ascii="宋体" w:hAnsi="宋体"/>
          <w:sz w:val="24"/>
        </w:rPr>
        <w:t>四</w:t>
      </w:r>
      <w:r>
        <w:rPr>
          <w:rFonts w:ascii="宋体" w:hAnsi="宋体"/>
          <w:sz w:val="24"/>
        </w:rPr>
        <w:t>、合同签订</w:t>
      </w:r>
    </w:p>
    <w:p w14:paraId="7E9263EA">
      <w:pPr>
        <w:spacing w:line="400" w:lineRule="atLeast"/>
        <w:ind w:firstLine="480" w:firstLineChars="200"/>
        <w:jc w:val="left"/>
        <w:rPr>
          <w:rFonts w:ascii="宋体" w:hAnsi="宋体"/>
          <w:sz w:val="24"/>
        </w:rPr>
      </w:pPr>
      <w:r>
        <w:rPr>
          <w:rFonts w:ascii="宋体" w:hAnsi="宋体"/>
          <w:sz w:val="24"/>
        </w:rPr>
        <w:t>1.中标人自接到《中标通知书》后应在三十日内到采购人处与采购人签订合同。</w:t>
      </w:r>
    </w:p>
    <w:p w14:paraId="15A6E9FC">
      <w:pPr>
        <w:spacing w:line="400" w:lineRule="atLeast"/>
        <w:ind w:firstLine="480" w:firstLineChars="200"/>
        <w:jc w:val="left"/>
        <w:rPr>
          <w:rFonts w:ascii="宋体" w:hAnsi="宋体"/>
          <w:sz w:val="24"/>
        </w:rPr>
      </w:pPr>
      <w:r>
        <w:rPr>
          <w:rFonts w:ascii="宋体" w:hAnsi="宋体"/>
          <w:sz w:val="24"/>
        </w:rPr>
        <w:t>2.采购文件、中标人的投标文件、评标过程中投标人在询标时做出的承诺及其澄清文件等，均为签订合同的依据。</w:t>
      </w:r>
    </w:p>
    <w:p w14:paraId="3CF0A771">
      <w:pPr>
        <w:spacing w:line="400" w:lineRule="atLeast"/>
        <w:ind w:firstLine="480" w:firstLineChars="200"/>
        <w:jc w:val="left"/>
        <w:rPr>
          <w:rFonts w:ascii="宋体" w:hAnsi="宋体"/>
          <w:sz w:val="24"/>
        </w:rPr>
      </w:pPr>
      <w:r>
        <w:rPr>
          <w:rFonts w:ascii="宋体" w:hAnsi="宋体"/>
          <w:sz w:val="24"/>
        </w:rPr>
        <w:t>3.中标人不遵守采购文件和投标文件的要约及承诺而擅自修改报价，或在接到《中标通知书》后借故拖延、拒签合同而造成超过规定时间的，将取消该投标人的中标资格。在此情况下，采购人和采购代理机构重新招标，对受影响的投标人不承担任何责任。</w:t>
      </w:r>
    </w:p>
    <w:p w14:paraId="2EC2D9E6">
      <w:pPr>
        <w:spacing w:line="400" w:lineRule="atLeast"/>
        <w:ind w:firstLine="480" w:firstLineChars="200"/>
        <w:jc w:val="left"/>
        <w:rPr>
          <w:rFonts w:ascii="宋体" w:hAnsi="宋体"/>
          <w:sz w:val="24"/>
        </w:rPr>
      </w:pPr>
      <w:r>
        <w:rPr>
          <w:rFonts w:ascii="宋体" w:hAnsi="宋体"/>
          <w:sz w:val="24"/>
        </w:rPr>
        <w:t>4.采购人与中标人签订合同后采购代理机构将中标结果通知落选投标人，采购人和采购代理机构对评标结果不负责解释。</w:t>
      </w:r>
    </w:p>
    <w:p w14:paraId="4E27E0C1">
      <w:pPr>
        <w:snapToGrid w:val="0"/>
        <w:spacing w:line="400" w:lineRule="atLeast"/>
        <w:ind w:firstLine="482" w:firstLineChars="200"/>
        <w:jc w:val="left"/>
        <w:rPr>
          <w:rFonts w:ascii="宋体" w:hAnsi="宋体"/>
          <w:b/>
          <w:sz w:val="24"/>
        </w:rPr>
      </w:pPr>
      <w:r>
        <w:rPr>
          <w:rFonts w:ascii="宋体" w:hAnsi="宋体"/>
          <w:b/>
          <w:sz w:val="24"/>
        </w:rPr>
        <w:t>五、履约保证金</w:t>
      </w:r>
    </w:p>
    <w:p w14:paraId="139E653C">
      <w:pPr>
        <w:pStyle w:val="29"/>
        <w:snapToGrid w:val="0"/>
        <w:spacing w:line="440" w:lineRule="atLeast"/>
        <w:ind w:firstLine="470" w:firstLineChars="196"/>
        <w:rPr>
          <w:rFonts w:hAnsi="宋体" w:cs="Times New Roman"/>
          <w:b/>
          <w:sz w:val="24"/>
          <w:szCs w:val="24"/>
        </w:rPr>
      </w:pPr>
      <w:r>
        <w:rPr>
          <w:rFonts w:hint="eastAsia" w:hAnsi="宋体" w:cs="Times New Roman"/>
          <w:sz w:val="24"/>
          <w:szCs w:val="24"/>
        </w:rPr>
        <w:t>无</w:t>
      </w:r>
    </w:p>
    <w:p w14:paraId="6B52761F">
      <w:pPr>
        <w:pStyle w:val="29"/>
        <w:jc w:val="center"/>
        <w:outlineLvl w:val="0"/>
        <w:rPr>
          <w:rFonts w:hAnsi="宋体" w:cs="Times New Roman"/>
          <w:b/>
          <w:bCs/>
          <w:kern w:val="44"/>
          <w:sz w:val="36"/>
          <w:szCs w:val="36"/>
        </w:rPr>
      </w:pPr>
      <w:bookmarkStart w:id="136" w:name="_Toc362268017"/>
      <w:bookmarkStart w:id="137" w:name="_Toc9764"/>
      <w:r>
        <w:rPr>
          <w:rFonts w:hAnsi="宋体" w:cs="Times New Roman"/>
          <w:b/>
          <w:bCs/>
          <w:kern w:val="44"/>
          <w:sz w:val="36"/>
          <w:szCs w:val="44"/>
        </w:rPr>
        <w:br w:type="page"/>
      </w:r>
      <w:bookmarkEnd w:id="136"/>
      <w:bookmarkEnd w:id="137"/>
      <w:bookmarkStart w:id="138" w:name="_Toc2565"/>
      <w:bookmarkStart w:id="139" w:name="_Toc226973004"/>
      <w:bookmarkStart w:id="140" w:name="_Toc274303255"/>
      <w:bookmarkStart w:id="141" w:name="_Toc34919372"/>
      <w:bookmarkStart w:id="142" w:name="_Toc145992551"/>
      <w:bookmarkStart w:id="143" w:name="_Toc519014252"/>
      <w:bookmarkStart w:id="144" w:name="_Toc481227885"/>
      <w:bookmarkStart w:id="145" w:name="_Toc481242825"/>
      <w:bookmarkStart w:id="146" w:name="_Toc465782691"/>
      <w:bookmarkStart w:id="147" w:name="_Toc25529"/>
      <w:r>
        <w:rPr>
          <w:rFonts w:hAnsi="宋体" w:cs="Times New Roman"/>
          <w:b/>
          <w:bCs/>
          <w:kern w:val="44"/>
          <w:sz w:val="36"/>
          <w:szCs w:val="36"/>
        </w:rPr>
        <w:t>第五章 评标办法</w:t>
      </w:r>
      <w:bookmarkEnd w:id="138"/>
      <w:bookmarkEnd w:id="139"/>
      <w:bookmarkEnd w:id="140"/>
      <w:bookmarkEnd w:id="141"/>
      <w:bookmarkEnd w:id="142"/>
      <w:bookmarkEnd w:id="143"/>
      <w:bookmarkEnd w:id="144"/>
      <w:bookmarkEnd w:id="145"/>
      <w:bookmarkEnd w:id="146"/>
      <w:bookmarkEnd w:id="147"/>
    </w:p>
    <w:p w14:paraId="5B3C54CB">
      <w:pPr>
        <w:spacing w:line="440" w:lineRule="exact"/>
        <w:ind w:firstLine="480" w:firstLineChars="200"/>
        <w:rPr>
          <w:rFonts w:ascii="宋体" w:hAnsi="宋体"/>
          <w:sz w:val="24"/>
        </w:rPr>
      </w:pPr>
      <w:bookmarkStart w:id="148" w:name="_Toc249760791"/>
      <w:bookmarkStart w:id="149" w:name="_Toc251566662"/>
      <w:bookmarkStart w:id="150" w:name="_Toc10591"/>
      <w:bookmarkStart w:id="151" w:name="_Toc9435"/>
      <w:bookmarkStart w:id="152" w:name="_Toc419117680"/>
      <w:bookmarkStart w:id="153" w:name="_Toc481227887"/>
      <w:bookmarkStart w:id="154" w:name="_Toc481242827"/>
      <w:bookmarkStart w:id="155" w:name="_Toc465782693"/>
      <w:bookmarkStart w:id="156" w:name="_Toc419117679"/>
      <w:bookmarkStart w:id="157" w:name="_Toc362250710"/>
      <w:bookmarkStart w:id="158" w:name="_Toc269969080"/>
      <w:bookmarkStart w:id="159" w:name="_Toc330474791"/>
      <w:bookmarkStart w:id="160" w:name="_Toc323024194"/>
      <w:bookmarkStart w:id="161" w:name="_Toc358884475"/>
      <w:bookmarkStart w:id="162" w:name="_Toc295815145"/>
      <w:r>
        <w:rPr>
          <w:rFonts w:ascii="宋体" w:hAnsi="宋体"/>
          <w:sz w:val="24"/>
        </w:rPr>
        <w:t>为公平</w:t>
      </w:r>
      <w:r>
        <w:rPr>
          <w:rFonts w:hint="eastAsia" w:ascii="宋体" w:hAnsi="宋体"/>
          <w:sz w:val="24"/>
        </w:rPr>
        <w:t>竞争、</w:t>
      </w:r>
      <w:r>
        <w:rPr>
          <w:rFonts w:ascii="宋体" w:hAnsi="宋体"/>
          <w:sz w:val="24"/>
        </w:rPr>
        <w:t>公正</w:t>
      </w:r>
      <w:r>
        <w:rPr>
          <w:rFonts w:hint="eastAsia" w:ascii="宋体" w:hAnsi="宋体"/>
          <w:sz w:val="24"/>
        </w:rPr>
        <w:t>原则，</w:t>
      </w:r>
      <w:r>
        <w:rPr>
          <w:rFonts w:ascii="宋体" w:hAnsi="宋体"/>
          <w:sz w:val="24"/>
        </w:rPr>
        <w:t>科学地选择中标人，根据《中华人民共和国政府采购法》等有关法律法规的规定，并结合本项目的实际，制定本办法。</w:t>
      </w:r>
    </w:p>
    <w:p w14:paraId="4E46E73A">
      <w:pPr>
        <w:spacing w:line="440" w:lineRule="exact"/>
        <w:ind w:firstLine="482" w:firstLineChars="200"/>
        <w:rPr>
          <w:rFonts w:ascii="宋体" w:hAnsi="宋体"/>
          <w:b/>
          <w:sz w:val="24"/>
        </w:rPr>
      </w:pPr>
      <w:bookmarkStart w:id="163" w:name="_Toc34919373"/>
      <w:r>
        <w:rPr>
          <w:rFonts w:ascii="宋体" w:hAnsi="宋体"/>
          <w:b/>
          <w:sz w:val="24"/>
        </w:rPr>
        <w:t>一、总则</w:t>
      </w:r>
      <w:bookmarkEnd w:id="148"/>
      <w:bookmarkEnd w:id="149"/>
      <w:bookmarkEnd w:id="150"/>
      <w:bookmarkEnd w:id="151"/>
      <w:bookmarkEnd w:id="163"/>
    </w:p>
    <w:p w14:paraId="2FC30212">
      <w:pPr>
        <w:tabs>
          <w:tab w:val="left" w:pos="3870"/>
          <w:tab w:val="left" w:pos="4085"/>
        </w:tabs>
        <w:spacing w:line="400" w:lineRule="atLeast"/>
        <w:ind w:firstLine="480" w:firstLineChars="200"/>
        <w:jc w:val="left"/>
        <w:rPr>
          <w:rFonts w:ascii="宋体" w:hAnsi="宋体"/>
          <w:sz w:val="24"/>
        </w:rPr>
      </w:pPr>
      <w:bookmarkStart w:id="164" w:name="_Toc249760792"/>
      <w:bookmarkStart w:id="165" w:name="_Toc251566663"/>
      <w:bookmarkStart w:id="166" w:name="_Toc22739"/>
      <w:bookmarkStart w:id="167" w:name="_Toc13164"/>
      <w:r>
        <w:rPr>
          <w:rFonts w:hint="eastAsia" w:ascii="宋体" w:hAnsi="宋体"/>
          <w:sz w:val="24"/>
        </w:rPr>
        <w:t>本次评标采用综合评分法，</w:t>
      </w:r>
      <w:r>
        <w:rPr>
          <w:rFonts w:hint="eastAsia" w:ascii="宋体" w:hAnsi="宋体" w:cs="宋体"/>
          <w:sz w:val="24"/>
        </w:rPr>
        <w:t>总分设为100分，其中价格分20分、商务技术分80分。</w:t>
      </w:r>
    </w:p>
    <w:bookmarkEnd w:id="164"/>
    <w:bookmarkEnd w:id="165"/>
    <w:bookmarkEnd w:id="166"/>
    <w:bookmarkEnd w:id="167"/>
    <w:p w14:paraId="222B3035">
      <w:pPr>
        <w:spacing w:line="440" w:lineRule="exact"/>
        <w:ind w:firstLine="482" w:firstLineChars="200"/>
        <w:rPr>
          <w:rFonts w:ascii="宋体" w:hAnsi="宋体"/>
          <w:b/>
          <w:sz w:val="24"/>
        </w:rPr>
      </w:pPr>
      <w:r>
        <w:rPr>
          <w:rFonts w:ascii="宋体" w:hAnsi="宋体"/>
          <w:b/>
          <w:sz w:val="24"/>
        </w:rPr>
        <w:t>二、资格审查</w:t>
      </w:r>
    </w:p>
    <w:p w14:paraId="05D09F9F">
      <w:pPr>
        <w:spacing w:line="440" w:lineRule="exact"/>
        <w:ind w:firstLine="480" w:firstLineChars="200"/>
        <w:rPr>
          <w:rFonts w:ascii="宋体" w:hAnsi="宋体"/>
          <w:sz w:val="24"/>
        </w:rPr>
      </w:pPr>
      <w:r>
        <w:rPr>
          <w:rFonts w:ascii="宋体" w:hAnsi="宋体"/>
          <w:sz w:val="24"/>
        </w:rPr>
        <w:t>采购人或者采购代理机构对各投标人的资格进行审查，投标人资格条件不符合采购文件要求的投标无效，不再进入符合性审查。</w:t>
      </w:r>
    </w:p>
    <w:tbl>
      <w:tblPr>
        <w:tblStyle w:val="55"/>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3768"/>
        <w:gridCol w:w="3803"/>
        <w:gridCol w:w="1550"/>
      </w:tblGrid>
      <w:tr w14:paraId="4A46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27" w:type="dxa"/>
            <w:shd w:val="clear" w:color="auto" w:fill="7F7F7F"/>
            <w:noWrap/>
          </w:tcPr>
          <w:p w14:paraId="40330C67">
            <w:pPr>
              <w:autoSpaceDE w:val="0"/>
              <w:autoSpaceDN w:val="0"/>
              <w:adjustRightInd w:val="0"/>
              <w:spacing w:line="0" w:lineRule="atLeast"/>
              <w:jc w:val="center"/>
              <w:rPr>
                <w:rFonts w:ascii="宋体" w:hAnsi="宋体" w:cs="宋体"/>
                <w:szCs w:val="21"/>
              </w:rPr>
            </w:pPr>
            <w:r>
              <w:rPr>
                <w:rFonts w:hint="eastAsia" w:ascii="宋体" w:hAnsi="宋体" w:cs="宋体"/>
                <w:szCs w:val="21"/>
              </w:rPr>
              <w:t>序号</w:t>
            </w:r>
          </w:p>
        </w:tc>
        <w:tc>
          <w:tcPr>
            <w:tcW w:w="3768" w:type="dxa"/>
            <w:shd w:val="clear" w:color="auto" w:fill="7F7F7F"/>
            <w:noWrap/>
            <w:vAlign w:val="center"/>
          </w:tcPr>
          <w:p w14:paraId="7D80E5A8">
            <w:pPr>
              <w:autoSpaceDE w:val="0"/>
              <w:autoSpaceDN w:val="0"/>
              <w:adjustRightInd w:val="0"/>
              <w:spacing w:line="0" w:lineRule="atLeast"/>
              <w:jc w:val="center"/>
              <w:rPr>
                <w:rFonts w:ascii="宋体" w:hAnsi="宋体" w:cs="宋体"/>
                <w:szCs w:val="21"/>
              </w:rPr>
            </w:pPr>
            <w:r>
              <w:rPr>
                <w:rFonts w:hint="eastAsia" w:ascii="宋体" w:hAnsi="宋体" w:cs="宋体"/>
                <w:szCs w:val="21"/>
              </w:rPr>
              <w:t>资格条件</w:t>
            </w:r>
          </w:p>
        </w:tc>
        <w:tc>
          <w:tcPr>
            <w:tcW w:w="3803" w:type="dxa"/>
            <w:shd w:val="clear" w:color="auto" w:fill="7F7F7F"/>
            <w:noWrap/>
            <w:vAlign w:val="center"/>
          </w:tcPr>
          <w:p w14:paraId="2BBD571E">
            <w:pPr>
              <w:autoSpaceDE w:val="0"/>
              <w:autoSpaceDN w:val="0"/>
              <w:adjustRightInd w:val="0"/>
              <w:spacing w:line="0" w:lineRule="atLeast"/>
              <w:jc w:val="center"/>
              <w:rPr>
                <w:rFonts w:ascii="宋体" w:hAnsi="宋体" w:cs="宋体"/>
                <w:szCs w:val="21"/>
              </w:rPr>
            </w:pPr>
            <w:r>
              <w:rPr>
                <w:rFonts w:hint="eastAsia" w:ascii="宋体" w:hAnsi="宋体" w:cs="宋体"/>
                <w:szCs w:val="21"/>
              </w:rPr>
              <w:t>应提供的资格审查资料（除承诺函、说明 、声明外的其他证件提供原件扫</w:t>
            </w:r>
          </w:p>
          <w:p w14:paraId="1BD09AC5">
            <w:pPr>
              <w:autoSpaceDE w:val="0"/>
              <w:autoSpaceDN w:val="0"/>
              <w:adjustRightInd w:val="0"/>
              <w:spacing w:line="0" w:lineRule="atLeast"/>
              <w:jc w:val="center"/>
              <w:rPr>
                <w:rFonts w:ascii="宋体" w:hAnsi="宋体" w:cs="宋体"/>
                <w:szCs w:val="21"/>
              </w:rPr>
            </w:pPr>
            <w:r>
              <w:rPr>
                <w:rFonts w:hint="eastAsia" w:ascii="宋体" w:hAnsi="宋体" w:cs="宋体"/>
                <w:szCs w:val="21"/>
              </w:rPr>
              <w:t>描件</w:t>
            </w:r>
          </w:p>
        </w:tc>
        <w:tc>
          <w:tcPr>
            <w:tcW w:w="1550" w:type="dxa"/>
            <w:shd w:val="clear" w:color="auto" w:fill="7F7F7F"/>
            <w:noWrap/>
            <w:vAlign w:val="center"/>
          </w:tcPr>
          <w:p w14:paraId="26EE5073">
            <w:pPr>
              <w:autoSpaceDE w:val="0"/>
              <w:autoSpaceDN w:val="0"/>
              <w:adjustRightInd w:val="0"/>
              <w:spacing w:line="0" w:lineRule="atLeast"/>
              <w:jc w:val="center"/>
              <w:rPr>
                <w:rFonts w:ascii="宋体" w:hAnsi="宋体" w:cs="宋体"/>
                <w:szCs w:val="21"/>
              </w:rPr>
            </w:pPr>
            <w:r>
              <w:rPr>
                <w:rFonts w:hint="eastAsia" w:ascii="宋体" w:hAnsi="宋体" w:cs="宋体"/>
                <w:szCs w:val="21"/>
              </w:rPr>
              <w:t>审查情况</w:t>
            </w:r>
          </w:p>
        </w:tc>
      </w:tr>
      <w:tr w14:paraId="32FD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27" w:type="dxa"/>
            <w:noWrap/>
            <w:vAlign w:val="center"/>
          </w:tcPr>
          <w:p w14:paraId="76C97591">
            <w:pPr>
              <w:spacing w:line="0" w:lineRule="atLeast"/>
              <w:jc w:val="center"/>
              <w:rPr>
                <w:rFonts w:ascii="宋体" w:hAnsi="宋体" w:cs="宋体"/>
                <w:bCs/>
                <w:szCs w:val="21"/>
              </w:rPr>
            </w:pPr>
            <w:r>
              <w:rPr>
                <w:rFonts w:hint="eastAsia" w:ascii="宋体" w:hAnsi="宋体" w:cs="宋体"/>
                <w:bCs/>
                <w:szCs w:val="21"/>
              </w:rPr>
              <w:t>1</w:t>
            </w:r>
          </w:p>
        </w:tc>
        <w:tc>
          <w:tcPr>
            <w:tcW w:w="3768" w:type="dxa"/>
            <w:noWrap/>
            <w:vAlign w:val="center"/>
          </w:tcPr>
          <w:p w14:paraId="06A5A2AB">
            <w:pPr>
              <w:autoSpaceDE w:val="0"/>
              <w:autoSpaceDN w:val="0"/>
              <w:adjustRightInd w:val="0"/>
              <w:spacing w:line="0" w:lineRule="atLeast"/>
              <w:rPr>
                <w:rFonts w:ascii="宋体" w:hAnsi="宋体"/>
                <w:szCs w:val="21"/>
              </w:rPr>
            </w:pPr>
            <w:r>
              <w:rPr>
                <w:rFonts w:hint="eastAsia" w:ascii="宋体" w:hAnsi="宋体"/>
                <w:szCs w:val="21"/>
              </w:rPr>
              <w:t>基本资格要求</w:t>
            </w:r>
          </w:p>
        </w:tc>
        <w:tc>
          <w:tcPr>
            <w:tcW w:w="3803" w:type="dxa"/>
            <w:noWrap/>
            <w:vAlign w:val="center"/>
          </w:tcPr>
          <w:p w14:paraId="0386BFED">
            <w:pPr>
              <w:autoSpaceDE w:val="0"/>
              <w:autoSpaceDN w:val="0"/>
              <w:adjustRightInd w:val="0"/>
              <w:spacing w:line="0" w:lineRule="atLeast"/>
              <w:jc w:val="center"/>
              <w:rPr>
                <w:rFonts w:ascii="宋体" w:hAnsi="宋体" w:cs="宋体"/>
                <w:bCs/>
                <w:szCs w:val="21"/>
              </w:rPr>
            </w:pPr>
            <w:r>
              <w:rPr>
                <w:rFonts w:hint="eastAsia" w:ascii="宋体" w:hAnsi="宋体" w:cs="宋体"/>
                <w:bCs/>
                <w:szCs w:val="21"/>
              </w:rPr>
              <w:t>/</w:t>
            </w:r>
          </w:p>
        </w:tc>
        <w:tc>
          <w:tcPr>
            <w:tcW w:w="1550" w:type="dxa"/>
            <w:noWrap/>
            <w:vAlign w:val="center"/>
          </w:tcPr>
          <w:p w14:paraId="1E3F101B">
            <w:pPr>
              <w:autoSpaceDE w:val="0"/>
              <w:autoSpaceDN w:val="0"/>
              <w:adjustRightInd w:val="0"/>
              <w:spacing w:line="0" w:lineRule="atLeast"/>
              <w:jc w:val="center"/>
              <w:rPr>
                <w:rFonts w:ascii="宋体" w:hAnsi="宋体" w:cs="宋体"/>
                <w:bCs/>
                <w:szCs w:val="21"/>
              </w:rPr>
            </w:pPr>
            <w:r>
              <w:rPr>
                <w:rFonts w:hint="eastAsia" w:ascii="宋体" w:hAnsi="宋体" w:cs="宋体"/>
                <w:szCs w:val="21"/>
              </w:rPr>
              <w:t>/</w:t>
            </w:r>
          </w:p>
        </w:tc>
      </w:tr>
      <w:tr w14:paraId="4EBD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27" w:type="dxa"/>
            <w:noWrap/>
            <w:vAlign w:val="center"/>
          </w:tcPr>
          <w:p w14:paraId="329EB270">
            <w:pPr>
              <w:spacing w:line="0" w:lineRule="atLeast"/>
              <w:jc w:val="center"/>
              <w:rPr>
                <w:rFonts w:ascii="宋体" w:hAnsi="宋体" w:cs="宋体"/>
                <w:bCs/>
                <w:szCs w:val="21"/>
              </w:rPr>
            </w:pPr>
            <w:r>
              <w:rPr>
                <w:rFonts w:hint="eastAsia" w:ascii="宋体" w:hAnsi="宋体" w:cs="宋体"/>
                <w:bCs/>
                <w:szCs w:val="21"/>
              </w:rPr>
              <w:t>1.1</w:t>
            </w:r>
          </w:p>
        </w:tc>
        <w:tc>
          <w:tcPr>
            <w:tcW w:w="3768" w:type="dxa"/>
            <w:noWrap/>
            <w:vAlign w:val="center"/>
          </w:tcPr>
          <w:p w14:paraId="1286572D">
            <w:pPr>
              <w:autoSpaceDE w:val="0"/>
              <w:autoSpaceDN w:val="0"/>
              <w:adjustRightInd w:val="0"/>
              <w:spacing w:line="0" w:lineRule="atLeast"/>
              <w:rPr>
                <w:rFonts w:ascii="宋体" w:hAnsi="宋体"/>
                <w:szCs w:val="21"/>
              </w:rPr>
            </w:pPr>
            <w:r>
              <w:rPr>
                <w:rFonts w:hint="eastAsia" w:ascii="宋体" w:hAnsi="宋体"/>
                <w:szCs w:val="21"/>
              </w:rPr>
              <w:t>1.满足《中华人民共和国政府采购法》第二十二条规定的资格条件；未被“信用中国”（www.creditchina.gov.cn)、中国政府采购网（www.ccgp.gov.cn）列入失信被执行人、重大税收违法案件当事人名单、政府采购严重违法失信行为记录名单；</w:t>
            </w:r>
          </w:p>
        </w:tc>
        <w:tc>
          <w:tcPr>
            <w:tcW w:w="3803" w:type="dxa"/>
            <w:noWrap/>
            <w:vAlign w:val="center"/>
          </w:tcPr>
          <w:p w14:paraId="0D5220FE">
            <w:pPr>
              <w:autoSpaceDE w:val="0"/>
              <w:autoSpaceDN w:val="0"/>
              <w:adjustRightInd w:val="0"/>
              <w:spacing w:line="0" w:lineRule="atLeast"/>
              <w:jc w:val="left"/>
              <w:rPr>
                <w:rFonts w:ascii="宋体" w:hAnsi="宋体" w:cs="宋体"/>
                <w:szCs w:val="21"/>
              </w:rPr>
            </w:pPr>
            <w:r>
              <w:rPr>
                <w:rFonts w:hint="eastAsia" w:ascii="宋体" w:hAnsi="宋体" w:cs="宋体"/>
                <w:szCs w:val="21"/>
              </w:rPr>
              <w:t>应提供的资格审查资料（除承诺函、说明、供应商资格声明函外的其他证件提供原件扫描件，包括营业执照（或事业法人登记证或其他工商等登记证明材料）原件扫描件及无违法失信的声明函及投标截止日前</w:t>
            </w:r>
          </w:p>
          <w:p w14:paraId="3612DE91">
            <w:pPr>
              <w:autoSpaceDE w:val="0"/>
              <w:autoSpaceDN w:val="0"/>
              <w:adjustRightInd w:val="0"/>
              <w:spacing w:line="0" w:lineRule="atLeast"/>
              <w:jc w:val="left"/>
              <w:rPr>
                <w:rFonts w:ascii="宋体" w:hAnsi="宋体" w:cs="宋体"/>
                <w:szCs w:val="21"/>
              </w:rPr>
            </w:pPr>
            <w:r>
              <w:rPr>
                <w:rFonts w:hint="eastAsia" w:ascii="宋体" w:hAnsi="宋体" w:cs="宋体"/>
                <w:szCs w:val="21"/>
              </w:rPr>
              <w:t>截图。</w:t>
            </w:r>
          </w:p>
        </w:tc>
        <w:tc>
          <w:tcPr>
            <w:tcW w:w="1550" w:type="dxa"/>
            <w:noWrap/>
            <w:vAlign w:val="center"/>
          </w:tcPr>
          <w:p w14:paraId="2F10841B">
            <w:pPr>
              <w:autoSpaceDE w:val="0"/>
              <w:autoSpaceDN w:val="0"/>
              <w:adjustRightInd w:val="0"/>
              <w:spacing w:line="0" w:lineRule="atLeast"/>
              <w:jc w:val="center"/>
              <w:rPr>
                <w:rFonts w:ascii="宋体" w:hAnsi="宋体" w:cs="宋体"/>
                <w:szCs w:val="21"/>
              </w:rPr>
            </w:pPr>
            <w:r>
              <w:rPr>
                <w:rFonts w:hint="eastAsia" w:ascii="宋体" w:hAnsi="宋体"/>
                <w:bCs/>
                <w:szCs w:val="21"/>
              </w:rPr>
              <w:t>是否提供，是否真实有效及承诺函格式1.3</w:t>
            </w:r>
          </w:p>
        </w:tc>
      </w:tr>
      <w:tr w14:paraId="4050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27" w:type="dxa"/>
            <w:noWrap/>
            <w:vAlign w:val="center"/>
          </w:tcPr>
          <w:p w14:paraId="3BF28AC9">
            <w:pPr>
              <w:spacing w:line="0" w:lineRule="atLeast"/>
              <w:jc w:val="center"/>
              <w:rPr>
                <w:rFonts w:ascii="宋体" w:hAnsi="宋体" w:cs="宋体"/>
                <w:bCs/>
                <w:szCs w:val="21"/>
              </w:rPr>
            </w:pPr>
            <w:r>
              <w:rPr>
                <w:rFonts w:hint="eastAsia" w:ascii="宋体" w:hAnsi="宋体" w:cs="宋体"/>
                <w:bCs/>
                <w:szCs w:val="21"/>
              </w:rPr>
              <w:t>2</w:t>
            </w:r>
          </w:p>
        </w:tc>
        <w:tc>
          <w:tcPr>
            <w:tcW w:w="3768" w:type="dxa"/>
            <w:noWrap/>
            <w:vAlign w:val="center"/>
          </w:tcPr>
          <w:p w14:paraId="0791CCF9">
            <w:pPr>
              <w:autoSpaceDE w:val="0"/>
              <w:autoSpaceDN w:val="0"/>
              <w:adjustRightInd w:val="0"/>
              <w:spacing w:line="0" w:lineRule="atLeast"/>
              <w:rPr>
                <w:rFonts w:ascii="宋体" w:hAnsi="宋体"/>
                <w:szCs w:val="21"/>
              </w:rPr>
            </w:pPr>
            <w:r>
              <w:rPr>
                <w:rFonts w:hint="eastAsia" w:ascii="宋体" w:hAnsi="宋体"/>
                <w:szCs w:val="21"/>
              </w:rPr>
              <w:t>落实政府采购政策需满足的资格要求</w:t>
            </w:r>
          </w:p>
        </w:tc>
        <w:tc>
          <w:tcPr>
            <w:tcW w:w="3803" w:type="dxa"/>
            <w:noWrap/>
            <w:vAlign w:val="center"/>
          </w:tcPr>
          <w:p w14:paraId="3A540503">
            <w:pPr>
              <w:autoSpaceDE w:val="0"/>
              <w:autoSpaceDN w:val="0"/>
              <w:adjustRightInd w:val="0"/>
              <w:spacing w:line="0" w:lineRule="atLeast"/>
              <w:jc w:val="center"/>
              <w:rPr>
                <w:rFonts w:ascii="宋体" w:hAnsi="宋体"/>
                <w:bCs/>
                <w:szCs w:val="21"/>
              </w:rPr>
            </w:pPr>
            <w:r>
              <w:rPr>
                <w:rFonts w:hint="eastAsia" w:ascii="宋体" w:hAnsi="宋体" w:cs="宋体"/>
                <w:kern w:val="0"/>
                <w:sz w:val="24"/>
              </w:rPr>
              <w:t>无</w:t>
            </w:r>
          </w:p>
        </w:tc>
        <w:tc>
          <w:tcPr>
            <w:tcW w:w="1550" w:type="dxa"/>
            <w:noWrap/>
            <w:vAlign w:val="center"/>
          </w:tcPr>
          <w:p w14:paraId="082965F7">
            <w:pPr>
              <w:autoSpaceDE w:val="0"/>
              <w:autoSpaceDN w:val="0"/>
              <w:adjustRightInd w:val="0"/>
              <w:spacing w:line="0" w:lineRule="atLeast"/>
              <w:jc w:val="center"/>
              <w:rPr>
                <w:rFonts w:ascii="宋体" w:hAnsi="宋体"/>
                <w:bCs/>
                <w:szCs w:val="21"/>
              </w:rPr>
            </w:pPr>
            <w:r>
              <w:rPr>
                <w:rFonts w:hint="eastAsia" w:ascii="宋体" w:hAnsi="宋体" w:cs="宋体"/>
                <w:szCs w:val="21"/>
              </w:rPr>
              <w:t>/</w:t>
            </w:r>
          </w:p>
        </w:tc>
      </w:tr>
      <w:tr w14:paraId="7C8A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27" w:type="dxa"/>
            <w:noWrap/>
            <w:vAlign w:val="center"/>
          </w:tcPr>
          <w:p w14:paraId="4379231C">
            <w:pPr>
              <w:spacing w:line="0" w:lineRule="atLeast"/>
              <w:jc w:val="center"/>
              <w:rPr>
                <w:rFonts w:ascii="宋体" w:hAnsi="宋体" w:cs="宋体"/>
                <w:bCs/>
                <w:szCs w:val="21"/>
              </w:rPr>
            </w:pPr>
            <w:r>
              <w:rPr>
                <w:rFonts w:hint="eastAsia" w:ascii="宋体" w:hAnsi="宋体" w:cs="宋体"/>
                <w:bCs/>
                <w:szCs w:val="21"/>
              </w:rPr>
              <w:t>3</w:t>
            </w:r>
          </w:p>
        </w:tc>
        <w:tc>
          <w:tcPr>
            <w:tcW w:w="3768" w:type="dxa"/>
            <w:noWrap/>
            <w:vAlign w:val="center"/>
          </w:tcPr>
          <w:p w14:paraId="587EFC44">
            <w:pPr>
              <w:autoSpaceDE w:val="0"/>
              <w:autoSpaceDN w:val="0"/>
              <w:adjustRightInd w:val="0"/>
              <w:spacing w:line="0" w:lineRule="atLeast"/>
              <w:rPr>
                <w:rFonts w:ascii="宋体" w:hAnsi="宋体"/>
                <w:szCs w:val="21"/>
              </w:rPr>
            </w:pPr>
            <w:r>
              <w:rPr>
                <w:rFonts w:hint="eastAsia" w:ascii="宋体" w:hAnsi="宋体"/>
                <w:szCs w:val="21"/>
              </w:rPr>
              <w:t>特定资格要求</w:t>
            </w:r>
          </w:p>
        </w:tc>
        <w:tc>
          <w:tcPr>
            <w:tcW w:w="3803" w:type="dxa"/>
            <w:noWrap/>
            <w:vAlign w:val="center"/>
          </w:tcPr>
          <w:p w14:paraId="2851E71B">
            <w:pPr>
              <w:autoSpaceDE w:val="0"/>
              <w:autoSpaceDN w:val="0"/>
              <w:adjustRightInd w:val="0"/>
              <w:spacing w:line="0" w:lineRule="atLeast"/>
              <w:jc w:val="center"/>
              <w:rPr>
                <w:rFonts w:ascii="宋体" w:hAnsi="宋体" w:cs="宋体"/>
                <w:szCs w:val="21"/>
              </w:rPr>
            </w:pPr>
            <w:r>
              <w:rPr>
                <w:rFonts w:hint="eastAsia" w:ascii="宋体" w:hAnsi="宋体" w:cs="宋体"/>
                <w:szCs w:val="21"/>
              </w:rPr>
              <w:t>/</w:t>
            </w:r>
          </w:p>
        </w:tc>
        <w:tc>
          <w:tcPr>
            <w:tcW w:w="1550" w:type="dxa"/>
            <w:noWrap/>
            <w:vAlign w:val="center"/>
          </w:tcPr>
          <w:p w14:paraId="6C44E47F">
            <w:pPr>
              <w:autoSpaceDE w:val="0"/>
              <w:autoSpaceDN w:val="0"/>
              <w:adjustRightInd w:val="0"/>
              <w:spacing w:line="0" w:lineRule="atLeast"/>
              <w:jc w:val="center"/>
              <w:rPr>
                <w:rFonts w:ascii="宋体" w:hAnsi="宋体" w:cs="宋体"/>
                <w:szCs w:val="21"/>
              </w:rPr>
            </w:pPr>
            <w:r>
              <w:rPr>
                <w:rFonts w:hint="eastAsia" w:ascii="宋体" w:hAnsi="宋体" w:cs="宋体"/>
                <w:szCs w:val="21"/>
              </w:rPr>
              <w:t>/</w:t>
            </w:r>
          </w:p>
        </w:tc>
      </w:tr>
      <w:tr w14:paraId="3CF4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27" w:type="dxa"/>
            <w:noWrap/>
            <w:vAlign w:val="center"/>
          </w:tcPr>
          <w:p w14:paraId="1B8C106F">
            <w:pPr>
              <w:spacing w:line="0" w:lineRule="atLeast"/>
              <w:jc w:val="center"/>
              <w:rPr>
                <w:rFonts w:ascii="宋体" w:hAnsi="宋体" w:cs="宋体"/>
                <w:bCs/>
                <w:szCs w:val="21"/>
              </w:rPr>
            </w:pPr>
            <w:r>
              <w:rPr>
                <w:rFonts w:hint="eastAsia" w:ascii="宋体" w:hAnsi="宋体" w:cs="宋体"/>
                <w:bCs/>
                <w:szCs w:val="21"/>
              </w:rPr>
              <w:t>3.1</w:t>
            </w:r>
          </w:p>
        </w:tc>
        <w:tc>
          <w:tcPr>
            <w:tcW w:w="3768" w:type="dxa"/>
            <w:noWrap/>
          </w:tcPr>
          <w:p w14:paraId="316A693D">
            <w:pPr>
              <w:spacing w:line="0" w:lineRule="atLeast"/>
              <w:rPr>
                <w:rFonts w:ascii="宋体" w:hAnsi="宋体"/>
              </w:rPr>
            </w:pPr>
            <w:r>
              <w:rPr>
                <w:rFonts w:hint="eastAsia" w:ascii="宋体" w:hAnsi="宋体"/>
              </w:rPr>
              <w:t>（1)单位负责人为同一人或者存在直接控股、管理关系的不同供应商，不得同时参加同一合同项下的投标。</w:t>
            </w:r>
          </w:p>
        </w:tc>
        <w:tc>
          <w:tcPr>
            <w:tcW w:w="3803" w:type="dxa"/>
            <w:noWrap/>
            <w:vAlign w:val="center"/>
          </w:tcPr>
          <w:p w14:paraId="195267B3">
            <w:pPr>
              <w:autoSpaceDE w:val="0"/>
              <w:autoSpaceDN w:val="0"/>
              <w:adjustRightInd w:val="0"/>
              <w:spacing w:line="0" w:lineRule="atLeast"/>
              <w:jc w:val="center"/>
              <w:rPr>
                <w:rFonts w:ascii="宋体" w:hAnsi="宋体" w:cs="宋体"/>
                <w:szCs w:val="21"/>
              </w:rPr>
            </w:pPr>
            <w:r>
              <w:rPr>
                <w:rFonts w:hint="eastAsia" w:ascii="宋体" w:hAnsi="宋体"/>
                <w:szCs w:val="21"/>
              </w:rPr>
              <w:t>须应提供《供应商资格声明函》</w:t>
            </w:r>
          </w:p>
        </w:tc>
        <w:tc>
          <w:tcPr>
            <w:tcW w:w="1550" w:type="dxa"/>
            <w:noWrap/>
            <w:vAlign w:val="center"/>
          </w:tcPr>
          <w:p w14:paraId="4D9D04B3">
            <w:pPr>
              <w:autoSpaceDE w:val="0"/>
              <w:autoSpaceDN w:val="0"/>
              <w:adjustRightInd w:val="0"/>
              <w:spacing w:line="0" w:lineRule="atLeast"/>
              <w:jc w:val="center"/>
              <w:rPr>
                <w:rFonts w:ascii="宋体" w:hAnsi="宋体" w:cs="宋体"/>
                <w:szCs w:val="21"/>
              </w:rPr>
            </w:pPr>
            <w:r>
              <w:rPr>
                <w:rFonts w:hint="eastAsia" w:ascii="宋体" w:hAnsi="宋体"/>
                <w:szCs w:val="21"/>
              </w:rPr>
              <w:t>是否提供及供应商资格声明函格式1.3</w:t>
            </w:r>
          </w:p>
        </w:tc>
      </w:tr>
      <w:tr w14:paraId="6689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27" w:type="dxa"/>
            <w:noWrap/>
            <w:vAlign w:val="center"/>
          </w:tcPr>
          <w:p w14:paraId="090E474A">
            <w:pPr>
              <w:spacing w:line="0" w:lineRule="atLeast"/>
              <w:jc w:val="center"/>
              <w:rPr>
                <w:rFonts w:ascii="宋体" w:hAnsi="宋体" w:cs="宋体"/>
                <w:bCs/>
                <w:szCs w:val="21"/>
              </w:rPr>
            </w:pPr>
            <w:r>
              <w:rPr>
                <w:rFonts w:hint="eastAsia" w:ascii="宋体" w:hAnsi="宋体" w:cs="宋体"/>
                <w:bCs/>
                <w:szCs w:val="21"/>
              </w:rPr>
              <w:t>3.2</w:t>
            </w:r>
          </w:p>
        </w:tc>
        <w:tc>
          <w:tcPr>
            <w:tcW w:w="3768" w:type="dxa"/>
            <w:noWrap/>
          </w:tcPr>
          <w:p w14:paraId="3776CA53">
            <w:pPr>
              <w:spacing w:line="0" w:lineRule="atLeast"/>
              <w:rPr>
                <w:rFonts w:ascii="宋体" w:hAnsi="宋体"/>
              </w:rPr>
            </w:pPr>
            <w:r>
              <w:rPr>
                <w:rFonts w:hint="eastAsia" w:ascii="宋体" w:hAnsi="宋体"/>
              </w:rPr>
              <w:t>采购文件《第一章  招标公告》投标供应商资格要求</w:t>
            </w:r>
            <w:r>
              <w:rPr>
                <w:rFonts w:hint="eastAsia" w:ascii="宋体" w:hAnsi="宋体"/>
                <w:lang w:val="en-US" w:eastAsia="zh-CN"/>
              </w:rPr>
              <w:t>中的</w:t>
            </w:r>
            <w:r>
              <w:rPr>
                <w:rFonts w:hint="eastAsia" w:ascii="宋体" w:hAnsi="宋体"/>
              </w:rPr>
              <w:t>资格条件</w:t>
            </w:r>
          </w:p>
        </w:tc>
        <w:tc>
          <w:tcPr>
            <w:tcW w:w="3803" w:type="dxa"/>
            <w:noWrap/>
            <w:vAlign w:val="center"/>
          </w:tcPr>
          <w:p w14:paraId="5CD8DABB">
            <w:pPr>
              <w:autoSpaceDE w:val="0"/>
              <w:autoSpaceDN w:val="0"/>
              <w:adjustRightInd w:val="0"/>
              <w:spacing w:line="0" w:lineRule="atLeast"/>
              <w:jc w:val="left"/>
              <w:rPr>
                <w:rFonts w:ascii="宋体" w:hAnsi="宋体"/>
                <w:szCs w:val="21"/>
              </w:rPr>
            </w:pPr>
            <w:r>
              <w:rPr>
                <w:rFonts w:hint="eastAsia" w:ascii="宋体" w:hAnsi="宋体"/>
                <w:szCs w:val="21"/>
              </w:rPr>
              <w:t>须应提供：具备肉类经营资格的法人企业，肉类储存地点须在浙江省内证明材料；提供具备有效的食品经营或流通生产许可证。</w:t>
            </w:r>
          </w:p>
        </w:tc>
        <w:tc>
          <w:tcPr>
            <w:tcW w:w="1550" w:type="dxa"/>
            <w:noWrap/>
            <w:vAlign w:val="center"/>
          </w:tcPr>
          <w:p w14:paraId="093772AA">
            <w:pPr>
              <w:autoSpaceDE w:val="0"/>
              <w:autoSpaceDN w:val="0"/>
              <w:adjustRightInd w:val="0"/>
              <w:spacing w:line="0" w:lineRule="atLeast"/>
              <w:jc w:val="center"/>
              <w:rPr>
                <w:rFonts w:ascii="宋体" w:hAnsi="宋体"/>
                <w:szCs w:val="21"/>
              </w:rPr>
            </w:pPr>
            <w:r>
              <w:rPr>
                <w:rFonts w:hint="eastAsia" w:ascii="宋体" w:hAnsi="宋体" w:cs="宋体"/>
                <w:szCs w:val="21"/>
              </w:rPr>
              <w:t>/</w:t>
            </w:r>
          </w:p>
        </w:tc>
      </w:tr>
      <w:tr w14:paraId="01A6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27" w:type="dxa"/>
            <w:noWrap/>
            <w:vAlign w:val="center"/>
          </w:tcPr>
          <w:p w14:paraId="7EE12733">
            <w:pPr>
              <w:spacing w:line="0" w:lineRule="atLeast"/>
              <w:jc w:val="center"/>
              <w:rPr>
                <w:rFonts w:ascii="宋体" w:hAnsi="宋体" w:cs="宋体"/>
                <w:bCs/>
                <w:szCs w:val="21"/>
              </w:rPr>
            </w:pPr>
            <w:r>
              <w:rPr>
                <w:rFonts w:hint="eastAsia" w:ascii="宋体" w:hAnsi="宋体" w:cs="宋体"/>
                <w:bCs/>
                <w:szCs w:val="21"/>
              </w:rPr>
              <w:t>4</w:t>
            </w:r>
          </w:p>
        </w:tc>
        <w:tc>
          <w:tcPr>
            <w:tcW w:w="3768" w:type="dxa"/>
            <w:noWrap/>
            <w:vAlign w:val="center"/>
          </w:tcPr>
          <w:p w14:paraId="21CD5FDD">
            <w:pPr>
              <w:autoSpaceDE w:val="0"/>
              <w:autoSpaceDN w:val="0"/>
              <w:adjustRightInd w:val="0"/>
              <w:spacing w:line="0" w:lineRule="atLeast"/>
              <w:rPr>
                <w:rFonts w:ascii="宋体" w:hAnsi="宋体"/>
                <w:szCs w:val="21"/>
              </w:rPr>
            </w:pPr>
            <w:r>
              <w:rPr>
                <w:rFonts w:hint="eastAsia" w:ascii="宋体" w:hAnsi="宋体"/>
                <w:szCs w:val="21"/>
              </w:rPr>
              <w:t>其他投标人认为须提供的资料（如有）</w:t>
            </w:r>
          </w:p>
        </w:tc>
        <w:tc>
          <w:tcPr>
            <w:tcW w:w="3803" w:type="dxa"/>
            <w:noWrap/>
            <w:vAlign w:val="center"/>
          </w:tcPr>
          <w:p w14:paraId="30C66BF9">
            <w:pPr>
              <w:autoSpaceDE w:val="0"/>
              <w:autoSpaceDN w:val="0"/>
              <w:adjustRightInd w:val="0"/>
              <w:spacing w:line="0" w:lineRule="atLeast"/>
              <w:jc w:val="center"/>
              <w:rPr>
                <w:rFonts w:ascii="宋体" w:hAnsi="宋体" w:cs="宋体"/>
                <w:szCs w:val="21"/>
              </w:rPr>
            </w:pPr>
            <w:r>
              <w:rPr>
                <w:rFonts w:hint="eastAsia" w:ascii="宋体" w:hAnsi="宋体" w:cs="宋体"/>
                <w:szCs w:val="21"/>
              </w:rPr>
              <w:t>/</w:t>
            </w:r>
          </w:p>
        </w:tc>
        <w:tc>
          <w:tcPr>
            <w:tcW w:w="1550" w:type="dxa"/>
            <w:noWrap/>
            <w:vAlign w:val="center"/>
          </w:tcPr>
          <w:p w14:paraId="55D707F3">
            <w:pPr>
              <w:autoSpaceDE w:val="0"/>
              <w:autoSpaceDN w:val="0"/>
              <w:adjustRightInd w:val="0"/>
              <w:spacing w:line="0" w:lineRule="atLeast"/>
              <w:jc w:val="center"/>
              <w:rPr>
                <w:rFonts w:ascii="宋体" w:hAnsi="宋体" w:cs="宋体"/>
                <w:szCs w:val="21"/>
              </w:rPr>
            </w:pPr>
            <w:r>
              <w:rPr>
                <w:rFonts w:hint="eastAsia" w:ascii="宋体" w:hAnsi="宋体" w:cs="宋体"/>
                <w:szCs w:val="21"/>
              </w:rPr>
              <w:t>/</w:t>
            </w:r>
          </w:p>
        </w:tc>
      </w:tr>
    </w:tbl>
    <w:p w14:paraId="41F80353">
      <w:pPr>
        <w:spacing w:line="440" w:lineRule="exact"/>
        <w:ind w:firstLine="482" w:firstLineChars="200"/>
        <w:rPr>
          <w:rFonts w:ascii="宋体" w:hAnsi="宋体"/>
          <w:b/>
          <w:sz w:val="24"/>
        </w:rPr>
      </w:pPr>
      <w:bookmarkStart w:id="168" w:name="_Toc34919374"/>
      <w:r>
        <w:rPr>
          <w:rFonts w:ascii="宋体" w:hAnsi="宋体"/>
          <w:b/>
          <w:sz w:val="24"/>
        </w:rPr>
        <w:t>三、</w:t>
      </w:r>
      <w:r>
        <w:rPr>
          <w:rFonts w:hint="eastAsia" w:ascii="宋体" w:hAnsi="宋体"/>
          <w:b/>
          <w:sz w:val="24"/>
        </w:rPr>
        <w:t>商务技术</w:t>
      </w:r>
      <w:r>
        <w:rPr>
          <w:rFonts w:ascii="宋体" w:hAnsi="宋体"/>
          <w:b/>
          <w:sz w:val="24"/>
        </w:rPr>
        <w:t>符合性审查</w:t>
      </w:r>
      <w:bookmarkEnd w:id="168"/>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0"/>
        <w:gridCol w:w="3247"/>
        <w:gridCol w:w="3615"/>
      </w:tblGrid>
      <w:tr w14:paraId="0816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7" w:type="dxa"/>
            <w:noWrap/>
            <w:vAlign w:val="center"/>
          </w:tcPr>
          <w:p w14:paraId="6DDA2EE5">
            <w:pPr>
              <w:spacing w:line="320" w:lineRule="exact"/>
              <w:ind w:right="3"/>
              <w:jc w:val="center"/>
              <w:rPr>
                <w:rFonts w:ascii="宋体" w:hAnsi="宋体" w:cs="宋体"/>
                <w:szCs w:val="21"/>
              </w:rPr>
            </w:pPr>
            <w:r>
              <w:rPr>
                <w:rFonts w:hint="eastAsia" w:ascii="宋体" w:hAnsi="宋体" w:cs="宋体"/>
                <w:szCs w:val="21"/>
              </w:rPr>
              <w:t>序号</w:t>
            </w:r>
          </w:p>
        </w:tc>
        <w:tc>
          <w:tcPr>
            <w:tcW w:w="2410" w:type="dxa"/>
            <w:noWrap/>
            <w:vAlign w:val="center"/>
          </w:tcPr>
          <w:p w14:paraId="213D4ADC">
            <w:pPr>
              <w:spacing w:line="320" w:lineRule="exact"/>
              <w:ind w:right="3"/>
              <w:jc w:val="center"/>
              <w:rPr>
                <w:rFonts w:ascii="宋体" w:hAnsi="宋体" w:cs="宋体"/>
                <w:szCs w:val="21"/>
              </w:rPr>
            </w:pPr>
            <w:r>
              <w:rPr>
                <w:rFonts w:hint="eastAsia" w:ascii="宋体" w:hAnsi="宋体" w:cs="宋体"/>
                <w:szCs w:val="21"/>
              </w:rPr>
              <w:t>评审类型</w:t>
            </w:r>
          </w:p>
        </w:tc>
        <w:tc>
          <w:tcPr>
            <w:tcW w:w="3247" w:type="dxa"/>
            <w:noWrap/>
            <w:vAlign w:val="center"/>
          </w:tcPr>
          <w:p w14:paraId="6A233845">
            <w:pPr>
              <w:pStyle w:val="14"/>
              <w:spacing w:line="320" w:lineRule="exact"/>
              <w:ind w:left="900"/>
              <w:jc w:val="center"/>
              <w:rPr>
                <w:rFonts w:ascii="宋体" w:hAnsi="宋体" w:cs="宋体"/>
                <w:sz w:val="21"/>
                <w:szCs w:val="21"/>
              </w:rPr>
            </w:pPr>
            <w:r>
              <w:rPr>
                <w:rFonts w:hint="eastAsia" w:ascii="宋体" w:hAnsi="宋体" w:cs="宋体"/>
                <w:sz w:val="21"/>
                <w:szCs w:val="21"/>
              </w:rPr>
              <w:t>评审内容</w:t>
            </w:r>
          </w:p>
        </w:tc>
        <w:tc>
          <w:tcPr>
            <w:tcW w:w="3615" w:type="dxa"/>
            <w:noWrap/>
            <w:vAlign w:val="center"/>
          </w:tcPr>
          <w:p w14:paraId="39DB1DFF">
            <w:pPr>
              <w:pStyle w:val="14"/>
              <w:spacing w:line="320" w:lineRule="exact"/>
              <w:jc w:val="center"/>
              <w:rPr>
                <w:rFonts w:ascii="宋体" w:hAnsi="宋体" w:cs="宋体"/>
                <w:sz w:val="21"/>
                <w:szCs w:val="21"/>
              </w:rPr>
            </w:pPr>
            <w:r>
              <w:rPr>
                <w:rFonts w:hint="eastAsia" w:ascii="宋体" w:hAnsi="宋体" w:cs="宋体"/>
                <w:sz w:val="21"/>
                <w:szCs w:val="21"/>
              </w:rPr>
              <w:t>评审标准</w:t>
            </w:r>
          </w:p>
        </w:tc>
      </w:tr>
      <w:tr w14:paraId="7712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567" w:type="dxa"/>
            <w:vMerge w:val="restart"/>
            <w:noWrap/>
            <w:vAlign w:val="center"/>
          </w:tcPr>
          <w:p w14:paraId="03E4756C">
            <w:pPr>
              <w:spacing w:line="320" w:lineRule="exact"/>
              <w:ind w:right="3"/>
              <w:jc w:val="center"/>
              <w:rPr>
                <w:rFonts w:ascii="宋体" w:hAnsi="宋体" w:cs="宋体"/>
                <w:szCs w:val="21"/>
              </w:rPr>
            </w:pPr>
            <w:r>
              <w:rPr>
                <w:rFonts w:hint="eastAsia" w:ascii="宋体" w:hAnsi="宋体" w:cs="宋体"/>
                <w:szCs w:val="21"/>
              </w:rPr>
              <w:t>1</w:t>
            </w:r>
          </w:p>
        </w:tc>
        <w:tc>
          <w:tcPr>
            <w:tcW w:w="2410" w:type="dxa"/>
            <w:vMerge w:val="restart"/>
            <w:noWrap/>
            <w:vAlign w:val="center"/>
          </w:tcPr>
          <w:p w14:paraId="5F6DDA2E">
            <w:pPr>
              <w:spacing w:line="320" w:lineRule="exact"/>
              <w:ind w:right="3"/>
              <w:jc w:val="center"/>
              <w:rPr>
                <w:rFonts w:ascii="宋体" w:hAnsi="宋体" w:cs="宋体"/>
                <w:szCs w:val="21"/>
              </w:rPr>
            </w:pPr>
            <w:r>
              <w:rPr>
                <w:rFonts w:hint="eastAsia" w:ascii="宋体" w:hAnsi="宋体" w:cs="宋体"/>
                <w:szCs w:val="21"/>
              </w:rPr>
              <w:t>符合性检查</w:t>
            </w:r>
          </w:p>
        </w:tc>
        <w:tc>
          <w:tcPr>
            <w:tcW w:w="3247" w:type="dxa"/>
            <w:noWrap/>
            <w:vAlign w:val="center"/>
          </w:tcPr>
          <w:p w14:paraId="6C98259A">
            <w:pPr>
              <w:pStyle w:val="14"/>
              <w:spacing w:line="320" w:lineRule="exact"/>
              <w:ind w:left="105" w:leftChars="50"/>
              <w:jc w:val="center"/>
              <w:rPr>
                <w:rFonts w:ascii="宋体" w:hAnsi="宋体" w:cs="宋体"/>
                <w:sz w:val="21"/>
                <w:szCs w:val="21"/>
              </w:rPr>
            </w:pPr>
            <w:r>
              <w:rPr>
                <w:rFonts w:hint="eastAsia" w:ascii="宋体" w:hAnsi="宋体" w:cs="宋体"/>
                <w:sz w:val="21"/>
                <w:szCs w:val="21"/>
              </w:rPr>
              <w:t>投标机构名称</w:t>
            </w:r>
          </w:p>
        </w:tc>
        <w:tc>
          <w:tcPr>
            <w:tcW w:w="3615" w:type="dxa"/>
            <w:noWrap/>
            <w:vAlign w:val="center"/>
          </w:tcPr>
          <w:p w14:paraId="7351C4C9">
            <w:pPr>
              <w:pStyle w:val="14"/>
              <w:spacing w:line="320" w:lineRule="exact"/>
              <w:jc w:val="center"/>
              <w:rPr>
                <w:rFonts w:ascii="宋体" w:hAnsi="宋体" w:cs="宋体"/>
                <w:sz w:val="21"/>
                <w:szCs w:val="21"/>
              </w:rPr>
            </w:pPr>
            <w:r>
              <w:rPr>
                <w:rFonts w:hint="eastAsia" w:ascii="宋体" w:hAnsi="宋体" w:cs="宋体"/>
                <w:sz w:val="21"/>
                <w:szCs w:val="21"/>
              </w:rPr>
              <w:t>与营业执照一致</w:t>
            </w:r>
          </w:p>
        </w:tc>
      </w:tr>
      <w:tr w14:paraId="44D5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567" w:type="dxa"/>
            <w:vMerge w:val="continue"/>
            <w:noWrap/>
            <w:vAlign w:val="center"/>
          </w:tcPr>
          <w:p w14:paraId="1BF6F1EF">
            <w:pPr>
              <w:spacing w:line="320" w:lineRule="exact"/>
              <w:ind w:right="3"/>
              <w:jc w:val="center"/>
              <w:rPr>
                <w:rFonts w:ascii="宋体" w:hAnsi="宋体" w:cs="宋体"/>
                <w:szCs w:val="21"/>
              </w:rPr>
            </w:pPr>
          </w:p>
        </w:tc>
        <w:tc>
          <w:tcPr>
            <w:tcW w:w="2410" w:type="dxa"/>
            <w:vMerge w:val="continue"/>
            <w:noWrap/>
            <w:vAlign w:val="center"/>
          </w:tcPr>
          <w:p w14:paraId="66C6E1A1">
            <w:pPr>
              <w:spacing w:line="320" w:lineRule="exact"/>
              <w:ind w:right="3"/>
              <w:jc w:val="center"/>
              <w:rPr>
                <w:rFonts w:ascii="宋体" w:hAnsi="宋体" w:cs="宋体"/>
                <w:szCs w:val="21"/>
              </w:rPr>
            </w:pPr>
          </w:p>
        </w:tc>
        <w:tc>
          <w:tcPr>
            <w:tcW w:w="3247" w:type="dxa"/>
            <w:noWrap/>
            <w:vAlign w:val="center"/>
          </w:tcPr>
          <w:p w14:paraId="4DBD341E">
            <w:pPr>
              <w:pStyle w:val="14"/>
              <w:spacing w:line="320" w:lineRule="exact"/>
              <w:jc w:val="center"/>
              <w:rPr>
                <w:rFonts w:ascii="宋体" w:hAnsi="宋体" w:cs="宋体"/>
                <w:sz w:val="21"/>
                <w:szCs w:val="21"/>
              </w:rPr>
            </w:pPr>
            <w:r>
              <w:rPr>
                <w:rFonts w:hint="eastAsia" w:ascii="宋体" w:hAnsi="宋体" w:cs="宋体"/>
                <w:sz w:val="21"/>
                <w:szCs w:val="21"/>
              </w:rPr>
              <w:t>投标函签字盖章</w:t>
            </w:r>
          </w:p>
        </w:tc>
        <w:tc>
          <w:tcPr>
            <w:tcW w:w="3615" w:type="dxa"/>
            <w:noWrap/>
            <w:vAlign w:val="center"/>
          </w:tcPr>
          <w:p w14:paraId="33CE2A6B">
            <w:pPr>
              <w:pStyle w:val="14"/>
              <w:spacing w:line="320" w:lineRule="exact"/>
              <w:jc w:val="center"/>
              <w:rPr>
                <w:rFonts w:ascii="宋体" w:hAnsi="宋体" w:cs="宋体"/>
                <w:sz w:val="21"/>
                <w:szCs w:val="21"/>
              </w:rPr>
            </w:pPr>
            <w:r>
              <w:rPr>
                <w:rFonts w:hint="eastAsia" w:ascii="宋体" w:hAnsi="宋体" w:cs="宋体"/>
                <w:sz w:val="21"/>
                <w:szCs w:val="21"/>
              </w:rPr>
              <w:t>有法定代表人或其授权代表签字或盖章并加盖单位公章</w:t>
            </w:r>
          </w:p>
        </w:tc>
      </w:tr>
      <w:tr w14:paraId="1187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67" w:type="dxa"/>
            <w:vMerge w:val="continue"/>
            <w:noWrap/>
            <w:vAlign w:val="center"/>
          </w:tcPr>
          <w:p w14:paraId="6590F53B">
            <w:pPr>
              <w:spacing w:line="320" w:lineRule="exact"/>
              <w:ind w:right="3"/>
              <w:jc w:val="center"/>
              <w:rPr>
                <w:rFonts w:ascii="宋体" w:hAnsi="宋体" w:cs="宋体"/>
                <w:szCs w:val="21"/>
              </w:rPr>
            </w:pPr>
          </w:p>
        </w:tc>
        <w:tc>
          <w:tcPr>
            <w:tcW w:w="2410" w:type="dxa"/>
            <w:vMerge w:val="continue"/>
            <w:noWrap/>
            <w:vAlign w:val="center"/>
          </w:tcPr>
          <w:p w14:paraId="533295B4">
            <w:pPr>
              <w:spacing w:line="320" w:lineRule="exact"/>
              <w:ind w:right="3"/>
              <w:jc w:val="center"/>
              <w:rPr>
                <w:rFonts w:ascii="宋体" w:hAnsi="宋体" w:cs="宋体"/>
                <w:szCs w:val="21"/>
              </w:rPr>
            </w:pPr>
          </w:p>
        </w:tc>
        <w:tc>
          <w:tcPr>
            <w:tcW w:w="3247" w:type="dxa"/>
            <w:tcBorders>
              <w:top w:val="single" w:color="auto" w:sz="4" w:space="0"/>
              <w:bottom w:val="single" w:color="auto" w:sz="4" w:space="0"/>
            </w:tcBorders>
            <w:noWrap/>
            <w:vAlign w:val="center"/>
          </w:tcPr>
          <w:p w14:paraId="26465013">
            <w:pPr>
              <w:pStyle w:val="14"/>
              <w:spacing w:line="320" w:lineRule="exact"/>
              <w:jc w:val="center"/>
              <w:rPr>
                <w:rFonts w:ascii="宋体" w:hAnsi="宋体" w:cs="宋体"/>
                <w:sz w:val="21"/>
                <w:szCs w:val="21"/>
              </w:rPr>
            </w:pPr>
            <w:r>
              <w:rPr>
                <w:rFonts w:hint="eastAsia" w:ascii="宋体" w:hAnsi="宋体" w:cs="宋体"/>
                <w:sz w:val="21"/>
                <w:szCs w:val="21"/>
              </w:rPr>
              <w:t>投标文件编制</w:t>
            </w:r>
          </w:p>
        </w:tc>
        <w:tc>
          <w:tcPr>
            <w:tcW w:w="3615" w:type="dxa"/>
            <w:noWrap/>
            <w:vAlign w:val="center"/>
          </w:tcPr>
          <w:p w14:paraId="0A2B658B">
            <w:pPr>
              <w:pStyle w:val="14"/>
              <w:spacing w:line="320" w:lineRule="exact"/>
              <w:jc w:val="center"/>
              <w:rPr>
                <w:rFonts w:ascii="宋体" w:hAnsi="宋体" w:cs="宋体"/>
                <w:sz w:val="21"/>
                <w:szCs w:val="21"/>
              </w:rPr>
            </w:pPr>
            <w:r>
              <w:rPr>
                <w:rFonts w:hint="eastAsia" w:ascii="宋体" w:hAnsi="宋体" w:cs="宋体"/>
                <w:sz w:val="21"/>
                <w:szCs w:val="21"/>
              </w:rPr>
              <w:t>商务技术文件与报价文件</w:t>
            </w:r>
          </w:p>
          <w:p w14:paraId="373BDB11">
            <w:pPr>
              <w:pStyle w:val="14"/>
              <w:spacing w:line="320" w:lineRule="exact"/>
              <w:jc w:val="center"/>
              <w:rPr>
                <w:rFonts w:ascii="宋体" w:hAnsi="宋体" w:cs="宋体"/>
                <w:sz w:val="21"/>
                <w:szCs w:val="21"/>
              </w:rPr>
            </w:pPr>
            <w:r>
              <w:rPr>
                <w:rFonts w:hint="eastAsia" w:ascii="宋体" w:hAnsi="宋体" w:cs="宋体"/>
                <w:sz w:val="21"/>
                <w:szCs w:val="21"/>
              </w:rPr>
              <w:t>内容</w:t>
            </w:r>
          </w:p>
        </w:tc>
      </w:tr>
      <w:tr w14:paraId="0385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67" w:type="dxa"/>
            <w:vMerge w:val="continue"/>
            <w:noWrap/>
            <w:vAlign w:val="center"/>
          </w:tcPr>
          <w:p w14:paraId="07927930">
            <w:pPr>
              <w:spacing w:line="320" w:lineRule="exact"/>
              <w:ind w:right="3"/>
              <w:jc w:val="center"/>
              <w:rPr>
                <w:rFonts w:ascii="宋体" w:hAnsi="宋体" w:cs="宋体"/>
                <w:szCs w:val="21"/>
              </w:rPr>
            </w:pPr>
          </w:p>
        </w:tc>
        <w:tc>
          <w:tcPr>
            <w:tcW w:w="2410" w:type="dxa"/>
            <w:vMerge w:val="continue"/>
            <w:noWrap/>
            <w:vAlign w:val="center"/>
          </w:tcPr>
          <w:p w14:paraId="18894643">
            <w:pPr>
              <w:spacing w:line="320" w:lineRule="exact"/>
              <w:ind w:right="3"/>
              <w:jc w:val="center"/>
              <w:rPr>
                <w:rFonts w:ascii="宋体" w:hAnsi="宋体" w:cs="宋体"/>
                <w:szCs w:val="21"/>
              </w:rPr>
            </w:pPr>
          </w:p>
        </w:tc>
        <w:tc>
          <w:tcPr>
            <w:tcW w:w="3247" w:type="dxa"/>
            <w:tcBorders>
              <w:top w:val="single" w:color="auto" w:sz="4" w:space="0"/>
              <w:bottom w:val="single" w:color="auto" w:sz="4" w:space="0"/>
            </w:tcBorders>
            <w:noWrap/>
            <w:vAlign w:val="center"/>
          </w:tcPr>
          <w:p w14:paraId="37FB0BE8">
            <w:pPr>
              <w:pStyle w:val="14"/>
              <w:spacing w:line="320" w:lineRule="exact"/>
              <w:jc w:val="center"/>
              <w:rPr>
                <w:rFonts w:ascii="宋体" w:hAnsi="宋体" w:cs="宋体"/>
                <w:sz w:val="21"/>
                <w:szCs w:val="21"/>
              </w:rPr>
            </w:pPr>
            <w:r>
              <w:rPr>
                <w:rFonts w:hint="eastAsia" w:ascii="宋体" w:hAnsi="宋体" w:cs="宋体"/>
                <w:sz w:val="21"/>
                <w:szCs w:val="21"/>
              </w:rPr>
              <w:t>投标有效期</w:t>
            </w:r>
          </w:p>
        </w:tc>
        <w:tc>
          <w:tcPr>
            <w:tcW w:w="3615" w:type="dxa"/>
            <w:noWrap/>
            <w:vAlign w:val="center"/>
          </w:tcPr>
          <w:p w14:paraId="34852167">
            <w:pPr>
              <w:pStyle w:val="14"/>
              <w:spacing w:line="320" w:lineRule="exact"/>
              <w:jc w:val="center"/>
              <w:rPr>
                <w:rFonts w:ascii="宋体" w:hAnsi="宋体" w:cs="宋体"/>
                <w:sz w:val="21"/>
                <w:szCs w:val="21"/>
              </w:rPr>
            </w:pPr>
            <w:r>
              <w:rPr>
                <w:rFonts w:hint="eastAsia" w:ascii="宋体" w:hAnsi="宋体" w:cs="宋体"/>
                <w:sz w:val="21"/>
                <w:szCs w:val="21"/>
              </w:rPr>
              <w:t>不少于90天</w:t>
            </w:r>
          </w:p>
        </w:tc>
      </w:tr>
      <w:tr w14:paraId="6EB8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4" w:hRule="atLeast"/>
          <w:jc w:val="center"/>
        </w:trPr>
        <w:tc>
          <w:tcPr>
            <w:tcW w:w="567" w:type="dxa"/>
            <w:noWrap/>
            <w:vAlign w:val="center"/>
          </w:tcPr>
          <w:p w14:paraId="34CEAD37">
            <w:pPr>
              <w:spacing w:line="320" w:lineRule="exact"/>
              <w:ind w:right="3"/>
              <w:jc w:val="center"/>
              <w:rPr>
                <w:rFonts w:ascii="宋体" w:hAnsi="宋体" w:cs="宋体"/>
                <w:szCs w:val="21"/>
              </w:rPr>
            </w:pPr>
            <w:r>
              <w:rPr>
                <w:rFonts w:hint="eastAsia" w:ascii="宋体" w:hAnsi="宋体" w:cs="宋体"/>
                <w:szCs w:val="21"/>
              </w:rPr>
              <w:t>2</w:t>
            </w:r>
          </w:p>
        </w:tc>
        <w:tc>
          <w:tcPr>
            <w:tcW w:w="2410" w:type="dxa"/>
            <w:noWrap/>
            <w:vAlign w:val="center"/>
          </w:tcPr>
          <w:p w14:paraId="6CD5BF2E">
            <w:pPr>
              <w:spacing w:line="320" w:lineRule="exact"/>
              <w:ind w:right="3"/>
              <w:jc w:val="center"/>
              <w:rPr>
                <w:rFonts w:ascii="宋体" w:hAnsi="宋体" w:cs="宋体"/>
                <w:b/>
                <w:szCs w:val="21"/>
              </w:rPr>
            </w:pPr>
            <w:r>
              <w:rPr>
                <w:rFonts w:hint="eastAsia" w:ascii="宋体" w:hAnsi="宋体" w:cs="宋体"/>
                <w:b/>
                <w:szCs w:val="21"/>
              </w:rPr>
              <w:t>无效标条款</w:t>
            </w:r>
          </w:p>
        </w:tc>
        <w:tc>
          <w:tcPr>
            <w:tcW w:w="6862" w:type="dxa"/>
            <w:gridSpan w:val="2"/>
            <w:tcBorders>
              <w:top w:val="single" w:color="auto" w:sz="4" w:space="0"/>
            </w:tcBorders>
            <w:noWrap/>
            <w:vAlign w:val="center"/>
          </w:tcPr>
          <w:p w14:paraId="249E075A">
            <w:pPr>
              <w:tabs>
                <w:tab w:val="left" w:pos="317"/>
                <w:tab w:val="left" w:pos="993"/>
              </w:tabs>
              <w:spacing w:line="320" w:lineRule="exact"/>
              <w:ind w:left="317"/>
              <w:rPr>
                <w:rFonts w:ascii="宋体" w:hAnsi="宋体" w:cs="宋体"/>
                <w:szCs w:val="21"/>
              </w:rPr>
            </w:pPr>
            <w:r>
              <w:rPr>
                <w:rFonts w:hint="eastAsia" w:ascii="宋体" w:hAnsi="宋体" w:cs="宋体"/>
                <w:szCs w:val="21"/>
              </w:rPr>
              <w:t>1.投标有效期不足的；</w:t>
            </w:r>
          </w:p>
          <w:p w14:paraId="48F1C7C9">
            <w:pPr>
              <w:tabs>
                <w:tab w:val="left" w:pos="317"/>
                <w:tab w:val="left" w:pos="993"/>
              </w:tabs>
              <w:spacing w:line="320" w:lineRule="exact"/>
              <w:ind w:left="317"/>
              <w:rPr>
                <w:rFonts w:ascii="宋体" w:hAnsi="宋体" w:cs="宋体"/>
                <w:szCs w:val="21"/>
              </w:rPr>
            </w:pPr>
            <w:r>
              <w:rPr>
                <w:rFonts w:hint="eastAsia" w:ascii="宋体" w:hAnsi="宋体" w:cs="宋体"/>
                <w:szCs w:val="21"/>
              </w:rPr>
              <w:t>2.投标文件中需签字或盖章的地方未加盖投标供应商单位全称的公章，并未经法定代表人或其授权代表签字或盖章；或使用投标专用章、合同章等类似图章代替；</w:t>
            </w:r>
          </w:p>
          <w:p w14:paraId="21233EF2">
            <w:pPr>
              <w:tabs>
                <w:tab w:val="left" w:pos="317"/>
                <w:tab w:val="left" w:pos="993"/>
              </w:tabs>
              <w:spacing w:line="320" w:lineRule="exact"/>
              <w:ind w:left="317"/>
              <w:rPr>
                <w:rFonts w:ascii="宋体" w:hAnsi="宋体" w:cs="宋体"/>
                <w:szCs w:val="21"/>
              </w:rPr>
            </w:pPr>
            <w:r>
              <w:rPr>
                <w:rFonts w:hint="eastAsia" w:ascii="宋体" w:hAnsi="宋体" w:cs="宋体"/>
                <w:szCs w:val="21"/>
              </w:rPr>
              <w:t>3.服务要求不满足招标内容实质性内容及商务有重大偏离或保留的；</w:t>
            </w:r>
          </w:p>
          <w:p w14:paraId="4FD020DF">
            <w:pPr>
              <w:tabs>
                <w:tab w:val="left" w:pos="317"/>
                <w:tab w:val="left" w:pos="993"/>
              </w:tabs>
              <w:spacing w:line="320" w:lineRule="exact"/>
              <w:ind w:left="317"/>
              <w:rPr>
                <w:rFonts w:ascii="宋体" w:hAnsi="宋体" w:cs="宋体"/>
                <w:szCs w:val="21"/>
              </w:rPr>
            </w:pPr>
            <w:r>
              <w:rPr>
                <w:rFonts w:hint="eastAsia" w:ascii="宋体" w:hAnsi="宋体" w:cs="宋体"/>
                <w:szCs w:val="21"/>
              </w:rPr>
              <w:t>4.评标委员会认为投标文件未实质性响应采购文件的要求的；</w:t>
            </w:r>
          </w:p>
          <w:p w14:paraId="02CDBFD3">
            <w:pPr>
              <w:tabs>
                <w:tab w:val="left" w:pos="317"/>
                <w:tab w:val="left" w:pos="993"/>
              </w:tabs>
              <w:spacing w:line="320" w:lineRule="exact"/>
              <w:ind w:left="317"/>
              <w:rPr>
                <w:rFonts w:ascii="宋体" w:hAnsi="宋体" w:cs="宋体"/>
                <w:szCs w:val="21"/>
              </w:rPr>
            </w:pPr>
            <w:r>
              <w:rPr>
                <w:rFonts w:hint="eastAsia" w:ascii="宋体" w:hAnsi="宋体" w:cs="宋体"/>
                <w:szCs w:val="21"/>
              </w:rPr>
              <w:t>5.授权代表未取得有效的法定代表人授权委托书的；</w:t>
            </w:r>
          </w:p>
          <w:p w14:paraId="4D782058">
            <w:pPr>
              <w:tabs>
                <w:tab w:val="left" w:pos="317"/>
              </w:tabs>
              <w:spacing w:line="320" w:lineRule="exact"/>
              <w:ind w:left="317"/>
              <w:rPr>
                <w:rFonts w:ascii="宋体" w:hAnsi="宋体" w:cs="宋体"/>
                <w:szCs w:val="21"/>
              </w:rPr>
            </w:pPr>
            <w:r>
              <w:rPr>
                <w:rFonts w:hint="eastAsia" w:ascii="宋体" w:hAnsi="宋体" w:cs="宋体"/>
                <w:szCs w:val="21"/>
              </w:rPr>
              <w:t>6.存在串标、抬标或弄虚作假情况的；</w:t>
            </w:r>
          </w:p>
          <w:p w14:paraId="0CC83539">
            <w:pPr>
              <w:tabs>
                <w:tab w:val="left" w:pos="317"/>
              </w:tabs>
              <w:spacing w:line="320" w:lineRule="exact"/>
              <w:ind w:left="317"/>
              <w:rPr>
                <w:rFonts w:ascii="宋体" w:hAnsi="宋体" w:cs="宋体"/>
                <w:szCs w:val="21"/>
              </w:rPr>
            </w:pPr>
            <w:r>
              <w:rPr>
                <w:rFonts w:hint="eastAsia" w:ascii="宋体" w:hAnsi="宋体" w:cs="宋体"/>
                <w:szCs w:val="21"/>
              </w:rPr>
              <w:t>7.投标文件含有采购人不能接受的附加条件的；</w:t>
            </w:r>
          </w:p>
          <w:p w14:paraId="4765ACDA">
            <w:pPr>
              <w:tabs>
                <w:tab w:val="left" w:pos="317"/>
              </w:tabs>
              <w:spacing w:line="320" w:lineRule="exact"/>
              <w:ind w:left="317"/>
              <w:rPr>
                <w:rFonts w:ascii="宋体" w:hAnsi="宋体" w:cs="宋体"/>
                <w:szCs w:val="21"/>
              </w:rPr>
            </w:pPr>
            <w:r>
              <w:rPr>
                <w:rFonts w:hint="eastAsia" w:ascii="宋体" w:hAnsi="宋体" w:cs="宋体"/>
                <w:szCs w:val="21"/>
              </w:rPr>
              <w:t>8.投标实施方案不明确，存在一个或一个以上备选（替代）投标方案的</w:t>
            </w:r>
          </w:p>
          <w:p w14:paraId="179379B6">
            <w:pPr>
              <w:tabs>
                <w:tab w:val="left" w:pos="317"/>
              </w:tabs>
              <w:spacing w:line="320" w:lineRule="exact"/>
              <w:ind w:left="317"/>
              <w:rPr>
                <w:rFonts w:ascii="宋体" w:hAnsi="宋体" w:cs="宋体"/>
                <w:szCs w:val="21"/>
              </w:rPr>
            </w:pPr>
            <w:r>
              <w:rPr>
                <w:rFonts w:hint="eastAsia" w:ascii="宋体" w:hAnsi="宋体" w:cs="宋体"/>
                <w:szCs w:val="21"/>
              </w:rPr>
              <w:t>9.不同投标人的投标文件由同一单位或者个人编制的；</w:t>
            </w:r>
          </w:p>
          <w:p w14:paraId="5E181BC2">
            <w:pPr>
              <w:tabs>
                <w:tab w:val="left" w:pos="317"/>
              </w:tabs>
              <w:spacing w:line="320" w:lineRule="exact"/>
              <w:ind w:left="317"/>
              <w:rPr>
                <w:rFonts w:ascii="宋体" w:hAnsi="宋体" w:cs="宋体"/>
                <w:szCs w:val="21"/>
              </w:rPr>
            </w:pPr>
            <w:r>
              <w:rPr>
                <w:rFonts w:hint="eastAsia" w:ascii="宋体" w:hAnsi="宋体" w:cs="宋体"/>
                <w:szCs w:val="21"/>
              </w:rPr>
              <w:t>10.不同投标人委托同一单位或者个人办理投标事宜的；</w:t>
            </w:r>
          </w:p>
          <w:p w14:paraId="2D938129">
            <w:pPr>
              <w:tabs>
                <w:tab w:val="left" w:pos="317"/>
              </w:tabs>
              <w:spacing w:line="320" w:lineRule="exact"/>
              <w:ind w:left="317"/>
              <w:rPr>
                <w:rFonts w:ascii="宋体" w:hAnsi="宋体" w:cs="宋体"/>
                <w:szCs w:val="21"/>
              </w:rPr>
            </w:pPr>
            <w:r>
              <w:rPr>
                <w:rFonts w:hint="eastAsia" w:ascii="宋体" w:hAnsi="宋体" w:cs="宋体"/>
                <w:szCs w:val="21"/>
              </w:rPr>
              <w:t>11.</w:t>
            </w:r>
            <w:r>
              <w:rPr>
                <w:rFonts w:ascii="宋体" w:hAnsi="宋体"/>
                <w:spacing w:val="-4"/>
                <w:szCs w:val="21"/>
              </w:rPr>
              <w:t>不同投标人的投标文件异常一致或者投标报价呈规律性差异的</w:t>
            </w:r>
            <w:r>
              <w:rPr>
                <w:rFonts w:hint="eastAsia" w:ascii="宋体" w:hAnsi="宋体"/>
                <w:spacing w:val="-4"/>
                <w:szCs w:val="21"/>
              </w:rPr>
              <w:t>；</w:t>
            </w:r>
          </w:p>
          <w:p w14:paraId="5A292AA9">
            <w:pPr>
              <w:tabs>
                <w:tab w:val="left" w:pos="317"/>
              </w:tabs>
              <w:spacing w:line="320" w:lineRule="exact"/>
              <w:ind w:left="317"/>
              <w:rPr>
                <w:rFonts w:ascii="宋体" w:hAnsi="宋体" w:cs="宋体"/>
                <w:szCs w:val="21"/>
              </w:rPr>
            </w:pPr>
            <w:r>
              <w:rPr>
                <w:rFonts w:hint="eastAsia" w:ascii="宋体" w:hAnsi="宋体" w:cs="宋体"/>
                <w:szCs w:val="21"/>
              </w:rPr>
              <w:t>12.不符合法律、法规和采购文件中规定的其他实质性要求的。</w:t>
            </w:r>
          </w:p>
        </w:tc>
      </w:tr>
    </w:tbl>
    <w:p w14:paraId="05051C63">
      <w:pPr>
        <w:pStyle w:val="50"/>
        <w:snapToGrid w:val="0"/>
        <w:spacing w:line="440" w:lineRule="exact"/>
        <w:ind w:firstLine="457" w:firstLineChars="196"/>
        <w:rPr>
          <w:rFonts w:ascii="宋体" w:hAnsi="宋体"/>
          <w:b/>
        </w:rPr>
      </w:pPr>
      <w:r>
        <w:rPr>
          <w:rFonts w:hint="eastAsia" w:ascii="宋体" w:hAnsi="宋体"/>
          <w:b/>
          <w:spacing w:val="-4"/>
        </w:rPr>
        <w:t>四、</w:t>
      </w:r>
      <w:r>
        <w:rPr>
          <w:rFonts w:ascii="宋体" w:hAnsi="宋体"/>
          <w:b/>
          <w:spacing w:val="-4"/>
        </w:rPr>
        <w:t>报价评审时，如发现下列情形之一的，投标将被视为无效：</w:t>
      </w:r>
    </w:p>
    <w:p w14:paraId="2BD49670">
      <w:pPr>
        <w:pStyle w:val="50"/>
        <w:shd w:val="clear" w:color="auto" w:fill="FFFFFF"/>
        <w:snapToGrid w:val="0"/>
        <w:spacing w:line="440" w:lineRule="exact"/>
        <w:ind w:firstLine="464" w:firstLineChars="200"/>
        <w:rPr>
          <w:rFonts w:ascii="宋体" w:hAnsi="宋体"/>
          <w:color w:val="auto"/>
          <w:spacing w:val="-4"/>
        </w:rPr>
      </w:pPr>
      <w:r>
        <w:rPr>
          <w:rFonts w:hint="eastAsia" w:ascii="宋体" w:hAnsi="宋体"/>
          <w:color w:val="auto"/>
          <w:spacing w:val="-4"/>
        </w:rPr>
        <w:t>1.</w:t>
      </w:r>
      <w:r>
        <w:rPr>
          <w:rFonts w:ascii="宋体" w:hAnsi="宋体"/>
          <w:color w:val="auto"/>
          <w:spacing w:val="-4"/>
        </w:rPr>
        <w:t>报价超过采购文件中规定的预算金额</w:t>
      </w:r>
      <w:r>
        <w:rPr>
          <w:rFonts w:hint="eastAsia" w:ascii="宋体" w:hAnsi="宋体"/>
          <w:color w:val="auto"/>
        </w:rPr>
        <w:t>(最高综合单价限价和最高预算总价)</w:t>
      </w:r>
      <w:r>
        <w:rPr>
          <w:rFonts w:ascii="宋体" w:hAnsi="宋体"/>
          <w:color w:val="auto"/>
          <w:spacing w:val="-4"/>
        </w:rPr>
        <w:t>；</w:t>
      </w:r>
    </w:p>
    <w:p w14:paraId="1AD33045">
      <w:pPr>
        <w:pStyle w:val="50"/>
        <w:shd w:val="clear" w:color="auto" w:fill="FFFFFF"/>
        <w:snapToGrid w:val="0"/>
        <w:spacing w:line="440" w:lineRule="exact"/>
        <w:ind w:firstLine="464" w:firstLineChars="200"/>
        <w:rPr>
          <w:rFonts w:ascii="宋体" w:hAnsi="宋体"/>
          <w:color w:val="auto"/>
          <w:spacing w:val="-4"/>
        </w:rPr>
      </w:pPr>
      <w:r>
        <w:rPr>
          <w:rFonts w:hint="eastAsia" w:ascii="宋体" w:hAnsi="宋体"/>
          <w:color w:val="auto"/>
          <w:spacing w:val="-4"/>
        </w:rPr>
        <w:t>2.</w:t>
      </w:r>
      <w:r>
        <w:rPr>
          <w:rFonts w:ascii="宋体" w:hAnsi="宋体"/>
          <w:color w:val="auto"/>
          <w:spacing w:val="-4"/>
        </w:rPr>
        <w:t>投标报价具有选择性的；</w:t>
      </w:r>
    </w:p>
    <w:p w14:paraId="6A357FF7">
      <w:pPr>
        <w:pStyle w:val="50"/>
        <w:shd w:val="clear" w:color="auto" w:fill="FFFFFF"/>
        <w:snapToGrid w:val="0"/>
        <w:spacing w:line="440" w:lineRule="exact"/>
        <w:ind w:firstLine="464" w:firstLineChars="200"/>
        <w:rPr>
          <w:rFonts w:ascii="宋体" w:hAnsi="宋体"/>
          <w:color w:val="auto"/>
          <w:spacing w:val="-4"/>
        </w:rPr>
      </w:pPr>
      <w:r>
        <w:rPr>
          <w:rFonts w:hint="eastAsia" w:ascii="宋体" w:hAnsi="宋体"/>
          <w:color w:val="auto"/>
          <w:spacing w:val="-4"/>
        </w:rPr>
        <w:t>3.</w:t>
      </w:r>
      <w:r>
        <w:rPr>
          <w:rFonts w:ascii="宋体" w:hAnsi="宋体"/>
          <w:color w:val="auto"/>
          <w:spacing w:val="-4"/>
        </w:rPr>
        <w:t>不接受按采购文件规定的修正错误原则修正后的报价的；</w:t>
      </w:r>
    </w:p>
    <w:p w14:paraId="63C8142F">
      <w:pPr>
        <w:pStyle w:val="50"/>
        <w:shd w:val="clear" w:color="auto" w:fill="FFFFFF"/>
        <w:snapToGrid w:val="0"/>
        <w:spacing w:line="440" w:lineRule="exact"/>
        <w:ind w:firstLine="464" w:firstLineChars="200"/>
        <w:rPr>
          <w:rFonts w:ascii="宋体" w:hAnsi="宋体"/>
          <w:color w:val="auto"/>
          <w:spacing w:val="-4"/>
        </w:rPr>
      </w:pPr>
      <w:r>
        <w:rPr>
          <w:rFonts w:hint="eastAsia" w:ascii="宋体" w:hAnsi="宋体"/>
          <w:color w:val="auto"/>
          <w:spacing w:val="-4"/>
        </w:rPr>
        <w:t>4.</w:t>
      </w:r>
      <w:r>
        <w:rPr>
          <w:rFonts w:ascii="宋体" w:hAnsi="宋体"/>
          <w:color w:val="auto"/>
          <w:spacing w:val="-4"/>
        </w:rPr>
        <w:t>不同投标人的投标文件异常一致或者投标报价呈规律性差异的</w:t>
      </w:r>
      <w:r>
        <w:rPr>
          <w:rFonts w:hint="eastAsia" w:ascii="宋体" w:hAnsi="宋体"/>
          <w:color w:val="auto"/>
          <w:spacing w:val="-4"/>
        </w:rPr>
        <w:t>；</w:t>
      </w:r>
    </w:p>
    <w:p w14:paraId="60ED4CC9">
      <w:pPr>
        <w:pStyle w:val="50"/>
        <w:shd w:val="clear" w:color="auto" w:fill="FFFFFF"/>
        <w:snapToGrid w:val="0"/>
        <w:spacing w:line="440" w:lineRule="exact"/>
        <w:ind w:firstLine="464" w:firstLineChars="200"/>
        <w:rPr>
          <w:rFonts w:ascii="宋体" w:hAnsi="宋体"/>
          <w:color w:val="auto"/>
          <w:spacing w:val="-4"/>
        </w:rPr>
      </w:pPr>
      <w:r>
        <w:rPr>
          <w:rFonts w:hint="eastAsia" w:ascii="宋体" w:hAnsi="宋体"/>
          <w:color w:val="auto"/>
          <w:spacing w:val="-4"/>
        </w:rPr>
        <w:t>5.</w:t>
      </w:r>
      <w:r>
        <w:rPr>
          <w:rFonts w:hint="eastAsia" w:ascii="宋体" w:hAnsi="宋体" w:cs="宋体"/>
          <w:color w:val="auto"/>
          <w:szCs w:val="21"/>
        </w:rPr>
        <w:t>单价与总价不相符，又不接受评标委员会修正的投标总价或投标明显不合理而投标供应商不能合理说明的；</w:t>
      </w:r>
      <w:r>
        <w:rPr>
          <w:rFonts w:ascii="宋体" w:hAnsi="宋体"/>
          <w:color w:val="auto"/>
          <w:spacing w:val="-4"/>
        </w:rPr>
        <w:t>不接受按采购文件规定的修正错误原则修正后的报价的</w:t>
      </w:r>
    </w:p>
    <w:p w14:paraId="5E8E3856">
      <w:pPr>
        <w:pStyle w:val="50"/>
        <w:shd w:val="clear" w:color="auto" w:fill="FFFFFF"/>
        <w:snapToGrid w:val="0"/>
        <w:spacing w:line="440" w:lineRule="exact"/>
        <w:ind w:firstLine="464" w:firstLineChars="200"/>
        <w:rPr>
          <w:rFonts w:ascii="宋体" w:hAnsi="宋体"/>
          <w:color w:val="auto"/>
          <w:spacing w:val="-4"/>
        </w:rPr>
      </w:pPr>
      <w:r>
        <w:rPr>
          <w:rFonts w:hint="eastAsia" w:ascii="宋体" w:hAnsi="宋体"/>
          <w:color w:val="auto"/>
          <w:spacing w:val="-4"/>
        </w:rPr>
        <w:t>6.</w:t>
      </w:r>
      <w:r>
        <w:rPr>
          <w:rFonts w:ascii="宋体" w:hAnsi="宋体"/>
          <w:color w:val="auto"/>
          <w:spacing w:val="-4"/>
        </w:rPr>
        <w:t>报价明显低于其他通过符合性审查投标人的报价，且投标人不能证明其报价合理性，有可能影响产品质量或者不能诚信履约的；</w:t>
      </w:r>
    </w:p>
    <w:p w14:paraId="225BD5F9">
      <w:pPr>
        <w:tabs>
          <w:tab w:val="left" w:pos="317"/>
          <w:tab w:val="left" w:pos="993"/>
        </w:tabs>
        <w:spacing w:line="320" w:lineRule="exact"/>
        <w:ind w:left="317"/>
        <w:rPr>
          <w:rFonts w:ascii="宋体" w:hAnsi="宋体" w:cs="宋体"/>
          <w:sz w:val="24"/>
        </w:rPr>
      </w:pPr>
      <w:r>
        <w:rPr>
          <w:rFonts w:hint="eastAsia" w:ascii="宋体" w:hAnsi="宋体"/>
          <w:spacing w:val="-4"/>
          <w:sz w:val="24"/>
        </w:rPr>
        <w:t xml:space="preserve"> 7.</w:t>
      </w:r>
      <w:r>
        <w:rPr>
          <w:rFonts w:ascii="宋体" w:hAnsi="宋体"/>
          <w:spacing w:val="-4"/>
          <w:sz w:val="24"/>
        </w:rPr>
        <w:t>法律、法规和采购文件规定的其他无效情形。</w:t>
      </w:r>
    </w:p>
    <w:p w14:paraId="154DBAFC">
      <w:pPr>
        <w:spacing w:line="440" w:lineRule="exact"/>
        <w:ind w:firstLine="480" w:firstLineChars="200"/>
        <w:rPr>
          <w:rFonts w:ascii="宋体" w:hAnsi="宋体"/>
          <w:bCs/>
          <w:sz w:val="24"/>
        </w:rPr>
      </w:pPr>
      <w:r>
        <w:rPr>
          <w:rFonts w:hint="eastAsia" w:ascii="宋体" w:hAnsi="宋体"/>
          <w:bCs/>
          <w:sz w:val="24"/>
        </w:rPr>
        <w:t>评标</w:t>
      </w:r>
      <w:r>
        <w:rPr>
          <w:rFonts w:ascii="宋体" w:hAnsi="宋体"/>
          <w:bCs/>
          <w:sz w:val="24"/>
        </w:rPr>
        <w:t>委员会对资格审查合格的投标文件进行符合性审查，确定是否对采购文件作出了实质性响应。符合性审查不合格的投标无效，不再进行商务和技术评估、综合比较与评价。投标人不得通过修正或撤消不合要求的偏离或保留从而使其投标成为有效投标，但经</w:t>
      </w:r>
      <w:r>
        <w:rPr>
          <w:rFonts w:hint="eastAsia" w:ascii="宋体" w:hAnsi="宋体"/>
          <w:bCs/>
          <w:sz w:val="24"/>
        </w:rPr>
        <w:t>评标</w:t>
      </w:r>
      <w:r>
        <w:rPr>
          <w:rFonts w:ascii="宋体" w:hAnsi="宋体"/>
          <w:bCs/>
          <w:sz w:val="24"/>
        </w:rPr>
        <w:t>委员会认定属于投标人须知中明确可以对投标文件进行澄清、说明或补正、错误修正的内容，</w:t>
      </w:r>
      <w:r>
        <w:rPr>
          <w:rFonts w:hint="eastAsia" w:ascii="宋体" w:hAnsi="宋体"/>
          <w:bCs/>
          <w:sz w:val="24"/>
        </w:rPr>
        <w:t>评标</w:t>
      </w:r>
      <w:r>
        <w:rPr>
          <w:rFonts w:ascii="宋体" w:hAnsi="宋体"/>
          <w:bCs/>
          <w:sz w:val="24"/>
        </w:rPr>
        <w:t>委员会将以书面形式（或通过“政府采购云平台”在线询标）的形式要求投标人在规定的时间内作出必要的澄清、说明或者补正、修正。</w:t>
      </w:r>
    </w:p>
    <w:p w14:paraId="68C3CBCC">
      <w:pPr>
        <w:spacing w:line="440" w:lineRule="exact"/>
        <w:ind w:firstLine="480" w:firstLineChars="200"/>
        <w:rPr>
          <w:rFonts w:ascii="宋体" w:hAnsi="宋体"/>
          <w:bCs/>
          <w:sz w:val="24"/>
        </w:rPr>
      </w:pPr>
      <w:r>
        <w:rPr>
          <w:rFonts w:ascii="宋体" w:hAnsi="宋体"/>
          <w:bCs/>
          <w:sz w:val="24"/>
        </w:rPr>
        <w:t>投标人的澄清、说明或者补正、修正应当采用书面（或通过“政府采购云平台”在线答复）形式提交并电子签章，或者由法定代表人或其授权的代表签字。投标人的澄清、说明或者补正不得超出投标文件的范围或者改变投标文件的实质性内容。在规定的时间内不补正或经补正后仍不符合采购文件要求的，应认定其投标无效。</w:t>
      </w:r>
    </w:p>
    <w:bookmarkEnd w:id="152"/>
    <w:bookmarkEnd w:id="153"/>
    <w:bookmarkEnd w:id="154"/>
    <w:bookmarkEnd w:id="155"/>
    <w:bookmarkEnd w:id="156"/>
    <w:p w14:paraId="2EBFB978">
      <w:pPr>
        <w:spacing w:line="440" w:lineRule="exact"/>
        <w:rPr>
          <w:rFonts w:ascii="宋体" w:hAnsi="宋体"/>
          <w:b/>
          <w:sz w:val="24"/>
          <w:highlight w:val="none"/>
        </w:rPr>
      </w:pPr>
      <w:r>
        <w:rPr>
          <w:rFonts w:hint="eastAsia" w:ascii="宋体" w:hAnsi="宋体"/>
          <w:b/>
          <w:sz w:val="24"/>
        </w:rPr>
        <w:t xml:space="preserve"> </w:t>
      </w:r>
      <w:r>
        <w:rPr>
          <w:rFonts w:hint="eastAsia" w:ascii="宋体" w:hAnsi="宋体"/>
          <w:b/>
          <w:sz w:val="24"/>
          <w:highlight w:val="none"/>
        </w:rPr>
        <w:t xml:space="preserve">   五、商务技术</w:t>
      </w:r>
      <w:r>
        <w:rPr>
          <w:rFonts w:ascii="宋体" w:hAnsi="宋体"/>
          <w:b/>
          <w:sz w:val="24"/>
          <w:highlight w:val="none"/>
        </w:rPr>
        <w:t>评审内容及标准</w:t>
      </w:r>
    </w:p>
    <w:p w14:paraId="5B1B3BEE">
      <w:pPr>
        <w:spacing w:line="440" w:lineRule="exact"/>
        <w:ind w:firstLine="482" w:firstLineChars="200"/>
        <w:rPr>
          <w:rFonts w:ascii="宋体" w:hAnsi="宋体" w:cs="宋体"/>
          <w:sz w:val="24"/>
          <w:highlight w:val="none"/>
        </w:rPr>
      </w:pPr>
      <w:r>
        <w:rPr>
          <w:rFonts w:ascii="宋体" w:hAnsi="宋体"/>
          <w:b/>
          <w:bCs/>
          <w:sz w:val="24"/>
          <w:highlight w:val="none"/>
        </w:rPr>
        <w:t>1.</w:t>
      </w:r>
      <w:r>
        <w:rPr>
          <w:rFonts w:hint="eastAsia" w:ascii="宋体" w:hAnsi="宋体"/>
          <w:b/>
          <w:bCs/>
          <w:sz w:val="24"/>
          <w:highlight w:val="none"/>
        </w:rPr>
        <w:t>商务技术文件评审</w:t>
      </w:r>
      <w:r>
        <w:rPr>
          <w:rFonts w:hint="eastAsia" w:ascii="宋体" w:hAnsi="宋体" w:cs="宋体"/>
          <w:sz w:val="24"/>
          <w:highlight w:val="none"/>
        </w:rPr>
        <w:t>（80分）</w:t>
      </w:r>
    </w:p>
    <w:p w14:paraId="60AA6BFC">
      <w:pPr>
        <w:spacing w:line="440" w:lineRule="exact"/>
        <w:ind w:firstLine="480" w:firstLineChars="200"/>
        <w:rPr>
          <w:rFonts w:ascii="宋体" w:hAnsi="宋体" w:cs="宋体"/>
          <w:sz w:val="24"/>
          <w:highlight w:val="none"/>
        </w:rPr>
      </w:pPr>
      <w:r>
        <w:rPr>
          <w:rFonts w:hint="eastAsia" w:ascii="宋体" w:hAnsi="宋体" w:cs="宋体"/>
          <w:sz w:val="24"/>
          <w:highlight w:val="none"/>
        </w:rPr>
        <w:t>评审小组各成员所评分值的算术平均值即为各供应商的评定分值（计算时四舍五入，保留两位小数）</w:t>
      </w:r>
    </w:p>
    <w:tbl>
      <w:tblPr>
        <w:tblStyle w:val="55"/>
        <w:tblW w:w="8789" w:type="dxa"/>
        <w:jc w:val="center"/>
        <w:tblLayout w:type="autofit"/>
        <w:tblCellMar>
          <w:top w:w="0" w:type="dxa"/>
          <w:left w:w="108" w:type="dxa"/>
          <w:bottom w:w="0" w:type="dxa"/>
          <w:right w:w="108" w:type="dxa"/>
        </w:tblCellMar>
      </w:tblPr>
      <w:tblGrid>
        <w:gridCol w:w="751"/>
        <w:gridCol w:w="1748"/>
        <w:gridCol w:w="5440"/>
        <w:gridCol w:w="850"/>
      </w:tblGrid>
      <w:tr w14:paraId="10E580AD">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7C044072">
            <w:pPr>
              <w:widowControl/>
              <w:spacing w:line="0" w:lineRule="atLeast"/>
              <w:jc w:val="center"/>
              <w:textAlignment w:val="center"/>
              <w:rPr>
                <w:rFonts w:ascii="宋体" w:hAnsi="宋体" w:cs="宋体"/>
                <w:b/>
                <w:bCs/>
                <w:sz w:val="24"/>
                <w:highlight w:val="none"/>
              </w:rPr>
            </w:pPr>
            <w:r>
              <w:rPr>
                <w:rFonts w:hint="eastAsia" w:ascii="宋体" w:hAnsi="宋体" w:cs="宋体"/>
                <w:b/>
                <w:bCs/>
                <w:kern w:val="0"/>
                <w:sz w:val="24"/>
                <w:highlight w:val="none"/>
              </w:rPr>
              <w:t>序号</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042B3296">
            <w:pPr>
              <w:widowControl/>
              <w:spacing w:line="0" w:lineRule="atLeast"/>
              <w:jc w:val="center"/>
              <w:textAlignment w:val="center"/>
              <w:rPr>
                <w:rFonts w:ascii="宋体" w:hAnsi="宋体" w:cs="宋体"/>
                <w:b/>
                <w:bCs/>
                <w:sz w:val="24"/>
                <w:highlight w:val="none"/>
              </w:rPr>
            </w:pPr>
            <w:r>
              <w:rPr>
                <w:rFonts w:hint="eastAsia" w:ascii="宋体" w:hAnsi="宋体" w:cs="宋体"/>
                <w:b/>
                <w:bCs/>
                <w:kern w:val="0"/>
                <w:sz w:val="24"/>
                <w:highlight w:val="none"/>
              </w:rPr>
              <w:t>评分项目</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7B6F703E">
            <w:pPr>
              <w:widowControl/>
              <w:spacing w:line="0" w:lineRule="atLeast"/>
              <w:jc w:val="center"/>
              <w:textAlignment w:val="center"/>
              <w:rPr>
                <w:rFonts w:ascii="宋体" w:hAnsi="宋体" w:cs="宋体"/>
                <w:b/>
                <w:bCs/>
                <w:sz w:val="24"/>
                <w:highlight w:val="none"/>
              </w:rPr>
            </w:pPr>
            <w:r>
              <w:rPr>
                <w:rFonts w:hint="eastAsia" w:ascii="宋体" w:hAnsi="宋体" w:cs="宋体"/>
                <w:b/>
                <w:bCs/>
                <w:kern w:val="0"/>
                <w:sz w:val="24"/>
                <w:highlight w:val="none"/>
              </w:rPr>
              <w:t>评分标准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24DB">
            <w:pPr>
              <w:widowControl/>
              <w:spacing w:line="0" w:lineRule="atLeast"/>
              <w:jc w:val="center"/>
              <w:textAlignment w:val="center"/>
              <w:rPr>
                <w:rFonts w:ascii="宋体" w:hAnsi="宋体" w:cs="宋体"/>
                <w:b/>
                <w:bCs/>
                <w:sz w:val="24"/>
                <w:highlight w:val="none"/>
              </w:rPr>
            </w:pPr>
            <w:r>
              <w:rPr>
                <w:rFonts w:hint="eastAsia" w:ascii="宋体" w:hAnsi="宋体" w:cs="宋体"/>
                <w:b/>
                <w:bCs/>
                <w:kern w:val="0"/>
                <w:sz w:val="24"/>
                <w:highlight w:val="none"/>
              </w:rPr>
              <w:t>分值</w:t>
            </w:r>
          </w:p>
        </w:tc>
      </w:tr>
      <w:tr w14:paraId="00BDFA51">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0AEBA707">
            <w:pPr>
              <w:widowControl/>
              <w:spacing w:line="0" w:lineRule="atLeast"/>
              <w:jc w:val="center"/>
              <w:textAlignment w:val="center"/>
              <w:rPr>
                <w:rFonts w:ascii="宋体" w:hAnsi="宋体" w:cs="宋体"/>
                <w:b/>
                <w:bCs/>
                <w:kern w:val="0"/>
                <w:sz w:val="24"/>
                <w:highlight w:val="none"/>
              </w:rPr>
            </w:pPr>
            <w:r>
              <w:rPr>
                <w:rFonts w:hint="eastAsia" w:ascii="宋体" w:hAnsi="宋体" w:cs="宋体"/>
                <w:b/>
                <w:bCs/>
                <w:kern w:val="0"/>
                <w:sz w:val="24"/>
                <w:highlight w:val="none"/>
              </w:rPr>
              <w:t>1</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5F32FBFF">
            <w:pPr>
              <w:widowControl/>
              <w:spacing w:line="0" w:lineRule="atLeast"/>
              <w:jc w:val="center"/>
              <w:textAlignment w:val="center"/>
              <w:rPr>
                <w:rFonts w:ascii="宋体" w:hAnsi="宋体" w:cs="宋体"/>
                <w:b/>
                <w:bCs/>
                <w:kern w:val="0"/>
                <w:sz w:val="24"/>
                <w:highlight w:val="none"/>
              </w:rPr>
            </w:pPr>
            <w:r>
              <w:rPr>
                <w:rFonts w:hint="eastAsia" w:ascii="宋体" w:hAnsi="宋体" w:cs="宋体"/>
                <w:b/>
                <w:bCs/>
                <w:kern w:val="0"/>
                <w:sz w:val="24"/>
                <w:highlight w:val="none"/>
              </w:rPr>
              <w:t>企业履约</w:t>
            </w:r>
          </w:p>
          <w:p w14:paraId="50601C46">
            <w:pPr>
              <w:widowControl/>
              <w:spacing w:line="0" w:lineRule="atLeast"/>
              <w:jc w:val="center"/>
              <w:textAlignment w:val="center"/>
              <w:rPr>
                <w:rFonts w:ascii="宋体" w:hAnsi="宋体" w:cs="宋体"/>
                <w:b/>
                <w:bCs/>
                <w:kern w:val="0"/>
                <w:sz w:val="24"/>
                <w:highlight w:val="none"/>
              </w:rPr>
            </w:pPr>
            <w:r>
              <w:rPr>
                <w:rFonts w:hint="eastAsia" w:ascii="宋体" w:hAnsi="宋体" w:cs="宋体"/>
                <w:b/>
                <w:bCs/>
                <w:kern w:val="0"/>
                <w:sz w:val="24"/>
                <w:highlight w:val="none"/>
              </w:rPr>
              <w:t>能力</w:t>
            </w:r>
          </w:p>
          <w:p w14:paraId="46703BEB">
            <w:pPr>
              <w:widowControl/>
              <w:spacing w:line="0" w:lineRule="atLeast"/>
              <w:jc w:val="center"/>
              <w:textAlignment w:val="center"/>
              <w:rPr>
                <w:rFonts w:ascii="宋体" w:hAnsi="宋体" w:cs="宋体"/>
                <w:b/>
                <w:bCs/>
                <w:kern w:val="0"/>
                <w:sz w:val="24"/>
                <w:highlight w:val="none"/>
              </w:rPr>
            </w:pPr>
            <w:r>
              <w:rPr>
                <w:rFonts w:hint="eastAsia" w:ascii="宋体" w:hAnsi="宋体" w:cs="宋体"/>
                <w:b/>
                <w:bCs/>
                <w:kern w:val="0"/>
                <w:sz w:val="24"/>
                <w:highlight w:val="none"/>
              </w:rPr>
              <w:t>（4分）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0745AB42">
            <w:pPr>
              <w:widowControl/>
              <w:spacing w:line="0" w:lineRule="atLeast"/>
              <w:jc w:val="left"/>
              <w:textAlignment w:val="center"/>
              <w:rPr>
                <w:rFonts w:ascii="宋体" w:hAnsi="宋体" w:cs="宋体"/>
                <w:b/>
                <w:bCs/>
                <w:kern w:val="0"/>
                <w:sz w:val="24"/>
                <w:highlight w:val="none"/>
              </w:rPr>
            </w:pPr>
            <w:r>
              <w:rPr>
                <w:rFonts w:hint="eastAsia" w:ascii="宋体" w:hAnsi="宋体" w:cs="宋体"/>
                <w:b/>
                <w:bCs/>
                <w:kern w:val="0"/>
                <w:sz w:val="24"/>
                <w:highlight w:val="none"/>
              </w:rPr>
              <w:t>投标人获得过企业相关的荣誉，每提供1项得1分，最多得4分。（须提供有效的荣誉证书复印件，并加盖电子签章，否则不计分）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DACD">
            <w:pPr>
              <w:widowControl/>
              <w:spacing w:line="0" w:lineRule="atLeast"/>
              <w:jc w:val="center"/>
              <w:textAlignment w:val="center"/>
              <w:rPr>
                <w:rFonts w:ascii="宋体" w:hAnsi="宋体" w:cs="宋体"/>
                <w:b/>
                <w:bCs/>
                <w:kern w:val="0"/>
                <w:sz w:val="24"/>
                <w:highlight w:val="none"/>
              </w:rPr>
            </w:pPr>
            <w:r>
              <w:rPr>
                <w:rFonts w:hint="eastAsia" w:ascii="宋体" w:hAnsi="宋体" w:cs="宋体"/>
                <w:b/>
                <w:bCs/>
                <w:kern w:val="0"/>
                <w:sz w:val="24"/>
                <w:highlight w:val="none"/>
              </w:rPr>
              <w:t>0-4</w:t>
            </w:r>
          </w:p>
        </w:tc>
      </w:tr>
      <w:tr w14:paraId="50B03089">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630CF868">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2</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211A7382">
            <w:pPr>
              <w:widowControl/>
              <w:spacing w:line="0" w:lineRule="atLeast"/>
              <w:jc w:val="center"/>
              <w:textAlignment w:val="center"/>
              <w:rPr>
                <w:rFonts w:ascii="宋体" w:hAnsi="宋体" w:cs="宋体"/>
                <w:b/>
                <w:sz w:val="24"/>
                <w:highlight w:val="none"/>
              </w:rPr>
            </w:pPr>
            <w:r>
              <w:rPr>
                <w:rFonts w:hint="eastAsia" w:ascii="宋体" w:hAnsi="宋体" w:cs="宋体"/>
                <w:b/>
                <w:kern w:val="0"/>
                <w:sz w:val="24"/>
                <w:highlight w:val="none"/>
              </w:rPr>
              <w:t>类似项目业绩（2分）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48494AA0">
            <w:pPr>
              <w:widowControl/>
              <w:spacing w:line="0" w:lineRule="atLeast"/>
              <w:jc w:val="left"/>
              <w:textAlignment w:val="center"/>
              <w:rPr>
                <w:rFonts w:ascii="宋体" w:hAnsi="宋体" w:cs="宋体"/>
                <w:sz w:val="24"/>
                <w:highlight w:val="none"/>
              </w:rPr>
            </w:pPr>
            <w:r>
              <w:rPr>
                <w:rFonts w:hint="eastAsia" w:ascii="宋体" w:hAnsi="宋体" w:cs="宋体"/>
                <w:kern w:val="0"/>
                <w:sz w:val="24"/>
                <w:highlight w:val="none"/>
              </w:rPr>
              <w:t>2021年1月1日至投标截止日承担过冻猪肉储备任务的成功案例，每个合同业绩得1分，最多得2分。</w:t>
            </w:r>
            <w:r>
              <w:rPr>
                <w:rFonts w:hint="eastAsia" w:ascii="宋体" w:hAnsi="宋体" w:cs="宋体"/>
                <w:sz w:val="24"/>
                <w:highlight w:val="none"/>
              </w:rPr>
              <w:t>（须提供合同原件扫描件，时间以签订合同时间为准，同时须提供中标/成交通知书原件扫描件并加盖电子签章，否则不得分）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3C54">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0-2</w:t>
            </w:r>
          </w:p>
        </w:tc>
      </w:tr>
      <w:tr w14:paraId="245A7D76">
        <w:tblPrEx>
          <w:tblCellMar>
            <w:top w:w="0" w:type="dxa"/>
            <w:left w:w="108" w:type="dxa"/>
            <w:bottom w:w="0" w:type="dxa"/>
            <w:right w:w="108" w:type="dxa"/>
          </w:tblCellMar>
        </w:tblPrEx>
        <w:trPr>
          <w:trHeight w:val="23" w:hRule="atLeast"/>
          <w:jc w:val="center"/>
        </w:trPr>
        <w:tc>
          <w:tcPr>
            <w:tcW w:w="7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6A4FB7">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3</w:t>
            </w:r>
          </w:p>
        </w:tc>
        <w:tc>
          <w:tcPr>
            <w:tcW w:w="17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92A92B">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人员技术力量投入情况</w:t>
            </w:r>
          </w:p>
          <w:p w14:paraId="7AE2FEC2">
            <w:pPr>
              <w:widowControl/>
              <w:spacing w:line="0" w:lineRule="atLeast"/>
              <w:jc w:val="center"/>
              <w:textAlignment w:val="center"/>
              <w:rPr>
                <w:rFonts w:ascii="宋体" w:hAnsi="宋体" w:cs="宋体"/>
                <w:b/>
                <w:sz w:val="24"/>
                <w:highlight w:val="none"/>
              </w:rPr>
            </w:pPr>
            <w:r>
              <w:rPr>
                <w:rFonts w:hint="eastAsia" w:ascii="宋体" w:hAnsi="宋体" w:cs="宋体"/>
                <w:b/>
                <w:kern w:val="0"/>
                <w:sz w:val="24"/>
                <w:highlight w:val="none"/>
              </w:rPr>
              <w:t>（9分）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6D21B921">
            <w:pPr>
              <w:widowControl/>
              <w:spacing w:line="0" w:lineRule="atLeast"/>
              <w:jc w:val="left"/>
              <w:textAlignment w:val="center"/>
              <w:rPr>
                <w:rFonts w:ascii="宋体" w:hAnsi="宋体" w:cs="宋体"/>
                <w:kern w:val="0"/>
                <w:sz w:val="24"/>
                <w:highlight w:val="none"/>
              </w:rPr>
            </w:pPr>
            <w:r>
              <w:rPr>
                <w:rFonts w:hint="eastAsia" w:ascii="宋体" w:hAnsi="宋体" w:cs="宋体"/>
                <w:kern w:val="0"/>
                <w:sz w:val="24"/>
                <w:highlight w:val="none"/>
              </w:rPr>
              <w:t>根据供应商拟派项目负责人的综合实力、专业素质、技术能力、经验等情况综合评价。（0-3分）</w:t>
            </w:r>
          </w:p>
          <w:p w14:paraId="1A4FC708">
            <w:pPr>
              <w:widowControl/>
              <w:spacing w:line="0" w:lineRule="atLeast"/>
              <w:jc w:val="left"/>
              <w:textAlignment w:val="center"/>
              <w:rPr>
                <w:rFonts w:ascii="宋体" w:hAnsi="宋体" w:cs="宋体"/>
                <w:kern w:val="0"/>
                <w:sz w:val="24"/>
                <w:highlight w:val="none"/>
              </w:rPr>
            </w:pPr>
            <w:r>
              <w:rPr>
                <w:rFonts w:hint="eastAsia" w:ascii="宋体" w:hAnsi="宋体" w:cs="宋体"/>
                <w:kern w:val="0"/>
                <w:sz w:val="24"/>
                <w:highlight w:val="none"/>
              </w:rPr>
              <w:t>（以上须提供相关证明材料及提供近期缴纳社保证明原件扫描件，加盖电子签章，否则不得分）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323A">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0-3</w:t>
            </w:r>
          </w:p>
        </w:tc>
      </w:tr>
      <w:tr w14:paraId="72BE9725">
        <w:tblPrEx>
          <w:tblCellMar>
            <w:top w:w="0" w:type="dxa"/>
            <w:left w:w="108" w:type="dxa"/>
            <w:bottom w:w="0" w:type="dxa"/>
            <w:right w:w="108" w:type="dxa"/>
          </w:tblCellMar>
        </w:tblPrEx>
        <w:trPr>
          <w:trHeight w:val="23" w:hRule="atLeast"/>
          <w:jc w:val="center"/>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475B5">
            <w:pPr>
              <w:widowControl/>
              <w:spacing w:line="0" w:lineRule="atLeast"/>
              <w:jc w:val="center"/>
              <w:textAlignment w:val="center"/>
              <w:rPr>
                <w:rFonts w:ascii="宋体" w:hAnsi="宋体" w:cs="宋体"/>
                <w:kern w:val="0"/>
                <w:sz w:val="24"/>
                <w:highlight w:val="none"/>
              </w:rPr>
            </w:pPr>
          </w:p>
        </w:tc>
        <w:tc>
          <w:tcPr>
            <w:tcW w:w="17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9E9698">
            <w:pPr>
              <w:widowControl/>
              <w:spacing w:line="0" w:lineRule="atLeast"/>
              <w:jc w:val="center"/>
              <w:textAlignment w:val="center"/>
              <w:rPr>
                <w:rFonts w:ascii="宋体" w:hAnsi="宋体" w:cs="宋体"/>
                <w:b/>
                <w:kern w:val="0"/>
                <w:sz w:val="24"/>
                <w:highlight w:val="none"/>
              </w:rPr>
            </w:pP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3B18824C">
            <w:pPr>
              <w:adjustRightInd w:val="0"/>
              <w:snapToGrid w:val="0"/>
              <w:spacing w:line="0" w:lineRule="atLeas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项目团队成员：（项目负责人除外）</w:t>
            </w:r>
          </w:p>
          <w:p w14:paraId="2FB284B8">
            <w:pPr>
              <w:widowControl/>
              <w:spacing w:line="0" w:lineRule="atLeast"/>
              <w:jc w:val="left"/>
              <w:textAlignment w:val="center"/>
              <w:rPr>
                <w:rFonts w:ascii="宋体" w:hAnsi="宋体" w:cs="宋体"/>
                <w:kern w:val="0"/>
                <w:sz w:val="24"/>
                <w:highlight w:val="none"/>
              </w:rPr>
            </w:pPr>
            <w:r>
              <w:rPr>
                <w:rFonts w:hint="eastAsia" w:ascii="宋体" w:hAnsi="宋体" w:cs="宋体"/>
                <w:kern w:val="0"/>
                <w:sz w:val="24"/>
                <w:highlight w:val="none"/>
              </w:rPr>
              <w:t>根据各投标人项目团队优势情况，项目团队成员的配置、服务经验、职责分工、组织协调能力等进行综合评分，满分6分。（以上须提供相关人员身份证、</w:t>
            </w:r>
            <w:r>
              <w:rPr>
                <w:rFonts w:hint="eastAsia" w:ascii="宋体" w:hAnsi="宋体" w:cs="宋体"/>
                <w:b/>
                <w:bCs/>
                <w:kern w:val="0"/>
                <w:sz w:val="24"/>
                <w:highlight w:val="none"/>
              </w:rPr>
              <w:t>相关有效的证书</w:t>
            </w:r>
            <w:r>
              <w:rPr>
                <w:rFonts w:hint="eastAsia" w:ascii="宋体" w:hAnsi="宋体" w:cs="宋体"/>
                <w:kern w:val="0"/>
                <w:sz w:val="24"/>
                <w:highlight w:val="none"/>
              </w:rPr>
              <w:t>及</w:t>
            </w:r>
            <w:r>
              <w:rPr>
                <w:rFonts w:hint="eastAsia" w:ascii="宋体" w:hAnsi="宋体" w:cs="宋体"/>
                <w:b/>
                <w:bCs/>
                <w:kern w:val="0"/>
                <w:sz w:val="24"/>
                <w:highlight w:val="none"/>
              </w:rPr>
              <w:t>投标人为其缴纳</w:t>
            </w:r>
            <w:r>
              <w:rPr>
                <w:rFonts w:hint="eastAsia" w:ascii="宋体" w:hAnsi="宋体" w:cs="宋体"/>
                <w:kern w:val="0"/>
                <w:sz w:val="24"/>
                <w:highlight w:val="none"/>
              </w:rPr>
              <w:t>近期社保证明原件扫描件并加盖电子签章，否则不得分）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BD8E">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0-6</w:t>
            </w:r>
          </w:p>
        </w:tc>
      </w:tr>
      <w:tr w14:paraId="34E0543E">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12D50ED7">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4</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05C97C6C">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项目理解与</w:t>
            </w:r>
          </w:p>
          <w:p w14:paraId="20EF09CE">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分析</w:t>
            </w:r>
          </w:p>
          <w:p w14:paraId="619053AD">
            <w:pPr>
              <w:widowControl/>
              <w:spacing w:line="0" w:lineRule="atLeast"/>
              <w:jc w:val="center"/>
              <w:textAlignment w:val="center"/>
              <w:rPr>
                <w:rFonts w:ascii="宋体" w:hAnsi="宋体" w:cs="宋体"/>
                <w:b/>
                <w:sz w:val="24"/>
                <w:highlight w:val="none"/>
              </w:rPr>
            </w:pPr>
            <w:r>
              <w:rPr>
                <w:rFonts w:hint="eastAsia" w:ascii="宋体" w:hAnsi="宋体" w:cs="宋体"/>
                <w:b/>
                <w:kern w:val="0"/>
                <w:sz w:val="24"/>
                <w:highlight w:val="none"/>
              </w:rPr>
              <w:t>（5分）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56D81898">
            <w:pPr>
              <w:widowControl/>
              <w:spacing w:line="0" w:lineRule="atLeast"/>
              <w:jc w:val="left"/>
              <w:textAlignment w:val="center"/>
              <w:rPr>
                <w:rFonts w:ascii="宋体" w:hAnsi="宋体" w:cs="宋体"/>
                <w:kern w:val="0"/>
                <w:sz w:val="24"/>
                <w:highlight w:val="none"/>
              </w:rPr>
            </w:pPr>
            <w:r>
              <w:rPr>
                <w:rFonts w:hint="eastAsia" w:ascii="宋体" w:hAnsi="宋体" w:cs="宋体"/>
                <w:kern w:val="0"/>
                <w:sz w:val="24"/>
                <w:highlight w:val="none"/>
              </w:rPr>
              <w:t>供应商对本项目现状及需求的理解情况进行分析：对现状和需求描述全面、准确、针对性强的得4-5分，对现状和需求描述欠全面、准确、针对性欠强的得1-3分，对现状和需求描述片面、不准确、针对性差的得0-1分。未提供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40F4">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0-5</w:t>
            </w:r>
          </w:p>
        </w:tc>
      </w:tr>
      <w:tr w14:paraId="255EE3C1">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5167F67E">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5</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77525062">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销售能力情况</w:t>
            </w:r>
          </w:p>
          <w:p w14:paraId="6487519B">
            <w:pPr>
              <w:widowControl/>
              <w:spacing w:line="0" w:lineRule="atLeast"/>
              <w:jc w:val="center"/>
              <w:textAlignment w:val="center"/>
              <w:rPr>
                <w:rFonts w:ascii="宋体" w:hAnsi="宋体" w:cs="宋体"/>
                <w:b/>
                <w:sz w:val="24"/>
                <w:highlight w:val="none"/>
              </w:rPr>
            </w:pPr>
            <w:r>
              <w:rPr>
                <w:rFonts w:hint="eastAsia" w:ascii="宋体" w:hAnsi="宋体" w:cs="宋体"/>
                <w:b/>
                <w:kern w:val="0"/>
                <w:sz w:val="24"/>
                <w:highlight w:val="none"/>
              </w:rPr>
              <w:t>（8分）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1BA91B89">
            <w:pPr>
              <w:widowControl/>
              <w:spacing w:line="0" w:lineRule="atLeast"/>
              <w:jc w:val="left"/>
              <w:textAlignment w:val="center"/>
              <w:rPr>
                <w:rFonts w:ascii="宋体" w:hAnsi="宋体" w:cs="宋体"/>
                <w:kern w:val="0"/>
                <w:sz w:val="24"/>
                <w:highlight w:val="none"/>
              </w:rPr>
            </w:pPr>
            <w:r>
              <w:rPr>
                <w:rFonts w:hint="eastAsia" w:ascii="宋体" w:hAnsi="宋体" w:cs="宋体"/>
                <w:kern w:val="0"/>
                <w:sz w:val="24"/>
                <w:highlight w:val="none"/>
              </w:rPr>
              <w:t>供应商2023年度猪肉销售量＞5000吨，得8分；</w:t>
            </w:r>
          </w:p>
          <w:p w14:paraId="6DD7824C">
            <w:pPr>
              <w:widowControl/>
              <w:spacing w:line="0" w:lineRule="atLeast"/>
              <w:jc w:val="left"/>
              <w:textAlignment w:val="center"/>
              <w:rPr>
                <w:rFonts w:ascii="宋体" w:hAnsi="宋体" w:cs="宋体"/>
                <w:kern w:val="0"/>
                <w:sz w:val="24"/>
                <w:highlight w:val="none"/>
              </w:rPr>
            </w:pPr>
            <w:r>
              <w:rPr>
                <w:rFonts w:hint="eastAsia" w:ascii="宋体" w:hAnsi="宋体" w:cs="宋体"/>
                <w:kern w:val="0"/>
                <w:sz w:val="24"/>
                <w:highlight w:val="none"/>
              </w:rPr>
              <w:t>3000吨＜销售量≤5000吨，得7-</w:t>
            </w:r>
            <w:r>
              <w:rPr>
                <w:rFonts w:hint="eastAsia" w:ascii="宋体" w:hAnsi="宋体" w:cs="宋体"/>
                <w:kern w:val="0"/>
                <w:sz w:val="24"/>
                <w:highlight w:val="none"/>
                <w:lang w:val="en-US" w:eastAsia="zh-CN"/>
              </w:rPr>
              <w:t>7</w:t>
            </w:r>
            <w:r>
              <w:rPr>
                <w:rFonts w:hint="eastAsia" w:ascii="宋体" w:hAnsi="宋体" w:cs="宋体"/>
                <w:kern w:val="0"/>
                <w:sz w:val="24"/>
                <w:highlight w:val="none"/>
              </w:rPr>
              <w:t>.9分；</w:t>
            </w:r>
          </w:p>
          <w:p w14:paraId="4B047FEF">
            <w:pPr>
              <w:widowControl/>
              <w:spacing w:line="0" w:lineRule="atLeast"/>
              <w:jc w:val="left"/>
              <w:textAlignment w:val="center"/>
              <w:rPr>
                <w:rFonts w:ascii="宋体" w:hAnsi="宋体" w:cs="宋体"/>
                <w:kern w:val="0"/>
                <w:sz w:val="24"/>
                <w:highlight w:val="none"/>
              </w:rPr>
            </w:pPr>
            <w:r>
              <w:rPr>
                <w:rFonts w:hint="eastAsia" w:ascii="宋体" w:hAnsi="宋体" w:cs="宋体"/>
                <w:kern w:val="0"/>
                <w:sz w:val="24"/>
                <w:highlight w:val="none"/>
              </w:rPr>
              <w:t>2000吨＜销售量≤3000吨，得4-6.9分；</w:t>
            </w:r>
          </w:p>
          <w:p w14:paraId="3F3D91E7">
            <w:pPr>
              <w:widowControl/>
              <w:spacing w:line="0" w:lineRule="atLeast"/>
              <w:jc w:val="left"/>
              <w:textAlignment w:val="center"/>
              <w:rPr>
                <w:rFonts w:ascii="宋体" w:hAnsi="宋体" w:cs="宋体"/>
                <w:kern w:val="0"/>
                <w:sz w:val="24"/>
                <w:highlight w:val="none"/>
              </w:rPr>
            </w:pPr>
            <w:r>
              <w:rPr>
                <w:rFonts w:hint="eastAsia" w:ascii="宋体" w:hAnsi="宋体" w:cs="宋体"/>
                <w:kern w:val="0"/>
                <w:sz w:val="24"/>
                <w:highlight w:val="none"/>
              </w:rPr>
              <w:t>1000吨＜销售量≤2000吨，得2-3.9分；</w:t>
            </w:r>
          </w:p>
          <w:p w14:paraId="7B7A1884">
            <w:pPr>
              <w:widowControl/>
              <w:spacing w:line="0" w:lineRule="atLeast"/>
              <w:jc w:val="left"/>
              <w:textAlignment w:val="center"/>
              <w:rPr>
                <w:rFonts w:ascii="宋体" w:hAnsi="宋体" w:cs="宋体"/>
                <w:kern w:val="0"/>
                <w:sz w:val="24"/>
                <w:highlight w:val="none"/>
              </w:rPr>
            </w:pPr>
            <w:r>
              <w:rPr>
                <w:rFonts w:hint="eastAsia" w:ascii="宋体" w:hAnsi="宋体" w:cs="宋体"/>
                <w:kern w:val="0"/>
                <w:sz w:val="24"/>
                <w:highlight w:val="none"/>
              </w:rPr>
              <w:t>600吨＜销售量≤1000吨，得0-1.9分；</w:t>
            </w:r>
          </w:p>
          <w:p w14:paraId="48630FEC">
            <w:pPr>
              <w:widowControl/>
              <w:spacing w:line="0" w:lineRule="atLeast"/>
              <w:jc w:val="left"/>
              <w:textAlignment w:val="center"/>
              <w:rPr>
                <w:rFonts w:ascii="宋体" w:hAnsi="宋体" w:cs="宋体"/>
                <w:kern w:val="0"/>
                <w:sz w:val="24"/>
                <w:highlight w:val="none"/>
              </w:rPr>
            </w:pPr>
            <w:r>
              <w:rPr>
                <w:rFonts w:hint="eastAsia" w:ascii="宋体" w:hAnsi="宋体" w:cs="宋体"/>
                <w:kern w:val="0"/>
                <w:sz w:val="24"/>
                <w:highlight w:val="none"/>
              </w:rPr>
              <w:t>600吨以下不得分；须提供相关依据，否则不得分。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B7FC">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0-8</w:t>
            </w:r>
          </w:p>
        </w:tc>
      </w:tr>
      <w:tr w14:paraId="52843F02">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47290197">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6</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0953C6E6">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企业库容及库存情况</w:t>
            </w:r>
          </w:p>
          <w:p w14:paraId="68A8B415">
            <w:pPr>
              <w:widowControl/>
              <w:spacing w:line="0" w:lineRule="atLeast"/>
              <w:jc w:val="center"/>
              <w:textAlignment w:val="center"/>
              <w:rPr>
                <w:rFonts w:ascii="宋体" w:hAnsi="宋体" w:cs="宋体"/>
                <w:sz w:val="24"/>
                <w:highlight w:val="none"/>
              </w:rPr>
            </w:pPr>
            <w:r>
              <w:rPr>
                <w:rFonts w:hint="eastAsia" w:ascii="宋体" w:hAnsi="宋体" w:cs="宋体"/>
                <w:b/>
                <w:kern w:val="0"/>
                <w:sz w:val="24"/>
                <w:highlight w:val="none"/>
              </w:rPr>
              <w:t>（10分）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7C3B17B4">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1.已储冻猪肉单体库存量≥5000吨，得10分。</w:t>
            </w:r>
          </w:p>
          <w:p w14:paraId="398D0360">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2.4000吨≤单体已储冻猪肉＜5000吨，得8-9.9分。</w:t>
            </w:r>
          </w:p>
          <w:p w14:paraId="5015C8AD">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3.3000吨≤单体已储冻猪肉＜4000吨，得6-7.9分。</w:t>
            </w:r>
          </w:p>
          <w:p w14:paraId="7EF8DDC0">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4.2000吨≤单体已储冻猪肉＜3000吨，得4-5.9分。</w:t>
            </w:r>
          </w:p>
          <w:p w14:paraId="1B952FAF">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5.1000吨≤单体已储冻猪肉＜2000吨，得2-3.9分。</w:t>
            </w:r>
          </w:p>
          <w:p w14:paraId="1D7CC7C7">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6.600吨≤单体已储冻猪肉＜1000吨，得0-1.9分。</w:t>
            </w:r>
          </w:p>
          <w:p w14:paraId="56A8C3F5">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冷库库容量及已储冻猪肉库存由冷库提供相关证明。</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D80A">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0-10</w:t>
            </w:r>
          </w:p>
        </w:tc>
      </w:tr>
      <w:tr w14:paraId="292251FB">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56000BF2">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7</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7CCAA133">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运输保障能力</w:t>
            </w:r>
          </w:p>
          <w:p w14:paraId="3AADAD20">
            <w:pPr>
              <w:widowControl/>
              <w:spacing w:line="0" w:lineRule="atLeast"/>
              <w:jc w:val="center"/>
              <w:textAlignment w:val="center"/>
              <w:rPr>
                <w:rFonts w:ascii="宋体" w:hAnsi="宋体" w:cs="宋体"/>
                <w:sz w:val="24"/>
                <w:highlight w:val="none"/>
              </w:rPr>
            </w:pPr>
            <w:r>
              <w:rPr>
                <w:rFonts w:hint="eastAsia" w:ascii="宋体" w:hAnsi="宋体" w:cs="宋体"/>
                <w:b/>
                <w:kern w:val="0"/>
                <w:sz w:val="24"/>
                <w:highlight w:val="none"/>
              </w:rPr>
              <w:t>（6分）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1FFEF2B3">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（1）各投标供应商自有或租赁冷藏物流车10辆及以上，且单批次运载能力30吨及以上的得6分；</w:t>
            </w:r>
          </w:p>
          <w:p w14:paraId="010DF72D">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（2）自有或租赁冷藏物流车5-9辆，且单批次运载能力20吨及以上的得4-5.9分；</w:t>
            </w:r>
          </w:p>
          <w:p w14:paraId="27728FD9">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（3）自有或租赁冷藏物流车1-4辆，且单批次运载能力10吨及以上的得2-3.9分。</w:t>
            </w:r>
          </w:p>
          <w:p w14:paraId="1F82F73F">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（4）自有或租赁冷藏物流车3辆以下，且单批次运载能力3吨及以上的得0-1.9分。</w:t>
            </w:r>
          </w:p>
          <w:p w14:paraId="094F5F1F">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注：以上评分不重复计算，按能取得的最高得分计算。自有或租赁车辆需提供车辆行驶证原件扫描件；有长期固定的冷藏物流协作单位的需提供相关合同、协议扫描件，行驶证需挂靠物流协作单位，物流协作单位需在最大储存量的冷库库存所在地，没有提供相关依据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CB82">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0-6</w:t>
            </w:r>
          </w:p>
        </w:tc>
      </w:tr>
      <w:tr w14:paraId="13768FF5">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132C3E87">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8</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6AF26132">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项目存储方案</w:t>
            </w:r>
          </w:p>
          <w:p w14:paraId="6BD16119">
            <w:pPr>
              <w:widowControl/>
              <w:spacing w:line="0" w:lineRule="atLeast"/>
              <w:jc w:val="center"/>
              <w:textAlignment w:val="center"/>
              <w:rPr>
                <w:rFonts w:ascii="宋体" w:hAnsi="宋体" w:cs="宋体"/>
                <w:b/>
                <w:sz w:val="24"/>
                <w:highlight w:val="none"/>
              </w:rPr>
            </w:pPr>
            <w:r>
              <w:rPr>
                <w:rFonts w:hint="eastAsia" w:ascii="宋体" w:hAnsi="宋体" w:cs="宋体"/>
                <w:b/>
                <w:kern w:val="0"/>
                <w:sz w:val="24"/>
                <w:highlight w:val="none"/>
              </w:rPr>
              <w:t>（5分)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1EF38DA7">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根据投标人提供的存储方案，包括供存储地点、存储人员监管等，方案内容详实规范得3.1-5分；方案内容比较详实规范得1.1-3分；方案内容一般，简单不规范的，得0-1分；最高可得5分。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9813">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0-5</w:t>
            </w:r>
          </w:p>
        </w:tc>
      </w:tr>
      <w:tr w14:paraId="2A325669">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621374B3">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9</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1660024D">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投放方案</w:t>
            </w:r>
          </w:p>
          <w:p w14:paraId="46EDC873">
            <w:pPr>
              <w:widowControl/>
              <w:spacing w:line="0" w:lineRule="atLeast"/>
              <w:jc w:val="center"/>
              <w:textAlignment w:val="center"/>
              <w:rPr>
                <w:rFonts w:ascii="宋体" w:hAnsi="宋体" w:cs="宋体"/>
                <w:b/>
                <w:sz w:val="24"/>
                <w:highlight w:val="none"/>
              </w:rPr>
            </w:pPr>
            <w:r>
              <w:rPr>
                <w:rFonts w:hint="eastAsia" w:ascii="宋体" w:hAnsi="宋体" w:cs="宋体"/>
                <w:b/>
                <w:kern w:val="0"/>
                <w:sz w:val="24"/>
                <w:highlight w:val="none"/>
              </w:rPr>
              <w:t>（6分）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73492499">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根据投标人针对本项目制定的投放方案（执行投标指令和要求（0-3分），应急投放（0-3分））进行综合评分，最高得6分。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0F9A">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0-6</w:t>
            </w:r>
          </w:p>
        </w:tc>
      </w:tr>
      <w:tr w14:paraId="48E6CB94">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676A928C">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10</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6661F66E">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服务响应时间</w:t>
            </w:r>
          </w:p>
          <w:p w14:paraId="4E7B1BD1">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（3分）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4F4B343C">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服务响应时间（自收到采购人供货通知开始）：投标人承诺</w:t>
            </w:r>
            <w:r>
              <w:rPr>
                <w:rFonts w:hint="eastAsia" w:ascii="宋体" w:hAnsi="宋体" w:cs="宋体"/>
                <w:sz w:val="24"/>
                <w:highlight w:val="none"/>
                <w:lang w:val="en-US" w:eastAsia="zh-CN"/>
              </w:rPr>
              <w:t>1</w:t>
            </w:r>
            <w:r>
              <w:rPr>
                <w:rFonts w:hint="eastAsia" w:ascii="宋体" w:hAnsi="宋体" w:cs="宋体"/>
                <w:sz w:val="24"/>
                <w:highlight w:val="none"/>
              </w:rPr>
              <w:t>2小时（含）以内送货到指定地点的得3分；</w:t>
            </w:r>
            <w:r>
              <w:rPr>
                <w:rFonts w:hint="eastAsia" w:ascii="宋体" w:hAnsi="宋体" w:cs="宋体"/>
                <w:sz w:val="24"/>
                <w:highlight w:val="none"/>
                <w:lang w:val="en-US" w:eastAsia="zh-CN"/>
              </w:rPr>
              <w:t>15</w:t>
            </w:r>
            <w:r>
              <w:rPr>
                <w:rFonts w:hint="eastAsia" w:ascii="宋体" w:hAnsi="宋体" w:cs="宋体"/>
                <w:sz w:val="24"/>
                <w:highlight w:val="none"/>
              </w:rPr>
              <w:t>小时（含）以内的得2分；</w:t>
            </w:r>
            <w:r>
              <w:rPr>
                <w:rFonts w:hint="eastAsia" w:ascii="宋体" w:hAnsi="宋体" w:cs="宋体"/>
                <w:sz w:val="24"/>
                <w:highlight w:val="none"/>
                <w:lang w:val="en-US" w:eastAsia="zh-CN"/>
              </w:rPr>
              <w:t>2</w:t>
            </w:r>
            <w:r>
              <w:rPr>
                <w:rFonts w:hint="eastAsia" w:ascii="宋体" w:hAnsi="宋体" w:cs="宋体"/>
                <w:sz w:val="24"/>
                <w:highlight w:val="none"/>
              </w:rPr>
              <w:t>4小时（含）以内的得1分；本项最高可得3分。提供承若函并盖章。</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047E">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0-3</w:t>
            </w:r>
          </w:p>
        </w:tc>
      </w:tr>
      <w:tr w14:paraId="16EB5DEF">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48F6813C">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11</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0A7925B1">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质量保证措施（5分）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3FE640DC">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根据投标人针对本项目收储产品检验检疫、质量保证以及确保储备量的保障措施。质量保障措施内容贴合本项目实际，操作性强，针对性强，得4-5分；措施内容有可操作性、针对性较强，得3-3.9；措施内容有一定的操作性、针对性欠佳，得2-2.9分；措施内容操作性较差、针对性弱，得1-1.9分；措施内容安排不合理、无针对性，得0-0.9分。最高可得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F6DC">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0-5</w:t>
            </w:r>
          </w:p>
        </w:tc>
      </w:tr>
      <w:tr w14:paraId="29DD17FB">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12100A9F">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12</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474B5954">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应急预案</w:t>
            </w:r>
          </w:p>
          <w:p w14:paraId="6BC601F7">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（5分）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5DCC0787">
            <w:pPr>
              <w:widowControl/>
              <w:spacing w:line="0" w:lineRule="atLeast"/>
              <w:jc w:val="left"/>
              <w:textAlignment w:val="center"/>
              <w:rPr>
                <w:rFonts w:ascii="宋体" w:hAnsi="宋体" w:cs="宋体"/>
                <w:kern w:val="0"/>
                <w:sz w:val="24"/>
                <w:highlight w:val="none"/>
              </w:rPr>
            </w:pPr>
            <w:r>
              <w:rPr>
                <w:rFonts w:hint="eastAsia" w:ascii="宋体" w:hAnsi="宋体" w:cs="宋体"/>
                <w:kern w:val="0"/>
                <w:sz w:val="24"/>
                <w:highlight w:val="none"/>
              </w:rPr>
              <w:t>应急保障措施（自然灾害、突发事件应急处理保障的人员配备、应急处置方案，等内容）。根据方案覆盖全面性 、合理性 、可操作性强得4-5分；覆盖较全面性、较合理性 、可操作性较强得3-3.9分；方案覆盖不够全面性 、合理性 、可操作性不强得1-1.9分；方案粗糙、可操作性差的，得0-0.9分；最高可得5分。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FD95">
            <w:pPr>
              <w:widowControl/>
              <w:spacing w:line="0" w:lineRule="atLeast"/>
              <w:jc w:val="center"/>
              <w:textAlignment w:val="center"/>
              <w:rPr>
                <w:rFonts w:ascii="宋体" w:hAnsi="宋体" w:cs="宋体"/>
                <w:sz w:val="24"/>
                <w:highlight w:val="none"/>
              </w:rPr>
            </w:pPr>
            <w:r>
              <w:rPr>
                <w:rFonts w:hint="eastAsia" w:ascii="宋体" w:hAnsi="宋体" w:cs="宋体"/>
                <w:sz w:val="24"/>
                <w:highlight w:val="none"/>
              </w:rPr>
              <w:t>0-5</w:t>
            </w:r>
          </w:p>
        </w:tc>
      </w:tr>
      <w:tr w14:paraId="3A0228A0">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7CBAB3ED">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13</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1AF48633">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管理制度</w:t>
            </w:r>
          </w:p>
          <w:p w14:paraId="0DDCC172">
            <w:pPr>
              <w:widowControl/>
              <w:spacing w:line="0" w:lineRule="atLeast"/>
              <w:jc w:val="center"/>
              <w:textAlignment w:val="center"/>
              <w:rPr>
                <w:rFonts w:ascii="宋体" w:hAnsi="宋体" w:cs="宋体"/>
                <w:b/>
                <w:sz w:val="24"/>
                <w:highlight w:val="none"/>
              </w:rPr>
            </w:pPr>
            <w:r>
              <w:rPr>
                <w:rFonts w:hint="eastAsia" w:ascii="宋体" w:hAnsi="宋体" w:cs="宋体"/>
                <w:b/>
                <w:kern w:val="0"/>
                <w:sz w:val="24"/>
                <w:highlight w:val="none"/>
              </w:rPr>
              <w:t>（5分）</w:t>
            </w:r>
          </w:p>
        </w:tc>
        <w:tc>
          <w:tcPr>
            <w:tcW w:w="5440" w:type="dxa"/>
            <w:tcBorders>
              <w:top w:val="single" w:color="000000" w:sz="4" w:space="0"/>
              <w:left w:val="single" w:color="auto" w:sz="4" w:space="0"/>
              <w:bottom w:val="single" w:color="000000" w:sz="4" w:space="0"/>
              <w:right w:val="single" w:color="000000" w:sz="4" w:space="0"/>
            </w:tcBorders>
            <w:shd w:val="clear" w:color="auto" w:fill="auto"/>
            <w:vAlign w:val="center"/>
          </w:tcPr>
          <w:p w14:paraId="7FE64C52">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建立冷库岗位责任制，冷库卫生管理规范，冷库货物出入管理规范的由专家进行综合评分：内容详实规范得4-5；内容比较详实规范得2-3.9分；内容一般得0-1.9分；最高得5分。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2501">
            <w:pPr>
              <w:widowControl/>
              <w:spacing w:line="0" w:lineRule="atLeast"/>
              <w:jc w:val="center"/>
              <w:textAlignment w:val="center"/>
              <w:rPr>
                <w:rFonts w:ascii="宋体" w:hAnsi="宋体" w:cs="宋体"/>
                <w:sz w:val="24"/>
                <w:highlight w:val="none"/>
              </w:rPr>
            </w:pPr>
            <w:r>
              <w:rPr>
                <w:rFonts w:hint="eastAsia" w:ascii="宋体" w:hAnsi="宋体" w:cs="宋体"/>
                <w:kern w:val="0"/>
                <w:sz w:val="24"/>
                <w:highlight w:val="none"/>
              </w:rPr>
              <w:t>0-5</w:t>
            </w:r>
          </w:p>
        </w:tc>
      </w:tr>
      <w:tr w14:paraId="40E51CCD">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000000" w:sz="4" w:space="0"/>
              <w:bottom w:val="single" w:color="000000" w:sz="4" w:space="0"/>
              <w:right w:val="single" w:color="000000" w:sz="4" w:space="0"/>
            </w:tcBorders>
            <w:shd w:val="clear" w:color="auto" w:fill="auto"/>
            <w:vAlign w:val="center"/>
          </w:tcPr>
          <w:p w14:paraId="6B7624A3">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14</w:t>
            </w:r>
          </w:p>
        </w:tc>
        <w:tc>
          <w:tcPr>
            <w:tcW w:w="1748" w:type="dxa"/>
            <w:tcBorders>
              <w:top w:val="single" w:color="auto" w:sz="4" w:space="0"/>
              <w:left w:val="single" w:color="000000" w:sz="4" w:space="0"/>
              <w:bottom w:val="single" w:color="000000" w:sz="4" w:space="0"/>
              <w:right w:val="single" w:color="000000" w:sz="4" w:space="0"/>
            </w:tcBorders>
            <w:shd w:val="clear" w:color="auto" w:fill="auto"/>
            <w:vAlign w:val="center"/>
          </w:tcPr>
          <w:p w14:paraId="62B1099A">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储备保证</w:t>
            </w:r>
          </w:p>
          <w:p w14:paraId="4C2EE8FE">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（2分）</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A48A">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投标人应确保本次衢州市冻猪肉储备不得被重复使用于其他地区（市、县（区））市级的冻猪肉储备，需提供承诺函，并盖章，否则不得分，最高得2分。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1F42">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0-2</w:t>
            </w:r>
          </w:p>
        </w:tc>
      </w:tr>
      <w:tr w14:paraId="7A0EB202">
        <w:tblPrEx>
          <w:tblCellMar>
            <w:top w:w="0" w:type="dxa"/>
            <w:left w:w="108" w:type="dxa"/>
            <w:bottom w:w="0" w:type="dxa"/>
            <w:right w:w="108" w:type="dxa"/>
          </w:tblCellMar>
        </w:tblPrEx>
        <w:trPr>
          <w:trHeight w:val="2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733B">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15</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085D">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投标人承诺</w:t>
            </w:r>
          </w:p>
          <w:p w14:paraId="5606EF8B">
            <w:pPr>
              <w:widowControl/>
              <w:spacing w:line="0" w:lineRule="atLeast"/>
              <w:jc w:val="center"/>
              <w:textAlignment w:val="center"/>
              <w:rPr>
                <w:rFonts w:ascii="宋体" w:hAnsi="宋体" w:cs="宋体"/>
                <w:b/>
                <w:kern w:val="0"/>
                <w:sz w:val="24"/>
                <w:highlight w:val="none"/>
              </w:rPr>
            </w:pPr>
            <w:r>
              <w:rPr>
                <w:rFonts w:hint="eastAsia" w:ascii="宋体" w:hAnsi="宋体" w:cs="宋体"/>
                <w:b/>
                <w:kern w:val="0"/>
                <w:sz w:val="24"/>
                <w:highlight w:val="none"/>
              </w:rPr>
              <w:t>（5分）</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3100">
            <w:pPr>
              <w:widowControl/>
              <w:spacing w:line="0" w:lineRule="atLeast"/>
              <w:jc w:val="left"/>
              <w:textAlignment w:val="center"/>
              <w:rPr>
                <w:rFonts w:ascii="宋体" w:hAnsi="宋体" w:cs="宋体"/>
                <w:sz w:val="24"/>
                <w:highlight w:val="none"/>
              </w:rPr>
            </w:pPr>
            <w:r>
              <w:rPr>
                <w:rFonts w:hint="eastAsia" w:ascii="宋体" w:hAnsi="宋体" w:cs="宋体"/>
                <w:sz w:val="24"/>
                <w:highlight w:val="none"/>
              </w:rPr>
              <w:t>在采购人随机检查时，除采购人事先同意情况外储备数量达不到70%的每次扣除违约金10000元的得3分；在10000元基础上，承诺每增加违约金2000元加0.5分。最高得5分。（提供承若函并加盖电子签章，否则不得分）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9382">
            <w:pPr>
              <w:widowControl/>
              <w:spacing w:line="0" w:lineRule="atLeast"/>
              <w:jc w:val="center"/>
              <w:textAlignment w:val="center"/>
              <w:rPr>
                <w:rFonts w:ascii="宋体" w:hAnsi="宋体" w:cs="宋体"/>
                <w:kern w:val="0"/>
                <w:sz w:val="24"/>
                <w:highlight w:val="none"/>
              </w:rPr>
            </w:pPr>
            <w:r>
              <w:rPr>
                <w:rFonts w:hint="eastAsia" w:ascii="宋体" w:hAnsi="宋体" w:cs="宋体"/>
                <w:kern w:val="0"/>
                <w:sz w:val="24"/>
                <w:highlight w:val="none"/>
              </w:rPr>
              <w:t>0-5</w:t>
            </w:r>
          </w:p>
        </w:tc>
      </w:tr>
    </w:tbl>
    <w:p w14:paraId="5FCAFA16">
      <w:pPr>
        <w:spacing w:line="0" w:lineRule="atLeast"/>
        <w:ind w:firstLine="482" w:firstLineChars="200"/>
        <w:jc w:val="left"/>
        <w:rPr>
          <w:rFonts w:ascii="宋体" w:hAnsi="宋体"/>
          <w:b/>
          <w:bCs/>
          <w:sz w:val="24"/>
        </w:rPr>
      </w:pPr>
      <w:r>
        <w:rPr>
          <w:rFonts w:ascii="宋体" w:hAnsi="宋体"/>
          <w:b/>
          <w:bCs/>
          <w:sz w:val="24"/>
        </w:rPr>
        <w:t>注：上述评分表中所涉及到的所有证书、合同及相关证明材料，必须真实可信，所有证书及证明材料</w:t>
      </w:r>
      <w:r>
        <w:rPr>
          <w:rFonts w:hint="eastAsia" w:ascii="宋体" w:hAnsi="宋体"/>
          <w:b/>
          <w:bCs/>
          <w:sz w:val="24"/>
        </w:rPr>
        <w:t>原件扫描件</w:t>
      </w:r>
      <w:r>
        <w:rPr>
          <w:rFonts w:ascii="宋体" w:hAnsi="宋体"/>
          <w:b/>
          <w:bCs/>
          <w:sz w:val="24"/>
        </w:rPr>
        <w:t>附入投标文件并加盖公章，未按要求提供的不得分。</w:t>
      </w:r>
      <w:r>
        <w:rPr>
          <w:rFonts w:hint="eastAsia" w:ascii="宋体" w:hAnsi="宋体"/>
          <w:b/>
          <w:sz w:val="24"/>
        </w:rPr>
        <w:t>评标委员会</w:t>
      </w:r>
      <w:r>
        <w:rPr>
          <w:rFonts w:ascii="宋体" w:hAnsi="宋体"/>
          <w:b/>
          <w:sz w:val="24"/>
        </w:rPr>
        <w:t>根据评分因素表，对各有效投标人的</w:t>
      </w:r>
      <w:r>
        <w:rPr>
          <w:rFonts w:hint="eastAsia" w:ascii="宋体" w:hAnsi="宋体"/>
          <w:b/>
          <w:sz w:val="24"/>
        </w:rPr>
        <w:t>商务</w:t>
      </w:r>
      <w:r>
        <w:rPr>
          <w:rFonts w:ascii="宋体" w:hAnsi="宋体"/>
          <w:b/>
          <w:sz w:val="24"/>
        </w:rPr>
        <w:t>技术部分进行</w:t>
      </w:r>
      <w:r>
        <w:rPr>
          <w:rFonts w:hint="eastAsia" w:ascii="宋体" w:hAnsi="宋体"/>
          <w:b/>
          <w:sz w:val="24"/>
          <w:lang w:val="zh-CN"/>
        </w:rPr>
        <w:t>审核后，由各专家独立打分，打分时保留小数1位。</w:t>
      </w:r>
    </w:p>
    <w:p w14:paraId="51394F86">
      <w:pPr>
        <w:spacing w:line="400" w:lineRule="atLeast"/>
        <w:ind w:firstLine="482" w:firstLineChars="200"/>
        <w:rPr>
          <w:rFonts w:ascii="宋体" w:hAnsi="宋体"/>
          <w:b/>
          <w:bCs/>
          <w:sz w:val="24"/>
        </w:rPr>
      </w:pPr>
      <w:r>
        <w:rPr>
          <w:rFonts w:ascii="宋体" w:hAnsi="宋体"/>
          <w:b/>
          <w:bCs/>
          <w:sz w:val="24"/>
        </w:rPr>
        <w:t>2.报价文件评审（</w:t>
      </w:r>
      <w:r>
        <w:rPr>
          <w:rFonts w:hint="eastAsia" w:ascii="宋体" w:hAnsi="宋体"/>
          <w:b/>
          <w:bCs/>
          <w:sz w:val="24"/>
        </w:rPr>
        <w:t>20</w:t>
      </w:r>
      <w:r>
        <w:rPr>
          <w:rFonts w:ascii="宋体" w:hAnsi="宋体"/>
          <w:b/>
          <w:bCs/>
          <w:sz w:val="24"/>
        </w:rPr>
        <w:t>分）</w:t>
      </w:r>
    </w:p>
    <w:p w14:paraId="18F08AE0">
      <w:pPr>
        <w:spacing w:line="400" w:lineRule="atLeast"/>
        <w:ind w:firstLine="480" w:firstLineChars="200"/>
        <w:rPr>
          <w:rFonts w:ascii="宋体" w:hAnsi="宋体"/>
          <w:sz w:val="24"/>
          <w:lang w:val="zh-CN"/>
        </w:rPr>
      </w:pPr>
      <w:bookmarkStart w:id="169" w:name="_Toc34919377"/>
      <w:bookmarkStart w:id="170" w:name="_Toc33098503"/>
      <w:bookmarkStart w:id="171" w:name="_Toc519014256"/>
      <w:bookmarkStart w:id="172" w:name="_Toc509167622"/>
      <w:bookmarkStart w:id="173" w:name="_Toc34898351"/>
      <w:bookmarkStart w:id="174" w:name="_Toc16331575"/>
      <w:bookmarkStart w:id="175" w:name="_Toc16331721"/>
      <w:bookmarkStart w:id="176" w:name="_Toc514354870"/>
      <w:bookmarkStart w:id="177" w:name="_Toc509167734"/>
      <w:bookmarkStart w:id="178" w:name="_Toc34830414"/>
      <w:r>
        <w:rPr>
          <w:rFonts w:hint="eastAsia" w:ascii="宋体" w:hAnsi="宋体"/>
          <w:sz w:val="24"/>
          <w:lang w:val="zh-CN"/>
        </w:rPr>
        <w:t>2.1甄别异常报价：有下列情况之一的投标报价不进入评标价计算环节：</w:t>
      </w:r>
    </w:p>
    <w:p w14:paraId="32293095">
      <w:pPr>
        <w:spacing w:line="400" w:lineRule="atLeast"/>
        <w:ind w:firstLine="480" w:firstLineChars="200"/>
        <w:rPr>
          <w:rFonts w:ascii="宋体" w:hAnsi="宋体"/>
          <w:sz w:val="24"/>
          <w:lang w:val="zh-CN"/>
        </w:rPr>
      </w:pPr>
      <w:r>
        <w:rPr>
          <w:rFonts w:hint="eastAsia" w:ascii="宋体" w:hAnsi="宋体"/>
          <w:sz w:val="24"/>
          <w:lang w:val="zh-CN"/>
        </w:rPr>
        <w:t>2.1.1报价高于预算价；</w:t>
      </w:r>
    </w:p>
    <w:p w14:paraId="09DF618C">
      <w:pPr>
        <w:spacing w:line="400" w:lineRule="atLeast"/>
        <w:ind w:firstLine="480" w:firstLineChars="200"/>
        <w:rPr>
          <w:rFonts w:ascii="宋体" w:hAnsi="宋体"/>
          <w:sz w:val="24"/>
          <w:lang w:val="zh-CN"/>
        </w:rPr>
      </w:pPr>
      <w:r>
        <w:rPr>
          <w:rFonts w:hint="eastAsia" w:ascii="宋体" w:hAnsi="宋体"/>
          <w:sz w:val="24"/>
          <w:lang w:val="zh-CN"/>
        </w:rPr>
        <w:t>2.1.2根据中华人民共和国财政部令第87号《政府采购货物和服务招标投标管理办法》第六十条规定：根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3D5E5F">
      <w:pPr>
        <w:spacing w:line="400" w:lineRule="atLeast"/>
        <w:ind w:firstLine="480" w:firstLineChars="200"/>
        <w:rPr>
          <w:rFonts w:ascii="宋体" w:hAnsi="宋体"/>
          <w:sz w:val="24"/>
          <w:lang w:val="zh-CN"/>
        </w:rPr>
      </w:pPr>
      <w:r>
        <w:rPr>
          <w:rFonts w:hint="eastAsia" w:ascii="宋体" w:hAnsi="宋体"/>
          <w:sz w:val="24"/>
          <w:lang w:val="zh-CN"/>
        </w:rPr>
        <w:t>因此，本评标委员会在要求投标人进行书面说明时，必须要求投标人承诺保质保量按时完成项目，若拒绝提供书面说明及承诺的则将作为无效投标处理。</w:t>
      </w:r>
    </w:p>
    <w:p w14:paraId="198E6157">
      <w:pPr>
        <w:spacing w:line="400" w:lineRule="atLeast"/>
        <w:ind w:firstLine="480" w:firstLineChars="200"/>
        <w:rPr>
          <w:rFonts w:ascii="宋体" w:hAnsi="宋体"/>
          <w:sz w:val="24"/>
          <w:lang w:val="zh-CN"/>
        </w:rPr>
      </w:pPr>
      <w:r>
        <w:rPr>
          <w:rFonts w:hint="eastAsia" w:ascii="宋体" w:hAnsi="宋体"/>
          <w:sz w:val="24"/>
          <w:lang w:val="zh-CN"/>
        </w:rPr>
        <w:t>2.2评定评标基准价。取所有有效投标报价中的最低报价为评标基准价。</w:t>
      </w:r>
    </w:p>
    <w:p w14:paraId="02CF0EFD">
      <w:pPr>
        <w:spacing w:line="400" w:lineRule="atLeast"/>
        <w:ind w:firstLine="480" w:firstLineChars="200"/>
        <w:rPr>
          <w:rFonts w:ascii="宋体" w:hAnsi="宋体"/>
          <w:sz w:val="24"/>
          <w:lang w:val="zh-CN"/>
        </w:rPr>
      </w:pPr>
      <w:r>
        <w:rPr>
          <w:rFonts w:hint="eastAsia" w:ascii="宋体" w:hAnsi="宋体"/>
          <w:sz w:val="24"/>
          <w:lang w:val="zh-CN"/>
        </w:rPr>
        <w:t>3.报价得分计算。</w:t>
      </w:r>
    </w:p>
    <w:p w14:paraId="1F5496F1">
      <w:pPr>
        <w:spacing w:line="400" w:lineRule="atLeast"/>
        <w:ind w:firstLine="480" w:firstLineChars="200"/>
        <w:rPr>
          <w:rFonts w:ascii="宋体" w:hAnsi="宋体"/>
          <w:sz w:val="24"/>
          <w:lang w:val="zh-CN"/>
        </w:rPr>
      </w:pPr>
      <w:bookmarkStart w:id="179" w:name="_Toc514354869"/>
      <w:bookmarkStart w:id="180" w:name="_Toc519014255"/>
      <w:bookmarkStart w:id="181" w:name="_Toc509167733"/>
      <w:r>
        <w:rPr>
          <w:rFonts w:hint="eastAsia" w:ascii="宋体" w:hAnsi="宋体"/>
          <w:sz w:val="24"/>
          <w:lang w:val="zh-CN"/>
        </w:rPr>
        <w:t>报价得分=（评标基准价/投标报价）×</w:t>
      </w:r>
      <w:r>
        <w:rPr>
          <w:rFonts w:hint="eastAsia" w:ascii="宋体" w:hAnsi="宋体"/>
          <w:sz w:val="24"/>
        </w:rPr>
        <w:t>20</w:t>
      </w:r>
      <w:r>
        <w:rPr>
          <w:rFonts w:hint="eastAsia" w:ascii="宋体" w:hAnsi="宋体"/>
          <w:sz w:val="24"/>
          <w:lang w:val="zh-CN"/>
        </w:rPr>
        <w:t>，保留小数2位。</w:t>
      </w:r>
    </w:p>
    <w:bookmarkEnd w:id="179"/>
    <w:bookmarkEnd w:id="180"/>
    <w:bookmarkEnd w:id="181"/>
    <w:p w14:paraId="5311A992">
      <w:pPr>
        <w:spacing w:line="400" w:lineRule="atLeast"/>
        <w:ind w:firstLine="482" w:firstLineChars="200"/>
        <w:rPr>
          <w:rFonts w:ascii="宋体" w:hAnsi="宋体"/>
          <w:b/>
          <w:sz w:val="24"/>
        </w:rPr>
      </w:pPr>
      <w:r>
        <w:rPr>
          <w:rFonts w:hint="eastAsia" w:ascii="宋体" w:hAnsi="宋体"/>
          <w:b/>
          <w:sz w:val="24"/>
        </w:rPr>
        <w:t>六、重新评审</w:t>
      </w:r>
    </w:p>
    <w:p w14:paraId="2D8789DF">
      <w:pPr>
        <w:spacing w:line="400" w:lineRule="atLeast"/>
        <w:ind w:firstLine="482" w:firstLineChars="200"/>
        <w:rPr>
          <w:rFonts w:ascii="宋体" w:hAnsi="宋体"/>
          <w:b/>
          <w:sz w:val="24"/>
        </w:rPr>
      </w:pPr>
      <w:r>
        <w:rPr>
          <w:rFonts w:hint="eastAsia" w:ascii="宋体" w:hAnsi="宋体"/>
          <w:b/>
          <w:sz w:val="24"/>
        </w:rPr>
        <w:t>评审结果形成后，除下列情形外，任何人不得重新评审：</w:t>
      </w:r>
    </w:p>
    <w:p w14:paraId="18675997">
      <w:pPr>
        <w:spacing w:line="400" w:lineRule="atLeast"/>
        <w:ind w:firstLine="482" w:firstLineChars="200"/>
        <w:rPr>
          <w:rFonts w:ascii="宋体" w:hAnsi="宋体"/>
          <w:b/>
          <w:sz w:val="24"/>
        </w:rPr>
      </w:pPr>
      <w:r>
        <w:rPr>
          <w:rFonts w:hint="eastAsia" w:ascii="宋体" w:hAnsi="宋体"/>
          <w:b/>
          <w:sz w:val="24"/>
        </w:rPr>
        <w:t>（一）分值汇总计算错误的；</w:t>
      </w:r>
    </w:p>
    <w:p w14:paraId="2DE66475">
      <w:pPr>
        <w:spacing w:line="400" w:lineRule="atLeast"/>
        <w:ind w:firstLine="482" w:firstLineChars="200"/>
        <w:rPr>
          <w:rFonts w:ascii="宋体" w:hAnsi="宋体"/>
          <w:b/>
          <w:sz w:val="24"/>
        </w:rPr>
      </w:pPr>
      <w:r>
        <w:rPr>
          <w:rFonts w:hint="eastAsia" w:ascii="宋体" w:hAnsi="宋体"/>
          <w:b/>
          <w:sz w:val="24"/>
        </w:rPr>
        <w:t>（二）分项评分超出评分标准范围的；</w:t>
      </w:r>
    </w:p>
    <w:p w14:paraId="2B66CD30">
      <w:pPr>
        <w:spacing w:line="400" w:lineRule="atLeast"/>
        <w:ind w:firstLine="482" w:firstLineChars="200"/>
        <w:rPr>
          <w:rFonts w:ascii="宋体" w:hAnsi="宋体"/>
          <w:b/>
          <w:sz w:val="24"/>
        </w:rPr>
      </w:pPr>
      <w:r>
        <w:rPr>
          <w:rFonts w:hint="eastAsia" w:ascii="宋体" w:hAnsi="宋体"/>
          <w:b/>
          <w:sz w:val="24"/>
        </w:rPr>
        <w:t>（三）评标委员会成员对客观评审因素评分不一致的；</w:t>
      </w:r>
    </w:p>
    <w:p w14:paraId="529086E5">
      <w:pPr>
        <w:spacing w:line="400" w:lineRule="atLeast"/>
        <w:ind w:firstLine="482" w:firstLineChars="200"/>
        <w:rPr>
          <w:rFonts w:ascii="宋体" w:hAnsi="宋体"/>
          <w:b/>
          <w:sz w:val="24"/>
        </w:rPr>
      </w:pPr>
      <w:r>
        <w:rPr>
          <w:rFonts w:hint="eastAsia" w:ascii="宋体" w:hAnsi="宋体"/>
          <w:b/>
          <w:sz w:val="24"/>
        </w:rPr>
        <w:t>（四）经评标委员会认定评分畸高、畸低的。</w:t>
      </w:r>
    </w:p>
    <w:p w14:paraId="1BB3C5E1">
      <w:pPr>
        <w:spacing w:line="400" w:lineRule="atLeast"/>
        <w:ind w:firstLine="482" w:firstLineChars="200"/>
        <w:rPr>
          <w:rFonts w:ascii="宋体" w:hAnsi="宋体"/>
          <w:b/>
          <w:sz w:val="24"/>
        </w:rPr>
      </w:pPr>
      <w:r>
        <w:rPr>
          <w:rFonts w:hint="eastAsia" w:ascii="宋体" w:hAnsi="宋体"/>
          <w:b/>
          <w:sz w:val="24"/>
        </w:rPr>
        <w:t>七</w:t>
      </w:r>
      <w:r>
        <w:rPr>
          <w:rFonts w:ascii="宋体" w:hAnsi="宋体"/>
          <w:b/>
          <w:sz w:val="24"/>
        </w:rPr>
        <w:t>、计算总分（满分为100分）</w:t>
      </w:r>
    </w:p>
    <w:p w14:paraId="7BCB3228">
      <w:pPr>
        <w:spacing w:line="400" w:lineRule="atLeast"/>
        <w:ind w:firstLine="480" w:firstLineChars="200"/>
        <w:rPr>
          <w:rFonts w:ascii="宋体" w:hAnsi="宋体"/>
          <w:sz w:val="24"/>
        </w:rPr>
      </w:pPr>
      <w:r>
        <w:rPr>
          <w:rFonts w:ascii="宋体" w:hAnsi="宋体"/>
          <w:sz w:val="24"/>
        </w:rPr>
        <w:t>计算方法：投标人总分=商务技术得分+报价得分。</w:t>
      </w:r>
    </w:p>
    <w:p w14:paraId="6D16C4A1">
      <w:pPr>
        <w:spacing w:line="400" w:lineRule="atLeast"/>
        <w:ind w:firstLine="482" w:firstLineChars="200"/>
        <w:rPr>
          <w:rFonts w:ascii="宋体" w:hAnsi="宋体"/>
          <w:b/>
          <w:sz w:val="24"/>
        </w:rPr>
      </w:pPr>
      <w:r>
        <w:rPr>
          <w:rFonts w:hint="eastAsia" w:ascii="宋体" w:hAnsi="宋体"/>
          <w:b/>
          <w:sz w:val="24"/>
        </w:rPr>
        <w:t>八</w:t>
      </w:r>
      <w:r>
        <w:rPr>
          <w:rFonts w:ascii="宋体" w:hAnsi="宋体"/>
          <w:b/>
          <w:sz w:val="24"/>
        </w:rPr>
        <w:t>、定标办法</w:t>
      </w:r>
      <w:bookmarkEnd w:id="169"/>
      <w:bookmarkEnd w:id="170"/>
      <w:bookmarkEnd w:id="171"/>
      <w:bookmarkEnd w:id="172"/>
      <w:bookmarkEnd w:id="173"/>
      <w:bookmarkEnd w:id="174"/>
      <w:bookmarkEnd w:id="175"/>
      <w:bookmarkEnd w:id="176"/>
      <w:bookmarkEnd w:id="177"/>
      <w:bookmarkEnd w:id="178"/>
    </w:p>
    <w:p w14:paraId="64C46A51">
      <w:pPr>
        <w:tabs>
          <w:tab w:val="left" w:pos="3870"/>
          <w:tab w:val="left" w:pos="4085"/>
        </w:tabs>
        <w:spacing w:line="400" w:lineRule="atLeast"/>
        <w:ind w:firstLine="480" w:firstLineChars="200"/>
        <w:jc w:val="left"/>
        <w:rPr>
          <w:rFonts w:ascii="宋体" w:hAnsi="宋体"/>
          <w:sz w:val="24"/>
        </w:rPr>
      </w:pPr>
      <w:bookmarkStart w:id="182" w:name="_Toc25708"/>
      <w:bookmarkStart w:id="183" w:name="_Toc499500746"/>
      <w:bookmarkStart w:id="184" w:name="_Toc509068027"/>
      <w:bookmarkStart w:id="185" w:name="_Toc519014257"/>
      <w:bookmarkStart w:id="186" w:name="_Toc514319712"/>
      <w:bookmarkStart w:id="187" w:name="_Toc509167735"/>
      <w:bookmarkStart w:id="188" w:name="_Toc16331576"/>
      <w:bookmarkStart w:id="189" w:name="_Toc498157525"/>
      <w:bookmarkStart w:id="190" w:name="_Toc5343"/>
      <w:bookmarkStart w:id="191" w:name="_Toc34919378"/>
      <w:bookmarkStart w:id="192" w:name="_Toc509167623"/>
      <w:bookmarkStart w:id="193" w:name="_Toc16331722"/>
      <w:bookmarkStart w:id="194" w:name="_Toc34830415"/>
      <w:bookmarkStart w:id="195" w:name="_Toc33098504"/>
      <w:bookmarkStart w:id="196" w:name="_Toc498190395"/>
      <w:bookmarkStart w:id="197" w:name="_Toc34898352"/>
      <w:bookmarkStart w:id="198" w:name="_Toc514354871"/>
      <w:r>
        <w:rPr>
          <w:rFonts w:ascii="宋体" w:hAnsi="宋体"/>
          <w:sz w:val="24"/>
        </w:rPr>
        <w:t>1.采购人根据评标委员会的书面评审报告和推荐的中标候选人直接委托评标委员会确定中标</w:t>
      </w:r>
      <w:r>
        <w:rPr>
          <w:rFonts w:hint="eastAsia" w:ascii="宋体" w:hAnsi="宋体"/>
          <w:sz w:val="24"/>
        </w:rPr>
        <w:t>候选人</w:t>
      </w:r>
      <w:r>
        <w:rPr>
          <w:rFonts w:ascii="宋体" w:hAnsi="宋体"/>
          <w:sz w:val="24"/>
        </w:rPr>
        <w: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510C6261">
      <w:pPr>
        <w:spacing w:line="400" w:lineRule="atLeast"/>
        <w:ind w:firstLine="480" w:firstLineChars="200"/>
        <w:rPr>
          <w:rFonts w:ascii="宋体" w:hAnsi="宋体"/>
          <w:sz w:val="24"/>
        </w:rPr>
      </w:pPr>
      <w:bookmarkStart w:id="199" w:name="_Toc34919379"/>
      <w:bookmarkStart w:id="200" w:name="_Toc33098505"/>
      <w:bookmarkStart w:id="201" w:name="_Toc34830416"/>
      <w:bookmarkStart w:id="202" w:name="_Toc34898353"/>
      <w:bookmarkStart w:id="203" w:name="_Toc498190396"/>
      <w:bookmarkStart w:id="204" w:name="_Toc498157526"/>
      <w:bookmarkStart w:id="205" w:name="_Toc499500747"/>
      <w:bookmarkStart w:id="206" w:name="_Toc519014258"/>
      <w:bookmarkStart w:id="207" w:name="_Toc509068028"/>
      <w:bookmarkStart w:id="208" w:name="_Toc509167624"/>
      <w:bookmarkStart w:id="209" w:name="_Toc22537"/>
      <w:bookmarkStart w:id="210" w:name="_Toc514354872"/>
      <w:bookmarkStart w:id="211" w:name="_Toc16331577"/>
      <w:bookmarkStart w:id="212" w:name="_Toc16331723"/>
      <w:bookmarkStart w:id="213" w:name="_Toc28598"/>
      <w:bookmarkStart w:id="214" w:name="_Toc509167736"/>
      <w:bookmarkStart w:id="215" w:name="_Toc514319713"/>
      <w:r>
        <w:rPr>
          <w:rFonts w:ascii="宋体" w:hAnsi="宋体"/>
          <w:sz w:val="24"/>
        </w:rPr>
        <w:t>2.评标委员会依据法律、法规及采购文件有关规定在有效标中按投标人的最终得分（即价格分+商务技术分）高低进行排序，排名第一的为</w:t>
      </w:r>
      <w:r>
        <w:rPr>
          <w:rFonts w:hint="eastAsia" w:ascii="宋体" w:hAnsi="宋体"/>
          <w:sz w:val="24"/>
        </w:rPr>
        <w:t>该</w:t>
      </w:r>
      <w:r>
        <w:rPr>
          <w:rFonts w:ascii="宋体" w:hAnsi="宋体"/>
          <w:sz w:val="24"/>
        </w:rPr>
        <w:t>中标候选人；</w:t>
      </w:r>
      <w:bookmarkEnd w:id="199"/>
      <w:bookmarkEnd w:id="200"/>
      <w:bookmarkEnd w:id="201"/>
      <w:bookmarkEnd w:id="202"/>
      <w:bookmarkStart w:id="216" w:name="_Toc33098506"/>
      <w:bookmarkStart w:id="217" w:name="_Toc34919380"/>
      <w:bookmarkStart w:id="218" w:name="_Toc34898354"/>
      <w:bookmarkStart w:id="219" w:name="_Toc34830417"/>
      <w:r>
        <w:rPr>
          <w:rFonts w:ascii="宋体" w:hAnsi="宋体"/>
          <w:sz w:val="24"/>
        </w:rPr>
        <w:t>最终得分相同的，投标报价低的排序第一；最终得分且投标报价相同的，商务技术分高的排序第一；最终得分、投标报价、商务技术分三者均相同，则现场抽签确定。</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EFF754D">
      <w:pPr>
        <w:spacing w:line="400" w:lineRule="atLeast"/>
        <w:ind w:firstLine="480" w:firstLineChars="200"/>
        <w:rPr>
          <w:rFonts w:ascii="宋体" w:hAnsi="宋体"/>
          <w:sz w:val="24"/>
        </w:rPr>
      </w:pPr>
      <w:bookmarkStart w:id="220" w:name="_Toc509167625"/>
      <w:bookmarkStart w:id="221" w:name="_Toc16331578"/>
      <w:bookmarkStart w:id="222" w:name="_Toc514319714"/>
      <w:bookmarkStart w:id="223" w:name="_Toc9338"/>
      <w:bookmarkStart w:id="224" w:name="_Toc519014259"/>
      <w:bookmarkStart w:id="225" w:name="_Toc498157527"/>
      <w:bookmarkStart w:id="226" w:name="_Toc496134657"/>
      <w:bookmarkStart w:id="227" w:name="_Toc514354873"/>
      <w:bookmarkStart w:id="228" w:name="_Toc16331724"/>
      <w:bookmarkStart w:id="229" w:name="_Toc499500748"/>
      <w:bookmarkStart w:id="230" w:name="_Toc509167737"/>
      <w:bookmarkStart w:id="231" w:name="_Toc509068029"/>
      <w:bookmarkStart w:id="232" w:name="_Toc15243"/>
      <w:bookmarkStart w:id="233" w:name="_Toc498190397"/>
      <w:bookmarkStart w:id="234" w:name="_Toc34919381"/>
      <w:bookmarkStart w:id="235" w:name="_Toc33098507"/>
      <w:bookmarkStart w:id="236" w:name="_Toc34898355"/>
      <w:bookmarkStart w:id="237" w:name="_Toc34830418"/>
      <w:r>
        <w:rPr>
          <w:rFonts w:ascii="宋体" w:hAnsi="宋体"/>
          <w:sz w:val="24"/>
        </w:rPr>
        <w:t>3.如中标候选人放弃</w:t>
      </w:r>
      <w:r>
        <w:rPr>
          <w:rFonts w:hint="eastAsia" w:ascii="宋体" w:hAnsi="宋体"/>
          <w:sz w:val="24"/>
        </w:rPr>
        <w:t>该</w:t>
      </w:r>
      <w:r>
        <w:rPr>
          <w:rFonts w:ascii="宋体" w:hAnsi="宋体"/>
          <w:sz w:val="24"/>
        </w:rPr>
        <w:t>中标；因不可抗力提出不能履行合同；或未能在规定时间内与采购人签订合同的；或者经质疑，采购人审查后，确因候选人在本次采购活动中存在违法违规行为或其他原因使质疑成立的，</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Start w:id="238" w:name="_Toc509167738"/>
      <w:bookmarkStart w:id="239" w:name="_Toc509167626"/>
      <w:bookmarkStart w:id="240" w:name="_Toc4594"/>
      <w:bookmarkStart w:id="241" w:name="_Toc16331725"/>
      <w:bookmarkStart w:id="242" w:name="_Toc16331579"/>
      <w:bookmarkStart w:id="243" w:name="_Toc519014260"/>
      <w:bookmarkStart w:id="244" w:name="_Toc514354874"/>
      <w:bookmarkStart w:id="245" w:name="_Toc509068030"/>
      <w:r>
        <w:rPr>
          <w:rFonts w:ascii="宋体" w:hAnsi="宋体"/>
          <w:sz w:val="24"/>
        </w:rPr>
        <w:t>采购人可视具体情况确定是否由排名后一位的</w:t>
      </w:r>
      <w:r>
        <w:rPr>
          <w:rFonts w:hint="eastAsia" w:ascii="宋体" w:hAnsi="宋体"/>
          <w:sz w:val="24"/>
        </w:rPr>
        <w:t>投标</w:t>
      </w:r>
      <w:r>
        <w:rPr>
          <w:rFonts w:ascii="宋体" w:hAnsi="宋体"/>
          <w:sz w:val="24"/>
        </w:rPr>
        <w:t>人为</w:t>
      </w:r>
      <w:r>
        <w:rPr>
          <w:rFonts w:hint="eastAsia" w:ascii="宋体" w:hAnsi="宋体"/>
          <w:sz w:val="24"/>
        </w:rPr>
        <w:t>该项目的</w:t>
      </w:r>
      <w:r>
        <w:rPr>
          <w:rFonts w:ascii="宋体" w:hAnsi="宋体"/>
          <w:sz w:val="24"/>
        </w:rPr>
        <w:t>中标人。</w:t>
      </w:r>
      <w:bookmarkEnd w:id="234"/>
      <w:bookmarkEnd w:id="235"/>
      <w:bookmarkEnd w:id="236"/>
      <w:bookmarkEnd w:id="237"/>
    </w:p>
    <w:p w14:paraId="13857269">
      <w:pPr>
        <w:spacing w:line="400" w:lineRule="atLeast"/>
        <w:ind w:firstLine="482" w:firstLineChars="200"/>
        <w:rPr>
          <w:rFonts w:ascii="宋体" w:hAnsi="宋体"/>
          <w:b/>
          <w:sz w:val="24"/>
        </w:rPr>
      </w:pPr>
      <w:bookmarkStart w:id="246" w:name="_Toc33098508"/>
      <w:bookmarkStart w:id="247" w:name="_Toc34830419"/>
      <w:bookmarkStart w:id="248" w:name="_Toc34898356"/>
      <w:bookmarkStart w:id="249" w:name="_Toc34919382"/>
      <w:r>
        <w:rPr>
          <w:rFonts w:hint="eastAsia" w:ascii="宋体" w:hAnsi="宋体"/>
          <w:b/>
          <w:sz w:val="24"/>
        </w:rPr>
        <w:t>九</w:t>
      </w:r>
      <w:r>
        <w:rPr>
          <w:rFonts w:ascii="宋体" w:hAnsi="宋体"/>
          <w:b/>
          <w:sz w:val="24"/>
        </w:rPr>
        <w:t>、确定中标人</w:t>
      </w:r>
      <w:bookmarkEnd w:id="238"/>
      <w:bookmarkEnd w:id="239"/>
      <w:bookmarkEnd w:id="240"/>
      <w:bookmarkEnd w:id="241"/>
      <w:bookmarkEnd w:id="242"/>
      <w:bookmarkEnd w:id="243"/>
      <w:bookmarkEnd w:id="244"/>
      <w:bookmarkEnd w:id="245"/>
      <w:bookmarkEnd w:id="246"/>
      <w:bookmarkEnd w:id="247"/>
      <w:bookmarkEnd w:id="248"/>
      <w:bookmarkEnd w:id="249"/>
    </w:p>
    <w:p w14:paraId="67765360">
      <w:pPr>
        <w:spacing w:line="400" w:lineRule="atLeast"/>
        <w:ind w:firstLine="480" w:firstLineChars="200"/>
        <w:rPr>
          <w:rFonts w:ascii="宋体" w:hAnsi="宋体"/>
          <w:sz w:val="24"/>
        </w:rPr>
      </w:pPr>
      <w:bookmarkStart w:id="250" w:name="_Toc509068031"/>
      <w:bookmarkStart w:id="251" w:name="_Toc499500750"/>
      <w:bookmarkStart w:id="252" w:name="_Toc21253"/>
      <w:bookmarkStart w:id="253" w:name="_Toc498190399"/>
      <w:bookmarkStart w:id="254" w:name="_Toc509068034"/>
      <w:bookmarkStart w:id="255" w:name="_Toc509167629"/>
      <w:bookmarkStart w:id="256" w:name="_Toc14136"/>
      <w:bookmarkStart w:id="257" w:name="_Toc509167741"/>
      <w:bookmarkStart w:id="258" w:name="_Toc514354877"/>
      <w:bookmarkStart w:id="259" w:name="_Toc519014263"/>
      <w:r>
        <w:rPr>
          <w:rFonts w:ascii="宋体" w:hAnsi="宋体"/>
          <w:sz w:val="24"/>
        </w:rPr>
        <w:t>1.评标结束后，中标结果公告一个工作日，发布中标结果公告的媒体为：</w:t>
      </w:r>
      <w:bookmarkEnd w:id="250"/>
      <w:bookmarkEnd w:id="251"/>
      <w:bookmarkEnd w:id="252"/>
      <w:bookmarkEnd w:id="253"/>
      <w:bookmarkStart w:id="260" w:name="_Toc509167739"/>
      <w:bookmarkStart w:id="261" w:name="_Toc519014261"/>
      <w:bookmarkStart w:id="262" w:name="_Toc509068032"/>
      <w:bookmarkStart w:id="263" w:name="_Toc13353"/>
      <w:bookmarkStart w:id="264" w:name="_Toc509167627"/>
      <w:bookmarkStart w:id="265" w:name="_Toc514319716"/>
      <w:bookmarkStart w:id="266" w:name="_Toc498157530"/>
      <w:bookmarkStart w:id="267" w:name="_Toc498190400"/>
      <w:bookmarkStart w:id="268" w:name="_Toc2927"/>
      <w:bookmarkStart w:id="269" w:name="_Toc514354875"/>
      <w:bookmarkStart w:id="270" w:name="_Toc499500751"/>
      <w:r>
        <w:rPr>
          <w:rFonts w:ascii="宋体" w:hAnsi="宋体"/>
          <w:sz w:val="24"/>
        </w:rPr>
        <w:t>浙江政府采购网。</w:t>
      </w:r>
    </w:p>
    <w:p w14:paraId="4E09EA28">
      <w:pPr>
        <w:spacing w:line="400" w:lineRule="atLeast"/>
        <w:ind w:firstLine="480" w:firstLineChars="200"/>
        <w:rPr>
          <w:rFonts w:ascii="宋体" w:hAnsi="宋体"/>
          <w:sz w:val="24"/>
        </w:rPr>
      </w:pPr>
      <w:r>
        <w:rPr>
          <w:rFonts w:ascii="宋体" w:hAnsi="宋体"/>
          <w:sz w:val="24"/>
        </w:rPr>
        <w:t>2.在中标公示期间对中标候选人及其法</w:t>
      </w:r>
      <w:r>
        <w:rPr>
          <w:rFonts w:hint="eastAsia" w:ascii="宋体" w:hAnsi="宋体"/>
          <w:sz w:val="24"/>
        </w:rPr>
        <w:t>定</w:t>
      </w:r>
      <w:r>
        <w:rPr>
          <w:rFonts w:ascii="宋体" w:hAnsi="宋体"/>
          <w:sz w:val="24"/>
        </w:rPr>
        <w:t>代表</w:t>
      </w:r>
      <w:r>
        <w:rPr>
          <w:rFonts w:hint="eastAsia" w:ascii="宋体" w:hAnsi="宋体"/>
          <w:sz w:val="24"/>
        </w:rPr>
        <w:t>人</w:t>
      </w:r>
      <w:r>
        <w:rPr>
          <w:rFonts w:ascii="宋体" w:hAnsi="宋体"/>
          <w:sz w:val="24"/>
        </w:rPr>
        <w:t>进行前三年内（为采购文件发布之日起）行贿犯罪记录查询。经查询，若被查询单位或个人无行贿犯罪记录的，则发出中标通知书。若被查询单位或个人有行贿犯罪记录的，则取消其中标资格。</w:t>
      </w:r>
      <w:bookmarkEnd w:id="260"/>
      <w:bookmarkEnd w:id="261"/>
      <w:bookmarkEnd w:id="262"/>
      <w:bookmarkEnd w:id="263"/>
      <w:bookmarkEnd w:id="264"/>
      <w:bookmarkEnd w:id="265"/>
      <w:bookmarkEnd w:id="266"/>
      <w:bookmarkEnd w:id="267"/>
      <w:bookmarkEnd w:id="268"/>
      <w:bookmarkEnd w:id="269"/>
      <w:bookmarkEnd w:id="270"/>
    </w:p>
    <w:p w14:paraId="51A4F6C4">
      <w:pPr>
        <w:spacing w:line="400" w:lineRule="atLeast"/>
        <w:ind w:firstLine="480" w:firstLineChars="200"/>
        <w:rPr>
          <w:rFonts w:ascii="宋体" w:hAnsi="宋体"/>
          <w:sz w:val="24"/>
        </w:rPr>
      </w:pPr>
      <w:bookmarkStart w:id="271" w:name="_Toc498190401"/>
      <w:bookmarkStart w:id="272" w:name="_Toc509167740"/>
      <w:bookmarkStart w:id="273" w:name="_Toc519014262"/>
      <w:bookmarkStart w:id="274" w:name="_Toc16331726"/>
      <w:bookmarkStart w:id="275" w:name="_Toc509068033"/>
      <w:bookmarkStart w:id="276" w:name="_Toc34830420"/>
      <w:bookmarkStart w:id="277" w:name="_Toc34898357"/>
      <w:bookmarkStart w:id="278" w:name="_Toc26363"/>
      <w:bookmarkStart w:id="279" w:name="_Toc514354876"/>
      <w:bookmarkStart w:id="280" w:name="_Toc514319717"/>
      <w:bookmarkStart w:id="281" w:name="_Toc16331580"/>
      <w:bookmarkStart w:id="282" w:name="_Toc499500752"/>
      <w:bookmarkStart w:id="283" w:name="_Toc509167628"/>
      <w:bookmarkStart w:id="284" w:name="_Toc33098509"/>
      <w:bookmarkStart w:id="285" w:name="_Toc498157531"/>
      <w:bookmarkStart w:id="286" w:name="_Toc9395"/>
      <w:bookmarkStart w:id="287" w:name="_Toc34919383"/>
      <w:r>
        <w:rPr>
          <w:rFonts w:ascii="宋体" w:hAnsi="宋体"/>
          <w:sz w:val="24"/>
        </w:rPr>
        <w:t>3.如无有效异议、无行贿犯罪记录，采购人和</w:t>
      </w:r>
      <w:r>
        <w:rPr>
          <w:rFonts w:hint="eastAsia" w:ascii="宋体" w:hAnsi="宋体"/>
          <w:sz w:val="24"/>
          <w:lang w:eastAsia="zh-CN"/>
        </w:rPr>
        <w:t>杭州兑尚源工程管理有限公司</w:t>
      </w:r>
      <w:r>
        <w:rPr>
          <w:rFonts w:ascii="宋体" w:hAnsi="宋体"/>
          <w:sz w:val="24"/>
        </w:rPr>
        <w:t>将在两个工作日内共同签发《中标通知书》，中标方凭有效证明到</w:t>
      </w:r>
      <w:r>
        <w:rPr>
          <w:rFonts w:hint="eastAsia" w:ascii="宋体" w:hAnsi="宋体"/>
          <w:sz w:val="24"/>
          <w:lang w:eastAsia="zh-CN"/>
        </w:rPr>
        <w:t>杭州兑尚源工程管理有限公司</w:t>
      </w:r>
      <w:r>
        <w:rPr>
          <w:rFonts w:ascii="宋体" w:hAnsi="宋体"/>
          <w:sz w:val="24"/>
        </w:rPr>
        <w:t>领取《中标通知书》。《中标通知书》一经发出即发生法律效力。</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0DBB9076">
      <w:pPr>
        <w:spacing w:line="400" w:lineRule="atLeast"/>
        <w:ind w:firstLine="482" w:firstLineChars="200"/>
        <w:rPr>
          <w:rFonts w:ascii="宋体" w:hAnsi="宋体"/>
          <w:b/>
          <w:sz w:val="24"/>
        </w:rPr>
      </w:pPr>
      <w:bookmarkStart w:id="288" w:name="_Toc34919384"/>
      <w:bookmarkStart w:id="289" w:name="_Toc33098510"/>
      <w:bookmarkStart w:id="290" w:name="_Toc34898358"/>
      <w:bookmarkStart w:id="291" w:name="_Toc16331727"/>
      <w:bookmarkStart w:id="292" w:name="_Toc16331581"/>
      <w:bookmarkStart w:id="293" w:name="_Toc34830421"/>
      <w:r>
        <w:rPr>
          <w:rFonts w:hint="eastAsia" w:ascii="宋体" w:hAnsi="宋体"/>
          <w:b/>
          <w:sz w:val="24"/>
        </w:rPr>
        <w:t>十</w:t>
      </w:r>
      <w:r>
        <w:rPr>
          <w:rFonts w:ascii="宋体" w:hAnsi="宋体"/>
          <w:b/>
          <w:sz w:val="24"/>
        </w:rPr>
        <w:t>、投标人义务</w:t>
      </w:r>
      <w:bookmarkEnd w:id="254"/>
      <w:bookmarkEnd w:id="255"/>
      <w:bookmarkEnd w:id="256"/>
      <w:bookmarkEnd w:id="257"/>
      <w:bookmarkEnd w:id="258"/>
      <w:bookmarkEnd w:id="259"/>
      <w:bookmarkEnd w:id="288"/>
      <w:bookmarkEnd w:id="289"/>
      <w:bookmarkEnd w:id="290"/>
      <w:bookmarkEnd w:id="291"/>
      <w:bookmarkEnd w:id="292"/>
      <w:bookmarkEnd w:id="293"/>
    </w:p>
    <w:p w14:paraId="1A5E382D">
      <w:pPr>
        <w:spacing w:line="400" w:lineRule="atLeast"/>
        <w:ind w:firstLine="480" w:firstLineChars="200"/>
        <w:rPr>
          <w:rFonts w:ascii="宋体" w:hAnsi="宋体"/>
          <w:sz w:val="24"/>
        </w:rPr>
      </w:pPr>
      <w:bookmarkStart w:id="294" w:name="_Toc514319719"/>
      <w:bookmarkStart w:id="295" w:name="_Toc519014264"/>
      <w:bookmarkStart w:id="296" w:name="_Toc509167630"/>
      <w:bookmarkStart w:id="297" w:name="_Toc22061"/>
      <w:bookmarkStart w:id="298" w:name="_Toc34919385"/>
      <w:bookmarkStart w:id="299" w:name="_Toc514354878"/>
      <w:bookmarkStart w:id="300" w:name="_Toc34830422"/>
      <w:bookmarkStart w:id="301" w:name="_Toc14987"/>
      <w:bookmarkStart w:id="302" w:name="_Toc509167742"/>
      <w:bookmarkStart w:id="303" w:name="_Toc34898359"/>
      <w:bookmarkStart w:id="304" w:name="_Toc499500754"/>
      <w:bookmarkStart w:id="305" w:name="_Toc33098511"/>
      <w:bookmarkStart w:id="306" w:name="_Toc16331728"/>
      <w:bookmarkStart w:id="307" w:name="_Toc509068035"/>
      <w:bookmarkStart w:id="308" w:name="_Toc16331582"/>
      <w:r>
        <w:rPr>
          <w:rFonts w:ascii="宋体" w:hAnsi="宋体"/>
          <w:sz w:val="24"/>
        </w:rPr>
        <w:t>投标人应随时接受评标委员会的询标，解答包括有关的资信及商务、技术、价格问题等。评标结束，所有评标资料存招标机构备查。</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056AB64">
      <w:pPr>
        <w:jc w:val="center"/>
        <w:outlineLvl w:val="0"/>
        <w:rPr>
          <w:rFonts w:ascii="宋体" w:hAnsi="宋体"/>
          <w:b/>
          <w:bCs/>
          <w:kern w:val="44"/>
          <w:sz w:val="36"/>
          <w:szCs w:val="36"/>
        </w:rPr>
      </w:pPr>
      <w:r>
        <w:rPr>
          <w:rFonts w:ascii="宋体" w:hAnsi="宋体"/>
          <w:sz w:val="24"/>
        </w:rPr>
        <w:br w:type="page"/>
      </w:r>
      <w:bookmarkEnd w:id="157"/>
      <w:bookmarkEnd w:id="158"/>
      <w:bookmarkEnd w:id="159"/>
      <w:bookmarkEnd w:id="160"/>
      <w:bookmarkEnd w:id="161"/>
      <w:bookmarkEnd w:id="162"/>
      <w:bookmarkStart w:id="309" w:name="_Toc34919386"/>
      <w:bookmarkStart w:id="310" w:name="_Toc481242828"/>
      <w:bookmarkStart w:id="311" w:name="_Toc270168500"/>
      <w:bookmarkStart w:id="312" w:name="_Toc519014265"/>
      <w:bookmarkStart w:id="313" w:name="_Toc20617"/>
      <w:bookmarkStart w:id="314" w:name="_Toc4816"/>
      <w:bookmarkStart w:id="315" w:name="_Toc372635203"/>
      <w:bookmarkStart w:id="316" w:name="_Toc481227888"/>
      <w:r>
        <w:rPr>
          <w:rFonts w:ascii="宋体" w:hAnsi="宋体"/>
          <w:b/>
          <w:bCs/>
          <w:kern w:val="44"/>
          <w:sz w:val="36"/>
          <w:szCs w:val="36"/>
        </w:rPr>
        <w:t>第六章  合同主要条款</w:t>
      </w:r>
      <w:bookmarkEnd w:id="309"/>
      <w:bookmarkEnd w:id="310"/>
      <w:bookmarkEnd w:id="311"/>
      <w:bookmarkEnd w:id="312"/>
      <w:bookmarkEnd w:id="313"/>
      <w:bookmarkEnd w:id="314"/>
      <w:bookmarkEnd w:id="315"/>
      <w:bookmarkEnd w:id="316"/>
      <w:bookmarkStart w:id="317" w:name="_Toc235778631"/>
      <w:bookmarkStart w:id="318" w:name="_Toc238878129"/>
      <w:bookmarkStart w:id="319" w:name="_Toc32058"/>
      <w:bookmarkStart w:id="320" w:name="_Toc274303259"/>
      <w:bookmarkStart w:id="321" w:name="_Toc213038698"/>
      <w:bookmarkStart w:id="322" w:name="_Toc187829774"/>
    </w:p>
    <w:p w14:paraId="3CAFB090">
      <w:pPr>
        <w:pStyle w:val="166"/>
        <w:spacing w:before="0"/>
        <w:ind w:firstLineChars="0"/>
        <w:jc w:val="center"/>
        <w:rPr>
          <w:rFonts w:ascii="宋体" w:hAnsi="宋体"/>
        </w:rPr>
      </w:pPr>
      <w:r>
        <w:rPr>
          <w:rFonts w:ascii="宋体" w:hAnsi="宋体"/>
        </w:rPr>
        <w:t>（</w:t>
      </w:r>
      <w:r>
        <w:rPr>
          <w:rFonts w:hint="eastAsia" w:ascii="宋体" w:hAnsi="宋体"/>
        </w:rPr>
        <w:t>具体合同文本以预算投资占比单位分别进行签订,以实际签署为准</w:t>
      </w:r>
      <w:r>
        <w:rPr>
          <w:rFonts w:ascii="宋体" w:hAnsi="宋体"/>
        </w:rPr>
        <w:t>）</w:t>
      </w:r>
    </w:p>
    <w:p w14:paraId="4F2A6B69">
      <w:pPr>
        <w:spacing w:line="400" w:lineRule="atLeast"/>
        <w:jc w:val="center"/>
        <w:rPr>
          <w:color w:val="auto"/>
        </w:rPr>
      </w:pPr>
      <w:bookmarkStart w:id="323" w:name="_Toc52825030"/>
      <w:bookmarkStart w:id="324" w:name="_Toc9327"/>
      <w:bookmarkStart w:id="325" w:name="_Toc509068037"/>
      <w:bookmarkStart w:id="326" w:name="_Toc427565512"/>
      <w:bookmarkStart w:id="327" w:name="_Toc499500756"/>
      <w:r>
        <w:rPr>
          <w:rFonts w:hint="eastAsia"/>
          <w:color w:val="auto"/>
        </w:rPr>
        <w:t>政府采购合同格式</w:t>
      </w:r>
      <w:bookmarkEnd w:id="323"/>
      <w:r>
        <w:rPr>
          <w:rFonts w:hint="eastAsia"/>
          <w:color w:val="auto"/>
        </w:rPr>
        <w:t>(服务类)</w:t>
      </w:r>
    </w:p>
    <w:p w14:paraId="32C64CE8">
      <w:pPr>
        <w:spacing w:line="400" w:lineRule="atLeast"/>
        <w:ind w:firstLine="480" w:firstLineChars="200"/>
        <w:rPr>
          <w:b/>
          <w:sz w:val="24"/>
        </w:rPr>
      </w:pPr>
      <w:r>
        <w:rPr>
          <w:rFonts w:hint="eastAsia"/>
          <w:sz w:val="24"/>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采购文件及其答疑、补充、修改；中标人的投标文件正本；投标人在评标答疑时的书面澄清或说明；中标通知书等文件是构成合同不可分割的部分。</w:t>
      </w:r>
    </w:p>
    <w:p w14:paraId="0F1110BF">
      <w:pPr>
        <w:pStyle w:val="29"/>
        <w:snapToGrid w:val="0"/>
        <w:spacing w:line="400" w:lineRule="atLeast"/>
        <w:ind w:firstLine="1108" w:firstLineChars="345"/>
        <w:rPr>
          <w:rFonts w:hAnsi="宋体" w:cs="Times New Roman"/>
          <w:b/>
          <w:sz w:val="32"/>
          <w:szCs w:val="32"/>
        </w:rPr>
      </w:pPr>
      <w:r>
        <w:rPr>
          <w:rFonts w:hint="eastAsia" w:hAnsi="宋体" w:cs="Times New Roman"/>
          <w:b/>
          <w:sz w:val="32"/>
          <w:szCs w:val="32"/>
        </w:rPr>
        <w:t>衢州市</w:t>
      </w:r>
      <w:r>
        <w:rPr>
          <w:rFonts w:hint="eastAsia" w:hAnsi="宋体" w:cs="Times New Roman"/>
          <w:b/>
          <w:sz w:val="32"/>
          <w:szCs w:val="32"/>
          <w:u w:val="single"/>
        </w:rPr>
        <w:t xml:space="preserve">        </w:t>
      </w:r>
      <w:r>
        <w:rPr>
          <w:rFonts w:hint="eastAsia" w:hAnsi="宋体" w:cs="Times New Roman"/>
          <w:b/>
          <w:sz w:val="32"/>
          <w:szCs w:val="32"/>
        </w:rPr>
        <w:t>县（市）区冻猪肉动态储备项目协议</w:t>
      </w:r>
    </w:p>
    <w:p w14:paraId="1B856246">
      <w:pPr>
        <w:pStyle w:val="29"/>
        <w:snapToGrid w:val="0"/>
        <w:spacing w:line="400" w:lineRule="atLeast"/>
        <w:rPr>
          <w:rFonts w:hAnsi="宋体"/>
          <w:sz w:val="24"/>
          <w:szCs w:val="24"/>
        </w:rPr>
      </w:pPr>
    </w:p>
    <w:p w14:paraId="68F5A582">
      <w:pPr>
        <w:pStyle w:val="29"/>
        <w:snapToGrid w:val="0"/>
        <w:spacing w:line="400" w:lineRule="atLeast"/>
        <w:rPr>
          <w:rFonts w:hAnsi="宋体"/>
          <w:sz w:val="24"/>
          <w:szCs w:val="24"/>
        </w:rPr>
      </w:pPr>
      <w:r>
        <w:rPr>
          <w:rFonts w:hint="eastAsia" w:hAnsi="宋体"/>
          <w:sz w:val="24"/>
          <w:szCs w:val="24"/>
        </w:rPr>
        <w:t>甲方：</w:t>
      </w:r>
      <w:r>
        <w:rPr>
          <w:rFonts w:hint="eastAsia" w:hAnsi="宋体"/>
          <w:sz w:val="24"/>
          <w:szCs w:val="24"/>
          <w:u w:val="single"/>
        </w:rPr>
        <w:t xml:space="preserve">       </w:t>
      </w:r>
      <w:r>
        <w:rPr>
          <w:rFonts w:hint="eastAsia" w:hAnsi="宋体"/>
          <w:sz w:val="24"/>
          <w:szCs w:val="24"/>
        </w:rPr>
        <w:t xml:space="preserve">                                                  </w:t>
      </w:r>
    </w:p>
    <w:p w14:paraId="44A5E584">
      <w:pPr>
        <w:pStyle w:val="29"/>
        <w:snapToGrid w:val="0"/>
        <w:spacing w:line="400" w:lineRule="atLeast"/>
        <w:rPr>
          <w:rFonts w:hAnsi="宋体"/>
          <w:sz w:val="24"/>
          <w:szCs w:val="24"/>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 xml:space="preserve">                          联系人：</w:t>
      </w:r>
      <w:r>
        <w:rPr>
          <w:rFonts w:hint="eastAsia" w:hAnsi="宋体"/>
          <w:sz w:val="24"/>
          <w:szCs w:val="24"/>
          <w:u w:val="single"/>
        </w:rPr>
        <w:t xml:space="preserve">           </w:t>
      </w:r>
      <w:r>
        <w:rPr>
          <w:rFonts w:hint="eastAsia" w:hAnsi="宋体"/>
          <w:sz w:val="24"/>
          <w:szCs w:val="24"/>
        </w:rPr>
        <w:t xml:space="preserve">                      </w:t>
      </w:r>
    </w:p>
    <w:p w14:paraId="0BF6386D">
      <w:pPr>
        <w:pStyle w:val="29"/>
        <w:snapToGrid w:val="0"/>
        <w:spacing w:line="400" w:lineRule="atLeast"/>
        <w:rPr>
          <w:rFonts w:hAnsi="宋体"/>
          <w:sz w:val="24"/>
          <w:szCs w:val="24"/>
        </w:rPr>
      </w:pPr>
      <w:r>
        <w:rPr>
          <w:rFonts w:hint="eastAsia" w:hAnsi="宋体"/>
          <w:sz w:val="24"/>
          <w:szCs w:val="24"/>
        </w:rPr>
        <w:t>邮编：</w:t>
      </w:r>
      <w:r>
        <w:rPr>
          <w:rFonts w:hint="eastAsia" w:hAnsi="宋体"/>
          <w:sz w:val="24"/>
          <w:szCs w:val="24"/>
          <w:u w:val="single"/>
        </w:rPr>
        <w:t xml:space="preserve">          </w:t>
      </w:r>
      <w:r>
        <w:rPr>
          <w:rFonts w:hint="eastAsia" w:hAnsi="宋体"/>
          <w:sz w:val="24"/>
          <w:szCs w:val="24"/>
        </w:rPr>
        <w:t xml:space="preserve">                          电话：</w:t>
      </w:r>
      <w:r>
        <w:rPr>
          <w:rFonts w:hint="eastAsia" w:hAnsi="宋体"/>
          <w:sz w:val="24"/>
          <w:szCs w:val="24"/>
          <w:u w:val="single"/>
        </w:rPr>
        <w:t xml:space="preserve">           </w:t>
      </w:r>
      <w:r>
        <w:rPr>
          <w:rFonts w:hint="eastAsia" w:hAnsi="宋体"/>
          <w:sz w:val="24"/>
          <w:szCs w:val="24"/>
        </w:rPr>
        <w:t xml:space="preserve">                   </w:t>
      </w:r>
    </w:p>
    <w:p w14:paraId="2BB31B38">
      <w:pPr>
        <w:pStyle w:val="29"/>
        <w:snapToGrid w:val="0"/>
        <w:spacing w:line="400" w:lineRule="atLeast"/>
        <w:rPr>
          <w:rFonts w:hAnsi="宋体"/>
          <w:sz w:val="24"/>
          <w:szCs w:val="24"/>
        </w:rPr>
      </w:pPr>
    </w:p>
    <w:p w14:paraId="1579865A">
      <w:pPr>
        <w:pStyle w:val="29"/>
        <w:snapToGrid w:val="0"/>
        <w:spacing w:line="400" w:lineRule="atLeast"/>
        <w:rPr>
          <w:rFonts w:hAnsi="宋体"/>
          <w:sz w:val="24"/>
          <w:szCs w:val="24"/>
        </w:rPr>
      </w:pPr>
    </w:p>
    <w:p w14:paraId="4000650F">
      <w:pPr>
        <w:pStyle w:val="29"/>
        <w:snapToGrid w:val="0"/>
        <w:spacing w:line="400" w:lineRule="atLeast"/>
        <w:rPr>
          <w:rFonts w:hAnsi="宋体"/>
          <w:sz w:val="24"/>
          <w:szCs w:val="24"/>
        </w:rPr>
      </w:pPr>
      <w:r>
        <w:rPr>
          <w:rFonts w:hint="eastAsia" w:hAnsi="宋体"/>
          <w:sz w:val="24"/>
          <w:szCs w:val="24"/>
        </w:rPr>
        <w:t xml:space="preserve">乙方： </w:t>
      </w:r>
      <w:r>
        <w:rPr>
          <w:rFonts w:hint="eastAsia" w:hAnsi="宋体"/>
          <w:sz w:val="24"/>
          <w:szCs w:val="24"/>
          <w:u w:val="single"/>
        </w:rPr>
        <w:t xml:space="preserve">     </w:t>
      </w:r>
      <w:r>
        <w:rPr>
          <w:rFonts w:hint="eastAsia" w:hAnsi="宋体"/>
          <w:sz w:val="24"/>
          <w:szCs w:val="24"/>
        </w:rPr>
        <w:t xml:space="preserve">                                         </w:t>
      </w:r>
    </w:p>
    <w:p w14:paraId="7D0E6A17">
      <w:pPr>
        <w:pStyle w:val="29"/>
        <w:snapToGrid w:val="0"/>
        <w:spacing w:line="400" w:lineRule="atLeast"/>
        <w:rPr>
          <w:rFonts w:hAnsi="宋体"/>
          <w:sz w:val="24"/>
          <w:szCs w:val="24"/>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 xml:space="preserve">                                    联 系 人：</w:t>
      </w:r>
      <w:r>
        <w:rPr>
          <w:rFonts w:hint="eastAsia" w:hAnsi="宋体"/>
          <w:sz w:val="24"/>
          <w:szCs w:val="24"/>
          <w:u w:val="single"/>
        </w:rPr>
        <w:t xml:space="preserve">        </w:t>
      </w:r>
      <w:r>
        <w:rPr>
          <w:rFonts w:hint="eastAsia" w:hAnsi="宋体"/>
          <w:sz w:val="24"/>
          <w:szCs w:val="24"/>
        </w:rPr>
        <w:t xml:space="preserve">              </w:t>
      </w:r>
    </w:p>
    <w:p w14:paraId="7EA20506">
      <w:pPr>
        <w:pStyle w:val="29"/>
        <w:snapToGrid w:val="0"/>
        <w:spacing w:line="400" w:lineRule="atLeast"/>
        <w:rPr>
          <w:rFonts w:hAnsi="宋体"/>
          <w:sz w:val="24"/>
          <w:szCs w:val="24"/>
        </w:rPr>
      </w:pPr>
      <w:r>
        <w:rPr>
          <w:rFonts w:hint="eastAsia" w:hAnsi="宋体"/>
          <w:sz w:val="24"/>
          <w:szCs w:val="24"/>
        </w:rPr>
        <w:t>邮编：</w:t>
      </w:r>
      <w:r>
        <w:rPr>
          <w:rFonts w:hint="eastAsia" w:hAnsi="宋体"/>
          <w:sz w:val="24"/>
          <w:szCs w:val="24"/>
          <w:u w:val="single"/>
        </w:rPr>
        <w:t xml:space="preserve">       </w:t>
      </w:r>
      <w:r>
        <w:rPr>
          <w:rFonts w:hint="eastAsia" w:hAnsi="宋体"/>
          <w:sz w:val="24"/>
          <w:szCs w:val="24"/>
        </w:rPr>
        <w:t xml:space="preserve">                                     电话：</w:t>
      </w:r>
      <w:r>
        <w:rPr>
          <w:rFonts w:hint="eastAsia" w:hAnsi="宋体"/>
          <w:sz w:val="24"/>
          <w:szCs w:val="24"/>
          <w:u w:val="single"/>
        </w:rPr>
        <w:t xml:space="preserve">              </w:t>
      </w:r>
      <w:r>
        <w:rPr>
          <w:rFonts w:hint="eastAsia" w:hAnsi="宋体"/>
          <w:sz w:val="24"/>
          <w:szCs w:val="24"/>
        </w:rPr>
        <w:t xml:space="preserve">                   </w:t>
      </w:r>
    </w:p>
    <w:p w14:paraId="44BC5A7F">
      <w:pPr>
        <w:pStyle w:val="29"/>
        <w:snapToGrid w:val="0"/>
        <w:spacing w:line="400" w:lineRule="atLeast"/>
        <w:rPr>
          <w:rFonts w:hAnsi="宋体"/>
          <w:sz w:val="24"/>
          <w:szCs w:val="24"/>
        </w:rPr>
      </w:pPr>
    </w:p>
    <w:p w14:paraId="10F4830C">
      <w:pPr>
        <w:pStyle w:val="29"/>
        <w:snapToGrid w:val="0"/>
        <w:spacing w:line="400" w:lineRule="atLeast"/>
        <w:ind w:firstLine="600" w:firstLineChars="250"/>
        <w:rPr>
          <w:rFonts w:hAnsi="宋体"/>
          <w:sz w:val="24"/>
          <w:szCs w:val="24"/>
        </w:rPr>
      </w:pPr>
      <w:r>
        <w:rPr>
          <w:rFonts w:hint="eastAsia" w:hAnsi="宋体"/>
          <w:sz w:val="24"/>
          <w:szCs w:val="24"/>
        </w:rPr>
        <w:t>为进一步加强衢州市</w:t>
      </w:r>
      <w:r>
        <w:rPr>
          <w:rFonts w:hint="eastAsia" w:hAnsi="宋体"/>
          <w:sz w:val="24"/>
          <w:szCs w:val="24"/>
          <w:u w:val="single"/>
        </w:rPr>
        <w:t xml:space="preserve">             </w:t>
      </w:r>
      <w:r>
        <w:rPr>
          <w:rFonts w:hint="eastAsia" w:hAnsi="宋体"/>
          <w:sz w:val="24"/>
          <w:szCs w:val="24"/>
        </w:rPr>
        <w:t>县（市）区（单位名称）冻猪肉动态储备（以下简称“储备肉”）管理，确保储备肉数量真实、质量合格和储存安全，做到储得进、管得好、调得动、用得上，有效发挥其应急保供作用。根据</w:t>
      </w:r>
      <w:r>
        <w:rPr>
          <w:rFonts w:hint="eastAsia" w:hAnsi="宋体"/>
          <w:sz w:val="24"/>
          <w:szCs w:val="24"/>
          <w:lang w:eastAsia="zh-CN"/>
        </w:rPr>
        <w:t>衢州市冻猪肉储备政府购买服务项目（三次）</w:t>
      </w:r>
      <w:r>
        <w:rPr>
          <w:rFonts w:hint="eastAsia" w:hAnsi="宋体"/>
          <w:sz w:val="24"/>
          <w:szCs w:val="24"/>
        </w:rPr>
        <w:t>（项目编号：</w:t>
      </w:r>
      <w:r>
        <w:rPr>
          <w:rFonts w:hint="eastAsia" w:hAnsi="宋体"/>
          <w:sz w:val="24"/>
          <w:szCs w:val="24"/>
          <w:lang w:eastAsia="zh-CN"/>
        </w:rPr>
        <w:t>DSYCG2024-010</w:t>
      </w:r>
      <w:r>
        <w:rPr>
          <w:rFonts w:hint="eastAsia" w:hAnsi="宋体"/>
          <w:sz w:val="24"/>
          <w:szCs w:val="24"/>
        </w:rPr>
        <w:t>）公开招标结果，并依据 《中华人民共和国民法典》、《浙江省省级猪肉储备管理办法》（以下简称《省管理办法》）及其他有关法律、行政法规，遵循平等、自愿、公平和诚实信用的原则，甲乙双方就本招标项目订立本协议。</w:t>
      </w:r>
    </w:p>
    <w:p w14:paraId="4B3FD7DD">
      <w:pPr>
        <w:pStyle w:val="29"/>
        <w:snapToGrid w:val="0"/>
        <w:spacing w:line="400" w:lineRule="atLeast"/>
        <w:ind w:firstLine="361" w:firstLineChars="150"/>
        <w:rPr>
          <w:rFonts w:hAnsi="宋体"/>
          <w:b/>
          <w:sz w:val="24"/>
          <w:szCs w:val="24"/>
        </w:rPr>
      </w:pPr>
      <w:r>
        <w:rPr>
          <w:rFonts w:hint="eastAsia" w:hAnsi="宋体"/>
          <w:b/>
          <w:sz w:val="24"/>
          <w:szCs w:val="24"/>
        </w:rPr>
        <w:t>一、储备品种、数量、地点、时间</w:t>
      </w:r>
    </w:p>
    <w:p w14:paraId="2B9DA5F1">
      <w:pPr>
        <w:pStyle w:val="29"/>
        <w:snapToGrid w:val="0"/>
        <w:spacing w:line="400" w:lineRule="atLeast"/>
        <w:rPr>
          <w:rFonts w:hAnsi="宋体"/>
          <w:sz w:val="24"/>
          <w:szCs w:val="24"/>
        </w:rPr>
      </w:pPr>
      <w:r>
        <w:rPr>
          <w:rFonts w:hint="eastAsia" w:hAnsi="宋体"/>
          <w:sz w:val="24"/>
          <w:szCs w:val="24"/>
        </w:rPr>
        <w:t xml:space="preserve">    储备品种：冻猪肉；</w:t>
      </w:r>
    </w:p>
    <w:p w14:paraId="5DABB5FB">
      <w:pPr>
        <w:pStyle w:val="29"/>
        <w:snapToGrid w:val="0"/>
        <w:spacing w:line="400" w:lineRule="atLeast"/>
        <w:rPr>
          <w:rFonts w:hAnsi="宋体"/>
          <w:sz w:val="24"/>
          <w:szCs w:val="24"/>
        </w:rPr>
      </w:pPr>
      <w:r>
        <w:rPr>
          <w:rFonts w:hint="eastAsia" w:hAnsi="宋体"/>
          <w:sz w:val="24"/>
          <w:szCs w:val="24"/>
        </w:rPr>
        <w:t xml:space="preserve">    储备数量：</w:t>
      </w:r>
      <w:r>
        <w:rPr>
          <w:rFonts w:hint="eastAsia" w:hAnsi="宋体"/>
          <w:sz w:val="24"/>
          <w:szCs w:val="24"/>
          <w:u w:val="single"/>
        </w:rPr>
        <w:t xml:space="preserve">     </w:t>
      </w:r>
      <w:r>
        <w:rPr>
          <w:rFonts w:hint="eastAsia" w:hAnsi="宋体"/>
          <w:sz w:val="24"/>
          <w:szCs w:val="24"/>
        </w:rPr>
        <w:t>吨；</w:t>
      </w:r>
    </w:p>
    <w:p w14:paraId="7E964C75">
      <w:pPr>
        <w:pStyle w:val="29"/>
        <w:snapToGrid w:val="0"/>
        <w:spacing w:line="400" w:lineRule="atLeast"/>
        <w:rPr>
          <w:rFonts w:hAnsi="宋体"/>
          <w:sz w:val="24"/>
          <w:szCs w:val="24"/>
        </w:rPr>
      </w:pPr>
      <w:r>
        <w:rPr>
          <w:rFonts w:hint="eastAsia" w:hAnsi="宋体"/>
          <w:sz w:val="24"/>
          <w:szCs w:val="24"/>
        </w:rPr>
        <w:t xml:space="preserve">    储备地点：</w:t>
      </w:r>
      <w:r>
        <w:rPr>
          <w:rFonts w:hint="eastAsia" w:hAnsi="宋体"/>
          <w:sz w:val="24"/>
          <w:szCs w:val="24"/>
          <w:u w:val="single"/>
        </w:rPr>
        <w:t xml:space="preserve">            </w:t>
      </w:r>
      <w:r>
        <w:rPr>
          <w:rFonts w:hint="eastAsia" w:hAnsi="宋体"/>
          <w:sz w:val="24"/>
          <w:szCs w:val="24"/>
        </w:rPr>
        <w:t>；</w:t>
      </w:r>
    </w:p>
    <w:p w14:paraId="25C7B9F2">
      <w:pPr>
        <w:pStyle w:val="29"/>
        <w:snapToGrid w:val="0"/>
        <w:spacing w:line="400" w:lineRule="atLeast"/>
        <w:ind w:firstLine="465"/>
        <w:rPr>
          <w:rFonts w:hAnsi="宋体"/>
          <w:sz w:val="24"/>
          <w:szCs w:val="24"/>
        </w:rPr>
      </w:pPr>
      <w:r>
        <w:rPr>
          <w:rFonts w:hint="eastAsia" w:hAnsi="宋体"/>
          <w:sz w:val="24"/>
          <w:szCs w:val="24"/>
        </w:rPr>
        <w:t>储备时间：一年，自   年  月  日起至  年  月  日止。</w:t>
      </w:r>
    </w:p>
    <w:p w14:paraId="2D86DE8C">
      <w:pPr>
        <w:pStyle w:val="29"/>
        <w:tabs>
          <w:tab w:val="left" w:pos="7574"/>
        </w:tabs>
        <w:snapToGrid w:val="0"/>
        <w:spacing w:line="400" w:lineRule="atLeast"/>
        <w:ind w:firstLine="465"/>
        <w:rPr>
          <w:rFonts w:hAnsi="宋体"/>
          <w:b/>
          <w:sz w:val="24"/>
          <w:szCs w:val="24"/>
        </w:rPr>
      </w:pPr>
      <w:r>
        <w:rPr>
          <w:rFonts w:hint="eastAsia" w:hAnsi="宋体"/>
          <w:b/>
          <w:sz w:val="24"/>
          <w:szCs w:val="24"/>
        </w:rPr>
        <w:t>（注：乙方须合同签订后三十日内将甲方储备冻猪肉入库到位）</w:t>
      </w:r>
      <w:r>
        <w:rPr>
          <w:rFonts w:hAnsi="宋体"/>
          <w:b/>
          <w:sz w:val="24"/>
          <w:szCs w:val="24"/>
        </w:rPr>
        <w:tab/>
      </w:r>
    </w:p>
    <w:p w14:paraId="72DD61D2">
      <w:pPr>
        <w:pStyle w:val="29"/>
        <w:snapToGrid w:val="0"/>
        <w:spacing w:line="400" w:lineRule="atLeast"/>
        <w:ind w:firstLine="465"/>
        <w:rPr>
          <w:rFonts w:hAnsi="宋体"/>
          <w:sz w:val="24"/>
          <w:szCs w:val="24"/>
        </w:rPr>
      </w:pPr>
    </w:p>
    <w:p w14:paraId="45597F8E">
      <w:pPr>
        <w:pStyle w:val="29"/>
        <w:snapToGrid w:val="0"/>
        <w:spacing w:line="400" w:lineRule="atLeast"/>
        <w:ind w:firstLine="482" w:firstLineChars="200"/>
        <w:jc w:val="left"/>
        <w:rPr>
          <w:rFonts w:hAnsi="宋体"/>
          <w:b/>
          <w:sz w:val="24"/>
          <w:szCs w:val="24"/>
        </w:rPr>
      </w:pPr>
    </w:p>
    <w:p w14:paraId="560641C7">
      <w:pPr>
        <w:pStyle w:val="29"/>
        <w:snapToGrid w:val="0"/>
        <w:spacing w:line="400" w:lineRule="atLeast"/>
        <w:ind w:firstLine="482" w:firstLineChars="200"/>
        <w:jc w:val="left"/>
        <w:rPr>
          <w:rFonts w:hAnsi="宋体"/>
          <w:b/>
          <w:sz w:val="24"/>
          <w:szCs w:val="24"/>
        </w:rPr>
      </w:pPr>
      <w:bookmarkStart w:id="350" w:name="_GoBack"/>
      <w:bookmarkEnd w:id="350"/>
      <w:r>
        <w:rPr>
          <w:rFonts w:hint="eastAsia" w:hAnsi="宋体"/>
          <w:b/>
          <w:sz w:val="24"/>
          <w:szCs w:val="24"/>
        </w:rPr>
        <w:t>二、 服务范围与内容及要求</w:t>
      </w:r>
    </w:p>
    <w:p w14:paraId="260090AB">
      <w:pPr>
        <w:pStyle w:val="29"/>
        <w:snapToGrid w:val="0"/>
        <w:spacing w:line="400" w:lineRule="atLeast"/>
        <w:ind w:firstLine="436" w:firstLineChars="182"/>
        <w:jc w:val="left"/>
        <w:rPr>
          <w:rFonts w:hAnsi="宋体"/>
          <w:sz w:val="24"/>
          <w:szCs w:val="24"/>
        </w:rPr>
      </w:pPr>
      <w:r>
        <w:rPr>
          <w:rFonts w:hint="eastAsia" w:hAnsi="宋体"/>
          <w:sz w:val="24"/>
          <w:szCs w:val="24"/>
        </w:rPr>
        <w:t>1.服务范围：中标人在签订合同中须按本项目采购文件的采购需求和中标人的投标响应文件详细明确服务范围。</w:t>
      </w:r>
    </w:p>
    <w:p w14:paraId="272E8630">
      <w:pPr>
        <w:pStyle w:val="29"/>
        <w:snapToGrid w:val="0"/>
        <w:spacing w:line="400" w:lineRule="atLeast"/>
        <w:ind w:firstLine="436" w:firstLineChars="182"/>
        <w:jc w:val="left"/>
        <w:rPr>
          <w:rFonts w:hAnsi="宋体"/>
          <w:sz w:val="24"/>
          <w:szCs w:val="24"/>
        </w:rPr>
      </w:pPr>
      <w:r>
        <w:rPr>
          <w:rFonts w:hint="eastAsia" w:hAnsi="宋体"/>
          <w:sz w:val="24"/>
          <w:szCs w:val="24"/>
        </w:rPr>
        <w:t>2.服务内容及要求：中标人在签订合同中须按本项目采购文件具体详细采购内容及要求和投标响应文件的服务内容及响应采购人要求明确。</w:t>
      </w:r>
    </w:p>
    <w:p w14:paraId="77C1F4A1">
      <w:pPr>
        <w:pStyle w:val="29"/>
        <w:snapToGrid w:val="0"/>
        <w:spacing w:line="400" w:lineRule="atLeast"/>
        <w:ind w:firstLine="439" w:firstLineChars="182"/>
        <w:jc w:val="left"/>
        <w:rPr>
          <w:rFonts w:hAnsi="宋体"/>
          <w:b/>
          <w:sz w:val="24"/>
          <w:szCs w:val="24"/>
        </w:rPr>
      </w:pPr>
      <w:r>
        <w:rPr>
          <w:rFonts w:hint="eastAsia" w:hAnsi="宋体"/>
          <w:b/>
          <w:sz w:val="24"/>
          <w:szCs w:val="24"/>
        </w:rPr>
        <w:t>三、合同金额与期限</w:t>
      </w:r>
    </w:p>
    <w:p w14:paraId="0CD70BDF">
      <w:pPr>
        <w:pStyle w:val="29"/>
        <w:snapToGrid w:val="0"/>
        <w:spacing w:line="400" w:lineRule="atLeast"/>
        <w:ind w:firstLine="436" w:firstLineChars="182"/>
        <w:jc w:val="left"/>
        <w:rPr>
          <w:rFonts w:hAnsi="宋体"/>
          <w:sz w:val="24"/>
          <w:szCs w:val="24"/>
        </w:rPr>
      </w:pPr>
      <w:r>
        <w:rPr>
          <w:rFonts w:hint="eastAsia" w:hAnsi="宋体"/>
          <w:sz w:val="24"/>
          <w:szCs w:val="24"/>
        </w:rPr>
        <w:t xml:space="preserve">1.本合同单价金额为每吨（大写）人民币 </w:t>
      </w:r>
      <w:r>
        <w:rPr>
          <w:rFonts w:hint="eastAsia" w:hAnsi="宋体"/>
          <w:sz w:val="24"/>
          <w:szCs w:val="24"/>
          <w:u w:val="single"/>
        </w:rPr>
        <w:t xml:space="preserve">        </w:t>
      </w:r>
      <w:r>
        <w:rPr>
          <w:rFonts w:hint="eastAsia" w:hAnsi="宋体"/>
          <w:sz w:val="24"/>
          <w:szCs w:val="24"/>
        </w:rPr>
        <w:t>（￥</w:t>
      </w:r>
      <w:r>
        <w:rPr>
          <w:rFonts w:hint="eastAsia" w:hAnsi="宋体"/>
          <w:sz w:val="24"/>
          <w:szCs w:val="24"/>
          <w:u w:val="single"/>
        </w:rPr>
        <w:t xml:space="preserve">      </w:t>
      </w:r>
      <w:r>
        <w:rPr>
          <w:rFonts w:hint="eastAsia" w:hAnsi="宋体"/>
          <w:sz w:val="24"/>
          <w:szCs w:val="24"/>
        </w:rPr>
        <w:t>元）。</w:t>
      </w:r>
    </w:p>
    <w:p w14:paraId="39DAEC0B">
      <w:pPr>
        <w:pStyle w:val="29"/>
        <w:snapToGrid w:val="0"/>
        <w:spacing w:line="400" w:lineRule="atLeast"/>
        <w:ind w:firstLine="436" w:firstLineChars="182"/>
        <w:jc w:val="left"/>
        <w:rPr>
          <w:rFonts w:hAnsi="宋体"/>
          <w:sz w:val="24"/>
          <w:szCs w:val="24"/>
        </w:rPr>
      </w:pPr>
      <w:r>
        <w:rPr>
          <w:rFonts w:hint="eastAsia" w:hAnsi="宋体"/>
          <w:sz w:val="24"/>
          <w:szCs w:val="24"/>
        </w:rPr>
        <w:t>2.服务期限：自合同签订之日起一年</w:t>
      </w:r>
    </w:p>
    <w:p w14:paraId="089DF1C7">
      <w:pPr>
        <w:pStyle w:val="29"/>
        <w:snapToGrid w:val="0"/>
        <w:spacing w:line="400" w:lineRule="atLeast"/>
        <w:rPr>
          <w:rFonts w:hAnsi="宋体"/>
          <w:b/>
          <w:sz w:val="24"/>
          <w:szCs w:val="24"/>
        </w:rPr>
      </w:pPr>
      <w:r>
        <w:rPr>
          <w:rFonts w:hint="eastAsia" w:hAnsi="宋体"/>
          <w:sz w:val="24"/>
          <w:szCs w:val="24"/>
        </w:rPr>
        <w:t xml:space="preserve"> </w:t>
      </w:r>
      <w:r>
        <w:rPr>
          <w:rFonts w:hint="eastAsia" w:hAnsi="宋体"/>
          <w:b/>
          <w:sz w:val="24"/>
          <w:szCs w:val="24"/>
        </w:rPr>
        <w:t xml:space="preserve">   四、储备肉的质量要求</w:t>
      </w:r>
    </w:p>
    <w:p w14:paraId="0B43A601">
      <w:pPr>
        <w:pStyle w:val="29"/>
        <w:snapToGrid w:val="0"/>
        <w:spacing w:line="400" w:lineRule="atLeast"/>
        <w:ind w:firstLine="480"/>
        <w:rPr>
          <w:rFonts w:asciiTheme="minorEastAsia" w:hAnsiTheme="minorEastAsia" w:eastAsiaTheme="minorEastAsia" w:cstheme="minorEastAsia"/>
          <w:color w:val="auto"/>
          <w:sz w:val="24"/>
        </w:rPr>
      </w:pPr>
      <w:r>
        <w:rPr>
          <w:rFonts w:hint="eastAsia" w:hAnsi="宋体"/>
          <w:color w:val="auto"/>
          <w:sz w:val="24"/>
          <w:szCs w:val="24"/>
        </w:rPr>
        <w:t>1.</w:t>
      </w:r>
      <w:r>
        <w:rPr>
          <w:rFonts w:hint="eastAsia" w:asciiTheme="minorEastAsia" w:hAnsiTheme="minorEastAsia" w:eastAsiaTheme="minorEastAsia" w:cstheme="minorEastAsia"/>
          <w:color w:val="auto"/>
          <w:sz w:val="24"/>
        </w:rPr>
        <w:t>入库品种必须是符合国家有关标准的国产或进口带皮、去皮猪肉、预冷猪肉及其分割产品。</w:t>
      </w:r>
    </w:p>
    <w:p w14:paraId="284C7D66">
      <w:pPr>
        <w:pStyle w:val="29"/>
        <w:snapToGrid w:val="0"/>
        <w:spacing w:line="400" w:lineRule="atLeast"/>
        <w:ind w:firstLine="480"/>
        <w:rPr>
          <w:rFonts w:hAnsi="宋体"/>
          <w:color w:val="auto"/>
          <w:sz w:val="24"/>
          <w:szCs w:val="24"/>
        </w:rPr>
      </w:pPr>
      <w:r>
        <w:rPr>
          <w:rFonts w:hint="eastAsia" w:hAnsi="宋体"/>
          <w:color w:val="auto"/>
          <w:sz w:val="24"/>
          <w:szCs w:val="24"/>
        </w:rPr>
        <w:t>2.入库冻猪肉质量必须符合《中华人民共和国食品安全法》、《鲜、冻猪肉及猪副产品第1部分：片猪肉》(GB/T 9959.1-2019)、《分割鲜、冻猪瘦肉》(GB/T 9959.2-2008) 、《鲜（冻）畜、禽产品》（GB2707-2016）。符合相关食品安全标准，如有更新的，按最新标准执行。</w:t>
      </w:r>
    </w:p>
    <w:p w14:paraId="6B61CD20">
      <w:pPr>
        <w:pStyle w:val="29"/>
        <w:snapToGrid w:val="0"/>
        <w:spacing w:line="400" w:lineRule="atLeast"/>
        <w:ind w:firstLine="360" w:firstLineChars="150"/>
        <w:rPr>
          <w:rFonts w:hAnsi="宋体"/>
          <w:color w:val="auto"/>
          <w:sz w:val="24"/>
          <w:szCs w:val="24"/>
        </w:rPr>
      </w:pPr>
      <w:r>
        <w:rPr>
          <w:rFonts w:hint="eastAsia" w:hAnsi="宋体"/>
          <w:color w:val="auto"/>
          <w:sz w:val="24"/>
          <w:szCs w:val="24"/>
        </w:rPr>
        <w:t>3.提供第三方检测机构出具的检验检疫合格证明。</w:t>
      </w:r>
    </w:p>
    <w:p w14:paraId="161ED38B">
      <w:pPr>
        <w:pStyle w:val="29"/>
        <w:snapToGrid w:val="0"/>
        <w:spacing w:line="400" w:lineRule="atLeast"/>
        <w:rPr>
          <w:rFonts w:hAnsi="宋体"/>
          <w:b/>
          <w:sz w:val="24"/>
          <w:szCs w:val="24"/>
        </w:rPr>
      </w:pPr>
      <w:r>
        <w:rPr>
          <w:rFonts w:hint="eastAsia" w:hAnsi="宋体"/>
          <w:sz w:val="24"/>
          <w:szCs w:val="24"/>
        </w:rPr>
        <w:t xml:space="preserve"> </w:t>
      </w:r>
      <w:r>
        <w:rPr>
          <w:rFonts w:hint="eastAsia" w:hAnsi="宋体"/>
          <w:b/>
          <w:sz w:val="24"/>
          <w:szCs w:val="24"/>
        </w:rPr>
        <w:t xml:space="preserve">   五、储备补贴费用计算和结算</w:t>
      </w:r>
    </w:p>
    <w:p w14:paraId="21703B44">
      <w:pPr>
        <w:pStyle w:val="29"/>
        <w:snapToGrid w:val="0"/>
        <w:spacing w:line="400" w:lineRule="atLeast"/>
        <w:rPr>
          <w:rFonts w:hAnsi="宋体"/>
          <w:sz w:val="24"/>
          <w:szCs w:val="24"/>
        </w:rPr>
      </w:pPr>
      <w:r>
        <w:rPr>
          <w:rFonts w:hint="eastAsia" w:hAnsi="宋体"/>
          <w:b/>
          <w:sz w:val="24"/>
          <w:szCs w:val="24"/>
        </w:rPr>
        <w:t xml:space="preserve">  </w:t>
      </w:r>
      <w:r>
        <w:rPr>
          <w:rFonts w:hint="eastAsia" w:hAnsi="宋体"/>
          <w:sz w:val="24"/>
          <w:szCs w:val="24"/>
        </w:rPr>
        <w:t xml:space="preserve">  1.衢州市冻猪肉储备遵循企业储备、政府补贴、市场运作、自负盈亏的原则。</w:t>
      </w:r>
    </w:p>
    <w:p w14:paraId="085D9ED9">
      <w:pPr>
        <w:pStyle w:val="29"/>
        <w:snapToGrid w:val="0"/>
        <w:spacing w:line="400" w:lineRule="atLeast"/>
        <w:ind w:firstLine="480" w:firstLineChars="200"/>
        <w:rPr>
          <w:rFonts w:hAnsi="宋体"/>
          <w:sz w:val="24"/>
          <w:szCs w:val="24"/>
        </w:rPr>
      </w:pPr>
      <w:r>
        <w:rPr>
          <w:rFonts w:hint="eastAsia" w:hAnsi="宋体"/>
          <w:sz w:val="24"/>
          <w:szCs w:val="24"/>
        </w:rPr>
        <w:t>2.储备费用结算：按照中标供应商中标项目合同总价（合同中要标明冻猪肉每吨每月的费用单价）结算储备费用，储备期满后，采购人将对中标供应商储备情况进行审计，如果发现不能履行合同要求，没有按实际时间和数量储备到位的，除按要求扣除不能履行合同中相关储备费用外，加扣合同总价10%的违约费用。</w:t>
      </w:r>
    </w:p>
    <w:p w14:paraId="4D1ACC27">
      <w:pPr>
        <w:pStyle w:val="29"/>
        <w:snapToGrid w:val="0"/>
        <w:spacing w:line="400" w:lineRule="atLeast"/>
        <w:ind w:firstLine="480" w:firstLineChars="200"/>
        <w:rPr>
          <w:rFonts w:hAnsi="宋体"/>
          <w:sz w:val="24"/>
          <w:szCs w:val="24"/>
        </w:rPr>
      </w:pPr>
      <w:r>
        <w:rPr>
          <w:rFonts w:hint="eastAsia" w:hAnsi="宋体"/>
          <w:sz w:val="24"/>
          <w:szCs w:val="24"/>
        </w:rPr>
        <w:t>3.因衢州市政府紧急指令或自然灾害等应急需要出库而造成的净损失经核准给予财政补助。</w:t>
      </w:r>
    </w:p>
    <w:p w14:paraId="4E81F02A">
      <w:pPr>
        <w:pStyle w:val="54"/>
        <w:adjustRightInd w:val="0"/>
        <w:snapToGrid w:val="0"/>
        <w:spacing w:after="0" w:line="400" w:lineRule="atLeast"/>
        <w:ind w:left="0" w:leftChars="0" w:firstLine="480"/>
        <w:jc w:val="left"/>
        <w:rPr>
          <w:rFonts w:asciiTheme="minorEastAsia" w:hAnsiTheme="minorEastAsia" w:eastAsiaTheme="minorEastAsia"/>
          <w:bCs/>
          <w:sz w:val="24"/>
          <w:szCs w:val="24"/>
        </w:rPr>
      </w:pPr>
      <w:r>
        <w:rPr>
          <w:rFonts w:hint="eastAsia" w:hAnsi="宋体"/>
          <w:sz w:val="24"/>
          <w:szCs w:val="24"/>
        </w:rPr>
        <w:t>4.储备费用支付：</w:t>
      </w:r>
      <w:r>
        <w:rPr>
          <w:rFonts w:hint="eastAsia" w:asciiTheme="minorEastAsia" w:hAnsiTheme="minorEastAsia" w:eastAsiaTheme="minorEastAsia"/>
          <w:bCs/>
          <w:sz w:val="24"/>
          <w:szCs w:val="24"/>
        </w:rPr>
        <w:t>储备期满，甲方委托第三方机构进行审计，并于审计报告出具之日的30日内且收到乙方合法有效的等额发票后，根据审计结果支付。</w:t>
      </w:r>
    </w:p>
    <w:p w14:paraId="067EA0A3">
      <w:pPr>
        <w:pStyle w:val="29"/>
        <w:snapToGrid w:val="0"/>
        <w:spacing w:line="400" w:lineRule="atLeast"/>
        <w:rPr>
          <w:rFonts w:hAnsi="宋体"/>
          <w:b/>
          <w:sz w:val="24"/>
          <w:szCs w:val="24"/>
        </w:rPr>
      </w:pPr>
      <w:r>
        <w:rPr>
          <w:rFonts w:hint="eastAsia" w:hAnsi="宋体"/>
          <w:sz w:val="24"/>
          <w:szCs w:val="24"/>
        </w:rPr>
        <w:t xml:space="preserve">  </w:t>
      </w:r>
      <w:r>
        <w:rPr>
          <w:rFonts w:hint="eastAsia" w:hAnsi="宋体"/>
          <w:b/>
          <w:sz w:val="24"/>
          <w:szCs w:val="24"/>
        </w:rPr>
        <w:t xml:space="preserve">  六、双方职责</w:t>
      </w:r>
    </w:p>
    <w:p w14:paraId="537A542B">
      <w:pPr>
        <w:pStyle w:val="29"/>
        <w:snapToGrid w:val="0"/>
        <w:spacing w:line="400" w:lineRule="atLeast"/>
        <w:rPr>
          <w:rFonts w:hAnsi="宋体"/>
          <w:sz w:val="24"/>
          <w:szCs w:val="24"/>
        </w:rPr>
      </w:pPr>
      <w:r>
        <w:rPr>
          <w:rFonts w:hint="eastAsia" w:hAnsi="宋体"/>
          <w:sz w:val="24"/>
          <w:szCs w:val="24"/>
        </w:rPr>
        <w:t xml:space="preserve">   根据招标文件要求，以及乙方在响应文件中的承诺，明确甲乙双方的权利和义务。</w:t>
      </w:r>
    </w:p>
    <w:p w14:paraId="3733917C">
      <w:pPr>
        <w:pStyle w:val="29"/>
        <w:snapToGrid w:val="0"/>
        <w:spacing w:line="400" w:lineRule="atLeast"/>
        <w:ind w:firstLine="361" w:firstLineChars="150"/>
        <w:rPr>
          <w:rFonts w:hAnsi="宋体"/>
          <w:b/>
          <w:sz w:val="24"/>
          <w:szCs w:val="24"/>
        </w:rPr>
      </w:pPr>
      <w:r>
        <w:rPr>
          <w:rFonts w:hint="eastAsia" w:hAnsi="宋体"/>
          <w:b/>
          <w:sz w:val="24"/>
          <w:szCs w:val="24"/>
        </w:rPr>
        <w:t>（一）甲方权利和义务</w:t>
      </w:r>
    </w:p>
    <w:p w14:paraId="47648F75">
      <w:pPr>
        <w:pStyle w:val="29"/>
        <w:snapToGrid w:val="0"/>
        <w:spacing w:line="400" w:lineRule="atLeast"/>
        <w:rPr>
          <w:rFonts w:hAnsi="宋体"/>
          <w:sz w:val="24"/>
          <w:szCs w:val="24"/>
        </w:rPr>
      </w:pPr>
      <w:r>
        <w:rPr>
          <w:rFonts w:hint="eastAsia" w:hAnsi="宋体"/>
          <w:sz w:val="24"/>
          <w:szCs w:val="24"/>
        </w:rPr>
        <w:t xml:space="preserve">    1.甲方负责</w:t>
      </w:r>
      <w:r>
        <w:rPr>
          <w:rFonts w:hint="eastAsia" w:hAnsi="宋体"/>
          <w:sz w:val="24"/>
          <w:szCs w:val="24"/>
          <w:u w:val="single"/>
        </w:rPr>
        <w:t xml:space="preserve">           </w:t>
      </w:r>
      <w:r>
        <w:rPr>
          <w:rFonts w:hint="eastAsia" w:hAnsi="宋体"/>
          <w:sz w:val="24"/>
          <w:szCs w:val="24"/>
        </w:rPr>
        <w:t>储备肉管理、市场应急调控的组织实施，对乙方的储备肉保管、更新、轮换等进行监管，对储备肉数量、质量和储存安全实施监督检查，协调储备肉管理中的有关问题。</w:t>
      </w:r>
    </w:p>
    <w:p w14:paraId="1C525CC8">
      <w:pPr>
        <w:pStyle w:val="29"/>
        <w:snapToGrid w:val="0"/>
        <w:spacing w:line="400" w:lineRule="atLeast"/>
        <w:rPr>
          <w:rFonts w:hAnsi="宋体"/>
          <w:sz w:val="24"/>
          <w:szCs w:val="24"/>
        </w:rPr>
      </w:pPr>
      <w:r>
        <w:rPr>
          <w:rFonts w:hint="eastAsia" w:hAnsi="宋体"/>
          <w:sz w:val="24"/>
          <w:szCs w:val="24"/>
        </w:rPr>
        <w:t xml:space="preserve">    2.甲方在监督检查过程中，可以行使下列职权：</w:t>
      </w:r>
    </w:p>
    <w:p w14:paraId="29D726EE">
      <w:pPr>
        <w:pStyle w:val="29"/>
        <w:snapToGrid w:val="0"/>
        <w:spacing w:line="400" w:lineRule="atLeast"/>
        <w:rPr>
          <w:rFonts w:hAnsi="宋体"/>
          <w:sz w:val="24"/>
          <w:szCs w:val="24"/>
        </w:rPr>
      </w:pPr>
      <w:r>
        <w:rPr>
          <w:rFonts w:hint="eastAsia" w:hAnsi="宋体"/>
          <w:sz w:val="24"/>
          <w:szCs w:val="24"/>
        </w:rPr>
        <w:t xml:space="preserve">    （1）进入储存仓库检查储备肉的数量、质量和储存安全情况，必要时，可以要求乙方开封储备肉包装，审核实物与账目是否一致；</w:t>
      </w:r>
    </w:p>
    <w:p w14:paraId="6FD775AD">
      <w:pPr>
        <w:pStyle w:val="29"/>
        <w:snapToGrid w:val="0"/>
        <w:spacing w:line="400" w:lineRule="atLeast"/>
        <w:rPr>
          <w:rFonts w:hAnsi="宋体"/>
          <w:sz w:val="24"/>
          <w:szCs w:val="24"/>
        </w:rPr>
      </w:pPr>
      <w:r>
        <w:rPr>
          <w:rFonts w:hint="eastAsia" w:hAnsi="宋体"/>
          <w:sz w:val="24"/>
          <w:szCs w:val="24"/>
        </w:rPr>
        <w:t xml:space="preserve">    （2）向乙方及相关人员了解储备肉承储、销售、轮换及动用等计划执行情况；</w:t>
      </w:r>
    </w:p>
    <w:p w14:paraId="522FC045">
      <w:pPr>
        <w:pStyle w:val="29"/>
        <w:snapToGrid w:val="0"/>
        <w:spacing w:line="400" w:lineRule="atLeast"/>
        <w:ind w:firstLine="360" w:firstLineChars="150"/>
        <w:rPr>
          <w:rFonts w:hAnsi="宋体"/>
          <w:sz w:val="24"/>
          <w:szCs w:val="24"/>
        </w:rPr>
      </w:pPr>
      <w:r>
        <w:rPr>
          <w:rFonts w:hint="eastAsia" w:hAnsi="宋体"/>
          <w:sz w:val="24"/>
          <w:szCs w:val="24"/>
        </w:rPr>
        <w:t>（3）调阅储备肉实施库存信息平台，以及相关账簿、资料、凭证等；</w:t>
      </w:r>
    </w:p>
    <w:p w14:paraId="72C9B346">
      <w:pPr>
        <w:pStyle w:val="29"/>
        <w:snapToGrid w:val="0"/>
        <w:spacing w:line="400" w:lineRule="atLeast"/>
        <w:ind w:firstLine="360" w:firstLineChars="150"/>
        <w:rPr>
          <w:rFonts w:hAnsi="宋体"/>
          <w:sz w:val="24"/>
          <w:szCs w:val="24"/>
        </w:rPr>
      </w:pPr>
      <w:r>
        <w:rPr>
          <w:rFonts w:hint="eastAsia" w:hAnsi="宋体"/>
          <w:sz w:val="24"/>
          <w:szCs w:val="24"/>
        </w:rPr>
        <w:t>（4）检查承储单位人员、设施设备、制度等储备管理落实情况与投标响应文件的一致性。</w:t>
      </w:r>
    </w:p>
    <w:p w14:paraId="704DE22E">
      <w:pPr>
        <w:pStyle w:val="29"/>
        <w:snapToGrid w:val="0"/>
        <w:spacing w:line="400" w:lineRule="atLeast"/>
        <w:rPr>
          <w:rFonts w:hAnsi="宋体"/>
          <w:sz w:val="24"/>
          <w:szCs w:val="24"/>
        </w:rPr>
      </w:pPr>
      <w:r>
        <w:rPr>
          <w:rFonts w:hint="eastAsia" w:hAnsi="宋体"/>
          <w:sz w:val="24"/>
          <w:szCs w:val="24"/>
        </w:rPr>
        <w:t xml:space="preserve">      3.甲方可根据工作要求委托第三方中介机构对乙方进行监督检查。</w:t>
      </w:r>
    </w:p>
    <w:p w14:paraId="48561DF0">
      <w:pPr>
        <w:pStyle w:val="29"/>
        <w:snapToGrid w:val="0"/>
        <w:spacing w:line="400" w:lineRule="atLeast"/>
        <w:ind w:firstLine="361" w:firstLineChars="150"/>
        <w:rPr>
          <w:rFonts w:hAnsi="宋体"/>
          <w:b/>
          <w:sz w:val="24"/>
          <w:szCs w:val="24"/>
        </w:rPr>
      </w:pPr>
      <w:r>
        <w:rPr>
          <w:rFonts w:hint="eastAsia" w:hAnsi="宋体"/>
          <w:b/>
          <w:sz w:val="24"/>
          <w:szCs w:val="24"/>
        </w:rPr>
        <w:t>（二）乙方权利和义务</w:t>
      </w:r>
    </w:p>
    <w:p w14:paraId="49758DA7">
      <w:pPr>
        <w:pStyle w:val="29"/>
        <w:snapToGrid w:val="0"/>
        <w:spacing w:line="400" w:lineRule="atLeast"/>
        <w:rPr>
          <w:rFonts w:hAnsi="宋体"/>
          <w:sz w:val="24"/>
          <w:szCs w:val="24"/>
        </w:rPr>
      </w:pPr>
      <w:r>
        <w:rPr>
          <w:rFonts w:hint="eastAsia" w:hAnsi="宋体"/>
          <w:sz w:val="24"/>
          <w:szCs w:val="24"/>
        </w:rPr>
        <w:t xml:space="preserve">    1.乙方须按照《省管理办法》、招标文件、投标文件和本协议的约定，建立健全内部管理制度和应急工作预案，制定严格的储备肉保管与财务制度，落实工作责任和储备计划，明确责任人员，确保储备肉数量足额真实、账实相符、质量合格、储存安全、管理规范、轮换及时和应急保供有力。</w:t>
      </w:r>
    </w:p>
    <w:p w14:paraId="640E7096">
      <w:pPr>
        <w:pStyle w:val="29"/>
        <w:snapToGrid w:val="0"/>
        <w:spacing w:line="400" w:lineRule="atLeast"/>
        <w:rPr>
          <w:rFonts w:hAnsi="宋体"/>
          <w:sz w:val="24"/>
          <w:szCs w:val="24"/>
        </w:rPr>
      </w:pPr>
      <w:r>
        <w:rPr>
          <w:rFonts w:hint="eastAsia" w:hAnsi="宋体"/>
          <w:sz w:val="24"/>
          <w:szCs w:val="24"/>
        </w:rPr>
        <w:t xml:space="preserve">    2.乙方应认真做好储备肉的采购入库，依据本协议确定的储备计划及时足额组织货源，落实专人严把进库关、实行专帐记载和挂牌明示，存放在符合《中央储备肉冻肉储存冷库资质条件》（SB/T 10408-2013）的冷库内。</w:t>
      </w:r>
    </w:p>
    <w:p w14:paraId="36215532">
      <w:pPr>
        <w:pStyle w:val="29"/>
        <w:snapToGrid w:val="0"/>
        <w:spacing w:line="400" w:lineRule="atLeast"/>
        <w:rPr>
          <w:rFonts w:hAnsi="宋体"/>
          <w:sz w:val="24"/>
          <w:szCs w:val="24"/>
        </w:rPr>
      </w:pPr>
      <w:r>
        <w:rPr>
          <w:rFonts w:hint="eastAsia" w:hAnsi="宋体"/>
          <w:sz w:val="24"/>
          <w:szCs w:val="24"/>
        </w:rPr>
        <w:t xml:space="preserve">    3.乙方负责储备肉的在库管理，储备肉应按生产日期先后、不同品种分垛堆码。堆码按照国家冻肉储备相关管理规范执行。</w:t>
      </w:r>
    </w:p>
    <w:p w14:paraId="7008ECD9">
      <w:pPr>
        <w:pStyle w:val="29"/>
        <w:snapToGrid w:val="0"/>
        <w:spacing w:line="400" w:lineRule="atLeast"/>
        <w:ind w:firstLine="480" w:firstLineChars="200"/>
        <w:rPr>
          <w:rFonts w:hAnsi="宋体"/>
          <w:sz w:val="24"/>
          <w:szCs w:val="24"/>
        </w:rPr>
      </w:pPr>
      <w:r>
        <w:rPr>
          <w:rFonts w:hint="eastAsia" w:hAnsi="宋体"/>
          <w:sz w:val="24"/>
          <w:szCs w:val="24"/>
        </w:rPr>
        <w:t>4.乙方应建立储备肉轮换流程，储备肉的轮库出库须履行内部管理的审批流程，根据储备肉的储存质量、正常储存年限（或保质期）和市场供需等情况自行组织轮换，储备轮出后应当及时、保质、同品种、等量轮入，轮换期间最低库存数量不得低于储备委托数计划的70％。特殊情况不能按时轮入、超补仓期的，须报甲方批准同意，否则按擅自动用储备处理。</w:t>
      </w:r>
    </w:p>
    <w:p w14:paraId="6D751145">
      <w:pPr>
        <w:pStyle w:val="29"/>
        <w:snapToGrid w:val="0"/>
        <w:spacing w:line="400" w:lineRule="atLeast"/>
        <w:ind w:firstLine="480"/>
        <w:rPr>
          <w:rFonts w:hAnsi="宋体"/>
          <w:sz w:val="24"/>
          <w:szCs w:val="24"/>
        </w:rPr>
      </w:pPr>
      <w:r>
        <w:rPr>
          <w:rFonts w:hint="eastAsia" w:hAnsi="宋体"/>
          <w:sz w:val="24"/>
          <w:szCs w:val="24"/>
        </w:rPr>
        <w:t>5.做好储备肉信息管理，按储备肉品种规格、生产日期、存放冷库等建立储备肉数量、金额保管台账制度，按月编制储备肉报表，于月度终止后7日内报送给甲方；编制季度储备肉业务、财务报表于季后10日内报送给衢州市</w:t>
      </w:r>
      <w:r>
        <w:rPr>
          <w:rFonts w:hint="eastAsia" w:hAnsi="宋体"/>
          <w:sz w:val="24"/>
          <w:szCs w:val="24"/>
          <w:u w:val="single"/>
        </w:rPr>
        <w:t xml:space="preserve">       </w:t>
      </w:r>
      <w:r>
        <w:rPr>
          <w:rFonts w:hint="eastAsia" w:hAnsi="宋体"/>
          <w:sz w:val="24"/>
          <w:szCs w:val="24"/>
        </w:rPr>
        <w:t>（县、（市）区），确保储备肉账账相符、账实相符。年末 报送储备肉管理工作总结。</w:t>
      </w:r>
    </w:p>
    <w:p w14:paraId="22E20F74">
      <w:pPr>
        <w:pStyle w:val="29"/>
        <w:snapToGrid w:val="0"/>
        <w:spacing w:line="400" w:lineRule="atLeast"/>
        <w:rPr>
          <w:rFonts w:hAnsi="宋体"/>
          <w:sz w:val="24"/>
          <w:szCs w:val="24"/>
        </w:rPr>
      </w:pPr>
      <w:r>
        <w:rPr>
          <w:rFonts w:hint="eastAsia" w:hAnsi="宋体"/>
          <w:sz w:val="24"/>
          <w:szCs w:val="24"/>
        </w:rPr>
        <w:t xml:space="preserve">    6.对储备肉的入库、轮换及保管中产生的因把关不严或由于不适时轮换而造成的损失，由乙方自行负责。</w:t>
      </w:r>
    </w:p>
    <w:p w14:paraId="4EDD148A">
      <w:pPr>
        <w:pStyle w:val="29"/>
        <w:snapToGrid w:val="0"/>
        <w:spacing w:line="400" w:lineRule="atLeast"/>
        <w:rPr>
          <w:rFonts w:hAnsi="宋体"/>
          <w:sz w:val="24"/>
          <w:szCs w:val="24"/>
        </w:rPr>
      </w:pPr>
      <w:r>
        <w:rPr>
          <w:rFonts w:hint="eastAsia" w:hAnsi="宋体"/>
          <w:sz w:val="24"/>
          <w:szCs w:val="24"/>
        </w:rPr>
        <w:t xml:space="preserve">    7.因突发事件或市政府及甲方提出出库指令，乙方要积极配合，按要求及时、高效地完成各项工作。</w:t>
      </w:r>
    </w:p>
    <w:p w14:paraId="0B0007D1">
      <w:pPr>
        <w:pStyle w:val="29"/>
        <w:snapToGrid w:val="0"/>
        <w:spacing w:line="400" w:lineRule="atLeast"/>
        <w:rPr>
          <w:rFonts w:hAnsi="宋体"/>
          <w:sz w:val="24"/>
          <w:szCs w:val="24"/>
        </w:rPr>
      </w:pPr>
      <w:r>
        <w:rPr>
          <w:rFonts w:hint="eastAsia" w:hAnsi="宋体"/>
          <w:sz w:val="24"/>
          <w:szCs w:val="24"/>
        </w:rPr>
        <w:t>8. 乙方承储条件发生重大变化，或出现连续亏损，不能正常生产经营，无法继续承担重要商品储备任务，或乙方（以集团公司应标的含储存冷库）资产负债率达到70%、发生违法违规违纪等不良行为或进入撤销、解散或者破产程序时，应及时书面报告甲方。乙方发生上述情形的，甲方可采取终止本合同、取消承储资格等措施。</w:t>
      </w:r>
    </w:p>
    <w:p w14:paraId="73AB0D85">
      <w:pPr>
        <w:pStyle w:val="29"/>
        <w:snapToGrid w:val="0"/>
        <w:spacing w:line="400" w:lineRule="atLeast"/>
        <w:ind w:firstLine="480"/>
        <w:rPr>
          <w:rFonts w:hAnsi="宋体"/>
          <w:sz w:val="24"/>
          <w:szCs w:val="24"/>
        </w:rPr>
      </w:pPr>
      <w:r>
        <w:rPr>
          <w:rFonts w:hint="eastAsia" w:hAnsi="宋体"/>
          <w:sz w:val="24"/>
          <w:szCs w:val="24"/>
        </w:rPr>
        <w:t>9.乙方应随时接受并配合甲方及其指定的监管单位开展的监督检查，不得拒绝、阻扰。乙方违反《管理办法》或本合同有关规定的，甲方有权责令限期整改。</w:t>
      </w:r>
    </w:p>
    <w:p w14:paraId="5A34CB8C">
      <w:pPr>
        <w:pStyle w:val="29"/>
        <w:snapToGrid w:val="0"/>
        <w:spacing w:line="400" w:lineRule="atLeast"/>
        <w:rPr>
          <w:rFonts w:hAnsi="宋体"/>
          <w:b/>
          <w:sz w:val="24"/>
        </w:rPr>
      </w:pPr>
      <w:r>
        <w:rPr>
          <w:rFonts w:hint="eastAsia" w:hAnsi="宋体"/>
          <w:b/>
          <w:sz w:val="24"/>
          <w:szCs w:val="24"/>
        </w:rPr>
        <w:t xml:space="preserve">    </w:t>
      </w:r>
      <w:r>
        <w:rPr>
          <w:rFonts w:hint="eastAsia" w:hAnsi="宋体"/>
          <w:b/>
          <w:sz w:val="24"/>
        </w:rPr>
        <w:t>七、税费</w:t>
      </w:r>
    </w:p>
    <w:p w14:paraId="754D9A90">
      <w:pPr>
        <w:snapToGrid w:val="0"/>
        <w:spacing w:line="400" w:lineRule="atLeast"/>
        <w:ind w:firstLine="480" w:firstLineChars="200"/>
        <w:jc w:val="left"/>
        <w:rPr>
          <w:rFonts w:ascii="宋体" w:hAnsi="宋体"/>
          <w:sz w:val="24"/>
        </w:rPr>
      </w:pPr>
      <w:r>
        <w:rPr>
          <w:rFonts w:hint="eastAsia" w:ascii="宋体" w:hAnsi="宋体"/>
          <w:sz w:val="24"/>
        </w:rPr>
        <w:t>本合同执行中相关的一切税费均由乙方负担。</w:t>
      </w:r>
    </w:p>
    <w:p w14:paraId="42325898">
      <w:pPr>
        <w:snapToGrid w:val="0"/>
        <w:spacing w:line="400" w:lineRule="atLeast"/>
        <w:ind w:firstLine="482" w:firstLineChars="200"/>
        <w:jc w:val="left"/>
        <w:rPr>
          <w:rFonts w:ascii="宋体" w:hAnsi="宋体"/>
          <w:sz w:val="24"/>
        </w:rPr>
      </w:pPr>
      <w:r>
        <w:rPr>
          <w:rFonts w:hint="eastAsia" w:ascii="宋体" w:hAnsi="宋体"/>
          <w:b/>
          <w:sz w:val="24"/>
        </w:rPr>
        <w:t>八、违约责任</w:t>
      </w:r>
    </w:p>
    <w:p w14:paraId="543F60A2">
      <w:pPr>
        <w:spacing w:line="400" w:lineRule="atLeast"/>
        <w:ind w:firstLine="480" w:firstLineChars="200"/>
        <w:rPr>
          <w:rFonts w:ascii="宋体" w:hAnsi="宋体"/>
          <w:sz w:val="24"/>
        </w:rPr>
      </w:pPr>
      <w:r>
        <w:rPr>
          <w:rFonts w:hint="eastAsia" w:ascii="宋体" w:hAnsi="宋体"/>
          <w:sz w:val="24"/>
        </w:rPr>
        <w:t>（一）在采购人随机检查时，除甲方事先同意情况外储备数量达不到70%的每次扣除违约金</w:t>
      </w:r>
      <w:r>
        <w:rPr>
          <w:rFonts w:hint="eastAsia" w:ascii="宋体" w:hAnsi="宋体"/>
          <w:sz w:val="24"/>
          <w:u w:val="single"/>
        </w:rPr>
        <w:t xml:space="preserve">             </w:t>
      </w:r>
      <w:r>
        <w:rPr>
          <w:rFonts w:hint="eastAsia" w:ascii="宋体" w:hAnsi="宋体"/>
          <w:sz w:val="24"/>
        </w:rPr>
        <w:t>元。</w:t>
      </w:r>
    </w:p>
    <w:p w14:paraId="19317F6A">
      <w:pPr>
        <w:spacing w:line="400" w:lineRule="atLeast"/>
        <w:ind w:firstLine="480" w:firstLineChars="200"/>
        <w:rPr>
          <w:rFonts w:ascii="宋体" w:hAnsi="宋体"/>
          <w:sz w:val="24"/>
        </w:rPr>
      </w:pPr>
      <w:r>
        <w:rPr>
          <w:rFonts w:hint="eastAsia" w:ascii="宋体" w:hAnsi="宋体"/>
          <w:sz w:val="24"/>
        </w:rPr>
        <w:t>（二）双方应严格履行本协议，如发生以下情况之一的，处以5000元以上10万元以下的违约金额，甲方有权终止协议，取消承储资格，并移交有关部门按照《财政违法行为处罚处分条例》进行查处；涉嫌犯罪的依法移交司法机关追究刑事责任：</w:t>
      </w:r>
    </w:p>
    <w:p w14:paraId="0E00BCDB">
      <w:pPr>
        <w:spacing w:line="400" w:lineRule="atLeast"/>
        <w:ind w:firstLine="240" w:firstLineChars="100"/>
        <w:rPr>
          <w:rFonts w:ascii="宋体" w:hAnsi="宋体"/>
          <w:sz w:val="24"/>
        </w:rPr>
      </w:pPr>
      <w:r>
        <w:rPr>
          <w:rFonts w:hint="eastAsia" w:ascii="宋体" w:hAnsi="宋体"/>
          <w:sz w:val="24"/>
        </w:rPr>
        <w:t xml:space="preserve"> 1.</w:t>
      </w:r>
      <w:r>
        <w:rPr>
          <w:rFonts w:hint="eastAsia" w:ascii="宋体" w:hAnsi="宋体"/>
          <w:sz w:val="24"/>
          <w:u w:val="single"/>
        </w:rPr>
        <w:t xml:space="preserve">     </w:t>
      </w:r>
      <w:r>
        <w:rPr>
          <w:rFonts w:hint="eastAsia" w:ascii="宋体" w:hAnsi="宋体"/>
          <w:sz w:val="24"/>
        </w:rPr>
        <w:t>县（市）、区政府调销储备肉时，乙方不按本协议约定执行的；</w:t>
      </w:r>
    </w:p>
    <w:p w14:paraId="3A34D78D">
      <w:pPr>
        <w:spacing w:line="400" w:lineRule="atLeast"/>
        <w:ind w:firstLine="360" w:firstLineChars="150"/>
        <w:rPr>
          <w:rFonts w:ascii="宋体" w:hAnsi="宋体"/>
          <w:sz w:val="24"/>
        </w:rPr>
      </w:pPr>
      <w:r>
        <w:rPr>
          <w:rFonts w:hint="eastAsia" w:ascii="宋体" w:hAnsi="宋体"/>
          <w:sz w:val="24"/>
        </w:rPr>
        <w:t>2.乙方私自变更存储地点的；</w:t>
      </w:r>
    </w:p>
    <w:p w14:paraId="04C431A1">
      <w:pPr>
        <w:spacing w:line="400" w:lineRule="atLeast"/>
        <w:ind w:firstLine="360" w:firstLineChars="150"/>
        <w:rPr>
          <w:rFonts w:ascii="宋体" w:hAnsi="宋体"/>
          <w:sz w:val="24"/>
        </w:rPr>
      </w:pPr>
      <w:r>
        <w:rPr>
          <w:rFonts w:hint="eastAsia" w:ascii="宋体" w:hAnsi="宋体"/>
          <w:sz w:val="24"/>
        </w:rPr>
        <w:t>3.乙方在承储期内弄虚作假、帐实不符，不配合检查的；</w:t>
      </w:r>
    </w:p>
    <w:p w14:paraId="602C089B">
      <w:pPr>
        <w:spacing w:line="400" w:lineRule="atLeast"/>
        <w:ind w:firstLine="360" w:firstLineChars="150"/>
        <w:rPr>
          <w:rFonts w:ascii="宋体" w:hAnsi="宋体"/>
          <w:sz w:val="24"/>
        </w:rPr>
      </w:pPr>
      <w:r>
        <w:rPr>
          <w:rFonts w:hint="eastAsia" w:ascii="宋体" w:hAnsi="宋体"/>
          <w:sz w:val="24"/>
        </w:rPr>
        <w:t>4.承储期内储备品种、数量、质量、储存库点与本协议要求不符的；</w:t>
      </w:r>
    </w:p>
    <w:p w14:paraId="665EDCAF">
      <w:pPr>
        <w:spacing w:line="400" w:lineRule="atLeast"/>
        <w:ind w:firstLine="360" w:firstLineChars="150"/>
        <w:rPr>
          <w:rFonts w:ascii="宋体" w:hAnsi="宋体"/>
          <w:sz w:val="24"/>
        </w:rPr>
      </w:pPr>
      <w:r>
        <w:rPr>
          <w:rFonts w:hint="eastAsia" w:ascii="宋体" w:hAnsi="宋体"/>
          <w:sz w:val="24"/>
        </w:rPr>
        <w:t>5.乙方虚报冒领、套取或骗取财政补贴的；</w:t>
      </w:r>
    </w:p>
    <w:p w14:paraId="48726C77">
      <w:pPr>
        <w:spacing w:line="400" w:lineRule="atLeast"/>
        <w:ind w:firstLine="360" w:firstLineChars="150"/>
        <w:rPr>
          <w:rFonts w:ascii="宋体" w:hAnsi="宋体"/>
          <w:sz w:val="24"/>
        </w:rPr>
      </w:pPr>
      <w:r>
        <w:rPr>
          <w:rFonts w:hint="eastAsia" w:ascii="宋体" w:hAnsi="宋体"/>
          <w:sz w:val="24"/>
        </w:rPr>
        <w:t>6.未经甲方同意，乙方擅自轮库出售、动用储备肉的；</w:t>
      </w:r>
    </w:p>
    <w:p w14:paraId="486B8566">
      <w:pPr>
        <w:spacing w:line="400" w:lineRule="atLeast"/>
        <w:ind w:firstLine="480" w:firstLineChars="200"/>
        <w:rPr>
          <w:rFonts w:ascii="宋体" w:hAnsi="宋体"/>
          <w:sz w:val="24"/>
        </w:rPr>
      </w:pPr>
      <w:r>
        <w:rPr>
          <w:rFonts w:hint="eastAsia" w:ascii="宋体" w:hAnsi="宋体"/>
          <w:sz w:val="24"/>
        </w:rPr>
        <w:t>7.擅自将重要商品储备对外担保或清偿债务的；</w:t>
      </w:r>
    </w:p>
    <w:p w14:paraId="6EE0432A">
      <w:pPr>
        <w:spacing w:line="400" w:lineRule="atLeast"/>
        <w:ind w:firstLine="480" w:firstLineChars="200"/>
        <w:rPr>
          <w:rFonts w:ascii="宋体" w:hAnsi="宋体"/>
          <w:sz w:val="24"/>
        </w:rPr>
      </w:pPr>
      <w:r>
        <w:rPr>
          <w:rFonts w:hint="eastAsia" w:ascii="宋体" w:hAnsi="宋体"/>
          <w:sz w:val="24"/>
        </w:rPr>
        <w:t>8.未履行本协议约定的其它相关义务的。</w:t>
      </w:r>
    </w:p>
    <w:p w14:paraId="4C20EE1A">
      <w:pPr>
        <w:pStyle w:val="29"/>
        <w:snapToGrid w:val="0"/>
        <w:spacing w:line="400" w:lineRule="atLeast"/>
        <w:ind w:firstLine="482" w:firstLineChars="200"/>
        <w:jc w:val="left"/>
        <w:rPr>
          <w:rFonts w:hAnsi="宋体"/>
          <w:b/>
          <w:sz w:val="24"/>
          <w:szCs w:val="24"/>
        </w:rPr>
      </w:pPr>
      <w:r>
        <w:rPr>
          <w:rFonts w:hint="eastAsia" w:hAnsi="宋体"/>
          <w:b/>
          <w:sz w:val="24"/>
          <w:szCs w:val="24"/>
        </w:rPr>
        <w:t>九、不可抗力事件处理</w:t>
      </w:r>
    </w:p>
    <w:p w14:paraId="076D30FE">
      <w:pPr>
        <w:spacing w:line="400" w:lineRule="atLeast"/>
        <w:ind w:firstLine="480" w:firstLineChars="200"/>
        <w:jc w:val="left"/>
        <w:rPr>
          <w:rFonts w:ascii="宋体" w:hAnsi="宋体"/>
          <w:sz w:val="24"/>
        </w:rPr>
      </w:pPr>
      <w:r>
        <w:rPr>
          <w:rFonts w:ascii="宋体" w:hAnsi="宋体"/>
          <w:sz w:val="24"/>
        </w:rPr>
        <w:t>1</w:t>
      </w:r>
      <w:r>
        <w:rPr>
          <w:rFonts w:hint="eastAsia" w:ascii="宋体" w:hAnsi="宋体"/>
          <w:sz w:val="24"/>
        </w:rPr>
        <w:t>．在合同有效期内，任何一方因不可抗力事件导致不能履行合同，则合同履行期可延长，其延长期与不可抗力影响期相同。</w:t>
      </w:r>
    </w:p>
    <w:p w14:paraId="213A5738">
      <w:pPr>
        <w:spacing w:line="400" w:lineRule="atLeast"/>
        <w:ind w:firstLine="480" w:firstLineChars="200"/>
        <w:jc w:val="left"/>
        <w:rPr>
          <w:rFonts w:ascii="宋体" w:hAnsi="宋体"/>
          <w:sz w:val="24"/>
        </w:rPr>
      </w:pPr>
      <w:r>
        <w:rPr>
          <w:rFonts w:ascii="宋体" w:hAnsi="宋体"/>
          <w:sz w:val="24"/>
        </w:rPr>
        <w:t>2</w:t>
      </w:r>
      <w:r>
        <w:rPr>
          <w:rFonts w:hint="eastAsia" w:ascii="宋体" w:hAnsi="宋体"/>
          <w:sz w:val="24"/>
        </w:rPr>
        <w:t>．不可抗力事件发生后，应立即通知对方，并寄送有关权威机构出具的证明。</w:t>
      </w:r>
    </w:p>
    <w:p w14:paraId="75FF7DF5">
      <w:pPr>
        <w:spacing w:line="400" w:lineRule="atLeast"/>
        <w:ind w:firstLine="480" w:firstLineChars="200"/>
        <w:jc w:val="left"/>
        <w:rPr>
          <w:rFonts w:ascii="宋体" w:hAnsi="宋体"/>
          <w:sz w:val="24"/>
        </w:rPr>
      </w:pPr>
      <w:r>
        <w:rPr>
          <w:rFonts w:ascii="宋体" w:hAnsi="宋体"/>
          <w:sz w:val="24"/>
        </w:rPr>
        <w:t>3</w:t>
      </w:r>
      <w:r>
        <w:rPr>
          <w:rFonts w:hint="eastAsia" w:ascii="宋体" w:hAnsi="宋体"/>
          <w:sz w:val="24"/>
        </w:rPr>
        <w:t>．不可抗力事件延续</w:t>
      </w:r>
      <w:r>
        <w:rPr>
          <w:rFonts w:ascii="宋体" w:hAnsi="宋体"/>
          <w:sz w:val="24"/>
        </w:rPr>
        <w:t>120</w:t>
      </w:r>
      <w:r>
        <w:rPr>
          <w:rFonts w:hint="eastAsia" w:ascii="宋体" w:hAnsi="宋体"/>
          <w:sz w:val="24"/>
        </w:rPr>
        <w:t>天以上，双方应通过友好协商，确定是否继续履行合同。</w:t>
      </w:r>
    </w:p>
    <w:p w14:paraId="0FCCBFEF">
      <w:pPr>
        <w:spacing w:line="400" w:lineRule="atLeast"/>
        <w:ind w:firstLine="482" w:firstLineChars="200"/>
        <w:jc w:val="left"/>
        <w:rPr>
          <w:rFonts w:hAnsi="宋体"/>
          <w:b/>
          <w:sz w:val="24"/>
        </w:rPr>
      </w:pPr>
      <w:r>
        <w:rPr>
          <w:rFonts w:hint="eastAsia" w:hAnsi="宋体"/>
          <w:b/>
          <w:sz w:val="24"/>
        </w:rPr>
        <w:t>十、诉讼</w:t>
      </w:r>
    </w:p>
    <w:p w14:paraId="68EA9914">
      <w:pPr>
        <w:spacing w:line="400" w:lineRule="atLeast"/>
        <w:ind w:firstLine="480" w:firstLineChars="200"/>
        <w:jc w:val="left"/>
        <w:rPr>
          <w:rFonts w:ascii="宋体" w:hAnsi="宋体"/>
          <w:sz w:val="24"/>
        </w:rPr>
      </w:pPr>
      <w:r>
        <w:rPr>
          <w:rFonts w:hint="eastAsia" w:ascii="宋体" w:hAnsi="宋体"/>
          <w:sz w:val="24"/>
        </w:rPr>
        <w:t>甲乙双方因合同及合同有关事项发生的争议，按下列第（2）种方式解决：</w:t>
      </w:r>
    </w:p>
    <w:p w14:paraId="79822D2A">
      <w:pPr>
        <w:spacing w:line="400" w:lineRule="atLeast"/>
        <w:ind w:firstLine="480" w:firstLineChars="200"/>
        <w:jc w:val="left"/>
        <w:rPr>
          <w:rFonts w:ascii="宋体" w:hAnsi="宋体"/>
          <w:sz w:val="24"/>
        </w:rPr>
      </w:pPr>
      <w:r>
        <w:rPr>
          <w:rFonts w:hint="eastAsia" w:ascii="宋体" w:hAnsi="宋体"/>
          <w:sz w:val="24"/>
        </w:rPr>
        <w:t>（1）向衢州仲裁委员会申请仲裁；</w:t>
      </w:r>
    </w:p>
    <w:p w14:paraId="4B899EAE">
      <w:pPr>
        <w:spacing w:line="400" w:lineRule="atLeast"/>
        <w:ind w:firstLine="480" w:firstLineChars="200"/>
        <w:jc w:val="left"/>
        <w:rPr>
          <w:rFonts w:ascii="宋体" w:hAnsi="宋体"/>
          <w:sz w:val="24"/>
        </w:rPr>
      </w:pPr>
      <w:r>
        <w:rPr>
          <w:rFonts w:hint="eastAsia" w:ascii="宋体" w:hAnsi="宋体"/>
          <w:sz w:val="24"/>
        </w:rPr>
        <w:t>（2）向甲方所在地的人民法院起诉。</w:t>
      </w:r>
    </w:p>
    <w:p w14:paraId="17C7853F">
      <w:pPr>
        <w:pStyle w:val="29"/>
        <w:snapToGrid w:val="0"/>
        <w:spacing w:line="400" w:lineRule="atLeast"/>
        <w:ind w:firstLine="482" w:firstLineChars="200"/>
        <w:jc w:val="left"/>
        <w:rPr>
          <w:rFonts w:hAnsi="宋体"/>
          <w:b/>
          <w:sz w:val="24"/>
          <w:szCs w:val="24"/>
        </w:rPr>
      </w:pPr>
      <w:r>
        <w:rPr>
          <w:rFonts w:hint="eastAsia" w:hAnsi="宋体"/>
          <w:b/>
          <w:sz w:val="24"/>
          <w:szCs w:val="24"/>
        </w:rPr>
        <w:t>十一、合同生效及其它</w:t>
      </w:r>
    </w:p>
    <w:p w14:paraId="0CB77426">
      <w:pPr>
        <w:autoSpaceDE w:val="0"/>
        <w:autoSpaceDN w:val="0"/>
        <w:spacing w:line="400" w:lineRule="atLeast"/>
        <w:ind w:firstLine="480" w:firstLineChars="200"/>
        <w:jc w:val="left"/>
        <w:textAlignment w:val="bottom"/>
        <w:rPr>
          <w:rFonts w:ascii="宋体" w:hAnsi="宋体" w:cs="宋体"/>
          <w:sz w:val="24"/>
        </w:rPr>
      </w:pPr>
      <w:r>
        <w:rPr>
          <w:rFonts w:hint="eastAsia" w:ascii="宋体" w:hAnsi="宋体" w:cs="宋体"/>
          <w:sz w:val="24"/>
        </w:rPr>
        <w:t>1.合同经双方法定代表人或授权代表签字并加盖单位公章后生效。</w:t>
      </w:r>
    </w:p>
    <w:p w14:paraId="7180B3DF">
      <w:pPr>
        <w:autoSpaceDE w:val="0"/>
        <w:autoSpaceDN w:val="0"/>
        <w:spacing w:line="400" w:lineRule="atLeast"/>
        <w:ind w:firstLine="480" w:firstLineChars="200"/>
        <w:jc w:val="left"/>
        <w:textAlignment w:val="bottom"/>
        <w:rPr>
          <w:rFonts w:ascii="宋体" w:hAnsi="宋体" w:cs="宋体"/>
          <w:sz w:val="24"/>
        </w:rPr>
      </w:pPr>
      <w:r>
        <w:rPr>
          <w:rFonts w:hint="eastAsia" w:ascii="宋体" w:hAnsi="宋体" w:cs="宋体"/>
          <w:sz w:val="24"/>
        </w:rPr>
        <w:t>2.本合同未尽事宜，双方可以补充协议加以补充或增加条款，但补充增加部分不得与原招投标文件相矛盾，更不得修改其实质性条款。补充协议或增加条款与本合同具有相同的法律效力。</w:t>
      </w:r>
    </w:p>
    <w:p w14:paraId="4828D729">
      <w:pPr>
        <w:autoSpaceDE w:val="0"/>
        <w:autoSpaceDN w:val="0"/>
        <w:spacing w:line="400" w:lineRule="atLeast"/>
        <w:ind w:firstLine="480" w:firstLineChars="200"/>
        <w:jc w:val="left"/>
        <w:textAlignment w:val="bottom"/>
        <w:rPr>
          <w:rFonts w:ascii="宋体" w:hAnsi="宋体" w:cs="宋体"/>
          <w:sz w:val="24"/>
        </w:rPr>
      </w:pPr>
      <w:r>
        <w:rPr>
          <w:rFonts w:hint="eastAsia" w:ascii="宋体" w:hAnsi="宋体" w:cs="宋体"/>
          <w:sz w:val="24"/>
        </w:rPr>
        <w:t>3.本合同正本一式六份，具有同等法律效力，甲乙方各执二份；备案二份。</w:t>
      </w:r>
    </w:p>
    <w:p w14:paraId="166B770E">
      <w:pPr>
        <w:pStyle w:val="29"/>
        <w:snapToGrid w:val="0"/>
        <w:spacing w:before="120" w:after="120"/>
        <w:ind w:firstLine="482" w:firstLineChars="200"/>
        <w:rPr>
          <w:rFonts w:hAnsi="宋体"/>
          <w:b/>
          <w:sz w:val="24"/>
          <w:szCs w:val="24"/>
        </w:rPr>
      </w:pPr>
      <w:r>
        <w:rPr>
          <w:rFonts w:hint="eastAsia" w:hAnsi="宋体"/>
          <w:b/>
          <w:sz w:val="24"/>
          <w:szCs w:val="24"/>
        </w:rPr>
        <w:t>4.附：衢州市冻猪肉储备管理检查及工作内容清单</w:t>
      </w:r>
    </w:p>
    <w:p w14:paraId="0175CE90">
      <w:pPr>
        <w:pStyle w:val="22"/>
        <w:ind w:firstLine="482" w:firstLineChars="200"/>
        <w:jc w:val="both"/>
        <w:rPr>
          <w:color w:val="auto"/>
        </w:rPr>
      </w:pPr>
      <w:r>
        <w:rPr>
          <w:color w:val="auto"/>
          <w:sz w:val="24"/>
        </w:rPr>
        <w:t>甲方：</w:t>
      </w:r>
      <w:r>
        <w:rPr>
          <w:rFonts w:hint="eastAsia"/>
          <w:color w:val="auto"/>
          <w:sz w:val="24"/>
        </w:rPr>
        <w:t xml:space="preserve">（公章） </w:t>
      </w:r>
      <w:r>
        <w:rPr>
          <w:color w:val="auto"/>
          <w:sz w:val="24"/>
        </w:rPr>
        <w:t xml:space="preserve">                               乙方：</w:t>
      </w:r>
      <w:r>
        <w:rPr>
          <w:rFonts w:hint="eastAsia"/>
          <w:color w:val="auto"/>
          <w:sz w:val="24"/>
        </w:rPr>
        <w:t xml:space="preserve">   （公章）</w:t>
      </w:r>
    </w:p>
    <w:p w14:paraId="61329E68">
      <w:pPr>
        <w:pStyle w:val="22"/>
        <w:ind w:firstLine="482" w:firstLineChars="200"/>
        <w:jc w:val="both"/>
        <w:rPr>
          <w:color w:val="auto"/>
        </w:rPr>
      </w:pPr>
      <w:r>
        <w:rPr>
          <w:color w:val="auto"/>
          <w:sz w:val="24"/>
        </w:rPr>
        <w:t>代表签字：</w:t>
      </w:r>
      <w:r>
        <w:rPr>
          <w:rFonts w:hint="eastAsia"/>
          <w:color w:val="auto"/>
          <w:sz w:val="24"/>
        </w:rPr>
        <w:t xml:space="preserve"> </w:t>
      </w:r>
      <w:r>
        <w:rPr>
          <w:color w:val="auto"/>
          <w:sz w:val="24"/>
        </w:rPr>
        <w:t xml:space="preserve">                                   代表签字：</w:t>
      </w:r>
    </w:p>
    <w:p w14:paraId="6FA0574F">
      <w:pPr>
        <w:ind w:firstLine="480" w:firstLineChars="200"/>
        <w:rPr>
          <w:rFonts w:ascii="宋体" w:hAnsi="宋体"/>
          <w:b/>
          <w:sz w:val="36"/>
        </w:rPr>
      </w:pPr>
      <w:r>
        <w:rPr>
          <w:rFonts w:ascii="宋体" w:hAnsi="宋体"/>
          <w:sz w:val="24"/>
        </w:rPr>
        <w:t>签约日期：</w:t>
      </w:r>
      <w:r>
        <w:rPr>
          <w:rFonts w:hint="eastAsia" w:ascii="宋体" w:hAnsi="宋体"/>
          <w:sz w:val="24"/>
        </w:rPr>
        <w:t xml:space="preserve"> </w:t>
      </w:r>
      <w:r>
        <w:rPr>
          <w:rFonts w:ascii="宋体" w:hAnsi="宋体"/>
          <w:sz w:val="24"/>
        </w:rPr>
        <w:t xml:space="preserve"> 年</w:t>
      </w:r>
      <w:r>
        <w:rPr>
          <w:rFonts w:hint="eastAsia" w:ascii="宋体" w:hAnsi="宋体"/>
          <w:sz w:val="24"/>
        </w:rPr>
        <w:t xml:space="preserve"> </w:t>
      </w:r>
      <w:r>
        <w:rPr>
          <w:rFonts w:ascii="宋体" w:hAnsi="宋体"/>
          <w:sz w:val="24"/>
        </w:rPr>
        <w:t xml:space="preserve"> 月</w:t>
      </w:r>
      <w:r>
        <w:rPr>
          <w:rFonts w:hint="eastAsia" w:ascii="宋体" w:hAnsi="宋体"/>
          <w:sz w:val="24"/>
        </w:rPr>
        <w:t xml:space="preserve"> </w:t>
      </w:r>
      <w:r>
        <w:rPr>
          <w:rFonts w:ascii="宋体" w:hAnsi="宋体"/>
          <w:sz w:val="24"/>
        </w:rPr>
        <w:t xml:space="preserve"> 日</w:t>
      </w:r>
      <w:r>
        <w:rPr>
          <w:rFonts w:hint="eastAsia" w:ascii="宋体" w:hAnsi="宋体"/>
          <w:sz w:val="24"/>
        </w:rPr>
        <w:t xml:space="preserve"> </w:t>
      </w:r>
      <w:r>
        <w:rPr>
          <w:rFonts w:ascii="宋体" w:hAnsi="宋体"/>
          <w:sz w:val="24"/>
        </w:rPr>
        <w:t xml:space="preserve">                       签约日期：</w:t>
      </w:r>
      <w:r>
        <w:rPr>
          <w:rFonts w:hint="eastAsia" w:ascii="宋体" w:hAnsi="宋体"/>
          <w:sz w:val="24"/>
        </w:rPr>
        <w:t xml:space="preserve"> </w:t>
      </w:r>
      <w:r>
        <w:rPr>
          <w:rFonts w:ascii="宋体" w:hAnsi="宋体"/>
          <w:sz w:val="24"/>
        </w:rPr>
        <w:t xml:space="preserve"> 年</w:t>
      </w:r>
      <w:r>
        <w:rPr>
          <w:rFonts w:hint="eastAsia" w:ascii="宋体" w:hAnsi="宋体"/>
          <w:sz w:val="24"/>
        </w:rPr>
        <w:t xml:space="preserve"> </w:t>
      </w:r>
      <w:r>
        <w:rPr>
          <w:rFonts w:ascii="宋体" w:hAnsi="宋体"/>
          <w:sz w:val="24"/>
        </w:rPr>
        <w:t xml:space="preserve"> 月</w:t>
      </w:r>
      <w:r>
        <w:rPr>
          <w:rFonts w:hint="eastAsia" w:ascii="宋体" w:hAnsi="宋体"/>
          <w:sz w:val="24"/>
        </w:rPr>
        <w:t xml:space="preserve"> </w:t>
      </w:r>
      <w:r>
        <w:rPr>
          <w:rFonts w:ascii="宋体" w:hAnsi="宋体"/>
          <w:sz w:val="24"/>
        </w:rPr>
        <w:t xml:space="preserve"> 日</w:t>
      </w:r>
    </w:p>
    <w:bookmarkEnd w:id="324"/>
    <w:bookmarkEnd w:id="325"/>
    <w:bookmarkEnd w:id="326"/>
    <w:bookmarkEnd w:id="327"/>
    <w:p w14:paraId="538902C4">
      <w:pPr>
        <w:autoSpaceDE w:val="0"/>
        <w:autoSpaceDN w:val="0"/>
        <w:adjustRightInd w:val="0"/>
        <w:rPr>
          <w:rFonts w:ascii="宋体" w:hAnsi="宋体"/>
          <w:b/>
          <w:bCs/>
          <w:kern w:val="44"/>
          <w:sz w:val="36"/>
          <w:szCs w:val="36"/>
        </w:rPr>
        <w:sectPr>
          <w:pgSz w:w="11906" w:h="16840"/>
          <w:pgMar w:top="1240" w:right="1128" w:bottom="1701" w:left="1276" w:header="851" w:footer="992" w:gutter="0"/>
          <w:cols w:space="720" w:num="1"/>
          <w:docGrid w:linePitch="312" w:charSpace="0"/>
        </w:sectPr>
      </w:pPr>
      <w:bookmarkStart w:id="328" w:name="_Toc34919389"/>
      <w:bookmarkStart w:id="329" w:name="_Toc481242829"/>
      <w:bookmarkStart w:id="330" w:name="_Toc481227889"/>
      <w:bookmarkStart w:id="331" w:name="_Toc519014266"/>
    </w:p>
    <w:p w14:paraId="6471CCBD">
      <w:pPr>
        <w:autoSpaceDE w:val="0"/>
        <w:autoSpaceDN w:val="0"/>
        <w:adjustRightInd w:val="0"/>
        <w:jc w:val="center"/>
        <w:outlineLvl w:val="0"/>
        <w:rPr>
          <w:rFonts w:ascii="宋体" w:hAnsi="宋体"/>
          <w:b/>
          <w:sz w:val="24"/>
        </w:rPr>
      </w:pPr>
      <w:bookmarkStart w:id="332" w:name="_Toc1192"/>
      <w:r>
        <w:rPr>
          <w:rFonts w:ascii="宋体" w:hAnsi="宋体"/>
          <w:b/>
          <w:bCs/>
          <w:kern w:val="44"/>
          <w:sz w:val="36"/>
          <w:szCs w:val="36"/>
        </w:rPr>
        <w:t>第七章  投标文件部分格式</w:t>
      </w:r>
      <w:bookmarkEnd w:id="317"/>
      <w:bookmarkEnd w:id="318"/>
      <w:bookmarkEnd w:id="319"/>
      <w:bookmarkEnd w:id="320"/>
      <w:bookmarkEnd w:id="321"/>
      <w:bookmarkEnd w:id="322"/>
      <w:bookmarkEnd w:id="328"/>
      <w:bookmarkEnd w:id="329"/>
      <w:bookmarkEnd w:id="330"/>
      <w:bookmarkEnd w:id="331"/>
      <w:bookmarkEnd w:id="332"/>
      <w:bookmarkStart w:id="333" w:name="_Toc520129417"/>
      <w:bookmarkStart w:id="334" w:name="_Toc481242830"/>
      <w:bookmarkStart w:id="335" w:name="_Toc481227890"/>
    </w:p>
    <w:p w14:paraId="51EFB462">
      <w:pPr>
        <w:pStyle w:val="54"/>
        <w:tabs>
          <w:tab w:val="left" w:pos="900"/>
        </w:tabs>
        <w:spacing w:after="159"/>
        <w:ind w:left="0" w:leftChars="0" w:firstLine="0" w:firstLineChars="0"/>
        <w:jc w:val="center"/>
        <w:rPr>
          <w:rFonts w:ascii="宋体" w:hAnsi="宋体"/>
          <w:b/>
          <w:sz w:val="24"/>
          <w:szCs w:val="24"/>
        </w:rPr>
      </w:pPr>
      <w:bookmarkStart w:id="336" w:name="_Toc34919390"/>
      <w:bookmarkStart w:id="337" w:name="_Toc34830428"/>
      <w:bookmarkStart w:id="338" w:name="_Toc34898365"/>
      <w:r>
        <w:rPr>
          <w:rFonts w:ascii="宋体" w:hAnsi="宋体"/>
          <w:b/>
          <w:sz w:val="36"/>
          <w:szCs w:val="36"/>
        </w:rPr>
        <w:t>重要提示</w:t>
      </w:r>
    </w:p>
    <w:p w14:paraId="3DE52F2E">
      <w:pPr>
        <w:pStyle w:val="54"/>
        <w:tabs>
          <w:tab w:val="left" w:pos="900"/>
        </w:tabs>
        <w:spacing w:after="0"/>
        <w:ind w:left="0" w:leftChars="0" w:firstLine="482"/>
        <w:rPr>
          <w:rFonts w:ascii="宋体" w:hAnsi="宋体"/>
          <w:b/>
          <w:sz w:val="24"/>
          <w:szCs w:val="24"/>
        </w:rPr>
      </w:pPr>
      <w:r>
        <w:rPr>
          <w:rFonts w:ascii="宋体" w:hAnsi="宋体"/>
          <w:b/>
          <w:sz w:val="24"/>
          <w:szCs w:val="24"/>
        </w:rPr>
        <w:t>1.本章节中有提供格式的，投标人须按照格式进行编制（格式中要求提供相关证明材料的还需后附有关有效证明材料），并按格式要求进行签章，否则视为未提供；</w:t>
      </w:r>
    </w:p>
    <w:p w14:paraId="51D74A43">
      <w:pPr>
        <w:pStyle w:val="54"/>
        <w:tabs>
          <w:tab w:val="left" w:pos="900"/>
        </w:tabs>
        <w:spacing w:after="0"/>
        <w:ind w:left="0" w:leftChars="0" w:firstLine="482"/>
        <w:rPr>
          <w:rFonts w:ascii="宋体" w:hAnsi="宋体"/>
          <w:b/>
          <w:sz w:val="24"/>
          <w:szCs w:val="24"/>
        </w:rPr>
      </w:pPr>
      <w:r>
        <w:rPr>
          <w:rFonts w:ascii="宋体" w:hAnsi="宋体"/>
          <w:b/>
          <w:sz w:val="24"/>
          <w:szCs w:val="24"/>
        </w:rPr>
        <w:t>2.本章节未提供格式的，请投标人自行拟定格式，并加盖单位公章，否则视为未提供；</w:t>
      </w:r>
    </w:p>
    <w:p w14:paraId="0FEBC75C">
      <w:pPr>
        <w:pStyle w:val="54"/>
        <w:tabs>
          <w:tab w:val="left" w:pos="900"/>
        </w:tabs>
        <w:spacing w:after="0"/>
        <w:ind w:left="0" w:leftChars="0" w:firstLine="482"/>
        <w:rPr>
          <w:rFonts w:ascii="宋体" w:hAnsi="宋体"/>
          <w:b/>
          <w:sz w:val="24"/>
          <w:szCs w:val="24"/>
        </w:rPr>
      </w:pPr>
      <w:r>
        <w:rPr>
          <w:rFonts w:ascii="宋体" w:hAnsi="宋体"/>
          <w:b/>
          <w:sz w:val="24"/>
          <w:szCs w:val="24"/>
        </w:rPr>
        <w:t>3.可以提供</w:t>
      </w:r>
      <w:r>
        <w:rPr>
          <w:rFonts w:hint="eastAsia" w:ascii="宋体" w:hAnsi="宋体"/>
          <w:b/>
          <w:sz w:val="24"/>
          <w:szCs w:val="24"/>
        </w:rPr>
        <w:t>原件扫描件</w:t>
      </w:r>
      <w:r>
        <w:rPr>
          <w:rFonts w:ascii="宋体" w:hAnsi="宋体"/>
          <w:b/>
          <w:sz w:val="24"/>
          <w:szCs w:val="24"/>
        </w:rPr>
        <w:t>的相关证明材料必须加盖单位公章，否则视为未提供（例如：</w:t>
      </w:r>
      <w:r>
        <w:rPr>
          <w:rFonts w:hint="eastAsia" w:ascii="宋体" w:hAnsi="宋体"/>
          <w:b/>
          <w:sz w:val="24"/>
          <w:szCs w:val="24"/>
        </w:rPr>
        <w:t>企业</w:t>
      </w:r>
      <w:r>
        <w:rPr>
          <w:rFonts w:ascii="宋体" w:hAnsi="宋体"/>
          <w:b/>
          <w:sz w:val="24"/>
          <w:szCs w:val="24"/>
        </w:rPr>
        <w:t>各类资</w:t>
      </w:r>
      <w:r>
        <w:rPr>
          <w:rFonts w:hint="eastAsia" w:ascii="宋体" w:hAnsi="宋体"/>
          <w:b/>
          <w:sz w:val="24"/>
          <w:szCs w:val="24"/>
        </w:rPr>
        <w:t>质论证</w:t>
      </w:r>
      <w:r>
        <w:rPr>
          <w:rFonts w:ascii="宋体" w:hAnsi="宋体"/>
          <w:b/>
          <w:sz w:val="24"/>
          <w:szCs w:val="24"/>
        </w:rPr>
        <w:t>证书、业绩材料、</w:t>
      </w:r>
      <w:r>
        <w:rPr>
          <w:rFonts w:hint="eastAsia" w:ascii="宋体" w:hAnsi="宋体"/>
          <w:b/>
          <w:sz w:val="24"/>
          <w:szCs w:val="24"/>
        </w:rPr>
        <w:t>人员专业技术证书、</w:t>
      </w:r>
      <w:r>
        <w:rPr>
          <w:rFonts w:ascii="宋体" w:hAnsi="宋体"/>
          <w:b/>
          <w:sz w:val="24"/>
          <w:szCs w:val="24"/>
        </w:rPr>
        <w:t>许可材料、验收材料等）；</w:t>
      </w:r>
    </w:p>
    <w:p w14:paraId="74D31F3C">
      <w:pPr>
        <w:pStyle w:val="54"/>
        <w:tabs>
          <w:tab w:val="left" w:pos="900"/>
        </w:tabs>
        <w:spacing w:after="0"/>
        <w:ind w:left="0" w:leftChars="0" w:firstLine="482"/>
        <w:rPr>
          <w:rFonts w:ascii="宋体" w:hAnsi="宋体"/>
          <w:b/>
          <w:sz w:val="24"/>
          <w:szCs w:val="24"/>
        </w:rPr>
      </w:pPr>
      <w:r>
        <w:rPr>
          <w:rFonts w:ascii="宋体" w:hAnsi="宋体"/>
          <w:b/>
          <w:sz w:val="24"/>
          <w:szCs w:val="24"/>
        </w:rPr>
        <w:t>4.第二章投标须知第</w:t>
      </w:r>
      <w:r>
        <w:rPr>
          <w:rFonts w:hint="eastAsia" w:ascii="宋体" w:hAnsi="宋体"/>
          <w:b/>
          <w:sz w:val="24"/>
          <w:szCs w:val="24"/>
        </w:rPr>
        <w:t>三大点“投标文件”</w:t>
      </w:r>
      <w:r>
        <w:rPr>
          <w:rFonts w:ascii="宋体" w:hAnsi="宋体"/>
          <w:b/>
          <w:sz w:val="24"/>
          <w:szCs w:val="24"/>
        </w:rPr>
        <w:t>及</w:t>
      </w:r>
      <w:r>
        <w:rPr>
          <w:rFonts w:hint="eastAsia" w:ascii="宋体" w:hAnsi="宋体"/>
          <w:b/>
          <w:sz w:val="24"/>
          <w:szCs w:val="24"/>
        </w:rPr>
        <w:t>所要求</w:t>
      </w:r>
      <w:r>
        <w:rPr>
          <w:rFonts w:ascii="宋体" w:hAnsi="宋体"/>
          <w:b/>
          <w:sz w:val="24"/>
          <w:szCs w:val="24"/>
        </w:rPr>
        <w:t>投标文件的内容组成清单中标注“</w:t>
      </w:r>
      <w:r>
        <w:rPr>
          <w:rFonts w:ascii="宋体" w:hAnsi="宋体"/>
          <w:b/>
          <w:sz w:val="24"/>
        </w:rPr>
        <w:t>▲</w:t>
      </w:r>
      <w:r>
        <w:rPr>
          <w:rFonts w:ascii="宋体" w:hAnsi="宋体"/>
          <w:b/>
          <w:sz w:val="24"/>
          <w:szCs w:val="24"/>
        </w:rPr>
        <w:t>”的内容为必须提供的内容，未提供的投标无效。</w:t>
      </w:r>
    </w:p>
    <w:p w14:paraId="1BEA7A9E">
      <w:pPr>
        <w:snapToGrid w:val="0"/>
        <w:spacing w:beforeLines="50" w:after="50"/>
        <w:rPr>
          <w:rFonts w:ascii="宋体" w:hAnsi="宋体"/>
          <w:b/>
          <w:sz w:val="24"/>
        </w:rPr>
      </w:pPr>
    </w:p>
    <w:p w14:paraId="7129213B">
      <w:pPr>
        <w:snapToGrid w:val="0"/>
        <w:spacing w:beforeLines="50" w:after="50"/>
        <w:rPr>
          <w:rFonts w:ascii="宋体" w:hAnsi="宋体"/>
          <w:b/>
          <w:sz w:val="24"/>
        </w:rPr>
      </w:pPr>
    </w:p>
    <w:p w14:paraId="435D4B4B">
      <w:pPr>
        <w:snapToGrid w:val="0"/>
        <w:spacing w:beforeLines="50" w:after="50"/>
        <w:rPr>
          <w:rFonts w:ascii="宋体" w:hAnsi="宋体"/>
          <w:b/>
          <w:sz w:val="24"/>
        </w:rPr>
      </w:pPr>
    </w:p>
    <w:p w14:paraId="00829C30">
      <w:pPr>
        <w:snapToGrid w:val="0"/>
        <w:spacing w:beforeLines="50" w:after="50"/>
        <w:rPr>
          <w:rFonts w:ascii="宋体" w:hAnsi="宋体"/>
          <w:b/>
          <w:sz w:val="24"/>
        </w:rPr>
      </w:pPr>
    </w:p>
    <w:p w14:paraId="16A3E662">
      <w:pPr>
        <w:snapToGrid w:val="0"/>
        <w:spacing w:beforeLines="50" w:after="50"/>
        <w:rPr>
          <w:rFonts w:ascii="宋体" w:hAnsi="宋体"/>
          <w:b/>
          <w:sz w:val="24"/>
        </w:rPr>
      </w:pPr>
    </w:p>
    <w:p w14:paraId="717A2B03">
      <w:pPr>
        <w:snapToGrid w:val="0"/>
        <w:spacing w:beforeLines="50" w:after="50"/>
        <w:rPr>
          <w:rFonts w:ascii="宋体" w:hAnsi="宋体"/>
          <w:b/>
          <w:sz w:val="24"/>
        </w:rPr>
      </w:pPr>
    </w:p>
    <w:p w14:paraId="19569606">
      <w:pPr>
        <w:snapToGrid w:val="0"/>
        <w:spacing w:beforeLines="50" w:after="50"/>
        <w:rPr>
          <w:rFonts w:ascii="宋体" w:hAnsi="宋体"/>
          <w:b/>
          <w:sz w:val="24"/>
        </w:rPr>
      </w:pPr>
    </w:p>
    <w:p w14:paraId="4CC059FE">
      <w:pPr>
        <w:snapToGrid w:val="0"/>
        <w:spacing w:beforeLines="50" w:after="50"/>
        <w:rPr>
          <w:rFonts w:ascii="宋体" w:hAnsi="宋体"/>
          <w:b/>
          <w:sz w:val="24"/>
        </w:rPr>
      </w:pPr>
    </w:p>
    <w:p w14:paraId="1C6EA690">
      <w:pPr>
        <w:snapToGrid w:val="0"/>
        <w:spacing w:beforeLines="50" w:after="50"/>
        <w:rPr>
          <w:rFonts w:ascii="宋体" w:hAnsi="宋体"/>
          <w:b/>
          <w:sz w:val="24"/>
        </w:rPr>
      </w:pPr>
    </w:p>
    <w:p w14:paraId="577FDED9">
      <w:pPr>
        <w:snapToGrid w:val="0"/>
        <w:spacing w:beforeLines="50" w:after="50"/>
        <w:rPr>
          <w:rFonts w:ascii="宋体" w:hAnsi="宋体"/>
          <w:b/>
          <w:sz w:val="24"/>
        </w:rPr>
      </w:pPr>
    </w:p>
    <w:p w14:paraId="711F1AE7">
      <w:pPr>
        <w:snapToGrid w:val="0"/>
        <w:spacing w:beforeLines="50" w:after="50"/>
        <w:rPr>
          <w:rFonts w:ascii="宋体" w:hAnsi="宋体"/>
          <w:b/>
          <w:sz w:val="24"/>
        </w:rPr>
      </w:pPr>
    </w:p>
    <w:p w14:paraId="79EA7ECD">
      <w:pPr>
        <w:snapToGrid w:val="0"/>
        <w:spacing w:beforeLines="50" w:after="50"/>
        <w:rPr>
          <w:rFonts w:ascii="宋体" w:hAnsi="宋体"/>
          <w:b/>
          <w:sz w:val="24"/>
        </w:rPr>
      </w:pPr>
    </w:p>
    <w:p w14:paraId="439D9FEE">
      <w:pPr>
        <w:snapToGrid w:val="0"/>
        <w:spacing w:beforeLines="50" w:after="50"/>
        <w:rPr>
          <w:rFonts w:ascii="宋体" w:hAnsi="宋体"/>
          <w:b/>
          <w:sz w:val="24"/>
        </w:rPr>
      </w:pPr>
    </w:p>
    <w:p w14:paraId="089078A0">
      <w:pPr>
        <w:snapToGrid w:val="0"/>
        <w:spacing w:beforeLines="50" w:after="50"/>
        <w:rPr>
          <w:rFonts w:ascii="宋体" w:hAnsi="宋体"/>
          <w:b/>
          <w:sz w:val="24"/>
        </w:rPr>
      </w:pPr>
    </w:p>
    <w:p w14:paraId="0F26F578">
      <w:pPr>
        <w:snapToGrid w:val="0"/>
        <w:spacing w:beforeLines="50" w:after="50"/>
        <w:rPr>
          <w:rFonts w:ascii="宋体" w:hAnsi="宋体"/>
          <w:b/>
          <w:sz w:val="24"/>
        </w:rPr>
      </w:pPr>
    </w:p>
    <w:p w14:paraId="63B9C210">
      <w:pPr>
        <w:snapToGrid w:val="0"/>
        <w:spacing w:beforeLines="50" w:after="50"/>
        <w:rPr>
          <w:rFonts w:ascii="宋体" w:hAnsi="宋体"/>
          <w:b/>
          <w:sz w:val="24"/>
        </w:rPr>
      </w:pPr>
      <w:r>
        <w:rPr>
          <w:rFonts w:ascii="宋体" w:hAnsi="宋体"/>
          <w:b/>
          <w:sz w:val="24"/>
        </w:rPr>
        <w:t>一、“资格文件”格式</w:t>
      </w:r>
    </w:p>
    <w:p w14:paraId="6EA2B261">
      <w:pPr>
        <w:rPr>
          <w:rFonts w:ascii="宋体" w:hAnsi="宋体"/>
          <w:b/>
          <w:sz w:val="48"/>
          <w:szCs w:val="48"/>
        </w:rPr>
      </w:pPr>
      <w:r>
        <w:rPr>
          <w:rFonts w:ascii="宋体" w:hAnsi="宋体"/>
          <w:b/>
          <w:sz w:val="24"/>
          <w:szCs w:val="48"/>
        </w:rPr>
        <w:t>1.1“资格文件”封面格式：</w:t>
      </w:r>
    </w:p>
    <w:p w14:paraId="7CC30E96">
      <w:pPr>
        <w:jc w:val="center"/>
        <w:rPr>
          <w:rFonts w:ascii="宋体" w:hAnsi="宋体"/>
          <w:sz w:val="24"/>
          <w:u w:val="single"/>
        </w:rPr>
      </w:pPr>
    </w:p>
    <w:p w14:paraId="77C8A5AF">
      <w:pPr>
        <w:ind w:firstLine="718" w:firstLineChars="149"/>
        <w:rPr>
          <w:rFonts w:ascii="宋体" w:hAnsi="宋体"/>
          <w:b/>
          <w:sz w:val="48"/>
          <w:szCs w:val="48"/>
        </w:rPr>
      </w:pPr>
    </w:p>
    <w:p w14:paraId="732DB952">
      <w:pPr>
        <w:ind w:firstLine="1205" w:firstLineChars="250"/>
        <w:rPr>
          <w:rFonts w:ascii="宋体" w:hAnsi="宋体"/>
          <w:b/>
          <w:sz w:val="48"/>
          <w:szCs w:val="48"/>
        </w:rPr>
      </w:pPr>
      <w:r>
        <w:rPr>
          <w:rFonts w:ascii="宋体" w:hAnsi="宋体"/>
          <w:b/>
          <w:sz w:val="48"/>
          <w:szCs w:val="48"/>
        </w:rPr>
        <w:t>衢州市政府采购电子交易项目</w:t>
      </w:r>
    </w:p>
    <w:p w14:paraId="576A6B8C">
      <w:pPr>
        <w:rPr>
          <w:rFonts w:ascii="宋体" w:hAnsi="宋体"/>
          <w:sz w:val="52"/>
        </w:rPr>
      </w:pPr>
    </w:p>
    <w:p w14:paraId="473E2F2A">
      <w:pPr>
        <w:jc w:val="center"/>
        <w:rPr>
          <w:rFonts w:ascii="宋体" w:hAnsi="宋体"/>
          <w:b/>
          <w:bCs/>
          <w:sz w:val="72"/>
        </w:rPr>
      </w:pPr>
      <w:r>
        <w:rPr>
          <w:rFonts w:ascii="宋体" w:hAnsi="宋体"/>
          <w:b/>
          <w:bCs/>
          <w:sz w:val="72"/>
        </w:rPr>
        <w:t>投 标 文 件</w:t>
      </w:r>
    </w:p>
    <w:p w14:paraId="7A205582">
      <w:pPr>
        <w:jc w:val="center"/>
        <w:rPr>
          <w:rFonts w:ascii="宋体" w:hAnsi="宋体"/>
          <w:b/>
          <w:bCs/>
          <w:sz w:val="28"/>
        </w:rPr>
      </w:pPr>
      <w:r>
        <w:rPr>
          <w:rFonts w:ascii="宋体" w:hAnsi="宋体"/>
          <w:b/>
          <w:bCs/>
          <w:sz w:val="28"/>
        </w:rPr>
        <w:t>（一、资格文件）</w:t>
      </w:r>
    </w:p>
    <w:p w14:paraId="360C2AF1">
      <w:pPr>
        <w:spacing w:line="900" w:lineRule="exact"/>
        <w:ind w:left="1335" w:hanging="1335" w:hangingChars="445"/>
        <w:rPr>
          <w:rFonts w:hint="eastAsia" w:ascii="宋体" w:hAnsi="宋体" w:eastAsia="宋体"/>
          <w:sz w:val="30"/>
          <w:szCs w:val="30"/>
          <w:u w:val="single"/>
          <w:lang w:eastAsia="zh-CN"/>
        </w:rPr>
      </w:pPr>
      <w:r>
        <w:rPr>
          <w:rFonts w:ascii="宋体" w:hAnsi="宋体"/>
          <w:sz w:val="30"/>
          <w:szCs w:val="30"/>
        </w:rPr>
        <w:t>项目名称：</w:t>
      </w:r>
      <w:r>
        <w:rPr>
          <w:rFonts w:hint="eastAsia" w:ascii="宋体" w:hAnsi="宋体"/>
          <w:sz w:val="30"/>
          <w:szCs w:val="30"/>
          <w:u w:val="single"/>
          <w:lang w:eastAsia="zh-CN"/>
        </w:rPr>
        <w:t>衢州市冻猪肉储备政府购买服务项目（三次）</w:t>
      </w:r>
    </w:p>
    <w:p w14:paraId="180DB815">
      <w:pPr>
        <w:spacing w:line="900" w:lineRule="exact"/>
        <w:rPr>
          <w:rFonts w:hint="eastAsia" w:ascii="宋体" w:hAnsi="宋体" w:eastAsia="宋体"/>
          <w:sz w:val="30"/>
          <w:szCs w:val="30"/>
          <w:lang w:eastAsia="zh-CN"/>
        </w:rPr>
      </w:pPr>
      <w:r>
        <w:rPr>
          <w:rFonts w:ascii="宋体" w:hAnsi="宋体"/>
          <w:sz w:val="30"/>
          <w:szCs w:val="30"/>
        </w:rPr>
        <w:t>项目编号：</w:t>
      </w:r>
      <w:r>
        <w:rPr>
          <w:rFonts w:hint="eastAsia" w:ascii="宋体" w:hAnsi="宋体"/>
          <w:sz w:val="30"/>
          <w:szCs w:val="30"/>
          <w:u w:val="single"/>
          <w:lang w:eastAsia="zh-CN"/>
        </w:rPr>
        <w:t>DSYCG2024-010</w:t>
      </w:r>
    </w:p>
    <w:p w14:paraId="0803D1F3">
      <w:pPr>
        <w:spacing w:line="900" w:lineRule="exact"/>
        <w:rPr>
          <w:rFonts w:ascii="宋体" w:hAnsi="宋体"/>
          <w:sz w:val="30"/>
          <w:szCs w:val="30"/>
          <w:u w:val="single"/>
        </w:rPr>
      </w:pPr>
      <w:r>
        <w:rPr>
          <w:rFonts w:ascii="宋体" w:hAnsi="宋体"/>
          <w:sz w:val="30"/>
          <w:szCs w:val="30"/>
        </w:rPr>
        <w:t>投标人单位名称（盖章）：</w:t>
      </w:r>
    </w:p>
    <w:p w14:paraId="6D13E4D6">
      <w:pPr>
        <w:spacing w:line="900" w:lineRule="exact"/>
        <w:rPr>
          <w:rFonts w:ascii="宋体" w:hAnsi="宋体"/>
          <w:sz w:val="30"/>
          <w:szCs w:val="30"/>
          <w:u w:val="single"/>
        </w:rPr>
      </w:pPr>
      <w:r>
        <w:rPr>
          <w:rFonts w:ascii="宋体" w:hAnsi="宋体"/>
          <w:sz w:val="30"/>
          <w:szCs w:val="30"/>
        </w:rPr>
        <w:t>投标人单位地址：</w:t>
      </w:r>
    </w:p>
    <w:p w14:paraId="35E9C5B1">
      <w:pPr>
        <w:spacing w:line="900" w:lineRule="exact"/>
        <w:rPr>
          <w:rFonts w:ascii="宋体" w:hAnsi="宋体"/>
          <w:sz w:val="30"/>
          <w:szCs w:val="30"/>
          <w:u w:val="single"/>
        </w:rPr>
      </w:pPr>
      <w:r>
        <w:rPr>
          <w:rFonts w:ascii="宋体" w:hAnsi="宋体"/>
          <w:sz w:val="30"/>
          <w:szCs w:val="30"/>
        </w:rPr>
        <w:t>法定代表人或其委托代理人：</w:t>
      </w:r>
      <w:r>
        <w:rPr>
          <w:rFonts w:ascii="宋体" w:hAnsi="宋体"/>
          <w:sz w:val="30"/>
          <w:szCs w:val="30"/>
          <w:u w:val="single"/>
        </w:rPr>
        <w:t xml:space="preserve">           （签字或盖章） </w:t>
      </w:r>
    </w:p>
    <w:p w14:paraId="2927BB3C">
      <w:pPr>
        <w:spacing w:line="900" w:lineRule="exact"/>
        <w:rPr>
          <w:rFonts w:ascii="宋体" w:hAnsi="宋体"/>
          <w:sz w:val="30"/>
          <w:szCs w:val="30"/>
          <w:u w:val="single"/>
        </w:rPr>
      </w:pPr>
      <w:r>
        <w:rPr>
          <w:rFonts w:ascii="宋体" w:hAnsi="宋体"/>
          <w:sz w:val="30"/>
          <w:szCs w:val="30"/>
        </w:rPr>
        <w:t>投标人联系电话：</w:t>
      </w:r>
    </w:p>
    <w:p w14:paraId="2A095A73">
      <w:pPr>
        <w:spacing w:line="900" w:lineRule="exact"/>
        <w:rPr>
          <w:rFonts w:ascii="宋体" w:hAnsi="宋体"/>
          <w:sz w:val="30"/>
          <w:szCs w:val="30"/>
        </w:rPr>
      </w:pPr>
      <w:r>
        <w:rPr>
          <w:rFonts w:ascii="宋体" w:hAnsi="宋体"/>
          <w:sz w:val="30"/>
          <w:szCs w:val="30"/>
        </w:rPr>
        <w:t>日 期：年 月 日</w:t>
      </w:r>
    </w:p>
    <w:p w14:paraId="1A0EA129">
      <w:pPr>
        <w:pStyle w:val="54"/>
        <w:tabs>
          <w:tab w:val="left" w:pos="900"/>
        </w:tabs>
        <w:spacing w:after="159"/>
        <w:ind w:left="0" w:leftChars="0" w:firstLine="0" w:firstLineChars="0"/>
        <w:jc w:val="center"/>
        <w:rPr>
          <w:rFonts w:ascii="宋体" w:hAnsi="宋体"/>
          <w:b/>
          <w:sz w:val="24"/>
          <w:szCs w:val="24"/>
        </w:rPr>
      </w:pPr>
      <w:r>
        <w:rPr>
          <w:rFonts w:ascii="宋体" w:hAnsi="宋体"/>
          <w:b/>
          <w:sz w:val="24"/>
          <w:szCs w:val="24"/>
        </w:rPr>
        <w:t>投标截止时间前其他单位或个人不得解密、提取</w:t>
      </w:r>
    </w:p>
    <w:bookmarkEnd w:id="333"/>
    <w:bookmarkEnd w:id="334"/>
    <w:bookmarkEnd w:id="335"/>
    <w:bookmarkEnd w:id="336"/>
    <w:bookmarkEnd w:id="337"/>
    <w:bookmarkEnd w:id="338"/>
    <w:p w14:paraId="4A246EAF">
      <w:pPr>
        <w:pStyle w:val="54"/>
        <w:tabs>
          <w:tab w:val="left" w:pos="900"/>
        </w:tabs>
        <w:spacing w:after="0"/>
        <w:ind w:left="0" w:leftChars="0" w:firstLine="0" w:firstLineChars="0"/>
        <w:jc w:val="center"/>
        <w:rPr>
          <w:rFonts w:ascii="宋体" w:hAnsi="宋体"/>
          <w:b/>
          <w:sz w:val="32"/>
        </w:rPr>
      </w:pPr>
      <w:bookmarkStart w:id="339" w:name="_Toc34919391"/>
      <w:bookmarkStart w:id="340" w:name="_Toc34830429"/>
      <w:bookmarkStart w:id="341" w:name="_Toc34898366"/>
    </w:p>
    <w:p w14:paraId="66689567">
      <w:pPr>
        <w:pStyle w:val="54"/>
        <w:tabs>
          <w:tab w:val="left" w:pos="900"/>
        </w:tabs>
        <w:spacing w:after="0"/>
        <w:ind w:left="0" w:leftChars="0" w:firstLine="0" w:firstLineChars="0"/>
        <w:jc w:val="center"/>
        <w:rPr>
          <w:rFonts w:ascii="宋体" w:hAnsi="宋体"/>
          <w:b/>
          <w:sz w:val="32"/>
        </w:rPr>
      </w:pPr>
      <w:r>
        <w:rPr>
          <w:rFonts w:ascii="宋体" w:hAnsi="宋体"/>
          <w:b/>
          <w:sz w:val="32"/>
        </w:rPr>
        <w:t>目录</w:t>
      </w:r>
    </w:p>
    <w:p w14:paraId="06BB03DA">
      <w:pPr>
        <w:widowControl/>
        <w:snapToGrid w:val="0"/>
        <w:spacing w:line="400" w:lineRule="atLeast"/>
        <w:ind w:firstLine="480" w:firstLineChars="200"/>
        <w:jc w:val="left"/>
        <w:rPr>
          <w:rFonts w:ascii="宋体" w:hAnsi="宋体" w:cs="宋体"/>
          <w:sz w:val="24"/>
        </w:rPr>
      </w:pPr>
      <w:r>
        <w:rPr>
          <w:rFonts w:hint="eastAsia" w:ascii="宋体" w:hAnsi="宋体" w:cs="宋体"/>
          <w:sz w:val="24"/>
        </w:rPr>
        <w:t>一、基本资格要求</w:t>
      </w:r>
    </w:p>
    <w:p w14:paraId="37127CD2">
      <w:pPr>
        <w:widowControl/>
        <w:snapToGrid w:val="0"/>
        <w:spacing w:line="400" w:lineRule="atLeast"/>
        <w:ind w:firstLine="480" w:firstLineChars="200"/>
        <w:jc w:val="left"/>
        <w:rPr>
          <w:rFonts w:ascii="宋体" w:hAnsi="宋体" w:cs="宋体"/>
          <w:sz w:val="24"/>
        </w:rPr>
      </w:pPr>
      <w:r>
        <w:rPr>
          <w:rFonts w:hint="eastAsia" w:ascii="宋体" w:hAnsi="宋体" w:cs="宋体"/>
          <w:sz w:val="24"/>
        </w:rPr>
        <w:t>1.2.1供应商资格声明函（格式1.3）；</w:t>
      </w:r>
    </w:p>
    <w:p w14:paraId="160F95FD">
      <w:pPr>
        <w:widowControl/>
        <w:snapToGrid w:val="0"/>
        <w:spacing w:line="400" w:lineRule="atLeast"/>
        <w:ind w:firstLine="480" w:firstLineChars="200"/>
        <w:jc w:val="left"/>
        <w:rPr>
          <w:rFonts w:ascii="宋体" w:hAnsi="宋体" w:cs="宋体"/>
          <w:sz w:val="24"/>
        </w:rPr>
      </w:pPr>
      <w:r>
        <w:rPr>
          <w:rFonts w:hint="eastAsia" w:ascii="宋体" w:hAnsi="宋体" w:cs="宋体"/>
          <w:sz w:val="24"/>
        </w:rPr>
        <w:t>1.2.2有效的企业法人营业执照、其他组织（个体工商户）的营业执照或者民办非企业单位登记证书原件扫描件；投标供应商如果有名称变更的，应提供由行政主管部门出具的变更证明文件。若以不具有独立承担民事责任能力的分支机构投标，须取得具有法人资格的总公司的授权书，并提供总公司营业执照副本原件扫描件；</w:t>
      </w:r>
    </w:p>
    <w:p w14:paraId="31BEEF26">
      <w:pPr>
        <w:widowControl/>
        <w:snapToGrid w:val="0"/>
        <w:spacing w:line="400" w:lineRule="atLeast"/>
        <w:ind w:firstLine="480" w:firstLineChars="200"/>
        <w:jc w:val="left"/>
        <w:rPr>
          <w:rFonts w:ascii="宋体" w:hAnsi="宋体" w:cs="宋体"/>
          <w:sz w:val="24"/>
        </w:rPr>
      </w:pPr>
      <w:r>
        <w:rPr>
          <w:rFonts w:hint="eastAsia" w:ascii="宋体" w:hAnsi="宋体" w:cs="宋体"/>
          <w:sz w:val="24"/>
        </w:rPr>
        <w:t>1.2.3供应商未被列入失信被执行人名单、重大税收违法案件当事人名单、政府采购严重违法失信行为记录名单，信用信息以信用中国网站（www.creditchina.gov.cn）、中国政府采购网（www.ccgp.gov.cn）公布为准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cs="宋体"/>
          <w:sz w:val="24"/>
        </w:rPr>
        <w:tab/>
      </w:r>
      <w:r>
        <w:rPr>
          <w:rFonts w:hint="eastAsia" w:ascii="宋体" w:hAnsi="宋体" w:cs="宋体"/>
          <w:sz w:val="24"/>
        </w:rPr>
        <w:t>无违法失信的声明函及投标截止日前截图。【同格式1.3】</w:t>
      </w:r>
    </w:p>
    <w:p w14:paraId="2B90CCED">
      <w:pPr>
        <w:widowControl/>
        <w:snapToGrid w:val="0"/>
        <w:spacing w:line="400" w:lineRule="atLeast"/>
        <w:ind w:firstLine="480" w:firstLineChars="200"/>
        <w:jc w:val="left"/>
        <w:rPr>
          <w:rFonts w:ascii="宋体" w:hAnsi="宋体" w:cs="宋体"/>
          <w:sz w:val="24"/>
        </w:rPr>
      </w:pPr>
      <w:r>
        <w:rPr>
          <w:rFonts w:hint="eastAsia" w:ascii="宋体" w:hAnsi="宋体" w:cs="宋体"/>
          <w:sz w:val="24"/>
        </w:rPr>
        <w:t>二、落实政府采购政策需满足的资格要求：</w:t>
      </w:r>
      <w:r>
        <w:rPr>
          <w:rFonts w:hint="eastAsia"/>
          <w:sz w:val="24"/>
        </w:rPr>
        <w:t>无</w:t>
      </w:r>
    </w:p>
    <w:p w14:paraId="71B7A00F">
      <w:pPr>
        <w:widowControl/>
        <w:snapToGrid w:val="0"/>
        <w:spacing w:line="400" w:lineRule="atLeast"/>
        <w:ind w:firstLine="480" w:firstLineChars="200"/>
        <w:jc w:val="left"/>
        <w:rPr>
          <w:rFonts w:ascii="宋体" w:hAnsi="宋体" w:cs="宋体"/>
          <w:sz w:val="24"/>
        </w:rPr>
      </w:pPr>
      <w:r>
        <w:rPr>
          <w:rFonts w:hint="eastAsia" w:ascii="宋体" w:hAnsi="宋体" w:cs="宋体"/>
          <w:sz w:val="24"/>
        </w:rPr>
        <w:t>三、申请人的特定资格要求（同格式1.3）</w:t>
      </w:r>
    </w:p>
    <w:p w14:paraId="7C81FE6F">
      <w:pPr>
        <w:widowControl/>
        <w:snapToGrid w:val="0"/>
        <w:spacing w:line="400" w:lineRule="atLeast"/>
        <w:ind w:firstLine="480" w:firstLineChars="200"/>
        <w:jc w:val="left"/>
        <w:rPr>
          <w:rFonts w:ascii="宋体" w:hAnsi="宋体" w:cs="宋体"/>
          <w:sz w:val="24"/>
        </w:rPr>
      </w:pPr>
      <w:r>
        <w:rPr>
          <w:rFonts w:hint="eastAsia" w:ascii="宋体" w:hAnsi="宋体" w:cs="宋体"/>
          <w:sz w:val="24"/>
        </w:rPr>
        <w:t>1.2.4单位负责人为同一人或者存在直接控股、管理关系的不同供应商，不得同时参加同一合同项下的投标。（同格式1.3）</w:t>
      </w:r>
    </w:p>
    <w:p w14:paraId="344DAA59">
      <w:pPr>
        <w:spacing w:line="400" w:lineRule="atLeast"/>
        <w:ind w:firstLine="482" w:firstLineChars="200"/>
        <w:rPr>
          <w:rFonts w:hint="eastAsia" w:ascii="宋体" w:hAnsi="宋体" w:eastAsia="宋体"/>
          <w:b/>
          <w:color w:val="auto"/>
          <w:kern w:val="0"/>
          <w:sz w:val="24"/>
          <w:lang w:eastAsia="zh-CN"/>
        </w:rPr>
      </w:pPr>
      <w:r>
        <w:rPr>
          <w:rFonts w:hint="eastAsia" w:ascii="宋体" w:hAnsi="宋体" w:cs="宋体"/>
          <w:b/>
          <w:color w:val="auto"/>
          <w:sz w:val="24"/>
        </w:rPr>
        <w:t>1.2.5</w:t>
      </w:r>
      <w:r>
        <w:rPr>
          <w:rFonts w:hint="eastAsia" w:ascii="宋体" w:hAnsi="宋体"/>
          <w:b/>
          <w:color w:val="auto"/>
          <w:kern w:val="0"/>
          <w:sz w:val="24"/>
        </w:rPr>
        <w:t>提供采购公告中符合供应商特定条件的采购文件《第一章  招标公告》投标供应商资格要求</w:t>
      </w:r>
      <w:r>
        <w:rPr>
          <w:rFonts w:hint="eastAsia" w:ascii="宋体" w:hAnsi="宋体"/>
          <w:b/>
          <w:color w:val="auto"/>
          <w:kern w:val="0"/>
          <w:sz w:val="24"/>
          <w:lang w:val="en-US" w:eastAsia="zh-CN"/>
        </w:rPr>
        <w:t>中的</w:t>
      </w:r>
      <w:r>
        <w:rPr>
          <w:rFonts w:hint="eastAsia" w:ascii="宋体" w:hAnsi="宋体"/>
          <w:b/>
          <w:color w:val="auto"/>
          <w:kern w:val="0"/>
          <w:sz w:val="24"/>
        </w:rPr>
        <w:t>资格条件：仓储设施在浙江省域内，企业自有或租赁符合《中央猪肉储备冻肉储存冷库基本条件》（SB/T 10408-2013）要求的冷库，其中租赁库有效租期不得短于承储期</w:t>
      </w:r>
      <w:r>
        <w:rPr>
          <w:rFonts w:hint="eastAsia" w:ascii="宋体" w:hAnsi="宋体"/>
          <w:b/>
          <w:color w:val="auto"/>
          <w:kern w:val="0"/>
          <w:sz w:val="24"/>
          <w:lang w:val="en-US" w:eastAsia="zh-CN"/>
        </w:rPr>
        <w:t>的证明资料</w:t>
      </w:r>
      <w:r>
        <w:rPr>
          <w:rFonts w:hint="eastAsia" w:ascii="宋体" w:hAnsi="宋体"/>
          <w:b/>
          <w:color w:val="auto"/>
          <w:kern w:val="0"/>
          <w:sz w:val="24"/>
        </w:rPr>
        <w:t>；提供具备有效的食品经营</w:t>
      </w:r>
      <w:r>
        <w:rPr>
          <w:rFonts w:hint="eastAsia" w:ascii="宋体" w:hAnsi="宋体"/>
          <w:b/>
          <w:color w:val="auto"/>
          <w:kern w:val="0"/>
          <w:sz w:val="24"/>
          <w:lang w:val="en-US" w:eastAsia="zh-CN"/>
        </w:rPr>
        <w:t>证</w:t>
      </w:r>
      <w:r>
        <w:rPr>
          <w:rFonts w:hint="eastAsia" w:ascii="宋体" w:hAnsi="宋体"/>
          <w:b/>
          <w:color w:val="auto"/>
          <w:kern w:val="0"/>
          <w:sz w:val="24"/>
          <w:lang w:eastAsia="zh-CN"/>
        </w:rPr>
        <w:t>。</w:t>
      </w:r>
    </w:p>
    <w:p w14:paraId="4A0A5AF2">
      <w:pPr>
        <w:rPr>
          <w:rFonts w:ascii="宋体" w:hAnsi="宋体"/>
          <w:b/>
          <w:kern w:val="0"/>
          <w:sz w:val="24"/>
        </w:rPr>
      </w:pPr>
    </w:p>
    <w:p w14:paraId="59007309">
      <w:pPr>
        <w:ind w:firstLine="354" w:firstLineChars="147"/>
        <w:rPr>
          <w:rFonts w:ascii="宋体" w:hAnsi="宋体"/>
          <w:b/>
          <w:sz w:val="28"/>
        </w:rPr>
      </w:pPr>
      <w:r>
        <w:rPr>
          <w:rFonts w:hint="eastAsia" w:ascii="宋体" w:hAnsi="宋体"/>
          <w:b/>
          <w:kern w:val="0"/>
          <w:sz w:val="24"/>
        </w:rPr>
        <w:t>1.2.6</w:t>
      </w:r>
      <w:r>
        <w:rPr>
          <w:rFonts w:hint="eastAsia" w:ascii="宋体" w:hAnsi="宋体" w:cs="宋体"/>
          <w:b/>
        </w:rPr>
        <w:t>其他投标人认为须提供的资料（如有）【内容格式自拟】</w:t>
      </w:r>
    </w:p>
    <w:p w14:paraId="595996CC">
      <w:pPr>
        <w:widowControl/>
        <w:snapToGrid w:val="0"/>
        <w:jc w:val="left"/>
        <w:rPr>
          <w:rFonts w:ascii="宋体" w:hAnsi="宋体" w:cs="宋体"/>
        </w:rPr>
      </w:pPr>
    </w:p>
    <w:p w14:paraId="25A7961B">
      <w:pPr>
        <w:pStyle w:val="98"/>
        <w:spacing w:line="400" w:lineRule="atLeast"/>
        <w:ind w:firstLine="0"/>
        <w:rPr>
          <w:rFonts w:cs="宋体"/>
        </w:rPr>
      </w:pPr>
      <w:r>
        <w:rPr>
          <w:bCs/>
          <w:sz w:val="24"/>
        </w:rPr>
        <w:br w:type="page"/>
      </w:r>
      <w:r>
        <w:rPr>
          <w:rFonts w:hint="eastAsia" w:cs="宋体"/>
          <w:b/>
          <w:bCs/>
          <w:sz w:val="24"/>
        </w:rPr>
        <w:t>1.2.1供应商资格声明函格式</w:t>
      </w:r>
    </w:p>
    <w:p w14:paraId="2EB5689D">
      <w:pPr>
        <w:jc w:val="center"/>
        <w:rPr>
          <w:rFonts w:ascii="宋体" w:hAnsi="宋体" w:cs="宋体"/>
          <w:b/>
          <w:sz w:val="28"/>
          <w:szCs w:val="28"/>
        </w:rPr>
      </w:pPr>
      <w:r>
        <w:rPr>
          <w:rFonts w:hint="eastAsia" w:ascii="宋体" w:hAnsi="宋体" w:cs="宋体"/>
          <w:b/>
          <w:sz w:val="28"/>
          <w:szCs w:val="28"/>
        </w:rPr>
        <w:t>供应商资格声明函（格式1.3）</w:t>
      </w:r>
    </w:p>
    <w:p w14:paraId="6680C5C4">
      <w:pPr>
        <w:spacing w:line="380" w:lineRule="atLeast"/>
        <w:rPr>
          <w:rFonts w:ascii="宋体" w:hAnsi="宋体" w:cs="宋体"/>
          <w:b/>
          <w:sz w:val="24"/>
        </w:rPr>
      </w:pPr>
      <w:r>
        <w:rPr>
          <w:rFonts w:hint="eastAsia" w:ascii="宋体" w:hAnsi="宋体" w:cs="宋体"/>
          <w:b/>
          <w:sz w:val="24"/>
          <w:lang w:eastAsia="zh-CN"/>
        </w:rPr>
        <w:t>杭州兑尚源工程管理有限公司</w:t>
      </w:r>
      <w:r>
        <w:rPr>
          <w:rFonts w:hint="eastAsia" w:ascii="宋体" w:hAnsi="宋体" w:cs="宋体"/>
          <w:b/>
          <w:sz w:val="24"/>
        </w:rPr>
        <w:t>：</w:t>
      </w:r>
    </w:p>
    <w:p w14:paraId="3868F8D3">
      <w:pPr>
        <w:snapToGrid w:val="0"/>
        <w:spacing w:line="380" w:lineRule="atLeast"/>
        <w:ind w:firstLine="480" w:firstLineChars="200"/>
        <w:jc w:val="left"/>
        <w:rPr>
          <w:rFonts w:ascii="宋体" w:hAnsi="宋体" w:cs="宋体"/>
          <w:sz w:val="24"/>
        </w:rPr>
      </w:pPr>
      <w:r>
        <w:rPr>
          <w:rFonts w:hint="eastAsia" w:ascii="宋体" w:hAnsi="宋体" w:cs="宋体"/>
          <w:sz w:val="24"/>
        </w:rPr>
        <w:t>关于贵司年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日发布</w:t>
      </w:r>
      <w:r>
        <w:rPr>
          <w:rFonts w:hint="eastAsia" w:ascii="宋体" w:hAnsi="宋体" w:cs="宋体"/>
          <w:kern w:val="28"/>
          <w:sz w:val="24"/>
          <w:u w:val="single"/>
        </w:rPr>
        <w:t>XXXXXXXXXXXXXXXXXXXXXXXXXXXX</w:t>
      </w:r>
      <w:r>
        <w:rPr>
          <w:rFonts w:hint="eastAsia" w:ascii="宋体" w:hAnsi="宋体" w:cs="宋体"/>
          <w:sz w:val="24"/>
        </w:rPr>
        <w:t>项目（项目编号：</w:t>
      </w:r>
      <w:r>
        <w:rPr>
          <w:rFonts w:hint="eastAsia" w:ascii="宋体" w:hAnsi="宋体" w:cs="宋体"/>
          <w:sz w:val="24"/>
          <w:u w:val="single"/>
        </w:rPr>
        <w:t>　　　</w:t>
      </w:r>
      <w:r>
        <w:rPr>
          <w:rFonts w:hint="eastAsia" w:ascii="宋体" w:hAnsi="宋体" w:cs="宋体"/>
          <w:sz w:val="24"/>
        </w:rPr>
        <w:t>）的公开招标公告，本公司（企业）愿意参加投标，并声明：</w:t>
      </w:r>
    </w:p>
    <w:p w14:paraId="16E1A4B5">
      <w:pPr>
        <w:snapToGrid w:val="0"/>
        <w:spacing w:line="380" w:lineRule="atLeast"/>
        <w:ind w:firstLine="480" w:firstLineChars="200"/>
        <w:jc w:val="left"/>
        <w:rPr>
          <w:rFonts w:ascii="宋体" w:hAnsi="宋体" w:cs="宋体"/>
          <w:sz w:val="24"/>
        </w:rPr>
      </w:pPr>
      <w:r>
        <w:rPr>
          <w:rFonts w:hint="eastAsia" w:ascii="宋体" w:hAnsi="宋体" w:cs="宋体"/>
          <w:sz w:val="24"/>
        </w:rPr>
        <w:t>1.本公司（企业）具备《中华人民共和国政府采购法》第二十二条资格条件：</w:t>
      </w:r>
    </w:p>
    <w:p w14:paraId="53868094">
      <w:pPr>
        <w:snapToGrid w:val="0"/>
        <w:spacing w:line="380" w:lineRule="atLeast"/>
        <w:ind w:firstLine="480" w:firstLineChars="200"/>
        <w:jc w:val="left"/>
        <w:rPr>
          <w:rFonts w:ascii="宋体" w:hAnsi="宋体" w:cs="宋体"/>
          <w:sz w:val="24"/>
        </w:rPr>
      </w:pPr>
      <w:r>
        <w:rPr>
          <w:rFonts w:hint="eastAsia" w:ascii="宋体" w:hAnsi="宋体" w:cs="宋体"/>
          <w:sz w:val="24"/>
        </w:rPr>
        <w:t>1.1具有独立承担民事责任的能力；</w:t>
      </w:r>
    </w:p>
    <w:p w14:paraId="46CB9147">
      <w:pPr>
        <w:snapToGrid w:val="0"/>
        <w:spacing w:line="380" w:lineRule="atLeast"/>
        <w:ind w:firstLine="480" w:firstLineChars="200"/>
        <w:jc w:val="left"/>
        <w:rPr>
          <w:rFonts w:ascii="宋体" w:hAnsi="宋体" w:cs="宋体"/>
          <w:sz w:val="24"/>
        </w:rPr>
      </w:pPr>
      <w:r>
        <w:rPr>
          <w:rFonts w:hint="eastAsia" w:ascii="宋体" w:hAnsi="宋体" w:cs="宋体"/>
          <w:sz w:val="24"/>
        </w:rPr>
        <w:t>1.2具有良好的商业信誉和健全的财务会计制度；</w:t>
      </w:r>
    </w:p>
    <w:p w14:paraId="769165E9">
      <w:pPr>
        <w:snapToGrid w:val="0"/>
        <w:spacing w:line="380" w:lineRule="atLeast"/>
        <w:ind w:firstLine="480" w:firstLineChars="200"/>
        <w:jc w:val="left"/>
        <w:rPr>
          <w:rFonts w:ascii="宋体" w:hAnsi="宋体" w:cs="宋体"/>
          <w:sz w:val="24"/>
        </w:rPr>
      </w:pPr>
      <w:r>
        <w:rPr>
          <w:rFonts w:hint="eastAsia" w:ascii="宋体" w:hAnsi="宋体" w:cs="宋体"/>
          <w:sz w:val="24"/>
        </w:rPr>
        <w:t>1.3具有履行合同所必需的设备和专业技术能力；</w:t>
      </w:r>
    </w:p>
    <w:p w14:paraId="6166B0D0">
      <w:pPr>
        <w:snapToGrid w:val="0"/>
        <w:spacing w:line="380" w:lineRule="atLeast"/>
        <w:ind w:firstLine="480" w:firstLineChars="200"/>
        <w:jc w:val="left"/>
        <w:rPr>
          <w:rFonts w:ascii="宋体" w:hAnsi="宋体" w:cs="宋体"/>
          <w:sz w:val="24"/>
        </w:rPr>
      </w:pPr>
      <w:r>
        <w:rPr>
          <w:rFonts w:hint="eastAsia" w:ascii="宋体" w:hAnsi="宋体" w:cs="宋体"/>
          <w:sz w:val="24"/>
        </w:rPr>
        <w:t>1.4有依法缴纳税收和社会保障资金的良好记录；</w:t>
      </w:r>
    </w:p>
    <w:p w14:paraId="275AA466">
      <w:pPr>
        <w:snapToGrid w:val="0"/>
        <w:spacing w:line="380" w:lineRule="atLeast"/>
        <w:ind w:firstLine="480" w:firstLineChars="200"/>
        <w:jc w:val="left"/>
        <w:rPr>
          <w:rFonts w:ascii="宋体" w:hAnsi="宋体" w:cs="宋体"/>
          <w:sz w:val="24"/>
        </w:rPr>
      </w:pPr>
      <w:r>
        <w:rPr>
          <w:rFonts w:hint="eastAsia" w:ascii="宋体" w:hAnsi="宋体" w:cs="宋体"/>
          <w:sz w:val="24"/>
        </w:rPr>
        <w:t>1.5参加政府采购活动前三年内，在经营活动中没有重大违法记录；</w:t>
      </w:r>
    </w:p>
    <w:p w14:paraId="411D35F0">
      <w:pPr>
        <w:snapToGrid w:val="0"/>
        <w:spacing w:line="380" w:lineRule="atLeast"/>
        <w:ind w:firstLine="480" w:firstLineChars="200"/>
        <w:jc w:val="left"/>
        <w:rPr>
          <w:rFonts w:ascii="宋体" w:hAnsi="宋体" w:cs="宋体"/>
          <w:sz w:val="24"/>
        </w:rPr>
      </w:pPr>
      <w:r>
        <w:rPr>
          <w:rFonts w:hint="eastAsia" w:ascii="宋体" w:hAnsi="宋体" w:cs="宋体"/>
          <w:sz w:val="24"/>
        </w:rPr>
        <w:t>1.6法律、行政法规规定的其他条件。</w:t>
      </w:r>
    </w:p>
    <w:p w14:paraId="3C0C91A1">
      <w:pPr>
        <w:snapToGrid w:val="0"/>
        <w:spacing w:line="380" w:lineRule="atLeast"/>
        <w:ind w:firstLine="480" w:firstLineChars="200"/>
        <w:jc w:val="left"/>
        <w:rPr>
          <w:rFonts w:ascii="宋体" w:hAnsi="宋体" w:cs="宋体"/>
          <w:sz w:val="24"/>
        </w:rPr>
      </w:pPr>
      <w:r>
        <w:rPr>
          <w:rFonts w:hint="eastAsia" w:ascii="宋体" w:hAnsi="宋体" w:cs="宋体"/>
          <w:sz w:val="24"/>
        </w:rPr>
        <w:t>2.本公司（企业）的法定代表人或单位负责人与所参投的本项目的其他供应商的法定代表人或单位负责人不为同一人且与其他供应商之间不存在直接控股、管理关系。</w:t>
      </w:r>
    </w:p>
    <w:p w14:paraId="5E458DC2">
      <w:pPr>
        <w:snapToGrid w:val="0"/>
        <w:spacing w:line="380" w:lineRule="atLeast"/>
        <w:ind w:firstLine="480" w:firstLineChars="200"/>
        <w:jc w:val="left"/>
        <w:rPr>
          <w:rFonts w:ascii="宋体" w:hAnsi="宋体" w:cs="宋体"/>
          <w:sz w:val="24"/>
        </w:rPr>
      </w:pPr>
      <w:r>
        <w:rPr>
          <w:rFonts w:hint="eastAsia" w:ascii="宋体" w:hAnsi="宋体" w:cs="宋体"/>
          <w:sz w:val="24"/>
        </w:rPr>
        <w:t>3.根据《中华人民共和国政府采购法实施条例》的规定，本公司（企业）如为本项目提供整体设计、规范编制或者项目管理、监理、检测等服务的供应商，不得再参加该项目的其他采购活动。否则，由此所造成的损失、不良后果及法律责任，一律由我公司（企业）承担。</w:t>
      </w:r>
    </w:p>
    <w:p w14:paraId="42A59D2B">
      <w:pPr>
        <w:snapToGrid w:val="0"/>
        <w:spacing w:line="380" w:lineRule="atLeast"/>
        <w:ind w:firstLine="480" w:firstLineChars="200"/>
        <w:jc w:val="left"/>
        <w:rPr>
          <w:rFonts w:ascii="宋体" w:hAnsi="宋体" w:cs="宋体"/>
          <w:sz w:val="24"/>
        </w:rPr>
      </w:pPr>
      <w:r>
        <w:rPr>
          <w:rFonts w:hint="eastAsia" w:ascii="宋体" w:hAnsi="宋体" w:cs="宋体"/>
          <w:sz w:val="24"/>
        </w:rPr>
        <w:t>4.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14:paraId="4D343292">
      <w:pPr>
        <w:spacing w:line="380" w:lineRule="atLeast"/>
        <w:ind w:firstLine="480" w:firstLineChars="200"/>
        <w:jc w:val="left"/>
        <w:rPr>
          <w:rFonts w:ascii="宋体" w:hAnsi="宋体" w:cs="宋体"/>
          <w:sz w:val="24"/>
        </w:rPr>
      </w:pPr>
      <w:r>
        <w:rPr>
          <w:rFonts w:hint="eastAsia" w:ascii="宋体" w:hAnsi="宋体" w:cs="宋体"/>
          <w:sz w:val="24"/>
        </w:rPr>
        <w:t>我公司已清楚采购文件的要求及有关文件规定。本次招标采购活动中，如有违法、违规、弄虚作假行为，所造成的损失、不良后果及法律责任，一律由我公司（企业）承担。</w:t>
      </w:r>
    </w:p>
    <w:p w14:paraId="17D38462">
      <w:pPr>
        <w:spacing w:line="380" w:lineRule="atLeast"/>
        <w:ind w:firstLine="482" w:firstLineChars="200"/>
        <w:jc w:val="left"/>
        <w:rPr>
          <w:rFonts w:ascii="宋体" w:hAnsi="宋体" w:cs="宋体"/>
          <w:b/>
          <w:sz w:val="24"/>
        </w:rPr>
      </w:pPr>
      <w:r>
        <w:rPr>
          <w:rFonts w:hint="eastAsia" w:ascii="宋体" w:hAnsi="宋体" w:cs="宋体"/>
          <w:b/>
          <w:sz w:val="24"/>
        </w:rPr>
        <w:t>特此声明！</w:t>
      </w:r>
    </w:p>
    <w:p w14:paraId="646BFF80">
      <w:pPr>
        <w:adjustRightInd w:val="0"/>
        <w:snapToGrid w:val="0"/>
        <w:spacing w:line="400" w:lineRule="atLeast"/>
        <w:ind w:firstLine="496" w:firstLineChars="200"/>
        <w:jc w:val="left"/>
        <w:rPr>
          <w:rFonts w:ascii="宋体" w:hAnsi="宋体" w:cs="宋体"/>
          <w:spacing w:val="4"/>
          <w:sz w:val="24"/>
        </w:rPr>
      </w:pPr>
    </w:p>
    <w:p w14:paraId="71845822">
      <w:pPr>
        <w:spacing w:line="400" w:lineRule="atLeast"/>
        <w:ind w:firstLine="3000" w:firstLineChars="1250"/>
        <w:jc w:val="left"/>
        <w:rPr>
          <w:rFonts w:ascii="宋体" w:hAnsi="宋体" w:cs="宋体"/>
          <w:sz w:val="24"/>
        </w:rPr>
      </w:pPr>
    </w:p>
    <w:p w14:paraId="1B17B989">
      <w:pPr>
        <w:spacing w:line="400" w:lineRule="atLeast"/>
        <w:ind w:firstLine="3000" w:firstLineChars="1250"/>
        <w:jc w:val="left"/>
        <w:rPr>
          <w:rFonts w:ascii="宋体" w:hAnsi="宋体" w:cs="宋体"/>
          <w:sz w:val="24"/>
        </w:rPr>
      </w:pPr>
      <w:r>
        <w:rPr>
          <w:rFonts w:hint="eastAsia" w:ascii="宋体" w:hAnsi="宋体" w:cs="宋体"/>
          <w:sz w:val="24"/>
        </w:rPr>
        <w:t xml:space="preserve">                           供应商公章：</w:t>
      </w:r>
    </w:p>
    <w:p w14:paraId="3D7CF95F">
      <w:pPr>
        <w:spacing w:line="400" w:lineRule="atLeast"/>
        <w:ind w:firstLine="3000" w:firstLineChars="1250"/>
        <w:jc w:val="left"/>
        <w:rPr>
          <w:rFonts w:ascii="宋体" w:hAnsi="宋体" w:cs="宋体"/>
          <w:sz w:val="24"/>
        </w:rPr>
      </w:pPr>
      <w:r>
        <w:rPr>
          <w:rFonts w:hint="eastAsia" w:ascii="宋体" w:hAnsi="宋体" w:cs="宋体"/>
          <w:sz w:val="24"/>
        </w:rPr>
        <w:t xml:space="preserve">        法定代表人或授权代表（签名或盖章）：     </w:t>
      </w:r>
    </w:p>
    <w:p w14:paraId="5AF4718C">
      <w:pPr>
        <w:spacing w:line="400" w:lineRule="atLeast"/>
        <w:ind w:firstLine="5040" w:firstLineChars="2100"/>
        <w:jc w:val="left"/>
        <w:rPr>
          <w:rFonts w:ascii="宋体" w:hAnsi="宋体" w:cs="宋体"/>
          <w:sz w:val="24"/>
        </w:rPr>
      </w:pPr>
    </w:p>
    <w:p w14:paraId="30B0EF45">
      <w:pPr>
        <w:spacing w:line="400" w:lineRule="atLeast"/>
        <w:ind w:firstLine="4800" w:firstLineChars="2000"/>
        <w:jc w:val="left"/>
        <w:rPr>
          <w:rFonts w:ascii="宋体" w:hAnsi="宋体" w:cs="宋体"/>
          <w:sz w:val="24"/>
        </w:rPr>
      </w:pPr>
      <w:r>
        <w:rPr>
          <w:rFonts w:hint="eastAsia" w:ascii="宋体" w:hAnsi="宋体" w:cs="宋体"/>
          <w:sz w:val="24"/>
        </w:rPr>
        <w:t xml:space="preserve">  年    月    日</w:t>
      </w:r>
    </w:p>
    <w:p w14:paraId="6150A02F">
      <w:pPr>
        <w:rPr>
          <w:rFonts w:ascii="宋体" w:hAnsi="宋体" w:cs="宋体"/>
          <w:b/>
          <w:sz w:val="24"/>
        </w:rPr>
      </w:pPr>
      <w:r>
        <w:rPr>
          <w:rFonts w:hint="eastAsia" w:ascii="宋体" w:hAnsi="宋体" w:cs="宋体"/>
          <w:b/>
        </w:rPr>
        <w:br w:type="page"/>
      </w:r>
      <w:r>
        <w:rPr>
          <w:rFonts w:hint="eastAsia" w:ascii="宋体" w:hAnsi="宋体" w:cs="宋体"/>
          <w:b/>
          <w:sz w:val="24"/>
        </w:rPr>
        <w:t>1.2.2  提供有效营业执照原件扫描件格式</w:t>
      </w:r>
    </w:p>
    <w:p w14:paraId="21142911">
      <w:pPr>
        <w:spacing w:line="400" w:lineRule="atLeast"/>
        <w:ind w:firstLine="480" w:firstLineChars="200"/>
        <w:rPr>
          <w:rFonts w:ascii="宋体" w:hAnsi="宋体" w:cs="宋体"/>
          <w:b/>
          <w:sz w:val="24"/>
        </w:rPr>
      </w:pPr>
      <w:r>
        <w:rPr>
          <w:rFonts w:hint="eastAsia" w:ascii="宋体" w:hAnsi="宋体" w:cs="宋体"/>
          <w:sz w:val="24"/>
        </w:rPr>
        <w:t>注：有效的企业法人营业执照、其他组织（个体工商户）的营业执照或者民办非企业单位登记证书原件扫描件；投标供应商如果有名称变更的，应提供由行政主管部门出具的变更证明文件。若以不具有独立承担民事责任能力的分支机构投标，须取得具有法人资格的总公司的授权书，并提供总公司营业执照副本原件扫描件；</w:t>
      </w:r>
    </w:p>
    <w:p w14:paraId="48CA3E3D">
      <w:pPr>
        <w:pStyle w:val="98"/>
        <w:spacing w:line="400" w:lineRule="atLeast"/>
        <w:ind w:firstLine="0"/>
        <w:rPr>
          <w:b/>
          <w:sz w:val="28"/>
        </w:rPr>
      </w:pPr>
    </w:p>
    <w:p w14:paraId="5E7ED56E">
      <w:pPr>
        <w:pStyle w:val="98"/>
        <w:spacing w:line="400" w:lineRule="atLeast"/>
        <w:ind w:firstLine="0"/>
        <w:rPr>
          <w:b/>
          <w:sz w:val="28"/>
        </w:rPr>
      </w:pPr>
    </w:p>
    <w:p w14:paraId="39423B49">
      <w:pPr>
        <w:pStyle w:val="98"/>
        <w:spacing w:line="400" w:lineRule="atLeast"/>
        <w:ind w:firstLine="0"/>
        <w:rPr>
          <w:b/>
          <w:sz w:val="28"/>
        </w:rPr>
      </w:pPr>
    </w:p>
    <w:p w14:paraId="16DBA83B">
      <w:pPr>
        <w:pStyle w:val="98"/>
        <w:spacing w:line="400" w:lineRule="atLeast"/>
        <w:ind w:firstLine="0"/>
        <w:rPr>
          <w:b/>
          <w:sz w:val="28"/>
        </w:rPr>
      </w:pPr>
    </w:p>
    <w:p w14:paraId="4B3D371C">
      <w:pPr>
        <w:pStyle w:val="98"/>
        <w:spacing w:line="400" w:lineRule="atLeast"/>
        <w:ind w:firstLine="0"/>
        <w:rPr>
          <w:b/>
          <w:sz w:val="28"/>
        </w:rPr>
      </w:pPr>
    </w:p>
    <w:p w14:paraId="0288AAF1">
      <w:pPr>
        <w:pStyle w:val="98"/>
        <w:spacing w:line="400" w:lineRule="atLeast"/>
        <w:ind w:firstLine="0"/>
        <w:rPr>
          <w:b/>
          <w:sz w:val="28"/>
        </w:rPr>
      </w:pPr>
    </w:p>
    <w:p w14:paraId="20C677F4">
      <w:pPr>
        <w:pStyle w:val="98"/>
        <w:spacing w:line="400" w:lineRule="atLeast"/>
        <w:ind w:firstLine="0"/>
        <w:jc w:val="center"/>
        <w:rPr>
          <w:b/>
          <w:sz w:val="24"/>
        </w:rPr>
      </w:pPr>
    </w:p>
    <w:p w14:paraId="1C96D27C">
      <w:pPr>
        <w:widowControl/>
        <w:snapToGrid w:val="0"/>
        <w:jc w:val="left"/>
        <w:rPr>
          <w:rFonts w:ascii="宋体" w:hAnsi="宋体" w:cs="宋体"/>
          <w:b/>
          <w:sz w:val="24"/>
        </w:rPr>
      </w:pPr>
      <w:r>
        <w:rPr>
          <w:rFonts w:hint="eastAsia" w:ascii="宋体" w:hAnsi="宋体" w:cs="宋体"/>
          <w:b/>
          <w:sz w:val="24"/>
        </w:rPr>
        <w:t>1.2.3供应商信用证明格式</w:t>
      </w:r>
    </w:p>
    <w:p w14:paraId="231E9138">
      <w:pPr>
        <w:widowControl/>
        <w:snapToGrid w:val="0"/>
        <w:ind w:left="210" w:leftChars="100" w:firstLine="361" w:firstLineChars="150"/>
        <w:jc w:val="left"/>
        <w:rPr>
          <w:rFonts w:ascii="宋体" w:hAnsi="宋体" w:cs="宋体"/>
          <w:b/>
          <w:sz w:val="24"/>
        </w:rPr>
      </w:pPr>
      <w:r>
        <w:rPr>
          <w:rFonts w:hint="eastAsia" w:ascii="宋体" w:hAnsi="宋体" w:cs="宋体"/>
          <w:b/>
          <w:sz w:val="24"/>
        </w:rPr>
        <w:t>注：供应商未被列入失信被执行人名单、重大税收违法案件当事人名单、政府采购严重违法失信行为记录名单，信用信息以信用中国网站（www.creditchina.gov.cn）、中国政府采购网（www.ccgp.gov.cn）公布为准。</w:t>
      </w:r>
    </w:p>
    <w:p w14:paraId="61A57550">
      <w:pPr>
        <w:widowControl/>
        <w:snapToGrid w:val="0"/>
        <w:ind w:left="210" w:leftChars="100" w:firstLine="361" w:firstLineChars="150"/>
        <w:jc w:val="left"/>
        <w:rPr>
          <w:rFonts w:ascii="宋体" w:hAnsi="宋体" w:cs="宋体"/>
          <w:b/>
          <w:sz w:val="24"/>
        </w:rPr>
      </w:pPr>
      <w:r>
        <w:rPr>
          <w:rFonts w:hint="eastAsia" w:ascii="宋体" w:hAnsi="宋体" w:cs="宋体"/>
          <w:b/>
          <w:sz w:val="24"/>
        </w:rPr>
        <w:t>无违法失信的声明函及投标截止日前截图。【同格式1.3】</w:t>
      </w:r>
    </w:p>
    <w:p w14:paraId="3B4312FE">
      <w:pPr>
        <w:widowControl/>
        <w:snapToGrid w:val="0"/>
        <w:ind w:left="210" w:leftChars="100" w:firstLine="315" w:firstLineChars="150"/>
        <w:jc w:val="left"/>
        <w:rPr>
          <w:rFonts w:ascii="宋体" w:hAnsi="宋体" w:cs="宋体"/>
        </w:rPr>
      </w:pPr>
    </w:p>
    <w:p w14:paraId="5EC1BC70">
      <w:pPr>
        <w:widowControl/>
        <w:snapToGrid w:val="0"/>
        <w:jc w:val="left"/>
        <w:rPr>
          <w:rFonts w:ascii="宋体" w:hAnsi="宋体" w:cs="宋体"/>
          <w:b/>
        </w:rPr>
      </w:pPr>
    </w:p>
    <w:p w14:paraId="47672E50">
      <w:pPr>
        <w:widowControl/>
        <w:snapToGrid w:val="0"/>
        <w:jc w:val="left"/>
        <w:rPr>
          <w:rFonts w:ascii="宋体" w:hAnsi="宋体" w:cs="宋体"/>
          <w:b/>
        </w:rPr>
      </w:pPr>
    </w:p>
    <w:p w14:paraId="4A8C6613">
      <w:pPr>
        <w:widowControl/>
        <w:snapToGrid w:val="0"/>
        <w:jc w:val="left"/>
        <w:rPr>
          <w:rFonts w:ascii="宋体" w:hAnsi="宋体" w:cs="宋体"/>
          <w:b/>
        </w:rPr>
      </w:pPr>
    </w:p>
    <w:p w14:paraId="62E9C9F6">
      <w:pPr>
        <w:widowControl/>
        <w:snapToGrid w:val="0"/>
        <w:jc w:val="left"/>
        <w:rPr>
          <w:rFonts w:ascii="宋体" w:hAnsi="宋体" w:cs="宋体"/>
          <w:b/>
        </w:rPr>
      </w:pPr>
    </w:p>
    <w:p w14:paraId="48CAB9B9">
      <w:pPr>
        <w:pStyle w:val="29"/>
        <w:jc w:val="center"/>
        <w:rPr>
          <w:rFonts w:hAnsi="宋体"/>
          <w:b/>
          <w:sz w:val="32"/>
          <w:szCs w:val="32"/>
        </w:rPr>
      </w:pPr>
    </w:p>
    <w:p w14:paraId="23C1AF2C">
      <w:pPr>
        <w:widowControl/>
        <w:snapToGrid w:val="0"/>
        <w:jc w:val="left"/>
        <w:rPr>
          <w:rFonts w:ascii="宋体" w:hAnsi="宋体" w:cs="宋体"/>
          <w:b/>
          <w:sz w:val="24"/>
        </w:rPr>
        <w:sectPr>
          <w:pgSz w:w="11906" w:h="16840"/>
          <w:pgMar w:top="1440" w:right="1128" w:bottom="1701" w:left="1276" w:header="851" w:footer="992" w:gutter="0"/>
          <w:cols w:space="720" w:num="1"/>
          <w:docGrid w:linePitch="312" w:charSpace="0"/>
        </w:sectPr>
      </w:pPr>
    </w:p>
    <w:p w14:paraId="411F12E5">
      <w:pPr>
        <w:widowControl/>
        <w:snapToGrid w:val="0"/>
        <w:jc w:val="left"/>
        <w:rPr>
          <w:rFonts w:ascii="宋体" w:hAnsi="宋体" w:cs="宋体"/>
          <w:b/>
          <w:sz w:val="24"/>
        </w:rPr>
      </w:pPr>
      <w:r>
        <w:rPr>
          <w:rFonts w:hint="eastAsia" w:ascii="宋体" w:hAnsi="宋体" w:cs="宋体"/>
          <w:b/>
          <w:sz w:val="24"/>
        </w:rPr>
        <w:t>三、供应商特定资格条件的证明文件</w:t>
      </w:r>
    </w:p>
    <w:p w14:paraId="31EFEDA4">
      <w:pPr>
        <w:widowControl/>
        <w:snapToGrid w:val="0"/>
        <w:ind w:left="210" w:leftChars="100" w:firstLine="210" w:firstLineChars="100"/>
        <w:jc w:val="left"/>
        <w:rPr>
          <w:rFonts w:ascii="宋体" w:hAnsi="宋体" w:cs="宋体"/>
        </w:rPr>
      </w:pPr>
    </w:p>
    <w:p w14:paraId="411FDE1F">
      <w:pPr>
        <w:widowControl/>
        <w:snapToGrid w:val="0"/>
        <w:ind w:left="210" w:leftChars="100" w:firstLine="241" w:firstLineChars="100"/>
        <w:jc w:val="left"/>
        <w:rPr>
          <w:rFonts w:ascii="宋体" w:hAnsi="宋体" w:cs="宋体"/>
          <w:b/>
          <w:sz w:val="24"/>
        </w:rPr>
      </w:pPr>
      <w:r>
        <w:rPr>
          <w:rFonts w:hint="eastAsia" w:ascii="宋体" w:hAnsi="宋体" w:cs="宋体"/>
          <w:b/>
          <w:sz w:val="24"/>
        </w:rPr>
        <w:t>注：详见“第一章  招标公告 二、投标人的资格要求（同格式1.3）</w:t>
      </w:r>
    </w:p>
    <w:p w14:paraId="4A19CEE2">
      <w:pPr>
        <w:widowControl/>
        <w:snapToGrid w:val="0"/>
        <w:jc w:val="left"/>
        <w:rPr>
          <w:rFonts w:ascii="宋体" w:hAnsi="宋体" w:cs="宋体"/>
          <w:b/>
          <w:sz w:val="24"/>
          <w:szCs w:val="32"/>
        </w:rPr>
      </w:pPr>
    </w:p>
    <w:p w14:paraId="62510F7D">
      <w:pPr>
        <w:widowControl/>
        <w:snapToGrid w:val="0"/>
        <w:jc w:val="left"/>
        <w:rPr>
          <w:rFonts w:ascii="宋体" w:hAnsi="宋体" w:cs="宋体"/>
          <w:b/>
          <w:sz w:val="24"/>
          <w:szCs w:val="32"/>
        </w:rPr>
      </w:pPr>
      <w:r>
        <w:rPr>
          <w:rFonts w:hint="eastAsia" w:ascii="宋体" w:hAnsi="宋体" w:cs="宋体"/>
          <w:b/>
          <w:sz w:val="24"/>
          <w:szCs w:val="32"/>
        </w:rPr>
        <w:t xml:space="preserve">   1.2.4供应商特定资格条件的证明文件</w:t>
      </w:r>
    </w:p>
    <w:p w14:paraId="6D233E4A">
      <w:pPr>
        <w:widowControl/>
        <w:snapToGrid w:val="0"/>
        <w:ind w:left="210" w:leftChars="100" w:firstLine="315" w:firstLineChars="150"/>
        <w:jc w:val="left"/>
        <w:rPr>
          <w:rFonts w:ascii="宋体" w:hAnsi="宋体" w:cs="宋体"/>
        </w:rPr>
      </w:pPr>
    </w:p>
    <w:p w14:paraId="54684A5D">
      <w:pPr>
        <w:widowControl/>
        <w:snapToGrid w:val="0"/>
        <w:ind w:left="210" w:leftChars="100" w:firstLine="316" w:firstLineChars="150"/>
        <w:jc w:val="left"/>
        <w:rPr>
          <w:rFonts w:ascii="宋体" w:hAnsi="宋体" w:cs="宋体"/>
          <w:b/>
        </w:rPr>
      </w:pPr>
      <w:r>
        <w:rPr>
          <w:rFonts w:hint="eastAsia" w:ascii="宋体" w:hAnsi="宋体" w:cs="宋体"/>
          <w:b/>
        </w:rPr>
        <w:t>注：单位负责人为同一人或者存在直接控股、管理关系的不同供应商，不得同时参加同一合同项下的投标。（同格式1.3）</w:t>
      </w:r>
    </w:p>
    <w:p w14:paraId="19A0C13B">
      <w:pPr>
        <w:widowControl/>
        <w:snapToGrid w:val="0"/>
        <w:ind w:left="210" w:leftChars="100" w:firstLine="241" w:firstLineChars="100"/>
        <w:jc w:val="left"/>
        <w:rPr>
          <w:rFonts w:ascii="宋体" w:hAnsi="宋体" w:cs="宋体"/>
          <w:b/>
          <w:sz w:val="24"/>
        </w:rPr>
      </w:pPr>
    </w:p>
    <w:p w14:paraId="56C8B9C9">
      <w:pPr>
        <w:widowControl/>
        <w:snapToGrid w:val="0"/>
        <w:ind w:left="210" w:leftChars="100" w:firstLine="241" w:firstLineChars="100"/>
        <w:jc w:val="left"/>
        <w:rPr>
          <w:rFonts w:ascii="宋体" w:hAnsi="宋体" w:cs="宋体"/>
          <w:b/>
          <w:sz w:val="24"/>
        </w:rPr>
      </w:pPr>
    </w:p>
    <w:p w14:paraId="5AF28567">
      <w:pPr>
        <w:widowControl/>
        <w:snapToGrid w:val="0"/>
        <w:ind w:firstLine="480"/>
        <w:jc w:val="left"/>
        <w:rPr>
          <w:rFonts w:ascii="宋体" w:hAnsi="宋体"/>
          <w:b/>
          <w:kern w:val="0"/>
          <w:sz w:val="24"/>
        </w:rPr>
      </w:pPr>
      <w:r>
        <w:rPr>
          <w:rFonts w:hint="eastAsia" w:ascii="宋体" w:hAnsi="宋体" w:cs="宋体"/>
          <w:b/>
          <w:sz w:val="24"/>
        </w:rPr>
        <w:t>1.2.5</w:t>
      </w:r>
      <w:r>
        <w:rPr>
          <w:rFonts w:hint="eastAsia" w:ascii="宋体" w:hAnsi="宋体"/>
          <w:b/>
          <w:kern w:val="0"/>
          <w:sz w:val="24"/>
        </w:rPr>
        <w:t>提供采购公告中符合供应商特定条件：</w:t>
      </w:r>
      <w:r>
        <w:rPr>
          <w:rFonts w:hint="eastAsia" w:ascii="宋体" w:hAnsi="宋体"/>
          <w:b/>
          <w:color w:val="auto"/>
          <w:kern w:val="0"/>
          <w:sz w:val="24"/>
        </w:rPr>
        <w:t>仓储设施在浙江省域内，企业自有或租赁符合《中央猪肉储备冻肉储存冷库基本条件》（SB/T 10408-2013）要求的冷库，其中租赁库有效租期不得短于承储期</w:t>
      </w:r>
      <w:r>
        <w:rPr>
          <w:rFonts w:hint="eastAsia" w:ascii="宋体" w:hAnsi="宋体"/>
          <w:b/>
          <w:color w:val="auto"/>
          <w:kern w:val="0"/>
          <w:sz w:val="24"/>
          <w:lang w:val="en-US" w:eastAsia="zh-CN"/>
        </w:rPr>
        <w:t>的证明资料</w:t>
      </w:r>
      <w:r>
        <w:rPr>
          <w:rFonts w:hint="eastAsia" w:ascii="宋体" w:hAnsi="宋体"/>
          <w:b/>
          <w:color w:val="auto"/>
          <w:kern w:val="0"/>
          <w:sz w:val="24"/>
        </w:rPr>
        <w:t>；提供具备有效的食品经营</w:t>
      </w:r>
      <w:r>
        <w:rPr>
          <w:rFonts w:hint="eastAsia" w:ascii="宋体" w:hAnsi="宋体"/>
          <w:b/>
          <w:color w:val="auto"/>
          <w:kern w:val="0"/>
          <w:sz w:val="24"/>
          <w:lang w:val="en-US" w:eastAsia="zh-CN"/>
        </w:rPr>
        <w:t>证</w:t>
      </w:r>
      <w:r>
        <w:rPr>
          <w:rFonts w:hint="eastAsia" w:ascii="宋体" w:hAnsi="宋体"/>
          <w:b/>
          <w:kern w:val="0"/>
          <w:sz w:val="24"/>
        </w:rPr>
        <w:t>（注：须提供相关证明材料</w:t>
      </w:r>
      <w:r>
        <w:rPr>
          <w:rFonts w:hint="eastAsia" w:ascii="宋体" w:hAnsi="宋体" w:cs="宋体"/>
          <w:b/>
          <w:sz w:val="24"/>
        </w:rPr>
        <w:t>）</w:t>
      </w:r>
    </w:p>
    <w:p w14:paraId="1A20B724">
      <w:pPr>
        <w:widowControl/>
        <w:snapToGrid w:val="0"/>
        <w:ind w:firstLine="480"/>
        <w:jc w:val="left"/>
        <w:rPr>
          <w:rFonts w:ascii="宋体" w:hAnsi="宋体" w:cs="宋体"/>
          <w:b/>
          <w:sz w:val="24"/>
        </w:rPr>
      </w:pPr>
      <w:r>
        <w:rPr>
          <w:rFonts w:hint="eastAsia" w:ascii="宋体" w:hAnsi="宋体"/>
          <w:b/>
          <w:kern w:val="0"/>
          <w:sz w:val="24"/>
        </w:rPr>
        <w:t>1.2.6</w:t>
      </w:r>
      <w:r>
        <w:rPr>
          <w:rFonts w:hint="eastAsia" w:ascii="宋体" w:hAnsi="宋体" w:cs="宋体"/>
          <w:b/>
          <w:sz w:val="24"/>
        </w:rPr>
        <w:t>其他投标人认为须提供的资料（如有）</w:t>
      </w:r>
    </w:p>
    <w:p w14:paraId="21C6A13B">
      <w:pPr>
        <w:snapToGrid w:val="0"/>
        <w:spacing w:beforeLines="50" w:after="50"/>
        <w:rPr>
          <w:rFonts w:ascii="宋体" w:hAnsi="宋体"/>
          <w:b/>
          <w:sz w:val="24"/>
        </w:rPr>
      </w:pPr>
      <w:r>
        <w:rPr>
          <w:b/>
          <w:bCs/>
          <w:sz w:val="24"/>
        </w:rPr>
        <w:br w:type="page"/>
      </w:r>
      <w:r>
        <w:rPr>
          <w:rFonts w:ascii="宋体" w:hAnsi="宋体"/>
          <w:b/>
          <w:sz w:val="24"/>
        </w:rPr>
        <w:t>二、“商务技术文件”格式</w:t>
      </w:r>
    </w:p>
    <w:p w14:paraId="53524AC4">
      <w:pPr>
        <w:pStyle w:val="98"/>
        <w:spacing w:after="100" w:line="341" w:lineRule="exact"/>
        <w:ind w:firstLine="0"/>
        <w:jc w:val="both"/>
        <w:rPr>
          <w:b/>
          <w:bCs/>
          <w:sz w:val="24"/>
        </w:rPr>
      </w:pPr>
      <w:r>
        <w:rPr>
          <w:b/>
          <w:bCs/>
          <w:sz w:val="24"/>
        </w:rPr>
        <w:t>2.1“商务技术文件”封面（格式）</w:t>
      </w:r>
    </w:p>
    <w:p w14:paraId="4D081439">
      <w:pPr>
        <w:pStyle w:val="98"/>
        <w:spacing w:after="100" w:line="341" w:lineRule="exact"/>
        <w:ind w:firstLine="723" w:firstLineChars="300"/>
        <w:jc w:val="both"/>
        <w:rPr>
          <w:b/>
          <w:bCs/>
          <w:sz w:val="24"/>
        </w:rPr>
      </w:pPr>
    </w:p>
    <w:p w14:paraId="382515BA">
      <w:pPr>
        <w:ind w:firstLine="1446" w:firstLineChars="300"/>
        <w:rPr>
          <w:rFonts w:ascii="宋体" w:hAnsi="宋体"/>
          <w:sz w:val="52"/>
        </w:rPr>
      </w:pPr>
      <w:r>
        <w:rPr>
          <w:rFonts w:ascii="宋体" w:hAnsi="宋体"/>
          <w:b/>
          <w:sz w:val="48"/>
          <w:szCs w:val="48"/>
        </w:rPr>
        <w:t>衢州市政府采购电子交易项目</w:t>
      </w:r>
    </w:p>
    <w:p w14:paraId="4B67DEA8">
      <w:pPr>
        <w:jc w:val="center"/>
        <w:rPr>
          <w:rFonts w:ascii="宋体" w:hAnsi="宋体"/>
          <w:b/>
          <w:bCs/>
          <w:sz w:val="72"/>
        </w:rPr>
      </w:pPr>
    </w:p>
    <w:p w14:paraId="159A1A04">
      <w:pPr>
        <w:jc w:val="center"/>
        <w:rPr>
          <w:rFonts w:ascii="宋体" w:hAnsi="宋体"/>
          <w:b/>
          <w:bCs/>
          <w:sz w:val="72"/>
        </w:rPr>
      </w:pPr>
      <w:r>
        <w:rPr>
          <w:rFonts w:ascii="宋体" w:hAnsi="宋体"/>
          <w:b/>
          <w:bCs/>
          <w:sz w:val="72"/>
        </w:rPr>
        <w:t>投 标 文 件</w:t>
      </w:r>
    </w:p>
    <w:p w14:paraId="7CE39380">
      <w:pPr>
        <w:jc w:val="center"/>
        <w:rPr>
          <w:rFonts w:ascii="宋体" w:hAnsi="宋体" w:cs="宋体"/>
          <w:b/>
          <w:bCs/>
          <w:sz w:val="28"/>
        </w:rPr>
      </w:pPr>
      <w:r>
        <w:rPr>
          <w:rFonts w:ascii="宋体" w:hAnsi="宋体"/>
          <w:b/>
          <w:bCs/>
          <w:sz w:val="32"/>
          <w:szCs w:val="32"/>
        </w:rPr>
        <w:t>（二、商务技术文件）</w:t>
      </w:r>
    </w:p>
    <w:p w14:paraId="44935097">
      <w:pPr>
        <w:rPr>
          <w:rFonts w:ascii="宋体" w:hAnsi="宋体"/>
          <w:b/>
          <w:bCs/>
          <w:sz w:val="28"/>
        </w:rPr>
      </w:pPr>
    </w:p>
    <w:p w14:paraId="7B422AC1">
      <w:pPr>
        <w:spacing w:line="900" w:lineRule="exact"/>
        <w:ind w:left="1335" w:hanging="1335" w:hangingChars="445"/>
        <w:rPr>
          <w:rFonts w:hint="eastAsia" w:ascii="宋体" w:hAnsi="宋体" w:eastAsia="宋体"/>
          <w:sz w:val="30"/>
          <w:szCs w:val="30"/>
          <w:u w:val="single"/>
          <w:lang w:eastAsia="zh-CN"/>
        </w:rPr>
      </w:pPr>
      <w:r>
        <w:rPr>
          <w:rFonts w:ascii="宋体" w:hAnsi="宋体"/>
          <w:sz w:val="30"/>
          <w:szCs w:val="30"/>
        </w:rPr>
        <w:t>项目名称：</w:t>
      </w:r>
      <w:r>
        <w:rPr>
          <w:rFonts w:hint="eastAsia" w:ascii="宋体" w:hAnsi="宋体"/>
          <w:sz w:val="30"/>
          <w:szCs w:val="30"/>
          <w:u w:val="single"/>
          <w:lang w:eastAsia="zh-CN"/>
        </w:rPr>
        <w:t>衢州市冻猪肉储备政府购买服务项目（三次）</w:t>
      </w:r>
    </w:p>
    <w:p w14:paraId="55B64467">
      <w:pPr>
        <w:spacing w:line="900" w:lineRule="exact"/>
        <w:rPr>
          <w:rFonts w:hint="eastAsia" w:ascii="宋体" w:hAnsi="宋体" w:eastAsia="宋体"/>
          <w:sz w:val="30"/>
          <w:szCs w:val="30"/>
          <w:lang w:eastAsia="zh-CN"/>
        </w:rPr>
      </w:pPr>
      <w:r>
        <w:rPr>
          <w:rFonts w:ascii="宋体" w:hAnsi="宋体"/>
          <w:sz w:val="30"/>
          <w:szCs w:val="30"/>
        </w:rPr>
        <w:t>项目编号：</w:t>
      </w:r>
      <w:r>
        <w:rPr>
          <w:rFonts w:hint="eastAsia" w:ascii="宋体" w:hAnsi="宋体"/>
          <w:sz w:val="30"/>
          <w:szCs w:val="30"/>
          <w:u w:val="single"/>
          <w:lang w:eastAsia="zh-CN"/>
        </w:rPr>
        <w:t>DSYCG2024-010</w:t>
      </w:r>
    </w:p>
    <w:p w14:paraId="04B2DA23">
      <w:pPr>
        <w:spacing w:line="900" w:lineRule="exact"/>
        <w:rPr>
          <w:rFonts w:ascii="宋体" w:hAnsi="宋体"/>
          <w:sz w:val="30"/>
          <w:szCs w:val="30"/>
          <w:u w:val="single"/>
        </w:rPr>
      </w:pPr>
      <w:r>
        <w:rPr>
          <w:rFonts w:ascii="宋体" w:hAnsi="宋体"/>
          <w:sz w:val="30"/>
          <w:szCs w:val="30"/>
        </w:rPr>
        <w:t>投标人单位名称（盖章）：</w:t>
      </w:r>
    </w:p>
    <w:p w14:paraId="418064F2">
      <w:pPr>
        <w:spacing w:line="900" w:lineRule="exact"/>
        <w:rPr>
          <w:rFonts w:ascii="宋体" w:hAnsi="宋体"/>
          <w:sz w:val="30"/>
          <w:szCs w:val="30"/>
          <w:u w:val="single"/>
        </w:rPr>
      </w:pPr>
      <w:r>
        <w:rPr>
          <w:rFonts w:ascii="宋体" w:hAnsi="宋体"/>
          <w:sz w:val="30"/>
          <w:szCs w:val="30"/>
        </w:rPr>
        <w:t>投标人单位地址：</w:t>
      </w:r>
    </w:p>
    <w:p w14:paraId="300F2980">
      <w:pPr>
        <w:spacing w:line="900" w:lineRule="exact"/>
        <w:rPr>
          <w:rFonts w:ascii="宋体" w:hAnsi="宋体"/>
          <w:sz w:val="30"/>
          <w:szCs w:val="30"/>
          <w:u w:val="single"/>
        </w:rPr>
      </w:pPr>
      <w:r>
        <w:rPr>
          <w:rFonts w:ascii="宋体" w:hAnsi="宋体"/>
          <w:sz w:val="30"/>
          <w:szCs w:val="30"/>
        </w:rPr>
        <w:t>法定代表人或其委托代理人：</w:t>
      </w:r>
      <w:r>
        <w:rPr>
          <w:rFonts w:ascii="宋体" w:hAnsi="宋体"/>
          <w:sz w:val="30"/>
          <w:szCs w:val="30"/>
          <w:u w:val="single"/>
        </w:rPr>
        <w:t xml:space="preserve">           （签字或盖章） </w:t>
      </w:r>
    </w:p>
    <w:p w14:paraId="2D24477F">
      <w:pPr>
        <w:spacing w:line="900" w:lineRule="exact"/>
        <w:rPr>
          <w:rFonts w:ascii="宋体" w:hAnsi="宋体"/>
          <w:sz w:val="30"/>
          <w:szCs w:val="30"/>
          <w:u w:val="single"/>
        </w:rPr>
      </w:pPr>
      <w:r>
        <w:rPr>
          <w:rFonts w:ascii="宋体" w:hAnsi="宋体"/>
          <w:sz w:val="30"/>
          <w:szCs w:val="30"/>
        </w:rPr>
        <w:t>投标人联系电话：</w:t>
      </w:r>
    </w:p>
    <w:p w14:paraId="52D75F34">
      <w:pPr>
        <w:spacing w:line="900" w:lineRule="exact"/>
        <w:rPr>
          <w:rFonts w:ascii="宋体" w:hAnsi="宋体"/>
          <w:sz w:val="30"/>
          <w:szCs w:val="30"/>
        </w:rPr>
      </w:pPr>
      <w:r>
        <w:rPr>
          <w:rFonts w:ascii="宋体" w:hAnsi="宋体"/>
          <w:sz w:val="30"/>
          <w:szCs w:val="30"/>
        </w:rPr>
        <w:t>日 期：年月日</w:t>
      </w:r>
    </w:p>
    <w:p w14:paraId="748CD2F3">
      <w:pPr>
        <w:pStyle w:val="54"/>
        <w:tabs>
          <w:tab w:val="left" w:pos="900"/>
        </w:tabs>
        <w:spacing w:after="0"/>
        <w:ind w:left="0" w:leftChars="0" w:firstLine="0" w:firstLineChars="0"/>
        <w:jc w:val="center"/>
        <w:rPr>
          <w:rFonts w:ascii="宋体" w:hAnsi="宋体"/>
          <w:b/>
          <w:sz w:val="24"/>
          <w:szCs w:val="24"/>
        </w:rPr>
      </w:pPr>
      <w:r>
        <w:rPr>
          <w:rFonts w:ascii="宋体" w:hAnsi="宋体"/>
          <w:b/>
          <w:sz w:val="24"/>
          <w:szCs w:val="24"/>
        </w:rPr>
        <w:t>投标截止时间前其他单位或个人不得解密、提取</w:t>
      </w:r>
    </w:p>
    <w:p w14:paraId="64189C25">
      <w:pPr>
        <w:pStyle w:val="98"/>
        <w:spacing w:after="100" w:line="341" w:lineRule="exact"/>
        <w:ind w:firstLine="723" w:firstLineChars="300"/>
        <w:jc w:val="both"/>
        <w:rPr>
          <w:b/>
          <w:bCs/>
          <w:sz w:val="24"/>
        </w:rPr>
      </w:pPr>
    </w:p>
    <w:p w14:paraId="68EA4A8C">
      <w:pPr>
        <w:pStyle w:val="54"/>
        <w:spacing w:after="0" w:line="0" w:lineRule="atLeast"/>
        <w:ind w:left="0" w:leftChars="0" w:firstLine="0" w:firstLineChars="0"/>
        <w:rPr>
          <w:rFonts w:ascii="宋体" w:hAnsi="宋体"/>
          <w:b/>
          <w:bCs/>
        </w:rPr>
      </w:pPr>
      <w:r>
        <w:rPr>
          <w:rFonts w:ascii="宋体" w:hAnsi="宋体"/>
          <w:b/>
          <w:bCs/>
          <w:sz w:val="24"/>
          <w:szCs w:val="24"/>
        </w:rPr>
        <w:t>2.2商务技术文件</w:t>
      </w:r>
      <w:r>
        <w:rPr>
          <w:rFonts w:ascii="宋体" w:hAnsi="宋体"/>
          <w:b/>
          <w:bCs/>
          <w:sz w:val="24"/>
        </w:rPr>
        <w:t>目录</w:t>
      </w:r>
      <w:r>
        <w:rPr>
          <w:rFonts w:ascii="宋体" w:hAnsi="宋体"/>
          <w:b/>
          <w:bCs/>
          <w:sz w:val="24"/>
          <w:szCs w:val="24"/>
        </w:rPr>
        <w:t>：</w:t>
      </w:r>
    </w:p>
    <w:p w14:paraId="547139D9">
      <w:pPr>
        <w:shd w:val="clear" w:color="auto" w:fill="FFFFFF"/>
        <w:snapToGrid w:val="0"/>
        <w:spacing w:line="0" w:lineRule="atLeast"/>
        <w:jc w:val="center"/>
        <w:rPr>
          <w:rFonts w:ascii="宋体" w:hAnsi="宋体"/>
          <w:b/>
          <w:sz w:val="32"/>
        </w:rPr>
      </w:pPr>
      <w:r>
        <w:rPr>
          <w:rFonts w:hint="eastAsia" w:ascii="宋体" w:hAnsi="宋体"/>
          <w:b/>
          <w:sz w:val="32"/>
        </w:rPr>
        <w:t>目  录</w:t>
      </w:r>
    </w:p>
    <w:p w14:paraId="08A23C41">
      <w:pPr>
        <w:shd w:val="clear" w:color="auto" w:fill="FFFFFF"/>
        <w:snapToGrid w:val="0"/>
        <w:jc w:val="distribute"/>
        <w:rPr>
          <w:rFonts w:ascii="宋体" w:hAnsi="宋体"/>
          <w:sz w:val="24"/>
        </w:rPr>
      </w:pPr>
      <w:r>
        <w:rPr>
          <w:rFonts w:hint="eastAsia" w:ascii="宋体" w:hAnsi="宋体"/>
          <w:sz w:val="24"/>
        </w:rPr>
        <w:t>1.自评分表（格式2.2.1）…………………………………………………（页码）</w:t>
      </w:r>
    </w:p>
    <w:p w14:paraId="4F99E325">
      <w:pPr>
        <w:shd w:val="clear" w:color="auto" w:fill="FFFFFF"/>
        <w:snapToGrid w:val="0"/>
        <w:jc w:val="distribute"/>
        <w:rPr>
          <w:rFonts w:ascii="宋体" w:hAnsi="宋体"/>
          <w:sz w:val="24"/>
        </w:rPr>
      </w:pPr>
      <w:r>
        <w:rPr>
          <w:rFonts w:hint="eastAsia" w:ascii="宋体" w:hAnsi="宋体"/>
          <w:sz w:val="24"/>
        </w:rPr>
        <w:t>2.法定代表人证明书（格式2.2.2）………………………………………（页码）</w:t>
      </w:r>
    </w:p>
    <w:p w14:paraId="20818C8C">
      <w:pPr>
        <w:shd w:val="clear" w:color="auto" w:fill="FFFFFF"/>
        <w:snapToGrid w:val="0"/>
        <w:jc w:val="distribute"/>
        <w:rPr>
          <w:rFonts w:ascii="宋体" w:hAnsi="宋体"/>
          <w:sz w:val="24"/>
        </w:rPr>
      </w:pPr>
      <w:r>
        <w:rPr>
          <w:rFonts w:hint="eastAsia" w:ascii="宋体" w:hAnsi="宋体"/>
          <w:sz w:val="24"/>
        </w:rPr>
        <w:t>3.法定代表人授权委托书（格式2.2.3）…………………………………（页码）</w:t>
      </w:r>
    </w:p>
    <w:p w14:paraId="5903EF12">
      <w:pPr>
        <w:shd w:val="clear" w:color="auto" w:fill="FFFFFF"/>
        <w:snapToGrid w:val="0"/>
        <w:jc w:val="distribute"/>
        <w:rPr>
          <w:rFonts w:ascii="宋体" w:hAnsi="宋体"/>
          <w:sz w:val="24"/>
        </w:rPr>
      </w:pPr>
      <w:r>
        <w:rPr>
          <w:rFonts w:hint="eastAsia" w:ascii="宋体" w:hAnsi="宋体"/>
          <w:sz w:val="24"/>
        </w:rPr>
        <w:t>4.投标人基本情况表（格式2.2.4）……………………………………（页码）</w:t>
      </w:r>
    </w:p>
    <w:p w14:paraId="49854193">
      <w:pPr>
        <w:shd w:val="clear" w:color="auto" w:fill="FFFFFF"/>
        <w:snapToGrid w:val="0"/>
        <w:rPr>
          <w:rFonts w:ascii="宋体" w:hAnsi="宋体"/>
          <w:sz w:val="24"/>
        </w:rPr>
      </w:pPr>
      <w:r>
        <w:rPr>
          <w:rFonts w:hint="eastAsia" w:ascii="宋体" w:hAnsi="宋体"/>
          <w:sz w:val="24"/>
        </w:rPr>
        <w:t>5.技术(商务)响应表（格式2.2.5）…………………………………………………（页码）</w:t>
      </w:r>
    </w:p>
    <w:p w14:paraId="1EDC1CC8">
      <w:pPr>
        <w:shd w:val="clear" w:color="auto" w:fill="FFFFFF"/>
        <w:snapToGrid w:val="0"/>
        <w:jc w:val="distribute"/>
        <w:rPr>
          <w:rFonts w:ascii="宋体" w:hAnsi="宋体"/>
          <w:sz w:val="24"/>
        </w:rPr>
      </w:pPr>
      <w:r>
        <w:rPr>
          <w:rFonts w:hint="eastAsia" w:ascii="宋体" w:hAnsi="宋体"/>
          <w:sz w:val="24"/>
        </w:rPr>
        <w:t>6.企业履约能力-企业荣誉（如有）………………………………………………………（页码）</w:t>
      </w:r>
    </w:p>
    <w:p w14:paraId="20AAB771">
      <w:pPr>
        <w:shd w:val="clear" w:color="auto" w:fill="FFFFFF"/>
        <w:snapToGrid w:val="0"/>
        <w:rPr>
          <w:rFonts w:ascii="宋体" w:hAnsi="宋体"/>
          <w:sz w:val="24"/>
        </w:rPr>
      </w:pPr>
      <w:r>
        <w:rPr>
          <w:rFonts w:hint="eastAsia" w:ascii="宋体" w:hAnsi="宋体"/>
          <w:sz w:val="24"/>
        </w:rPr>
        <w:t>8.类似项目业绩（格式2.2.6）…………………………………………………………（页码）</w:t>
      </w:r>
    </w:p>
    <w:p w14:paraId="51E4D6B1">
      <w:pPr>
        <w:shd w:val="clear" w:color="auto" w:fill="FFFFFF"/>
        <w:snapToGrid w:val="0"/>
        <w:jc w:val="distribute"/>
        <w:rPr>
          <w:rFonts w:ascii="宋体" w:hAnsi="宋体"/>
          <w:sz w:val="24"/>
        </w:rPr>
      </w:pPr>
      <w:r>
        <w:rPr>
          <w:rFonts w:hint="eastAsia" w:ascii="宋体" w:hAnsi="宋体"/>
          <w:sz w:val="24"/>
        </w:rPr>
        <w:t>9.拟派项目负责人简历表格式（格式2.2.7）…………………………………………（页码）</w:t>
      </w:r>
    </w:p>
    <w:p w14:paraId="7110A125">
      <w:pPr>
        <w:shd w:val="clear" w:color="auto" w:fill="FFFFFF"/>
        <w:snapToGrid w:val="0"/>
        <w:jc w:val="left"/>
        <w:rPr>
          <w:rFonts w:ascii="宋体" w:hAnsi="宋体"/>
          <w:sz w:val="24"/>
        </w:rPr>
      </w:pPr>
      <w:r>
        <w:rPr>
          <w:rFonts w:hint="eastAsia" w:ascii="宋体" w:hAnsi="宋体"/>
          <w:sz w:val="24"/>
        </w:rPr>
        <w:t>10.拟派项目团队成员情况表格式（格式2.2.8）………………………………………（页码）</w:t>
      </w:r>
    </w:p>
    <w:p w14:paraId="2383900A">
      <w:pPr>
        <w:shd w:val="clear" w:color="auto" w:fill="FFFFFF"/>
        <w:snapToGrid w:val="0"/>
        <w:jc w:val="distribute"/>
        <w:rPr>
          <w:rFonts w:ascii="宋体" w:hAnsi="宋体"/>
          <w:sz w:val="24"/>
        </w:rPr>
      </w:pPr>
      <w:r>
        <w:rPr>
          <w:rFonts w:hint="eastAsia" w:ascii="宋体" w:hAnsi="宋体"/>
          <w:sz w:val="24"/>
        </w:rPr>
        <w:t>11.项目理解与分析…………………………………………………………………………（页码）</w:t>
      </w:r>
    </w:p>
    <w:p w14:paraId="18B5C684">
      <w:pPr>
        <w:shd w:val="clear" w:color="auto" w:fill="FFFFFF"/>
        <w:snapToGrid w:val="0"/>
        <w:jc w:val="distribute"/>
        <w:rPr>
          <w:rFonts w:ascii="宋体" w:hAnsi="宋体"/>
          <w:sz w:val="24"/>
        </w:rPr>
      </w:pPr>
      <w:r>
        <w:rPr>
          <w:rFonts w:hint="eastAsia" w:ascii="宋体" w:hAnsi="宋体"/>
          <w:sz w:val="24"/>
        </w:rPr>
        <w:t>12.销售能力情况…………………………………………………………………………（页码）</w:t>
      </w:r>
    </w:p>
    <w:p w14:paraId="3C9E4D92">
      <w:pPr>
        <w:shd w:val="clear" w:color="auto" w:fill="FFFFFF"/>
        <w:snapToGrid w:val="0"/>
        <w:jc w:val="distribute"/>
        <w:rPr>
          <w:rFonts w:ascii="宋体" w:hAnsi="宋体"/>
          <w:sz w:val="24"/>
        </w:rPr>
      </w:pPr>
      <w:r>
        <w:rPr>
          <w:rFonts w:hint="eastAsia" w:ascii="宋体" w:hAnsi="宋体"/>
          <w:sz w:val="24"/>
        </w:rPr>
        <w:t>13.企业库容及库存情况…………………………………………………………………（页码）</w:t>
      </w:r>
    </w:p>
    <w:p w14:paraId="1C235D8B">
      <w:pPr>
        <w:shd w:val="clear" w:color="auto" w:fill="FFFFFF"/>
        <w:snapToGrid w:val="0"/>
        <w:jc w:val="distribute"/>
        <w:rPr>
          <w:rFonts w:ascii="宋体" w:hAnsi="宋体"/>
          <w:sz w:val="24"/>
        </w:rPr>
      </w:pPr>
      <w:r>
        <w:rPr>
          <w:rFonts w:hint="eastAsia" w:ascii="宋体" w:hAnsi="宋体"/>
          <w:sz w:val="24"/>
        </w:rPr>
        <w:t>14.运输保障能力…………………………………………………………………（页码）</w:t>
      </w:r>
    </w:p>
    <w:p w14:paraId="710BD549">
      <w:pPr>
        <w:shd w:val="clear" w:color="auto" w:fill="FFFFFF"/>
        <w:snapToGrid w:val="0"/>
        <w:jc w:val="distribute"/>
        <w:rPr>
          <w:rFonts w:ascii="宋体" w:hAnsi="宋体"/>
          <w:sz w:val="24"/>
        </w:rPr>
      </w:pPr>
      <w:r>
        <w:rPr>
          <w:rFonts w:hint="eastAsia" w:ascii="宋体" w:hAnsi="宋体"/>
          <w:sz w:val="24"/>
        </w:rPr>
        <w:t>15.投放方案………………………………………………………………………………（页码）</w:t>
      </w:r>
    </w:p>
    <w:p w14:paraId="2F88FF3C">
      <w:pPr>
        <w:shd w:val="clear" w:color="auto" w:fill="FFFFFF"/>
        <w:snapToGrid w:val="0"/>
        <w:jc w:val="distribute"/>
        <w:rPr>
          <w:rFonts w:ascii="宋体" w:hAnsi="宋体"/>
          <w:sz w:val="24"/>
        </w:rPr>
      </w:pPr>
      <w:r>
        <w:rPr>
          <w:rFonts w:hint="eastAsia" w:ascii="宋体" w:hAnsi="宋体"/>
          <w:sz w:val="24"/>
        </w:rPr>
        <w:t>16.服务响应时间…………………………………………………………………………（页码）</w:t>
      </w:r>
    </w:p>
    <w:p w14:paraId="751D173C">
      <w:pPr>
        <w:shd w:val="clear" w:color="auto" w:fill="FFFFFF"/>
        <w:snapToGrid w:val="0"/>
        <w:jc w:val="left"/>
        <w:rPr>
          <w:rFonts w:ascii="宋体" w:hAnsi="宋体"/>
          <w:sz w:val="24"/>
        </w:rPr>
      </w:pPr>
      <w:r>
        <w:rPr>
          <w:rFonts w:hint="eastAsia" w:ascii="宋体" w:hAnsi="宋体"/>
          <w:sz w:val="24"/>
        </w:rPr>
        <w:t>17.质量保证措施……………………………………………………………………………（页码）</w:t>
      </w:r>
    </w:p>
    <w:p w14:paraId="05481E47">
      <w:pPr>
        <w:shd w:val="clear" w:color="auto" w:fill="FFFFFF"/>
        <w:snapToGrid w:val="0"/>
        <w:jc w:val="distribute"/>
        <w:rPr>
          <w:rFonts w:ascii="宋体" w:hAnsi="宋体"/>
          <w:sz w:val="24"/>
        </w:rPr>
      </w:pPr>
      <w:r>
        <w:rPr>
          <w:rFonts w:hint="eastAsia" w:ascii="宋体" w:hAnsi="宋体"/>
          <w:sz w:val="24"/>
        </w:rPr>
        <w:t>18.应急预案……………………………………………………………………………（页码）</w:t>
      </w:r>
    </w:p>
    <w:p w14:paraId="2661265C">
      <w:pPr>
        <w:shd w:val="clear" w:color="auto" w:fill="FFFFFF"/>
        <w:snapToGrid w:val="0"/>
        <w:jc w:val="left"/>
        <w:rPr>
          <w:rFonts w:ascii="宋体" w:hAnsi="宋体"/>
          <w:sz w:val="24"/>
        </w:rPr>
      </w:pPr>
      <w:r>
        <w:rPr>
          <w:rFonts w:hint="eastAsia" w:ascii="宋体" w:hAnsi="宋体"/>
          <w:sz w:val="24"/>
        </w:rPr>
        <w:t>19.管理制度……………………………………………………………………………（页码）</w:t>
      </w:r>
    </w:p>
    <w:p w14:paraId="52336F6D">
      <w:pPr>
        <w:shd w:val="clear" w:color="auto" w:fill="FFFFFF"/>
        <w:snapToGrid w:val="0"/>
        <w:jc w:val="left"/>
        <w:rPr>
          <w:rFonts w:ascii="宋体" w:hAnsi="宋体"/>
          <w:sz w:val="24"/>
        </w:rPr>
      </w:pPr>
      <w:r>
        <w:rPr>
          <w:rFonts w:hint="eastAsia" w:ascii="宋体" w:hAnsi="宋体"/>
          <w:sz w:val="24"/>
        </w:rPr>
        <w:t>20.储备保证……………………………………………………………………………（页码）</w:t>
      </w:r>
    </w:p>
    <w:p w14:paraId="313CF299">
      <w:pPr>
        <w:shd w:val="clear" w:color="auto" w:fill="FFFFFF"/>
        <w:snapToGrid w:val="0"/>
        <w:jc w:val="distribute"/>
        <w:rPr>
          <w:rFonts w:ascii="宋体" w:hAnsi="宋体"/>
          <w:sz w:val="24"/>
        </w:rPr>
      </w:pPr>
      <w:r>
        <w:rPr>
          <w:rFonts w:hint="eastAsia" w:ascii="宋体" w:hAnsi="宋体"/>
          <w:sz w:val="24"/>
        </w:rPr>
        <w:t>21.投标人承诺…………………………………………………………………………（页码）</w:t>
      </w:r>
    </w:p>
    <w:p w14:paraId="3FB8CA5F">
      <w:pPr>
        <w:shd w:val="clear" w:color="auto" w:fill="FFFFFF"/>
        <w:snapToGrid w:val="0"/>
        <w:jc w:val="distribute"/>
        <w:rPr>
          <w:rFonts w:ascii="宋体" w:hAnsi="宋体"/>
          <w:sz w:val="24"/>
        </w:rPr>
      </w:pPr>
      <w:r>
        <w:rPr>
          <w:rFonts w:hint="eastAsia" w:ascii="宋体" w:hAnsi="宋体"/>
          <w:sz w:val="24"/>
        </w:rPr>
        <w:t>22.</w:t>
      </w:r>
      <w:r>
        <w:rPr>
          <w:rFonts w:hint="eastAsia" w:hAnsi="宋体" w:cs="宋体"/>
          <w:sz w:val="24"/>
        </w:rPr>
        <w:t>投标人认为有必要提供的其他资料（如有）</w:t>
      </w:r>
      <w:r>
        <w:rPr>
          <w:rFonts w:hint="eastAsia" w:ascii="宋体" w:hAnsi="宋体"/>
          <w:sz w:val="24"/>
        </w:rPr>
        <w:t>…………………………………………（页码）</w:t>
      </w:r>
    </w:p>
    <w:p w14:paraId="622AB700">
      <w:pPr>
        <w:spacing w:line="400" w:lineRule="atLeast"/>
        <w:ind w:firstLine="480" w:firstLineChars="200"/>
        <w:rPr>
          <w:rFonts w:ascii="宋体" w:hAnsi="宋体"/>
          <w:sz w:val="24"/>
        </w:rPr>
      </w:pPr>
      <w:r>
        <w:rPr>
          <w:rFonts w:hint="eastAsia" w:ascii="宋体" w:hAnsi="宋体"/>
          <w:sz w:val="24"/>
        </w:rPr>
        <w:t>注：以上目录是编制商务技术文件的基本格式要求，投标人可根据自身情况进一步细化。未标明格式的格式、内容由投标人自拟</w:t>
      </w:r>
    </w:p>
    <w:p w14:paraId="4E10F2B8">
      <w:pPr>
        <w:spacing w:line="0" w:lineRule="atLeast"/>
        <w:rPr>
          <w:rFonts w:ascii="宋体" w:hAnsi="宋体"/>
          <w:b/>
          <w:bCs/>
          <w:sz w:val="24"/>
        </w:rPr>
      </w:pPr>
      <w:r>
        <w:rPr>
          <w:rFonts w:ascii="宋体" w:hAnsi="宋体"/>
          <w:b/>
          <w:bCs/>
          <w:sz w:val="24"/>
        </w:rPr>
        <w:br w:type="page"/>
      </w:r>
      <w:r>
        <w:rPr>
          <w:rFonts w:ascii="宋体" w:hAnsi="宋体"/>
          <w:b/>
          <w:bCs/>
          <w:sz w:val="24"/>
        </w:rPr>
        <w:t>2.2.1自评分表格式：</w:t>
      </w:r>
    </w:p>
    <w:p w14:paraId="1D3A289E">
      <w:pPr>
        <w:numPr>
          <w:ilvl w:val="0"/>
          <w:numId w:val="2"/>
        </w:numPr>
        <w:adjustRightInd w:val="0"/>
        <w:snapToGrid w:val="0"/>
        <w:spacing w:line="0" w:lineRule="atLeast"/>
        <w:jc w:val="center"/>
        <w:rPr>
          <w:rFonts w:ascii="宋体" w:hAnsi="宋体"/>
          <w:b/>
          <w:bCs/>
          <w:sz w:val="32"/>
          <w:szCs w:val="32"/>
        </w:rPr>
      </w:pPr>
      <w:r>
        <w:rPr>
          <w:rFonts w:hint="eastAsia" w:ascii="宋体" w:hAnsi="宋体"/>
          <w:b/>
          <w:bCs/>
          <w:sz w:val="32"/>
          <w:szCs w:val="32"/>
        </w:rPr>
        <w:t>自评分表</w:t>
      </w:r>
    </w:p>
    <w:tbl>
      <w:tblPr>
        <w:tblStyle w:val="55"/>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541"/>
        <w:gridCol w:w="4961"/>
        <w:gridCol w:w="850"/>
        <w:gridCol w:w="779"/>
        <w:gridCol w:w="779"/>
      </w:tblGrid>
      <w:tr w14:paraId="1D39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7AD3B9B8">
            <w:pPr>
              <w:widowControl/>
              <w:spacing w:line="0" w:lineRule="atLeast"/>
              <w:jc w:val="center"/>
              <w:textAlignment w:val="center"/>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kern w:val="0"/>
                <w:szCs w:val="21"/>
                <w:highlight w:val="none"/>
              </w:rPr>
              <w:t>序号</w:t>
            </w:r>
          </w:p>
        </w:tc>
        <w:tc>
          <w:tcPr>
            <w:tcW w:w="1541" w:type="dxa"/>
            <w:shd w:val="clear" w:color="auto" w:fill="auto"/>
            <w:vAlign w:val="center"/>
          </w:tcPr>
          <w:p w14:paraId="7FC53BE2">
            <w:pPr>
              <w:widowControl/>
              <w:spacing w:line="0" w:lineRule="atLeast"/>
              <w:jc w:val="center"/>
              <w:textAlignment w:val="center"/>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kern w:val="0"/>
                <w:szCs w:val="21"/>
                <w:highlight w:val="none"/>
              </w:rPr>
              <w:t>评分项目</w:t>
            </w:r>
          </w:p>
        </w:tc>
        <w:tc>
          <w:tcPr>
            <w:tcW w:w="4961" w:type="dxa"/>
            <w:shd w:val="clear" w:color="auto" w:fill="auto"/>
            <w:vAlign w:val="center"/>
          </w:tcPr>
          <w:p w14:paraId="34AFCC24">
            <w:pPr>
              <w:widowControl/>
              <w:spacing w:line="0" w:lineRule="atLeast"/>
              <w:jc w:val="center"/>
              <w:textAlignment w:val="center"/>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kern w:val="0"/>
                <w:szCs w:val="21"/>
                <w:highlight w:val="none"/>
              </w:rPr>
              <w:t>评分标准</w:t>
            </w:r>
          </w:p>
        </w:tc>
        <w:tc>
          <w:tcPr>
            <w:tcW w:w="850" w:type="dxa"/>
            <w:shd w:val="clear" w:color="auto" w:fill="auto"/>
            <w:vAlign w:val="center"/>
          </w:tcPr>
          <w:p w14:paraId="6CA2CB13">
            <w:pPr>
              <w:widowControl/>
              <w:spacing w:line="0" w:lineRule="atLeast"/>
              <w:jc w:val="center"/>
              <w:textAlignment w:val="center"/>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kern w:val="0"/>
                <w:szCs w:val="21"/>
                <w:highlight w:val="none"/>
              </w:rPr>
              <w:t>分值</w:t>
            </w:r>
          </w:p>
        </w:tc>
        <w:tc>
          <w:tcPr>
            <w:tcW w:w="779" w:type="dxa"/>
          </w:tcPr>
          <w:p w14:paraId="13712B5B">
            <w:pPr>
              <w:widowControl/>
              <w:spacing w:line="0" w:lineRule="atLeast"/>
              <w:jc w:val="center"/>
              <w:textAlignment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自评分</w:t>
            </w:r>
          </w:p>
        </w:tc>
        <w:tc>
          <w:tcPr>
            <w:tcW w:w="779" w:type="dxa"/>
          </w:tcPr>
          <w:p w14:paraId="3B9D059E">
            <w:pPr>
              <w:widowControl/>
              <w:spacing w:line="0" w:lineRule="atLeast"/>
              <w:jc w:val="center"/>
              <w:textAlignment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页码</w:t>
            </w:r>
          </w:p>
        </w:tc>
      </w:tr>
      <w:tr w14:paraId="1253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4F1AC3C1">
            <w:pPr>
              <w:widowControl/>
              <w:spacing w:line="0" w:lineRule="atLeast"/>
              <w:jc w:val="center"/>
              <w:textAlignment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1</w:t>
            </w:r>
          </w:p>
        </w:tc>
        <w:tc>
          <w:tcPr>
            <w:tcW w:w="1541" w:type="dxa"/>
            <w:shd w:val="clear" w:color="auto" w:fill="auto"/>
            <w:vAlign w:val="center"/>
          </w:tcPr>
          <w:p w14:paraId="0B59FF97">
            <w:pPr>
              <w:widowControl/>
              <w:spacing w:line="0" w:lineRule="atLeast"/>
              <w:jc w:val="center"/>
              <w:textAlignment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企业履约能力</w:t>
            </w:r>
          </w:p>
          <w:p w14:paraId="04BE7D7C">
            <w:pPr>
              <w:widowControl/>
              <w:spacing w:line="0" w:lineRule="atLeast"/>
              <w:jc w:val="center"/>
              <w:textAlignment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（4分）</w:t>
            </w:r>
          </w:p>
        </w:tc>
        <w:tc>
          <w:tcPr>
            <w:tcW w:w="4961" w:type="dxa"/>
            <w:shd w:val="clear" w:color="auto" w:fill="auto"/>
            <w:vAlign w:val="center"/>
          </w:tcPr>
          <w:p w14:paraId="42725BF3">
            <w:pPr>
              <w:widowControl/>
              <w:spacing w:line="0" w:lineRule="atLeast"/>
              <w:jc w:val="left"/>
              <w:textAlignment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投标人获得过企业相关的荣誉，每提供1项得1分，最多得4分。（须提供有效的荣誉证书复印件，并加盖电子签章，否则不计分）</w:t>
            </w:r>
          </w:p>
        </w:tc>
        <w:tc>
          <w:tcPr>
            <w:tcW w:w="850" w:type="dxa"/>
            <w:shd w:val="clear" w:color="auto" w:fill="auto"/>
            <w:vAlign w:val="center"/>
          </w:tcPr>
          <w:p w14:paraId="1A794179">
            <w:pPr>
              <w:widowControl/>
              <w:spacing w:line="0" w:lineRule="atLeast"/>
              <w:jc w:val="center"/>
              <w:textAlignment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0-4</w:t>
            </w:r>
          </w:p>
        </w:tc>
        <w:tc>
          <w:tcPr>
            <w:tcW w:w="779" w:type="dxa"/>
          </w:tcPr>
          <w:p w14:paraId="0E84C007">
            <w:pPr>
              <w:widowControl/>
              <w:spacing w:line="0" w:lineRule="atLeast"/>
              <w:jc w:val="center"/>
              <w:textAlignment w:val="center"/>
              <w:rPr>
                <w:rFonts w:cs="宋体" w:asciiTheme="minorEastAsia" w:hAnsiTheme="minorEastAsia" w:eastAsiaTheme="minorEastAsia"/>
                <w:b/>
                <w:bCs/>
                <w:kern w:val="0"/>
                <w:szCs w:val="21"/>
                <w:highlight w:val="none"/>
              </w:rPr>
            </w:pPr>
          </w:p>
        </w:tc>
        <w:tc>
          <w:tcPr>
            <w:tcW w:w="779" w:type="dxa"/>
          </w:tcPr>
          <w:p w14:paraId="1E7B273A">
            <w:pPr>
              <w:widowControl/>
              <w:spacing w:line="0" w:lineRule="atLeast"/>
              <w:jc w:val="center"/>
              <w:textAlignment w:val="center"/>
              <w:rPr>
                <w:rFonts w:cs="宋体" w:asciiTheme="minorEastAsia" w:hAnsiTheme="minorEastAsia" w:eastAsiaTheme="minorEastAsia"/>
                <w:b/>
                <w:bCs/>
                <w:kern w:val="0"/>
                <w:szCs w:val="21"/>
                <w:highlight w:val="none"/>
              </w:rPr>
            </w:pPr>
          </w:p>
        </w:tc>
      </w:tr>
      <w:tr w14:paraId="5F09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3E26616A">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2</w:t>
            </w:r>
          </w:p>
        </w:tc>
        <w:tc>
          <w:tcPr>
            <w:tcW w:w="1541" w:type="dxa"/>
            <w:shd w:val="clear" w:color="auto" w:fill="auto"/>
            <w:vAlign w:val="center"/>
          </w:tcPr>
          <w:p w14:paraId="4294F6FF">
            <w:pPr>
              <w:widowControl/>
              <w:spacing w:line="0" w:lineRule="atLeast"/>
              <w:jc w:val="center"/>
              <w:textAlignment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kern w:val="0"/>
                <w:szCs w:val="21"/>
                <w:highlight w:val="none"/>
              </w:rPr>
              <w:t>类似项目业绩（2分）</w:t>
            </w:r>
          </w:p>
        </w:tc>
        <w:tc>
          <w:tcPr>
            <w:tcW w:w="4961" w:type="dxa"/>
            <w:shd w:val="clear" w:color="auto" w:fill="auto"/>
            <w:vAlign w:val="center"/>
          </w:tcPr>
          <w:p w14:paraId="10684E7B">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2021年1月1日至投标截止日承担过冻猪肉储备任务的成功案例，每个合同业绩得1分，最多得2分。</w:t>
            </w:r>
            <w:r>
              <w:rPr>
                <w:rFonts w:hint="eastAsia" w:cs="宋体" w:asciiTheme="minorEastAsia" w:hAnsiTheme="minorEastAsia" w:eastAsiaTheme="minorEastAsia"/>
                <w:szCs w:val="21"/>
                <w:highlight w:val="none"/>
              </w:rPr>
              <w:t>（须提供合同原件扫描件，时间以签订合同时间为准，同时须提供中标/成交通知书原件扫描件并加盖电子签章，否则不得分）</w:t>
            </w:r>
          </w:p>
        </w:tc>
        <w:tc>
          <w:tcPr>
            <w:tcW w:w="850" w:type="dxa"/>
            <w:shd w:val="clear" w:color="auto" w:fill="auto"/>
            <w:vAlign w:val="center"/>
          </w:tcPr>
          <w:p w14:paraId="77FC8705">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0-2</w:t>
            </w:r>
          </w:p>
        </w:tc>
        <w:tc>
          <w:tcPr>
            <w:tcW w:w="779" w:type="dxa"/>
          </w:tcPr>
          <w:p w14:paraId="7C323421">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3388B480">
            <w:pPr>
              <w:widowControl/>
              <w:spacing w:line="0" w:lineRule="atLeast"/>
              <w:jc w:val="center"/>
              <w:textAlignment w:val="center"/>
              <w:rPr>
                <w:rFonts w:cs="宋体" w:asciiTheme="minorEastAsia" w:hAnsiTheme="minorEastAsia" w:eastAsiaTheme="minorEastAsia"/>
                <w:kern w:val="0"/>
                <w:szCs w:val="21"/>
                <w:highlight w:val="none"/>
              </w:rPr>
            </w:pPr>
          </w:p>
        </w:tc>
      </w:tr>
      <w:tr w14:paraId="48F2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restart"/>
            <w:shd w:val="clear" w:color="auto" w:fill="auto"/>
            <w:vAlign w:val="center"/>
          </w:tcPr>
          <w:p w14:paraId="045B48F7">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3</w:t>
            </w:r>
          </w:p>
        </w:tc>
        <w:tc>
          <w:tcPr>
            <w:tcW w:w="1541" w:type="dxa"/>
            <w:vMerge w:val="restart"/>
            <w:shd w:val="clear" w:color="auto" w:fill="auto"/>
            <w:vAlign w:val="center"/>
          </w:tcPr>
          <w:p w14:paraId="0866D26D">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人员技术力量投入情况</w:t>
            </w:r>
          </w:p>
          <w:p w14:paraId="36FA6376">
            <w:pPr>
              <w:widowControl/>
              <w:spacing w:line="0" w:lineRule="atLeast"/>
              <w:jc w:val="center"/>
              <w:textAlignment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kern w:val="0"/>
                <w:szCs w:val="21"/>
                <w:highlight w:val="none"/>
              </w:rPr>
              <w:t>（9分）</w:t>
            </w:r>
          </w:p>
        </w:tc>
        <w:tc>
          <w:tcPr>
            <w:tcW w:w="4961" w:type="dxa"/>
            <w:shd w:val="clear" w:color="auto" w:fill="auto"/>
            <w:vAlign w:val="center"/>
          </w:tcPr>
          <w:p w14:paraId="71D7548D">
            <w:pPr>
              <w:widowControl/>
              <w:spacing w:line="0" w:lineRule="atLeast"/>
              <w:jc w:val="left"/>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根据供应商拟派项目负责人的综合实力、专业素质、技术能力、经验等情况综合评价。（0-3分）</w:t>
            </w:r>
          </w:p>
          <w:p w14:paraId="2632376F">
            <w:pPr>
              <w:widowControl/>
              <w:spacing w:line="0" w:lineRule="atLeast"/>
              <w:jc w:val="left"/>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（以上须提供相关证明材料及提供近期缴纳社保证明原件扫描件，加盖电子签章，否则不得分）</w:t>
            </w:r>
          </w:p>
        </w:tc>
        <w:tc>
          <w:tcPr>
            <w:tcW w:w="850" w:type="dxa"/>
            <w:shd w:val="clear" w:color="auto" w:fill="auto"/>
            <w:noWrap/>
            <w:vAlign w:val="center"/>
          </w:tcPr>
          <w:p w14:paraId="55DD3CF3">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0-3</w:t>
            </w:r>
          </w:p>
        </w:tc>
        <w:tc>
          <w:tcPr>
            <w:tcW w:w="779" w:type="dxa"/>
          </w:tcPr>
          <w:p w14:paraId="5DA9481D">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5C9072AD">
            <w:pPr>
              <w:widowControl/>
              <w:spacing w:line="0" w:lineRule="atLeast"/>
              <w:jc w:val="center"/>
              <w:textAlignment w:val="center"/>
              <w:rPr>
                <w:rFonts w:cs="宋体" w:asciiTheme="minorEastAsia" w:hAnsiTheme="minorEastAsia" w:eastAsiaTheme="minorEastAsia"/>
                <w:kern w:val="0"/>
                <w:szCs w:val="21"/>
                <w:highlight w:val="none"/>
              </w:rPr>
            </w:pPr>
          </w:p>
        </w:tc>
      </w:tr>
      <w:tr w14:paraId="32D8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shd w:val="clear" w:color="auto" w:fill="auto"/>
            <w:vAlign w:val="center"/>
          </w:tcPr>
          <w:p w14:paraId="09B4AF0F">
            <w:pPr>
              <w:widowControl/>
              <w:spacing w:line="0" w:lineRule="atLeast"/>
              <w:jc w:val="center"/>
              <w:textAlignment w:val="center"/>
              <w:rPr>
                <w:rFonts w:cs="宋体" w:asciiTheme="minorEastAsia" w:hAnsiTheme="minorEastAsia" w:eastAsiaTheme="minorEastAsia"/>
                <w:kern w:val="0"/>
                <w:szCs w:val="21"/>
                <w:highlight w:val="none"/>
              </w:rPr>
            </w:pPr>
          </w:p>
        </w:tc>
        <w:tc>
          <w:tcPr>
            <w:tcW w:w="1541" w:type="dxa"/>
            <w:vMerge w:val="continue"/>
            <w:shd w:val="clear" w:color="auto" w:fill="auto"/>
            <w:vAlign w:val="center"/>
          </w:tcPr>
          <w:p w14:paraId="47996C88">
            <w:pPr>
              <w:widowControl/>
              <w:spacing w:line="0" w:lineRule="atLeast"/>
              <w:jc w:val="center"/>
              <w:textAlignment w:val="center"/>
              <w:rPr>
                <w:rFonts w:cs="宋体" w:asciiTheme="minorEastAsia" w:hAnsiTheme="minorEastAsia" w:eastAsiaTheme="minorEastAsia"/>
                <w:b/>
                <w:kern w:val="0"/>
                <w:szCs w:val="21"/>
                <w:highlight w:val="none"/>
              </w:rPr>
            </w:pPr>
          </w:p>
        </w:tc>
        <w:tc>
          <w:tcPr>
            <w:tcW w:w="4961" w:type="dxa"/>
            <w:shd w:val="clear" w:color="auto" w:fill="auto"/>
            <w:vAlign w:val="center"/>
          </w:tcPr>
          <w:p w14:paraId="4386A6CD">
            <w:pPr>
              <w:adjustRightInd w:val="0"/>
              <w:snapToGrid w:val="0"/>
              <w:spacing w:line="0" w:lineRule="atLeas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项目团队成员：（项目负责人除外）</w:t>
            </w:r>
          </w:p>
          <w:p w14:paraId="6D634B9E">
            <w:pPr>
              <w:widowControl/>
              <w:spacing w:line="0" w:lineRule="atLeast"/>
              <w:jc w:val="left"/>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根据各投标人项目团队优势情况，项目团队成员的配置、服务经验、职责分工、组织协调能力等进行综合评分，满分6分。（以上须提供相关人员身份证、</w:t>
            </w:r>
            <w:r>
              <w:rPr>
                <w:rFonts w:hint="eastAsia" w:cs="宋体" w:asciiTheme="minorEastAsia" w:hAnsiTheme="minorEastAsia" w:eastAsiaTheme="minorEastAsia"/>
                <w:b/>
                <w:bCs/>
                <w:kern w:val="0"/>
                <w:szCs w:val="21"/>
                <w:highlight w:val="none"/>
              </w:rPr>
              <w:t>相关有效的证书</w:t>
            </w:r>
            <w:r>
              <w:rPr>
                <w:rFonts w:hint="eastAsia" w:cs="宋体" w:asciiTheme="minorEastAsia" w:hAnsiTheme="minorEastAsia" w:eastAsiaTheme="minorEastAsia"/>
                <w:kern w:val="0"/>
                <w:szCs w:val="21"/>
                <w:highlight w:val="none"/>
              </w:rPr>
              <w:t>及</w:t>
            </w:r>
            <w:r>
              <w:rPr>
                <w:rFonts w:hint="eastAsia" w:cs="宋体" w:asciiTheme="minorEastAsia" w:hAnsiTheme="minorEastAsia" w:eastAsiaTheme="minorEastAsia"/>
                <w:b/>
                <w:bCs/>
                <w:kern w:val="0"/>
                <w:szCs w:val="21"/>
                <w:highlight w:val="none"/>
              </w:rPr>
              <w:t>投标人为其缴纳</w:t>
            </w:r>
            <w:r>
              <w:rPr>
                <w:rFonts w:hint="eastAsia" w:cs="宋体" w:asciiTheme="minorEastAsia" w:hAnsiTheme="minorEastAsia" w:eastAsiaTheme="minorEastAsia"/>
                <w:kern w:val="0"/>
                <w:szCs w:val="21"/>
                <w:highlight w:val="none"/>
              </w:rPr>
              <w:t>近期社保证明原件扫描件并加盖电子签章，否则不得分）</w:t>
            </w:r>
          </w:p>
        </w:tc>
        <w:tc>
          <w:tcPr>
            <w:tcW w:w="850" w:type="dxa"/>
            <w:shd w:val="clear" w:color="auto" w:fill="auto"/>
            <w:noWrap/>
            <w:vAlign w:val="center"/>
          </w:tcPr>
          <w:p w14:paraId="58DB06A1">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0-6</w:t>
            </w:r>
          </w:p>
        </w:tc>
        <w:tc>
          <w:tcPr>
            <w:tcW w:w="779" w:type="dxa"/>
          </w:tcPr>
          <w:p w14:paraId="00DFD746">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33C084A2">
            <w:pPr>
              <w:widowControl/>
              <w:spacing w:line="0" w:lineRule="atLeast"/>
              <w:jc w:val="center"/>
              <w:textAlignment w:val="center"/>
              <w:rPr>
                <w:rFonts w:cs="宋体" w:asciiTheme="minorEastAsia" w:hAnsiTheme="minorEastAsia" w:eastAsiaTheme="minorEastAsia"/>
                <w:kern w:val="0"/>
                <w:szCs w:val="21"/>
                <w:highlight w:val="none"/>
              </w:rPr>
            </w:pPr>
          </w:p>
        </w:tc>
      </w:tr>
      <w:tr w14:paraId="1EC0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2407216A">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w:t>
            </w:r>
          </w:p>
        </w:tc>
        <w:tc>
          <w:tcPr>
            <w:tcW w:w="1541" w:type="dxa"/>
            <w:shd w:val="clear" w:color="auto" w:fill="auto"/>
            <w:vAlign w:val="center"/>
          </w:tcPr>
          <w:p w14:paraId="7226DC2F">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项目理解与分析</w:t>
            </w:r>
          </w:p>
          <w:p w14:paraId="177942E5">
            <w:pPr>
              <w:widowControl/>
              <w:spacing w:line="0" w:lineRule="atLeast"/>
              <w:jc w:val="center"/>
              <w:textAlignment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kern w:val="0"/>
                <w:szCs w:val="21"/>
                <w:highlight w:val="none"/>
              </w:rPr>
              <w:t>（5分）</w:t>
            </w:r>
          </w:p>
        </w:tc>
        <w:tc>
          <w:tcPr>
            <w:tcW w:w="4961" w:type="dxa"/>
            <w:shd w:val="clear" w:color="auto" w:fill="auto"/>
            <w:vAlign w:val="center"/>
          </w:tcPr>
          <w:p w14:paraId="1C7671F5">
            <w:pPr>
              <w:widowControl/>
              <w:spacing w:line="0" w:lineRule="atLeast"/>
              <w:jc w:val="left"/>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供应商对本项目现状及需求的理解情况进行分析：对现状和需求描述全面、准确、针对性强的得4-5分，对现状和需求描述欠全面、准确、针对性欠强的得1-3分，对现状和需求描述片面、不准确、针对性差的得0-1分。未提供不得分。</w:t>
            </w:r>
          </w:p>
        </w:tc>
        <w:tc>
          <w:tcPr>
            <w:tcW w:w="850" w:type="dxa"/>
            <w:shd w:val="clear" w:color="auto" w:fill="auto"/>
            <w:noWrap/>
            <w:vAlign w:val="center"/>
          </w:tcPr>
          <w:p w14:paraId="54F2C1A2">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0-5</w:t>
            </w:r>
          </w:p>
        </w:tc>
        <w:tc>
          <w:tcPr>
            <w:tcW w:w="779" w:type="dxa"/>
          </w:tcPr>
          <w:p w14:paraId="5C646A0F">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712CE0E7">
            <w:pPr>
              <w:widowControl/>
              <w:spacing w:line="0" w:lineRule="atLeast"/>
              <w:jc w:val="center"/>
              <w:textAlignment w:val="center"/>
              <w:rPr>
                <w:rFonts w:cs="宋体" w:asciiTheme="minorEastAsia" w:hAnsiTheme="minorEastAsia" w:eastAsiaTheme="minorEastAsia"/>
                <w:kern w:val="0"/>
                <w:szCs w:val="21"/>
                <w:highlight w:val="none"/>
              </w:rPr>
            </w:pPr>
          </w:p>
        </w:tc>
      </w:tr>
      <w:tr w14:paraId="757E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729BAEBB">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w:t>
            </w:r>
          </w:p>
        </w:tc>
        <w:tc>
          <w:tcPr>
            <w:tcW w:w="1541" w:type="dxa"/>
            <w:shd w:val="clear" w:color="auto" w:fill="auto"/>
            <w:vAlign w:val="center"/>
          </w:tcPr>
          <w:p w14:paraId="587FB16B">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销售能力情况</w:t>
            </w:r>
          </w:p>
          <w:p w14:paraId="1AFF670A">
            <w:pPr>
              <w:widowControl/>
              <w:spacing w:line="0" w:lineRule="atLeast"/>
              <w:jc w:val="center"/>
              <w:textAlignment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kern w:val="0"/>
                <w:szCs w:val="21"/>
                <w:highlight w:val="none"/>
              </w:rPr>
              <w:t>（8分）</w:t>
            </w:r>
          </w:p>
        </w:tc>
        <w:tc>
          <w:tcPr>
            <w:tcW w:w="4961" w:type="dxa"/>
            <w:shd w:val="clear" w:color="auto" w:fill="auto"/>
            <w:vAlign w:val="center"/>
          </w:tcPr>
          <w:p w14:paraId="7E1EF8B3">
            <w:pPr>
              <w:widowControl/>
              <w:spacing w:line="0" w:lineRule="atLeast"/>
              <w:jc w:val="left"/>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供应商2023年度猪肉销售量＞5000吨，得8分；</w:t>
            </w:r>
          </w:p>
          <w:p w14:paraId="0CE0D3E2">
            <w:pPr>
              <w:widowControl/>
              <w:spacing w:line="0" w:lineRule="atLeast"/>
              <w:jc w:val="left"/>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3000吨＜销售量≤5000吨，得7-</w:t>
            </w:r>
            <w:r>
              <w:rPr>
                <w:rFonts w:hint="eastAsia" w:cs="宋体" w:asciiTheme="minorEastAsia" w:hAnsiTheme="minorEastAsia" w:eastAsiaTheme="minorEastAsia"/>
                <w:kern w:val="0"/>
                <w:szCs w:val="21"/>
                <w:highlight w:val="none"/>
                <w:lang w:val="en-US" w:eastAsia="zh-CN"/>
              </w:rPr>
              <w:t>7</w:t>
            </w:r>
            <w:r>
              <w:rPr>
                <w:rFonts w:hint="eastAsia" w:cs="宋体" w:asciiTheme="minorEastAsia" w:hAnsiTheme="minorEastAsia" w:eastAsiaTheme="minorEastAsia"/>
                <w:kern w:val="0"/>
                <w:szCs w:val="21"/>
                <w:highlight w:val="none"/>
              </w:rPr>
              <w:t>.9分；</w:t>
            </w:r>
          </w:p>
          <w:p w14:paraId="1CA59DB2">
            <w:pPr>
              <w:widowControl/>
              <w:spacing w:line="0" w:lineRule="atLeast"/>
              <w:jc w:val="left"/>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2000吨＜销售量≤3000吨，得4-6.9分；</w:t>
            </w:r>
          </w:p>
          <w:p w14:paraId="7854DDFE">
            <w:pPr>
              <w:widowControl/>
              <w:spacing w:line="0" w:lineRule="atLeast"/>
              <w:jc w:val="left"/>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1000吨＜销售量≤2000吨，得2-3.9分；</w:t>
            </w:r>
          </w:p>
          <w:p w14:paraId="41532F3F">
            <w:pPr>
              <w:widowControl/>
              <w:spacing w:line="0" w:lineRule="atLeast"/>
              <w:jc w:val="left"/>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600吨＜销售量≤1000吨，得0-1.9分；</w:t>
            </w:r>
          </w:p>
          <w:p w14:paraId="4C3A4BDE">
            <w:pPr>
              <w:widowControl/>
              <w:spacing w:line="0" w:lineRule="atLeast"/>
              <w:jc w:val="left"/>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600吨以下不得分；须提供相关依据，否则不得分。</w:t>
            </w:r>
          </w:p>
        </w:tc>
        <w:tc>
          <w:tcPr>
            <w:tcW w:w="850" w:type="dxa"/>
            <w:shd w:val="clear" w:color="auto" w:fill="auto"/>
            <w:noWrap/>
            <w:vAlign w:val="center"/>
          </w:tcPr>
          <w:p w14:paraId="34406289">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0-8</w:t>
            </w:r>
          </w:p>
        </w:tc>
        <w:tc>
          <w:tcPr>
            <w:tcW w:w="779" w:type="dxa"/>
          </w:tcPr>
          <w:p w14:paraId="1F9A1E33">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550633C9">
            <w:pPr>
              <w:widowControl/>
              <w:spacing w:line="0" w:lineRule="atLeast"/>
              <w:jc w:val="center"/>
              <w:textAlignment w:val="center"/>
              <w:rPr>
                <w:rFonts w:cs="宋体" w:asciiTheme="minorEastAsia" w:hAnsiTheme="minorEastAsia" w:eastAsiaTheme="minorEastAsia"/>
                <w:kern w:val="0"/>
                <w:szCs w:val="21"/>
                <w:highlight w:val="none"/>
              </w:rPr>
            </w:pPr>
          </w:p>
        </w:tc>
      </w:tr>
      <w:tr w14:paraId="6C53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73501F4D">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w:t>
            </w:r>
          </w:p>
        </w:tc>
        <w:tc>
          <w:tcPr>
            <w:tcW w:w="1541" w:type="dxa"/>
            <w:shd w:val="clear" w:color="auto" w:fill="auto"/>
            <w:vAlign w:val="center"/>
          </w:tcPr>
          <w:p w14:paraId="5D4C3EB5">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企业库容及库存情况</w:t>
            </w:r>
          </w:p>
          <w:p w14:paraId="4037CB25">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b/>
                <w:kern w:val="0"/>
                <w:szCs w:val="21"/>
                <w:highlight w:val="none"/>
              </w:rPr>
              <w:t>（10分）</w:t>
            </w:r>
          </w:p>
        </w:tc>
        <w:tc>
          <w:tcPr>
            <w:tcW w:w="4961" w:type="dxa"/>
            <w:shd w:val="clear" w:color="auto" w:fill="auto"/>
            <w:vAlign w:val="center"/>
          </w:tcPr>
          <w:p w14:paraId="79A5F04F">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1.已储冻猪肉单体库存量≥5000吨，得10分。</w:t>
            </w:r>
          </w:p>
          <w:p w14:paraId="5255ADCA">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2.4000吨≤单体已储冻猪肉＜5000吨，得8-9.9分。</w:t>
            </w:r>
          </w:p>
          <w:p w14:paraId="67F4A342">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3.3000吨≤单体已储冻猪肉＜4000吨，得6-7.9分。</w:t>
            </w:r>
          </w:p>
          <w:p w14:paraId="320261DC">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4.2000吨≤单体已储冻猪肉＜3000吨，得4-5.9分。</w:t>
            </w:r>
          </w:p>
          <w:p w14:paraId="57A3C9C0">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5.1000吨≤单体已储冻猪肉＜2000吨，得2-3.9分。</w:t>
            </w:r>
          </w:p>
          <w:p w14:paraId="7C44CA9F">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6.600吨≤单体已储冻猪肉＜1000吨，得0-1.9分。</w:t>
            </w:r>
          </w:p>
          <w:p w14:paraId="494FBAAB">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冷库库容量及已储冻猪肉库存由冷库提供相关证明。</w:t>
            </w:r>
          </w:p>
        </w:tc>
        <w:tc>
          <w:tcPr>
            <w:tcW w:w="850" w:type="dxa"/>
            <w:shd w:val="clear" w:color="auto" w:fill="auto"/>
            <w:noWrap/>
            <w:vAlign w:val="center"/>
          </w:tcPr>
          <w:p w14:paraId="6E0923E4">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0-10</w:t>
            </w:r>
          </w:p>
        </w:tc>
        <w:tc>
          <w:tcPr>
            <w:tcW w:w="779" w:type="dxa"/>
          </w:tcPr>
          <w:p w14:paraId="7D2A58C4">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3BFAF09E">
            <w:pPr>
              <w:widowControl/>
              <w:spacing w:line="0" w:lineRule="atLeast"/>
              <w:jc w:val="center"/>
              <w:textAlignment w:val="center"/>
              <w:rPr>
                <w:rFonts w:cs="宋体" w:asciiTheme="minorEastAsia" w:hAnsiTheme="minorEastAsia" w:eastAsiaTheme="minorEastAsia"/>
                <w:kern w:val="0"/>
                <w:szCs w:val="21"/>
                <w:highlight w:val="none"/>
              </w:rPr>
            </w:pPr>
          </w:p>
        </w:tc>
      </w:tr>
      <w:tr w14:paraId="4EC3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5EC132D3">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w:t>
            </w:r>
          </w:p>
        </w:tc>
        <w:tc>
          <w:tcPr>
            <w:tcW w:w="1541" w:type="dxa"/>
            <w:shd w:val="clear" w:color="auto" w:fill="auto"/>
            <w:vAlign w:val="center"/>
          </w:tcPr>
          <w:p w14:paraId="56BB2FFD">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运输保障能力</w:t>
            </w:r>
          </w:p>
          <w:p w14:paraId="0449F4D4">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b/>
                <w:kern w:val="0"/>
                <w:szCs w:val="21"/>
                <w:highlight w:val="none"/>
              </w:rPr>
              <w:t>（6分）</w:t>
            </w:r>
          </w:p>
        </w:tc>
        <w:tc>
          <w:tcPr>
            <w:tcW w:w="4961" w:type="dxa"/>
            <w:shd w:val="clear" w:color="auto" w:fill="auto"/>
            <w:vAlign w:val="center"/>
          </w:tcPr>
          <w:p w14:paraId="0704D13F">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（1）各投标供应商自有或租赁冷藏物流车10辆及以上，且单批次运载能力30吨及以上的得6分；</w:t>
            </w:r>
          </w:p>
          <w:p w14:paraId="3F6441A7">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（2）自有或租赁冷藏物流车5-9辆，且单批次运载能力20吨及以上的得4-5.9分；</w:t>
            </w:r>
          </w:p>
          <w:p w14:paraId="11437545">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（3）自有或租赁冷藏物流车1-4辆，且单批次运载能力10吨及以上的得2-3.9分。</w:t>
            </w:r>
          </w:p>
          <w:p w14:paraId="60C39FC0">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（4）自有或租赁冷藏物流车3辆以下，且单批次运载能力3吨及以上的得0-1.9分。</w:t>
            </w:r>
          </w:p>
          <w:p w14:paraId="1CE5D7B8">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以上评分不重复计算，按能取得的最高得分计算。自有或租赁车辆需提供车辆行驶证原件扫描件；有长期固定的冷藏物流协作单位的需提供相关合同、协议扫描件，行驶证需挂靠物流协作单位，物流协作单位需在最大储存量的冷库库存所在地，没有提供相关依据不得分）。</w:t>
            </w:r>
          </w:p>
        </w:tc>
        <w:tc>
          <w:tcPr>
            <w:tcW w:w="850" w:type="dxa"/>
            <w:shd w:val="clear" w:color="auto" w:fill="auto"/>
            <w:noWrap/>
            <w:vAlign w:val="center"/>
          </w:tcPr>
          <w:p w14:paraId="7359C289">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0-6</w:t>
            </w:r>
          </w:p>
        </w:tc>
        <w:tc>
          <w:tcPr>
            <w:tcW w:w="779" w:type="dxa"/>
          </w:tcPr>
          <w:p w14:paraId="2F5A8789">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594194AD">
            <w:pPr>
              <w:widowControl/>
              <w:spacing w:line="0" w:lineRule="atLeast"/>
              <w:jc w:val="center"/>
              <w:textAlignment w:val="center"/>
              <w:rPr>
                <w:rFonts w:cs="宋体" w:asciiTheme="minorEastAsia" w:hAnsiTheme="minorEastAsia" w:eastAsiaTheme="minorEastAsia"/>
                <w:kern w:val="0"/>
                <w:szCs w:val="21"/>
                <w:highlight w:val="none"/>
              </w:rPr>
            </w:pPr>
          </w:p>
        </w:tc>
      </w:tr>
      <w:tr w14:paraId="0F4A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3DD41983">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8</w:t>
            </w:r>
          </w:p>
        </w:tc>
        <w:tc>
          <w:tcPr>
            <w:tcW w:w="1541" w:type="dxa"/>
            <w:shd w:val="clear" w:color="auto" w:fill="auto"/>
            <w:vAlign w:val="center"/>
          </w:tcPr>
          <w:p w14:paraId="12C2499F">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项目存储方案</w:t>
            </w:r>
          </w:p>
          <w:p w14:paraId="0B0B26DE">
            <w:pPr>
              <w:widowControl/>
              <w:spacing w:line="0" w:lineRule="atLeast"/>
              <w:jc w:val="center"/>
              <w:textAlignment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kern w:val="0"/>
                <w:szCs w:val="21"/>
                <w:highlight w:val="none"/>
              </w:rPr>
              <w:t>（5分)</w:t>
            </w:r>
          </w:p>
        </w:tc>
        <w:tc>
          <w:tcPr>
            <w:tcW w:w="4961" w:type="dxa"/>
            <w:shd w:val="clear" w:color="auto" w:fill="auto"/>
            <w:vAlign w:val="center"/>
          </w:tcPr>
          <w:p w14:paraId="37EC28E8">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根据投标人提供的存储方案，包括供存储地点、存储人员监管等，方案内容详实规范得3.1-5分；方案内容比较详实规范得1.1-3分；方案内容一般，简单不规范的，得0-1分；最高可得5分。</w:t>
            </w:r>
          </w:p>
        </w:tc>
        <w:tc>
          <w:tcPr>
            <w:tcW w:w="850" w:type="dxa"/>
            <w:shd w:val="clear" w:color="auto" w:fill="auto"/>
            <w:noWrap/>
            <w:vAlign w:val="center"/>
          </w:tcPr>
          <w:p w14:paraId="3ACC5FA0">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0-5</w:t>
            </w:r>
          </w:p>
        </w:tc>
        <w:tc>
          <w:tcPr>
            <w:tcW w:w="779" w:type="dxa"/>
          </w:tcPr>
          <w:p w14:paraId="718B3380">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638C4035">
            <w:pPr>
              <w:widowControl/>
              <w:spacing w:line="0" w:lineRule="atLeast"/>
              <w:jc w:val="center"/>
              <w:textAlignment w:val="center"/>
              <w:rPr>
                <w:rFonts w:cs="宋体" w:asciiTheme="minorEastAsia" w:hAnsiTheme="minorEastAsia" w:eastAsiaTheme="minorEastAsia"/>
                <w:kern w:val="0"/>
                <w:szCs w:val="21"/>
                <w:highlight w:val="none"/>
              </w:rPr>
            </w:pPr>
          </w:p>
        </w:tc>
      </w:tr>
      <w:tr w14:paraId="46FF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348DD8C2">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9</w:t>
            </w:r>
          </w:p>
        </w:tc>
        <w:tc>
          <w:tcPr>
            <w:tcW w:w="1541" w:type="dxa"/>
            <w:shd w:val="clear" w:color="auto" w:fill="auto"/>
            <w:vAlign w:val="center"/>
          </w:tcPr>
          <w:p w14:paraId="75F3D2B2">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投放方案</w:t>
            </w:r>
          </w:p>
          <w:p w14:paraId="5DB7BF96">
            <w:pPr>
              <w:widowControl/>
              <w:spacing w:line="0" w:lineRule="atLeast"/>
              <w:jc w:val="center"/>
              <w:textAlignment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kern w:val="0"/>
                <w:szCs w:val="21"/>
                <w:highlight w:val="none"/>
              </w:rPr>
              <w:t>（6分）</w:t>
            </w:r>
          </w:p>
        </w:tc>
        <w:tc>
          <w:tcPr>
            <w:tcW w:w="4961" w:type="dxa"/>
            <w:shd w:val="clear" w:color="auto" w:fill="auto"/>
            <w:vAlign w:val="center"/>
          </w:tcPr>
          <w:p w14:paraId="2CC068EC">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根据投标人针对本项目制定的投放方案（执行投标指令和要求（0-3分），应急投放（0-3分））进行综合评分，最高得6分。</w:t>
            </w:r>
          </w:p>
        </w:tc>
        <w:tc>
          <w:tcPr>
            <w:tcW w:w="850" w:type="dxa"/>
            <w:shd w:val="clear" w:color="auto" w:fill="auto"/>
            <w:noWrap/>
            <w:vAlign w:val="center"/>
          </w:tcPr>
          <w:p w14:paraId="1D60AF6F">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0-6</w:t>
            </w:r>
          </w:p>
        </w:tc>
        <w:tc>
          <w:tcPr>
            <w:tcW w:w="779" w:type="dxa"/>
          </w:tcPr>
          <w:p w14:paraId="3C455952">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4AD494D0">
            <w:pPr>
              <w:widowControl/>
              <w:spacing w:line="0" w:lineRule="atLeast"/>
              <w:jc w:val="center"/>
              <w:textAlignment w:val="center"/>
              <w:rPr>
                <w:rFonts w:cs="宋体" w:asciiTheme="minorEastAsia" w:hAnsiTheme="minorEastAsia" w:eastAsiaTheme="minorEastAsia"/>
                <w:kern w:val="0"/>
                <w:szCs w:val="21"/>
                <w:highlight w:val="none"/>
              </w:rPr>
            </w:pPr>
          </w:p>
        </w:tc>
      </w:tr>
      <w:tr w14:paraId="4F7F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1195AE68">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10</w:t>
            </w:r>
          </w:p>
        </w:tc>
        <w:tc>
          <w:tcPr>
            <w:tcW w:w="1541" w:type="dxa"/>
            <w:shd w:val="clear" w:color="auto" w:fill="auto"/>
            <w:vAlign w:val="center"/>
          </w:tcPr>
          <w:p w14:paraId="5F05648C">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服务响应时间（3分）</w:t>
            </w:r>
          </w:p>
        </w:tc>
        <w:tc>
          <w:tcPr>
            <w:tcW w:w="4961" w:type="dxa"/>
            <w:shd w:val="clear" w:color="auto" w:fill="auto"/>
            <w:vAlign w:val="center"/>
          </w:tcPr>
          <w:p w14:paraId="6EB7F534">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服务响应时间（自收到采购人供货通知开始）：投标人承诺</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2小时（含）以内送货到指定地点的得3分；</w:t>
            </w:r>
            <w:r>
              <w:rPr>
                <w:rFonts w:hint="eastAsia" w:cs="宋体" w:asciiTheme="minorEastAsia" w:hAnsiTheme="minorEastAsia" w:eastAsiaTheme="minorEastAsia"/>
                <w:szCs w:val="21"/>
                <w:highlight w:val="none"/>
                <w:lang w:val="en-US" w:eastAsia="zh-CN"/>
              </w:rPr>
              <w:t>15</w:t>
            </w:r>
            <w:r>
              <w:rPr>
                <w:rFonts w:hint="eastAsia" w:cs="宋体" w:asciiTheme="minorEastAsia" w:hAnsiTheme="minorEastAsia" w:eastAsiaTheme="minorEastAsia"/>
                <w:szCs w:val="21"/>
                <w:highlight w:val="none"/>
              </w:rPr>
              <w:t>小时（含）以内的得2分；</w:t>
            </w:r>
            <w:r>
              <w:rPr>
                <w:rFonts w:hint="eastAsia" w:cs="宋体" w:asciiTheme="minorEastAsia" w:hAnsiTheme="minorEastAsia" w:eastAsiaTheme="minorEastAsia"/>
                <w:szCs w:val="21"/>
                <w:highlight w:val="none"/>
                <w:lang w:val="en-US" w:eastAsia="zh-CN"/>
              </w:rPr>
              <w:t>2</w:t>
            </w:r>
            <w:r>
              <w:rPr>
                <w:rFonts w:hint="eastAsia" w:cs="宋体" w:asciiTheme="minorEastAsia" w:hAnsiTheme="minorEastAsia" w:eastAsiaTheme="minorEastAsia"/>
                <w:szCs w:val="21"/>
                <w:highlight w:val="none"/>
              </w:rPr>
              <w:t>4小时（含）以内的得1分；本项最高可得3分。提供承若函并盖章。</w:t>
            </w:r>
          </w:p>
        </w:tc>
        <w:tc>
          <w:tcPr>
            <w:tcW w:w="850" w:type="dxa"/>
            <w:shd w:val="clear" w:color="auto" w:fill="auto"/>
            <w:noWrap/>
            <w:vAlign w:val="center"/>
          </w:tcPr>
          <w:p w14:paraId="758EF29C">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0-3</w:t>
            </w:r>
          </w:p>
        </w:tc>
        <w:tc>
          <w:tcPr>
            <w:tcW w:w="779" w:type="dxa"/>
          </w:tcPr>
          <w:p w14:paraId="46C22F88">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04D8B6CF">
            <w:pPr>
              <w:widowControl/>
              <w:spacing w:line="0" w:lineRule="atLeast"/>
              <w:jc w:val="center"/>
              <w:textAlignment w:val="center"/>
              <w:rPr>
                <w:rFonts w:cs="宋体" w:asciiTheme="minorEastAsia" w:hAnsiTheme="minorEastAsia" w:eastAsiaTheme="minorEastAsia"/>
                <w:kern w:val="0"/>
                <w:szCs w:val="21"/>
                <w:highlight w:val="none"/>
              </w:rPr>
            </w:pPr>
          </w:p>
        </w:tc>
      </w:tr>
      <w:tr w14:paraId="165E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3108F07A">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w:t>
            </w:r>
          </w:p>
        </w:tc>
        <w:tc>
          <w:tcPr>
            <w:tcW w:w="1541" w:type="dxa"/>
            <w:shd w:val="clear" w:color="auto" w:fill="auto"/>
            <w:vAlign w:val="center"/>
          </w:tcPr>
          <w:p w14:paraId="37EC2742">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质量保证措施（5分）</w:t>
            </w:r>
          </w:p>
        </w:tc>
        <w:tc>
          <w:tcPr>
            <w:tcW w:w="4961" w:type="dxa"/>
            <w:shd w:val="clear" w:color="auto" w:fill="auto"/>
            <w:vAlign w:val="center"/>
          </w:tcPr>
          <w:p w14:paraId="52598892">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根据投标人针对本项目收储产品检验检疫、质量保证以及确保储备量的保障措施。质量保障措施内容贴合本项目实际，操作性强，针对性强，得4-5分；措施内容有可操作性、针对性较强，得3-3.9；措施内容有一定的操作性、针对性欠佳，得2-2.9分；措施内容操作性较差、针对性弱，得1-1.9分；措施内容安排不合理、无针对性，得0-0.9分。最高可得5分。</w:t>
            </w:r>
          </w:p>
        </w:tc>
        <w:tc>
          <w:tcPr>
            <w:tcW w:w="850" w:type="dxa"/>
            <w:shd w:val="clear" w:color="auto" w:fill="auto"/>
            <w:noWrap/>
            <w:vAlign w:val="center"/>
          </w:tcPr>
          <w:p w14:paraId="037659E8">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0-5</w:t>
            </w:r>
          </w:p>
        </w:tc>
        <w:tc>
          <w:tcPr>
            <w:tcW w:w="779" w:type="dxa"/>
          </w:tcPr>
          <w:p w14:paraId="1C65B04E">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586D8CAC">
            <w:pPr>
              <w:widowControl/>
              <w:spacing w:line="0" w:lineRule="atLeast"/>
              <w:jc w:val="center"/>
              <w:textAlignment w:val="center"/>
              <w:rPr>
                <w:rFonts w:cs="宋体" w:asciiTheme="minorEastAsia" w:hAnsiTheme="minorEastAsia" w:eastAsiaTheme="minorEastAsia"/>
                <w:kern w:val="0"/>
                <w:szCs w:val="21"/>
                <w:highlight w:val="none"/>
              </w:rPr>
            </w:pPr>
          </w:p>
        </w:tc>
      </w:tr>
      <w:tr w14:paraId="1FAD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1735BB14">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12</w:t>
            </w:r>
          </w:p>
        </w:tc>
        <w:tc>
          <w:tcPr>
            <w:tcW w:w="1541" w:type="dxa"/>
            <w:shd w:val="clear" w:color="auto" w:fill="auto"/>
            <w:vAlign w:val="center"/>
          </w:tcPr>
          <w:p w14:paraId="0021A5C8">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应急预案</w:t>
            </w:r>
          </w:p>
          <w:p w14:paraId="44CC1328">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（5分）</w:t>
            </w:r>
          </w:p>
        </w:tc>
        <w:tc>
          <w:tcPr>
            <w:tcW w:w="4961" w:type="dxa"/>
            <w:shd w:val="clear" w:color="auto" w:fill="auto"/>
            <w:vAlign w:val="center"/>
          </w:tcPr>
          <w:p w14:paraId="70DBA82C">
            <w:pPr>
              <w:widowControl/>
              <w:spacing w:line="0" w:lineRule="atLeast"/>
              <w:jc w:val="left"/>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应急保障措施（自然灾害、突发事件应急处理保障的人员配备、应急处置方案，等内容）。根据方案覆盖全面性 、合理性 、可操作性强得4-5分；覆盖较全面性 、较合理性 、可操作性较强得3-3.9分；方案覆盖不够全面性 、合理性 、可操作性不强得1-1.9分；方案粗糙、可操作性差的，得0-0.9分；最高可得5分。</w:t>
            </w:r>
          </w:p>
        </w:tc>
        <w:tc>
          <w:tcPr>
            <w:tcW w:w="850" w:type="dxa"/>
            <w:shd w:val="clear" w:color="auto" w:fill="auto"/>
            <w:noWrap/>
            <w:vAlign w:val="center"/>
          </w:tcPr>
          <w:p w14:paraId="4C5ACD08">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0-5</w:t>
            </w:r>
          </w:p>
        </w:tc>
        <w:tc>
          <w:tcPr>
            <w:tcW w:w="779" w:type="dxa"/>
          </w:tcPr>
          <w:p w14:paraId="6C454268">
            <w:pPr>
              <w:widowControl/>
              <w:spacing w:line="0" w:lineRule="atLeast"/>
              <w:jc w:val="center"/>
              <w:textAlignment w:val="center"/>
              <w:rPr>
                <w:rFonts w:cs="宋体" w:asciiTheme="minorEastAsia" w:hAnsiTheme="minorEastAsia" w:eastAsiaTheme="minorEastAsia"/>
                <w:szCs w:val="21"/>
                <w:highlight w:val="none"/>
              </w:rPr>
            </w:pPr>
          </w:p>
        </w:tc>
        <w:tc>
          <w:tcPr>
            <w:tcW w:w="779" w:type="dxa"/>
          </w:tcPr>
          <w:p w14:paraId="37DC51A1">
            <w:pPr>
              <w:widowControl/>
              <w:spacing w:line="0" w:lineRule="atLeast"/>
              <w:jc w:val="center"/>
              <w:textAlignment w:val="center"/>
              <w:rPr>
                <w:rFonts w:cs="宋体" w:asciiTheme="minorEastAsia" w:hAnsiTheme="minorEastAsia" w:eastAsiaTheme="minorEastAsia"/>
                <w:szCs w:val="21"/>
                <w:highlight w:val="none"/>
              </w:rPr>
            </w:pPr>
          </w:p>
        </w:tc>
      </w:tr>
      <w:tr w14:paraId="0F7B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534097DD">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13</w:t>
            </w:r>
          </w:p>
        </w:tc>
        <w:tc>
          <w:tcPr>
            <w:tcW w:w="1541" w:type="dxa"/>
            <w:shd w:val="clear" w:color="auto" w:fill="auto"/>
            <w:vAlign w:val="center"/>
          </w:tcPr>
          <w:p w14:paraId="2F31B745">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管理制度</w:t>
            </w:r>
          </w:p>
          <w:p w14:paraId="18D706CE">
            <w:pPr>
              <w:widowControl/>
              <w:spacing w:line="0" w:lineRule="atLeast"/>
              <w:jc w:val="center"/>
              <w:textAlignment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kern w:val="0"/>
                <w:szCs w:val="21"/>
                <w:highlight w:val="none"/>
              </w:rPr>
              <w:t>（5分）</w:t>
            </w:r>
          </w:p>
        </w:tc>
        <w:tc>
          <w:tcPr>
            <w:tcW w:w="4961" w:type="dxa"/>
            <w:shd w:val="clear" w:color="auto" w:fill="auto"/>
            <w:vAlign w:val="center"/>
          </w:tcPr>
          <w:p w14:paraId="6669C9F1">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建立冷库岗位责任制，冷库卫生管理规范，冷库货物出入管理规范的由专家进行综合评分：内容详实规范得4-5；内容比较详实规范得2-3.9分；内容一般得0-1.9分；最高得5分。</w:t>
            </w:r>
          </w:p>
        </w:tc>
        <w:tc>
          <w:tcPr>
            <w:tcW w:w="850" w:type="dxa"/>
            <w:shd w:val="clear" w:color="auto" w:fill="auto"/>
            <w:noWrap/>
            <w:vAlign w:val="center"/>
          </w:tcPr>
          <w:p w14:paraId="7E1646F6">
            <w:pPr>
              <w:widowControl/>
              <w:spacing w:line="0" w:lineRule="atLeast"/>
              <w:jc w:val="center"/>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0-5</w:t>
            </w:r>
          </w:p>
        </w:tc>
        <w:tc>
          <w:tcPr>
            <w:tcW w:w="779" w:type="dxa"/>
          </w:tcPr>
          <w:p w14:paraId="0D4FAEEC">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0ABF3D59">
            <w:pPr>
              <w:widowControl/>
              <w:spacing w:line="0" w:lineRule="atLeast"/>
              <w:jc w:val="center"/>
              <w:textAlignment w:val="center"/>
              <w:rPr>
                <w:rFonts w:cs="宋体" w:asciiTheme="minorEastAsia" w:hAnsiTheme="minorEastAsia" w:eastAsiaTheme="minorEastAsia"/>
                <w:kern w:val="0"/>
                <w:szCs w:val="21"/>
                <w:highlight w:val="none"/>
              </w:rPr>
            </w:pPr>
          </w:p>
        </w:tc>
      </w:tr>
      <w:tr w14:paraId="764C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18958638">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14</w:t>
            </w:r>
          </w:p>
        </w:tc>
        <w:tc>
          <w:tcPr>
            <w:tcW w:w="1541" w:type="dxa"/>
            <w:shd w:val="clear" w:color="auto" w:fill="auto"/>
            <w:vAlign w:val="center"/>
          </w:tcPr>
          <w:p w14:paraId="52C77C13">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储备保证</w:t>
            </w:r>
          </w:p>
          <w:p w14:paraId="4991E057">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（2分）</w:t>
            </w:r>
          </w:p>
        </w:tc>
        <w:tc>
          <w:tcPr>
            <w:tcW w:w="4961" w:type="dxa"/>
            <w:shd w:val="clear" w:color="auto" w:fill="auto"/>
            <w:vAlign w:val="center"/>
          </w:tcPr>
          <w:p w14:paraId="2F5AD0B2">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投标人应确保本次衢州市冻猪肉储备不得被重复使用于其他地区（市、县（区））市级的冻猪肉储备，需提供承诺函，并盖章，否则不得分，最高得2分。</w:t>
            </w:r>
          </w:p>
        </w:tc>
        <w:tc>
          <w:tcPr>
            <w:tcW w:w="850" w:type="dxa"/>
            <w:shd w:val="clear" w:color="auto" w:fill="auto"/>
            <w:noWrap/>
            <w:vAlign w:val="center"/>
          </w:tcPr>
          <w:p w14:paraId="4F868884">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0-2</w:t>
            </w:r>
          </w:p>
        </w:tc>
        <w:tc>
          <w:tcPr>
            <w:tcW w:w="779" w:type="dxa"/>
          </w:tcPr>
          <w:p w14:paraId="4B019055">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13133B0E">
            <w:pPr>
              <w:widowControl/>
              <w:spacing w:line="0" w:lineRule="atLeast"/>
              <w:jc w:val="center"/>
              <w:textAlignment w:val="center"/>
              <w:rPr>
                <w:rFonts w:cs="宋体" w:asciiTheme="minorEastAsia" w:hAnsiTheme="minorEastAsia" w:eastAsiaTheme="minorEastAsia"/>
                <w:kern w:val="0"/>
                <w:szCs w:val="21"/>
                <w:highlight w:val="none"/>
              </w:rPr>
            </w:pPr>
          </w:p>
        </w:tc>
      </w:tr>
      <w:tr w14:paraId="277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5886D61C">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15</w:t>
            </w:r>
          </w:p>
        </w:tc>
        <w:tc>
          <w:tcPr>
            <w:tcW w:w="1541" w:type="dxa"/>
            <w:shd w:val="clear" w:color="auto" w:fill="auto"/>
            <w:vAlign w:val="center"/>
          </w:tcPr>
          <w:p w14:paraId="77B24D3B">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投标人承诺</w:t>
            </w:r>
          </w:p>
          <w:p w14:paraId="4787B17E">
            <w:pPr>
              <w:widowControl/>
              <w:spacing w:line="0" w:lineRule="atLeast"/>
              <w:jc w:val="center"/>
              <w:textAlignment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（5分）</w:t>
            </w:r>
          </w:p>
        </w:tc>
        <w:tc>
          <w:tcPr>
            <w:tcW w:w="4961" w:type="dxa"/>
            <w:shd w:val="clear" w:color="auto" w:fill="auto"/>
            <w:vAlign w:val="center"/>
          </w:tcPr>
          <w:p w14:paraId="05E41D3C">
            <w:pPr>
              <w:widowControl/>
              <w:spacing w:line="0" w:lineRule="atLeast"/>
              <w:jc w:val="left"/>
              <w:textAlignment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在采购人随机检查时，除采购人事先同意情况外储备数量达不到70%的每次扣除违约金10000元的得3分；在10000元基础上，承诺每增加违约金2000元加0.5分。最高得5分。（提供承若函并加盖电子签章，否则不得分）</w:t>
            </w:r>
          </w:p>
        </w:tc>
        <w:tc>
          <w:tcPr>
            <w:tcW w:w="850" w:type="dxa"/>
            <w:shd w:val="clear" w:color="auto" w:fill="auto"/>
            <w:noWrap/>
            <w:vAlign w:val="center"/>
          </w:tcPr>
          <w:p w14:paraId="328F3B80">
            <w:pPr>
              <w:widowControl/>
              <w:spacing w:line="0" w:lineRule="atLeast"/>
              <w:jc w:val="center"/>
              <w:textAlignment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0-5</w:t>
            </w:r>
          </w:p>
        </w:tc>
        <w:tc>
          <w:tcPr>
            <w:tcW w:w="779" w:type="dxa"/>
          </w:tcPr>
          <w:p w14:paraId="2240A07F">
            <w:pPr>
              <w:widowControl/>
              <w:spacing w:line="0" w:lineRule="atLeast"/>
              <w:jc w:val="center"/>
              <w:textAlignment w:val="center"/>
              <w:rPr>
                <w:rFonts w:cs="宋体" w:asciiTheme="minorEastAsia" w:hAnsiTheme="minorEastAsia" w:eastAsiaTheme="minorEastAsia"/>
                <w:kern w:val="0"/>
                <w:szCs w:val="21"/>
                <w:highlight w:val="none"/>
              </w:rPr>
            </w:pPr>
          </w:p>
        </w:tc>
        <w:tc>
          <w:tcPr>
            <w:tcW w:w="779" w:type="dxa"/>
          </w:tcPr>
          <w:p w14:paraId="6308AC37">
            <w:pPr>
              <w:widowControl/>
              <w:spacing w:line="0" w:lineRule="atLeast"/>
              <w:jc w:val="center"/>
              <w:textAlignment w:val="center"/>
              <w:rPr>
                <w:rFonts w:cs="宋体" w:asciiTheme="minorEastAsia" w:hAnsiTheme="minorEastAsia" w:eastAsiaTheme="minorEastAsia"/>
                <w:kern w:val="0"/>
                <w:szCs w:val="21"/>
                <w:highlight w:val="none"/>
              </w:rPr>
            </w:pPr>
          </w:p>
        </w:tc>
      </w:tr>
    </w:tbl>
    <w:p w14:paraId="0FDB5B2E">
      <w:pPr>
        <w:adjustRightInd w:val="0"/>
        <w:snapToGrid w:val="0"/>
        <w:spacing w:line="0" w:lineRule="atLeast"/>
        <w:ind w:firstLine="422" w:firstLineChars="200"/>
        <w:jc w:val="left"/>
        <w:rPr>
          <w:rFonts w:ascii="宋体" w:hAnsi="宋体"/>
          <w:b/>
          <w:bCs/>
          <w:szCs w:val="21"/>
        </w:rPr>
      </w:pPr>
      <w:r>
        <w:rPr>
          <w:rFonts w:hint="eastAsia" w:ascii="宋体" w:hAnsi="宋体"/>
          <w:b/>
          <w:bCs/>
          <w:szCs w:val="21"/>
        </w:rPr>
        <w:t>注：1.拟投入本项目的投标人需在投标文件序言按本表内容及格式填报自评表，并注明投标文件中页码。2.请各投标人按评分因素标准如实自评。</w:t>
      </w:r>
    </w:p>
    <w:p w14:paraId="30F303A1">
      <w:pPr>
        <w:spacing w:line="480" w:lineRule="auto"/>
        <w:rPr>
          <w:rFonts w:ascii="宋体" w:hAnsi="宋体" w:cs="宋体"/>
          <w:b/>
          <w:bCs/>
          <w:sz w:val="24"/>
          <w:szCs w:val="22"/>
        </w:rPr>
      </w:pPr>
      <w:r>
        <w:rPr>
          <w:rFonts w:ascii="宋体" w:hAnsi="宋体"/>
          <w:b/>
          <w:bCs/>
          <w:sz w:val="24"/>
        </w:rPr>
        <w:br w:type="page"/>
      </w:r>
      <w:r>
        <w:rPr>
          <w:rFonts w:ascii="宋体" w:hAnsi="宋体"/>
          <w:b/>
          <w:bCs/>
          <w:sz w:val="24"/>
        </w:rPr>
        <w:t>2.2.2</w:t>
      </w:r>
      <w:r>
        <w:rPr>
          <w:rFonts w:hint="eastAsia" w:ascii="宋体" w:hAnsi="宋体" w:cs="宋体"/>
          <w:b/>
          <w:bCs/>
          <w:sz w:val="24"/>
          <w:szCs w:val="22"/>
        </w:rPr>
        <w:t>法定代表人或主要负责人证明书：</w:t>
      </w:r>
    </w:p>
    <w:p w14:paraId="42E18EDE">
      <w:pPr>
        <w:spacing w:line="480" w:lineRule="auto"/>
        <w:jc w:val="center"/>
        <w:rPr>
          <w:rFonts w:ascii="宋体" w:hAnsi="宋体" w:cs="宋体"/>
          <w:sz w:val="36"/>
          <w:szCs w:val="36"/>
        </w:rPr>
      </w:pPr>
      <w:r>
        <w:rPr>
          <w:rFonts w:hint="eastAsia" w:ascii="宋体" w:hAnsi="宋体" w:cs="宋体"/>
          <w:b/>
          <w:bCs/>
          <w:sz w:val="36"/>
          <w:szCs w:val="36"/>
        </w:rPr>
        <w:t>2.法定代表人或主要负责人证明书</w:t>
      </w:r>
    </w:p>
    <w:p w14:paraId="61655A4D">
      <w:pPr>
        <w:spacing w:line="540" w:lineRule="exact"/>
        <w:rPr>
          <w:rFonts w:ascii="宋体" w:hAnsi="宋体" w:cs="宋体"/>
          <w:sz w:val="24"/>
        </w:rPr>
      </w:pPr>
    </w:p>
    <w:p w14:paraId="5176279F">
      <w:pPr>
        <w:spacing w:line="540" w:lineRule="exact"/>
        <w:rPr>
          <w:rFonts w:ascii="宋体" w:hAnsi="宋体" w:cs="宋体"/>
          <w:sz w:val="24"/>
        </w:rPr>
      </w:pPr>
      <w:r>
        <w:rPr>
          <w:rFonts w:hint="eastAsia" w:ascii="宋体" w:hAnsi="宋体" w:cs="宋体"/>
          <w:sz w:val="24"/>
        </w:rPr>
        <w:t>姓名：                           性别：</w:t>
      </w:r>
    </w:p>
    <w:p w14:paraId="15998150">
      <w:pPr>
        <w:spacing w:line="540" w:lineRule="exact"/>
        <w:rPr>
          <w:rFonts w:ascii="宋体" w:hAnsi="宋体" w:cs="宋体"/>
          <w:sz w:val="24"/>
        </w:rPr>
      </w:pPr>
      <w:r>
        <w:rPr>
          <w:rFonts w:hint="eastAsia" w:ascii="宋体" w:hAnsi="宋体" w:cs="宋体"/>
          <w:sz w:val="24"/>
        </w:rPr>
        <w:t>年龄：                           职务：</w:t>
      </w:r>
    </w:p>
    <w:p w14:paraId="4FC2E1EC">
      <w:pPr>
        <w:spacing w:line="540" w:lineRule="exact"/>
        <w:rPr>
          <w:rFonts w:ascii="宋体" w:hAnsi="宋体" w:cs="宋体"/>
          <w:sz w:val="24"/>
        </w:rPr>
      </w:pPr>
      <w:r>
        <w:rPr>
          <w:rFonts w:hint="eastAsia" w:ascii="宋体" w:hAnsi="宋体" w:cs="宋体"/>
          <w:sz w:val="24"/>
        </w:rPr>
        <w:t>身份证号码：</w:t>
      </w:r>
    </w:p>
    <w:p w14:paraId="4D5CC26A">
      <w:pPr>
        <w:spacing w:line="540" w:lineRule="exact"/>
        <w:ind w:firstLine="480" w:firstLineChars="200"/>
        <w:rPr>
          <w:rFonts w:ascii="宋体" w:hAnsi="宋体" w:cs="宋体"/>
          <w:sz w:val="24"/>
        </w:rPr>
      </w:pPr>
      <w:r>
        <w:rPr>
          <w:rFonts w:hint="eastAsia" w:ascii="宋体" w:hAnsi="宋体" w:cs="宋体"/>
          <w:sz w:val="24"/>
        </w:rPr>
        <w:t>系（单位名称）的法定代表人，法定地址：。为项目的投标、开标等事宜，签署上述投标文件，进行合同谈判、签署合同和处理与之有关的一切事务。</w:t>
      </w:r>
    </w:p>
    <w:p w14:paraId="47E79F6C">
      <w:pPr>
        <w:spacing w:line="540" w:lineRule="exact"/>
        <w:ind w:firstLine="480" w:firstLineChars="200"/>
        <w:rPr>
          <w:rFonts w:ascii="宋体" w:hAnsi="宋体" w:cs="宋体"/>
          <w:sz w:val="24"/>
        </w:rPr>
      </w:pPr>
    </w:p>
    <w:p w14:paraId="4C4F1411">
      <w:pPr>
        <w:spacing w:line="540" w:lineRule="exact"/>
        <w:rPr>
          <w:rFonts w:ascii="宋体" w:hAnsi="宋体" w:cs="宋体"/>
          <w:sz w:val="24"/>
        </w:rPr>
      </w:pPr>
      <w:r>
        <w:rPr>
          <w:rFonts w:hint="eastAsia" w:ascii="宋体" w:hAnsi="宋体" w:cs="宋体"/>
          <w:sz w:val="24"/>
        </w:rPr>
        <w:t>特此证明</w:t>
      </w:r>
    </w:p>
    <w:p w14:paraId="2007384C">
      <w:pPr>
        <w:spacing w:line="540" w:lineRule="exact"/>
        <w:rPr>
          <w:rFonts w:ascii="宋体" w:hAnsi="宋体" w:cs="宋体"/>
          <w:b/>
          <w:sz w:val="24"/>
        </w:rPr>
      </w:pPr>
      <w:r>
        <w:rPr>
          <w:rFonts w:hint="eastAsia" w:ascii="宋体" w:hAnsi="宋体" w:cs="宋体"/>
          <w:b/>
          <w:sz w:val="24"/>
        </w:rPr>
        <w:t>附：法定代表人或主要负责人身份证（正反面）</w:t>
      </w:r>
    </w:p>
    <w:p w14:paraId="55954D47">
      <w:pPr>
        <w:spacing w:line="540" w:lineRule="exact"/>
        <w:rPr>
          <w:rFonts w:ascii="宋体" w:hAnsi="宋体" w:cs="宋体"/>
          <w:sz w:val="24"/>
        </w:rPr>
      </w:pPr>
    </w:p>
    <w:p w14:paraId="43666F12">
      <w:pPr>
        <w:pStyle w:val="54"/>
        <w:ind w:firstLine="480"/>
        <w:rPr>
          <w:rFonts w:ascii="宋体" w:hAnsi="宋体"/>
          <w:sz w:val="24"/>
        </w:rPr>
      </w:pPr>
    </w:p>
    <w:p w14:paraId="57191D19">
      <w:pPr>
        <w:pStyle w:val="54"/>
        <w:ind w:left="0" w:leftChars="0"/>
        <w:rPr>
          <w:rFonts w:ascii="宋体" w:hAnsi="宋体"/>
        </w:rPr>
      </w:pPr>
    </w:p>
    <w:p w14:paraId="338D3E5A">
      <w:pPr>
        <w:pStyle w:val="54"/>
        <w:rPr>
          <w:rFonts w:ascii="宋体" w:hAnsi="宋体"/>
        </w:rPr>
      </w:pPr>
    </w:p>
    <w:p w14:paraId="34C700FE">
      <w:pPr>
        <w:spacing w:line="540" w:lineRule="exact"/>
        <w:ind w:left="1018" w:leftChars="485" w:firstLine="2231" w:firstLineChars="926"/>
        <w:rPr>
          <w:rFonts w:ascii="宋体" w:hAnsi="宋体" w:cs="宋体"/>
          <w:b/>
          <w:sz w:val="24"/>
        </w:rPr>
      </w:pPr>
      <w:bookmarkStart w:id="342" w:name="_Toc2672"/>
      <w:bookmarkStart w:id="343" w:name="_Toc51872139"/>
      <w:r>
        <w:rPr>
          <w:rFonts w:hint="eastAsia" w:ascii="宋体" w:hAnsi="宋体" w:cs="宋体"/>
          <w:b/>
          <w:sz w:val="24"/>
        </w:rPr>
        <w:t>投标人：（盖章）</w:t>
      </w:r>
      <w:bookmarkEnd w:id="342"/>
      <w:bookmarkEnd w:id="343"/>
    </w:p>
    <w:p w14:paraId="5CB413CE">
      <w:pPr>
        <w:spacing w:line="540" w:lineRule="exact"/>
        <w:ind w:left="1018" w:leftChars="485" w:firstLine="2231" w:firstLineChars="926"/>
        <w:rPr>
          <w:rFonts w:ascii="宋体" w:hAnsi="宋体" w:cs="宋体"/>
          <w:b/>
          <w:sz w:val="24"/>
        </w:rPr>
      </w:pPr>
      <w:r>
        <w:rPr>
          <w:rFonts w:hint="eastAsia" w:ascii="宋体" w:hAnsi="宋体" w:cs="宋体"/>
          <w:b/>
          <w:sz w:val="24"/>
        </w:rPr>
        <w:t>法定代表人签字或盖章：</w:t>
      </w:r>
    </w:p>
    <w:p w14:paraId="48A35F0A">
      <w:pPr>
        <w:spacing w:line="540" w:lineRule="exact"/>
        <w:ind w:firstLine="3132" w:firstLineChars="1300"/>
        <w:rPr>
          <w:rFonts w:ascii="宋体" w:hAnsi="宋体" w:cs="宋体"/>
          <w:b/>
          <w:bCs/>
          <w:sz w:val="36"/>
          <w:szCs w:val="36"/>
        </w:rPr>
      </w:pPr>
      <w:r>
        <w:rPr>
          <w:rFonts w:hint="eastAsia" w:ascii="宋体" w:hAnsi="宋体" w:cs="宋体"/>
          <w:b/>
          <w:sz w:val="24"/>
        </w:rPr>
        <w:t xml:space="preserve">日期：    年   月    日 </w:t>
      </w:r>
    </w:p>
    <w:p w14:paraId="518422D3">
      <w:pPr>
        <w:adjustRightInd w:val="0"/>
        <w:snapToGrid w:val="0"/>
        <w:spacing w:line="0" w:lineRule="atLeast"/>
        <w:rPr>
          <w:rFonts w:ascii="宋体" w:hAnsi="宋体"/>
          <w:b/>
          <w:bCs/>
          <w:sz w:val="24"/>
        </w:rPr>
      </w:pPr>
    </w:p>
    <w:p w14:paraId="47518F04">
      <w:pPr>
        <w:adjustRightInd w:val="0"/>
        <w:snapToGrid w:val="0"/>
        <w:spacing w:line="0" w:lineRule="atLeast"/>
        <w:rPr>
          <w:rFonts w:ascii="宋体" w:hAnsi="宋体"/>
          <w:b/>
          <w:bCs/>
          <w:sz w:val="24"/>
        </w:rPr>
      </w:pPr>
    </w:p>
    <w:p w14:paraId="3C2A3936">
      <w:pPr>
        <w:adjustRightInd w:val="0"/>
        <w:snapToGrid w:val="0"/>
        <w:spacing w:line="0" w:lineRule="atLeast"/>
        <w:rPr>
          <w:rFonts w:ascii="宋体" w:hAnsi="宋体"/>
          <w:b/>
          <w:bCs/>
          <w:sz w:val="24"/>
        </w:rPr>
      </w:pPr>
    </w:p>
    <w:p w14:paraId="72FC7FB1">
      <w:pPr>
        <w:adjustRightInd w:val="0"/>
        <w:snapToGrid w:val="0"/>
        <w:spacing w:line="0" w:lineRule="atLeast"/>
        <w:rPr>
          <w:rFonts w:ascii="宋体" w:hAnsi="宋体"/>
          <w:b/>
          <w:bCs/>
          <w:sz w:val="24"/>
        </w:rPr>
      </w:pPr>
      <w:r>
        <w:rPr>
          <w:rFonts w:ascii="宋体" w:hAnsi="宋体"/>
          <w:b/>
          <w:bCs/>
          <w:sz w:val="24"/>
        </w:rPr>
        <w:br w:type="page"/>
      </w:r>
      <w:r>
        <w:rPr>
          <w:rFonts w:hint="eastAsia" w:ascii="宋体" w:hAnsi="宋体"/>
          <w:b/>
          <w:bCs/>
          <w:sz w:val="24"/>
        </w:rPr>
        <w:t>2.2.3</w:t>
      </w:r>
      <w:r>
        <w:rPr>
          <w:rFonts w:ascii="宋体" w:hAnsi="宋体"/>
          <w:b/>
          <w:bCs/>
          <w:sz w:val="24"/>
        </w:rPr>
        <w:t>法定代表人授权委托书格式：</w:t>
      </w:r>
    </w:p>
    <w:p w14:paraId="5A786537">
      <w:pPr>
        <w:spacing w:line="480" w:lineRule="auto"/>
        <w:jc w:val="center"/>
        <w:rPr>
          <w:rFonts w:ascii="宋体" w:hAnsi="宋体"/>
          <w:b/>
          <w:bCs/>
          <w:sz w:val="36"/>
          <w:szCs w:val="36"/>
        </w:rPr>
      </w:pPr>
    </w:p>
    <w:p w14:paraId="209EF01C">
      <w:pPr>
        <w:spacing w:line="480" w:lineRule="auto"/>
        <w:jc w:val="center"/>
        <w:rPr>
          <w:rFonts w:ascii="宋体" w:hAnsi="宋体"/>
          <w:b/>
          <w:sz w:val="48"/>
        </w:rPr>
      </w:pPr>
      <w:r>
        <w:rPr>
          <w:rFonts w:hint="eastAsia" w:ascii="宋体" w:hAnsi="宋体"/>
          <w:b/>
          <w:bCs/>
          <w:sz w:val="36"/>
          <w:szCs w:val="36"/>
        </w:rPr>
        <w:t>3.</w:t>
      </w:r>
      <w:r>
        <w:rPr>
          <w:rFonts w:ascii="宋体" w:hAnsi="宋体"/>
          <w:b/>
          <w:bCs/>
          <w:sz w:val="36"/>
          <w:szCs w:val="36"/>
        </w:rPr>
        <w:t>法定代表人授权委托书</w:t>
      </w:r>
    </w:p>
    <w:p w14:paraId="3965C8AD">
      <w:pPr>
        <w:pStyle w:val="219"/>
        <w:spacing w:line="440" w:lineRule="exact"/>
        <w:rPr>
          <w:rFonts w:ascii="宋体" w:hAnsi="宋体"/>
          <w:b/>
          <w:sz w:val="24"/>
          <w:szCs w:val="21"/>
        </w:rPr>
      </w:pPr>
      <w:r>
        <w:rPr>
          <w:rFonts w:ascii="宋体" w:hAnsi="宋体"/>
          <w:sz w:val="24"/>
          <w:szCs w:val="21"/>
          <w:u w:val="single"/>
        </w:rPr>
        <w:t xml:space="preserve">（代理机构名称） </w:t>
      </w:r>
      <w:r>
        <w:rPr>
          <w:rFonts w:ascii="宋体" w:hAnsi="宋体"/>
          <w:sz w:val="24"/>
          <w:szCs w:val="21"/>
        </w:rPr>
        <w:t>：</w:t>
      </w:r>
    </w:p>
    <w:p w14:paraId="56EF6632">
      <w:pPr>
        <w:pStyle w:val="219"/>
        <w:autoSpaceDE w:val="0"/>
        <w:autoSpaceDN w:val="0"/>
        <w:spacing w:line="440" w:lineRule="exact"/>
        <w:ind w:firstLine="480" w:firstLineChars="200"/>
        <w:textAlignment w:val="bottom"/>
        <w:rPr>
          <w:rFonts w:ascii="宋体" w:hAnsi="宋体"/>
          <w:sz w:val="24"/>
          <w:szCs w:val="20"/>
        </w:rPr>
      </w:pPr>
      <w:r>
        <w:rPr>
          <w:rFonts w:ascii="宋体" w:hAnsi="宋体"/>
          <w:sz w:val="24"/>
          <w:szCs w:val="20"/>
        </w:rPr>
        <w:t>我</w:t>
      </w:r>
      <w:r>
        <w:rPr>
          <w:rFonts w:ascii="宋体" w:hAnsi="宋体"/>
          <w:sz w:val="24"/>
          <w:szCs w:val="20"/>
          <w:u w:val="single"/>
        </w:rPr>
        <w:t xml:space="preserve">              （</w:t>
      </w:r>
      <w:r>
        <w:rPr>
          <w:rFonts w:ascii="宋体" w:hAnsi="宋体"/>
          <w:sz w:val="24"/>
          <w:szCs w:val="20"/>
        </w:rPr>
        <w:t>法</w:t>
      </w:r>
      <w:r>
        <w:rPr>
          <w:rFonts w:hint="eastAsia" w:ascii="宋体" w:hAnsi="宋体"/>
          <w:sz w:val="24"/>
          <w:szCs w:val="20"/>
        </w:rPr>
        <w:t>定</w:t>
      </w:r>
      <w:r>
        <w:rPr>
          <w:rFonts w:ascii="宋体" w:hAnsi="宋体"/>
          <w:sz w:val="24"/>
          <w:szCs w:val="20"/>
        </w:rPr>
        <w:t>代表</w:t>
      </w:r>
      <w:r>
        <w:rPr>
          <w:rFonts w:hint="eastAsia" w:ascii="宋体" w:hAnsi="宋体"/>
          <w:sz w:val="24"/>
          <w:szCs w:val="20"/>
        </w:rPr>
        <w:t>人</w:t>
      </w:r>
      <w:r>
        <w:rPr>
          <w:rFonts w:ascii="宋体" w:hAnsi="宋体"/>
          <w:sz w:val="24"/>
          <w:szCs w:val="20"/>
        </w:rPr>
        <w:t>姓名）系（供应商全称）的负责人，现授权委托本单位在职职工（姓名）以我方的名义参加就贵方组织的</w:t>
      </w:r>
      <w:r>
        <w:rPr>
          <w:rFonts w:ascii="宋体" w:hAnsi="宋体"/>
          <w:sz w:val="24"/>
          <w:szCs w:val="20"/>
          <w:u w:val="single"/>
        </w:rPr>
        <w:t xml:space="preserve">                         （采购项目名称）</w:t>
      </w:r>
      <w:r>
        <w:rPr>
          <w:rFonts w:ascii="宋体" w:hAnsi="宋体"/>
          <w:sz w:val="24"/>
          <w:szCs w:val="20"/>
        </w:rPr>
        <w:t>（采购编号：</w:t>
      </w:r>
      <w:r>
        <w:rPr>
          <w:rFonts w:ascii="宋体" w:hAnsi="宋体"/>
          <w:sz w:val="24"/>
          <w:szCs w:val="20"/>
          <w:u w:val="single"/>
        </w:rPr>
        <w:t>　　　　</w:t>
      </w:r>
      <w:r>
        <w:rPr>
          <w:rFonts w:ascii="宋体" w:hAnsi="宋体"/>
          <w:sz w:val="24"/>
          <w:szCs w:val="20"/>
        </w:rPr>
        <w:t>）项目的投标活动，并代表我方全权办理针对上述项目的投标、开标、评审、签约等具体事务和签署相关文件。</w:t>
      </w:r>
    </w:p>
    <w:p w14:paraId="4D66ED3D">
      <w:pPr>
        <w:pStyle w:val="219"/>
        <w:autoSpaceDE w:val="0"/>
        <w:autoSpaceDN w:val="0"/>
        <w:spacing w:line="440" w:lineRule="exact"/>
        <w:ind w:firstLine="480" w:firstLineChars="200"/>
        <w:textAlignment w:val="bottom"/>
        <w:rPr>
          <w:rFonts w:ascii="宋体" w:hAnsi="宋体"/>
          <w:sz w:val="24"/>
          <w:szCs w:val="20"/>
        </w:rPr>
      </w:pPr>
      <w:r>
        <w:rPr>
          <w:rFonts w:ascii="宋体" w:hAnsi="宋体"/>
          <w:sz w:val="24"/>
          <w:szCs w:val="20"/>
        </w:rPr>
        <w:t>我方对委托代理人的签字或盖章事项负全部责任。</w:t>
      </w:r>
    </w:p>
    <w:p w14:paraId="07C4DFDA">
      <w:pPr>
        <w:pStyle w:val="219"/>
        <w:spacing w:line="440" w:lineRule="exact"/>
        <w:ind w:firstLine="480"/>
        <w:rPr>
          <w:rFonts w:ascii="宋体" w:hAnsi="宋体"/>
          <w:sz w:val="24"/>
          <w:szCs w:val="21"/>
        </w:rPr>
      </w:pPr>
      <w:r>
        <w:rPr>
          <w:rFonts w:ascii="宋体" w:hAnsi="宋体"/>
          <w:sz w:val="24"/>
          <w:szCs w:val="21"/>
        </w:rPr>
        <w:t>本授权书自签署之日起生效，在撤销授权的书面通知送达贵方以前，本授权委托书一直有效。委托代理人在授权书有效期内签署的所有文件不因授权的撤销而失效。</w:t>
      </w:r>
    </w:p>
    <w:p w14:paraId="7948B68E">
      <w:pPr>
        <w:pStyle w:val="219"/>
        <w:spacing w:line="440" w:lineRule="exact"/>
        <w:ind w:firstLine="480"/>
        <w:rPr>
          <w:rFonts w:ascii="宋体" w:hAnsi="宋体"/>
          <w:sz w:val="24"/>
          <w:szCs w:val="21"/>
        </w:rPr>
      </w:pPr>
      <w:r>
        <w:rPr>
          <w:rFonts w:ascii="宋体" w:hAnsi="宋体"/>
          <w:sz w:val="24"/>
          <w:szCs w:val="21"/>
        </w:rPr>
        <w:t>委托代理人无转委托权，特此声明。</w:t>
      </w:r>
    </w:p>
    <w:p w14:paraId="7C062DA0">
      <w:pPr>
        <w:pStyle w:val="219"/>
        <w:spacing w:line="440" w:lineRule="exact"/>
        <w:ind w:firstLine="480"/>
        <w:rPr>
          <w:rFonts w:ascii="宋体" w:hAnsi="宋体"/>
          <w:sz w:val="24"/>
          <w:szCs w:val="21"/>
        </w:rPr>
      </w:pPr>
    </w:p>
    <w:p w14:paraId="5000AB6D">
      <w:pPr>
        <w:pStyle w:val="219"/>
        <w:spacing w:line="440" w:lineRule="exact"/>
        <w:ind w:firstLine="4480" w:firstLineChars="1600"/>
        <w:rPr>
          <w:rFonts w:ascii="宋体" w:hAnsi="宋体"/>
          <w:spacing w:val="20"/>
          <w:sz w:val="24"/>
          <w:szCs w:val="21"/>
        </w:rPr>
      </w:pPr>
      <w:r>
        <w:rPr>
          <w:rFonts w:ascii="宋体" w:hAnsi="宋体"/>
          <w:spacing w:val="20"/>
          <w:sz w:val="24"/>
          <w:szCs w:val="21"/>
        </w:rPr>
        <w:t>法</w:t>
      </w:r>
      <w:r>
        <w:rPr>
          <w:rFonts w:hint="eastAsia" w:ascii="宋体" w:hAnsi="宋体"/>
          <w:spacing w:val="20"/>
          <w:sz w:val="24"/>
          <w:szCs w:val="21"/>
        </w:rPr>
        <w:t>定</w:t>
      </w:r>
      <w:r>
        <w:rPr>
          <w:rFonts w:ascii="宋体" w:hAnsi="宋体"/>
          <w:spacing w:val="20"/>
          <w:sz w:val="24"/>
          <w:szCs w:val="21"/>
        </w:rPr>
        <w:t>代表</w:t>
      </w:r>
      <w:r>
        <w:rPr>
          <w:rFonts w:hint="eastAsia" w:ascii="宋体" w:hAnsi="宋体"/>
          <w:spacing w:val="20"/>
          <w:sz w:val="24"/>
          <w:szCs w:val="21"/>
        </w:rPr>
        <w:t>人</w:t>
      </w:r>
      <w:r>
        <w:rPr>
          <w:rFonts w:ascii="宋体" w:hAnsi="宋体"/>
          <w:spacing w:val="20"/>
          <w:sz w:val="24"/>
          <w:szCs w:val="21"/>
        </w:rPr>
        <w:t>签字或盖章：</w:t>
      </w:r>
    </w:p>
    <w:p w14:paraId="018519D8">
      <w:pPr>
        <w:pStyle w:val="219"/>
        <w:spacing w:line="440" w:lineRule="exact"/>
        <w:ind w:firstLine="5320" w:firstLineChars="1900"/>
        <w:rPr>
          <w:rFonts w:ascii="宋体" w:hAnsi="宋体"/>
          <w:spacing w:val="20"/>
          <w:sz w:val="24"/>
          <w:szCs w:val="21"/>
          <w:u w:val="single"/>
        </w:rPr>
      </w:pPr>
      <w:r>
        <w:rPr>
          <w:rFonts w:ascii="宋体" w:hAnsi="宋体"/>
          <w:spacing w:val="20"/>
          <w:sz w:val="24"/>
          <w:szCs w:val="21"/>
        </w:rPr>
        <w:t>供应商盖章：</w:t>
      </w:r>
    </w:p>
    <w:p w14:paraId="48C6CF17">
      <w:pPr>
        <w:pStyle w:val="219"/>
        <w:spacing w:line="440" w:lineRule="exact"/>
        <w:ind w:firstLine="5320" w:firstLineChars="1900"/>
        <w:rPr>
          <w:rFonts w:ascii="宋体" w:hAnsi="宋体"/>
          <w:spacing w:val="20"/>
          <w:sz w:val="24"/>
          <w:szCs w:val="21"/>
          <w:u w:val="single"/>
        </w:rPr>
      </w:pPr>
      <w:r>
        <w:rPr>
          <w:rFonts w:ascii="宋体" w:hAnsi="宋体"/>
          <w:spacing w:val="20"/>
          <w:sz w:val="24"/>
          <w:szCs w:val="21"/>
        </w:rPr>
        <w:t>日     期：</w:t>
      </w:r>
    </w:p>
    <w:p w14:paraId="5D5549B3">
      <w:pPr>
        <w:pStyle w:val="219"/>
        <w:spacing w:line="440" w:lineRule="exact"/>
        <w:rPr>
          <w:rFonts w:ascii="宋体" w:hAnsi="宋体"/>
          <w:sz w:val="24"/>
          <w:szCs w:val="21"/>
        </w:rPr>
      </w:pPr>
      <w:r>
        <w:rPr>
          <w:rFonts w:ascii="宋体" w:hAnsi="宋体"/>
          <w:sz w:val="24"/>
          <w:szCs w:val="21"/>
        </w:rPr>
        <w:t>_____________________________________________________________________</w:t>
      </w:r>
    </w:p>
    <w:p w14:paraId="5F4179AE">
      <w:pPr>
        <w:pStyle w:val="219"/>
        <w:spacing w:line="440" w:lineRule="exact"/>
        <w:ind w:firstLine="480"/>
        <w:rPr>
          <w:rFonts w:ascii="宋体" w:hAnsi="宋体"/>
          <w:sz w:val="24"/>
          <w:szCs w:val="21"/>
        </w:rPr>
      </w:pPr>
      <w:r>
        <w:rPr>
          <w:rFonts w:ascii="宋体" w:hAnsi="宋体"/>
          <w:sz w:val="24"/>
          <w:szCs w:val="21"/>
        </w:rPr>
        <w:t>附：1、委托代理人工作单位：</w:t>
      </w:r>
      <w:r>
        <w:rPr>
          <w:rFonts w:ascii="宋体" w:hAnsi="宋体"/>
          <w:sz w:val="24"/>
          <w:szCs w:val="21"/>
        </w:rPr>
        <w:tab/>
      </w:r>
      <w:r>
        <w:rPr>
          <w:rFonts w:ascii="宋体" w:hAnsi="宋体"/>
          <w:sz w:val="24"/>
          <w:szCs w:val="21"/>
        </w:rPr>
        <w:tab/>
      </w:r>
      <w:r>
        <w:rPr>
          <w:rFonts w:ascii="宋体" w:hAnsi="宋体"/>
          <w:sz w:val="24"/>
          <w:szCs w:val="21"/>
        </w:rPr>
        <w:tab/>
      </w:r>
      <w:r>
        <w:rPr>
          <w:rFonts w:ascii="宋体" w:hAnsi="宋体"/>
          <w:sz w:val="24"/>
          <w:szCs w:val="21"/>
        </w:rPr>
        <w:tab/>
      </w:r>
      <w:r>
        <w:rPr>
          <w:rFonts w:ascii="宋体" w:hAnsi="宋体"/>
          <w:sz w:val="24"/>
          <w:szCs w:val="21"/>
        </w:rPr>
        <w:tab/>
      </w:r>
      <w:r>
        <w:rPr>
          <w:rFonts w:ascii="宋体" w:hAnsi="宋体"/>
          <w:sz w:val="24"/>
          <w:szCs w:val="21"/>
        </w:rPr>
        <w:t xml:space="preserve">职务： </w:t>
      </w:r>
    </w:p>
    <w:p w14:paraId="6B59C2B8">
      <w:pPr>
        <w:pStyle w:val="219"/>
        <w:spacing w:line="440" w:lineRule="exact"/>
        <w:ind w:firstLine="480"/>
        <w:rPr>
          <w:rFonts w:ascii="宋体" w:hAnsi="宋体"/>
          <w:sz w:val="24"/>
          <w:szCs w:val="21"/>
        </w:rPr>
      </w:pPr>
      <w:r>
        <w:rPr>
          <w:rFonts w:ascii="宋体" w:hAnsi="宋体"/>
          <w:sz w:val="24"/>
          <w:szCs w:val="21"/>
        </w:rPr>
        <w:t xml:space="preserve">       身份证号码：　　　　　　　　　　</w:t>
      </w:r>
      <w:r>
        <w:rPr>
          <w:rFonts w:ascii="宋体" w:hAnsi="宋体"/>
          <w:sz w:val="24"/>
          <w:szCs w:val="21"/>
        </w:rPr>
        <w:tab/>
      </w:r>
      <w:r>
        <w:rPr>
          <w:rFonts w:ascii="宋体" w:hAnsi="宋体"/>
          <w:sz w:val="24"/>
          <w:szCs w:val="21"/>
        </w:rPr>
        <w:t xml:space="preserve">性别：　    </w:t>
      </w:r>
    </w:p>
    <w:p w14:paraId="093A3270">
      <w:pPr>
        <w:pStyle w:val="219"/>
        <w:spacing w:line="360" w:lineRule="auto"/>
        <w:ind w:firstLine="420"/>
        <w:rPr>
          <w:rFonts w:ascii="宋体" w:hAnsi="宋体"/>
          <w:b/>
          <w:sz w:val="24"/>
          <w:szCs w:val="21"/>
        </w:rPr>
      </w:pPr>
    </w:p>
    <w:p w14:paraId="4983A9D6">
      <w:pPr>
        <w:pStyle w:val="219"/>
        <w:spacing w:line="360" w:lineRule="auto"/>
        <w:ind w:firstLine="420"/>
        <w:rPr>
          <w:rFonts w:ascii="宋体" w:hAnsi="宋体"/>
          <w:sz w:val="24"/>
          <w:szCs w:val="21"/>
        </w:rPr>
      </w:pPr>
      <w:r>
        <w:rPr>
          <w:rFonts w:ascii="宋体" w:hAnsi="宋体"/>
          <w:b/>
          <w:sz w:val="24"/>
          <w:szCs w:val="21"/>
        </w:rPr>
        <w:t>注：</w:t>
      </w:r>
      <w:r>
        <w:rPr>
          <w:rFonts w:ascii="宋体" w:hAnsi="宋体"/>
          <w:sz w:val="24"/>
          <w:szCs w:val="21"/>
        </w:rPr>
        <w:t>1、供应商为法人企业的，其负责人为其法定代表人。</w:t>
      </w:r>
    </w:p>
    <w:p w14:paraId="4731A1A2">
      <w:pPr>
        <w:pStyle w:val="219"/>
        <w:spacing w:line="360" w:lineRule="auto"/>
        <w:ind w:firstLine="900" w:firstLineChars="375"/>
        <w:rPr>
          <w:rFonts w:ascii="宋体" w:hAnsi="宋体"/>
          <w:sz w:val="24"/>
          <w:szCs w:val="21"/>
        </w:rPr>
      </w:pPr>
      <w:r>
        <w:rPr>
          <w:rFonts w:ascii="宋体" w:hAnsi="宋体"/>
          <w:sz w:val="24"/>
          <w:szCs w:val="21"/>
        </w:rPr>
        <w:t>2、委托人为上述条款中的负责人。</w:t>
      </w:r>
    </w:p>
    <w:p w14:paraId="25361D10">
      <w:pPr>
        <w:pStyle w:val="219"/>
        <w:spacing w:line="360" w:lineRule="auto"/>
        <w:ind w:firstLine="720" w:firstLineChars="300"/>
        <w:rPr>
          <w:rFonts w:ascii="宋体" w:hAnsi="宋体"/>
          <w:b/>
          <w:sz w:val="32"/>
          <w:szCs w:val="32"/>
        </w:rPr>
      </w:pPr>
      <w:r>
        <w:rPr>
          <w:rFonts w:ascii="宋体" w:hAnsi="宋体"/>
          <w:sz w:val="24"/>
          <w:szCs w:val="21"/>
        </w:rPr>
        <w:t>▲3、本“授权委托书”需附法</w:t>
      </w:r>
      <w:r>
        <w:rPr>
          <w:rFonts w:hint="eastAsia" w:ascii="宋体" w:hAnsi="宋体"/>
          <w:sz w:val="24"/>
          <w:szCs w:val="21"/>
        </w:rPr>
        <w:t>定</w:t>
      </w:r>
      <w:r>
        <w:rPr>
          <w:rFonts w:ascii="宋体" w:hAnsi="宋体"/>
          <w:sz w:val="24"/>
          <w:szCs w:val="21"/>
        </w:rPr>
        <w:t>代表人和委托代理人身份证件扫描件（或</w:t>
      </w:r>
      <w:r>
        <w:rPr>
          <w:rFonts w:hint="eastAsia" w:ascii="宋体" w:hAnsi="宋体"/>
          <w:sz w:val="24"/>
          <w:szCs w:val="21"/>
        </w:rPr>
        <w:t>原件扫描件</w:t>
      </w:r>
      <w:r>
        <w:rPr>
          <w:rFonts w:ascii="宋体" w:hAnsi="宋体"/>
          <w:sz w:val="24"/>
          <w:szCs w:val="21"/>
        </w:rPr>
        <w:t>），如扫描件（或复印件）不清晰或错误的，后果由供应商承担。</w:t>
      </w:r>
    </w:p>
    <w:p w14:paraId="75EE93AC">
      <w:pPr>
        <w:pStyle w:val="230"/>
        <w:spacing w:line="440" w:lineRule="exact"/>
        <w:rPr>
          <w:rFonts w:hAnsi="宋体"/>
          <w:bCs/>
          <w:sz w:val="24"/>
        </w:rPr>
      </w:pPr>
      <w:r>
        <w:rPr>
          <w:rFonts w:hAnsi="宋体"/>
          <w:bCs/>
          <w:sz w:val="24"/>
        </w:rPr>
        <w:br w:type="page"/>
      </w:r>
      <w:r>
        <w:rPr>
          <w:rFonts w:hAnsi="宋体"/>
          <w:bCs/>
          <w:sz w:val="24"/>
        </w:rPr>
        <w:t>法</w:t>
      </w:r>
      <w:r>
        <w:rPr>
          <w:rFonts w:hint="eastAsia" w:hAnsi="宋体"/>
          <w:bCs/>
          <w:sz w:val="24"/>
        </w:rPr>
        <w:t>定</w:t>
      </w:r>
      <w:r>
        <w:rPr>
          <w:rFonts w:hAnsi="宋体"/>
          <w:bCs/>
          <w:sz w:val="24"/>
        </w:rPr>
        <w:t>代表</w:t>
      </w:r>
      <w:r>
        <w:rPr>
          <w:rFonts w:hint="eastAsia" w:hAnsi="宋体"/>
          <w:bCs/>
          <w:sz w:val="24"/>
        </w:rPr>
        <w:t>人</w:t>
      </w:r>
      <w:r>
        <w:rPr>
          <w:rFonts w:hAnsi="宋体"/>
          <w:bCs/>
          <w:sz w:val="24"/>
        </w:rPr>
        <w:t>身份证件扫描件：</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0C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14:paraId="5C2545A5">
            <w:pPr>
              <w:pStyle w:val="230"/>
              <w:spacing w:line="440" w:lineRule="exact"/>
              <w:rPr>
                <w:rFonts w:hAnsi="宋体"/>
                <w:bCs/>
                <w:sz w:val="24"/>
              </w:rPr>
            </w:pPr>
            <w:r>
              <w:rPr>
                <w:rFonts w:hAnsi="宋体"/>
                <w:bCs/>
                <w:sz w:val="24"/>
              </w:rPr>
              <w:t>正面：                                 反面：</w:t>
            </w:r>
          </w:p>
          <w:p w14:paraId="4FC8A898">
            <w:pPr>
              <w:pStyle w:val="230"/>
              <w:spacing w:line="440" w:lineRule="exact"/>
              <w:rPr>
                <w:rFonts w:hAnsi="宋体"/>
                <w:bCs/>
                <w:sz w:val="24"/>
              </w:rPr>
            </w:pPr>
          </w:p>
        </w:tc>
      </w:tr>
    </w:tbl>
    <w:p w14:paraId="581534EF">
      <w:pPr>
        <w:pStyle w:val="230"/>
        <w:spacing w:line="440" w:lineRule="exact"/>
        <w:rPr>
          <w:rFonts w:hAnsi="宋体"/>
          <w:bCs/>
          <w:sz w:val="24"/>
        </w:rPr>
      </w:pPr>
      <w:r>
        <w:rPr>
          <w:rFonts w:hAnsi="宋体"/>
          <w:bCs/>
          <w:sz w:val="24"/>
        </w:rPr>
        <w:t>委托代理人身份证件扫描件：</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D9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14:paraId="5AA25491">
            <w:pPr>
              <w:pStyle w:val="230"/>
              <w:spacing w:line="440" w:lineRule="exact"/>
              <w:rPr>
                <w:rFonts w:hAnsi="宋体"/>
                <w:bCs/>
                <w:sz w:val="24"/>
              </w:rPr>
            </w:pPr>
            <w:r>
              <w:rPr>
                <w:rFonts w:hAnsi="宋体"/>
                <w:bCs/>
                <w:sz w:val="24"/>
              </w:rPr>
              <w:t>正面：                                 反面：</w:t>
            </w:r>
          </w:p>
          <w:p w14:paraId="7F3AEBFD">
            <w:pPr>
              <w:pStyle w:val="230"/>
              <w:spacing w:line="440" w:lineRule="exact"/>
              <w:rPr>
                <w:rFonts w:hAnsi="宋体"/>
                <w:bCs/>
                <w:sz w:val="24"/>
              </w:rPr>
            </w:pPr>
          </w:p>
        </w:tc>
      </w:tr>
      <w:bookmarkEnd w:id="339"/>
      <w:bookmarkEnd w:id="340"/>
      <w:bookmarkEnd w:id="341"/>
    </w:tbl>
    <w:p w14:paraId="5A489791">
      <w:pPr>
        <w:adjustRightInd w:val="0"/>
        <w:snapToGrid w:val="0"/>
        <w:rPr>
          <w:rFonts w:ascii="宋体" w:hAnsi="宋体"/>
          <w:b/>
          <w:bCs/>
          <w:sz w:val="28"/>
          <w:szCs w:val="21"/>
        </w:rPr>
      </w:pPr>
    </w:p>
    <w:p w14:paraId="6CEEEFB4">
      <w:pPr>
        <w:adjustRightInd w:val="0"/>
        <w:snapToGrid w:val="0"/>
        <w:rPr>
          <w:rFonts w:ascii="宋体" w:hAnsi="宋体"/>
          <w:b/>
          <w:bCs/>
          <w:sz w:val="28"/>
          <w:szCs w:val="21"/>
        </w:rPr>
      </w:pPr>
    </w:p>
    <w:p w14:paraId="4B429B5C">
      <w:pPr>
        <w:adjustRightInd w:val="0"/>
        <w:snapToGrid w:val="0"/>
        <w:rPr>
          <w:rFonts w:ascii="宋体" w:hAnsi="宋体"/>
          <w:b/>
          <w:bCs/>
          <w:sz w:val="28"/>
          <w:szCs w:val="21"/>
        </w:rPr>
      </w:pPr>
    </w:p>
    <w:p w14:paraId="10070132">
      <w:pPr>
        <w:adjustRightInd w:val="0"/>
        <w:snapToGrid w:val="0"/>
        <w:rPr>
          <w:rFonts w:ascii="宋体" w:hAnsi="宋体"/>
          <w:b/>
          <w:bCs/>
          <w:sz w:val="28"/>
          <w:szCs w:val="21"/>
        </w:rPr>
      </w:pPr>
    </w:p>
    <w:p w14:paraId="0B181DFA">
      <w:pPr>
        <w:adjustRightInd w:val="0"/>
        <w:snapToGrid w:val="0"/>
        <w:rPr>
          <w:rFonts w:ascii="宋体" w:hAnsi="宋体"/>
          <w:b/>
          <w:bCs/>
          <w:sz w:val="28"/>
          <w:szCs w:val="21"/>
        </w:rPr>
      </w:pPr>
    </w:p>
    <w:p w14:paraId="14F57017">
      <w:pPr>
        <w:adjustRightInd w:val="0"/>
        <w:snapToGrid w:val="0"/>
        <w:rPr>
          <w:rFonts w:ascii="宋体" w:hAnsi="宋体"/>
          <w:b/>
          <w:bCs/>
          <w:sz w:val="28"/>
          <w:szCs w:val="21"/>
        </w:rPr>
      </w:pPr>
    </w:p>
    <w:p w14:paraId="163B4A2D">
      <w:pPr>
        <w:shd w:val="clear" w:color="auto" w:fill="FFFFFF"/>
        <w:snapToGrid w:val="0"/>
        <w:jc w:val="left"/>
        <w:rPr>
          <w:rFonts w:ascii="宋体" w:hAnsi="宋体" w:cs="宋体"/>
          <w:b/>
          <w:sz w:val="24"/>
        </w:rPr>
      </w:pPr>
      <w:r>
        <w:rPr>
          <w:rFonts w:hint="eastAsia" w:ascii="宋体" w:hAnsi="宋体" w:cs="宋体"/>
          <w:b/>
          <w:sz w:val="24"/>
        </w:rPr>
        <w:t>2.2.4投标人基本情况格式：</w:t>
      </w:r>
    </w:p>
    <w:p w14:paraId="56688EB8">
      <w:pPr>
        <w:tabs>
          <w:tab w:val="left" w:pos="2911"/>
          <w:tab w:val="center" w:pos="4216"/>
        </w:tabs>
        <w:jc w:val="center"/>
        <w:rPr>
          <w:rFonts w:ascii="宋体" w:hAnsi="宋体" w:cs="宋体"/>
          <w:b/>
          <w:bCs/>
          <w:sz w:val="36"/>
        </w:rPr>
      </w:pPr>
      <w:r>
        <w:rPr>
          <w:rFonts w:hint="eastAsia" w:hAnsi="宋体"/>
          <w:b/>
          <w:sz w:val="36"/>
          <w:szCs w:val="36"/>
        </w:rPr>
        <w:t>4.</w:t>
      </w:r>
      <w:r>
        <w:rPr>
          <w:rFonts w:hAnsi="宋体"/>
          <w:b/>
          <w:sz w:val="36"/>
          <w:szCs w:val="36"/>
        </w:rPr>
        <w:t>投标人基本情况一览表</w:t>
      </w:r>
    </w:p>
    <w:p w14:paraId="244950A8">
      <w:pPr>
        <w:pStyle w:val="29"/>
        <w:jc w:val="center"/>
        <w:rPr>
          <w:rFonts w:hAnsi="宋体" w:cs="Times New Roman"/>
          <w:b/>
        </w:rPr>
      </w:pPr>
      <w:r>
        <w:rPr>
          <w:rFonts w:hint="eastAsia" w:hAnsi="宋体" w:cs="Times New Roman"/>
          <w:b/>
        </w:rPr>
        <w:t xml:space="preserve">项目名称：                       项目编号：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160"/>
        <w:gridCol w:w="1179"/>
        <w:gridCol w:w="886"/>
        <w:gridCol w:w="1079"/>
        <w:gridCol w:w="1033"/>
        <w:gridCol w:w="538"/>
        <w:gridCol w:w="784"/>
        <w:gridCol w:w="805"/>
      </w:tblGrid>
      <w:tr w14:paraId="799E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0" w:type="dxa"/>
            <w:tcBorders>
              <w:top w:val="single" w:color="auto" w:sz="4" w:space="0"/>
              <w:left w:val="single" w:color="auto" w:sz="4" w:space="0"/>
              <w:bottom w:val="single" w:color="auto" w:sz="4" w:space="0"/>
              <w:right w:val="single" w:color="auto" w:sz="4" w:space="0"/>
            </w:tcBorders>
            <w:noWrap/>
            <w:vAlign w:val="center"/>
          </w:tcPr>
          <w:p w14:paraId="708F5367">
            <w:pPr>
              <w:adjustRightInd w:val="0"/>
              <w:snapToGrid w:val="0"/>
              <w:spacing w:line="0" w:lineRule="atLeast"/>
              <w:jc w:val="center"/>
              <w:rPr>
                <w:rFonts w:ascii="宋体" w:hAnsi="宋体"/>
                <w:sz w:val="24"/>
              </w:rPr>
            </w:pPr>
            <w:r>
              <w:rPr>
                <w:rFonts w:hint="eastAsia" w:ascii="宋体" w:hAnsi="宋体"/>
                <w:sz w:val="24"/>
              </w:rPr>
              <w:t>单位名称</w:t>
            </w:r>
          </w:p>
        </w:tc>
        <w:tc>
          <w:tcPr>
            <w:tcW w:w="2160" w:type="dxa"/>
            <w:tcBorders>
              <w:top w:val="single" w:color="auto" w:sz="4" w:space="0"/>
              <w:left w:val="single" w:color="auto" w:sz="4" w:space="0"/>
              <w:bottom w:val="single" w:color="auto" w:sz="4" w:space="0"/>
              <w:right w:val="single" w:color="auto" w:sz="4" w:space="0"/>
            </w:tcBorders>
            <w:noWrap/>
            <w:vAlign w:val="center"/>
          </w:tcPr>
          <w:p w14:paraId="7A2F5454">
            <w:pPr>
              <w:adjustRightInd w:val="0"/>
              <w:snapToGrid w:val="0"/>
              <w:spacing w:line="0" w:lineRule="atLeast"/>
              <w:jc w:val="center"/>
              <w:rPr>
                <w:rFonts w:ascii="宋体" w:hAnsi="宋体"/>
                <w:sz w:val="24"/>
              </w:rPr>
            </w:pPr>
          </w:p>
        </w:tc>
        <w:tc>
          <w:tcPr>
            <w:tcW w:w="1179"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112B84D">
            <w:pPr>
              <w:adjustRightInd w:val="0"/>
              <w:snapToGrid w:val="0"/>
              <w:spacing w:line="0" w:lineRule="atLeast"/>
              <w:jc w:val="center"/>
              <w:rPr>
                <w:rFonts w:ascii="宋体" w:hAnsi="宋体"/>
                <w:sz w:val="24"/>
              </w:rPr>
            </w:pPr>
            <w:r>
              <w:rPr>
                <w:rFonts w:hint="eastAsia" w:ascii="宋体" w:hAnsi="宋体"/>
                <w:sz w:val="24"/>
              </w:rPr>
              <w:t>单位地址</w:t>
            </w:r>
          </w:p>
        </w:tc>
        <w:tc>
          <w:tcPr>
            <w:tcW w:w="1965"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6191C249">
            <w:pPr>
              <w:adjustRightInd w:val="0"/>
              <w:snapToGrid w:val="0"/>
              <w:spacing w:line="0" w:lineRule="atLeast"/>
              <w:jc w:val="center"/>
              <w:rPr>
                <w:rFonts w:ascii="宋体" w:hAnsi="宋体"/>
                <w:sz w:val="24"/>
              </w:rPr>
            </w:pPr>
          </w:p>
        </w:tc>
        <w:tc>
          <w:tcPr>
            <w:tcW w:w="1571"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74B1716">
            <w:pPr>
              <w:adjustRightInd w:val="0"/>
              <w:snapToGrid w:val="0"/>
              <w:spacing w:line="0" w:lineRule="atLeast"/>
              <w:jc w:val="center"/>
              <w:rPr>
                <w:rFonts w:ascii="宋体" w:hAnsi="宋体"/>
                <w:sz w:val="24"/>
              </w:rPr>
            </w:pPr>
            <w:r>
              <w:rPr>
                <w:rFonts w:hint="eastAsia" w:ascii="宋体" w:hAnsi="宋体"/>
                <w:sz w:val="24"/>
              </w:rPr>
              <w:t>成立时间</w:t>
            </w:r>
          </w:p>
        </w:tc>
        <w:tc>
          <w:tcPr>
            <w:tcW w:w="1589"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A418BC7">
            <w:pPr>
              <w:adjustRightInd w:val="0"/>
              <w:snapToGrid w:val="0"/>
              <w:spacing w:line="0" w:lineRule="atLeast"/>
              <w:jc w:val="center"/>
              <w:rPr>
                <w:rFonts w:ascii="宋体" w:hAnsi="宋体"/>
                <w:sz w:val="24"/>
              </w:rPr>
            </w:pPr>
          </w:p>
        </w:tc>
      </w:tr>
      <w:tr w14:paraId="58D5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0" w:type="dxa"/>
            <w:tcBorders>
              <w:top w:val="single" w:color="auto" w:sz="4" w:space="0"/>
              <w:left w:val="single" w:color="auto" w:sz="4" w:space="0"/>
              <w:bottom w:val="single" w:color="auto" w:sz="4" w:space="0"/>
              <w:right w:val="single" w:color="auto" w:sz="4" w:space="0"/>
            </w:tcBorders>
            <w:noWrap/>
            <w:vAlign w:val="center"/>
          </w:tcPr>
          <w:p w14:paraId="627C239E">
            <w:pPr>
              <w:adjustRightInd w:val="0"/>
              <w:snapToGrid w:val="0"/>
              <w:spacing w:line="0" w:lineRule="atLeast"/>
              <w:jc w:val="center"/>
              <w:rPr>
                <w:rFonts w:ascii="宋体" w:hAnsi="宋体"/>
                <w:sz w:val="24"/>
              </w:rPr>
            </w:pPr>
            <w:r>
              <w:rPr>
                <w:rFonts w:hint="eastAsia" w:ascii="宋体" w:hAnsi="宋体"/>
                <w:sz w:val="24"/>
              </w:rPr>
              <w:t>注册</w:t>
            </w:r>
          </w:p>
          <w:p w14:paraId="176B9DE7">
            <w:pPr>
              <w:adjustRightInd w:val="0"/>
              <w:snapToGrid w:val="0"/>
              <w:spacing w:line="0" w:lineRule="atLeast"/>
              <w:jc w:val="center"/>
              <w:rPr>
                <w:rFonts w:ascii="宋体" w:hAnsi="宋体"/>
                <w:sz w:val="24"/>
              </w:rPr>
            </w:pPr>
            <w:r>
              <w:rPr>
                <w:rFonts w:hint="eastAsia" w:ascii="宋体" w:hAnsi="宋体"/>
                <w:sz w:val="24"/>
              </w:rPr>
              <w:t>资本</w:t>
            </w:r>
          </w:p>
        </w:tc>
        <w:tc>
          <w:tcPr>
            <w:tcW w:w="2160" w:type="dxa"/>
            <w:tcBorders>
              <w:top w:val="single" w:color="auto" w:sz="4" w:space="0"/>
              <w:left w:val="single" w:color="auto" w:sz="4" w:space="0"/>
              <w:bottom w:val="single" w:color="auto" w:sz="4" w:space="0"/>
              <w:right w:val="single" w:color="auto" w:sz="4" w:space="0"/>
            </w:tcBorders>
            <w:noWrap/>
            <w:vAlign w:val="center"/>
          </w:tcPr>
          <w:p w14:paraId="24AFF357">
            <w:pPr>
              <w:adjustRightInd w:val="0"/>
              <w:snapToGrid w:val="0"/>
              <w:spacing w:line="0" w:lineRule="atLeast"/>
              <w:jc w:val="center"/>
              <w:rPr>
                <w:rFonts w:ascii="宋体" w:hAnsi="宋体"/>
                <w:sz w:val="24"/>
              </w:rPr>
            </w:pPr>
          </w:p>
        </w:tc>
        <w:tc>
          <w:tcPr>
            <w:tcW w:w="1179"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7E51A956">
            <w:pPr>
              <w:adjustRightInd w:val="0"/>
              <w:snapToGrid w:val="0"/>
              <w:spacing w:line="0" w:lineRule="atLeast"/>
              <w:jc w:val="center"/>
              <w:rPr>
                <w:rFonts w:ascii="宋体" w:hAnsi="宋体"/>
                <w:sz w:val="24"/>
              </w:rPr>
            </w:pPr>
            <w:r>
              <w:rPr>
                <w:rFonts w:hint="eastAsia" w:ascii="宋体" w:hAnsi="宋体"/>
                <w:sz w:val="24"/>
              </w:rPr>
              <w:t>固定资产</w:t>
            </w:r>
          </w:p>
        </w:tc>
        <w:tc>
          <w:tcPr>
            <w:tcW w:w="1965"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883CE7A">
            <w:pPr>
              <w:adjustRightInd w:val="0"/>
              <w:snapToGrid w:val="0"/>
              <w:spacing w:line="0" w:lineRule="atLeast"/>
              <w:jc w:val="center"/>
              <w:rPr>
                <w:rFonts w:ascii="宋体" w:hAnsi="宋体"/>
                <w:sz w:val="24"/>
              </w:rPr>
            </w:pPr>
          </w:p>
        </w:tc>
        <w:tc>
          <w:tcPr>
            <w:tcW w:w="1571"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9511F18">
            <w:pPr>
              <w:adjustRightInd w:val="0"/>
              <w:snapToGrid w:val="0"/>
              <w:spacing w:line="0" w:lineRule="atLeast"/>
              <w:jc w:val="center"/>
              <w:rPr>
                <w:rFonts w:ascii="宋体" w:hAnsi="宋体"/>
                <w:sz w:val="24"/>
              </w:rPr>
            </w:pPr>
            <w:r>
              <w:rPr>
                <w:rFonts w:hint="eastAsia" w:ascii="宋体" w:hAnsi="宋体"/>
                <w:sz w:val="24"/>
              </w:rPr>
              <w:t>办公用房规模(注明自有、租用)</w:t>
            </w:r>
          </w:p>
        </w:tc>
        <w:tc>
          <w:tcPr>
            <w:tcW w:w="1589"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746E9C81">
            <w:pPr>
              <w:adjustRightInd w:val="0"/>
              <w:snapToGrid w:val="0"/>
              <w:spacing w:line="0" w:lineRule="atLeast"/>
              <w:jc w:val="center"/>
              <w:rPr>
                <w:rFonts w:ascii="宋体" w:hAnsi="宋体"/>
                <w:sz w:val="24"/>
              </w:rPr>
            </w:pPr>
          </w:p>
        </w:tc>
      </w:tr>
      <w:tr w14:paraId="220E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Merge w:val="restart"/>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8301527">
            <w:pPr>
              <w:adjustRightInd w:val="0"/>
              <w:snapToGrid w:val="0"/>
              <w:spacing w:line="0" w:lineRule="atLeast"/>
              <w:jc w:val="center"/>
              <w:rPr>
                <w:rFonts w:ascii="宋体" w:hAnsi="宋体"/>
                <w:sz w:val="24"/>
              </w:rPr>
            </w:pPr>
            <w:r>
              <w:rPr>
                <w:rFonts w:hint="eastAsia" w:ascii="宋体" w:hAnsi="宋体"/>
                <w:sz w:val="24"/>
              </w:rPr>
              <w:t>资质</w:t>
            </w:r>
          </w:p>
          <w:p w14:paraId="76026A2A">
            <w:pPr>
              <w:adjustRightInd w:val="0"/>
              <w:snapToGrid w:val="0"/>
              <w:spacing w:line="0" w:lineRule="atLeast"/>
              <w:jc w:val="center"/>
              <w:rPr>
                <w:rFonts w:ascii="宋体" w:hAnsi="宋体"/>
                <w:sz w:val="24"/>
              </w:rPr>
            </w:pPr>
            <w:r>
              <w:rPr>
                <w:rFonts w:hint="eastAsia" w:ascii="宋体" w:hAnsi="宋体"/>
                <w:sz w:val="24"/>
              </w:rPr>
              <w:t>情况</w:t>
            </w:r>
          </w:p>
        </w:tc>
        <w:tc>
          <w:tcPr>
            <w:tcW w:w="2160"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2755FB0">
            <w:pPr>
              <w:adjustRightInd w:val="0"/>
              <w:snapToGrid w:val="0"/>
              <w:spacing w:line="0" w:lineRule="atLeast"/>
              <w:jc w:val="center"/>
              <w:rPr>
                <w:rFonts w:ascii="宋体" w:hAnsi="宋体"/>
                <w:sz w:val="24"/>
              </w:rPr>
            </w:pPr>
            <w:r>
              <w:rPr>
                <w:rFonts w:hint="eastAsia" w:ascii="宋体" w:hAnsi="宋体"/>
                <w:sz w:val="24"/>
              </w:rPr>
              <w:t>资质名称</w:t>
            </w:r>
          </w:p>
        </w:tc>
        <w:tc>
          <w:tcPr>
            <w:tcW w:w="2065"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D9A10DF">
            <w:pPr>
              <w:adjustRightInd w:val="0"/>
              <w:snapToGrid w:val="0"/>
              <w:spacing w:line="0" w:lineRule="atLeast"/>
              <w:jc w:val="center"/>
              <w:rPr>
                <w:rFonts w:ascii="宋体" w:hAnsi="宋体"/>
                <w:sz w:val="24"/>
              </w:rPr>
            </w:pPr>
            <w:r>
              <w:rPr>
                <w:rFonts w:hint="eastAsia" w:ascii="宋体" w:hAnsi="宋体"/>
                <w:sz w:val="24"/>
              </w:rPr>
              <w:t>颁布部门</w:t>
            </w:r>
          </w:p>
        </w:tc>
        <w:tc>
          <w:tcPr>
            <w:tcW w:w="211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C0917ED">
            <w:pPr>
              <w:adjustRightInd w:val="0"/>
              <w:snapToGrid w:val="0"/>
              <w:spacing w:line="0" w:lineRule="atLeast"/>
              <w:jc w:val="center"/>
              <w:rPr>
                <w:rFonts w:ascii="宋体" w:hAnsi="宋体"/>
                <w:sz w:val="24"/>
              </w:rPr>
            </w:pPr>
            <w:r>
              <w:rPr>
                <w:rFonts w:hint="eastAsia" w:ascii="宋体" w:hAnsi="宋体"/>
                <w:sz w:val="24"/>
              </w:rPr>
              <w:t>资质等级（如有）</w:t>
            </w:r>
          </w:p>
        </w:tc>
        <w:tc>
          <w:tcPr>
            <w:tcW w:w="132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8FB40F4">
            <w:pPr>
              <w:adjustRightInd w:val="0"/>
              <w:snapToGrid w:val="0"/>
              <w:spacing w:line="0" w:lineRule="atLeast"/>
              <w:jc w:val="center"/>
              <w:rPr>
                <w:rFonts w:ascii="宋体" w:hAnsi="宋体"/>
                <w:sz w:val="24"/>
              </w:rPr>
            </w:pPr>
            <w:r>
              <w:rPr>
                <w:rFonts w:hint="eastAsia" w:ascii="宋体" w:hAnsi="宋体"/>
                <w:sz w:val="24"/>
              </w:rPr>
              <w:t>颁布时间</w:t>
            </w:r>
          </w:p>
        </w:tc>
        <w:tc>
          <w:tcPr>
            <w:tcW w:w="80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70C9BBC2">
            <w:pPr>
              <w:adjustRightInd w:val="0"/>
              <w:snapToGrid w:val="0"/>
              <w:spacing w:line="0" w:lineRule="atLeast"/>
              <w:jc w:val="center"/>
              <w:rPr>
                <w:rFonts w:ascii="宋体" w:hAnsi="宋体"/>
                <w:sz w:val="24"/>
              </w:rPr>
            </w:pPr>
            <w:r>
              <w:rPr>
                <w:rFonts w:hint="eastAsia" w:ascii="宋体" w:hAnsi="宋体"/>
                <w:sz w:val="24"/>
              </w:rPr>
              <w:t>附件</w:t>
            </w:r>
          </w:p>
          <w:p w14:paraId="5C433AE1">
            <w:pPr>
              <w:adjustRightInd w:val="0"/>
              <w:snapToGrid w:val="0"/>
              <w:spacing w:line="0" w:lineRule="atLeast"/>
              <w:jc w:val="center"/>
              <w:rPr>
                <w:rFonts w:ascii="宋体" w:hAnsi="宋体"/>
                <w:sz w:val="24"/>
              </w:rPr>
            </w:pPr>
            <w:r>
              <w:rPr>
                <w:rFonts w:hint="eastAsia" w:ascii="宋体" w:hAnsi="宋体"/>
                <w:sz w:val="24"/>
              </w:rPr>
              <w:t>页码</w:t>
            </w:r>
          </w:p>
        </w:tc>
      </w:tr>
      <w:tr w14:paraId="24A0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3B1AB3EE">
            <w:pPr>
              <w:widowControl/>
              <w:spacing w:line="0" w:lineRule="atLeast"/>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09DCA07">
            <w:pPr>
              <w:adjustRightInd w:val="0"/>
              <w:snapToGrid w:val="0"/>
              <w:spacing w:line="0" w:lineRule="atLeast"/>
              <w:jc w:val="center"/>
              <w:rPr>
                <w:rFonts w:ascii="宋体" w:hAnsi="宋体"/>
                <w:sz w:val="24"/>
              </w:rPr>
            </w:pPr>
          </w:p>
        </w:tc>
        <w:tc>
          <w:tcPr>
            <w:tcW w:w="2065"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A37BB46">
            <w:pPr>
              <w:adjustRightInd w:val="0"/>
              <w:snapToGrid w:val="0"/>
              <w:spacing w:line="0" w:lineRule="atLeast"/>
              <w:jc w:val="center"/>
              <w:rPr>
                <w:rFonts w:ascii="宋体" w:hAnsi="宋体"/>
                <w:sz w:val="24"/>
              </w:rPr>
            </w:pPr>
          </w:p>
        </w:tc>
        <w:tc>
          <w:tcPr>
            <w:tcW w:w="211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D53CE69">
            <w:pPr>
              <w:adjustRightInd w:val="0"/>
              <w:snapToGrid w:val="0"/>
              <w:spacing w:line="0" w:lineRule="atLeast"/>
              <w:jc w:val="center"/>
              <w:rPr>
                <w:rFonts w:ascii="宋体" w:hAnsi="宋体"/>
                <w:sz w:val="24"/>
              </w:rPr>
            </w:pPr>
          </w:p>
        </w:tc>
        <w:tc>
          <w:tcPr>
            <w:tcW w:w="132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11B75F8">
            <w:pPr>
              <w:adjustRightInd w:val="0"/>
              <w:snapToGrid w:val="0"/>
              <w:spacing w:line="0" w:lineRule="atLeast"/>
              <w:jc w:val="center"/>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379A2C7">
            <w:pPr>
              <w:adjustRightInd w:val="0"/>
              <w:snapToGrid w:val="0"/>
              <w:spacing w:line="0" w:lineRule="atLeast"/>
              <w:jc w:val="center"/>
              <w:rPr>
                <w:rFonts w:ascii="宋体" w:hAnsi="宋体"/>
                <w:sz w:val="24"/>
              </w:rPr>
            </w:pPr>
          </w:p>
        </w:tc>
      </w:tr>
      <w:tr w14:paraId="575D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5E731350">
            <w:pPr>
              <w:widowControl/>
              <w:spacing w:line="0" w:lineRule="atLeast"/>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3F9D832">
            <w:pPr>
              <w:adjustRightInd w:val="0"/>
              <w:snapToGrid w:val="0"/>
              <w:spacing w:line="0" w:lineRule="atLeast"/>
              <w:jc w:val="center"/>
              <w:rPr>
                <w:rFonts w:ascii="宋体" w:hAnsi="宋体"/>
                <w:sz w:val="24"/>
              </w:rPr>
            </w:pPr>
          </w:p>
        </w:tc>
        <w:tc>
          <w:tcPr>
            <w:tcW w:w="2065"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4AE6EE6">
            <w:pPr>
              <w:adjustRightInd w:val="0"/>
              <w:snapToGrid w:val="0"/>
              <w:spacing w:line="0" w:lineRule="atLeast"/>
              <w:jc w:val="center"/>
              <w:rPr>
                <w:rFonts w:ascii="宋体" w:hAnsi="宋体"/>
                <w:sz w:val="24"/>
              </w:rPr>
            </w:pPr>
          </w:p>
        </w:tc>
        <w:tc>
          <w:tcPr>
            <w:tcW w:w="211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2E31B11">
            <w:pPr>
              <w:adjustRightInd w:val="0"/>
              <w:snapToGrid w:val="0"/>
              <w:spacing w:line="0" w:lineRule="atLeast"/>
              <w:jc w:val="center"/>
              <w:rPr>
                <w:rFonts w:ascii="宋体" w:hAnsi="宋体"/>
                <w:sz w:val="24"/>
              </w:rPr>
            </w:pPr>
          </w:p>
        </w:tc>
        <w:tc>
          <w:tcPr>
            <w:tcW w:w="132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CD4F757">
            <w:pPr>
              <w:adjustRightInd w:val="0"/>
              <w:snapToGrid w:val="0"/>
              <w:spacing w:line="0" w:lineRule="atLeast"/>
              <w:jc w:val="center"/>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78D4405D">
            <w:pPr>
              <w:adjustRightInd w:val="0"/>
              <w:snapToGrid w:val="0"/>
              <w:spacing w:line="0" w:lineRule="atLeast"/>
              <w:jc w:val="center"/>
              <w:rPr>
                <w:rFonts w:ascii="宋体" w:hAnsi="宋体"/>
                <w:sz w:val="24"/>
              </w:rPr>
            </w:pPr>
          </w:p>
        </w:tc>
      </w:tr>
      <w:tr w14:paraId="47EE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03752587">
            <w:pPr>
              <w:widowControl/>
              <w:spacing w:line="0" w:lineRule="atLeast"/>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9980FA6">
            <w:pPr>
              <w:adjustRightInd w:val="0"/>
              <w:snapToGrid w:val="0"/>
              <w:spacing w:line="0" w:lineRule="atLeast"/>
              <w:jc w:val="center"/>
              <w:rPr>
                <w:rFonts w:ascii="宋体" w:hAnsi="宋体"/>
                <w:sz w:val="24"/>
              </w:rPr>
            </w:pPr>
          </w:p>
        </w:tc>
        <w:tc>
          <w:tcPr>
            <w:tcW w:w="2065"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985295E">
            <w:pPr>
              <w:adjustRightInd w:val="0"/>
              <w:snapToGrid w:val="0"/>
              <w:spacing w:line="0" w:lineRule="atLeast"/>
              <w:jc w:val="center"/>
              <w:rPr>
                <w:rFonts w:ascii="宋体" w:hAnsi="宋体"/>
                <w:sz w:val="24"/>
              </w:rPr>
            </w:pPr>
          </w:p>
        </w:tc>
        <w:tc>
          <w:tcPr>
            <w:tcW w:w="211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0C21C86">
            <w:pPr>
              <w:adjustRightInd w:val="0"/>
              <w:snapToGrid w:val="0"/>
              <w:spacing w:line="0" w:lineRule="atLeast"/>
              <w:jc w:val="center"/>
              <w:rPr>
                <w:rFonts w:ascii="宋体" w:hAnsi="宋体"/>
                <w:sz w:val="24"/>
              </w:rPr>
            </w:pPr>
          </w:p>
        </w:tc>
        <w:tc>
          <w:tcPr>
            <w:tcW w:w="132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7BC5EB7">
            <w:pPr>
              <w:adjustRightInd w:val="0"/>
              <w:snapToGrid w:val="0"/>
              <w:spacing w:line="0" w:lineRule="atLeast"/>
              <w:jc w:val="center"/>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E277435">
            <w:pPr>
              <w:adjustRightInd w:val="0"/>
              <w:snapToGrid w:val="0"/>
              <w:spacing w:line="0" w:lineRule="atLeast"/>
              <w:jc w:val="center"/>
              <w:rPr>
                <w:rFonts w:ascii="宋体" w:hAnsi="宋体"/>
                <w:sz w:val="24"/>
              </w:rPr>
            </w:pPr>
          </w:p>
        </w:tc>
      </w:tr>
      <w:tr w14:paraId="05A7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5A94FFFF">
            <w:pPr>
              <w:widowControl/>
              <w:spacing w:line="0" w:lineRule="atLeast"/>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6832FAD">
            <w:pPr>
              <w:adjustRightInd w:val="0"/>
              <w:snapToGrid w:val="0"/>
              <w:spacing w:line="0" w:lineRule="atLeast"/>
              <w:jc w:val="center"/>
              <w:rPr>
                <w:rFonts w:ascii="宋体" w:hAnsi="宋体"/>
                <w:sz w:val="24"/>
              </w:rPr>
            </w:pPr>
          </w:p>
        </w:tc>
        <w:tc>
          <w:tcPr>
            <w:tcW w:w="2065"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AF4F43A">
            <w:pPr>
              <w:adjustRightInd w:val="0"/>
              <w:snapToGrid w:val="0"/>
              <w:spacing w:line="0" w:lineRule="atLeast"/>
              <w:jc w:val="center"/>
              <w:rPr>
                <w:rFonts w:ascii="宋体" w:hAnsi="宋体"/>
                <w:sz w:val="24"/>
              </w:rPr>
            </w:pPr>
          </w:p>
        </w:tc>
        <w:tc>
          <w:tcPr>
            <w:tcW w:w="211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22EE89B2">
            <w:pPr>
              <w:adjustRightInd w:val="0"/>
              <w:snapToGrid w:val="0"/>
              <w:spacing w:line="0" w:lineRule="atLeast"/>
              <w:jc w:val="center"/>
              <w:rPr>
                <w:rFonts w:ascii="宋体" w:hAnsi="宋体"/>
                <w:sz w:val="24"/>
              </w:rPr>
            </w:pPr>
          </w:p>
        </w:tc>
        <w:tc>
          <w:tcPr>
            <w:tcW w:w="132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87DF362">
            <w:pPr>
              <w:adjustRightInd w:val="0"/>
              <w:snapToGrid w:val="0"/>
              <w:spacing w:line="0" w:lineRule="atLeast"/>
              <w:jc w:val="center"/>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5B19656">
            <w:pPr>
              <w:adjustRightInd w:val="0"/>
              <w:snapToGrid w:val="0"/>
              <w:spacing w:line="0" w:lineRule="atLeast"/>
              <w:jc w:val="center"/>
              <w:rPr>
                <w:rFonts w:ascii="宋体" w:hAnsi="宋体"/>
                <w:sz w:val="24"/>
              </w:rPr>
            </w:pPr>
          </w:p>
        </w:tc>
      </w:tr>
      <w:tr w14:paraId="06F6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vMerge w:val="restart"/>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9A62598">
            <w:pPr>
              <w:adjustRightInd w:val="0"/>
              <w:snapToGrid w:val="0"/>
              <w:spacing w:line="0" w:lineRule="atLeast"/>
              <w:jc w:val="center"/>
              <w:rPr>
                <w:rFonts w:ascii="宋体" w:hAnsi="宋体"/>
                <w:sz w:val="24"/>
              </w:rPr>
            </w:pPr>
            <w:r>
              <w:rPr>
                <w:rFonts w:hint="eastAsia" w:ascii="宋体" w:hAnsi="宋体"/>
                <w:sz w:val="24"/>
              </w:rPr>
              <w:t>从事本项目服务专业人员</w:t>
            </w:r>
          </w:p>
          <w:p w14:paraId="151D02F1">
            <w:pPr>
              <w:adjustRightInd w:val="0"/>
              <w:snapToGrid w:val="0"/>
              <w:spacing w:line="0" w:lineRule="atLeast"/>
              <w:jc w:val="center"/>
              <w:rPr>
                <w:rFonts w:ascii="宋体" w:hAnsi="宋体"/>
                <w:sz w:val="24"/>
              </w:rPr>
            </w:pPr>
            <w:r>
              <w:rPr>
                <w:rFonts w:hint="eastAsia" w:ascii="宋体" w:hAnsi="宋体"/>
                <w:sz w:val="24"/>
              </w:rPr>
              <w:t>情况</w:t>
            </w:r>
          </w:p>
          <w:p w14:paraId="762E42DB">
            <w:pPr>
              <w:adjustRightInd w:val="0"/>
              <w:snapToGrid w:val="0"/>
              <w:spacing w:line="0" w:lineRule="atLeast"/>
              <w:jc w:val="center"/>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11C3EB9C">
            <w:pPr>
              <w:adjustRightInd w:val="0"/>
              <w:snapToGrid w:val="0"/>
              <w:spacing w:line="0" w:lineRule="atLeast"/>
              <w:jc w:val="center"/>
              <w:rPr>
                <w:rFonts w:ascii="宋体" w:hAnsi="宋体"/>
                <w:sz w:val="24"/>
              </w:rPr>
            </w:pPr>
            <w:r>
              <w:rPr>
                <w:rFonts w:hint="eastAsia" w:ascii="宋体" w:hAnsi="宋体"/>
                <w:sz w:val="24"/>
              </w:rPr>
              <w:t>合计人数</w:t>
            </w:r>
          </w:p>
        </w:tc>
        <w:tc>
          <w:tcPr>
            <w:tcW w:w="2065"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4FE7F5B">
            <w:pPr>
              <w:adjustRightInd w:val="0"/>
              <w:snapToGrid w:val="0"/>
              <w:spacing w:line="0" w:lineRule="atLeast"/>
              <w:jc w:val="center"/>
              <w:rPr>
                <w:rFonts w:ascii="宋体" w:hAnsi="宋体"/>
                <w:sz w:val="24"/>
              </w:rPr>
            </w:pPr>
            <w:r>
              <w:rPr>
                <w:rFonts w:hint="eastAsia" w:ascii="宋体" w:hAnsi="宋体"/>
                <w:sz w:val="24"/>
              </w:rPr>
              <w:t>高级职称</w:t>
            </w:r>
          </w:p>
          <w:p w14:paraId="1B07812A">
            <w:pPr>
              <w:adjustRightInd w:val="0"/>
              <w:snapToGrid w:val="0"/>
              <w:spacing w:line="0" w:lineRule="atLeast"/>
              <w:jc w:val="center"/>
              <w:rPr>
                <w:rFonts w:ascii="宋体" w:hAnsi="宋体"/>
                <w:sz w:val="24"/>
              </w:rPr>
            </w:pPr>
            <w:r>
              <w:rPr>
                <w:rFonts w:hint="eastAsia" w:ascii="宋体" w:hAnsi="宋体"/>
                <w:sz w:val="24"/>
              </w:rPr>
              <w:t>人数</w:t>
            </w:r>
          </w:p>
        </w:tc>
        <w:tc>
          <w:tcPr>
            <w:tcW w:w="211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09ED0EA7">
            <w:pPr>
              <w:adjustRightInd w:val="0"/>
              <w:snapToGrid w:val="0"/>
              <w:spacing w:line="0" w:lineRule="atLeast"/>
              <w:jc w:val="center"/>
              <w:rPr>
                <w:rFonts w:ascii="宋体" w:hAnsi="宋体"/>
                <w:sz w:val="24"/>
              </w:rPr>
            </w:pPr>
            <w:r>
              <w:rPr>
                <w:rFonts w:hint="eastAsia" w:ascii="宋体" w:hAnsi="宋体"/>
                <w:sz w:val="24"/>
              </w:rPr>
              <w:t>中级职称</w:t>
            </w:r>
          </w:p>
          <w:p w14:paraId="1E5104C1">
            <w:pPr>
              <w:adjustRightInd w:val="0"/>
              <w:snapToGrid w:val="0"/>
              <w:spacing w:line="0" w:lineRule="atLeast"/>
              <w:jc w:val="center"/>
              <w:rPr>
                <w:rFonts w:ascii="宋体" w:hAnsi="宋体"/>
                <w:sz w:val="24"/>
              </w:rPr>
            </w:pPr>
            <w:r>
              <w:rPr>
                <w:rFonts w:hint="eastAsia" w:ascii="宋体" w:hAnsi="宋体"/>
                <w:sz w:val="24"/>
              </w:rPr>
              <w:t>人数</w:t>
            </w:r>
          </w:p>
        </w:tc>
        <w:tc>
          <w:tcPr>
            <w:tcW w:w="2127"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1FDDC42C">
            <w:pPr>
              <w:adjustRightInd w:val="0"/>
              <w:snapToGrid w:val="0"/>
              <w:spacing w:line="0" w:lineRule="atLeast"/>
              <w:jc w:val="center"/>
              <w:rPr>
                <w:rFonts w:ascii="宋体" w:hAnsi="宋体"/>
                <w:sz w:val="24"/>
              </w:rPr>
            </w:pPr>
            <w:r>
              <w:rPr>
                <w:rFonts w:hint="eastAsia" w:ascii="宋体" w:hAnsi="宋体"/>
                <w:sz w:val="24"/>
              </w:rPr>
              <w:t>具有专业资格</w:t>
            </w:r>
          </w:p>
          <w:p w14:paraId="581EAFB8">
            <w:pPr>
              <w:adjustRightInd w:val="0"/>
              <w:snapToGrid w:val="0"/>
              <w:spacing w:line="0" w:lineRule="atLeast"/>
              <w:jc w:val="center"/>
              <w:rPr>
                <w:rFonts w:ascii="宋体" w:hAnsi="宋体"/>
                <w:sz w:val="24"/>
              </w:rPr>
            </w:pPr>
            <w:r>
              <w:rPr>
                <w:rFonts w:hint="eastAsia" w:ascii="宋体" w:hAnsi="宋体"/>
                <w:sz w:val="24"/>
              </w:rPr>
              <w:t>人数</w:t>
            </w:r>
          </w:p>
        </w:tc>
      </w:tr>
      <w:tr w14:paraId="7160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6AA6E693">
            <w:pPr>
              <w:widowControl/>
              <w:spacing w:line="0" w:lineRule="atLeast"/>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3F9F7F6D">
            <w:pPr>
              <w:adjustRightInd w:val="0"/>
              <w:snapToGrid w:val="0"/>
              <w:spacing w:line="0" w:lineRule="atLeast"/>
              <w:jc w:val="center"/>
              <w:rPr>
                <w:rFonts w:ascii="宋体" w:hAnsi="宋体"/>
                <w:sz w:val="24"/>
              </w:rPr>
            </w:pPr>
          </w:p>
        </w:tc>
        <w:tc>
          <w:tcPr>
            <w:tcW w:w="2065"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788CD318">
            <w:pPr>
              <w:adjustRightInd w:val="0"/>
              <w:snapToGrid w:val="0"/>
              <w:spacing w:line="0" w:lineRule="atLeast"/>
              <w:jc w:val="center"/>
              <w:rPr>
                <w:rFonts w:ascii="宋体" w:hAnsi="宋体"/>
                <w:sz w:val="24"/>
              </w:rPr>
            </w:pPr>
          </w:p>
        </w:tc>
        <w:tc>
          <w:tcPr>
            <w:tcW w:w="2112" w:type="dxa"/>
            <w:gridSpan w:val="2"/>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5D12B73B">
            <w:pPr>
              <w:adjustRightInd w:val="0"/>
              <w:snapToGrid w:val="0"/>
              <w:spacing w:line="0" w:lineRule="atLeast"/>
              <w:jc w:val="center"/>
              <w:rPr>
                <w:rFonts w:ascii="宋体" w:hAnsi="宋体"/>
                <w:sz w:val="24"/>
              </w:rPr>
            </w:pPr>
          </w:p>
        </w:tc>
        <w:tc>
          <w:tcPr>
            <w:tcW w:w="2127" w:type="dxa"/>
            <w:gridSpan w:val="3"/>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E35C652">
            <w:pPr>
              <w:adjustRightInd w:val="0"/>
              <w:snapToGrid w:val="0"/>
              <w:spacing w:line="0" w:lineRule="atLeast"/>
              <w:jc w:val="center"/>
              <w:rPr>
                <w:rFonts w:ascii="宋体" w:hAnsi="宋体"/>
                <w:sz w:val="24"/>
              </w:rPr>
            </w:pPr>
          </w:p>
        </w:tc>
      </w:tr>
      <w:tr w14:paraId="0B16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170"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14:paraId="4F128864">
            <w:pPr>
              <w:adjustRightInd w:val="0"/>
              <w:snapToGrid w:val="0"/>
              <w:spacing w:line="0" w:lineRule="atLeast"/>
              <w:jc w:val="center"/>
              <w:rPr>
                <w:rFonts w:ascii="宋体" w:hAnsi="宋体"/>
                <w:sz w:val="24"/>
              </w:rPr>
            </w:pPr>
            <w:r>
              <w:rPr>
                <w:rFonts w:hint="eastAsia" w:ascii="宋体" w:hAnsi="宋体"/>
                <w:sz w:val="24"/>
              </w:rPr>
              <w:t>其他</w:t>
            </w:r>
          </w:p>
          <w:p w14:paraId="5172E53E">
            <w:pPr>
              <w:adjustRightInd w:val="0"/>
              <w:snapToGrid w:val="0"/>
              <w:spacing w:line="0" w:lineRule="atLeast"/>
              <w:jc w:val="center"/>
              <w:rPr>
                <w:rFonts w:ascii="宋体" w:hAnsi="宋体"/>
                <w:sz w:val="24"/>
              </w:rPr>
            </w:pPr>
            <w:r>
              <w:rPr>
                <w:rFonts w:hint="eastAsia" w:ascii="宋体" w:hAnsi="宋体"/>
                <w:sz w:val="24"/>
              </w:rPr>
              <w:t>情况</w:t>
            </w:r>
          </w:p>
        </w:tc>
        <w:tc>
          <w:tcPr>
            <w:tcW w:w="8464" w:type="dxa"/>
            <w:gridSpan w:val="8"/>
            <w:tcBorders>
              <w:top w:val="single" w:color="auto" w:sz="4" w:space="0"/>
              <w:left w:val="single" w:color="auto" w:sz="4" w:space="0"/>
              <w:right w:val="single" w:color="auto" w:sz="4" w:space="0"/>
            </w:tcBorders>
            <w:noWrap/>
            <w:tcMar>
              <w:top w:w="0" w:type="dxa"/>
              <w:left w:w="28" w:type="dxa"/>
              <w:bottom w:w="0" w:type="dxa"/>
              <w:right w:w="28" w:type="dxa"/>
            </w:tcMar>
            <w:vAlign w:val="center"/>
          </w:tcPr>
          <w:p w14:paraId="0FA73228">
            <w:pPr>
              <w:adjustRightInd w:val="0"/>
              <w:snapToGrid w:val="0"/>
              <w:spacing w:line="0" w:lineRule="atLeast"/>
              <w:jc w:val="left"/>
              <w:rPr>
                <w:rFonts w:ascii="宋体" w:hAnsi="宋体"/>
                <w:sz w:val="24"/>
              </w:rPr>
            </w:pPr>
            <w:r>
              <w:rPr>
                <w:rFonts w:hint="eastAsia" w:ascii="宋体" w:hAnsi="宋体"/>
                <w:sz w:val="24"/>
              </w:rPr>
              <w:t>注:荣誉、业绩等</w:t>
            </w:r>
          </w:p>
        </w:tc>
      </w:tr>
    </w:tbl>
    <w:p w14:paraId="1D491BD0">
      <w:pPr>
        <w:shd w:val="clear" w:color="auto" w:fill="FFFFFF"/>
        <w:snapToGrid w:val="0"/>
        <w:jc w:val="left"/>
        <w:rPr>
          <w:rFonts w:hAnsi="宋体"/>
          <w:b/>
        </w:rPr>
      </w:pPr>
    </w:p>
    <w:p w14:paraId="2D8BC137">
      <w:pPr>
        <w:shd w:val="clear" w:color="auto" w:fill="FFFFFF"/>
        <w:snapToGrid w:val="0"/>
        <w:jc w:val="left"/>
        <w:rPr>
          <w:rFonts w:hAnsi="宋体"/>
          <w:b/>
        </w:rPr>
      </w:pPr>
    </w:p>
    <w:p w14:paraId="5E54964E">
      <w:pPr>
        <w:shd w:val="clear" w:color="auto" w:fill="FFFFFF"/>
        <w:snapToGrid w:val="0"/>
        <w:jc w:val="left"/>
        <w:rPr>
          <w:rFonts w:hAnsi="宋体"/>
          <w:b/>
        </w:rPr>
      </w:pPr>
    </w:p>
    <w:p w14:paraId="1FD1C00C">
      <w:pPr>
        <w:autoSpaceDE w:val="0"/>
        <w:autoSpaceDN w:val="0"/>
        <w:adjustRightInd w:val="0"/>
        <w:ind w:firstLine="3588" w:firstLineChars="1489"/>
        <w:rPr>
          <w:rFonts w:ascii="宋体" w:hAnsi="宋体"/>
          <w:b/>
          <w:kern w:val="0"/>
          <w:sz w:val="24"/>
          <w:lang w:val="zh-CN"/>
        </w:rPr>
      </w:pPr>
      <w:r>
        <w:rPr>
          <w:rFonts w:ascii="宋体" w:hAnsi="宋体"/>
          <w:b/>
          <w:kern w:val="0"/>
          <w:sz w:val="24"/>
          <w:lang w:val="zh-CN"/>
        </w:rPr>
        <w:t>投标人（公章）：</w:t>
      </w:r>
    </w:p>
    <w:p w14:paraId="3977F566">
      <w:pPr>
        <w:autoSpaceDE w:val="0"/>
        <w:autoSpaceDN w:val="0"/>
        <w:adjustRightInd w:val="0"/>
        <w:ind w:firstLine="3588" w:firstLineChars="1489"/>
        <w:rPr>
          <w:rFonts w:ascii="宋体" w:hAnsi="宋体"/>
          <w:b/>
          <w:kern w:val="0"/>
          <w:sz w:val="24"/>
          <w:lang w:val="zh-CN"/>
        </w:rPr>
      </w:pPr>
      <w:r>
        <w:rPr>
          <w:rFonts w:ascii="宋体" w:hAnsi="宋体"/>
          <w:b/>
          <w:kern w:val="0"/>
          <w:sz w:val="24"/>
          <w:lang w:val="zh-CN"/>
        </w:rPr>
        <w:t>法定代表人或授权委托人（签字</w:t>
      </w:r>
      <w:r>
        <w:rPr>
          <w:rFonts w:hint="eastAsia" w:ascii="宋体" w:hAnsi="宋体"/>
          <w:b/>
          <w:kern w:val="0"/>
          <w:sz w:val="24"/>
          <w:lang w:val="zh-CN"/>
        </w:rPr>
        <w:t>或盖章</w:t>
      </w:r>
      <w:r>
        <w:rPr>
          <w:rFonts w:ascii="宋体" w:hAnsi="宋体"/>
          <w:b/>
          <w:kern w:val="0"/>
          <w:sz w:val="24"/>
          <w:lang w:val="zh-CN"/>
        </w:rPr>
        <w:t>）：</w:t>
      </w:r>
    </w:p>
    <w:p w14:paraId="6A150ED8">
      <w:pPr>
        <w:ind w:firstLine="241" w:firstLineChars="100"/>
        <w:jc w:val="center"/>
        <w:rPr>
          <w:rFonts w:ascii="宋体" w:hAnsi="宋体"/>
          <w:b/>
          <w:kern w:val="0"/>
          <w:sz w:val="24"/>
          <w:lang w:val="zh-CN"/>
        </w:rPr>
      </w:pPr>
      <w:r>
        <w:rPr>
          <w:rFonts w:ascii="宋体" w:hAnsi="宋体"/>
          <w:b/>
          <w:kern w:val="0"/>
          <w:sz w:val="24"/>
          <w:lang w:val="zh-CN"/>
        </w:rPr>
        <w:t>日期：202</w:t>
      </w:r>
      <w:r>
        <w:rPr>
          <w:rFonts w:hint="eastAsia" w:ascii="宋体" w:hAnsi="宋体"/>
          <w:b/>
          <w:kern w:val="0"/>
          <w:sz w:val="24"/>
        </w:rPr>
        <w:t>4</w:t>
      </w:r>
      <w:r>
        <w:rPr>
          <w:rFonts w:ascii="宋体" w:hAnsi="宋体"/>
          <w:b/>
          <w:kern w:val="0"/>
          <w:sz w:val="24"/>
          <w:lang w:val="zh-CN"/>
        </w:rPr>
        <w:t xml:space="preserve"> 年  月</w:t>
      </w:r>
    </w:p>
    <w:p w14:paraId="44FAEFD7">
      <w:pPr>
        <w:adjustRightInd w:val="0"/>
        <w:snapToGrid w:val="0"/>
        <w:rPr>
          <w:rFonts w:ascii="宋体" w:hAnsi="宋体"/>
          <w:b/>
          <w:bCs/>
          <w:sz w:val="28"/>
          <w:szCs w:val="21"/>
        </w:rPr>
      </w:pPr>
    </w:p>
    <w:p w14:paraId="4AB2B913">
      <w:pPr>
        <w:adjustRightInd w:val="0"/>
        <w:snapToGrid w:val="0"/>
        <w:rPr>
          <w:rFonts w:ascii="宋体" w:hAnsi="宋体"/>
          <w:b/>
          <w:bCs/>
          <w:sz w:val="28"/>
          <w:szCs w:val="21"/>
        </w:rPr>
      </w:pPr>
    </w:p>
    <w:p w14:paraId="5B458A3B">
      <w:pPr>
        <w:adjustRightInd w:val="0"/>
        <w:snapToGrid w:val="0"/>
        <w:rPr>
          <w:rFonts w:ascii="宋体" w:hAnsi="宋体"/>
          <w:b/>
          <w:bCs/>
          <w:sz w:val="28"/>
          <w:szCs w:val="21"/>
        </w:rPr>
      </w:pPr>
    </w:p>
    <w:p w14:paraId="28A722E1">
      <w:pPr>
        <w:adjustRightInd w:val="0"/>
        <w:snapToGrid w:val="0"/>
        <w:rPr>
          <w:rFonts w:ascii="宋体" w:hAnsi="宋体"/>
          <w:b/>
          <w:bCs/>
          <w:sz w:val="28"/>
          <w:szCs w:val="21"/>
        </w:rPr>
      </w:pPr>
    </w:p>
    <w:p w14:paraId="168902ED">
      <w:pPr>
        <w:shd w:val="clear" w:color="auto" w:fill="FFFFFF"/>
        <w:snapToGrid w:val="0"/>
        <w:spacing w:line="0" w:lineRule="atLeast"/>
        <w:jc w:val="left"/>
        <w:rPr>
          <w:rFonts w:ascii="宋体" w:hAnsi="宋体"/>
          <w:b/>
        </w:rPr>
        <w:sectPr>
          <w:pgSz w:w="11906" w:h="16840"/>
          <w:pgMar w:top="1440" w:right="1128" w:bottom="1701" w:left="1276" w:header="851" w:footer="992" w:gutter="0"/>
          <w:cols w:space="720" w:num="1"/>
          <w:docGrid w:linePitch="312" w:charSpace="0"/>
        </w:sectPr>
      </w:pPr>
    </w:p>
    <w:p w14:paraId="2D2D2AF9">
      <w:pPr>
        <w:shd w:val="clear" w:color="auto" w:fill="FFFFFF"/>
        <w:snapToGrid w:val="0"/>
        <w:spacing w:line="0" w:lineRule="atLeast"/>
        <w:jc w:val="left"/>
        <w:rPr>
          <w:rFonts w:ascii="宋体" w:hAnsi="宋体"/>
          <w:b/>
        </w:rPr>
      </w:pPr>
      <w:r>
        <w:rPr>
          <w:rFonts w:hint="eastAsia" w:ascii="宋体" w:hAnsi="宋体"/>
          <w:b/>
        </w:rPr>
        <w:t>2.2.5商务响应表格式：</w:t>
      </w:r>
    </w:p>
    <w:p w14:paraId="74614AF0">
      <w:pPr>
        <w:shd w:val="clear" w:color="auto" w:fill="FFFFFF"/>
        <w:snapToGrid w:val="0"/>
        <w:spacing w:line="0" w:lineRule="atLeast"/>
        <w:jc w:val="left"/>
        <w:rPr>
          <w:rFonts w:ascii="宋体" w:hAnsi="宋体"/>
          <w:b/>
        </w:rPr>
      </w:pPr>
    </w:p>
    <w:p w14:paraId="128D86F3">
      <w:pPr>
        <w:shd w:val="clear" w:color="auto" w:fill="FFFFFF"/>
        <w:snapToGrid w:val="0"/>
        <w:spacing w:line="0" w:lineRule="atLeast"/>
        <w:jc w:val="left"/>
        <w:rPr>
          <w:rFonts w:ascii="宋体" w:hAnsi="宋体"/>
          <w:b/>
          <w:sz w:val="36"/>
          <w:szCs w:val="36"/>
        </w:rPr>
      </w:pPr>
      <w:r>
        <w:rPr>
          <w:rFonts w:hint="eastAsia" w:ascii="宋体" w:hAnsi="宋体"/>
          <w:b/>
          <w:sz w:val="36"/>
          <w:szCs w:val="36"/>
        </w:rPr>
        <w:t xml:space="preserve">                  5.商务响应表</w:t>
      </w:r>
    </w:p>
    <w:p w14:paraId="07956AD6">
      <w:pPr>
        <w:snapToGrid w:val="0"/>
        <w:jc w:val="left"/>
        <w:rPr>
          <w:rFonts w:ascii="宋体" w:hAnsi="宋体"/>
          <w:sz w:val="24"/>
          <w:szCs w:val="20"/>
        </w:rPr>
      </w:pPr>
      <w:r>
        <w:rPr>
          <w:rFonts w:hint="eastAsia" w:hAnsi="宋体"/>
          <w:sz w:val="24"/>
        </w:rPr>
        <w:t>项目名称</w:t>
      </w:r>
      <w:r>
        <w:rPr>
          <w:rFonts w:hint="eastAsia" w:ascii="宋体" w:hAnsi="宋体"/>
          <w:sz w:val="24"/>
        </w:rPr>
        <w:t>：                                        项目编号:</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6"/>
        <w:gridCol w:w="2317"/>
        <w:gridCol w:w="1296"/>
        <w:gridCol w:w="2717"/>
      </w:tblGrid>
      <w:tr w14:paraId="29063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2616" w:type="dxa"/>
            <w:tcBorders>
              <w:top w:val="single" w:color="auto" w:sz="4" w:space="0"/>
              <w:left w:val="single" w:color="auto" w:sz="4" w:space="0"/>
              <w:bottom w:val="single" w:color="auto" w:sz="4" w:space="0"/>
              <w:right w:val="single" w:color="auto" w:sz="4" w:space="0"/>
            </w:tcBorders>
            <w:noWrap/>
          </w:tcPr>
          <w:p w14:paraId="63C6A976">
            <w:pPr>
              <w:snapToGrid w:val="0"/>
              <w:rPr>
                <w:rFonts w:ascii="宋体" w:hAnsi="宋体"/>
                <w:sz w:val="24"/>
                <w:szCs w:val="20"/>
              </w:rPr>
            </w:pPr>
            <w:r>
              <w:rPr>
                <w:rFonts w:hint="eastAsia" w:ascii="宋体" w:hAnsi="宋体"/>
                <w:sz w:val="24"/>
              </w:rPr>
              <w:t>项目</w:t>
            </w:r>
          </w:p>
        </w:tc>
        <w:tc>
          <w:tcPr>
            <w:tcW w:w="2317" w:type="dxa"/>
            <w:tcBorders>
              <w:top w:val="single" w:color="auto" w:sz="4" w:space="0"/>
              <w:left w:val="single" w:color="auto" w:sz="4" w:space="0"/>
              <w:bottom w:val="single" w:color="auto" w:sz="4" w:space="0"/>
              <w:right w:val="single" w:color="auto" w:sz="4" w:space="0"/>
            </w:tcBorders>
            <w:noWrap/>
          </w:tcPr>
          <w:p w14:paraId="1F06A3BA">
            <w:pPr>
              <w:snapToGrid w:val="0"/>
              <w:rPr>
                <w:rFonts w:ascii="宋体" w:hAnsi="宋体"/>
                <w:sz w:val="24"/>
                <w:szCs w:val="20"/>
              </w:rPr>
            </w:pPr>
            <w:r>
              <w:rPr>
                <w:rFonts w:hint="eastAsia" w:ascii="宋体" w:hAnsi="宋体"/>
                <w:sz w:val="24"/>
              </w:rPr>
              <w:t>采购文件要求</w:t>
            </w:r>
          </w:p>
        </w:tc>
        <w:tc>
          <w:tcPr>
            <w:tcW w:w="1296" w:type="dxa"/>
            <w:tcBorders>
              <w:top w:val="single" w:color="auto" w:sz="4" w:space="0"/>
              <w:left w:val="single" w:color="auto" w:sz="4" w:space="0"/>
              <w:bottom w:val="single" w:color="auto" w:sz="4" w:space="0"/>
              <w:right w:val="single" w:color="auto" w:sz="4" w:space="0"/>
            </w:tcBorders>
            <w:noWrap/>
          </w:tcPr>
          <w:p w14:paraId="1DD03FA1">
            <w:pPr>
              <w:snapToGrid w:val="0"/>
              <w:rPr>
                <w:rFonts w:ascii="宋体" w:hAnsi="宋体"/>
                <w:sz w:val="24"/>
                <w:szCs w:val="20"/>
              </w:rPr>
            </w:pPr>
            <w:r>
              <w:rPr>
                <w:rFonts w:hint="eastAsia" w:ascii="宋体" w:hAnsi="宋体"/>
                <w:sz w:val="24"/>
              </w:rPr>
              <w:t>是否响应</w:t>
            </w:r>
          </w:p>
        </w:tc>
        <w:tc>
          <w:tcPr>
            <w:tcW w:w="2717" w:type="dxa"/>
            <w:tcBorders>
              <w:top w:val="single" w:color="auto" w:sz="4" w:space="0"/>
              <w:left w:val="single" w:color="auto" w:sz="4" w:space="0"/>
              <w:bottom w:val="single" w:color="auto" w:sz="4" w:space="0"/>
              <w:right w:val="single" w:color="auto" w:sz="4" w:space="0"/>
            </w:tcBorders>
            <w:noWrap/>
          </w:tcPr>
          <w:p w14:paraId="3E78154D">
            <w:pPr>
              <w:snapToGrid w:val="0"/>
              <w:rPr>
                <w:rFonts w:ascii="宋体" w:hAnsi="宋体"/>
                <w:sz w:val="24"/>
                <w:szCs w:val="20"/>
              </w:rPr>
            </w:pPr>
            <w:r>
              <w:rPr>
                <w:rFonts w:hint="eastAsia" w:ascii="宋体" w:hAnsi="宋体"/>
                <w:sz w:val="24"/>
              </w:rPr>
              <w:t>投标人的承诺或说明</w:t>
            </w:r>
          </w:p>
        </w:tc>
      </w:tr>
      <w:tr w14:paraId="0006B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616" w:type="dxa"/>
            <w:tcBorders>
              <w:top w:val="single" w:color="auto" w:sz="4" w:space="0"/>
              <w:left w:val="single" w:color="auto" w:sz="4" w:space="0"/>
              <w:bottom w:val="single" w:color="auto" w:sz="4" w:space="0"/>
              <w:right w:val="single" w:color="auto" w:sz="4" w:space="0"/>
            </w:tcBorders>
            <w:noWrap/>
          </w:tcPr>
          <w:p w14:paraId="6A8BF56F">
            <w:pPr>
              <w:snapToGrid w:val="0"/>
              <w:rPr>
                <w:rFonts w:ascii="宋体" w:hAnsi="宋体"/>
                <w:sz w:val="24"/>
                <w:szCs w:val="20"/>
              </w:rPr>
            </w:pPr>
          </w:p>
        </w:tc>
        <w:tc>
          <w:tcPr>
            <w:tcW w:w="2317" w:type="dxa"/>
            <w:tcBorders>
              <w:top w:val="single" w:color="auto" w:sz="4" w:space="0"/>
              <w:left w:val="single" w:color="auto" w:sz="4" w:space="0"/>
              <w:bottom w:val="single" w:color="auto" w:sz="4" w:space="0"/>
              <w:right w:val="single" w:color="auto" w:sz="4" w:space="0"/>
            </w:tcBorders>
            <w:noWrap/>
          </w:tcPr>
          <w:p w14:paraId="72198B8A">
            <w:pPr>
              <w:snapToGrid w:val="0"/>
              <w:rPr>
                <w:rFonts w:ascii="宋体" w:hAnsi="宋体"/>
                <w:sz w:val="24"/>
                <w:szCs w:val="20"/>
              </w:rPr>
            </w:pPr>
          </w:p>
        </w:tc>
        <w:tc>
          <w:tcPr>
            <w:tcW w:w="1296" w:type="dxa"/>
            <w:tcBorders>
              <w:top w:val="single" w:color="auto" w:sz="4" w:space="0"/>
              <w:left w:val="single" w:color="auto" w:sz="4" w:space="0"/>
              <w:bottom w:val="single" w:color="auto" w:sz="4" w:space="0"/>
              <w:right w:val="single" w:color="auto" w:sz="4" w:space="0"/>
            </w:tcBorders>
            <w:noWrap/>
          </w:tcPr>
          <w:p w14:paraId="1D8B32F1">
            <w:pPr>
              <w:snapToGrid w:val="0"/>
              <w:rPr>
                <w:rFonts w:ascii="宋体" w:hAnsi="宋体"/>
                <w:sz w:val="24"/>
                <w:szCs w:val="20"/>
              </w:rPr>
            </w:pPr>
          </w:p>
        </w:tc>
        <w:tc>
          <w:tcPr>
            <w:tcW w:w="2717" w:type="dxa"/>
            <w:tcBorders>
              <w:top w:val="single" w:color="auto" w:sz="4" w:space="0"/>
              <w:left w:val="single" w:color="auto" w:sz="4" w:space="0"/>
              <w:bottom w:val="single" w:color="auto" w:sz="4" w:space="0"/>
              <w:right w:val="single" w:color="auto" w:sz="4" w:space="0"/>
            </w:tcBorders>
            <w:noWrap/>
          </w:tcPr>
          <w:p w14:paraId="39E1514B">
            <w:pPr>
              <w:snapToGrid w:val="0"/>
              <w:rPr>
                <w:rFonts w:ascii="宋体" w:hAnsi="宋体"/>
                <w:sz w:val="24"/>
                <w:szCs w:val="20"/>
              </w:rPr>
            </w:pPr>
          </w:p>
        </w:tc>
      </w:tr>
      <w:tr w14:paraId="26FAC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616" w:type="dxa"/>
            <w:tcBorders>
              <w:top w:val="single" w:color="auto" w:sz="4" w:space="0"/>
              <w:left w:val="single" w:color="auto" w:sz="4" w:space="0"/>
              <w:bottom w:val="single" w:color="auto" w:sz="4" w:space="0"/>
              <w:right w:val="single" w:color="auto" w:sz="4" w:space="0"/>
            </w:tcBorders>
            <w:noWrap/>
          </w:tcPr>
          <w:p w14:paraId="673C3F3D">
            <w:pPr>
              <w:snapToGrid w:val="0"/>
              <w:rPr>
                <w:rFonts w:ascii="宋体" w:hAnsi="宋体"/>
                <w:sz w:val="24"/>
                <w:szCs w:val="20"/>
              </w:rPr>
            </w:pPr>
          </w:p>
        </w:tc>
        <w:tc>
          <w:tcPr>
            <w:tcW w:w="2317" w:type="dxa"/>
            <w:tcBorders>
              <w:top w:val="single" w:color="auto" w:sz="4" w:space="0"/>
              <w:left w:val="single" w:color="auto" w:sz="4" w:space="0"/>
              <w:bottom w:val="single" w:color="auto" w:sz="4" w:space="0"/>
              <w:right w:val="single" w:color="auto" w:sz="4" w:space="0"/>
            </w:tcBorders>
            <w:noWrap/>
          </w:tcPr>
          <w:p w14:paraId="4370A781">
            <w:pPr>
              <w:snapToGrid w:val="0"/>
              <w:rPr>
                <w:rFonts w:ascii="宋体" w:hAnsi="宋体"/>
                <w:sz w:val="24"/>
                <w:szCs w:val="20"/>
              </w:rPr>
            </w:pPr>
          </w:p>
        </w:tc>
        <w:tc>
          <w:tcPr>
            <w:tcW w:w="1296" w:type="dxa"/>
            <w:tcBorders>
              <w:top w:val="single" w:color="auto" w:sz="4" w:space="0"/>
              <w:left w:val="single" w:color="auto" w:sz="4" w:space="0"/>
              <w:bottom w:val="single" w:color="auto" w:sz="4" w:space="0"/>
              <w:right w:val="single" w:color="auto" w:sz="4" w:space="0"/>
            </w:tcBorders>
            <w:noWrap/>
          </w:tcPr>
          <w:p w14:paraId="740C17A3">
            <w:pPr>
              <w:snapToGrid w:val="0"/>
              <w:rPr>
                <w:rFonts w:ascii="宋体" w:hAnsi="宋体"/>
                <w:sz w:val="24"/>
                <w:szCs w:val="20"/>
              </w:rPr>
            </w:pPr>
          </w:p>
        </w:tc>
        <w:tc>
          <w:tcPr>
            <w:tcW w:w="2717" w:type="dxa"/>
            <w:tcBorders>
              <w:top w:val="single" w:color="auto" w:sz="4" w:space="0"/>
              <w:left w:val="single" w:color="auto" w:sz="4" w:space="0"/>
              <w:bottom w:val="single" w:color="auto" w:sz="4" w:space="0"/>
              <w:right w:val="single" w:color="auto" w:sz="4" w:space="0"/>
            </w:tcBorders>
            <w:noWrap/>
          </w:tcPr>
          <w:p w14:paraId="6B8E66D4">
            <w:pPr>
              <w:snapToGrid w:val="0"/>
              <w:rPr>
                <w:rFonts w:ascii="宋体" w:hAnsi="宋体"/>
                <w:sz w:val="24"/>
                <w:szCs w:val="20"/>
              </w:rPr>
            </w:pPr>
          </w:p>
        </w:tc>
      </w:tr>
      <w:tr w14:paraId="03F95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616" w:type="dxa"/>
            <w:tcBorders>
              <w:top w:val="single" w:color="auto" w:sz="4" w:space="0"/>
              <w:left w:val="single" w:color="auto" w:sz="4" w:space="0"/>
              <w:bottom w:val="single" w:color="auto" w:sz="4" w:space="0"/>
              <w:right w:val="single" w:color="auto" w:sz="4" w:space="0"/>
            </w:tcBorders>
            <w:noWrap/>
          </w:tcPr>
          <w:p w14:paraId="095ACC39">
            <w:pPr>
              <w:snapToGrid w:val="0"/>
              <w:rPr>
                <w:rFonts w:ascii="宋体" w:hAnsi="宋体"/>
                <w:sz w:val="24"/>
                <w:szCs w:val="20"/>
              </w:rPr>
            </w:pPr>
          </w:p>
        </w:tc>
        <w:tc>
          <w:tcPr>
            <w:tcW w:w="2317" w:type="dxa"/>
            <w:tcBorders>
              <w:top w:val="single" w:color="auto" w:sz="4" w:space="0"/>
              <w:left w:val="single" w:color="auto" w:sz="4" w:space="0"/>
              <w:bottom w:val="single" w:color="auto" w:sz="4" w:space="0"/>
              <w:right w:val="single" w:color="auto" w:sz="4" w:space="0"/>
            </w:tcBorders>
            <w:noWrap/>
          </w:tcPr>
          <w:p w14:paraId="38F62991">
            <w:pPr>
              <w:snapToGrid w:val="0"/>
              <w:rPr>
                <w:rFonts w:ascii="宋体" w:hAnsi="宋体"/>
                <w:sz w:val="24"/>
                <w:szCs w:val="20"/>
              </w:rPr>
            </w:pPr>
          </w:p>
        </w:tc>
        <w:tc>
          <w:tcPr>
            <w:tcW w:w="1296" w:type="dxa"/>
            <w:tcBorders>
              <w:top w:val="single" w:color="auto" w:sz="4" w:space="0"/>
              <w:left w:val="single" w:color="auto" w:sz="4" w:space="0"/>
              <w:bottom w:val="single" w:color="auto" w:sz="4" w:space="0"/>
              <w:right w:val="single" w:color="auto" w:sz="4" w:space="0"/>
            </w:tcBorders>
            <w:noWrap/>
          </w:tcPr>
          <w:p w14:paraId="6CF383AF">
            <w:pPr>
              <w:snapToGrid w:val="0"/>
              <w:ind w:left="43"/>
              <w:rPr>
                <w:rFonts w:ascii="宋体" w:hAnsi="宋体"/>
                <w:sz w:val="24"/>
                <w:szCs w:val="20"/>
              </w:rPr>
            </w:pPr>
          </w:p>
        </w:tc>
        <w:tc>
          <w:tcPr>
            <w:tcW w:w="2717" w:type="dxa"/>
            <w:tcBorders>
              <w:top w:val="single" w:color="auto" w:sz="4" w:space="0"/>
              <w:left w:val="single" w:color="auto" w:sz="4" w:space="0"/>
              <w:bottom w:val="single" w:color="auto" w:sz="4" w:space="0"/>
              <w:right w:val="single" w:color="auto" w:sz="4" w:space="0"/>
            </w:tcBorders>
            <w:noWrap/>
          </w:tcPr>
          <w:p w14:paraId="4AD5E7DA">
            <w:pPr>
              <w:snapToGrid w:val="0"/>
              <w:ind w:left="43"/>
              <w:rPr>
                <w:rFonts w:ascii="宋体" w:hAnsi="宋体"/>
                <w:sz w:val="24"/>
                <w:szCs w:val="20"/>
              </w:rPr>
            </w:pPr>
          </w:p>
        </w:tc>
      </w:tr>
      <w:tr w14:paraId="4B60C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616" w:type="dxa"/>
            <w:tcBorders>
              <w:top w:val="single" w:color="auto" w:sz="4" w:space="0"/>
              <w:left w:val="single" w:color="auto" w:sz="4" w:space="0"/>
              <w:bottom w:val="single" w:color="auto" w:sz="4" w:space="0"/>
              <w:right w:val="single" w:color="auto" w:sz="4" w:space="0"/>
            </w:tcBorders>
            <w:noWrap/>
          </w:tcPr>
          <w:p w14:paraId="44A9CEE4">
            <w:pPr>
              <w:snapToGrid w:val="0"/>
              <w:rPr>
                <w:rFonts w:ascii="宋体" w:hAnsi="宋体"/>
                <w:sz w:val="24"/>
                <w:szCs w:val="20"/>
              </w:rPr>
            </w:pPr>
          </w:p>
        </w:tc>
        <w:tc>
          <w:tcPr>
            <w:tcW w:w="2317" w:type="dxa"/>
            <w:tcBorders>
              <w:top w:val="single" w:color="auto" w:sz="4" w:space="0"/>
              <w:left w:val="single" w:color="auto" w:sz="4" w:space="0"/>
              <w:bottom w:val="single" w:color="auto" w:sz="4" w:space="0"/>
              <w:right w:val="single" w:color="auto" w:sz="4" w:space="0"/>
            </w:tcBorders>
            <w:noWrap/>
          </w:tcPr>
          <w:p w14:paraId="5227E4EE">
            <w:pPr>
              <w:snapToGrid w:val="0"/>
              <w:rPr>
                <w:rFonts w:ascii="宋体" w:hAnsi="宋体"/>
                <w:sz w:val="24"/>
                <w:szCs w:val="20"/>
              </w:rPr>
            </w:pPr>
          </w:p>
        </w:tc>
        <w:tc>
          <w:tcPr>
            <w:tcW w:w="1296" w:type="dxa"/>
            <w:tcBorders>
              <w:top w:val="single" w:color="auto" w:sz="4" w:space="0"/>
              <w:left w:val="single" w:color="auto" w:sz="4" w:space="0"/>
              <w:bottom w:val="single" w:color="auto" w:sz="4" w:space="0"/>
              <w:right w:val="single" w:color="auto" w:sz="4" w:space="0"/>
            </w:tcBorders>
            <w:noWrap/>
          </w:tcPr>
          <w:p w14:paraId="20F50711">
            <w:pPr>
              <w:snapToGrid w:val="0"/>
              <w:rPr>
                <w:rFonts w:ascii="宋体" w:hAnsi="宋体"/>
                <w:sz w:val="24"/>
                <w:szCs w:val="20"/>
              </w:rPr>
            </w:pPr>
          </w:p>
        </w:tc>
        <w:tc>
          <w:tcPr>
            <w:tcW w:w="2717" w:type="dxa"/>
            <w:tcBorders>
              <w:top w:val="single" w:color="auto" w:sz="4" w:space="0"/>
              <w:left w:val="single" w:color="auto" w:sz="4" w:space="0"/>
              <w:bottom w:val="single" w:color="auto" w:sz="4" w:space="0"/>
              <w:right w:val="single" w:color="auto" w:sz="4" w:space="0"/>
            </w:tcBorders>
            <w:noWrap/>
          </w:tcPr>
          <w:p w14:paraId="37837227">
            <w:pPr>
              <w:snapToGrid w:val="0"/>
              <w:rPr>
                <w:rFonts w:ascii="宋体" w:hAnsi="宋体"/>
                <w:sz w:val="24"/>
                <w:szCs w:val="20"/>
              </w:rPr>
            </w:pPr>
          </w:p>
        </w:tc>
      </w:tr>
      <w:tr w14:paraId="30CAF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16" w:type="dxa"/>
            <w:tcBorders>
              <w:top w:val="single" w:color="auto" w:sz="4" w:space="0"/>
              <w:left w:val="single" w:color="auto" w:sz="4" w:space="0"/>
              <w:bottom w:val="single" w:color="auto" w:sz="4" w:space="0"/>
              <w:right w:val="single" w:color="auto" w:sz="4" w:space="0"/>
            </w:tcBorders>
            <w:noWrap/>
          </w:tcPr>
          <w:p w14:paraId="4A429754">
            <w:pPr>
              <w:snapToGrid w:val="0"/>
              <w:rPr>
                <w:rFonts w:ascii="宋体" w:hAnsi="宋体"/>
                <w:sz w:val="24"/>
                <w:szCs w:val="20"/>
              </w:rPr>
            </w:pPr>
            <w:r>
              <w:rPr>
                <w:rFonts w:hint="eastAsia" w:ascii="宋体" w:hAnsi="宋体"/>
                <w:sz w:val="24"/>
              </w:rPr>
              <w:t>…</w:t>
            </w:r>
          </w:p>
        </w:tc>
        <w:tc>
          <w:tcPr>
            <w:tcW w:w="2317" w:type="dxa"/>
            <w:tcBorders>
              <w:top w:val="single" w:color="auto" w:sz="4" w:space="0"/>
              <w:left w:val="single" w:color="auto" w:sz="4" w:space="0"/>
              <w:bottom w:val="single" w:color="auto" w:sz="4" w:space="0"/>
              <w:right w:val="single" w:color="auto" w:sz="4" w:space="0"/>
            </w:tcBorders>
            <w:noWrap/>
          </w:tcPr>
          <w:p w14:paraId="0B2AD0C8">
            <w:pPr>
              <w:snapToGrid w:val="0"/>
              <w:rPr>
                <w:rFonts w:ascii="宋体" w:hAnsi="宋体"/>
                <w:sz w:val="24"/>
                <w:szCs w:val="20"/>
              </w:rPr>
            </w:pPr>
          </w:p>
        </w:tc>
        <w:tc>
          <w:tcPr>
            <w:tcW w:w="1296" w:type="dxa"/>
            <w:tcBorders>
              <w:top w:val="single" w:color="auto" w:sz="4" w:space="0"/>
              <w:left w:val="single" w:color="auto" w:sz="4" w:space="0"/>
              <w:bottom w:val="single" w:color="auto" w:sz="4" w:space="0"/>
              <w:right w:val="single" w:color="auto" w:sz="4" w:space="0"/>
            </w:tcBorders>
            <w:noWrap/>
          </w:tcPr>
          <w:p w14:paraId="31606659">
            <w:pPr>
              <w:snapToGrid w:val="0"/>
              <w:rPr>
                <w:rFonts w:ascii="宋体" w:hAnsi="宋体"/>
                <w:sz w:val="24"/>
                <w:szCs w:val="20"/>
              </w:rPr>
            </w:pPr>
          </w:p>
        </w:tc>
        <w:tc>
          <w:tcPr>
            <w:tcW w:w="2717" w:type="dxa"/>
            <w:tcBorders>
              <w:top w:val="single" w:color="auto" w:sz="4" w:space="0"/>
              <w:left w:val="single" w:color="auto" w:sz="4" w:space="0"/>
              <w:bottom w:val="single" w:color="auto" w:sz="4" w:space="0"/>
              <w:right w:val="single" w:color="auto" w:sz="4" w:space="0"/>
            </w:tcBorders>
            <w:noWrap/>
          </w:tcPr>
          <w:p w14:paraId="07B01117">
            <w:pPr>
              <w:snapToGrid w:val="0"/>
              <w:rPr>
                <w:rFonts w:ascii="宋体" w:hAnsi="宋体"/>
                <w:sz w:val="24"/>
                <w:szCs w:val="20"/>
              </w:rPr>
            </w:pPr>
          </w:p>
        </w:tc>
      </w:tr>
      <w:tr w14:paraId="1C7A6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16" w:type="dxa"/>
            <w:tcBorders>
              <w:top w:val="single" w:color="auto" w:sz="4" w:space="0"/>
              <w:left w:val="single" w:color="auto" w:sz="4" w:space="0"/>
              <w:bottom w:val="single" w:color="auto" w:sz="4" w:space="0"/>
              <w:right w:val="single" w:color="auto" w:sz="4" w:space="0"/>
            </w:tcBorders>
            <w:noWrap/>
          </w:tcPr>
          <w:p w14:paraId="57775E8B">
            <w:pPr>
              <w:snapToGrid w:val="0"/>
              <w:rPr>
                <w:rFonts w:ascii="宋体" w:hAnsi="宋体"/>
                <w:sz w:val="24"/>
                <w:szCs w:val="20"/>
              </w:rPr>
            </w:pPr>
          </w:p>
        </w:tc>
        <w:tc>
          <w:tcPr>
            <w:tcW w:w="2317" w:type="dxa"/>
            <w:tcBorders>
              <w:top w:val="single" w:color="auto" w:sz="4" w:space="0"/>
              <w:left w:val="single" w:color="auto" w:sz="4" w:space="0"/>
              <w:bottom w:val="single" w:color="auto" w:sz="4" w:space="0"/>
              <w:right w:val="single" w:color="auto" w:sz="4" w:space="0"/>
            </w:tcBorders>
            <w:noWrap/>
          </w:tcPr>
          <w:p w14:paraId="27AED40D">
            <w:pPr>
              <w:snapToGrid w:val="0"/>
              <w:rPr>
                <w:rFonts w:ascii="宋体" w:hAnsi="宋体"/>
                <w:sz w:val="24"/>
                <w:szCs w:val="20"/>
              </w:rPr>
            </w:pPr>
          </w:p>
        </w:tc>
        <w:tc>
          <w:tcPr>
            <w:tcW w:w="1296" w:type="dxa"/>
            <w:tcBorders>
              <w:top w:val="single" w:color="auto" w:sz="4" w:space="0"/>
              <w:left w:val="single" w:color="auto" w:sz="4" w:space="0"/>
              <w:bottom w:val="single" w:color="auto" w:sz="4" w:space="0"/>
              <w:right w:val="single" w:color="auto" w:sz="4" w:space="0"/>
            </w:tcBorders>
            <w:noWrap/>
          </w:tcPr>
          <w:p w14:paraId="6077612E">
            <w:pPr>
              <w:snapToGrid w:val="0"/>
              <w:rPr>
                <w:rFonts w:ascii="宋体" w:hAnsi="宋体"/>
                <w:sz w:val="24"/>
                <w:szCs w:val="20"/>
              </w:rPr>
            </w:pPr>
          </w:p>
        </w:tc>
        <w:tc>
          <w:tcPr>
            <w:tcW w:w="2717" w:type="dxa"/>
            <w:tcBorders>
              <w:top w:val="single" w:color="auto" w:sz="4" w:space="0"/>
              <w:left w:val="single" w:color="auto" w:sz="4" w:space="0"/>
              <w:bottom w:val="single" w:color="auto" w:sz="4" w:space="0"/>
              <w:right w:val="single" w:color="auto" w:sz="4" w:space="0"/>
            </w:tcBorders>
            <w:noWrap/>
          </w:tcPr>
          <w:p w14:paraId="55331620">
            <w:pPr>
              <w:snapToGrid w:val="0"/>
              <w:rPr>
                <w:rFonts w:ascii="宋体" w:hAnsi="宋体"/>
                <w:sz w:val="24"/>
                <w:szCs w:val="20"/>
              </w:rPr>
            </w:pPr>
          </w:p>
        </w:tc>
      </w:tr>
    </w:tbl>
    <w:p w14:paraId="38058CF9">
      <w:pPr>
        <w:snapToGrid w:val="0"/>
        <w:rPr>
          <w:rFonts w:ascii="宋体" w:hAnsi="宋体"/>
          <w:sz w:val="24"/>
          <w:szCs w:val="20"/>
        </w:rPr>
      </w:pPr>
      <w:r>
        <w:rPr>
          <w:rFonts w:hint="eastAsia" w:ascii="宋体" w:hAnsi="宋体"/>
          <w:sz w:val="24"/>
          <w:szCs w:val="20"/>
        </w:rPr>
        <w:t>注：根据第三章“商务条款”逐一的填写。未填写或填写不齐全的视作完全响应采购文件的商务要求。</w:t>
      </w:r>
    </w:p>
    <w:p w14:paraId="23859C53">
      <w:pPr>
        <w:shd w:val="clear" w:color="auto" w:fill="FFFFFF"/>
        <w:snapToGrid w:val="0"/>
        <w:spacing w:line="0" w:lineRule="atLeast"/>
        <w:jc w:val="left"/>
        <w:rPr>
          <w:rFonts w:ascii="宋体" w:hAnsi="宋体"/>
          <w:b/>
          <w:sz w:val="36"/>
          <w:szCs w:val="36"/>
        </w:rPr>
      </w:pPr>
    </w:p>
    <w:p w14:paraId="5CF326A2">
      <w:pPr>
        <w:shd w:val="clear" w:color="auto" w:fill="FFFFFF"/>
        <w:snapToGrid w:val="0"/>
        <w:spacing w:line="0" w:lineRule="atLeast"/>
        <w:jc w:val="left"/>
        <w:rPr>
          <w:rFonts w:ascii="宋体" w:hAnsi="宋体"/>
          <w:b/>
        </w:rPr>
      </w:pPr>
    </w:p>
    <w:p w14:paraId="6402FCBB">
      <w:pPr>
        <w:shd w:val="clear" w:color="auto" w:fill="FFFFFF"/>
        <w:snapToGrid w:val="0"/>
        <w:ind w:firstLine="3280" w:firstLineChars="1556"/>
        <w:jc w:val="left"/>
        <w:rPr>
          <w:rFonts w:hAnsi="宋体"/>
          <w:b/>
        </w:rPr>
      </w:pPr>
    </w:p>
    <w:p w14:paraId="1F6778A2">
      <w:pPr>
        <w:shd w:val="clear" w:color="auto" w:fill="FFFFFF"/>
        <w:snapToGrid w:val="0"/>
        <w:ind w:firstLine="3280" w:firstLineChars="1556"/>
        <w:jc w:val="left"/>
        <w:rPr>
          <w:rFonts w:hAnsi="宋体"/>
          <w:b/>
        </w:rPr>
      </w:pPr>
    </w:p>
    <w:p w14:paraId="32CA6B08">
      <w:pPr>
        <w:shd w:val="clear" w:color="auto" w:fill="FFFFFF"/>
        <w:snapToGrid w:val="0"/>
        <w:ind w:firstLine="3280" w:firstLineChars="1556"/>
        <w:jc w:val="left"/>
        <w:rPr>
          <w:rFonts w:hAnsi="宋体"/>
          <w:b/>
        </w:rPr>
      </w:pPr>
    </w:p>
    <w:p w14:paraId="5B479BDD">
      <w:pPr>
        <w:shd w:val="clear" w:color="auto" w:fill="FFFFFF"/>
        <w:snapToGrid w:val="0"/>
        <w:ind w:firstLine="3280" w:firstLineChars="1556"/>
        <w:jc w:val="left"/>
        <w:rPr>
          <w:rFonts w:hAnsi="宋体"/>
          <w:b/>
        </w:rPr>
      </w:pPr>
    </w:p>
    <w:p w14:paraId="167BE32F">
      <w:pPr>
        <w:shd w:val="clear" w:color="auto" w:fill="FFFFFF"/>
        <w:snapToGrid w:val="0"/>
        <w:ind w:firstLine="3280" w:firstLineChars="1556"/>
        <w:jc w:val="left"/>
        <w:rPr>
          <w:rFonts w:hAnsi="宋体"/>
          <w:b/>
        </w:rPr>
      </w:pPr>
    </w:p>
    <w:p w14:paraId="5284D8ED">
      <w:pPr>
        <w:shd w:val="clear" w:color="auto" w:fill="FFFFFF"/>
        <w:snapToGrid w:val="0"/>
        <w:ind w:firstLine="3280" w:firstLineChars="1556"/>
        <w:jc w:val="left"/>
        <w:rPr>
          <w:rFonts w:hAnsi="宋体"/>
          <w:b/>
        </w:rPr>
      </w:pPr>
    </w:p>
    <w:p w14:paraId="04098008">
      <w:pPr>
        <w:jc w:val="right"/>
        <w:rPr>
          <w:rFonts w:ascii="宋体" w:hAnsi="宋体"/>
          <w:b/>
          <w:sz w:val="36"/>
          <w:szCs w:val="36"/>
        </w:rPr>
      </w:pPr>
      <w:r>
        <w:rPr>
          <w:rFonts w:ascii="宋体" w:hAnsi="宋体"/>
          <w:b/>
          <w:bCs/>
          <w:sz w:val="24"/>
        </w:rPr>
        <w:t xml:space="preserve">投标人盖章：      </w:t>
      </w:r>
    </w:p>
    <w:p w14:paraId="4EBF86E2">
      <w:pPr>
        <w:jc w:val="right"/>
        <w:rPr>
          <w:rFonts w:ascii="宋体" w:hAnsi="宋体"/>
          <w:b/>
          <w:sz w:val="36"/>
          <w:szCs w:val="36"/>
        </w:rPr>
      </w:pPr>
      <w:r>
        <w:rPr>
          <w:rFonts w:ascii="宋体" w:hAnsi="宋体"/>
          <w:b/>
          <w:bCs/>
          <w:sz w:val="24"/>
        </w:rPr>
        <w:t xml:space="preserve">法定代表人（或授权委托人）签字或盖章：    </w:t>
      </w:r>
    </w:p>
    <w:p w14:paraId="6C2BBAF8">
      <w:pPr>
        <w:jc w:val="right"/>
        <w:rPr>
          <w:rFonts w:ascii="宋体" w:hAnsi="宋体"/>
          <w:b/>
          <w:sz w:val="24"/>
        </w:rPr>
      </w:pPr>
      <w:r>
        <w:rPr>
          <w:rFonts w:ascii="宋体" w:hAnsi="宋体"/>
          <w:b/>
          <w:sz w:val="24"/>
        </w:rPr>
        <w:t>日期：</w:t>
      </w:r>
    </w:p>
    <w:p w14:paraId="751D8DA7">
      <w:pPr>
        <w:shd w:val="clear" w:color="auto" w:fill="FFFFFF"/>
        <w:snapToGrid w:val="0"/>
        <w:ind w:firstLine="3280" w:firstLineChars="1556"/>
        <w:jc w:val="left"/>
        <w:rPr>
          <w:rFonts w:hAnsi="宋体"/>
          <w:b/>
        </w:rPr>
      </w:pPr>
    </w:p>
    <w:p w14:paraId="463995EF">
      <w:pPr>
        <w:shd w:val="clear" w:color="auto" w:fill="FFFFFF"/>
        <w:snapToGrid w:val="0"/>
        <w:ind w:firstLine="3280" w:firstLineChars="1556"/>
        <w:jc w:val="left"/>
        <w:rPr>
          <w:rFonts w:hAnsi="宋体"/>
          <w:b/>
        </w:rPr>
      </w:pPr>
    </w:p>
    <w:p w14:paraId="63613A42">
      <w:pPr>
        <w:shd w:val="clear" w:color="auto" w:fill="FFFFFF"/>
        <w:snapToGrid w:val="0"/>
        <w:ind w:firstLine="3280" w:firstLineChars="1556"/>
        <w:jc w:val="left"/>
        <w:rPr>
          <w:rFonts w:hAnsi="宋体"/>
          <w:b/>
        </w:rPr>
      </w:pPr>
    </w:p>
    <w:p w14:paraId="70BF6414">
      <w:pPr>
        <w:shd w:val="clear" w:color="auto" w:fill="FFFFFF"/>
        <w:snapToGrid w:val="0"/>
        <w:ind w:firstLine="3280" w:firstLineChars="1556"/>
        <w:jc w:val="left"/>
        <w:rPr>
          <w:rFonts w:hAnsi="宋体"/>
          <w:b/>
        </w:rPr>
      </w:pPr>
    </w:p>
    <w:p w14:paraId="22A7C7FF">
      <w:pPr>
        <w:shd w:val="clear" w:color="auto" w:fill="FFFFFF"/>
        <w:snapToGrid w:val="0"/>
        <w:jc w:val="left"/>
        <w:rPr>
          <w:rFonts w:hAnsi="宋体"/>
          <w:b/>
        </w:rPr>
      </w:pPr>
    </w:p>
    <w:p w14:paraId="7B72D3DE">
      <w:pPr>
        <w:shd w:val="clear" w:color="auto" w:fill="FFFFFF"/>
        <w:snapToGrid w:val="0"/>
        <w:jc w:val="left"/>
        <w:rPr>
          <w:rFonts w:hAnsi="宋体"/>
          <w:b/>
        </w:rPr>
      </w:pPr>
    </w:p>
    <w:p w14:paraId="393300C5">
      <w:pPr>
        <w:shd w:val="clear" w:color="auto" w:fill="FFFFFF"/>
        <w:snapToGrid w:val="0"/>
        <w:jc w:val="left"/>
        <w:rPr>
          <w:rFonts w:ascii="宋体" w:hAnsi="宋体"/>
          <w:b/>
          <w:sz w:val="24"/>
          <w:szCs w:val="32"/>
        </w:rPr>
      </w:pPr>
      <w:r>
        <w:rPr>
          <w:rFonts w:hint="eastAsia" w:ascii="宋体" w:hAnsi="宋体"/>
          <w:b/>
          <w:sz w:val="24"/>
          <w:szCs w:val="32"/>
        </w:rPr>
        <w:t>2.2.6类似项目业绩一览表格式：</w:t>
      </w:r>
    </w:p>
    <w:p w14:paraId="1CACF1A8">
      <w:pPr>
        <w:tabs>
          <w:tab w:val="left" w:pos="2911"/>
          <w:tab w:val="center" w:pos="4216"/>
        </w:tabs>
        <w:jc w:val="center"/>
        <w:rPr>
          <w:rFonts w:ascii="宋体" w:hAnsi="宋体" w:cs="宋体"/>
          <w:b/>
          <w:bCs/>
          <w:sz w:val="36"/>
        </w:rPr>
      </w:pPr>
      <w:r>
        <w:rPr>
          <w:rFonts w:hint="eastAsia" w:ascii="宋体" w:hAnsi="宋体"/>
          <w:b/>
          <w:sz w:val="32"/>
          <w:szCs w:val="32"/>
        </w:rPr>
        <w:t>6.类似项目业绩一览表</w:t>
      </w:r>
    </w:p>
    <w:p w14:paraId="12B63476">
      <w:pPr>
        <w:jc w:val="left"/>
        <w:rPr>
          <w:rFonts w:ascii="宋体" w:hAnsi="宋体"/>
          <w:snapToGrid w:val="0"/>
          <w:kern w:val="0"/>
          <w:sz w:val="24"/>
        </w:rPr>
      </w:pPr>
      <w:r>
        <w:rPr>
          <w:rFonts w:ascii="宋体" w:hAnsi="宋体"/>
          <w:snapToGrid w:val="0"/>
          <w:kern w:val="0"/>
          <w:sz w:val="24"/>
        </w:rPr>
        <w:t>项目名称：                                           招标编号：</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02"/>
        <w:gridCol w:w="1683"/>
        <w:gridCol w:w="1738"/>
        <w:gridCol w:w="1277"/>
        <w:gridCol w:w="1263"/>
      </w:tblGrid>
      <w:tr w14:paraId="34E9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ign w:val="center"/>
          </w:tcPr>
          <w:p w14:paraId="134B50C0">
            <w:pPr>
              <w:pStyle w:val="29"/>
              <w:spacing w:line="0" w:lineRule="atLeast"/>
              <w:jc w:val="center"/>
              <w:rPr>
                <w:rFonts w:hAnsi="宋体" w:cs="宋体"/>
                <w:snapToGrid w:val="0"/>
                <w:sz w:val="24"/>
              </w:rPr>
            </w:pPr>
            <w:r>
              <w:rPr>
                <w:rFonts w:hint="eastAsia" w:hAnsi="宋体" w:cs="宋体"/>
                <w:snapToGrid w:val="0"/>
                <w:sz w:val="24"/>
              </w:rPr>
              <w:t>序号</w:t>
            </w:r>
          </w:p>
        </w:tc>
        <w:tc>
          <w:tcPr>
            <w:tcW w:w="2202" w:type="dxa"/>
            <w:noWrap/>
            <w:vAlign w:val="center"/>
          </w:tcPr>
          <w:p w14:paraId="6065008A">
            <w:pPr>
              <w:pStyle w:val="29"/>
              <w:spacing w:line="0" w:lineRule="atLeast"/>
              <w:jc w:val="center"/>
              <w:rPr>
                <w:rFonts w:hAnsi="宋体" w:cs="宋体"/>
                <w:snapToGrid w:val="0"/>
                <w:sz w:val="24"/>
              </w:rPr>
            </w:pPr>
            <w:r>
              <w:rPr>
                <w:rFonts w:hint="eastAsia" w:hAnsi="宋体" w:cs="宋体"/>
                <w:snapToGrid w:val="0"/>
                <w:sz w:val="24"/>
              </w:rPr>
              <w:t>用户单位</w:t>
            </w:r>
          </w:p>
        </w:tc>
        <w:tc>
          <w:tcPr>
            <w:tcW w:w="1683" w:type="dxa"/>
            <w:noWrap/>
            <w:vAlign w:val="center"/>
          </w:tcPr>
          <w:p w14:paraId="122A4F20">
            <w:pPr>
              <w:pStyle w:val="29"/>
              <w:spacing w:line="0" w:lineRule="atLeast"/>
              <w:jc w:val="center"/>
              <w:rPr>
                <w:rFonts w:hAnsi="宋体" w:cs="宋体"/>
                <w:snapToGrid w:val="0"/>
                <w:sz w:val="24"/>
              </w:rPr>
            </w:pPr>
            <w:r>
              <w:rPr>
                <w:rFonts w:hint="eastAsia" w:hAnsi="宋体" w:cs="宋体"/>
                <w:snapToGrid w:val="0"/>
                <w:sz w:val="24"/>
              </w:rPr>
              <w:t>项目名称</w:t>
            </w:r>
          </w:p>
        </w:tc>
        <w:tc>
          <w:tcPr>
            <w:tcW w:w="1738" w:type="dxa"/>
            <w:noWrap/>
            <w:vAlign w:val="center"/>
          </w:tcPr>
          <w:p w14:paraId="37905AC7">
            <w:pPr>
              <w:pStyle w:val="29"/>
              <w:spacing w:line="0" w:lineRule="atLeast"/>
              <w:jc w:val="center"/>
              <w:rPr>
                <w:rFonts w:hAnsi="宋体" w:cs="宋体"/>
                <w:snapToGrid w:val="0"/>
                <w:sz w:val="24"/>
              </w:rPr>
            </w:pPr>
            <w:r>
              <w:rPr>
                <w:rFonts w:hint="eastAsia" w:hAnsi="宋体" w:cs="宋体"/>
                <w:snapToGrid w:val="0"/>
                <w:sz w:val="24"/>
              </w:rPr>
              <w:t>合同签订时间</w:t>
            </w:r>
          </w:p>
        </w:tc>
        <w:tc>
          <w:tcPr>
            <w:tcW w:w="1277" w:type="dxa"/>
            <w:noWrap/>
            <w:vAlign w:val="center"/>
          </w:tcPr>
          <w:p w14:paraId="349FE601">
            <w:pPr>
              <w:pStyle w:val="29"/>
              <w:spacing w:line="0" w:lineRule="atLeast"/>
              <w:jc w:val="center"/>
              <w:rPr>
                <w:rFonts w:hAnsi="宋体" w:cs="宋体"/>
                <w:snapToGrid w:val="0"/>
                <w:sz w:val="24"/>
              </w:rPr>
            </w:pPr>
            <w:r>
              <w:rPr>
                <w:rFonts w:hint="eastAsia" w:hAnsi="宋体" w:cs="宋体"/>
                <w:snapToGrid w:val="0"/>
                <w:sz w:val="24"/>
              </w:rPr>
              <w:t>服务期限</w:t>
            </w:r>
          </w:p>
        </w:tc>
        <w:tc>
          <w:tcPr>
            <w:tcW w:w="1263" w:type="dxa"/>
            <w:noWrap/>
            <w:vAlign w:val="center"/>
          </w:tcPr>
          <w:p w14:paraId="2ACD79B6">
            <w:pPr>
              <w:pStyle w:val="29"/>
              <w:spacing w:line="0" w:lineRule="atLeast"/>
              <w:jc w:val="center"/>
              <w:rPr>
                <w:rFonts w:hAnsi="宋体" w:cs="宋体"/>
                <w:snapToGrid w:val="0"/>
                <w:sz w:val="24"/>
              </w:rPr>
            </w:pPr>
            <w:r>
              <w:rPr>
                <w:rFonts w:hint="eastAsia" w:hAnsi="宋体" w:cs="宋体"/>
                <w:snapToGrid w:val="0"/>
                <w:sz w:val="24"/>
              </w:rPr>
              <w:t>备注</w:t>
            </w:r>
          </w:p>
        </w:tc>
      </w:tr>
      <w:tr w14:paraId="266A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ign w:val="center"/>
          </w:tcPr>
          <w:p w14:paraId="16B84BED">
            <w:pPr>
              <w:pStyle w:val="29"/>
              <w:spacing w:line="0" w:lineRule="atLeast"/>
              <w:jc w:val="center"/>
              <w:rPr>
                <w:rFonts w:hAnsi="宋体" w:cs="宋体"/>
                <w:snapToGrid w:val="0"/>
                <w:sz w:val="24"/>
              </w:rPr>
            </w:pPr>
            <w:r>
              <w:rPr>
                <w:rFonts w:hint="eastAsia" w:hAnsi="宋体" w:cs="宋体"/>
                <w:snapToGrid w:val="0"/>
                <w:sz w:val="24"/>
              </w:rPr>
              <w:t>1</w:t>
            </w:r>
          </w:p>
        </w:tc>
        <w:tc>
          <w:tcPr>
            <w:tcW w:w="2202" w:type="dxa"/>
            <w:noWrap/>
            <w:vAlign w:val="center"/>
          </w:tcPr>
          <w:p w14:paraId="61D7C16E">
            <w:pPr>
              <w:pStyle w:val="29"/>
              <w:spacing w:line="0" w:lineRule="atLeast"/>
              <w:jc w:val="center"/>
              <w:rPr>
                <w:rFonts w:hAnsi="宋体" w:cs="宋体"/>
                <w:snapToGrid w:val="0"/>
                <w:sz w:val="24"/>
              </w:rPr>
            </w:pPr>
          </w:p>
        </w:tc>
        <w:tc>
          <w:tcPr>
            <w:tcW w:w="1683" w:type="dxa"/>
            <w:noWrap/>
            <w:vAlign w:val="center"/>
          </w:tcPr>
          <w:p w14:paraId="03DD0567">
            <w:pPr>
              <w:pStyle w:val="29"/>
              <w:spacing w:line="0" w:lineRule="atLeast"/>
              <w:jc w:val="center"/>
              <w:rPr>
                <w:rFonts w:hAnsi="宋体" w:cs="宋体"/>
                <w:snapToGrid w:val="0"/>
                <w:sz w:val="24"/>
              </w:rPr>
            </w:pPr>
          </w:p>
        </w:tc>
        <w:tc>
          <w:tcPr>
            <w:tcW w:w="1738" w:type="dxa"/>
            <w:noWrap/>
            <w:vAlign w:val="center"/>
          </w:tcPr>
          <w:p w14:paraId="130EAD93">
            <w:pPr>
              <w:pStyle w:val="29"/>
              <w:spacing w:line="0" w:lineRule="atLeast"/>
              <w:jc w:val="center"/>
              <w:rPr>
                <w:rFonts w:hAnsi="宋体" w:cs="宋体"/>
                <w:snapToGrid w:val="0"/>
                <w:sz w:val="24"/>
              </w:rPr>
            </w:pPr>
          </w:p>
        </w:tc>
        <w:tc>
          <w:tcPr>
            <w:tcW w:w="1277" w:type="dxa"/>
            <w:noWrap/>
            <w:vAlign w:val="center"/>
          </w:tcPr>
          <w:p w14:paraId="02F83C68">
            <w:pPr>
              <w:pStyle w:val="29"/>
              <w:spacing w:line="0" w:lineRule="atLeast"/>
              <w:jc w:val="center"/>
              <w:rPr>
                <w:rFonts w:hAnsi="宋体" w:cs="宋体"/>
                <w:snapToGrid w:val="0"/>
                <w:sz w:val="24"/>
              </w:rPr>
            </w:pPr>
          </w:p>
        </w:tc>
        <w:tc>
          <w:tcPr>
            <w:tcW w:w="1263" w:type="dxa"/>
            <w:noWrap/>
            <w:vAlign w:val="center"/>
          </w:tcPr>
          <w:p w14:paraId="6C65395D">
            <w:pPr>
              <w:pStyle w:val="29"/>
              <w:spacing w:line="0" w:lineRule="atLeast"/>
              <w:jc w:val="center"/>
              <w:rPr>
                <w:rFonts w:hAnsi="宋体" w:cs="宋体"/>
                <w:snapToGrid w:val="0"/>
                <w:sz w:val="24"/>
              </w:rPr>
            </w:pPr>
          </w:p>
        </w:tc>
      </w:tr>
      <w:tr w14:paraId="671E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ign w:val="center"/>
          </w:tcPr>
          <w:p w14:paraId="670E17D5">
            <w:pPr>
              <w:pStyle w:val="29"/>
              <w:spacing w:line="0" w:lineRule="atLeast"/>
              <w:jc w:val="center"/>
              <w:rPr>
                <w:rFonts w:hAnsi="宋体" w:cs="宋体"/>
                <w:snapToGrid w:val="0"/>
                <w:sz w:val="24"/>
              </w:rPr>
            </w:pPr>
            <w:r>
              <w:rPr>
                <w:rFonts w:hint="eastAsia" w:hAnsi="宋体" w:cs="宋体"/>
                <w:snapToGrid w:val="0"/>
                <w:sz w:val="24"/>
              </w:rPr>
              <w:t>2</w:t>
            </w:r>
          </w:p>
        </w:tc>
        <w:tc>
          <w:tcPr>
            <w:tcW w:w="2202" w:type="dxa"/>
            <w:noWrap/>
            <w:vAlign w:val="center"/>
          </w:tcPr>
          <w:p w14:paraId="12606057">
            <w:pPr>
              <w:pStyle w:val="29"/>
              <w:spacing w:line="0" w:lineRule="atLeast"/>
              <w:jc w:val="center"/>
              <w:rPr>
                <w:rFonts w:hAnsi="宋体" w:cs="宋体"/>
                <w:snapToGrid w:val="0"/>
                <w:sz w:val="24"/>
              </w:rPr>
            </w:pPr>
          </w:p>
        </w:tc>
        <w:tc>
          <w:tcPr>
            <w:tcW w:w="1683" w:type="dxa"/>
            <w:noWrap/>
            <w:vAlign w:val="center"/>
          </w:tcPr>
          <w:p w14:paraId="5B704DF6">
            <w:pPr>
              <w:pStyle w:val="29"/>
              <w:spacing w:line="0" w:lineRule="atLeast"/>
              <w:jc w:val="center"/>
              <w:rPr>
                <w:rFonts w:hAnsi="宋体" w:cs="宋体"/>
                <w:snapToGrid w:val="0"/>
                <w:sz w:val="24"/>
              </w:rPr>
            </w:pPr>
          </w:p>
        </w:tc>
        <w:tc>
          <w:tcPr>
            <w:tcW w:w="1738" w:type="dxa"/>
            <w:noWrap/>
            <w:vAlign w:val="center"/>
          </w:tcPr>
          <w:p w14:paraId="1BB1859A">
            <w:pPr>
              <w:pStyle w:val="29"/>
              <w:spacing w:line="0" w:lineRule="atLeast"/>
              <w:jc w:val="center"/>
              <w:rPr>
                <w:rFonts w:hAnsi="宋体" w:cs="宋体"/>
                <w:snapToGrid w:val="0"/>
                <w:sz w:val="24"/>
              </w:rPr>
            </w:pPr>
          </w:p>
        </w:tc>
        <w:tc>
          <w:tcPr>
            <w:tcW w:w="1277" w:type="dxa"/>
            <w:noWrap/>
            <w:vAlign w:val="center"/>
          </w:tcPr>
          <w:p w14:paraId="6B3654E0">
            <w:pPr>
              <w:pStyle w:val="29"/>
              <w:spacing w:line="0" w:lineRule="atLeast"/>
              <w:jc w:val="center"/>
              <w:rPr>
                <w:rFonts w:hAnsi="宋体" w:cs="宋体"/>
                <w:snapToGrid w:val="0"/>
                <w:sz w:val="24"/>
              </w:rPr>
            </w:pPr>
          </w:p>
        </w:tc>
        <w:tc>
          <w:tcPr>
            <w:tcW w:w="1263" w:type="dxa"/>
            <w:noWrap/>
            <w:vAlign w:val="center"/>
          </w:tcPr>
          <w:p w14:paraId="039D0258">
            <w:pPr>
              <w:pStyle w:val="29"/>
              <w:spacing w:line="0" w:lineRule="atLeast"/>
              <w:jc w:val="center"/>
              <w:rPr>
                <w:rFonts w:hAnsi="宋体" w:cs="宋体"/>
                <w:snapToGrid w:val="0"/>
                <w:sz w:val="24"/>
              </w:rPr>
            </w:pPr>
          </w:p>
        </w:tc>
      </w:tr>
      <w:tr w14:paraId="2F8D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ign w:val="center"/>
          </w:tcPr>
          <w:p w14:paraId="7561CD57">
            <w:pPr>
              <w:pStyle w:val="29"/>
              <w:spacing w:line="0" w:lineRule="atLeast"/>
              <w:jc w:val="center"/>
              <w:rPr>
                <w:rFonts w:hAnsi="宋体" w:cs="宋体"/>
                <w:snapToGrid w:val="0"/>
                <w:sz w:val="24"/>
              </w:rPr>
            </w:pPr>
            <w:r>
              <w:rPr>
                <w:rFonts w:hint="eastAsia" w:hAnsi="宋体" w:cs="宋体"/>
                <w:snapToGrid w:val="0"/>
                <w:sz w:val="24"/>
              </w:rPr>
              <w:t>3</w:t>
            </w:r>
          </w:p>
        </w:tc>
        <w:tc>
          <w:tcPr>
            <w:tcW w:w="2202" w:type="dxa"/>
            <w:noWrap/>
            <w:vAlign w:val="center"/>
          </w:tcPr>
          <w:p w14:paraId="5B325FCC">
            <w:pPr>
              <w:pStyle w:val="29"/>
              <w:spacing w:line="0" w:lineRule="atLeast"/>
              <w:jc w:val="center"/>
              <w:rPr>
                <w:rFonts w:hAnsi="宋体" w:cs="宋体"/>
                <w:snapToGrid w:val="0"/>
                <w:sz w:val="24"/>
              </w:rPr>
            </w:pPr>
          </w:p>
        </w:tc>
        <w:tc>
          <w:tcPr>
            <w:tcW w:w="1683" w:type="dxa"/>
            <w:noWrap/>
            <w:vAlign w:val="center"/>
          </w:tcPr>
          <w:p w14:paraId="7709141E">
            <w:pPr>
              <w:pStyle w:val="29"/>
              <w:spacing w:line="0" w:lineRule="atLeast"/>
              <w:jc w:val="center"/>
              <w:rPr>
                <w:rFonts w:hAnsi="宋体" w:cs="宋体"/>
                <w:snapToGrid w:val="0"/>
                <w:sz w:val="24"/>
              </w:rPr>
            </w:pPr>
          </w:p>
        </w:tc>
        <w:tc>
          <w:tcPr>
            <w:tcW w:w="1738" w:type="dxa"/>
            <w:noWrap/>
            <w:vAlign w:val="center"/>
          </w:tcPr>
          <w:p w14:paraId="4729B0B9">
            <w:pPr>
              <w:pStyle w:val="29"/>
              <w:spacing w:line="0" w:lineRule="atLeast"/>
              <w:jc w:val="center"/>
              <w:rPr>
                <w:rFonts w:hAnsi="宋体" w:cs="宋体"/>
                <w:snapToGrid w:val="0"/>
                <w:sz w:val="24"/>
              </w:rPr>
            </w:pPr>
          </w:p>
        </w:tc>
        <w:tc>
          <w:tcPr>
            <w:tcW w:w="1277" w:type="dxa"/>
            <w:noWrap/>
            <w:vAlign w:val="center"/>
          </w:tcPr>
          <w:p w14:paraId="20DE847F">
            <w:pPr>
              <w:pStyle w:val="29"/>
              <w:spacing w:line="0" w:lineRule="atLeast"/>
              <w:jc w:val="center"/>
              <w:rPr>
                <w:rFonts w:hAnsi="宋体" w:cs="宋体"/>
                <w:snapToGrid w:val="0"/>
                <w:sz w:val="24"/>
              </w:rPr>
            </w:pPr>
          </w:p>
        </w:tc>
        <w:tc>
          <w:tcPr>
            <w:tcW w:w="1263" w:type="dxa"/>
            <w:noWrap/>
            <w:vAlign w:val="center"/>
          </w:tcPr>
          <w:p w14:paraId="6C41A4E7">
            <w:pPr>
              <w:pStyle w:val="29"/>
              <w:spacing w:line="0" w:lineRule="atLeast"/>
              <w:jc w:val="center"/>
              <w:rPr>
                <w:rFonts w:hAnsi="宋体" w:cs="宋体"/>
                <w:snapToGrid w:val="0"/>
                <w:sz w:val="24"/>
              </w:rPr>
            </w:pPr>
          </w:p>
        </w:tc>
      </w:tr>
      <w:tr w14:paraId="210A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ign w:val="center"/>
          </w:tcPr>
          <w:p w14:paraId="7C1A492C">
            <w:pPr>
              <w:pStyle w:val="29"/>
              <w:spacing w:line="0" w:lineRule="atLeast"/>
              <w:rPr>
                <w:rFonts w:hAnsi="宋体" w:cs="宋体"/>
                <w:b/>
                <w:snapToGrid w:val="0"/>
                <w:sz w:val="24"/>
              </w:rPr>
            </w:pPr>
            <w:r>
              <w:rPr>
                <w:rFonts w:hint="eastAsia" w:hAnsi="宋体" w:cs="宋体"/>
                <w:b/>
                <w:snapToGrid w:val="0"/>
                <w:sz w:val="24"/>
              </w:rPr>
              <w:t>...</w:t>
            </w:r>
          </w:p>
        </w:tc>
        <w:tc>
          <w:tcPr>
            <w:tcW w:w="2202" w:type="dxa"/>
            <w:noWrap/>
            <w:vAlign w:val="center"/>
          </w:tcPr>
          <w:p w14:paraId="4533E78F">
            <w:pPr>
              <w:pStyle w:val="29"/>
              <w:spacing w:line="0" w:lineRule="atLeast"/>
              <w:jc w:val="center"/>
              <w:rPr>
                <w:rFonts w:hAnsi="宋体" w:cs="宋体"/>
                <w:snapToGrid w:val="0"/>
                <w:sz w:val="24"/>
              </w:rPr>
            </w:pPr>
          </w:p>
        </w:tc>
        <w:tc>
          <w:tcPr>
            <w:tcW w:w="1683" w:type="dxa"/>
            <w:noWrap/>
            <w:vAlign w:val="center"/>
          </w:tcPr>
          <w:p w14:paraId="4B23BF1E">
            <w:pPr>
              <w:pStyle w:val="29"/>
              <w:spacing w:line="0" w:lineRule="atLeast"/>
              <w:jc w:val="center"/>
              <w:rPr>
                <w:rFonts w:hAnsi="宋体" w:cs="宋体"/>
                <w:snapToGrid w:val="0"/>
                <w:sz w:val="24"/>
              </w:rPr>
            </w:pPr>
          </w:p>
        </w:tc>
        <w:tc>
          <w:tcPr>
            <w:tcW w:w="1738" w:type="dxa"/>
            <w:noWrap/>
            <w:vAlign w:val="center"/>
          </w:tcPr>
          <w:p w14:paraId="12691ECB">
            <w:pPr>
              <w:pStyle w:val="29"/>
              <w:spacing w:line="0" w:lineRule="atLeast"/>
              <w:jc w:val="center"/>
              <w:rPr>
                <w:rFonts w:hAnsi="宋体" w:cs="宋体"/>
                <w:snapToGrid w:val="0"/>
                <w:sz w:val="24"/>
              </w:rPr>
            </w:pPr>
          </w:p>
        </w:tc>
        <w:tc>
          <w:tcPr>
            <w:tcW w:w="1277" w:type="dxa"/>
            <w:noWrap/>
            <w:vAlign w:val="center"/>
          </w:tcPr>
          <w:p w14:paraId="6BC0A685">
            <w:pPr>
              <w:pStyle w:val="29"/>
              <w:spacing w:line="0" w:lineRule="atLeast"/>
              <w:jc w:val="center"/>
              <w:rPr>
                <w:rFonts w:hAnsi="宋体" w:cs="宋体"/>
                <w:snapToGrid w:val="0"/>
                <w:sz w:val="24"/>
              </w:rPr>
            </w:pPr>
          </w:p>
        </w:tc>
        <w:tc>
          <w:tcPr>
            <w:tcW w:w="1263" w:type="dxa"/>
            <w:noWrap/>
            <w:vAlign w:val="center"/>
          </w:tcPr>
          <w:p w14:paraId="3F22B5FC">
            <w:pPr>
              <w:pStyle w:val="29"/>
              <w:spacing w:line="0" w:lineRule="atLeast"/>
              <w:jc w:val="center"/>
              <w:rPr>
                <w:rFonts w:hAnsi="宋体" w:cs="宋体"/>
                <w:snapToGrid w:val="0"/>
                <w:sz w:val="24"/>
              </w:rPr>
            </w:pPr>
          </w:p>
        </w:tc>
      </w:tr>
      <w:tr w14:paraId="6604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ign w:val="center"/>
          </w:tcPr>
          <w:p w14:paraId="2F5316C4">
            <w:pPr>
              <w:pStyle w:val="29"/>
              <w:spacing w:line="0" w:lineRule="atLeast"/>
              <w:jc w:val="center"/>
              <w:rPr>
                <w:rFonts w:hAnsi="宋体" w:cs="宋体"/>
                <w:snapToGrid w:val="0"/>
                <w:sz w:val="24"/>
              </w:rPr>
            </w:pPr>
          </w:p>
        </w:tc>
        <w:tc>
          <w:tcPr>
            <w:tcW w:w="2202" w:type="dxa"/>
            <w:noWrap/>
            <w:vAlign w:val="center"/>
          </w:tcPr>
          <w:p w14:paraId="3D943B6D">
            <w:pPr>
              <w:pStyle w:val="29"/>
              <w:spacing w:line="0" w:lineRule="atLeast"/>
              <w:jc w:val="center"/>
              <w:rPr>
                <w:rFonts w:hAnsi="宋体" w:cs="宋体"/>
                <w:snapToGrid w:val="0"/>
                <w:sz w:val="24"/>
              </w:rPr>
            </w:pPr>
          </w:p>
        </w:tc>
        <w:tc>
          <w:tcPr>
            <w:tcW w:w="1683" w:type="dxa"/>
            <w:noWrap/>
            <w:vAlign w:val="center"/>
          </w:tcPr>
          <w:p w14:paraId="2A1119B7">
            <w:pPr>
              <w:pStyle w:val="29"/>
              <w:spacing w:line="0" w:lineRule="atLeast"/>
              <w:jc w:val="center"/>
              <w:rPr>
                <w:rFonts w:hAnsi="宋体" w:cs="宋体"/>
                <w:snapToGrid w:val="0"/>
                <w:sz w:val="24"/>
              </w:rPr>
            </w:pPr>
          </w:p>
        </w:tc>
        <w:tc>
          <w:tcPr>
            <w:tcW w:w="1738" w:type="dxa"/>
            <w:noWrap/>
            <w:vAlign w:val="center"/>
          </w:tcPr>
          <w:p w14:paraId="3766C8F0">
            <w:pPr>
              <w:pStyle w:val="29"/>
              <w:spacing w:line="0" w:lineRule="atLeast"/>
              <w:jc w:val="center"/>
              <w:rPr>
                <w:rFonts w:hAnsi="宋体" w:cs="宋体"/>
                <w:snapToGrid w:val="0"/>
                <w:sz w:val="24"/>
              </w:rPr>
            </w:pPr>
          </w:p>
        </w:tc>
        <w:tc>
          <w:tcPr>
            <w:tcW w:w="1277" w:type="dxa"/>
            <w:noWrap/>
            <w:vAlign w:val="center"/>
          </w:tcPr>
          <w:p w14:paraId="7D54FBF6">
            <w:pPr>
              <w:pStyle w:val="29"/>
              <w:spacing w:line="0" w:lineRule="atLeast"/>
              <w:jc w:val="center"/>
              <w:rPr>
                <w:rFonts w:hAnsi="宋体" w:cs="宋体"/>
                <w:snapToGrid w:val="0"/>
                <w:sz w:val="24"/>
              </w:rPr>
            </w:pPr>
          </w:p>
        </w:tc>
        <w:tc>
          <w:tcPr>
            <w:tcW w:w="1263" w:type="dxa"/>
            <w:noWrap/>
            <w:vAlign w:val="center"/>
          </w:tcPr>
          <w:p w14:paraId="6586B852">
            <w:pPr>
              <w:pStyle w:val="29"/>
              <w:spacing w:line="0" w:lineRule="atLeast"/>
              <w:jc w:val="center"/>
              <w:rPr>
                <w:rFonts w:hAnsi="宋体" w:cs="宋体"/>
                <w:snapToGrid w:val="0"/>
                <w:sz w:val="24"/>
              </w:rPr>
            </w:pPr>
          </w:p>
        </w:tc>
      </w:tr>
      <w:tr w14:paraId="617B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ign w:val="center"/>
          </w:tcPr>
          <w:p w14:paraId="5A8ACB14">
            <w:pPr>
              <w:pStyle w:val="29"/>
              <w:spacing w:line="0" w:lineRule="atLeast"/>
              <w:jc w:val="center"/>
              <w:rPr>
                <w:rFonts w:hAnsi="宋体" w:cs="宋体"/>
                <w:snapToGrid w:val="0"/>
                <w:sz w:val="24"/>
              </w:rPr>
            </w:pPr>
          </w:p>
        </w:tc>
        <w:tc>
          <w:tcPr>
            <w:tcW w:w="2202" w:type="dxa"/>
            <w:noWrap/>
            <w:vAlign w:val="center"/>
          </w:tcPr>
          <w:p w14:paraId="7B247F8E">
            <w:pPr>
              <w:pStyle w:val="29"/>
              <w:spacing w:line="0" w:lineRule="atLeast"/>
              <w:jc w:val="center"/>
              <w:rPr>
                <w:rFonts w:hAnsi="宋体" w:cs="宋体"/>
                <w:snapToGrid w:val="0"/>
                <w:sz w:val="24"/>
              </w:rPr>
            </w:pPr>
          </w:p>
        </w:tc>
        <w:tc>
          <w:tcPr>
            <w:tcW w:w="1683" w:type="dxa"/>
            <w:noWrap/>
            <w:vAlign w:val="center"/>
          </w:tcPr>
          <w:p w14:paraId="7EBF3995">
            <w:pPr>
              <w:pStyle w:val="29"/>
              <w:spacing w:line="0" w:lineRule="atLeast"/>
              <w:jc w:val="center"/>
              <w:rPr>
                <w:rFonts w:hAnsi="宋体" w:cs="宋体"/>
                <w:snapToGrid w:val="0"/>
                <w:sz w:val="24"/>
              </w:rPr>
            </w:pPr>
          </w:p>
        </w:tc>
        <w:tc>
          <w:tcPr>
            <w:tcW w:w="1738" w:type="dxa"/>
            <w:noWrap/>
            <w:vAlign w:val="center"/>
          </w:tcPr>
          <w:p w14:paraId="7AC83BEB">
            <w:pPr>
              <w:pStyle w:val="29"/>
              <w:spacing w:line="0" w:lineRule="atLeast"/>
              <w:jc w:val="center"/>
              <w:rPr>
                <w:rFonts w:hAnsi="宋体" w:cs="宋体"/>
                <w:snapToGrid w:val="0"/>
                <w:sz w:val="24"/>
              </w:rPr>
            </w:pPr>
          </w:p>
        </w:tc>
        <w:tc>
          <w:tcPr>
            <w:tcW w:w="1277" w:type="dxa"/>
            <w:noWrap/>
            <w:vAlign w:val="center"/>
          </w:tcPr>
          <w:p w14:paraId="242729BA">
            <w:pPr>
              <w:pStyle w:val="29"/>
              <w:spacing w:line="0" w:lineRule="atLeast"/>
              <w:jc w:val="center"/>
              <w:rPr>
                <w:rFonts w:hAnsi="宋体" w:cs="宋体"/>
                <w:snapToGrid w:val="0"/>
                <w:sz w:val="24"/>
              </w:rPr>
            </w:pPr>
          </w:p>
        </w:tc>
        <w:tc>
          <w:tcPr>
            <w:tcW w:w="1263" w:type="dxa"/>
            <w:noWrap/>
            <w:vAlign w:val="center"/>
          </w:tcPr>
          <w:p w14:paraId="19C295F9">
            <w:pPr>
              <w:pStyle w:val="29"/>
              <w:spacing w:line="0" w:lineRule="atLeast"/>
              <w:jc w:val="center"/>
              <w:rPr>
                <w:rFonts w:hAnsi="宋体" w:cs="宋体"/>
                <w:snapToGrid w:val="0"/>
                <w:sz w:val="24"/>
              </w:rPr>
            </w:pPr>
          </w:p>
        </w:tc>
      </w:tr>
    </w:tbl>
    <w:p w14:paraId="3EC5BCF6">
      <w:pPr>
        <w:spacing w:line="0" w:lineRule="atLeast"/>
        <w:jc w:val="left"/>
        <w:rPr>
          <w:rFonts w:ascii="宋体" w:hAnsi="宋体" w:cs="宋体"/>
          <w:b/>
          <w:szCs w:val="21"/>
        </w:rPr>
      </w:pPr>
      <w:r>
        <w:rPr>
          <w:rFonts w:hint="eastAsia" w:ascii="宋体" w:hAnsi="宋体" w:cs="宋体"/>
          <w:b/>
          <w:szCs w:val="21"/>
        </w:rPr>
        <w:t>注：1、每项业绩须提供采购合同文本原件扫描件并加盖电子签章，业绩日期以合同签订时间为准；</w:t>
      </w:r>
    </w:p>
    <w:p w14:paraId="5458CE53">
      <w:pPr>
        <w:spacing w:line="0" w:lineRule="atLeast"/>
        <w:jc w:val="left"/>
        <w:rPr>
          <w:rFonts w:ascii="宋体" w:hAnsi="宋体" w:cs="宋体"/>
          <w:b/>
          <w:szCs w:val="21"/>
        </w:rPr>
      </w:pPr>
      <w:r>
        <w:rPr>
          <w:rFonts w:hint="eastAsia" w:ascii="宋体" w:hAnsi="宋体" w:cs="宋体"/>
          <w:b/>
          <w:szCs w:val="21"/>
        </w:rPr>
        <w:t>2、合同签订时间为有效时间节点；</w:t>
      </w:r>
    </w:p>
    <w:p w14:paraId="346B88DA">
      <w:pPr>
        <w:spacing w:line="0" w:lineRule="atLeast"/>
        <w:jc w:val="left"/>
        <w:rPr>
          <w:rFonts w:ascii="宋体" w:hAnsi="宋体" w:cs="宋体"/>
          <w:b/>
          <w:sz w:val="24"/>
        </w:rPr>
      </w:pPr>
      <w:r>
        <w:rPr>
          <w:rFonts w:hint="eastAsia" w:ascii="宋体" w:hAnsi="宋体" w:cs="宋体"/>
          <w:b/>
          <w:szCs w:val="21"/>
        </w:rPr>
        <w:t>3、本表可在不改变格式的情况下根据具体需要自行增减。</w:t>
      </w:r>
    </w:p>
    <w:p w14:paraId="119ABF75">
      <w:pPr>
        <w:shd w:val="clear" w:color="auto" w:fill="FFFFFF"/>
        <w:snapToGrid w:val="0"/>
        <w:ind w:firstLine="3280" w:firstLineChars="1556"/>
        <w:jc w:val="left"/>
        <w:rPr>
          <w:rFonts w:hAnsi="宋体"/>
          <w:b/>
        </w:rPr>
      </w:pPr>
    </w:p>
    <w:p w14:paraId="47DAEA37">
      <w:pPr>
        <w:shd w:val="clear" w:color="auto" w:fill="FFFFFF"/>
        <w:snapToGrid w:val="0"/>
        <w:ind w:firstLine="3280" w:firstLineChars="1556"/>
        <w:jc w:val="left"/>
        <w:rPr>
          <w:rFonts w:hAnsi="宋体"/>
          <w:b/>
        </w:rPr>
      </w:pPr>
    </w:p>
    <w:p w14:paraId="75965989">
      <w:pPr>
        <w:shd w:val="clear" w:color="auto" w:fill="FFFFFF"/>
        <w:snapToGrid w:val="0"/>
        <w:ind w:firstLine="3280" w:firstLineChars="1556"/>
        <w:jc w:val="left"/>
        <w:rPr>
          <w:rFonts w:hAnsi="宋体"/>
          <w:b/>
        </w:rPr>
      </w:pPr>
    </w:p>
    <w:p w14:paraId="3682954F">
      <w:pPr>
        <w:shd w:val="clear" w:color="auto" w:fill="FFFFFF"/>
        <w:snapToGrid w:val="0"/>
        <w:ind w:firstLine="3280" w:firstLineChars="1556"/>
        <w:jc w:val="left"/>
        <w:rPr>
          <w:rFonts w:hAnsi="宋体"/>
          <w:b/>
        </w:rPr>
      </w:pPr>
    </w:p>
    <w:p w14:paraId="69634257">
      <w:pPr>
        <w:shd w:val="clear" w:color="auto" w:fill="FFFFFF"/>
        <w:snapToGrid w:val="0"/>
        <w:ind w:firstLine="3280" w:firstLineChars="1556"/>
        <w:jc w:val="left"/>
        <w:rPr>
          <w:rFonts w:hAnsi="宋体"/>
          <w:b/>
        </w:rPr>
      </w:pPr>
    </w:p>
    <w:p w14:paraId="067180EC">
      <w:pPr>
        <w:shd w:val="clear" w:color="auto" w:fill="FFFFFF"/>
        <w:snapToGrid w:val="0"/>
        <w:ind w:firstLine="3280" w:firstLineChars="1556"/>
        <w:jc w:val="left"/>
        <w:rPr>
          <w:rFonts w:hAnsi="宋体"/>
          <w:b/>
        </w:rPr>
      </w:pPr>
    </w:p>
    <w:p w14:paraId="2A5DD529">
      <w:pPr>
        <w:shd w:val="clear" w:color="auto" w:fill="FFFFFF"/>
        <w:snapToGrid w:val="0"/>
        <w:ind w:firstLine="3280" w:firstLineChars="1556"/>
        <w:jc w:val="left"/>
        <w:rPr>
          <w:rFonts w:hAnsi="宋体"/>
          <w:b/>
        </w:rPr>
      </w:pPr>
    </w:p>
    <w:p w14:paraId="68F0D91B">
      <w:pPr>
        <w:spacing w:line="0" w:lineRule="atLeast"/>
        <w:jc w:val="right"/>
        <w:rPr>
          <w:rFonts w:ascii="宋体" w:hAnsi="宋体"/>
          <w:b/>
          <w:sz w:val="36"/>
          <w:szCs w:val="36"/>
        </w:rPr>
      </w:pPr>
      <w:r>
        <w:rPr>
          <w:rFonts w:ascii="宋体" w:hAnsi="宋体"/>
          <w:b/>
          <w:bCs/>
          <w:sz w:val="24"/>
        </w:rPr>
        <w:t xml:space="preserve">  投标人盖章：      </w:t>
      </w:r>
    </w:p>
    <w:p w14:paraId="002C64D2">
      <w:pPr>
        <w:spacing w:line="0" w:lineRule="atLeast"/>
        <w:jc w:val="right"/>
        <w:rPr>
          <w:rFonts w:ascii="宋体" w:hAnsi="宋体"/>
          <w:b/>
          <w:sz w:val="36"/>
          <w:szCs w:val="36"/>
        </w:rPr>
      </w:pPr>
      <w:r>
        <w:rPr>
          <w:rFonts w:ascii="宋体" w:hAnsi="宋体"/>
          <w:b/>
          <w:bCs/>
          <w:sz w:val="24"/>
        </w:rPr>
        <w:t xml:space="preserve">法定代表人（或授权委托人）签字或盖章：    </w:t>
      </w:r>
    </w:p>
    <w:p w14:paraId="5BB7984E">
      <w:pPr>
        <w:spacing w:line="0" w:lineRule="atLeast"/>
        <w:jc w:val="right"/>
        <w:rPr>
          <w:rFonts w:ascii="宋体" w:hAnsi="宋体"/>
          <w:b/>
          <w:sz w:val="24"/>
        </w:rPr>
      </w:pPr>
      <w:r>
        <w:rPr>
          <w:rFonts w:ascii="宋体" w:hAnsi="宋体"/>
          <w:b/>
          <w:sz w:val="24"/>
        </w:rPr>
        <w:t>日期：</w:t>
      </w:r>
    </w:p>
    <w:p w14:paraId="3516446C">
      <w:pPr>
        <w:shd w:val="clear" w:color="auto" w:fill="FFFFFF"/>
        <w:snapToGrid w:val="0"/>
        <w:ind w:firstLine="3280" w:firstLineChars="1556"/>
        <w:jc w:val="left"/>
        <w:rPr>
          <w:rFonts w:hAnsi="宋体"/>
          <w:b/>
        </w:rPr>
      </w:pPr>
    </w:p>
    <w:p w14:paraId="175EF4EA">
      <w:pPr>
        <w:shd w:val="clear" w:color="auto" w:fill="FFFFFF"/>
        <w:snapToGrid w:val="0"/>
        <w:ind w:firstLine="3280" w:firstLineChars="1556"/>
        <w:jc w:val="left"/>
        <w:rPr>
          <w:rFonts w:hAnsi="宋体"/>
          <w:b/>
        </w:rPr>
      </w:pPr>
    </w:p>
    <w:p w14:paraId="7982AA44">
      <w:pPr>
        <w:shd w:val="clear" w:color="auto" w:fill="FFFFFF"/>
        <w:snapToGrid w:val="0"/>
        <w:ind w:firstLine="3280" w:firstLineChars="1556"/>
        <w:jc w:val="left"/>
        <w:rPr>
          <w:rFonts w:hAnsi="宋体"/>
          <w:b/>
        </w:rPr>
      </w:pPr>
    </w:p>
    <w:p w14:paraId="42FF487B">
      <w:pPr>
        <w:shd w:val="clear" w:color="auto" w:fill="FFFFFF"/>
        <w:snapToGrid w:val="0"/>
        <w:ind w:firstLine="3280" w:firstLineChars="1556"/>
        <w:jc w:val="left"/>
        <w:rPr>
          <w:rFonts w:hAnsi="宋体"/>
          <w:b/>
        </w:rPr>
      </w:pPr>
    </w:p>
    <w:p w14:paraId="16921D0B">
      <w:pPr>
        <w:shd w:val="clear" w:color="auto" w:fill="FFFFFF"/>
        <w:snapToGrid w:val="0"/>
        <w:ind w:firstLine="3280" w:firstLineChars="1556"/>
        <w:jc w:val="left"/>
        <w:rPr>
          <w:rFonts w:hAnsi="宋体"/>
          <w:b/>
        </w:rPr>
      </w:pPr>
    </w:p>
    <w:p w14:paraId="79240FE0">
      <w:pPr>
        <w:shd w:val="clear" w:color="auto" w:fill="FFFFFF"/>
        <w:snapToGrid w:val="0"/>
        <w:ind w:firstLine="3280" w:firstLineChars="1556"/>
        <w:jc w:val="left"/>
        <w:rPr>
          <w:rFonts w:hAnsi="宋体"/>
          <w:b/>
        </w:rPr>
      </w:pPr>
    </w:p>
    <w:p w14:paraId="5F1274AC">
      <w:pPr>
        <w:shd w:val="clear" w:color="auto" w:fill="FFFFFF"/>
        <w:snapToGrid w:val="0"/>
        <w:ind w:firstLine="3280" w:firstLineChars="1556"/>
        <w:jc w:val="left"/>
        <w:rPr>
          <w:rFonts w:hAnsi="宋体"/>
          <w:b/>
        </w:rPr>
      </w:pPr>
    </w:p>
    <w:p w14:paraId="3349EB79">
      <w:pPr>
        <w:shd w:val="clear" w:color="auto" w:fill="FFFFFF"/>
        <w:snapToGrid w:val="0"/>
        <w:jc w:val="left"/>
        <w:rPr>
          <w:rFonts w:hAnsi="宋体"/>
          <w:b/>
        </w:rPr>
      </w:pPr>
    </w:p>
    <w:p w14:paraId="67A12D4D">
      <w:pPr>
        <w:shd w:val="clear" w:color="auto" w:fill="FFFFFF"/>
        <w:snapToGrid w:val="0"/>
        <w:jc w:val="left"/>
        <w:rPr>
          <w:rFonts w:hAnsi="宋体"/>
          <w:b/>
        </w:rPr>
      </w:pPr>
    </w:p>
    <w:p w14:paraId="61F55981">
      <w:pPr>
        <w:shd w:val="clear" w:color="auto" w:fill="FFFFFF"/>
        <w:snapToGrid w:val="0"/>
        <w:jc w:val="left"/>
        <w:rPr>
          <w:rFonts w:hAnsi="宋体"/>
          <w:b/>
        </w:rPr>
      </w:pPr>
    </w:p>
    <w:p w14:paraId="7FF781F9">
      <w:pPr>
        <w:shd w:val="clear" w:color="auto" w:fill="FFFFFF"/>
        <w:snapToGrid w:val="0"/>
        <w:jc w:val="left"/>
        <w:rPr>
          <w:rFonts w:hAnsi="宋体"/>
          <w:b/>
          <w:sz w:val="24"/>
          <w:szCs w:val="32"/>
        </w:rPr>
      </w:pPr>
      <w:r>
        <w:rPr>
          <w:rFonts w:hint="eastAsia" w:hAnsi="宋体"/>
          <w:b/>
          <w:sz w:val="24"/>
          <w:szCs w:val="32"/>
        </w:rPr>
        <w:t>格式2.2.7：拟派项目负责人简历表格式：</w:t>
      </w:r>
    </w:p>
    <w:p w14:paraId="22FCF95D">
      <w:pPr>
        <w:tabs>
          <w:tab w:val="left" w:pos="2840"/>
          <w:tab w:val="left" w:pos="3780"/>
          <w:tab w:val="left" w:pos="5460"/>
          <w:tab w:val="left" w:pos="7140"/>
          <w:tab w:val="left" w:pos="8820"/>
          <w:tab w:val="left" w:pos="10500"/>
          <w:tab w:val="left" w:pos="12180"/>
        </w:tabs>
        <w:spacing w:line="400" w:lineRule="exact"/>
        <w:jc w:val="center"/>
        <w:rPr>
          <w:b/>
          <w:bCs/>
          <w:sz w:val="36"/>
          <w:szCs w:val="36"/>
        </w:rPr>
      </w:pPr>
      <w:r>
        <w:rPr>
          <w:rFonts w:hint="eastAsia" w:ascii="宋体" w:hAnsi="宋体"/>
          <w:b/>
          <w:bCs/>
          <w:sz w:val="36"/>
          <w:szCs w:val="36"/>
        </w:rPr>
        <w:t>7.项目负责人简历表</w:t>
      </w:r>
    </w:p>
    <w:p w14:paraId="5941E464">
      <w:pPr>
        <w:spacing w:line="480" w:lineRule="exact"/>
        <w:ind w:left="563" w:leftChars="268" w:firstLine="240" w:firstLineChars="100"/>
        <w:rPr>
          <w:rFonts w:ascii="宋体" w:hAnsi="宋体"/>
          <w:sz w:val="24"/>
        </w:rPr>
      </w:pPr>
      <w:r>
        <w:rPr>
          <w:rFonts w:hint="eastAsia" w:ascii="宋体" w:hAnsi="宋体"/>
          <w:sz w:val="24"/>
        </w:rPr>
        <w:t xml:space="preserve">项目名称：                             项目编号：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3"/>
        <w:gridCol w:w="1021"/>
        <w:gridCol w:w="1093"/>
        <w:gridCol w:w="969"/>
        <w:gridCol w:w="853"/>
        <w:gridCol w:w="1050"/>
        <w:gridCol w:w="892"/>
        <w:gridCol w:w="43"/>
        <w:gridCol w:w="1754"/>
      </w:tblGrid>
      <w:tr w14:paraId="537F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7" w:type="dxa"/>
            <w:gridSpan w:val="2"/>
            <w:noWrap/>
            <w:vAlign w:val="center"/>
          </w:tcPr>
          <w:p w14:paraId="6237A179">
            <w:pPr>
              <w:spacing w:line="0" w:lineRule="atLeast"/>
              <w:jc w:val="center"/>
              <w:rPr>
                <w:rFonts w:ascii="宋体" w:hAnsi="宋体"/>
                <w:bCs/>
                <w:szCs w:val="21"/>
              </w:rPr>
            </w:pPr>
            <w:r>
              <w:rPr>
                <w:rFonts w:hint="eastAsia" w:ascii="宋体" w:hAnsi="宋体"/>
                <w:bCs/>
                <w:szCs w:val="21"/>
              </w:rPr>
              <w:t>姓名</w:t>
            </w:r>
          </w:p>
        </w:tc>
        <w:tc>
          <w:tcPr>
            <w:tcW w:w="2114" w:type="dxa"/>
            <w:gridSpan w:val="2"/>
            <w:noWrap/>
            <w:vAlign w:val="center"/>
          </w:tcPr>
          <w:p w14:paraId="2F83B467">
            <w:pPr>
              <w:spacing w:line="0" w:lineRule="atLeast"/>
              <w:jc w:val="center"/>
              <w:rPr>
                <w:rFonts w:ascii="宋体" w:hAnsi="宋体"/>
                <w:bCs/>
                <w:szCs w:val="21"/>
              </w:rPr>
            </w:pPr>
          </w:p>
        </w:tc>
        <w:tc>
          <w:tcPr>
            <w:tcW w:w="969" w:type="dxa"/>
            <w:noWrap/>
            <w:vAlign w:val="center"/>
          </w:tcPr>
          <w:p w14:paraId="43CA897A">
            <w:pPr>
              <w:spacing w:line="0" w:lineRule="atLeast"/>
              <w:jc w:val="center"/>
              <w:rPr>
                <w:rFonts w:ascii="宋体" w:hAnsi="宋体"/>
                <w:bCs/>
                <w:szCs w:val="21"/>
              </w:rPr>
            </w:pPr>
            <w:r>
              <w:rPr>
                <w:rFonts w:hint="eastAsia" w:ascii="宋体" w:hAnsi="宋体"/>
                <w:bCs/>
                <w:szCs w:val="21"/>
              </w:rPr>
              <w:t>性别</w:t>
            </w:r>
          </w:p>
        </w:tc>
        <w:tc>
          <w:tcPr>
            <w:tcW w:w="1903" w:type="dxa"/>
            <w:gridSpan w:val="2"/>
            <w:noWrap/>
            <w:vAlign w:val="center"/>
          </w:tcPr>
          <w:p w14:paraId="7E8536E0">
            <w:pPr>
              <w:spacing w:line="0" w:lineRule="atLeast"/>
              <w:jc w:val="center"/>
              <w:rPr>
                <w:rFonts w:ascii="宋体" w:hAnsi="宋体"/>
                <w:bCs/>
                <w:szCs w:val="21"/>
              </w:rPr>
            </w:pPr>
          </w:p>
        </w:tc>
        <w:tc>
          <w:tcPr>
            <w:tcW w:w="892" w:type="dxa"/>
            <w:noWrap/>
            <w:vAlign w:val="center"/>
          </w:tcPr>
          <w:p w14:paraId="3E916725">
            <w:pPr>
              <w:spacing w:line="0" w:lineRule="atLeast"/>
              <w:jc w:val="center"/>
              <w:rPr>
                <w:rFonts w:ascii="宋体" w:hAnsi="宋体"/>
                <w:bCs/>
                <w:szCs w:val="21"/>
              </w:rPr>
            </w:pPr>
            <w:r>
              <w:rPr>
                <w:rFonts w:hint="eastAsia" w:ascii="宋体" w:hAnsi="宋体"/>
                <w:bCs/>
                <w:szCs w:val="21"/>
              </w:rPr>
              <w:t>年龄</w:t>
            </w:r>
          </w:p>
        </w:tc>
        <w:tc>
          <w:tcPr>
            <w:tcW w:w="1797" w:type="dxa"/>
            <w:gridSpan w:val="2"/>
            <w:noWrap/>
            <w:vAlign w:val="center"/>
          </w:tcPr>
          <w:p w14:paraId="0E911BD4">
            <w:pPr>
              <w:spacing w:line="0" w:lineRule="atLeast"/>
              <w:jc w:val="center"/>
              <w:rPr>
                <w:rFonts w:ascii="宋体" w:hAnsi="宋体"/>
                <w:bCs/>
                <w:szCs w:val="21"/>
              </w:rPr>
            </w:pPr>
          </w:p>
        </w:tc>
      </w:tr>
      <w:tr w14:paraId="0FEC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7" w:type="dxa"/>
            <w:gridSpan w:val="2"/>
            <w:noWrap/>
            <w:vAlign w:val="center"/>
          </w:tcPr>
          <w:p w14:paraId="23F1C7BF">
            <w:pPr>
              <w:spacing w:line="0" w:lineRule="atLeast"/>
              <w:jc w:val="center"/>
              <w:rPr>
                <w:rFonts w:ascii="宋体" w:hAnsi="宋体"/>
                <w:bCs/>
                <w:szCs w:val="21"/>
              </w:rPr>
            </w:pPr>
            <w:r>
              <w:rPr>
                <w:rFonts w:hint="eastAsia" w:ascii="宋体" w:hAnsi="宋体"/>
                <w:bCs/>
                <w:szCs w:val="21"/>
              </w:rPr>
              <w:t>职务</w:t>
            </w:r>
          </w:p>
        </w:tc>
        <w:tc>
          <w:tcPr>
            <w:tcW w:w="2114" w:type="dxa"/>
            <w:gridSpan w:val="2"/>
            <w:noWrap/>
            <w:vAlign w:val="center"/>
          </w:tcPr>
          <w:p w14:paraId="732E607D">
            <w:pPr>
              <w:spacing w:line="0" w:lineRule="atLeast"/>
              <w:jc w:val="center"/>
              <w:rPr>
                <w:rFonts w:ascii="宋体" w:hAnsi="宋体"/>
                <w:bCs/>
                <w:szCs w:val="21"/>
              </w:rPr>
            </w:pPr>
          </w:p>
        </w:tc>
        <w:tc>
          <w:tcPr>
            <w:tcW w:w="969" w:type="dxa"/>
            <w:noWrap/>
            <w:vAlign w:val="center"/>
          </w:tcPr>
          <w:p w14:paraId="116EE426">
            <w:pPr>
              <w:spacing w:line="0" w:lineRule="atLeast"/>
              <w:jc w:val="center"/>
              <w:rPr>
                <w:rFonts w:ascii="宋体" w:hAnsi="宋体"/>
                <w:bCs/>
                <w:szCs w:val="21"/>
              </w:rPr>
            </w:pPr>
            <w:r>
              <w:rPr>
                <w:rFonts w:hint="eastAsia" w:ascii="宋体" w:hAnsi="宋体"/>
                <w:bCs/>
                <w:szCs w:val="21"/>
              </w:rPr>
              <w:t>职称（或资质）</w:t>
            </w:r>
          </w:p>
        </w:tc>
        <w:tc>
          <w:tcPr>
            <w:tcW w:w="1903" w:type="dxa"/>
            <w:gridSpan w:val="2"/>
            <w:noWrap/>
            <w:vAlign w:val="center"/>
          </w:tcPr>
          <w:p w14:paraId="61738B47">
            <w:pPr>
              <w:spacing w:line="0" w:lineRule="atLeast"/>
              <w:jc w:val="center"/>
              <w:rPr>
                <w:rFonts w:ascii="宋体" w:hAnsi="宋体"/>
                <w:bCs/>
                <w:szCs w:val="21"/>
              </w:rPr>
            </w:pPr>
          </w:p>
        </w:tc>
        <w:tc>
          <w:tcPr>
            <w:tcW w:w="892" w:type="dxa"/>
            <w:noWrap/>
            <w:vAlign w:val="center"/>
          </w:tcPr>
          <w:p w14:paraId="3110D7AA">
            <w:pPr>
              <w:spacing w:line="0" w:lineRule="atLeast"/>
              <w:jc w:val="center"/>
              <w:rPr>
                <w:rFonts w:ascii="宋体" w:hAnsi="宋体"/>
                <w:bCs/>
                <w:szCs w:val="21"/>
              </w:rPr>
            </w:pPr>
            <w:r>
              <w:rPr>
                <w:rFonts w:hint="eastAsia" w:ascii="宋体" w:hAnsi="宋体"/>
                <w:bCs/>
                <w:szCs w:val="21"/>
              </w:rPr>
              <w:t>学历</w:t>
            </w:r>
          </w:p>
        </w:tc>
        <w:tc>
          <w:tcPr>
            <w:tcW w:w="1797" w:type="dxa"/>
            <w:gridSpan w:val="2"/>
            <w:noWrap/>
            <w:vAlign w:val="center"/>
          </w:tcPr>
          <w:p w14:paraId="67AE4884">
            <w:pPr>
              <w:spacing w:line="0" w:lineRule="atLeast"/>
              <w:jc w:val="center"/>
              <w:rPr>
                <w:rFonts w:ascii="宋体" w:hAnsi="宋体"/>
                <w:bCs/>
                <w:szCs w:val="21"/>
              </w:rPr>
            </w:pPr>
          </w:p>
        </w:tc>
      </w:tr>
      <w:tr w14:paraId="764C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68" w:type="dxa"/>
            <w:gridSpan w:val="3"/>
            <w:noWrap/>
            <w:vAlign w:val="center"/>
          </w:tcPr>
          <w:p w14:paraId="1E09B816">
            <w:pPr>
              <w:spacing w:line="0" w:lineRule="atLeast"/>
              <w:jc w:val="center"/>
              <w:rPr>
                <w:rFonts w:ascii="宋体" w:hAnsi="宋体"/>
                <w:bCs/>
                <w:szCs w:val="21"/>
              </w:rPr>
            </w:pPr>
            <w:r>
              <w:rPr>
                <w:rFonts w:hint="eastAsia" w:ascii="宋体" w:hAnsi="宋体"/>
                <w:bCs/>
                <w:szCs w:val="21"/>
              </w:rPr>
              <w:t>参加工作时间</w:t>
            </w:r>
          </w:p>
        </w:tc>
        <w:tc>
          <w:tcPr>
            <w:tcW w:w="2062" w:type="dxa"/>
            <w:gridSpan w:val="2"/>
            <w:noWrap/>
            <w:vAlign w:val="center"/>
          </w:tcPr>
          <w:p w14:paraId="0C3CEB6B">
            <w:pPr>
              <w:spacing w:line="0" w:lineRule="atLeast"/>
              <w:jc w:val="center"/>
              <w:rPr>
                <w:rFonts w:ascii="宋体" w:hAnsi="宋体"/>
                <w:bCs/>
                <w:szCs w:val="21"/>
              </w:rPr>
            </w:pPr>
          </w:p>
        </w:tc>
        <w:tc>
          <w:tcPr>
            <w:tcW w:w="2795" w:type="dxa"/>
            <w:gridSpan w:val="3"/>
            <w:noWrap/>
            <w:vAlign w:val="center"/>
          </w:tcPr>
          <w:p w14:paraId="758A257E">
            <w:pPr>
              <w:spacing w:line="0" w:lineRule="atLeast"/>
              <w:jc w:val="center"/>
              <w:rPr>
                <w:rFonts w:ascii="宋体" w:hAnsi="宋体"/>
                <w:bCs/>
                <w:szCs w:val="21"/>
              </w:rPr>
            </w:pPr>
            <w:r>
              <w:rPr>
                <w:rFonts w:hint="eastAsia" w:ascii="宋体" w:hAnsi="宋体"/>
                <w:bCs/>
                <w:szCs w:val="21"/>
              </w:rPr>
              <w:t>从事技术负责人年限</w:t>
            </w:r>
          </w:p>
        </w:tc>
        <w:tc>
          <w:tcPr>
            <w:tcW w:w="1797" w:type="dxa"/>
            <w:gridSpan w:val="2"/>
            <w:noWrap/>
            <w:vAlign w:val="center"/>
          </w:tcPr>
          <w:p w14:paraId="1FF94789">
            <w:pPr>
              <w:spacing w:line="0" w:lineRule="atLeast"/>
              <w:jc w:val="center"/>
              <w:rPr>
                <w:rFonts w:ascii="宋体" w:hAnsi="宋体"/>
                <w:bCs/>
                <w:szCs w:val="21"/>
              </w:rPr>
            </w:pPr>
          </w:p>
        </w:tc>
      </w:tr>
      <w:tr w14:paraId="3040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10"/>
            <w:noWrap/>
            <w:vAlign w:val="center"/>
          </w:tcPr>
          <w:p w14:paraId="5E22BBEF">
            <w:pPr>
              <w:spacing w:line="0" w:lineRule="atLeast"/>
              <w:jc w:val="center"/>
              <w:rPr>
                <w:rFonts w:ascii="宋体" w:hAnsi="宋体"/>
                <w:bCs/>
                <w:szCs w:val="21"/>
              </w:rPr>
            </w:pPr>
            <w:r>
              <w:rPr>
                <w:rFonts w:hint="eastAsia" w:hAnsi="宋体"/>
                <w:kern w:val="0"/>
              </w:rPr>
              <w:t>类似项目经验及荣获奖项情况</w:t>
            </w:r>
          </w:p>
        </w:tc>
      </w:tr>
      <w:tr w14:paraId="7D5F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4" w:type="dxa"/>
            <w:noWrap/>
            <w:vAlign w:val="center"/>
          </w:tcPr>
          <w:p w14:paraId="45D0C7F3">
            <w:pPr>
              <w:spacing w:line="0" w:lineRule="atLeast"/>
              <w:jc w:val="center"/>
              <w:rPr>
                <w:rFonts w:ascii="宋体" w:hAnsi="宋体"/>
                <w:bCs/>
                <w:szCs w:val="21"/>
              </w:rPr>
            </w:pPr>
            <w:r>
              <w:rPr>
                <w:rFonts w:hint="eastAsia" w:ascii="宋体" w:hAnsi="宋体"/>
                <w:bCs/>
                <w:szCs w:val="21"/>
              </w:rPr>
              <w:t>序号</w:t>
            </w:r>
          </w:p>
        </w:tc>
        <w:tc>
          <w:tcPr>
            <w:tcW w:w="3969" w:type="dxa"/>
            <w:gridSpan w:val="5"/>
            <w:noWrap/>
            <w:vAlign w:val="center"/>
          </w:tcPr>
          <w:p w14:paraId="1FC4EEA2">
            <w:pPr>
              <w:spacing w:line="0" w:lineRule="atLeast"/>
              <w:jc w:val="center"/>
              <w:rPr>
                <w:rFonts w:ascii="宋体" w:hAnsi="宋体"/>
                <w:bCs/>
                <w:szCs w:val="21"/>
              </w:rPr>
            </w:pPr>
            <w:r>
              <w:rPr>
                <w:rFonts w:hint="eastAsia" w:ascii="宋体" w:hAnsi="宋体"/>
                <w:bCs/>
                <w:szCs w:val="21"/>
              </w:rPr>
              <w:t>项目名称/荣获奖项名称</w:t>
            </w:r>
          </w:p>
        </w:tc>
        <w:tc>
          <w:tcPr>
            <w:tcW w:w="1985" w:type="dxa"/>
            <w:gridSpan w:val="3"/>
            <w:noWrap/>
            <w:vAlign w:val="center"/>
          </w:tcPr>
          <w:p w14:paraId="3336BE61">
            <w:pPr>
              <w:spacing w:line="0" w:lineRule="atLeast"/>
              <w:jc w:val="center"/>
              <w:rPr>
                <w:rFonts w:ascii="宋体" w:hAnsi="宋体"/>
                <w:bCs/>
                <w:szCs w:val="21"/>
              </w:rPr>
            </w:pPr>
            <w:r>
              <w:rPr>
                <w:rFonts w:hint="eastAsia" w:ascii="宋体" w:hAnsi="宋体"/>
                <w:bCs/>
                <w:szCs w:val="21"/>
              </w:rPr>
              <w:t>委托单位/颁发单位</w:t>
            </w:r>
          </w:p>
        </w:tc>
        <w:tc>
          <w:tcPr>
            <w:tcW w:w="1754" w:type="dxa"/>
            <w:noWrap/>
            <w:vAlign w:val="center"/>
          </w:tcPr>
          <w:p w14:paraId="3AAE6DFE">
            <w:pPr>
              <w:spacing w:line="0" w:lineRule="atLeast"/>
              <w:jc w:val="center"/>
              <w:rPr>
                <w:rFonts w:ascii="宋体" w:hAnsi="宋体"/>
                <w:bCs/>
                <w:szCs w:val="21"/>
              </w:rPr>
            </w:pPr>
            <w:r>
              <w:rPr>
                <w:rFonts w:hint="eastAsia" w:ascii="宋体" w:hAnsi="宋体"/>
                <w:bCs/>
                <w:szCs w:val="21"/>
              </w:rPr>
              <w:t>履约情况/其他</w:t>
            </w:r>
          </w:p>
        </w:tc>
      </w:tr>
      <w:tr w14:paraId="4419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4" w:type="dxa"/>
            <w:noWrap/>
            <w:vAlign w:val="center"/>
          </w:tcPr>
          <w:p w14:paraId="2766FBDF">
            <w:pPr>
              <w:spacing w:line="0" w:lineRule="atLeast"/>
              <w:jc w:val="center"/>
              <w:rPr>
                <w:rFonts w:ascii="宋体" w:hAnsi="宋体"/>
                <w:bCs/>
                <w:szCs w:val="21"/>
              </w:rPr>
            </w:pPr>
          </w:p>
        </w:tc>
        <w:tc>
          <w:tcPr>
            <w:tcW w:w="3969" w:type="dxa"/>
            <w:gridSpan w:val="5"/>
            <w:noWrap/>
            <w:vAlign w:val="center"/>
          </w:tcPr>
          <w:p w14:paraId="77B64515">
            <w:pPr>
              <w:spacing w:line="0" w:lineRule="atLeast"/>
              <w:jc w:val="center"/>
              <w:rPr>
                <w:rFonts w:ascii="宋体" w:hAnsi="宋体"/>
                <w:bCs/>
                <w:szCs w:val="21"/>
              </w:rPr>
            </w:pPr>
          </w:p>
        </w:tc>
        <w:tc>
          <w:tcPr>
            <w:tcW w:w="1985" w:type="dxa"/>
            <w:gridSpan w:val="3"/>
            <w:noWrap/>
            <w:vAlign w:val="center"/>
          </w:tcPr>
          <w:p w14:paraId="25BFD708">
            <w:pPr>
              <w:spacing w:line="0" w:lineRule="atLeast"/>
              <w:jc w:val="center"/>
              <w:rPr>
                <w:rFonts w:ascii="宋体" w:hAnsi="宋体"/>
                <w:bCs/>
                <w:szCs w:val="21"/>
              </w:rPr>
            </w:pPr>
          </w:p>
        </w:tc>
        <w:tc>
          <w:tcPr>
            <w:tcW w:w="1754" w:type="dxa"/>
            <w:noWrap/>
            <w:vAlign w:val="center"/>
          </w:tcPr>
          <w:p w14:paraId="389B59CB">
            <w:pPr>
              <w:spacing w:line="0" w:lineRule="atLeast"/>
              <w:jc w:val="center"/>
              <w:rPr>
                <w:rFonts w:ascii="宋体" w:hAnsi="宋体"/>
                <w:bCs/>
                <w:szCs w:val="21"/>
              </w:rPr>
            </w:pPr>
          </w:p>
        </w:tc>
      </w:tr>
      <w:tr w14:paraId="3409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4" w:type="dxa"/>
            <w:noWrap/>
            <w:vAlign w:val="center"/>
          </w:tcPr>
          <w:p w14:paraId="308E23ED">
            <w:pPr>
              <w:spacing w:line="0" w:lineRule="atLeast"/>
              <w:jc w:val="center"/>
              <w:rPr>
                <w:rFonts w:ascii="宋体" w:hAnsi="宋体"/>
                <w:bCs/>
                <w:szCs w:val="21"/>
              </w:rPr>
            </w:pPr>
          </w:p>
        </w:tc>
        <w:tc>
          <w:tcPr>
            <w:tcW w:w="3969" w:type="dxa"/>
            <w:gridSpan w:val="5"/>
            <w:noWrap/>
            <w:vAlign w:val="center"/>
          </w:tcPr>
          <w:p w14:paraId="4475753F">
            <w:pPr>
              <w:spacing w:line="0" w:lineRule="atLeast"/>
              <w:jc w:val="center"/>
              <w:rPr>
                <w:rFonts w:ascii="宋体" w:hAnsi="宋体"/>
                <w:bCs/>
                <w:szCs w:val="21"/>
              </w:rPr>
            </w:pPr>
          </w:p>
        </w:tc>
        <w:tc>
          <w:tcPr>
            <w:tcW w:w="1985" w:type="dxa"/>
            <w:gridSpan w:val="3"/>
            <w:noWrap/>
            <w:vAlign w:val="center"/>
          </w:tcPr>
          <w:p w14:paraId="26D449CA">
            <w:pPr>
              <w:spacing w:line="0" w:lineRule="atLeast"/>
              <w:jc w:val="center"/>
              <w:rPr>
                <w:rFonts w:ascii="宋体" w:hAnsi="宋体"/>
                <w:bCs/>
                <w:szCs w:val="21"/>
              </w:rPr>
            </w:pPr>
          </w:p>
        </w:tc>
        <w:tc>
          <w:tcPr>
            <w:tcW w:w="1754" w:type="dxa"/>
            <w:noWrap/>
            <w:vAlign w:val="center"/>
          </w:tcPr>
          <w:p w14:paraId="14FA2DE1">
            <w:pPr>
              <w:spacing w:line="0" w:lineRule="atLeast"/>
              <w:jc w:val="center"/>
              <w:rPr>
                <w:rFonts w:ascii="宋体" w:hAnsi="宋体"/>
                <w:bCs/>
                <w:szCs w:val="21"/>
              </w:rPr>
            </w:pPr>
          </w:p>
        </w:tc>
      </w:tr>
      <w:tr w14:paraId="1511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4" w:type="dxa"/>
            <w:noWrap/>
            <w:vAlign w:val="center"/>
          </w:tcPr>
          <w:p w14:paraId="66D305D5">
            <w:pPr>
              <w:spacing w:line="0" w:lineRule="atLeast"/>
              <w:jc w:val="center"/>
              <w:rPr>
                <w:rFonts w:ascii="宋体" w:hAnsi="宋体"/>
                <w:bCs/>
                <w:szCs w:val="21"/>
              </w:rPr>
            </w:pPr>
          </w:p>
        </w:tc>
        <w:tc>
          <w:tcPr>
            <w:tcW w:w="3969" w:type="dxa"/>
            <w:gridSpan w:val="5"/>
            <w:noWrap/>
            <w:vAlign w:val="center"/>
          </w:tcPr>
          <w:p w14:paraId="43AFB5D9">
            <w:pPr>
              <w:spacing w:line="0" w:lineRule="atLeast"/>
              <w:jc w:val="center"/>
              <w:rPr>
                <w:rFonts w:ascii="宋体" w:hAnsi="宋体"/>
                <w:bCs/>
                <w:szCs w:val="21"/>
              </w:rPr>
            </w:pPr>
          </w:p>
        </w:tc>
        <w:tc>
          <w:tcPr>
            <w:tcW w:w="1985" w:type="dxa"/>
            <w:gridSpan w:val="3"/>
            <w:noWrap/>
            <w:vAlign w:val="center"/>
          </w:tcPr>
          <w:p w14:paraId="67F83097">
            <w:pPr>
              <w:spacing w:line="0" w:lineRule="atLeast"/>
              <w:jc w:val="center"/>
              <w:rPr>
                <w:rFonts w:ascii="宋体" w:hAnsi="宋体"/>
                <w:bCs/>
                <w:szCs w:val="21"/>
              </w:rPr>
            </w:pPr>
          </w:p>
        </w:tc>
        <w:tc>
          <w:tcPr>
            <w:tcW w:w="1754" w:type="dxa"/>
            <w:noWrap/>
            <w:vAlign w:val="center"/>
          </w:tcPr>
          <w:p w14:paraId="7A7B549C">
            <w:pPr>
              <w:spacing w:line="0" w:lineRule="atLeast"/>
              <w:jc w:val="center"/>
              <w:rPr>
                <w:rFonts w:ascii="宋体" w:hAnsi="宋体"/>
                <w:bCs/>
                <w:szCs w:val="21"/>
              </w:rPr>
            </w:pPr>
          </w:p>
        </w:tc>
      </w:tr>
      <w:tr w14:paraId="33BF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10"/>
            <w:noWrap/>
            <w:vAlign w:val="center"/>
          </w:tcPr>
          <w:p w14:paraId="662664C9">
            <w:pPr>
              <w:spacing w:line="0" w:lineRule="atLeast"/>
              <w:rPr>
                <w:rFonts w:ascii="宋体" w:hAnsi="宋体"/>
                <w:bCs/>
                <w:szCs w:val="21"/>
              </w:rPr>
            </w:pPr>
            <w:r>
              <w:rPr>
                <w:rFonts w:hint="eastAsia" w:ascii="宋体" w:hAnsi="宋体"/>
                <w:bCs/>
                <w:szCs w:val="21"/>
              </w:rPr>
              <w:t>备注：</w:t>
            </w:r>
          </w:p>
        </w:tc>
      </w:tr>
    </w:tbl>
    <w:p w14:paraId="26FFF070">
      <w:pPr>
        <w:tabs>
          <w:tab w:val="left" w:pos="2911"/>
          <w:tab w:val="center" w:pos="4216"/>
        </w:tabs>
        <w:ind w:firstLine="422" w:firstLineChars="200"/>
        <w:rPr>
          <w:rFonts w:ascii="宋体" w:hAnsi="宋体" w:cs="宋体"/>
          <w:b/>
          <w:szCs w:val="21"/>
        </w:rPr>
      </w:pPr>
      <w:r>
        <w:rPr>
          <w:rFonts w:hint="eastAsia" w:ascii="宋体" w:hAnsi="宋体" w:cs="宋体"/>
          <w:b/>
          <w:szCs w:val="21"/>
        </w:rPr>
        <w:t>注：须提供相关证明材料及提供近期缴纳社保证明原件扫描件,加盖电子签章并附表后。</w:t>
      </w:r>
    </w:p>
    <w:p w14:paraId="24B15026">
      <w:pPr>
        <w:shd w:val="clear" w:color="auto" w:fill="FFFFFF"/>
        <w:snapToGrid w:val="0"/>
        <w:ind w:firstLine="3280" w:firstLineChars="1556"/>
        <w:rPr>
          <w:rFonts w:hAnsi="宋体"/>
          <w:b/>
        </w:rPr>
      </w:pPr>
    </w:p>
    <w:p w14:paraId="0BFC0C49">
      <w:pPr>
        <w:shd w:val="clear" w:color="auto" w:fill="FFFFFF"/>
        <w:snapToGrid w:val="0"/>
        <w:ind w:firstLine="3280" w:firstLineChars="1556"/>
        <w:jc w:val="left"/>
        <w:rPr>
          <w:rFonts w:hAnsi="宋体"/>
          <w:b/>
        </w:rPr>
      </w:pPr>
    </w:p>
    <w:p w14:paraId="438D1445">
      <w:pPr>
        <w:shd w:val="clear" w:color="auto" w:fill="FFFFFF"/>
        <w:snapToGrid w:val="0"/>
        <w:ind w:firstLine="3280" w:firstLineChars="1556"/>
        <w:jc w:val="left"/>
        <w:rPr>
          <w:rFonts w:hAnsi="宋体"/>
          <w:b/>
        </w:rPr>
      </w:pPr>
    </w:p>
    <w:p w14:paraId="6E43B334">
      <w:pPr>
        <w:shd w:val="clear" w:color="auto" w:fill="FFFFFF"/>
        <w:snapToGrid w:val="0"/>
        <w:ind w:firstLine="3280" w:firstLineChars="1556"/>
        <w:jc w:val="left"/>
        <w:rPr>
          <w:rFonts w:hAnsi="宋体"/>
          <w:b/>
        </w:rPr>
      </w:pPr>
    </w:p>
    <w:p w14:paraId="3A81EE60">
      <w:pPr>
        <w:shd w:val="clear" w:color="auto" w:fill="FFFFFF"/>
        <w:snapToGrid w:val="0"/>
        <w:ind w:firstLine="3280" w:firstLineChars="1556"/>
        <w:jc w:val="left"/>
        <w:rPr>
          <w:rFonts w:hAnsi="宋体"/>
          <w:b/>
        </w:rPr>
      </w:pPr>
    </w:p>
    <w:p w14:paraId="0A44B7CD">
      <w:pPr>
        <w:shd w:val="clear" w:color="auto" w:fill="FFFFFF"/>
        <w:snapToGrid w:val="0"/>
        <w:ind w:firstLine="3280" w:firstLineChars="1556"/>
        <w:jc w:val="left"/>
        <w:rPr>
          <w:rFonts w:hAnsi="宋体"/>
          <w:b/>
        </w:rPr>
      </w:pPr>
    </w:p>
    <w:p w14:paraId="30111B86">
      <w:pPr>
        <w:shd w:val="clear" w:color="auto" w:fill="FFFFFF"/>
        <w:snapToGrid w:val="0"/>
        <w:ind w:firstLine="3280" w:firstLineChars="1556"/>
        <w:jc w:val="left"/>
        <w:rPr>
          <w:rFonts w:hAnsi="宋体"/>
          <w:b/>
        </w:rPr>
      </w:pPr>
    </w:p>
    <w:p w14:paraId="5B172F5C">
      <w:pPr>
        <w:spacing w:line="0" w:lineRule="atLeast"/>
        <w:jc w:val="right"/>
        <w:rPr>
          <w:rFonts w:ascii="宋体" w:hAnsi="宋体"/>
          <w:b/>
          <w:sz w:val="36"/>
          <w:szCs w:val="36"/>
        </w:rPr>
      </w:pPr>
      <w:r>
        <w:rPr>
          <w:rFonts w:ascii="宋体" w:hAnsi="宋体"/>
          <w:b/>
          <w:bCs/>
          <w:sz w:val="24"/>
        </w:rPr>
        <w:t xml:space="preserve">  投标人盖章：      </w:t>
      </w:r>
    </w:p>
    <w:p w14:paraId="0BF5B926">
      <w:pPr>
        <w:spacing w:line="0" w:lineRule="atLeast"/>
        <w:jc w:val="right"/>
        <w:rPr>
          <w:rFonts w:ascii="宋体" w:hAnsi="宋体"/>
          <w:b/>
          <w:sz w:val="36"/>
          <w:szCs w:val="36"/>
        </w:rPr>
      </w:pPr>
      <w:r>
        <w:rPr>
          <w:rFonts w:ascii="宋体" w:hAnsi="宋体"/>
          <w:b/>
          <w:bCs/>
          <w:sz w:val="24"/>
        </w:rPr>
        <w:t xml:space="preserve">法定代表人（或授权委托人）签字或盖章：    </w:t>
      </w:r>
    </w:p>
    <w:p w14:paraId="3E5BC09E">
      <w:pPr>
        <w:spacing w:line="0" w:lineRule="atLeast"/>
        <w:jc w:val="right"/>
        <w:rPr>
          <w:rFonts w:ascii="宋体" w:hAnsi="宋体"/>
          <w:b/>
          <w:sz w:val="24"/>
        </w:rPr>
      </w:pPr>
      <w:r>
        <w:rPr>
          <w:rFonts w:ascii="宋体" w:hAnsi="宋体"/>
          <w:b/>
          <w:sz w:val="24"/>
        </w:rPr>
        <w:t>日期：</w:t>
      </w:r>
    </w:p>
    <w:p w14:paraId="4AAB9944">
      <w:pPr>
        <w:shd w:val="clear" w:color="auto" w:fill="FFFFFF"/>
        <w:snapToGrid w:val="0"/>
        <w:ind w:firstLine="3280" w:firstLineChars="1556"/>
        <w:jc w:val="left"/>
        <w:rPr>
          <w:rFonts w:hAnsi="宋体"/>
          <w:b/>
        </w:rPr>
      </w:pPr>
    </w:p>
    <w:p w14:paraId="2A9B3BA2">
      <w:pPr>
        <w:shd w:val="clear" w:color="auto" w:fill="FFFFFF"/>
        <w:snapToGrid w:val="0"/>
        <w:ind w:firstLine="3280" w:firstLineChars="1556"/>
        <w:jc w:val="left"/>
        <w:rPr>
          <w:rFonts w:hAnsi="宋体"/>
          <w:b/>
        </w:rPr>
      </w:pPr>
    </w:p>
    <w:p w14:paraId="3056C6E4">
      <w:pPr>
        <w:shd w:val="clear" w:color="auto" w:fill="FFFFFF"/>
        <w:snapToGrid w:val="0"/>
        <w:ind w:firstLine="3280" w:firstLineChars="1556"/>
        <w:jc w:val="left"/>
        <w:rPr>
          <w:rFonts w:hAnsi="宋体"/>
          <w:b/>
        </w:rPr>
      </w:pPr>
    </w:p>
    <w:p w14:paraId="371C5907">
      <w:pPr>
        <w:shd w:val="clear" w:color="auto" w:fill="FFFFFF"/>
        <w:snapToGrid w:val="0"/>
        <w:ind w:firstLine="3280" w:firstLineChars="1556"/>
        <w:jc w:val="left"/>
        <w:rPr>
          <w:rFonts w:hAnsi="宋体"/>
          <w:b/>
        </w:rPr>
      </w:pPr>
    </w:p>
    <w:p w14:paraId="51A3E019">
      <w:pPr>
        <w:shd w:val="clear" w:color="auto" w:fill="FFFFFF"/>
        <w:snapToGrid w:val="0"/>
        <w:ind w:firstLine="3280" w:firstLineChars="1556"/>
        <w:jc w:val="left"/>
        <w:rPr>
          <w:rFonts w:hAnsi="宋体"/>
          <w:b/>
        </w:rPr>
      </w:pPr>
    </w:p>
    <w:p w14:paraId="5CB0E8A8">
      <w:pPr>
        <w:shd w:val="clear" w:color="auto" w:fill="FFFFFF"/>
        <w:snapToGrid w:val="0"/>
        <w:ind w:firstLine="3280" w:firstLineChars="1556"/>
        <w:jc w:val="left"/>
        <w:rPr>
          <w:rFonts w:hAnsi="宋体"/>
          <w:b/>
        </w:rPr>
      </w:pPr>
    </w:p>
    <w:p w14:paraId="423FC7E7">
      <w:pPr>
        <w:shd w:val="clear" w:color="auto" w:fill="FFFFFF"/>
        <w:snapToGrid w:val="0"/>
        <w:ind w:firstLine="3280" w:firstLineChars="1556"/>
        <w:jc w:val="left"/>
        <w:rPr>
          <w:rFonts w:hAnsi="宋体"/>
          <w:b/>
        </w:rPr>
      </w:pPr>
    </w:p>
    <w:p w14:paraId="7225C0B8">
      <w:pPr>
        <w:shd w:val="clear" w:color="auto" w:fill="FFFFFF"/>
        <w:snapToGrid w:val="0"/>
        <w:jc w:val="left"/>
        <w:rPr>
          <w:rFonts w:hAnsi="宋体"/>
          <w:b/>
        </w:rPr>
      </w:pPr>
    </w:p>
    <w:p w14:paraId="041011C8">
      <w:pPr>
        <w:shd w:val="clear" w:color="auto" w:fill="FFFFFF"/>
        <w:snapToGrid w:val="0"/>
        <w:jc w:val="left"/>
        <w:rPr>
          <w:rFonts w:ascii="宋体" w:hAnsi="宋体" w:cs="宋体"/>
          <w:b/>
          <w:sz w:val="24"/>
          <w:szCs w:val="32"/>
        </w:rPr>
      </w:pPr>
      <w:r>
        <w:rPr>
          <w:rFonts w:hint="eastAsia" w:ascii="宋体" w:hAnsi="宋体" w:cs="宋体"/>
          <w:b/>
          <w:sz w:val="24"/>
          <w:szCs w:val="32"/>
        </w:rPr>
        <w:t>格式2.2.8：拟派项目团队成员情况表格式：</w:t>
      </w:r>
    </w:p>
    <w:p w14:paraId="5635B304">
      <w:pPr>
        <w:shd w:val="clear" w:color="auto" w:fill="FFFFFF"/>
        <w:snapToGrid w:val="0"/>
        <w:ind w:firstLine="3280" w:firstLineChars="1556"/>
        <w:jc w:val="left"/>
        <w:rPr>
          <w:rFonts w:hAnsi="宋体"/>
          <w:b/>
        </w:rPr>
      </w:pPr>
    </w:p>
    <w:p w14:paraId="5626EF1C">
      <w:pPr>
        <w:spacing w:line="400" w:lineRule="exact"/>
        <w:jc w:val="center"/>
        <w:rPr>
          <w:rFonts w:ascii="宋体" w:hAnsi="宋体"/>
          <w:b/>
          <w:sz w:val="36"/>
          <w:szCs w:val="36"/>
        </w:rPr>
      </w:pPr>
      <w:r>
        <w:rPr>
          <w:rFonts w:hint="eastAsia" w:ascii="宋体" w:hAnsi="宋体"/>
          <w:b/>
          <w:sz w:val="36"/>
          <w:szCs w:val="36"/>
        </w:rPr>
        <w:t>8.项目团队成员情况一览表</w:t>
      </w:r>
    </w:p>
    <w:p w14:paraId="7A7E9FDE">
      <w:pPr>
        <w:spacing w:line="480" w:lineRule="exact"/>
        <w:ind w:left="521" w:hanging="521" w:hangingChars="236"/>
        <w:rPr>
          <w:rFonts w:ascii="宋体" w:hAnsi="宋体"/>
          <w:sz w:val="24"/>
        </w:rPr>
      </w:pPr>
      <w:r>
        <w:rPr>
          <w:rFonts w:hint="eastAsia" w:ascii="宋体" w:hAnsi="宋体" w:cs="宋体"/>
          <w:b/>
          <w:bCs/>
          <w:sz w:val="22"/>
          <w:szCs w:val="22"/>
        </w:rPr>
        <w:t xml:space="preserve">项目名称：                                  项目编号：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093"/>
        <w:gridCol w:w="649"/>
        <w:gridCol w:w="1557"/>
        <w:gridCol w:w="1490"/>
        <w:gridCol w:w="1590"/>
        <w:gridCol w:w="1660"/>
        <w:gridCol w:w="1361"/>
      </w:tblGrid>
      <w:tr w14:paraId="44DF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409" w:type="dxa"/>
            <w:tcBorders>
              <w:top w:val="single" w:color="auto" w:sz="4" w:space="0"/>
              <w:left w:val="single" w:color="auto" w:sz="4" w:space="0"/>
              <w:bottom w:val="single" w:color="auto" w:sz="4" w:space="0"/>
              <w:right w:val="single" w:color="auto" w:sz="4" w:space="0"/>
            </w:tcBorders>
            <w:noWrap/>
            <w:vAlign w:val="center"/>
          </w:tcPr>
          <w:p w14:paraId="24625CFA">
            <w:pPr>
              <w:spacing w:line="0" w:lineRule="atLeast"/>
              <w:jc w:val="center"/>
              <w:rPr>
                <w:rFonts w:ascii="宋体" w:hAnsi="宋体"/>
                <w:kern w:val="0"/>
                <w:szCs w:val="21"/>
              </w:rPr>
            </w:pPr>
            <w:r>
              <w:rPr>
                <w:rFonts w:hint="eastAsia" w:ascii="宋体" w:hAnsi="宋体"/>
                <w:kern w:val="0"/>
                <w:szCs w:val="21"/>
              </w:rPr>
              <w:t>序号</w:t>
            </w:r>
          </w:p>
        </w:tc>
        <w:tc>
          <w:tcPr>
            <w:tcW w:w="1093" w:type="dxa"/>
            <w:tcBorders>
              <w:top w:val="single" w:color="auto" w:sz="4" w:space="0"/>
              <w:left w:val="single" w:color="auto" w:sz="4" w:space="0"/>
              <w:bottom w:val="single" w:color="auto" w:sz="4" w:space="0"/>
              <w:right w:val="single" w:color="auto" w:sz="4" w:space="0"/>
            </w:tcBorders>
            <w:noWrap/>
            <w:vAlign w:val="center"/>
          </w:tcPr>
          <w:p w14:paraId="2071AFA4">
            <w:pPr>
              <w:spacing w:line="0" w:lineRule="atLeast"/>
              <w:jc w:val="center"/>
              <w:rPr>
                <w:rFonts w:ascii="宋体" w:hAnsi="宋体"/>
                <w:kern w:val="0"/>
                <w:szCs w:val="21"/>
              </w:rPr>
            </w:pPr>
            <w:r>
              <w:rPr>
                <w:rFonts w:hint="eastAsia" w:ascii="宋体" w:hAnsi="宋体"/>
                <w:kern w:val="0"/>
                <w:szCs w:val="21"/>
              </w:rPr>
              <w:t>姓名</w:t>
            </w:r>
          </w:p>
        </w:tc>
        <w:tc>
          <w:tcPr>
            <w:tcW w:w="649" w:type="dxa"/>
            <w:tcBorders>
              <w:top w:val="single" w:color="auto" w:sz="4" w:space="0"/>
              <w:left w:val="single" w:color="auto" w:sz="4" w:space="0"/>
              <w:bottom w:val="single" w:color="auto" w:sz="4" w:space="0"/>
              <w:right w:val="single" w:color="auto" w:sz="4" w:space="0"/>
            </w:tcBorders>
            <w:noWrap/>
            <w:vAlign w:val="center"/>
          </w:tcPr>
          <w:p w14:paraId="2951673C">
            <w:pPr>
              <w:spacing w:line="0" w:lineRule="atLeast"/>
              <w:jc w:val="center"/>
              <w:rPr>
                <w:rFonts w:ascii="宋体" w:hAnsi="宋体"/>
                <w:kern w:val="0"/>
                <w:szCs w:val="21"/>
              </w:rPr>
            </w:pPr>
            <w:r>
              <w:rPr>
                <w:rFonts w:hint="eastAsia" w:ascii="宋体" w:hAnsi="宋体"/>
                <w:kern w:val="0"/>
                <w:szCs w:val="21"/>
              </w:rPr>
              <w:t>性别</w:t>
            </w:r>
          </w:p>
        </w:tc>
        <w:tc>
          <w:tcPr>
            <w:tcW w:w="1557" w:type="dxa"/>
            <w:tcBorders>
              <w:top w:val="single" w:color="auto" w:sz="4" w:space="0"/>
              <w:left w:val="single" w:color="auto" w:sz="4" w:space="0"/>
              <w:bottom w:val="single" w:color="auto" w:sz="4" w:space="0"/>
              <w:right w:val="single" w:color="auto" w:sz="4" w:space="0"/>
            </w:tcBorders>
            <w:noWrap/>
            <w:vAlign w:val="center"/>
          </w:tcPr>
          <w:p w14:paraId="762804EC">
            <w:pPr>
              <w:spacing w:line="0" w:lineRule="atLeast"/>
              <w:jc w:val="center"/>
              <w:rPr>
                <w:rFonts w:ascii="宋体" w:hAnsi="宋体"/>
                <w:kern w:val="0"/>
                <w:szCs w:val="21"/>
              </w:rPr>
            </w:pPr>
            <w:r>
              <w:rPr>
                <w:rFonts w:hint="eastAsia" w:ascii="宋体" w:hAnsi="宋体"/>
                <w:kern w:val="0"/>
                <w:szCs w:val="21"/>
              </w:rPr>
              <w:t>职称（或资质或学历）</w:t>
            </w:r>
          </w:p>
        </w:tc>
        <w:tc>
          <w:tcPr>
            <w:tcW w:w="1490" w:type="dxa"/>
            <w:tcBorders>
              <w:top w:val="single" w:color="auto" w:sz="4" w:space="0"/>
              <w:left w:val="single" w:color="auto" w:sz="4" w:space="0"/>
              <w:bottom w:val="single" w:color="auto" w:sz="4" w:space="0"/>
              <w:right w:val="single" w:color="auto" w:sz="4" w:space="0"/>
            </w:tcBorders>
            <w:noWrap/>
            <w:vAlign w:val="center"/>
          </w:tcPr>
          <w:p w14:paraId="0E8FA6A8">
            <w:pPr>
              <w:spacing w:line="0" w:lineRule="atLeast"/>
              <w:jc w:val="center"/>
              <w:rPr>
                <w:rFonts w:ascii="宋体" w:hAnsi="宋体"/>
                <w:kern w:val="0"/>
                <w:szCs w:val="21"/>
              </w:rPr>
            </w:pPr>
            <w:r>
              <w:rPr>
                <w:rFonts w:hint="eastAsia" w:ascii="宋体" w:hAnsi="宋体"/>
                <w:kern w:val="0"/>
                <w:szCs w:val="21"/>
              </w:rPr>
              <w:t>在本项目中担任职务或岗位</w:t>
            </w:r>
          </w:p>
        </w:tc>
        <w:tc>
          <w:tcPr>
            <w:tcW w:w="1590" w:type="dxa"/>
            <w:tcBorders>
              <w:top w:val="single" w:color="auto" w:sz="4" w:space="0"/>
              <w:left w:val="single" w:color="auto" w:sz="4" w:space="0"/>
              <w:bottom w:val="single" w:color="auto" w:sz="4" w:space="0"/>
              <w:right w:val="single" w:color="auto" w:sz="4" w:space="0"/>
            </w:tcBorders>
            <w:noWrap/>
            <w:vAlign w:val="center"/>
          </w:tcPr>
          <w:p w14:paraId="2D5BC8BB">
            <w:pPr>
              <w:spacing w:line="0" w:lineRule="atLeast"/>
              <w:jc w:val="center"/>
              <w:rPr>
                <w:rFonts w:ascii="宋体" w:hAnsi="宋体"/>
                <w:kern w:val="0"/>
                <w:szCs w:val="21"/>
              </w:rPr>
            </w:pPr>
            <w:r>
              <w:rPr>
                <w:rFonts w:hint="eastAsia" w:ascii="宋体" w:hAnsi="宋体"/>
                <w:kern w:val="0"/>
                <w:szCs w:val="21"/>
              </w:rPr>
              <w:t>从事本专业工作年限</w:t>
            </w:r>
          </w:p>
        </w:tc>
        <w:tc>
          <w:tcPr>
            <w:tcW w:w="1660" w:type="dxa"/>
            <w:tcBorders>
              <w:top w:val="single" w:color="auto" w:sz="4" w:space="0"/>
              <w:left w:val="single" w:color="auto" w:sz="4" w:space="0"/>
              <w:bottom w:val="single" w:color="auto" w:sz="4" w:space="0"/>
              <w:right w:val="single" w:color="auto" w:sz="4" w:space="0"/>
            </w:tcBorders>
            <w:noWrap/>
            <w:vAlign w:val="center"/>
          </w:tcPr>
          <w:p w14:paraId="22590F8F">
            <w:pPr>
              <w:spacing w:line="0" w:lineRule="atLeast"/>
              <w:jc w:val="center"/>
              <w:rPr>
                <w:rFonts w:ascii="宋体" w:hAnsi="宋体"/>
                <w:kern w:val="0"/>
                <w:szCs w:val="21"/>
              </w:rPr>
            </w:pPr>
            <w:r>
              <w:rPr>
                <w:rFonts w:hint="eastAsia" w:ascii="宋体" w:hAnsi="宋体"/>
                <w:kern w:val="0"/>
                <w:szCs w:val="21"/>
              </w:rPr>
              <w:t>联系方式</w:t>
            </w:r>
          </w:p>
        </w:tc>
        <w:tc>
          <w:tcPr>
            <w:tcW w:w="1361" w:type="dxa"/>
            <w:tcBorders>
              <w:top w:val="single" w:color="auto" w:sz="4" w:space="0"/>
              <w:left w:val="single" w:color="auto" w:sz="4" w:space="0"/>
              <w:bottom w:val="single" w:color="auto" w:sz="4" w:space="0"/>
              <w:right w:val="single" w:color="auto" w:sz="4" w:space="0"/>
            </w:tcBorders>
            <w:noWrap/>
            <w:vAlign w:val="center"/>
          </w:tcPr>
          <w:p w14:paraId="7D97F89B">
            <w:pPr>
              <w:spacing w:line="0" w:lineRule="atLeast"/>
              <w:jc w:val="center"/>
              <w:rPr>
                <w:rFonts w:ascii="宋体" w:hAnsi="宋体"/>
                <w:kern w:val="0"/>
                <w:szCs w:val="21"/>
              </w:rPr>
            </w:pPr>
            <w:r>
              <w:rPr>
                <w:rFonts w:hint="eastAsia" w:ascii="宋体" w:hAnsi="宋体"/>
                <w:kern w:val="0"/>
                <w:szCs w:val="21"/>
              </w:rPr>
              <w:t>备注</w:t>
            </w:r>
          </w:p>
        </w:tc>
      </w:tr>
      <w:tr w14:paraId="2701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09" w:type="dxa"/>
            <w:tcBorders>
              <w:top w:val="single" w:color="auto" w:sz="4" w:space="0"/>
              <w:left w:val="single" w:color="auto" w:sz="4" w:space="0"/>
              <w:bottom w:val="single" w:color="auto" w:sz="4" w:space="0"/>
              <w:right w:val="single" w:color="auto" w:sz="4" w:space="0"/>
            </w:tcBorders>
            <w:noWrap/>
            <w:vAlign w:val="center"/>
          </w:tcPr>
          <w:p w14:paraId="224D1904">
            <w:pPr>
              <w:spacing w:line="0" w:lineRule="atLeast"/>
              <w:jc w:val="center"/>
              <w:rPr>
                <w:rFonts w:ascii="宋体" w:hAnsi="宋体"/>
                <w:kern w:val="0"/>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56AC65BB">
            <w:pPr>
              <w:spacing w:line="0" w:lineRule="atLeast"/>
              <w:jc w:val="center"/>
              <w:rPr>
                <w:rFonts w:ascii="宋体" w:hAnsi="宋体"/>
                <w:kern w:val="0"/>
                <w:szCs w:val="21"/>
              </w:rPr>
            </w:pPr>
          </w:p>
        </w:tc>
        <w:tc>
          <w:tcPr>
            <w:tcW w:w="649" w:type="dxa"/>
            <w:tcBorders>
              <w:top w:val="single" w:color="auto" w:sz="4" w:space="0"/>
              <w:left w:val="single" w:color="auto" w:sz="4" w:space="0"/>
              <w:bottom w:val="single" w:color="auto" w:sz="4" w:space="0"/>
              <w:right w:val="single" w:color="auto" w:sz="4" w:space="0"/>
            </w:tcBorders>
            <w:noWrap/>
            <w:vAlign w:val="center"/>
          </w:tcPr>
          <w:p w14:paraId="59BAF87A">
            <w:pPr>
              <w:spacing w:line="0" w:lineRule="atLeast"/>
              <w:jc w:val="center"/>
              <w:rPr>
                <w:rFonts w:ascii="宋体" w:hAnsi="宋体"/>
                <w:kern w:val="0"/>
                <w:szCs w:val="21"/>
              </w:rPr>
            </w:pPr>
          </w:p>
        </w:tc>
        <w:tc>
          <w:tcPr>
            <w:tcW w:w="1557" w:type="dxa"/>
            <w:tcBorders>
              <w:top w:val="single" w:color="auto" w:sz="4" w:space="0"/>
              <w:left w:val="single" w:color="auto" w:sz="4" w:space="0"/>
              <w:bottom w:val="single" w:color="auto" w:sz="4" w:space="0"/>
              <w:right w:val="single" w:color="auto" w:sz="4" w:space="0"/>
            </w:tcBorders>
            <w:noWrap/>
            <w:vAlign w:val="center"/>
          </w:tcPr>
          <w:p w14:paraId="6375640A">
            <w:pPr>
              <w:spacing w:line="0" w:lineRule="atLeast"/>
              <w:jc w:val="center"/>
              <w:rPr>
                <w:rFonts w:ascii="宋体" w:hAnsi="宋体"/>
                <w:kern w:val="0"/>
                <w:szCs w:val="21"/>
              </w:rPr>
            </w:pPr>
          </w:p>
        </w:tc>
        <w:tc>
          <w:tcPr>
            <w:tcW w:w="1490" w:type="dxa"/>
            <w:tcBorders>
              <w:top w:val="single" w:color="auto" w:sz="4" w:space="0"/>
              <w:left w:val="single" w:color="auto" w:sz="4" w:space="0"/>
              <w:bottom w:val="single" w:color="auto" w:sz="4" w:space="0"/>
              <w:right w:val="single" w:color="auto" w:sz="4" w:space="0"/>
            </w:tcBorders>
            <w:noWrap/>
            <w:vAlign w:val="center"/>
          </w:tcPr>
          <w:p w14:paraId="0EF81ABF">
            <w:pPr>
              <w:spacing w:line="0" w:lineRule="atLeast"/>
              <w:jc w:val="center"/>
              <w:rPr>
                <w:rFonts w:ascii="宋体" w:hAnsi="宋体"/>
                <w:kern w:val="0"/>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35EC8B8D">
            <w:pPr>
              <w:spacing w:line="0" w:lineRule="atLeast"/>
              <w:jc w:val="center"/>
              <w:rPr>
                <w:rFonts w:ascii="宋体" w:hAnsi="宋体"/>
                <w:kern w:val="0"/>
                <w:szCs w:val="21"/>
              </w:rPr>
            </w:pPr>
          </w:p>
        </w:tc>
        <w:tc>
          <w:tcPr>
            <w:tcW w:w="1660" w:type="dxa"/>
            <w:tcBorders>
              <w:top w:val="single" w:color="auto" w:sz="4" w:space="0"/>
              <w:left w:val="single" w:color="auto" w:sz="4" w:space="0"/>
              <w:bottom w:val="single" w:color="auto" w:sz="4" w:space="0"/>
              <w:right w:val="single" w:color="auto" w:sz="4" w:space="0"/>
            </w:tcBorders>
            <w:noWrap/>
            <w:vAlign w:val="center"/>
          </w:tcPr>
          <w:p w14:paraId="733327E8">
            <w:pPr>
              <w:spacing w:line="0" w:lineRule="atLeast"/>
              <w:jc w:val="center"/>
              <w:rPr>
                <w:rFonts w:ascii="宋体" w:hAnsi="宋体"/>
                <w:kern w:val="0"/>
                <w:szCs w:val="21"/>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1DE876DA">
            <w:pPr>
              <w:spacing w:line="0" w:lineRule="atLeast"/>
              <w:jc w:val="center"/>
              <w:rPr>
                <w:rFonts w:ascii="宋体" w:hAnsi="宋体"/>
                <w:kern w:val="0"/>
                <w:szCs w:val="21"/>
              </w:rPr>
            </w:pPr>
          </w:p>
        </w:tc>
      </w:tr>
      <w:tr w14:paraId="5C90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09" w:type="dxa"/>
            <w:tcBorders>
              <w:top w:val="single" w:color="auto" w:sz="4" w:space="0"/>
              <w:left w:val="single" w:color="auto" w:sz="4" w:space="0"/>
              <w:bottom w:val="single" w:color="auto" w:sz="4" w:space="0"/>
              <w:right w:val="single" w:color="auto" w:sz="4" w:space="0"/>
            </w:tcBorders>
            <w:noWrap/>
            <w:vAlign w:val="center"/>
          </w:tcPr>
          <w:p w14:paraId="013A35C1">
            <w:pPr>
              <w:spacing w:line="0" w:lineRule="atLeast"/>
              <w:jc w:val="center"/>
              <w:rPr>
                <w:rFonts w:ascii="宋体" w:hAnsi="宋体"/>
                <w:kern w:val="0"/>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529E2BC7">
            <w:pPr>
              <w:spacing w:line="0" w:lineRule="atLeast"/>
              <w:jc w:val="center"/>
              <w:rPr>
                <w:rFonts w:ascii="宋体" w:hAnsi="宋体"/>
                <w:kern w:val="0"/>
                <w:szCs w:val="21"/>
              </w:rPr>
            </w:pPr>
          </w:p>
        </w:tc>
        <w:tc>
          <w:tcPr>
            <w:tcW w:w="649" w:type="dxa"/>
            <w:tcBorders>
              <w:top w:val="single" w:color="auto" w:sz="4" w:space="0"/>
              <w:left w:val="single" w:color="auto" w:sz="4" w:space="0"/>
              <w:bottom w:val="single" w:color="auto" w:sz="4" w:space="0"/>
              <w:right w:val="single" w:color="auto" w:sz="4" w:space="0"/>
            </w:tcBorders>
            <w:noWrap/>
            <w:vAlign w:val="center"/>
          </w:tcPr>
          <w:p w14:paraId="1D7276A7">
            <w:pPr>
              <w:spacing w:line="0" w:lineRule="atLeast"/>
              <w:jc w:val="center"/>
              <w:rPr>
                <w:rFonts w:ascii="宋体" w:hAnsi="宋体"/>
                <w:kern w:val="0"/>
                <w:szCs w:val="21"/>
              </w:rPr>
            </w:pPr>
          </w:p>
        </w:tc>
        <w:tc>
          <w:tcPr>
            <w:tcW w:w="1557" w:type="dxa"/>
            <w:tcBorders>
              <w:top w:val="single" w:color="auto" w:sz="4" w:space="0"/>
              <w:left w:val="single" w:color="auto" w:sz="4" w:space="0"/>
              <w:bottom w:val="single" w:color="auto" w:sz="4" w:space="0"/>
              <w:right w:val="single" w:color="auto" w:sz="4" w:space="0"/>
            </w:tcBorders>
            <w:noWrap/>
            <w:vAlign w:val="center"/>
          </w:tcPr>
          <w:p w14:paraId="1CB16858">
            <w:pPr>
              <w:spacing w:line="0" w:lineRule="atLeast"/>
              <w:jc w:val="center"/>
              <w:rPr>
                <w:rFonts w:ascii="宋体" w:hAnsi="宋体"/>
                <w:kern w:val="0"/>
                <w:szCs w:val="21"/>
              </w:rPr>
            </w:pPr>
          </w:p>
        </w:tc>
        <w:tc>
          <w:tcPr>
            <w:tcW w:w="1490" w:type="dxa"/>
            <w:tcBorders>
              <w:top w:val="single" w:color="auto" w:sz="4" w:space="0"/>
              <w:left w:val="single" w:color="auto" w:sz="4" w:space="0"/>
              <w:bottom w:val="single" w:color="auto" w:sz="4" w:space="0"/>
              <w:right w:val="single" w:color="auto" w:sz="4" w:space="0"/>
            </w:tcBorders>
            <w:noWrap/>
            <w:vAlign w:val="center"/>
          </w:tcPr>
          <w:p w14:paraId="1EB0895E">
            <w:pPr>
              <w:spacing w:line="0" w:lineRule="atLeast"/>
              <w:jc w:val="center"/>
              <w:rPr>
                <w:rFonts w:ascii="宋体" w:hAnsi="宋体"/>
                <w:kern w:val="0"/>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604F32B3">
            <w:pPr>
              <w:spacing w:line="0" w:lineRule="atLeast"/>
              <w:jc w:val="center"/>
              <w:rPr>
                <w:rFonts w:ascii="宋体" w:hAnsi="宋体"/>
                <w:kern w:val="0"/>
                <w:szCs w:val="21"/>
              </w:rPr>
            </w:pPr>
          </w:p>
        </w:tc>
        <w:tc>
          <w:tcPr>
            <w:tcW w:w="1660" w:type="dxa"/>
            <w:tcBorders>
              <w:top w:val="single" w:color="auto" w:sz="4" w:space="0"/>
              <w:left w:val="single" w:color="auto" w:sz="4" w:space="0"/>
              <w:bottom w:val="single" w:color="auto" w:sz="4" w:space="0"/>
              <w:right w:val="single" w:color="auto" w:sz="4" w:space="0"/>
            </w:tcBorders>
            <w:noWrap/>
            <w:vAlign w:val="center"/>
          </w:tcPr>
          <w:p w14:paraId="5F269032">
            <w:pPr>
              <w:spacing w:line="0" w:lineRule="atLeast"/>
              <w:jc w:val="center"/>
              <w:rPr>
                <w:rFonts w:ascii="宋体" w:hAnsi="宋体"/>
                <w:kern w:val="0"/>
                <w:szCs w:val="21"/>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27A9B5EC">
            <w:pPr>
              <w:spacing w:line="0" w:lineRule="atLeast"/>
              <w:jc w:val="center"/>
              <w:rPr>
                <w:rFonts w:ascii="宋体" w:hAnsi="宋体"/>
                <w:kern w:val="0"/>
                <w:szCs w:val="21"/>
              </w:rPr>
            </w:pPr>
          </w:p>
        </w:tc>
      </w:tr>
      <w:tr w14:paraId="74EB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09" w:type="dxa"/>
            <w:tcBorders>
              <w:top w:val="single" w:color="auto" w:sz="4" w:space="0"/>
              <w:left w:val="single" w:color="auto" w:sz="4" w:space="0"/>
              <w:bottom w:val="single" w:color="auto" w:sz="4" w:space="0"/>
              <w:right w:val="single" w:color="auto" w:sz="4" w:space="0"/>
            </w:tcBorders>
            <w:noWrap/>
            <w:vAlign w:val="center"/>
          </w:tcPr>
          <w:p w14:paraId="4F07CED7">
            <w:pPr>
              <w:spacing w:line="0" w:lineRule="atLeast"/>
              <w:jc w:val="center"/>
              <w:rPr>
                <w:rFonts w:ascii="宋体" w:hAnsi="宋体"/>
                <w:kern w:val="0"/>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1510FE1F">
            <w:pPr>
              <w:spacing w:line="0" w:lineRule="atLeast"/>
              <w:jc w:val="center"/>
              <w:rPr>
                <w:rFonts w:ascii="宋体" w:hAnsi="宋体"/>
                <w:kern w:val="0"/>
                <w:szCs w:val="21"/>
              </w:rPr>
            </w:pPr>
          </w:p>
        </w:tc>
        <w:tc>
          <w:tcPr>
            <w:tcW w:w="649" w:type="dxa"/>
            <w:tcBorders>
              <w:top w:val="single" w:color="auto" w:sz="4" w:space="0"/>
              <w:left w:val="single" w:color="auto" w:sz="4" w:space="0"/>
              <w:bottom w:val="single" w:color="auto" w:sz="4" w:space="0"/>
              <w:right w:val="single" w:color="auto" w:sz="4" w:space="0"/>
            </w:tcBorders>
            <w:noWrap/>
            <w:vAlign w:val="center"/>
          </w:tcPr>
          <w:p w14:paraId="6B5C06C5">
            <w:pPr>
              <w:spacing w:line="0" w:lineRule="atLeast"/>
              <w:jc w:val="center"/>
              <w:rPr>
                <w:rFonts w:ascii="宋体" w:hAnsi="宋体"/>
                <w:kern w:val="0"/>
                <w:szCs w:val="21"/>
              </w:rPr>
            </w:pPr>
          </w:p>
        </w:tc>
        <w:tc>
          <w:tcPr>
            <w:tcW w:w="1557" w:type="dxa"/>
            <w:tcBorders>
              <w:top w:val="single" w:color="auto" w:sz="4" w:space="0"/>
              <w:left w:val="single" w:color="auto" w:sz="4" w:space="0"/>
              <w:bottom w:val="single" w:color="auto" w:sz="4" w:space="0"/>
              <w:right w:val="single" w:color="auto" w:sz="4" w:space="0"/>
            </w:tcBorders>
            <w:noWrap/>
            <w:vAlign w:val="center"/>
          </w:tcPr>
          <w:p w14:paraId="2F8C01AC">
            <w:pPr>
              <w:spacing w:line="0" w:lineRule="atLeast"/>
              <w:jc w:val="center"/>
              <w:rPr>
                <w:rFonts w:ascii="宋体" w:hAnsi="宋体"/>
                <w:kern w:val="0"/>
                <w:szCs w:val="21"/>
              </w:rPr>
            </w:pPr>
          </w:p>
        </w:tc>
        <w:tc>
          <w:tcPr>
            <w:tcW w:w="1490" w:type="dxa"/>
            <w:tcBorders>
              <w:top w:val="single" w:color="auto" w:sz="4" w:space="0"/>
              <w:left w:val="single" w:color="auto" w:sz="4" w:space="0"/>
              <w:bottom w:val="single" w:color="auto" w:sz="4" w:space="0"/>
              <w:right w:val="single" w:color="auto" w:sz="4" w:space="0"/>
            </w:tcBorders>
            <w:noWrap/>
            <w:vAlign w:val="center"/>
          </w:tcPr>
          <w:p w14:paraId="47166456">
            <w:pPr>
              <w:spacing w:line="0" w:lineRule="atLeast"/>
              <w:jc w:val="center"/>
              <w:rPr>
                <w:rFonts w:ascii="宋体" w:hAnsi="宋体"/>
                <w:kern w:val="0"/>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135E688E">
            <w:pPr>
              <w:spacing w:line="0" w:lineRule="atLeast"/>
              <w:jc w:val="center"/>
              <w:rPr>
                <w:rFonts w:ascii="宋体" w:hAnsi="宋体"/>
                <w:kern w:val="0"/>
                <w:szCs w:val="21"/>
              </w:rPr>
            </w:pPr>
          </w:p>
        </w:tc>
        <w:tc>
          <w:tcPr>
            <w:tcW w:w="1660" w:type="dxa"/>
            <w:tcBorders>
              <w:top w:val="single" w:color="auto" w:sz="4" w:space="0"/>
              <w:left w:val="single" w:color="auto" w:sz="4" w:space="0"/>
              <w:bottom w:val="single" w:color="auto" w:sz="4" w:space="0"/>
              <w:right w:val="single" w:color="auto" w:sz="4" w:space="0"/>
            </w:tcBorders>
            <w:noWrap/>
            <w:vAlign w:val="center"/>
          </w:tcPr>
          <w:p w14:paraId="20B0FC7D">
            <w:pPr>
              <w:spacing w:line="0" w:lineRule="atLeast"/>
              <w:jc w:val="center"/>
              <w:rPr>
                <w:rFonts w:ascii="宋体" w:hAnsi="宋体"/>
                <w:kern w:val="0"/>
                <w:szCs w:val="21"/>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478A88E8">
            <w:pPr>
              <w:spacing w:line="0" w:lineRule="atLeast"/>
              <w:jc w:val="center"/>
              <w:rPr>
                <w:rFonts w:ascii="宋体" w:hAnsi="宋体"/>
                <w:kern w:val="0"/>
                <w:szCs w:val="21"/>
              </w:rPr>
            </w:pPr>
          </w:p>
        </w:tc>
      </w:tr>
      <w:tr w14:paraId="3E00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09" w:type="dxa"/>
            <w:tcBorders>
              <w:top w:val="single" w:color="auto" w:sz="4" w:space="0"/>
              <w:left w:val="single" w:color="auto" w:sz="4" w:space="0"/>
              <w:bottom w:val="single" w:color="auto" w:sz="4" w:space="0"/>
              <w:right w:val="single" w:color="auto" w:sz="4" w:space="0"/>
            </w:tcBorders>
            <w:noWrap/>
            <w:vAlign w:val="center"/>
          </w:tcPr>
          <w:p w14:paraId="7379496D">
            <w:pPr>
              <w:spacing w:line="0" w:lineRule="atLeast"/>
              <w:jc w:val="center"/>
              <w:rPr>
                <w:rFonts w:ascii="宋体" w:hAnsi="宋体"/>
                <w:kern w:val="0"/>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181A6297">
            <w:pPr>
              <w:spacing w:line="0" w:lineRule="atLeast"/>
              <w:jc w:val="center"/>
              <w:rPr>
                <w:rFonts w:ascii="宋体" w:hAnsi="宋体"/>
                <w:kern w:val="0"/>
                <w:szCs w:val="21"/>
              </w:rPr>
            </w:pPr>
          </w:p>
        </w:tc>
        <w:tc>
          <w:tcPr>
            <w:tcW w:w="649" w:type="dxa"/>
            <w:tcBorders>
              <w:top w:val="single" w:color="auto" w:sz="4" w:space="0"/>
              <w:left w:val="single" w:color="auto" w:sz="4" w:space="0"/>
              <w:bottom w:val="single" w:color="auto" w:sz="4" w:space="0"/>
              <w:right w:val="single" w:color="auto" w:sz="4" w:space="0"/>
            </w:tcBorders>
            <w:noWrap/>
            <w:vAlign w:val="center"/>
          </w:tcPr>
          <w:p w14:paraId="3462C722">
            <w:pPr>
              <w:spacing w:line="0" w:lineRule="atLeast"/>
              <w:jc w:val="center"/>
              <w:rPr>
                <w:rFonts w:ascii="宋体" w:hAnsi="宋体"/>
                <w:kern w:val="0"/>
                <w:szCs w:val="21"/>
              </w:rPr>
            </w:pPr>
          </w:p>
        </w:tc>
        <w:tc>
          <w:tcPr>
            <w:tcW w:w="1557" w:type="dxa"/>
            <w:tcBorders>
              <w:top w:val="single" w:color="auto" w:sz="4" w:space="0"/>
              <w:left w:val="single" w:color="auto" w:sz="4" w:space="0"/>
              <w:bottom w:val="single" w:color="auto" w:sz="4" w:space="0"/>
              <w:right w:val="single" w:color="auto" w:sz="4" w:space="0"/>
            </w:tcBorders>
            <w:noWrap/>
            <w:vAlign w:val="center"/>
          </w:tcPr>
          <w:p w14:paraId="15FFBED3">
            <w:pPr>
              <w:spacing w:line="0" w:lineRule="atLeast"/>
              <w:jc w:val="center"/>
              <w:rPr>
                <w:rFonts w:ascii="宋体" w:hAnsi="宋体"/>
                <w:kern w:val="0"/>
                <w:szCs w:val="21"/>
              </w:rPr>
            </w:pPr>
          </w:p>
        </w:tc>
        <w:tc>
          <w:tcPr>
            <w:tcW w:w="1490" w:type="dxa"/>
            <w:tcBorders>
              <w:top w:val="single" w:color="auto" w:sz="4" w:space="0"/>
              <w:left w:val="single" w:color="auto" w:sz="4" w:space="0"/>
              <w:bottom w:val="single" w:color="auto" w:sz="4" w:space="0"/>
              <w:right w:val="single" w:color="auto" w:sz="4" w:space="0"/>
            </w:tcBorders>
            <w:noWrap/>
            <w:vAlign w:val="center"/>
          </w:tcPr>
          <w:p w14:paraId="63C35B64">
            <w:pPr>
              <w:spacing w:line="0" w:lineRule="atLeast"/>
              <w:jc w:val="center"/>
              <w:rPr>
                <w:rFonts w:ascii="宋体" w:hAnsi="宋体"/>
                <w:kern w:val="0"/>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7224DDD3">
            <w:pPr>
              <w:spacing w:line="0" w:lineRule="atLeast"/>
              <w:jc w:val="center"/>
              <w:rPr>
                <w:rFonts w:ascii="宋体" w:hAnsi="宋体"/>
                <w:kern w:val="0"/>
                <w:szCs w:val="21"/>
              </w:rPr>
            </w:pPr>
          </w:p>
        </w:tc>
        <w:tc>
          <w:tcPr>
            <w:tcW w:w="1660" w:type="dxa"/>
            <w:tcBorders>
              <w:top w:val="single" w:color="auto" w:sz="4" w:space="0"/>
              <w:left w:val="single" w:color="auto" w:sz="4" w:space="0"/>
              <w:bottom w:val="single" w:color="auto" w:sz="4" w:space="0"/>
              <w:right w:val="single" w:color="auto" w:sz="4" w:space="0"/>
            </w:tcBorders>
            <w:noWrap/>
            <w:vAlign w:val="center"/>
          </w:tcPr>
          <w:p w14:paraId="3B0C00FA">
            <w:pPr>
              <w:spacing w:line="0" w:lineRule="atLeast"/>
              <w:jc w:val="center"/>
              <w:rPr>
                <w:rFonts w:ascii="宋体" w:hAnsi="宋体"/>
                <w:kern w:val="0"/>
                <w:szCs w:val="21"/>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03462361">
            <w:pPr>
              <w:spacing w:line="0" w:lineRule="atLeast"/>
              <w:jc w:val="center"/>
              <w:rPr>
                <w:rFonts w:ascii="宋体" w:hAnsi="宋体"/>
                <w:kern w:val="0"/>
                <w:szCs w:val="21"/>
              </w:rPr>
            </w:pPr>
          </w:p>
        </w:tc>
      </w:tr>
      <w:tr w14:paraId="496F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09" w:type="dxa"/>
            <w:tcBorders>
              <w:top w:val="single" w:color="auto" w:sz="4" w:space="0"/>
              <w:left w:val="single" w:color="auto" w:sz="4" w:space="0"/>
              <w:bottom w:val="single" w:color="auto" w:sz="4" w:space="0"/>
              <w:right w:val="single" w:color="auto" w:sz="4" w:space="0"/>
            </w:tcBorders>
            <w:noWrap/>
            <w:vAlign w:val="center"/>
          </w:tcPr>
          <w:p w14:paraId="3BB9E206">
            <w:pPr>
              <w:spacing w:line="0" w:lineRule="atLeast"/>
              <w:jc w:val="center"/>
              <w:rPr>
                <w:rFonts w:ascii="宋体" w:hAnsi="宋体"/>
                <w:kern w:val="0"/>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0087014A">
            <w:pPr>
              <w:spacing w:line="0" w:lineRule="atLeast"/>
              <w:jc w:val="center"/>
              <w:rPr>
                <w:rFonts w:ascii="宋体" w:hAnsi="宋体"/>
                <w:kern w:val="0"/>
                <w:szCs w:val="21"/>
              </w:rPr>
            </w:pPr>
          </w:p>
        </w:tc>
        <w:tc>
          <w:tcPr>
            <w:tcW w:w="649" w:type="dxa"/>
            <w:tcBorders>
              <w:top w:val="single" w:color="auto" w:sz="4" w:space="0"/>
              <w:left w:val="single" w:color="auto" w:sz="4" w:space="0"/>
              <w:bottom w:val="single" w:color="auto" w:sz="4" w:space="0"/>
              <w:right w:val="single" w:color="auto" w:sz="4" w:space="0"/>
            </w:tcBorders>
            <w:noWrap/>
            <w:vAlign w:val="center"/>
          </w:tcPr>
          <w:p w14:paraId="7990B2A4">
            <w:pPr>
              <w:spacing w:line="0" w:lineRule="atLeast"/>
              <w:jc w:val="center"/>
              <w:rPr>
                <w:rFonts w:ascii="宋体" w:hAnsi="宋体"/>
                <w:kern w:val="0"/>
                <w:szCs w:val="21"/>
              </w:rPr>
            </w:pPr>
          </w:p>
        </w:tc>
        <w:tc>
          <w:tcPr>
            <w:tcW w:w="1557" w:type="dxa"/>
            <w:tcBorders>
              <w:top w:val="single" w:color="auto" w:sz="4" w:space="0"/>
              <w:left w:val="single" w:color="auto" w:sz="4" w:space="0"/>
              <w:bottom w:val="single" w:color="auto" w:sz="4" w:space="0"/>
              <w:right w:val="single" w:color="auto" w:sz="4" w:space="0"/>
            </w:tcBorders>
            <w:noWrap/>
            <w:vAlign w:val="center"/>
          </w:tcPr>
          <w:p w14:paraId="41197274">
            <w:pPr>
              <w:spacing w:line="0" w:lineRule="atLeast"/>
              <w:jc w:val="center"/>
              <w:rPr>
                <w:rFonts w:ascii="宋体" w:hAnsi="宋体"/>
                <w:kern w:val="0"/>
                <w:szCs w:val="21"/>
              </w:rPr>
            </w:pPr>
          </w:p>
        </w:tc>
        <w:tc>
          <w:tcPr>
            <w:tcW w:w="1490" w:type="dxa"/>
            <w:tcBorders>
              <w:top w:val="single" w:color="auto" w:sz="4" w:space="0"/>
              <w:left w:val="single" w:color="auto" w:sz="4" w:space="0"/>
              <w:bottom w:val="single" w:color="auto" w:sz="4" w:space="0"/>
              <w:right w:val="single" w:color="auto" w:sz="4" w:space="0"/>
            </w:tcBorders>
            <w:noWrap/>
            <w:vAlign w:val="center"/>
          </w:tcPr>
          <w:p w14:paraId="400270AF">
            <w:pPr>
              <w:spacing w:line="0" w:lineRule="atLeast"/>
              <w:jc w:val="center"/>
              <w:rPr>
                <w:rFonts w:ascii="宋体" w:hAnsi="宋体"/>
                <w:kern w:val="0"/>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0319C2C7">
            <w:pPr>
              <w:spacing w:line="0" w:lineRule="atLeast"/>
              <w:jc w:val="center"/>
              <w:rPr>
                <w:rFonts w:ascii="宋体" w:hAnsi="宋体"/>
                <w:kern w:val="0"/>
                <w:szCs w:val="21"/>
              </w:rPr>
            </w:pPr>
          </w:p>
        </w:tc>
        <w:tc>
          <w:tcPr>
            <w:tcW w:w="1660" w:type="dxa"/>
            <w:tcBorders>
              <w:top w:val="single" w:color="auto" w:sz="4" w:space="0"/>
              <w:left w:val="single" w:color="auto" w:sz="4" w:space="0"/>
              <w:bottom w:val="single" w:color="auto" w:sz="4" w:space="0"/>
              <w:right w:val="single" w:color="auto" w:sz="4" w:space="0"/>
            </w:tcBorders>
            <w:noWrap/>
            <w:vAlign w:val="center"/>
          </w:tcPr>
          <w:p w14:paraId="23D8CC0F">
            <w:pPr>
              <w:spacing w:line="0" w:lineRule="atLeast"/>
              <w:jc w:val="center"/>
              <w:rPr>
                <w:rFonts w:ascii="宋体" w:hAnsi="宋体"/>
                <w:kern w:val="0"/>
                <w:szCs w:val="21"/>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411C9091">
            <w:pPr>
              <w:spacing w:line="0" w:lineRule="atLeast"/>
              <w:jc w:val="center"/>
              <w:rPr>
                <w:rFonts w:ascii="宋体" w:hAnsi="宋体"/>
                <w:kern w:val="0"/>
                <w:szCs w:val="21"/>
              </w:rPr>
            </w:pPr>
          </w:p>
        </w:tc>
      </w:tr>
      <w:tr w14:paraId="51AF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09" w:type="dxa"/>
            <w:tcBorders>
              <w:top w:val="single" w:color="auto" w:sz="4" w:space="0"/>
              <w:left w:val="single" w:color="auto" w:sz="4" w:space="0"/>
              <w:bottom w:val="single" w:color="auto" w:sz="4" w:space="0"/>
              <w:right w:val="single" w:color="auto" w:sz="4" w:space="0"/>
            </w:tcBorders>
            <w:noWrap/>
            <w:vAlign w:val="center"/>
          </w:tcPr>
          <w:p w14:paraId="4E8A0F37">
            <w:pPr>
              <w:spacing w:line="0" w:lineRule="atLeast"/>
              <w:jc w:val="center"/>
              <w:rPr>
                <w:rFonts w:ascii="宋体" w:hAnsi="宋体"/>
                <w:kern w:val="0"/>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4D94D15D">
            <w:pPr>
              <w:spacing w:line="0" w:lineRule="atLeast"/>
              <w:jc w:val="center"/>
              <w:rPr>
                <w:rFonts w:ascii="宋体" w:hAnsi="宋体"/>
                <w:kern w:val="0"/>
                <w:szCs w:val="21"/>
              </w:rPr>
            </w:pPr>
          </w:p>
        </w:tc>
        <w:tc>
          <w:tcPr>
            <w:tcW w:w="649" w:type="dxa"/>
            <w:tcBorders>
              <w:top w:val="single" w:color="auto" w:sz="4" w:space="0"/>
              <w:left w:val="single" w:color="auto" w:sz="4" w:space="0"/>
              <w:bottom w:val="single" w:color="auto" w:sz="4" w:space="0"/>
              <w:right w:val="single" w:color="auto" w:sz="4" w:space="0"/>
            </w:tcBorders>
            <w:noWrap/>
            <w:vAlign w:val="center"/>
          </w:tcPr>
          <w:p w14:paraId="533C6DD2">
            <w:pPr>
              <w:spacing w:line="0" w:lineRule="atLeast"/>
              <w:jc w:val="center"/>
              <w:rPr>
                <w:rFonts w:ascii="宋体" w:hAnsi="宋体"/>
                <w:kern w:val="0"/>
                <w:szCs w:val="21"/>
              </w:rPr>
            </w:pPr>
          </w:p>
        </w:tc>
        <w:tc>
          <w:tcPr>
            <w:tcW w:w="1557" w:type="dxa"/>
            <w:tcBorders>
              <w:top w:val="single" w:color="auto" w:sz="4" w:space="0"/>
              <w:left w:val="single" w:color="auto" w:sz="4" w:space="0"/>
              <w:bottom w:val="single" w:color="auto" w:sz="4" w:space="0"/>
              <w:right w:val="single" w:color="auto" w:sz="4" w:space="0"/>
            </w:tcBorders>
            <w:noWrap/>
            <w:vAlign w:val="center"/>
          </w:tcPr>
          <w:p w14:paraId="5621B7DD">
            <w:pPr>
              <w:spacing w:line="0" w:lineRule="atLeast"/>
              <w:jc w:val="center"/>
              <w:rPr>
                <w:rFonts w:ascii="宋体" w:hAnsi="宋体"/>
                <w:kern w:val="0"/>
                <w:szCs w:val="21"/>
              </w:rPr>
            </w:pPr>
          </w:p>
        </w:tc>
        <w:tc>
          <w:tcPr>
            <w:tcW w:w="1490" w:type="dxa"/>
            <w:tcBorders>
              <w:top w:val="single" w:color="auto" w:sz="4" w:space="0"/>
              <w:left w:val="single" w:color="auto" w:sz="4" w:space="0"/>
              <w:bottom w:val="single" w:color="auto" w:sz="4" w:space="0"/>
              <w:right w:val="single" w:color="auto" w:sz="4" w:space="0"/>
            </w:tcBorders>
            <w:noWrap/>
            <w:vAlign w:val="center"/>
          </w:tcPr>
          <w:p w14:paraId="44C7F9F4">
            <w:pPr>
              <w:spacing w:line="0" w:lineRule="atLeast"/>
              <w:jc w:val="center"/>
              <w:rPr>
                <w:rFonts w:ascii="宋体" w:hAnsi="宋体"/>
                <w:kern w:val="0"/>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124B6FF7">
            <w:pPr>
              <w:spacing w:line="0" w:lineRule="atLeast"/>
              <w:jc w:val="center"/>
              <w:rPr>
                <w:rFonts w:ascii="宋体" w:hAnsi="宋体"/>
                <w:kern w:val="0"/>
                <w:szCs w:val="21"/>
              </w:rPr>
            </w:pPr>
          </w:p>
        </w:tc>
        <w:tc>
          <w:tcPr>
            <w:tcW w:w="1660" w:type="dxa"/>
            <w:tcBorders>
              <w:top w:val="single" w:color="auto" w:sz="4" w:space="0"/>
              <w:left w:val="single" w:color="auto" w:sz="4" w:space="0"/>
              <w:bottom w:val="single" w:color="auto" w:sz="4" w:space="0"/>
              <w:right w:val="single" w:color="auto" w:sz="4" w:space="0"/>
            </w:tcBorders>
            <w:noWrap/>
            <w:vAlign w:val="center"/>
          </w:tcPr>
          <w:p w14:paraId="783E12B7">
            <w:pPr>
              <w:spacing w:line="0" w:lineRule="atLeast"/>
              <w:jc w:val="center"/>
              <w:rPr>
                <w:rFonts w:ascii="宋体" w:hAnsi="宋体"/>
                <w:kern w:val="0"/>
                <w:szCs w:val="21"/>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14798AC0">
            <w:pPr>
              <w:spacing w:line="0" w:lineRule="atLeast"/>
              <w:jc w:val="center"/>
              <w:rPr>
                <w:rFonts w:ascii="宋体" w:hAnsi="宋体"/>
                <w:kern w:val="0"/>
                <w:szCs w:val="21"/>
              </w:rPr>
            </w:pPr>
          </w:p>
        </w:tc>
      </w:tr>
    </w:tbl>
    <w:p w14:paraId="17F5A296">
      <w:pPr>
        <w:pStyle w:val="29"/>
        <w:spacing w:line="400" w:lineRule="exact"/>
        <w:rPr>
          <w:rFonts w:hAnsi="宋体" w:cs="宋体"/>
        </w:rPr>
      </w:pPr>
      <w:r>
        <w:rPr>
          <w:rFonts w:hint="eastAsia" w:hAnsi="宋体"/>
        </w:rPr>
        <w:t>注：</w:t>
      </w:r>
      <w:r>
        <w:rPr>
          <w:rFonts w:hint="eastAsia" w:hAnsi="宋体" w:cs="宋体"/>
        </w:rPr>
        <w:t>1.以上须提供相关证明材料原件扫描件，且缴纳近期的社保证明，并加盖电子签章附于表后。</w:t>
      </w:r>
    </w:p>
    <w:p w14:paraId="4A060C42">
      <w:pPr>
        <w:pStyle w:val="29"/>
        <w:spacing w:line="400" w:lineRule="exact"/>
        <w:ind w:firstLine="420" w:firstLineChars="200"/>
        <w:rPr>
          <w:rFonts w:hAnsi="宋体"/>
        </w:rPr>
      </w:pPr>
      <w:r>
        <w:rPr>
          <w:rFonts w:hint="eastAsia" w:hAnsi="宋体" w:cs="宋体"/>
        </w:rPr>
        <w:t>2.表格如不够,可按同样格式扩展。</w:t>
      </w:r>
    </w:p>
    <w:p w14:paraId="46462FCD">
      <w:pPr>
        <w:pStyle w:val="29"/>
        <w:spacing w:line="540" w:lineRule="exact"/>
        <w:ind w:firstLine="420" w:firstLineChars="200"/>
        <w:jc w:val="left"/>
        <w:rPr>
          <w:rFonts w:hAnsi="宋体" w:cs="宋体"/>
        </w:rPr>
      </w:pPr>
    </w:p>
    <w:p w14:paraId="0E9D4C36">
      <w:pPr>
        <w:pStyle w:val="29"/>
        <w:spacing w:line="540" w:lineRule="exact"/>
        <w:ind w:firstLine="420" w:firstLineChars="200"/>
        <w:jc w:val="left"/>
        <w:rPr>
          <w:rFonts w:hAnsi="宋体" w:cs="宋体"/>
        </w:rPr>
      </w:pPr>
    </w:p>
    <w:p w14:paraId="13BD995B">
      <w:pPr>
        <w:pStyle w:val="29"/>
        <w:spacing w:line="540" w:lineRule="exact"/>
        <w:ind w:firstLine="420" w:firstLineChars="200"/>
        <w:jc w:val="left"/>
        <w:rPr>
          <w:rFonts w:hAnsi="宋体" w:cs="宋体"/>
        </w:rPr>
      </w:pPr>
    </w:p>
    <w:p w14:paraId="0359C195">
      <w:pPr>
        <w:pStyle w:val="29"/>
        <w:spacing w:line="540" w:lineRule="exact"/>
        <w:ind w:firstLine="482" w:firstLineChars="200"/>
        <w:jc w:val="right"/>
        <w:rPr>
          <w:rFonts w:hAnsi="宋体"/>
        </w:rPr>
      </w:pPr>
      <w:r>
        <w:rPr>
          <w:rFonts w:hAnsi="宋体"/>
          <w:b/>
          <w:bCs/>
          <w:sz w:val="24"/>
        </w:rPr>
        <w:t xml:space="preserve">投标人盖章：      </w:t>
      </w:r>
    </w:p>
    <w:p w14:paraId="284A61B4">
      <w:pPr>
        <w:jc w:val="right"/>
        <w:rPr>
          <w:rFonts w:ascii="宋体" w:hAnsi="宋体"/>
          <w:b/>
          <w:sz w:val="36"/>
          <w:szCs w:val="36"/>
        </w:rPr>
      </w:pPr>
      <w:r>
        <w:rPr>
          <w:rFonts w:ascii="宋体" w:hAnsi="宋体"/>
          <w:b/>
          <w:bCs/>
          <w:sz w:val="24"/>
        </w:rPr>
        <w:t xml:space="preserve">法定代表人（或授权委托人）签字或盖章：    </w:t>
      </w:r>
    </w:p>
    <w:p w14:paraId="37A81427">
      <w:pPr>
        <w:jc w:val="right"/>
        <w:rPr>
          <w:rFonts w:ascii="宋体" w:hAnsi="宋体"/>
          <w:b/>
          <w:sz w:val="24"/>
        </w:rPr>
      </w:pPr>
      <w:r>
        <w:rPr>
          <w:rFonts w:ascii="宋体" w:hAnsi="宋体"/>
          <w:b/>
          <w:sz w:val="24"/>
        </w:rPr>
        <w:t>日期：</w:t>
      </w:r>
    </w:p>
    <w:p w14:paraId="1C8BDF53">
      <w:pPr>
        <w:rPr>
          <w:rFonts w:ascii="宋体" w:hAnsi="宋体"/>
          <w:b/>
          <w:bCs/>
          <w:szCs w:val="21"/>
        </w:rPr>
      </w:pPr>
    </w:p>
    <w:p w14:paraId="26005E8E">
      <w:pPr>
        <w:rPr>
          <w:rFonts w:ascii="宋体" w:hAnsi="宋体"/>
          <w:b/>
          <w:bCs/>
          <w:szCs w:val="21"/>
        </w:rPr>
      </w:pPr>
    </w:p>
    <w:p w14:paraId="6AA20801">
      <w:pPr>
        <w:rPr>
          <w:rFonts w:ascii="宋体" w:hAnsi="宋体"/>
          <w:b/>
          <w:bCs/>
          <w:szCs w:val="21"/>
        </w:rPr>
      </w:pPr>
    </w:p>
    <w:p w14:paraId="54901A58">
      <w:pPr>
        <w:rPr>
          <w:rFonts w:ascii="宋体" w:hAnsi="宋体"/>
          <w:b/>
          <w:bCs/>
          <w:szCs w:val="21"/>
        </w:rPr>
      </w:pPr>
    </w:p>
    <w:p w14:paraId="1274DF57">
      <w:pPr>
        <w:rPr>
          <w:rFonts w:ascii="宋体" w:hAnsi="宋体"/>
          <w:b/>
          <w:bCs/>
          <w:szCs w:val="21"/>
        </w:rPr>
      </w:pPr>
    </w:p>
    <w:p w14:paraId="66B4A150">
      <w:pPr>
        <w:rPr>
          <w:rFonts w:ascii="宋体" w:hAnsi="宋体"/>
          <w:b/>
          <w:bCs/>
          <w:szCs w:val="21"/>
        </w:rPr>
      </w:pPr>
    </w:p>
    <w:p w14:paraId="517F2478">
      <w:pPr>
        <w:rPr>
          <w:rFonts w:ascii="宋体" w:hAnsi="宋体"/>
          <w:b/>
          <w:bCs/>
          <w:szCs w:val="21"/>
        </w:rPr>
      </w:pPr>
    </w:p>
    <w:p w14:paraId="40673891">
      <w:pPr>
        <w:shd w:val="clear" w:color="auto" w:fill="FFFFFF"/>
        <w:snapToGrid w:val="0"/>
        <w:jc w:val="left"/>
        <w:rPr>
          <w:rFonts w:ascii="宋体" w:hAnsi="宋体"/>
          <w:b/>
          <w:sz w:val="32"/>
        </w:rPr>
      </w:pPr>
    </w:p>
    <w:p w14:paraId="4FC4E028">
      <w:pPr>
        <w:shd w:val="clear" w:color="auto" w:fill="FFFFFF"/>
        <w:snapToGrid w:val="0"/>
        <w:jc w:val="left"/>
        <w:rPr>
          <w:rFonts w:ascii="宋体" w:hAnsi="宋体"/>
          <w:b/>
          <w:sz w:val="32"/>
        </w:rPr>
      </w:pPr>
      <w:r>
        <w:rPr>
          <w:rFonts w:hint="eastAsia" w:ascii="宋体" w:hAnsi="宋体"/>
          <w:b/>
          <w:sz w:val="32"/>
        </w:rPr>
        <w:t>三、“报价文件”格式</w:t>
      </w:r>
    </w:p>
    <w:p w14:paraId="64D6B2B8">
      <w:pPr>
        <w:shd w:val="clear" w:color="auto" w:fill="FFFFFF"/>
        <w:snapToGrid w:val="0"/>
        <w:jc w:val="left"/>
        <w:rPr>
          <w:rFonts w:ascii="宋体" w:hAnsi="宋体"/>
          <w:b/>
          <w:sz w:val="24"/>
        </w:rPr>
      </w:pPr>
      <w:r>
        <w:rPr>
          <w:rFonts w:hint="eastAsia" w:ascii="宋体" w:hAnsi="宋体"/>
          <w:b/>
          <w:sz w:val="24"/>
        </w:rPr>
        <w:t>3.1“报价文件”封面</w:t>
      </w:r>
    </w:p>
    <w:p w14:paraId="7E1C0F57">
      <w:pPr>
        <w:ind w:firstLine="1446" w:firstLineChars="300"/>
        <w:rPr>
          <w:rFonts w:ascii="宋体" w:hAnsi="宋体"/>
          <w:sz w:val="52"/>
        </w:rPr>
      </w:pPr>
      <w:r>
        <w:rPr>
          <w:rFonts w:ascii="宋体" w:hAnsi="宋体"/>
          <w:b/>
          <w:sz w:val="48"/>
          <w:szCs w:val="48"/>
        </w:rPr>
        <w:t>衢州市政府采购电子交易项目</w:t>
      </w:r>
    </w:p>
    <w:p w14:paraId="28C6FDBD">
      <w:pPr>
        <w:jc w:val="center"/>
        <w:rPr>
          <w:rFonts w:ascii="宋体" w:hAnsi="宋体"/>
          <w:b/>
          <w:bCs/>
          <w:sz w:val="72"/>
        </w:rPr>
      </w:pPr>
    </w:p>
    <w:p w14:paraId="5437350E">
      <w:pPr>
        <w:jc w:val="center"/>
        <w:rPr>
          <w:rFonts w:ascii="宋体" w:hAnsi="宋体"/>
          <w:b/>
          <w:bCs/>
          <w:sz w:val="72"/>
        </w:rPr>
      </w:pPr>
      <w:r>
        <w:rPr>
          <w:rFonts w:ascii="宋体" w:hAnsi="宋体"/>
          <w:b/>
          <w:bCs/>
          <w:sz w:val="72"/>
        </w:rPr>
        <w:t>投 标 文 件</w:t>
      </w:r>
    </w:p>
    <w:p w14:paraId="0DBCF2B1">
      <w:pPr>
        <w:tabs>
          <w:tab w:val="left" w:pos="2911"/>
          <w:tab w:val="center" w:pos="4216"/>
        </w:tabs>
        <w:jc w:val="center"/>
        <w:rPr>
          <w:rFonts w:ascii="宋体" w:hAnsi="宋体" w:cs="宋体"/>
          <w:b/>
          <w:bCs/>
          <w:sz w:val="36"/>
        </w:rPr>
      </w:pPr>
      <w:r>
        <w:rPr>
          <w:rFonts w:ascii="宋体" w:hAnsi="宋体"/>
          <w:b/>
          <w:bCs/>
          <w:sz w:val="32"/>
          <w:szCs w:val="32"/>
        </w:rPr>
        <w:t>（三、报价文件）</w:t>
      </w:r>
    </w:p>
    <w:p w14:paraId="6B002A57">
      <w:pPr>
        <w:spacing w:line="900" w:lineRule="exact"/>
        <w:ind w:firstLine="600" w:firstLineChars="200"/>
        <w:jc w:val="left"/>
        <w:rPr>
          <w:rFonts w:hint="eastAsia" w:ascii="宋体" w:hAnsi="宋体" w:eastAsia="宋体"/>
          <w:sz w:val="30"/>
          <w:szCs w:val="30"/>
          <w:u w:val="single"/>
          <w:lang w:eastAsia="zh-CN"/>
        </w:rPr>
      </w:pPr>
      <w:r>
        <w:rPr>
          <w:rFonts w:ascii="宋体" w:hAnsi="宋体"/>
          <w:sz w:val="30"/>
          <w:szCs w:val="30"/>
        </w:rPr>
        <w:t>项目名称：</w:t>
      </w:r>
      <w:r>
        <w:rPr>
          <w:rFonts w:hint="eastAsia" w:ascii="宋体" w:hAnsi="宋体"/>
          <w:sz w:val="30"/>
          <w:szCs w:val="30"/>
          <w:u w:val="single"/>
          <w:lang w:eastAsia="zh-CN"/>
        </w:rPr>
        <w:t>衢州市冻猪肉储备政府购买服务项目（三次）</w:t>
      </w:r>
    </w:p>
    <w:p w14:paraId="273F6977">
      <w:pPr>
        <w:spacing w:line="900" w:lineRule="exact"/>
        <w:ind w:firstLine="600" w:firstLineChars="200"/>
        <w:jc w:val="left"/>
        <w:rPr>
          <w:rFonts w:hint="eastAsia" w:ascii="宋体" w:hAnsi="宋体" w:eastAsia="宋体"/>
          <w:sz w:val="30"/>
          <w:szCs w:val="30"/>
          <w:lang w:eastAsia="zh-CN"/>
        </w:rPr>
      </w:pPr>
      <w:r>
        <w:rPr>
          <w:rFonts w:ascii="宋体" w:hAnsi="宋体"/>
          <w:sz w:val="30"/>
          <w:szCs w:val="30"/>
        </w:rPr>
        <w:t>项目编号：</w:t>
      </w:r>
      <w:r>
        <w:rPr>
          <w:rFonts w:hint="eastAsia" w:ascii="宋体" w:hAnsi="宋体"/>
          <w:sz w:val="30"/>
          <w:szCs w:val="30"/>
          <w:u w:val="single"/>
          <w:lang w:eastAsia="zh-CN"/>
        </w:rPr>
        <w:t>DSYCG2024-010</w:t>
      </w:r>
    </w:p>
    <w:p w14:paraId="0359454D">
      <w:pPr>
        <w:spacing w:line="900" w:lineRule="exact"/>
        <w:ind w:firstLine="600" w:firstLineChars="200"/>
        <w:jc w:val="left"/>
        <w:rPr>
          <w:rFonts w:ascii="宋体" w:hAnsi="宋体"/>
          <w:sz w:val="30"/>
          <w:szCs w:val="30"/>
          <w:u w:val="single"/>
        </w:rPr>
      </w:pPr>
      <w:r>
        <w:rPr>
          <w:rFonts w:ascii="宋体" w:hAnsi="宋体"/>
          <w:sz w:val="30"/>
          <w:szCs w:val="30"/>
        </w:rPr>
        <w:t>投标人单位名称（盖章）：</w:t>
      </w:r>
    </w:p>
    <w:p w14:paraId="0FD766CC">
      <w:pPr>
        <w:spacing w:line="900" w:lineRule="exact"/>
        <w:ind w:firstLine="600" w:firstLineChars="200"/>
        <w:jc w:val="left"/>
        <w:rPr>
          <w:rFonts w:ascii="宋体" w:hAnsi="宋体"/>
          <w:sz w:val="30"/>
          <w:szCs w:val="30"/>
          <w:u w:val="single"/>
        </w:rPr>
      </w:pPr>
      <w:r>
        <w:rPr>
          <w:rFonts w:ascii="宋体" w:hAnsi="宋体"/>
          <w:sz w:val="30"/>
          <w:szCs w:val="30"/>
        </w:rPr>
        <w:t>投标人单位地址：</w:t>
      </w:r>
    </w:p>
    <w:p w14:paraId="1D2ED901">
      <w:pPr>
        <w:spacing w:line="900" w:lineRule="exact"/>
        <w:ind w:firstLine="600" w:firstLineChars="200"/>
        <w:jc w:val="left"/>
        <w:rPr>
          <w:rFonts w:ascii="宋体" w:hAnsi="宋体"/>
          <w:sz w:val="30"/>
          <w:szCs w:val="30"/>
          <w:u w:val="single"/>
        </w:rPr>
      </w:pPr>
      <w:r>
        <w:rPr>
          <w:rFonts w:ascii="宋体" w:hAnsi="宋体"/>
          <w:sz w:val="30"/>
          <w:szCs w:val="30"/>
        </w:rPr>
        <w:t>法定代表人或其委托代理人：</w:t>
      </w:r>
      <w:r>
        <w:rPr>
          <w:rFonts w:ascii="宋体" w:hAnsi="宋体"/>
          <w:sz w:val="30"/>
          <w:szCs w:val="30"/>
          <w:u w:val="single"/>
        </w:rPr>
        <w:t xml:space="preserve">           （签字或盖章） </w:t>
      </w:r>
    </w:p>
    <w:p w14:paraId="5077B50B">
      <w:pPr>
        <w:spacing w:line="900" w:lineRule="exact"/>
        <w:ind w:firstLine="600" w:firstLineChars="200"/>
        <w:jc w:val="left"/>
        <w:rPr>
          <w:rFonts w:ascii="宋体" w:hAnsi="宋体"/>
          <w:sz w:val="30"/>
          <w:szCs w:val="30"/>
          <w:u w:val="single"/>
        </w:rPr>
      </w:pPr>
      <w:r>
        <w:rPr>
          <w:rFonts w:ascii="宋体" w:hAnsi="宋体"/>
          <w:sz w:val="30"/>
          <w:szCs w:val="30"/>
        </w:rPr>
        <w:t>投标人联系电话：</w:t>
      </w:r>
    </w:p>
    <w:p w14:paraId="68BFF790">
      <w:pPr>
        <w:spacing w:line="900" w:lineRule="exact"/>
        <w:ind w:firstLine="600" w:firstLineChars="200"/>
        <w:jc w:val="left"/>
        <w:rPr>
          <w:rFonts w:ascii="宋体" w:hAnsi="宋体"/>
          <w:sz w:val="30"/>
          <w:szCs w:val="30"/>
        </w:rPr>
      </w:pPr>
      <w:r>
        <w:rPr>
          <w:rFonts w:ascii="宋体" w:hAnsi="宋体"/>
          <w:sz w:val="30"/>
          <w:szCs w:val="30"/>
        </w:rPr>
        <w:t>日 期：年 月 日</w:t>
      </w:r>
    </w:p>
    <w:p w14:paraId="4B4D7038">
      <w:pPr>
        <w:pStyle w:val="54"/>
        <w:tabs>
          <w:tab w:val="left" w:pos="900"/>
        </w:tabs>
        <w:ind w:left="0" w:leftChars="0" w:firstLine="0" w:firstLineChars="0"/>
        <w:jc w:val="center"/>
        <w:rPr>
          <w:rFonts w:ascii="宋体" w:hAnsi="宋体"/>
          <w:b/>
          <w:sz w:val="24"/>
          <w:szCs w:val="24"/>
        </w:rPr>
      </w:pPr>
      <w:r>
        <w:rPr>
          <w:rFonts w:ascii="宋体" w:hAnsi="宋体"/>
          <w:b/>
          <w:sz w:val="24"/>
          <w:szCs w:val="24"/>
        </w:rPr>
        <w:t>投标截止时间前其他单位或个人不得解密、提取</w:t>
      </w:r>
    </w:p>
    <w:p w14:paraId="41BFA422">
      <w:pPr>
        <w:shd w:val="clear" w:color="auto" w:fill="FFFFFF"/>
        <w:snapToGrid w:val="0"/>
        <w:ind w:firstLine="4999" w:firstLineChars="1556"/>
        <w:jc w:val="left"/>
        <w:rPr>
          <w:rFonts w:ascii="宋体" w:hAnsi="宋体"/>
          <w:b/>
          <w:sz w:val="32"/>
        </w:rPr>
      </w:pPr>
    </w:p>
    <w:p w14:paraId="166EA570">
      <w:pPr>
        <w:shd w:val="clear" w:color="auto" w:fill="FFFFFF"/>
        <w:snapToGrid w:val="0"/>
        <w:jc w:val="left"/>
        <w:rPr>
          <w:rFonts w:ascii="宋体" w:hAnsi="宋体"/>
          <w:b/>
          <w:sz w:val="32"/>
        </w:rPr>
      </w:pPr>
    </w:p>
    <w:p w14:paraId="2D038668">
      <w:pPr>
        <w:shd w:val="clear" w:color="auto" w:fill="FFFFFF"/>
        <w:snapToGrid w:val="0"/>
        <w:jc w:val="left"/>
        <w:rPr>
          <w:rFonts w:ascii="宋体" w:hAnsi="宋体"/>
          <w:b/>
          <w:sz w:val="32"/>
        </w:rPr>
      </w:pPr>
    </w:p>
    <w:p w14:paraId="6D3A91F8">
      <w:pPr>
        <w:shd w:val="clear" w:color="auto" w:fill="FFFFFF"/>
        <w:snapToGrid w:val="0"/>
        <w:ind w:firstLine="4000" w:firstLineChars="1245"/>
        <w:rPr>
          <w:rFonts w:ascii="宋体" w:hAnsi="宋体" w:cs="宋体"/>
          <w:b/>
          <w:bCs/>
          <w:kern w:val="0"/>
          <w:sz w:val="24"/>
        </w:rPr>
      </w:pPr>
      <w:r>
        <w:rPr>
          <w:rFonts w:hint="eastAsia" w:ascii="宋体" w:hAnsi="宋体"/>
          <w:b/>
          <w:sz w:val="32"/>
        </w:rPr>
        <w:t>目  录</w:t>
      </w:r>
    </w:p>
    <w:p w14:paraId="4EAD9D71">
      <w:pPr>
        <w:shd w:val="clear" w:color="auto" w:fill="FFFFFF"/>
        <w:snapToGrid w:val="0"/>
        <w:jc w:val="left"/>
        <w:rPr>
          <w:rFonts w:ascii="宋体" w:hAnsi="宋体"/>
          <w:sz w:val="24"/>
        </w:rPr>
      </w:pPr>
      <w:bookmarkStart w:id="344" w:name="_Toc201"/>
      <w:bookmarkStart w:id="345" w:name="_Toc51872144"/>
      <w:r>
        <w:rPr>
          <w:rFonts w:hint="eastAsia" w:ascii="宋体" w:hAnsi="宋体"/>
          <w:bCs/>
          <w:sz w:val="24"/>
        </w:rPr>
        <w:t>1.投标函</w:t>
      </w:r>
      <w:bookmarkEnd w:id="344"/>
      <w:bookmarkEnd w:id="345"/>
      <w:r>
        <w:rPr>
          <w:rFonts w:hint="eastAsia" w:ascii="宋体" w:hAnsi="宋体"/>
          <w:bCs/>
          <w:sz w:val="24"/>
        </w:rPr>
        <w:t>（格式3.2.1）</w:t>
      </w:r>
      <w:r>
        <w:rPr>
          <w:rFonts w:hint="eastAsia" w:ascii="宋体" w:hAnsi="宋体"/>
          <w:sz w:val="24"/>
        </w:rPr>
        <w:t>……………………………………………………………………（页码）</w:t>
      </w:r>
    </w:p>
    <w:p w14:paraId="2A8E7F6C">
      <w:pPr>
        <w:shd w:val="clear" w:color="auto" w:fill="FFFFFF"/>
        <w:snapToGrid w:val="0"/>
        <w:jc w:val="left"/>
        <w:rPr>
          <w:rFonts w:ascii="宋体" w:hAnsi="宋体"/>
          <w:sz w:val="24"/>
        </w:rPr>
      </w:pPr>
      <w:bookmarkStart w:id="346" w:name="_Toc51872145"/>
      <w:bookmarkStart w:id="347" w:name="_Toc19468"/>
      <w:r>
        <w:rPr>
          <w:rFonts w:hint="eastAsia" w:ascii="宋体" w:hAnsi="宋体"/>
          <w:bCs/>
          <w:sz w:val="24"/>
        </w:rPr>
        <w:t>2.投标报价一览表（开标一览表）（格式3.2.2）</w:t>
      </w:r>
      <w:r>
        <w:rPr>
          <w:rFonts w:hint="eastAsia" w:ascii="宋体" w:hAnsi="宋体"/>
          <w:sz w:val="24"/>
        </w:rPr>
        <w:t>………………………………………（页码）</w:t>
      </w:r>
    </w:p>
    <w:p w14:paraId="687DFFE0">
      <w:pPr>
        <w:shd w:val="clear" w:color="auto" w:fill="FFFFFF"/>
        <w:snapToGrid w:val="0"/>
        <w:jc w:val="left"/>
        <w:rPr>
          <w:rFonts w:ascii="宋体" w:hAnsi="宋体"/>
          <w:sz w:val="24"/>
        </w:rPr>
      </w:pPr>
      <w:r>
        <w:rPr>
          <w:rFonts w:hint="eastAsia" w:ascii="宋体" w:hAnsi="宋体"/>
          <w:bCs/>
          <w:sz w:val="24"/>
        </w:rPr>
        <w:t>3.投标报价明细表（格式3.2.3）</w:t>
      </w:r>
      <w:r>
        <w:rPr>
          <w:rFonts w:hint="eastAsia" w:ascii="宋体" w:hAnsi="宋体"/>
          <w:sz w:val="24"/>
        </w:rPr>
        <w:t>…………………………………………………………（页码）</w:t>
      </w:r>
    </w:p>
    <w:bookmarkEnd w:id="346"/>
    <w:bookmarkEnd w:id="347"/>
    <w:p w14:paraId="05F02E98">
      <w:pPr>
        <w:shd w:val="clear" w:color="auto" w:fill="FFFFFF"/>
        <w:snapToGrid w:val="0"/>
        <w:jc w:val="left"/>
        <w:rPr>
          <w:rFonts w:ascii="宋体" w:hAnsi="宋体"/>
          <w:bCs/>
          <w:sz w:val="24"/>
        </w:rPr>
      </w:pPr>
      <w:r>
        <w:rPr>
          <w:rFonts w:hint="eastAsia" w:ascii="宋体" w:hAnsi="宋体"/>
          <w:bCs/>
          <w:sz w:val="24"/>
        </w:rPr>
        <w:t>4.中小企业声明函（如有）（格式3.2.4）………………………………………………（页码）</w:t>
      </w:r>
    </w:p>
    <w:p w14:paraId="44FBEAA6">
      <w:pPr>
        <w:shd w:val="clear" w:color="auto" w:fill="FFFFFF"/>
        <w:snapToGrid w:val="0"/>
        <w:jc w:val="left"/>
        <w:rPr>
          <w:rStyle w:val="149"/>
          <w:rFonts w:ascii="宋体" w:hAnsi="宋体" w:eastAsia="宋体"/>
          <w:sz w:val="24"/>
          <w:szCs w:val="24"/>
        </w:rPr>
      </w:pPr>
      <w:r>
        <w:rPr>
          <w:rFonts w:hint="eastAsia" w:ascii="宋体" w:hAnsi="宋体"/>
          <w:bCs/>
          <w:sz w:val="24"/>
        </w:rPr>
        <w:t>5.其他投标人认为须提供的资料</w:t>
      </w:r>
      <w:r>
        <w:rPr>
          <w:rFonts w:hint="eastAsia" w:ascii="宋体" w:hAnsi="宋体"/>
          <w:sz w:val="24"/>
        </w:rPr>
        <w:t>…………………………………………………………（页码）</w:t>
      </w:r>
    </w:p>
    <w:p w14:paraId="08E016B2">
      <w:pPr>
        <w:shd w:val="clear" w:color="auto" w:fill="FFFFFF"/>
        <w:snapToGrid w:val="0"/>
        <w:jc w:val="left"/>
        <w:rPr>
          <w:rStyle w:val="149"/>
          <w:rFonts w:ascii="宋体" w:hAnsi="宋体" w:eastAsia="宋体"/>
          <w:sz w:val="24"/>
          <w:szCs w:val="24"/>
        </w:rPr>
      </w:pPr>
    </w:p>
    <w:p w14:paraId="1D5722FB">
      <w:pPr>
        <w:shd w:val="clear" w:color="auto" w:fill="FFFFFF"/>
        <w:snapToGrid w:val="0"/>
        <w:jc w:val="left"/>
        <w:rPr>
          <w:rStyle w:val="149"/>
          <w:rFonts w:ascii="宋体" w:hAnsi="宋体" w:eastAsia="宋体"/>
          <w:sz w:val="24"/>
          <w:szCs w:val="24"/>
        </w:rPr>
      </w:pPr>
    </w:p>
    <w:p w14:paraId="08D888DD">
      <w:pPr>
        <w:shd w:val="clear" w:color="auto" w:fill="FFFFFF"/>
        <w:snapToGrid w:val="0"/>
        <w:jc w:val="left"/>
        <w:rPr>
          <w:rStyle w:val="149"/>
          <w:rFonts w:ascii="宋体" w:hAnsi="宋体" w:eastAsia="宋体"/>
          <w:sz w:val="24"/>
          <w:szCs w:val="24"/>
        </w:rPr>
      </w:pPr>
    </w:p>
    <w:p w14:paraId="3799E487">
      <w:pPr>
        <w:shd w:val="clear" w:color="auto" w:fill="FFFFFF"/>
        <w:snapToGrid w:val="0"/>
        <w:jc w:val="left"/>
        <w:rPr>
          <w:rStyle w:val="149"/>
          <w:rFonts w:ascii="宋体" w:hAnsi="宋体" w:eastAsia="宋体"/>
          <w:sz w:val="24"/>
          <w:szCs w:val="24"/>
        </w:rPr>
      </w:pPr>
    </w:p>
    <w:p w14:paraId="6EC38109">
      <w:pPr>
        <w:shd w:val="clear" w:color="auto" w:fill="FFFFFF"/>
        <w:snapToGrid w:val="0"/>
        <w:jc w:val="left"/>
        <w:rPr>
          <w:rStyle w:val="149"/>
          <w:rFonts w:ascii="宋体" w:hAnsi="宋体" w:eastAsia="宋体"/>
          <w:sz w:val="24"/>
          <w:szCs w:val="24"/>
        </w:rPr>
      </w:pPr>
    </w:p>
    <w:p w14:paraId="0B55EAF2">
      <w:pPr>
        <w:shd w:val="clear" w:color="auto" w:fill="FFFFFF"/>
        <w:snapToGrid w:val="0"/>
        <w:jc w:val="left"/>
        <w:rPr>
          <w:rStyle w:val="149"/>
          <w:rFonts w:ascii="宋体" w:hAnsi="宋体" w:eastAsia="宋体"/>
          <w:sz w:val="24"/>
          <w:szCs w:val="24"/>
        </w:rPr>
      </w:pPr>
    </w:p>
    <w:p w14:paraId="20CFF43A">
      <w:pPr>
        <w:shd w:val="clear" w:color="auto" w:fill="FFFFFF"/>
        <w:snapToGrid w:val="0"/>
        <w:jc w:val="left"/>
        <w:rPr>
          <w:rStyle w:val="149"/>
          <w:rFonts w:ascii="宋体" w:hAnsi="宋体" w:eastAsia="宋体"/>
          <w:sz w:val="24"/>
          <w:szCs w:val="24"/>
        </w:rPr>
      </w:pPr>
    </w:p>
    <w:p w14:paraId="325115BE">
      <w:pPr>
        <w:shd w:val="clear" w:color="auto" w:fill="FFFFFF"/>
        <w:snapToGrid w:val="0"/>
        <w:jc w:val="left"/>
        <w:rPr>
          <w:rStyle w:val="149"/>
          <w:rFonts w:ascii="宋体" w:hAnsi="宋体" w:eastAsia="宋体"/>
          <w:sz w:val="24"/>
          <w:szCs w:val="24"/>
        </w:rPr>
      </w:pPr>
    </w:p>
    <w:p w14:paraId="5A9DBFA2">
      <w:pPr>
        <w:shd w:val="clear" w:color="auto" w:fill="FFFFFF"/>
        <w:snapToGrid w:val="0"/>
        <w:jc w:val="left"/>
        <w:rPr>
          <w:rStyle w:val="149"/>
          <w:rFonts w:ascii="宋体" w:hAnsi="宋体" w:eastAsia="宋体"/>
          <w:sz w:val="24"/>
          <w:szCs w:val="24"/>
        </w:rPr>
      </w:pPr>
    </w:p>
    <w:p w14:paraId="2683B9AA">
      <w:pPr>
        <w:shd w:val="clear" w:color="auto" w:fill="FFFFFF"/>
        <w:snapToGrid w:val="0"/>
        <w:jc w:val="left"/>
        <w:rPr>
          <w:rStyle w:val="149"/>
          <w:rFonts w:ascii="宋体" w:hAnsi="宋体" w:eastAsia="宋体"/>
          <w:sz w:val="24"/>
          <w:szCs w:val="24"/>
        </w:rPr>
      </w:pPr>
    </w:p>
    <w:p w14:paraId="086FD63C">
      <w:pPr>
        <w:shd w:val="clear" w:color="auto" w:fill="FFFFFF"/>
        <w:snapToGrid w:val="0"/>
        <w:jc w:val="left"/>
        <w:rPr>
          <w:rStyle w:val="149"/>
          <w:rFonts w:ascii="宋体" w:hAnsi="宋体" w:eastAsia="宋体"/>
          <w:sz w:val="24"/>
          <w:szCs w:val="24"/>
        </w:rPr>
      </w:pPr>
    </w:p>
    <w:p w14:paraId="003AA483">
      <w:pPr>
        <w:shd w:val="clear" w:color="auto" w:fill="FFFFFF"/>
        <w:snapToGrid w:val="0"/>
        <w:jc w:val="left"/>
        <w:rPr>
          <w:rStyle w:val="149"/>
          <w:rFonts w:ascii="宋体" w:hAnsi="宋体" w:eastAsia="宋体"/>
          <w:sz w:val="24"/>
          <w:szCs w:val="24"/>
        </w:rPr>
      </w:pPr>
    </w:p>
    <w:p w14:paraId="0E239F7F">
      <w:pPr>
        <w:shd w:val="clear" w:color="auto" w:fill="FFFFFF"/>
        <w:snapToGrid w:val="0"/>
        <w:jc w:val="left"/>
        <w:rPr>
          <w:rStyle w:val="149"/>
          <w:rFonts w:ascii="宋体" w:hAnsi="宋体" w:eastAsia="宋体"/>
          <w:sz w:val="24"/>
          <w:szCs w:val="24"/>
        </w:rPr>
      </w:pPr>
    </w:p>
    <w:p w14:paraId="572736BB">
      <w:pPr>
        <w:shd w:val="clear" w:color="auto" w:fill="FFFFFF"/>
        <w:snapToGrid w:val="0"/>
        <w:jc w:val="left"/>
        <w:rPr>
          <w:rStyle w:val="149"/>
          <w:rFonts w:ascii="宋体" w:hAnsi="宋体" w:eastAsia="宋体"/>
          <w:sz w:val="24"/>
          <w:szCs w:val="24"/>
        </w:rPr>
      </w:pPr>
    </w:p>
    <w:p w14:paraId="5D1BD409">
      <w:pPr>
        <w:shd w:val="clear" w:color="auto" w:fill="FFFFFF"/>
        <w:snapToGrid w:val="0"/>
        <w:jc w:val="left"/>
        <w:rPr>
          <w:rStyle w:val="149"/>
          <w:rFonts w:ascii="宋体" w:hAnsi="宋体" w:eastAsia="宋体"/>
          <w:sz w:val="24"/>
          <w:szCs w:val="24"/>
        </w:rPr>
      </w:pPr>
    </w:p>
    <w:p w14:paraId="6FA1323D">
      <w:pPr>
        <w:shd w:val="clear" w:color="auto" w:fill="FFFFFF"/>
        <w:snapToGrid w:val="0"/>
        <w:jc w:val="left"/>
        <w:rPr>
          <w:rStyle w:val="149"/>
          <w:rFonts w:ascii="宋体" w:hAnsi="宋体" w:eastAsia="宋体"/>
          <w:sz w:val="24"/>
          <w:szCs w:val="24"/>
        </w:rPr>
      </w:pPr>
    </w:p>
    <w:p w14:paraId="37428ED4">
      <w:pPr>
        <w:shd w:val="clear" w:color="auto" w:fill="FFFFFF"/>
        <w:snapToGrid w:val="0"/>
        <w:jc w:val="left"/>
        <w:rPr>
          <w:rStyle w:val="149"/>
          <w:rFonts w:ascii="宋体" w:hAnsi="宋体" w:eastAsia="宋体"/>
          <w:sz w:val="24"/>
          <w:szCs w:val="24"/>
        </w:rPr>
      </w:pPr>
    </w:p>
    <w:p w14:paraId="09BA15EC">
      <w:pPr>
        <w:shd w:val="clear" w:color="auto" w:fill="FFFFFF"/>
        <w:snapToGrid w:val="0"/>
        <w:jc w:val="left"/>
        <w:rPr>
          <w:rStyle w:val="149"/>
          <w:rFonts w:ascii="宋体" w:hAnsi="宋体" w:eastAsia="宋体"/>
          <w:sz w:val="24"/>
          <w:szCs w:val="24"/>
        </w:rPr>
      </w:pPr>
    </w:p>
    <w:p w14:paraId="409E02D5">
      <w:pPr>
        <w:shd w:val="clear" w:color="auto" w:fill="FFFFFF"/>
        <w:snapToGrid w:val="0"/>
        <w:jc w:val="left"/>
        <w:rPr>
          <w:rStyle w:val="149"/>
          <w:rFonts w:ascii="宋体" w:hAnsi="宋体" w:eastAsia="宋体"/>
          <w:sz w:val="24"/>
          <w:szCs w:val="24"/>
        </w:rPr>
      </w:pPr>
    </w:p>
    <w:p w14:paraId="6C110698">
      <w:pPr>
        <w:shd w:val="clear" w:color="auto" w:fill="FFFFFF"/>
        <w:snapToGrid w:val="0"/>
        <w:jc w:val="left"/>
        <w:rPr>
          <w:rStyle w:val="149"/>
          <w:rFonts w:ascii="宋体" w:hAnsi="宋体" w:eastAsia="宋体"/>
          <w:sz w:val="24"/>
          <w:szCs w:val="24"/>
        </w:rPr>
      </w:pPr>
    </w:p>
    <w:p w14:paraId="45CEFAB7">
      <w:pPr>
        <w:shd w:val="clear" w:color="auto" w:fill="FFFFFF"/>
        <w:snapToGrid w:val="0"/>
        <w:jc w:val="left"/>
        <w:rPr>
          <w:rStyle w:val="149"/>
          <w:rFonts w:ascii="宋体" w:hAnsi="宋体" w:eastAsia="宋体"/>
          <w:sz w:val="24"/>
          <w:szCs w:val="24"/>
        </w:rPr>
      </w:pPr>
    </w:p>
    <w:p w14:paraId="2F5B81B7">
      <w:pPr>
        <w:shd w:val="clear" w:color="auto" w:fill="FFFFFF"/>
        <w:snapToGrid w:val="0"/>
        <w:jc w:val="left"/>
        <w:rPr>
          <w:rStyle w:val="149"/>
          <w:rFonts w:ascii="宋体" w:hAnsi="宋体" w:eastAsia="宋体"/>
          <w:sz w:val="24"/>
          <w:szCs w:val="24"/>
        </w:rPr>
        <w:sectPr>
          <w:pgSz w:w="11906" w:h="16840"/>
          <w:pgMar w:top="1440" w:right="1128" w:bottom="1701" w:left="1276" w:header="851" w:footer="992" w:gutter="0"/>
          <w:cols w:space="720" w:num="1"/>
          <w:docGrid w:linePitch="312" w:charSpace="0"/>
        </w:sectPr>
      </w:pPr>
    </w:p>
    <w:p w14:paraId="7AB5B0B4">
      <w:pPr>
        <w:shd w:val="clear" w:color="auto" w:fill="FFFFFF"/>
        <w:snapToGrid w:val="0"/>
        <w:jc w:val="left"/>
        <w:rPr>
          <w:rStyle w:val="149"/>
          <w:rFonts w:ascii="宋体" w:hAnsi="宋体" w:eastAsia="宋体"/>
          <w:sz w:val="24"/>
          <w:szCs w:val="24"/>
        </w:rPr>
      </w:pPr>
      <w:r>
        <w:rPr>
          <w:rStyle w:val="149"/>
          <w:rFonts w:hint="eastAsia" w:ascii="宋体" w:hAnsi="宋体" w:eastAsia="宋体"/>
          <w:sz w:val="24"/>
          <w:szCs w:val="24"/>
        </w:rPr>
        <w:t>3.2.1投标函格式：</w:t>
      </w:r>
    </w:p>
    <w:p w14:paraId="1A78E011">
      <w:pPr>
        <w:pStyle w:val="29"/>
        <w:ind w:firstLine="2992" w:firstLineChars="828"/>
        <w:rPr>
          <w:rFonts w:hAnsi="宋体" w:cs="Times New Roman"/>
          <w:b/>
          <w:bCs/>
          <w:sz w:val="36"/>
          <w:szCs w:val="36"/>
        </w:rPr>
      </w:pPr>
      <w:r>
        <w:rPr>
          <w:rFonts w:hint="eastAsia" w:hAnsi="宋体" w:cs="Times New Roman"/>
          <w:b/>
          <w:bCs/>
          <w:sz w:val="36"/>
          <w:szCs w:val="36"/>
        </w:rPr>
        <w:t>1.</w:t>
      </w:r>
      <w:r>
        <w:rPr>
          <w:rFonts w:hAnsi="宋体" w:cs="Times New Roman"/>
          <w:b/>
          <w:bCs/>
          <w:sz w:val="36"/>
          <w:szCs w:val="36"/>
        </w:rPr>
        <w:t>投标函</w:t>
      </w:r>
    </w:p>
    <w:p w14:paraId="781DC39E">
      <w:pPr>
        <w:pStyle w:val="29"/>
        <w:rPr>
          <w:rFonts w:hint="eastAsia" w:hAnsi="宋体" w:eastAsia="宋体" w:cs="Times New Roman"/>
          <w:sz w:val="24"/>
          <w:lang w:eastAsia="zh-CN"/>
        </w:rPr>
      </w:pPr>
      <w:r>
        <w:rPr>
          <w:rFonts w:hAnsi="宋体" w:cs="Times New Roman"/>
          <w:sz w:val="24"/>
        </w:rPr>
        <w:t>致：</w:t>
      </w:r>
      <w:r>
        <w:rPr>
          <w:rFonts w:hint="eastAsia" w:hAnsi="宋体" w:cs="Times New Roman"/>
          <w:sz w:val="24"/>
          <w:u w:val="single"/>
          <w:lang w:eastAsia="zh-CN"/>
        </w:rPr>
        <w:t>杭州兑尚源工程管理有限公司</w:t>
      </w:r>
    </w:p>
    <w:p w14:paraId="0E4C6389">
      <w:pPr>
        <w:pStyle w:val="29"/>
        <w:rPr>
          <w:rFonts w:hAnsi="宋体" w:cs="Times New Roman"/>
          <w:sz w:val="24"/>
        </w:rPr>
      </w:pPr>
      <w:r>
        <w:rPr>
          <w:rFonts w:hAnsi="宋体" w:cs="Times New Roman"/>
          <w:sz w:val="24"/>
        </w:rPr>
        <w:t>（投标人全称）授权（全名、职务）为全权代表参加贵方组织的项目（招标项目名称、招标编号）</w:t>
      </w:r>
      <w:r>
        <w:rPr>
          <w:rFonts w:hint="eastAsia" w:hAnsi="宋体" w:cs="宋体"/>
          <w:sz w:val="24"/>
        </w:rPr>
        <w:t>的</w:t>
      </w:r>
      <w:r>
        <w:rPr>
          <w:rFonts w:hAnsi="宋体" w:cs="Times New Roman"/>
          <w:sz w:val="24"/>
        </w:rPr>
        <w:t>招标、投标等有关活动，为此提交下述文件：</w:t>
      </w:r>
    </w:p>
    <w:p w14:paraId="34556752">
      <w:pPr>
        <w:ind w:firstLine="480" w:firstLineChars="200"/>
        <w:rPr>
          <w:rFonts w:ascii="宋体" w:hAnsi="宋体"/>
          <w:sz w:val="24"/>
        </w:rPr>
      </w:pPr>
      <w:r>
        <w:rPr>
          <w:rFonts w:ascii="宋体" w:hAnsi="宋体"/>
          <w:sz w:val="24"/>
        </w:rPr>
        <w:t>1.电子加密投标文件（含资格文件、商务技术文件、报价文件）；</w:t>
      </w:r>
    </w:p>
    <w:p w14:paraId="457FCC0E">
      <w:pPr>
        <w:ind w:firstLine="480" w:firstLineChars="200"/>
        <w:rPr>
          <w:rFonts w:ascii="宋体" w:hAnsi="宋体"/>
          <w:sz w:val="24"/>
        </w:rPr>
      </w:pPr>
      <w:r>
        <w:rPr>
          <w:rFonts w:ascii="宋体" w:hAnsi="宋体"/>
          <w:sz w:val="24"/>
        </w:rPr>
        <w:t>2.电子备份投标文件（含资格文件、商务技术文件、报价文件）；</w:t>
      </w:r>
    </w:p>
    <w:p w14:paraId="10196186">
      <w:pPr>
        <w:ind w:firstLine="480" w:firstLineChars="200"/>
        <w:rPr>
          <w:rFonts w:ascii="宋体" w:hAnsi="宋体"/>
          <w:sz w:val="24"/>
        </w:rPr>
      </w:pPr>
      <w:r>
        <w:rPr>
          <w:rFonts w:ascii="宋体" w:hAnsi="宋体"/>
          <w:sz w:val="24"/>
        </w:rPr>
        <w:t>3.据此函，签字代表宣布同意如下：</w:t>
      </w:r>
    </w:p>
    <w:p w14:paraId="292F59A4">
      <w:pPr>
        <w:ind w:firstLine="480" w:firstLineChars="200"/>
        <w:rPr>
          <w:rFonts w:ascii="宋体" w:hAnsi="宋体"/>
          <w:sz w:val="24"/>
          <w:u w:val="single"/>
        </w:rPr>
      </w:pPr>
      <w:r>
        <w:rPr>
          <w:rFonts w:ascii="宋体" w:hAnsi="宋体"/>
          <w:sz w:val="24"/>
        </w:rPr>
        <w:t>1）</w:t>
      </w:r>
      <w:r>
        <w:rPr>
          <w:rFonts w:ascii="宋体" w:hAnsi="宋体"/>
          <w:spacing w:val="12"/>
          <w:sz w:val="24"/>
        </w:rPr>
        <w:t>所附投标报价表中规定的应提供和支付的货物及服务投标</w:t>
      </w:r>
      <w:r>
        <w:rPr>
          <w:rFonts w:hint="eastAsia" w:ascii="宋体" w:hAnsi="宋体"/>
          <w:spacing w:val="12"/>
          <w:sz w:val="24"/>
        </w:rPr>
        <w:t>报</w:t>
      </w:r>
      <w:r>
        <w:rPr>
          <w:rFonts w:ascii="宋体" w:hAnsi="宋体"/>
          <w:spacing w:val="12"/>
          <w:sz w:val="24"/>
        </w:rPr>
        <w:t>价为</w:t>
      </w:r>
      <w:r>
        <w:rPr>
          <w:rFonts w:ascii="宋体" w:hAnsi="宋体"/>
          <w:spacing w:val="11"/>
          <w:sz w:val="24"/>
          <w:u w:val="single"/>
        </w:rPr>
        <w:t xml:space="preserve">（人民币）        </w:t>
      </w:r>
      <w:r>
        <w:rPr>
          <w:rFonts w:hint="eastAsia" w:ascii="宋体" w:hAnsi="宋体"/>
          <w:spacing w:val="11"/>
          <w:sz w:val="24"/>
          <w:u w:val="single"/>
        </w:rPr>
        <w:t>元</w:t>
      </w:r>
      <w:r>
        <w:rPr>
          <w:rFonts w:ascii="宋体" w:hAnsi="宋体"/>
          <w:sz w:val="24"/>
        </w:rPr>
        <w:t xml:space="preserve">， 即 </w:t>
      </w:r>
      <w:r>
        <w:rPr>
          <w:rFonts w:hint="eastAsia" w:ascii="宋体" w:hAnsi="宋体"/>
          <w:sz w:val="24"/>
          <w:u w:val="single"/>
        </w:rPr>
        <w:t xml:space="preserve">             元</w:t>
      </w:r>
      <w:r>
        <w:rPr>
          <w:rFonts w:ascii="宋体" w:hAnsi="宋体"/>
          <w:sz w:val="24"/>
        </w:rPr>
        <w:t>（大写）。</w:t>
      </w:r>
    </w:p>
    <w:p w14:paraId="71484185">
      <w:pPr>
        <w:ind w:firstLine="480" w:firstLineChars="200"/>
        <w:rPr>
          <w:rFonts w:ascii="宋体" w:hAnsi="宋体"/>
          <w:sz w:val="24"/>
        </w:rPr>
      </w:pPr>
      <w:r>
        <w:rPr>
          <w:rFonts w:ascii="宋体" w:hAnsi="宋体"/>
          <w:sz w:val="24"/>
        </w:rPr>
        <w:t>2）投标方已详细审查全部采购文件，我们完全理解并同意放弃对这方面有不明及误解的权利。</w:t>
      </w:r>
    </w:p>
    <w:p w14:paraId="5B458757">
      <w:pPr>
        <w:ind w:firstLine="480" w:firstLineChars="200"/>
        <w:rPr>
          <w:rFonts w:ascii="宋体" w:hAnsi="宋体"/>
          <w:sz w:val="24"/>
        </w:rPr>
      </w:pPr>
      <w:r>
        <w:rPr>
          <w:rFonts w:ascii="宋体" w:hAnsi="宋体"/>
          <w:sz w:val="24"/>
        </w:rPr>
        <w:t>3）投标方将按采购文件规定履行合同责任和义务。</w:t>
      </w:r>
    </w:p>
    <w:p w14:paraId="0887C190">
      <w:pPr>
        <w:ind w:firstLine="480" w:firstLineChars="200"/>
        <w:rPr>
          <w:rFonts w:ascii="宋体" w:hAnsi="宋体"/>
          <w:sz w:val="24"/>
        </w:rPr>
      </w:pPr>
      <w:r>
        <w:rPr>
          <w:rFonts w:ascii="宋体" w:hAnsi="宋体"/>
          <w:sz w:val="24"/>
        </w:rPr>
        <w:t>4）其投标自开标之日起有效期</w:t>
      </w:r>
      <w:r>
        <w:rPr>
          <w:rFonts w:ascii="宋体" w:hAnsi="宋体"/>
          <w:sz w:val="24"/>
          <w:u w:val="single"/>
        </w:rPr>
        <w:t>_90</w:t>
      </w:r>
      <w:r>
        <w:rPr>
          <w:rFonts w:ascii="宋体" w:hAnsi="宋体"/>
          <w:sz w:val="24"/>
        </w:rPr>
        <w:t>个日历天。</w:t>
      </w:r>
    </w:p>
    <w:p w14:paraId="1BC38204">
      <w:pPr>
        <w:ind w:firstLine="480" w:firstLineChars="200"/>
        <w:rPr>
          <w:rFonts w:ascii="宋体" w:hAnsi="宋体"/>
          <w:sz w:val="24"/>
        </w:rPr>
      </w:pPr>
      <w:r>
        <w:rPr>
          <w:rFonts w:ascii="宋体" w:hAnsi="宋体"/>
          <w:sz w:val="24"/>
        </w:rPr>
        <w:t>5）投标方同意提供按照贵方可能要求的与其投标有关的一切数据或资料，理解贵方不一定要接受最低价的投标或收到的任何投标。</w:t>
      </w:r>
    </w:p>
    <w:p w14:paraId="3F473D1E">
      <w:pPr>
        <w:ind w:firstLine="480" w:firstLineChars="200"/>
        <w:rPr>
          <w:rFonts w:ascii="宋体" w:hAnsi="宋体"/>
          <w:sz w:val="24"/>
        </w:rPr>
      </w:pPr>
      <w:r>
        <w:rPr>
          <w:rFonts w:ascii="宋体" w:hAnsi="宋体"/>
          <w:sz w:val="24"/>
        </w:rPr>
        <w:t>6）与本投标有关的一切正式往来通讯请寄：</w:t>
      </w:r>
    </w:p>
    <w:p w14:paraId="762A70AF">
      <w:pPr>
        <w:rPr>
          <w:rFonts w:ascii="宋体" w:hAnsi="宋体"/>
          <w:sz w:val="24"/>
        </w:rPr>
      </w:pPr>
    </w:p>
    <w:p w14:paraId="3116B64E">
      <w:pPr>
        <w:rPr>
          <w:rFonts w:ascii="宋体" w:hAnsi="宋体"/>
          <w:sz w:val="24"/>
        </w:rPr>
      </w:pPr>
      <w:r>
        <w:rPr>
          <w:rFonts w:ascii="宋体" w:hAnsi="宋体"/>
          <w:sz w:val="24"/>
        </w:rPr>
        <w:t xml:space="preserve">地址：______________________             邮编：______________________  </w:t>
      </w:r>
    </w:p>
    <w:p w14:paraId="57D438EC">
      <w:pPr>
        <w:rPr>
          <w:rFonts w:ascii="宋体" w:hAnsi="宋体"/>
          <w:sz w:val="24"/>
        </w:rPr>
      </w:pPr>
      <w:r>
        <w:rPr>
          <w:rFonts w:ascii="宋体" w:hAnsi="宋体"/>
          <w:sz w:val="24"/>
        </w:rPr>
        <w:t xml:space="preserve">电话：______________________             传真：______________________ </w:t>
      </w:r>
    </w:p>
    <w:p w14:paraId="569F1979">
      <w:pPr>
        <w:rPr>
          <w:rFonts w:ascii="宋体" w:hAnsi="宋体"/>
          <w:sz w:val="24"/>
        </w:rPr>
      </w:pPr>
    </w:p>
    <w:p w14:paraId="4DAE9335">
      <w:pPr>
        <w:ind w:firstLine="2040" w:firstLineChars="850"/>
        <w:rPr>
          <w:rFonts w:ascii="宋体" w:hAnsi="宋体"/>
          <w:sz w:val="24"/>
        </w:rPr>
      </w:pPr>
    </w:p>
    <w:p w14:paraId="31DCBB31">
      <w:pPr>
        <w:ind w:firstLine="1533" w:firstLineChars="639"/>
        <w:jc w:val="right"/>
        <w:rPr>
          <w:rFonts w:ascii="宋体" w:hAnsi="宋体"/>
          <w:sz w:val="24"/>
        </w:rPr>
      </w:pPr>
      <w:r>
        <w:rPr>
          <w:rFonts w:ascii="宋体" w:hAnsi="宋体"/>
          <w:sz w:val="24"/>
        </w:rPr>
        <w:t>投标方名称：__________________________ （公章）</w:t>
      </w:r>
    </w:p>
    <w:p w14:paraId="0A65A159">
      <w:pPr>
        <w:autoSpaceDE w:val="0"/>
        <w:autoSpaceDN w:val="0"/>
        <w:adjustRightInd w:val="0"/>
        <w:ind w:firstLine="2880" w:firstLineChars="1200"/>
        <w:jc w:val="right"/>
        <w:rPr>
          <w:rFonts w:ascii="宋体" w:hAnsi="宋体"/>
          <w:kern w:val="0"/>
          <w:szCs w:val="21"/>
          <w:lang w:val="zh-CN"/>
        </w:rPr>
      </w:pPr>
      <w:r>
        <w:rPr>
          <w:rFonts w:ascii="宋体" w:hAnsi="宋体"/>
          <w:sz w:val="24"/>
        </w:rPr>
        <w:t>法定代表人或授权委托人 （签字或盖章）</w:t>
      </w:r>
      <w:r>
        <w:rPr>
          <w:rFonts w:ascii="宋体" w:hAnsi="宋体"/>
          <w:sz w:val="24"/>
        </w:rPr>
        <w:tab/>
      </w:r>
    </w:p>
    <w:p w14:paraId="24310A7C">
      <w:pPr>
        <w:pStyle w:val="29"/>
        <w:spacing w:line="400" w:lineRule="exact"/>
        <w:ind w:firstLine="3000" w:firstLineChars="1250"/>
        <w:jc w:val="right"/>
        <w:rPr>
          <w:rFonts w:hAnsi="宋体"/>
          <w:sz w:val="24"/>
        </w:rPr>
      </w:pPr>
      <w:r>
        <w:rPr>
          <w:rFonts w:hAnsi="宋体"/>
          <w:sz w:val="24"/>
        </w:rPr>
        <w:t xml:space="preserve">投标日期： _______年____月____日   </w:t>
      </w:r>
    </w:p>
    <w:p w14:paraId="30612BFD">
      <w:pPr>
        <w:adjustRightInd w:val="0"/>
        <w:snapToGrid w:val="0"/>
        <w:jc w:val="right"/>
        <w:rPr>
          <w:rFonts w:ascii="宋体" w:hAnsi="宋体"/>
          <w:b/>
          <w:bCs/>
          <w:sz w:val="28"/>
          <w:szCs w:val="21"/>
        </w:rPr>
      </w:pPr>
    </w:p>
    <w:p w14:paraId="26E31C0E">
      <w:pPr>
        <w:adjustRightInd w:val="0"/>
        <w:snapToGrid w:val="0"/>
        <w:rPr>
          <w:rFonts w:ascii="宋体" w:hAnsi="宋体"/>
          <w:b/>
          <w:bCs/>
          <w:sz w:val="28"/>
          <w:szCs w:val="21"/>
        </w:rPr>
      </w:pPr>
    </w:p>
    <w:p w14:paraId="17251416">
      <w:pPr>
        <w:adjustRightInd w:val="0"/>
        <w:snapToGrid w:val="0"/>
        <w:rPr>
          <w:rFonts w:ascii="宋体" w:hAnsi="宋体"/>
          <w:b/>
          <w:bCs/>
          <w:sz w:val="28"/>
          <w:szCs w:val="21"/>
        </w:rPr>
      </w:pPr>
    </w:p>
    <w:p w14:paraId="2C6C8121">
      <w:pPr>
        <w:autoSpaceDE w:val="0"/>
        <w:autoSpaceDN w:val="0"/>
        <w:adjustRightInd w:val="0"/>
        <w:jc w:val="left"/>
        <w:rPr>
          <w:rFonts w:ascii="宋体" w:hAnsi="宋体"/>
          <w:b/>
          <w:bCs/>
          <w:sz w:val="32"/>
        </w:rPr>
      </w:pPr>
      <w:r>
        <w:rPr>
          <w:rFonts w:ascii="宋体" w:hAnsi="宋体"/>
          <w:b/>
          <w:bCs/>
          <w:sz w:val="24"/>
        </w:rPr>
        <w:t>3.2.2投标报价（开标一览表）格式：</w:t>
      </w:r>
    </w:p>
    <w:p w14:paraId="4B953E47">
      <w:pPr>
        <w:tabs>
          <w:tab w:val="left" w:pos="2911"/>
          <w:tab w:val="center" w:pos="4216"/>
        </w:tabs>
        <w:rPr>
          <w:rFonts w:ascii="宋体" w:hAnsi="宋体"/>
          <w:b/>
          <w:bCs/>
          <w:sz w:val="32"/>
        </w:rPr>
      </w:pPr>
    </w:p>
    <w:p w14:paraId="033192B8">
      <w:pPr>
        <w:tabs>
          <w:tab w:val="left" w:pos="2911"/>
          <w:tab w:val="center" w:pos="4216"/>
        </w:tabs>
        <w:jc w:val="center"/>
        <w:rPr>
          <w:rFonts w:ascii="宋体" w:hAnsi="宋体" w:cs="宋体"/>
          <w:b/>
          <w:bCs/>
          <w:sz w:val="36"/>
        </w:rPr>
      </w:pPr>
      <w:r>
        <w:rPr>
          <w:rFonts w:hint="eastAsia" w:ascii="宋体" w:hAnsi="宋体"/>
          <w:b/>
          <w:bCs/>
          <w:sz w:val="32"/>
        </w:rPr>
        <w:t>2.</w:t>
      </w:r>
      <w:r>
        <w:rPr>
          <w:rFonts w:ascii="宋体" w:hAnsi="宋体"/>
          <w:b/>
          <w:bCs/>
          <w:sz w:val="32"/>
        </w:rPr>
        <w:t>投标报价（开标一览表）</w:t>
      </w:r>
    </w:p>
    <w:p w14:paraId="317CBF1B">
      <w:pPr>
        <w:tabs>
          <w:tab w:val="left" w:pos="2911"/>
          <w:tab w:val="center" w:pos="4216"/>
        </w:tabs>
        <w:rPr>
          <w:rFonts w:ascii="宋体" w:hAnsi="宋体"/>
          <w:b/>
          <w:sz w:val="28"/>
          <w:szCs w:val="28"/>
        </w:rPr>
      </w:pPr>
      <w:r>
        <w:rPr>
          <w:rFonts w:ascii="宋体" w:hAnsi="宋体"/>
          <w:b/>
          <w:bCs/>
          <w:sz w:val="24"/>
        </w:rPr>
        <w:t xml:space="preserve">项目名称：                            </w:t>
      </w:r>
      <w:r>
        <w:rPr>
          <w:rFonts w:ascii="宋体" w:hAnsi="宋体"/>
          <w:b/>
          <w:sz w:val="24"/>
        </w:rPr>
        <w:t>项目编号</w:t>
      </w:r>
      <w:r>
        <w:rPr>
          <w:rFonts w:ascii="宋体" w:hAnsi="宋体"/>
          <w:b/>
          <w:sz w:val="28"/>
          <w:szCs w:val="28"/>
        </w:rPr>
        <w:t xml:space="preserve">:  </w:t>
      </w:r>
    </w:p>
    <w:tbl>
      <w:tblPr>
        <w:tblStyle w:val="55"/>
        <w:tblW w:w="0" w:type="auto"/>
        <w:tblInd w:w="0" w:type="dxa"/>
        <w:tblLayout w:type="fixed"/>
        <w:tblCellMar>
          <w:top w:w="0" w:type="dxa"/>
          <w:left w:w="10" w:type="dxa"/>
          <w:bottom w:w="0" w:type="dxa"/>
          <w:right w:w="10" w:type="dxa"/>
        </w:tblCellMar>
      </w:tblPr>
      <w:tblGrid>
        <w:gridCol w:w="662"/>
        <w:gridCol w:w="3566"/>
        <w:gridCol w:w="1200"/>
        <w:gridCol w:w="701"/>
        <w:gridCol w:w="3182"/>
      </w:tblGrid>
      <w:tr w14:paraId="5149EF9B">
        <w:tblPrEx>
          <w:tblCellMar>
            <w:top w:w="0" w:type="dxa"/>
            <w:left w:w="10" w:type="dxa"/>
            <w:bottom w:w="0" w:type="dxa"/>
            <w:right w:w="10" w:type="dxa"/>
          </w:tblCellMar>
        </w:tblPrEx>
        <w:trPr>
          <w:trHeight w:val="466" w:hRule="exact"/>
        </w:trPr>
        <w:tc>
          <w:tcPr>
            <w:tcW w:w="662" w:type="dxa"/>
            <w:tcBorders>
              <w:top w:val="single" w:color="auto" w:sz="4" w:space="0"/>
              <w:left w:val="single" w:color="auto" w:sz="4" w:space="0"/>
            </w:tcBorders>
            <w:shd w:val="clear" w:color="auto" w:fill="FFFFFF"/>
            <w:noWrap/>
            <w:vAlign w:val="center"/>
          </w:tcPr>
          <w:p w14:paraId="72BABA9C">
            <w:pPr>
              <w:pStyle w:val="93"/>
              <w:spacing w:line="240" w:lineRule="auto"/>
              <w:ind w:firstLine="0"/>
              <w:jc w:val="center"/>
              <w:rPr>
                <w:sz w:val="24"/>
              </w:rPr>
            </w:pPr>
            <w:r>
              <w:rPr>
                <w:b/>
                <w:bCs/>
                <w:sz w:val="24"/>
              </w:rPr>
              <w:t>序号</w:t>
            </w:r>
          </w:p>
        </w:tc>
        <w:tc>
          <w:tcPr>
            <w:tcW w:w="3566" w:type="dxa"/>
            <w:tcBorders>
              <w:top w:val="single" w:color="auto" w:sz="4" w:space="0"/>
              <w:left w:val="single" w:color="auto" w:sz="4" w:space="0"/>
            </w:tcBorders>
            <w:shd w:val="clear" w:color="auto" w:fill="FFFFFF"/>
            <w:noWrap/>
            <w:vAlign w:val="center"/>
          </w:tcPr>
          <w:p w14:paraId="08D2D14E">
            <w:pPr>
              <w:pStyle w:val="93"/>
              <w:spacing w:line="240" w:lineRule="auto"/>
              <w:ind w:firstLine="0"/>
              <w:jc w:val="center"/>
              <w:rPr>
                <w:sz w:val="24"/>
              </w:rPr>
            </w:pPr>
            <w:r>
              <w:rPr>
                <w:b/>
                <w:bCs/>
                <w:sz w:val="24"/>
              </w:rPr>
              <w:t>标项名称</w:t>
            </w:r>
          </w:p>
        </w:tc>
        <w:tc>
          <w:tcPr>
            <w:tcW w:w="1200" w:type="dxa"/>
            <w:tcBorders>
              <w:top w:val="single" w:color="auto" w:sz="4" w:space="0"/>
              <w:left w:val="single" w:color="auto" w:sz="4" w:space="0"/>
            </w:tcBorders>
            <w:shd w:val="clear" w:color="auto" w:fill="FFFFFF"/>
            <w:noWrap/>
            <w:vAlign w:val="center"/>
          </w:tcPr>
          <w:p w14:paraId="62E97502">
            <w:pPr>
              <w:pStyle w:val="93"/>
              <w:spacing w:line="240" w:lineRule="auto"/>
              <w:ind w:firstLine="0"/>
              <w:jc w:val="center"/>
              <w:rPr>
                <w:sz w:val="24"/>
              </w:rPr>
            </w:pPr>
            <w:r>
              <w:rPr>
                <w:b/>
                <w:bCs/>
                <w:sz w:val="24"/>
              </w:rPr>
              <w:t>数量</w:t>
            </w:r>
          </w:p>
        </w:tc>
        <w:tc>
          <w:tcPr>
            <w:tcW w:w="701" w:type="dxa"/>
            <w:tcBorders>
              <w:top w:val="single" w:color="auto" w:sz="4" w:space="0"/>
              <w:left w:val="single" w:color="auto" w:sz="4" w:space="0"/>
            </w:tcBorders>
            <w:shd w:val="clear" w:color="auto" w:fill="FFFFFF"/>
            <w:noWrap/>
            <w:vAlign w:val="center"/>
          </w:tcPr>
          <w:p w14:paraId="1C6391CF">
            <w:pPr>
              <w:pStyle w:val="93"/>
              <w:spacing w:line="240" w:lineRule="auto"/>
              <w:ind w:firstLine="0"/>
              <w:jc w:val="center"/>
              <w:rPr>
                <w:sz w:val="24"/>
              </w:rPr>
            </w:pPr>
            <w:r>
              <w:rPr>
                <w:b/>
                <w:bCs/>
                <w:sz w:val="24"/>
              </w:rPr>
              <w:t>单位</w:t>
            </w:r>
          </w:p>
        </w:tc>
        <w:tc>
          <w:tcPr>
            <w:tcW w:w="3182" w:type="dxa"/>
            <w:tcBorders>
              <w:top w:val="single" w:color="auto" w:sz="4" w:space="0"/>
              <w:left w:val="single" w:color="auto" w:sz="4" w:space="0"/>
              <w:right w:val="single" w:color="auto" w:sz="4" w:space="0"/>
            </w:tcBorders>
            <w:shd w:val="clear" w:color="auto" w:fill="FFFFFF"/>
            <w:noWrap/>
            <w:vAlign w:val="center"/>
          </w:tcPr>
          <w:p w14:paraId="384627E3">
            <w:pPr>
              <w:pStyle w:val="93"/>
              <w:spacing w:line="240" w:lineRule="auto"/>
              <w:ind w:firstLine="0"/>
              <w:jc w:val="center"/>
              <w:rPr>
                <w:sz w:val="24"/>
              </w:rPr>
            </w:pPr>
            <w:r>
              <w:rPr>
                <w:b/>
                <w:bCs/>
                <w:sz w:val="24"/>
              </w:rPr>
              <w:t>服务</w:t>
            </w:r>
            <w:r>
              <w:rPr>
                <w:rFonts w:hint="eastAsia"/>
                <w:b/>
                <w:bCs/>
                <w:sz w:val="24"/>
              </w:rPr>
              <w:t>期限</w:t>
            </w:r>
          </w:p>
        </w:tc>
      </w:tr>
      <w:tr w14:paraId="31FBB88C">
        <w:tblPrEx>
          <w:tblCellMar>
            <w:top w:w="0" w:type="dxa"/>
            <w:left w:w="10" w:type="dxa"/>
            <w:bottom w:w="0" w:type="dxa"/>
            <w:right w:w="10" w:type="dxa"/>
          </w:tblCellMar>
        </w:tblPrEx>
        <w:trPr>
          <w:trHeight w:val="691" w:hRule="exact"/>
        </w:trPr>
        <w:tc>
          <w:tcPr>
            <w:tcW w:w="662" w:type="dxa"/>
            <w:tcBorders>
              <w:top w:val="single" w:color="auto" w:sz="4" w:space="0"/>
              <w:left w:val="single" w:color="auto" w:sz="4" w:space="0"/>
            </w:tcBorders>
            <w:shd w:val="clear" w:color="auto" w:fill="FFFFFF"/>
            <w:noWrap/>
            <w:vAlign w:val="center"/>
          </w:tcPr>
          <w:p w14:paraId="0A83962B">
            <w:pPr>
              <w:pStyle w:val="93"/>
              <w:spacing w:line="240" w:lineRule="auto"/>
              <w:ind w:firstLine="0"/>
              <w:jc w:val="center"/>
              <w:rPr>
                <w:sz w:val="24"/>
              </w:rPr>
            </w:pPr>
            <w:r>
              <w:rPr>
                <w:rFonts w:ascii="Arial" w:hAnsi="Arial" w:eastAsia="Arial" w:cs="Arial"/>
                <w:sz w:val="24"/>
              </w:rPr>
              <w:t>1</w:t>
            </w:r>
          </w:p>
        </w:tc>
        <w:tc>
          <w:tcPr>
            <w:tcW w:w="3566" w:type="dxa"/>
            <w:tcBorders>
              <w:top w:val="single" w:color="auto" w:sz="4" w:space="0"/>
              <w:left w:val="single" w:color="auto" w:sz="4" w:space="0"/>
            </w:tcBorders>
            <w:shd w:val="clear" w:color="auto" w:fill="FFFFFF"/>
            <w:noWrap/>
          </w:tcPr>
          <w:p w14:paraId="5A3FDAC2">
            <w:pPr>
              <w:pStyle w:val="93"/>
              <w:spacing w:line="341" w:lineRule="exact"/>
              <w:ind w:firstLine="0"/>
              <w:jc w:val="center"/>
              <w:rPr>
                <w:sz w:val="24"/>
              </w:rPr>
            </w:pPr>
          </w:p>
        </w:tc>
        <w:tc>
          <w:tcPr>
            <w:tcW w:w="1200" w:type="dxa"/>
            <w:tcBorders>
              <w:top w:val="single" w:color="auto" w:sz="4" w:space="0"/>
              <w:left w:val="single" w:color="auto" w:sz="4" w:space="0"/>
            </w:tcBorders>
            <w:shd w:val="clear" w:color="auto" w:fill="FFFFFF"/>
            <w:noWrap/>
            <w:vAlign w:val="center"/>
          </w:tcPr>
          <w:p w14:paraId="55156D31">
            <w:pPr>
              <w:pStyle w:val="93"/>
              <w:spacing w:line="240" w:lineRule="auto"/>
              <w:ind w:firstLine="0"/>
              <w:jc w:val="center"/>
              <w:rPr>
                <w:sz w:val="24"/>
              </w:rPr>
            </w:pPr>
            <w:r>
              <w:rPr>
                <w:rFonts w:ascii="Arial" w:hAnsi="Arial" w:eastAsia="Arial" w:cs="Arial"/>
                <w:sz w:val="24"/>
              </w:rPr>
              <w:t>1</w:t>
            </w:r>
          </w:p>
        </w:tc>
        <w:tc>
          <w:tcPr>
            <w:tcW w:w="701" w:type="dxa"/>
            <w:tcBorders>
              <w:top w:val="single" w:color="auto" w:sz="4" w:space="0"/>
              <w:left w:val="single" w:color="auto" w:sz="4" w:space="0"/>
            </w:tcBorders>
            <w:shd w:val="clear" w:color="auto" w:fill="FFFFFF"/>
            <w:noWrap/>
            <w:vAlign w:val="center"/>
          </w:tcPr>
          <w:p w14:paraId="5DEF39F5">
            <w:pPr>
              <w:pStyle w:val="93"/>
              <w:spacing w:line="240" w:lineRule="auto"/>
              <w:ind w:firstLine="0"/>
              <w:jc w:val="center"/>
              <w:rPr>
                <w:sz w:val="24"/>
              </w:rPr>
            </w:pPr>
            <w:r>
              <w:rPr>
                <w:sz w:val="24"/>
              </w:rPr>
              <w:t>项</w:t>
            </w:r>
          </w:p>
        </w:tc>
        <w:tc>
          <w:tcPr>
            <w:tcW w:w="3182" w:type="dxa"/>
            <w:tcBorders>
              <w:top w:val="single" w:color="auto" w:sz="4" w:space="0"/>
              <w:left w:val="single" w:color="auto" w:sz="4" w:space="0"/>
              <w:right w:val="single" w:color="auto" w:sz="4" w:space="0"/>
            </w:tcBorders>
            <w:shd w:val="clear" w:color="auto" w:fill="FFFFFF"/>
            <w:noWrap/>
            <w:vAlign w:val="center"/>
          </w:tcPr>
          <w:p w14:paraId="0AEB7806">
            <w:pPr>
              <w:pStyle w:val="93"/>
              <w:spacing w:line="240" w:lineRule="auto"/>
              <w:ind w:firstLine="0"/>
              <w:jc w:val="center"/>
              <w:rPr>
                <w:sz w:val="24"/>
              </w:rPr>
            </w:pPr>
            <w:r>
              <w:rPr>
                <w:b/>
                <w:bCs/>
                <w:sz w:val="24"/>
              </w:rPr>
              <w:t>响应</w:t>
            </w:r>
            <w:r>
              <w:rPr>
                <w:rFonts w:hint="eastAsia"/>
                <w:b/>
                <w:bCs/>
                <w:sz w:val="24"/>
              </w:rPr>
              <w:t>采购文件</w:t>
            </w:r>
            <w:r>
              <w:rPr>
                <w:b/>
                <w:bCs/>
                <w:sz w:val="24"/>
              </w:rPr>
              <w:t>规定</w:t>
            </w:r>
          </w:p>
        </w:tc>
      </w:tr>
      <w:tr w14:paraId="3C75D938">
        <w:tblPrEx>
          <w:tblCellMar>
            <w:top w:w="0" w:type="dxa"/>
            <w:left w:w="10" w:type="dxa"/>
            <w:bottom w:w="0" w:type="dxa"/>
            <w:right w:w="10" w:type="dxa"/>
          </w:tblCellMar>
        </w:tblPrEx>
        <w:trPr>
          <w:trHeight w:val="900" w:hRule="exact"/>
        </w:trPr>
        <w:tc>
          <w:tcPr>
            <w:tcW w:w="662" w:type="dxa"/>
            <w:tcBorders>
              <w:top w:val="single" w:color="auto" w:sz="4" w:space="0"/>
              <w:left w:val="single" w:color="auto" w:sz="4" w:space="0"/>
              <w:bottom w:val="single" w:color="auto" w:sz="4" w:space="0"/>
            </w:tcBorders>
            <w:shd w:val="clear" w:color="auto" w:fill="FFFFFF"/>
            <w:noWrap/>
            <w:vAlign w:val="center"/>
          </w:tcPr>
          <w:p w14:paraId="3FCCE213">
            <w:pPr>
              <w:pStyle w:val="93"/>
              <w:spacing w:line="240" w:lineRule="auto"/>
              <w:ind w:firstLine="0"/>
              <w:jc w:val="center"/>
              <w:rPr>
                <w:sz w:val="24"/>
              </w:rPr>
            </w:pPr>
            <w:r>
              <w:rPr>
                <w:b/>
                <w:bCs/>
                <w:sz w:val="24"/>
              </w:rPr>
              <w:t>2</w:t>
            </w:r>
          </w:p>
        </w:tc>
        <w:tc>
          <w:tcPr>
            <w:tcW w:w="3566" w:type="dxa"/>
            <w:tcBorders>
              <w:top w:val="single" w:color="auto" w:sz="4" w:space="0"/>
              <w:left w:val="single" w:color="auto" w:sz="4" w:space="0"/>
              <w:bottom w:val="single" w:color="auto" w:sz="4" w:space="0"/>
            </w:tcBorders>
            <w:shd w:val="clear" w:color="auto" w:fill="FFFFFF"/>
            <w:noWrap/>
            <w:vAlign w:val="center"/>
          </w:tcPr>
          <w:p w14:paraId="1E8AA8C3">
            <w:pPr>
              <w:pStyle w:val="93"/>
              <w:spacing w:line="240" w:lineRule="auto"/>
              <w:ind w:firstLine="0"/>
              <w:jc w:val="center"/>
              <w:rPr>
                <w:sz w:val="24"/>
              </w:rPr>
            </w:pPr>
            <w:r>
              <w:rPr>
                <w:rFonts w:hint="eastAsia"/>
                <w:sz w:val="24"/>
              </w:rPr>
              <w:t>投标报价总价</w:t>
            </w:r>
          </w:p>
        </w:tc>
        <w:tc>
          <w:tcPr>
            <w:tcW w:w="5083" w:type="dxa"/>
            <w:gridSpan w:val="3"/>
            <w:tcBorders>
              <w:top w:val="single" w:color="auto" w:sz="4" w:space="0"/>
              <w:left w:val="single" w:color="auto" w:sz="4" w:space="0"/>
              <w:bottom w:val="single" w:color="auto" w:sz="4" w:space="0"/>
              <w:right w:val="single" w:color="auto" w:sz="4" w:space="0"/>
            </w:tcBorders>
            <w:shd w:val="clear" w:color="auto" w:fill="FFFFFF"/>
            <w:noWrap/>
          </w:tcPr>
          <w:p w14:paraId="4608D768">
            <w:pPr>
              <w:pStyle w:val="93"/>
              <w:tabs>
                <w:tab w:val="left" w:leader="underscore" w:pos="1978"/>
              </w:tabs>
              <w:spacing w:after="120" w:line="240" w:lineRule="auto"/>
              <w:ind w:firstLine="0"/>
              <w:rPr>
                <w:sz w:val="24"/>
              </w:rPr>
            </w:pPr>
            <w:r>
              <w:rPr>
                <w:sz w:val="24"/>
              </w:rPr>
              <w:t>小写：¥</w:t>
            </w:r>
            <w:r>
              <w:rPr>
                <w:sz w:val="24"/>
              </w:rPr>
              <w:tab/>
            </w:r>
            <w:r>
              <w:rPr>
                <w:sz w:val="24"/>
              </w:rPr>
              <w:t>元</w:t>
            </w:r>
          </w:p>
          <w:p w14:paraId="6579463D">
            <w:pPr>
              <w:pStyle w:val="93"/>
              <w:tabs>
                <w:tab w:val="left" w:leader="underscore" w:pos="1982"/>
              </w:tabs>
              <w:spacing w:line="240" w:lineRule="auto"/>
              <w:ind w:firstLine="0"/>
              <w:rPr>
                <w:sz w:val="24"/>
              </w:rPr>
            </w:pPr>
            <w:r>
              <w:rPr>
                <w:sz w:val="24"/>
              </w:rPr>
              <w:t>大写：</w:t>
            </w:r>
            <w:r>
              <w:rPr>
                <w:sz w:val="24"/>
              </w:rPr>
              <w:tab/>
            </w:r>
            <w:r>
              <w:rPr>
                <w:sz w:val="24"/>
              </w:rPr>
              <w:t>人民币</w:t>
            </w:r>
          </w:p>
        </w:tc>
      </w:tr>
    </w:tbl>
    <w:p w14:paraId="256F227A">
      <w:pPr>
        <w:tabs>
          <w:tab w:val="left" w:pos="2911"/>
          <w:tab w:val="center" w:pos="4216"/>
        </w:tabs>
        <w:spacing w:line="0" w:lineRule="atLeast"/>
        <w:jc w:val="left"/>
        <w:rPr>
          <w:rFonts w:ascii="宋体" w:hAnsi="宋体"/>
          <w:b/>
          <w:szCs w:val="21"/>
        </w:rPr>
      </w:pPr>
      <w:r>
        <w:rPr>
          <w:rFonts w:hint="eastAsia" w:ascii="宋体" w:hAnsi="宋体"/>
          <w:b/>
          <w:szCs w:val="21"/>
        </w:rPr>
        <w:t>注：1.投标人须按本表格式填写，不得自行更改。</w:t>
      </w:r>
    </w:p>
    <w:p w14:paraId="38326142">
      <w:pPr>
        <w:tabs>
          <w:tab w:val="left" w:pos="2911"/>
          <w:tab w:val="center" w:pos="4216"/>
        </w:tabs>
        <w:spacing w:line="0" w:lineRule="atLeast"/>
        <w:ind w:firstLine="422" w:firstLineChars="200"/>
        <w:jc w:val="left"/>
        <w:rPr>
          <w:rFonts w:ascii="宋体" w:hAnsi="宋体"/>
          <w:b/>
          <w:szCs w:val="21"/>
        </w:rPr>
      </w:pPr>
      <w:r>
        <w:rPr>
          <w:rFonts w:hint="eastAsia" w:ascii="宋体" w:hAnsi="宋体"/>
          <w:b/>
          <w:szCs w:val="21"/>
        </w:rPr>
        <w:t>2.</w:t>
      </w:r>
      <w:r>
        <w:rPr>
          <w:rFonts w:hint="eastAsia" w:ascii="宋体" w:hAnsi="宋体"/>
          <w:szCs w:val="21"/>
        </w:rPr>
        <w:t>合同总价应包括本项目费用包括储备费用、冻猪肉收储服务及其资金利息费用和人工费、服务费、各类保险、运输（含投放）、加工包装、检验、仓储、轮换管理等环节产生的一切费用。</w:t>
      </w:r>
      <w:r>
        <w:rPr>
          <w:rFonts w:hint="eastAsia" w:ascii="宋体" w:hAnsi="宋体"/>
          <w:b/>
          <w:szCs w:val="21"/>
        </w:rPr>
        <w:t>如有漏项，视同已包含在其总项目中，合同单价不予调整。</w:t>
      </w:r>
    </w:p>
    <w:p w14:paraId="1B3FA5F8">
      <w:pPr>
        <w:tabs>
          <w:tab w:val="left" w:pos="2911"/>
          <w:tab w:val="center" w:pos="4216"/>
        </w:tabs>
        <w:spacing w:line="0" w:lineRule="atLeast"/>
        <w:ind w:firstLine="422" w:firstLineChars="200"/>
        <w:jc w:val="left"/>
        <w:rPr>
          <w:rFonts w:ascii="宋体" w:hAnsi="宋体"/>
          <w:b/>
          <w:szCs w:val="21"/>
        </w:rPr>
      </w:pPr>
      <w:r>
        <w:rPr>
          <w:rFonts w:hint="eastAsia" w:ascii="宋体" w:hAnsi="宋体"/>
          <w:b/>
          <w:szCs w:val="21"/>
        </w:rPr>
        <w:t>▲3.本项目最高限价为180万元，若超过最高限价的，其投标文件作无效标处理。</w:t>
      </w:r>
    </w:p>
    <w:p w14:paraId="647A4CC1">
      <w:pPr>
        <w:tabs>
          <w:tab w:val="left" w:pos="2911"/>
          <w:tab w:val="center" w:pos="4216"/>
        </w:tabs>
        <w:rPr>
          <w:rFonts w:ascii="宋体" w:hAnsi="宋体"/>
          <w:b/>
          <w:sz w:val="28"/>
          <w:szCs w:val="28"/>
        </w:rPr>
      </w:pPr>
    </w:p>
    <w:p w14:paraId="190860A8">
      <w:pPr>
        <w:pStyle w:val="22"/>
        <w:spacing w:line="0" w:lineRule="atLeast"/>
        <w:ind w:firstLine="440" w:firstLineChars="200"/>
        <w:jc w:val="left"/>
        <w:rPr>
          <w:b w:val="0"/>
          <w:color w:val="auto"/>
          <w:sz w:val="22"/>
          <w:szCs w:val="24"/>
        </w:rPr>
      </w:pPr>
    </w:p>
    <w:p w14:paraId="4A0238B9">
      <w:pPr>
        <w:tabs>
          <w:tab w:val="left" w:pos="2911"/>
          <w:tab w:val="center" w:pos="4216"/>
        </w:tabs>
        <w:rPr>
          <w:rStyle w:val="149"/>
          <w:rFonts w:ascii="宋体" w:hAnsi="宋体" w:eastAsia="宋体"/>
        </w:rPr>
      </w:pPr>
    </w:p>
    <w:p w14:paraId="3D37BC1C">
      <w:pPr>
        <w:jc w:val="center"/>
        <w:rPr>
          <w:rStyle w:val="149"/>
          <w:rFonts w:ascii="宋体" w:hAnsi="宋体" w:eastAsia="宋体"/>
        </w:rPr>
      </w:pPr>
    </w:p>
    <w:p w14:paraId="181AC8F4">
      <w:pPr>
        <w:spacing w:line="800" w:lineRule="exact"/>
        <w:ind w:firstLine="5060" w:firstLineChars="2100"/>
        <w:rPr>
          <w:rFonts w:ascii="宋体" w:hAnsi="宋体"/>
          <w:b/>
          <w:bCs/>
          <w:sz w:val="24"/>
        </w:rPr>
      </w:pPr>
      <w:r>
        <w:rPr>
          <w:rFonts w:ascii="宋体" w:hAnsi="宋体"/>
          <w:b/>
          <w:bCs/>
          <w:sz w:val="24"/>
        </w:rPr>
        <w:t>投标人（盖章）：</w:t>
      </w:r>
    </w:p>
    <w:p w14:paraId="05203521">
      <w:pPr>
        <w:spacing w:line="800" w:lineRule="exact"/>
        <w:ind w:firstLine="3188" w:firstLineChars="1323"/>
        <w:rPr>
          <w:rFonts w:ascii="宋体" w:hAnsi="宋体"/>
          <w:b/>
          <w:bCs/>
          <w:sz w:val="24"/>
        </w:rPr>
      </w:pPr>
      <w:r>
        <w:rPr>
          <w:rFonts w:ascii="宋体" w:hAnsi="宋体"/>
          <w:b/>
          <w:bCs/>
          <w:sz w:val="24"/>
        </w:rPr>
        <w:t>法定代表人或其授权代表人（签字</w:t>
      </w:r>
      <w:r>
        <w:rPr>
          <w:rFonts w:hint="eastAsia" w:ascii="宋体" w:hAnsi="宋体"/>
          <w:b/>
          <w:bCs/>
          <w:sz w:val="24"/>
        </w:rPr>
        <w:t>或盖章</w:t>
      </w:r>
      <w:r>
        <w:rPr>
          <w:rFonts w:ascii="宋体" w:hAnsi="宋体"/>
          <w:b/>
          <w:bCs/>
          <w:sz w:val="24"/>
        </w:rPr>
        <w:t xml:space="preserve">）：                                   </w:t>
      </w:r>
    </w:p>
    <w:p w14:paraId="1054A9E4">
      <w:pPr>
        <w:spacing w:line="800" w:lineRule="exact"/>
        <w:ind w:firstLine="5060" w:firstLineChars="2100"/>
        <w:rPr>
          <w:rStyle w:val="149"/>
          <w:rFonts w:ascii="宋体" w:hAnsi="宋体" w:eastAsia="宋体"/>
        </w:rPr>
      </w:pPr>
      <w:r>
        <w:rPr>
          <w:rFonts w:ascii="宋体" w:hAnsi="宋体"/>
          <w:b/>
          <w:bCs/>
          <w:sz w:val="24"/>
        </w:rPr>
        <w:t>日期：</w:t>
      </w:r>
    </w:p>
    <w:p w14:paraId="5AF03F35">
      <w:pPr>
        <w:rPr>
          <w:rFonts w:ascii="宋体" w:hAnsi="宋体"/>
          <w:b/>
          <w:bCs/>
          <w:sz w:val="24"/>
        </w:rPr>
      </w:pPr>
    </w:p>
    <w:p w14:paraId="5B1D79E5">
      <w:pPr>
        <w:rPr>
          <w:rFonts w:ascii="宋体" w:hAnsi="宋体"/>
          <w:b/>
          <w:bCs/>
          <w:sz w:val="24"/>
        </w:rPr>
      </w:pPr>
    </w:p>
    <w:p w14:paraId="3995096E">
      <w:pPr>
        <w:rPr>
          <w:rFonts w:ascii="宋体" w:hAnsi="宋体"/>
          <w:b/>
          <w:bCs/>
          <w:sz w:val="24"/>
        </w:rPr>
      </w:pPr>
    </w:p>
    <w:p w14:paraId="1BAD234C">
      <w:pPr>
        <w:rPr>
          <w:rFonts w:ascii="宋体" w:hAnsi="宋体"/>
          <w:b/>
          <w:bCs/>
          <w:sz w:val="24"/>
        </w:rPr>
      </w:pPr>
    </w:p>
    <w:p w14:paraId="219DB096">
      <w:pPr>
        <w:spacing w:line="0" w:lineRule="atLeast"/>
        <w:rPr>
          <w:rFonts w:ascii="宋体" w:hAnsi="宋体" w:cs="宋体"/>
          <w:b/>
          <w:bCs/>
          <w:sz w:val="24"/>
        </w:rPr>
        <w:sectPr>
          <w:pgSz w:w="11906" w:h="16840"/>
          <w:pgMar w:top="1440" w:right="1128" w:bottom="1701" w:left="1276" w:header="851" w:footer="992" w:gutter="0"/>
          <w:cols w:space="720" w:num="1"/>
          <w:docGrid w:linePitch="312" w:charSpace="0"/>
        </w:sectPr>
      </w:pPr>
    </w:p>
    <w:p w14:paraId="1031C140">
      <w:pPr>
        <w:spacing w:line="0" w:lineRule="atLeast"/>
        <w:rPr>
          <w:rFonts w:ascii="宋体" w:hAnsi="宋体" w:cs="宋体"/>
          <w:b/>
          <w:bCs/>
          <w:sz w:val="24"/>
        </w:rPr>
      </w:pPr>
      <w:r>
        <w:rPr>
          <w:rFonts w:hint="eastAsia" w:ascii="宋体" w:hAnsi="宋体" w:cs="宋体"/>
          <w:b/>
          <w:bCs/>
          <w:sz w:val="24"/>
        </w:rPr>
        <w:t>3.2.3投标报价明细表格式：</w:t>
      </w:r>
    </w:p>
    <w:p w14:paraId="7D0952E2">
      <w:pPr>
        <w:tabs>
          <w:tab w:val="left" w:pos="2911"/>
          <w:tab w:val="center" w:pos="4216"/>
        </w:tabs>
        <w:jc w:val="center"/>
        <w:rPr>
          <w:rFonts w:ascii="宋体" w:hAnsi="宋体" w:cs="宋体"/>
          <w:b/>
          <w:bCs/>
          <w:sz w:val="36"/>
        </w:rPr>
      </w:pPr>
      <w:r>
        <w:rPr>
          <w:rFonts w:hint="eastAsia" w:ascii="宋体" w:hAnsi="宋体" w:cs="宋体"/>
          <w:b/>
          <w:bCs/>
          <w:sz w:val="32"/>
        </w:rPr>
        <w:t>3.投标报价明细表</w:t>
      </w:r>
    </w:p>
    <w:p w14:paraId="060CC2C4">
      <w:pPr>
        <w:rPr>
          <w:rFonts w:ascii="宋体" w:hAnsi="宋体" w:cs="宋体"/>
          <w:b/>
          <w:kern w:val="0"/>
          <w:szCs w:val="21"/>
        </w:rPr>
      </w:pPr>
      <w:r>
        <w:rPr>
          <w:rFonts w:hint="eastAsia" w:ascii="宋体" w:hAnsi="宋体" w:cs="宋体"/>
          <w:b/>
          <w:kern w:val="0"/>
          <w:szCs w:val="21"/>
        </w:rPr>
        <w:t xml:space="preserve">项目名称：                                              项目编号：  </w:t>
      </w:r>
    </w:p>
    <w:tbl>
      <w:tblPr>
        <w:tblStyle w:val="55"/>
        <w:tblW w:w="0" w:type="auto"/>
        <w:jc w:val="center"/>
        <w:tblLayout w:type="fixed"/>
        <w:tblCellMar>
          <w:top w:w="0" w:type="dxa"/>
          <w:left w:w="10" w:type="dxa"/>
          <w:bottom w:w="0" w:type="dxa"/>
          <w:right w:w="10" w:type="dxa"/>
        </w:tblCellMar>
      </w:tblPr>
      <w:tblGrid>
        <w:gridCol w:w="768"/>
        <w:gridCol w:w="1426"/>
        <w:gridCol w:w="1805"/>
        <w:gridCol w:w="701"/>
        <w:gridCol w:w="706"/>
        <w:gridCol w:w="1415"/>
        <w:gridCol w:w="1406"/>
        <w:gridCol w:w="1195"/>
      </w:tblGrid>
      <w:tr w14:paraId="0D93AC7D">
        <w:tblPrEx>
          <w:tblCellMar>
            <w:top w:w="0" w:type="dxa"/>
            <w:left w:w="10" w:type="dxa"/>
            <w:bottom w:w="0" w:type="dxa"/>
            <w:right w:w="10" w:type="dxa"/>
          </w:tblCellMar>
        </w:tblPrEx>
        <w:trPr>
          <w:trHeight w:val="696" w:hRule="exact"/>
          <w:jc w:val="center"/>
        </w:trPr>
        <w:tc>
          <w:tcPr>
            <w:tcW w:w="768" w:type="dxa"/>
            <w:tcBorders>
              <w:top w:val="single" w:color="auto" w:sz="4" w:space="0"/>
              <w:left w:val="single" w:color="auto" w:sz="4" w:space="0"/>
            </w:tcBorders>
            <w:shd w:val="clear" w:color="auto" w:fill="FFFFFF"/>
            <w:noWrap/>
            <w:vAlign w:val="center"/>
          </w:tcPr>
          <w:p w14:paraId="3FCE6C63">
            <w:pPr>
              <w:pStyle w:val="93"/>
              <w:spacing w:line="240" w:lineRule="auto"/>
              <w:ind w:firstLine="0"/>
              <w:jc w:val="center"/>
              <w:rPr>
                <w:sz w:val="24"/>
              </w:rPr>
            </w:pPr>
            <w:r>
              <w:rPr>
                <w:sz w:val="24"/>
              </w:rPr>
              <w:t>序号</w:t>
            </w:r>
          </w:p>
        </w:tc>
        <w:tc>
          <w:tcPr>
            <w:tcW w:w="1426" w:type="dxa"/>
            <w:tcBorders>
              <w:top w:val="single" w:color="auto" w:sz="4" w:space="0"/>
              <w:left w:val="single" w:color="auto" w:sz="4" w:space="0"/>
            </w:tcBorders>
            <w:shd w:val="clear" w:color="auto" w:fill="FFFFFF"/>
            <w:noWrap/>
          </w:tcPr>
          <w:p w14:paraId="64372C80">
            <w:pPr>
              <w:pStyle w:val="93"/>
              <w:spacing w:line="341" w:lineRule="exact"/>
              <w:ind w:firstLine="0"/>
              <w:jc w:val="center"/>
              <w:rPr>
                <w:sz w:val="24"/>
              </w:rPr>
            </w:pPr>
            <w:r>
              <w:rPr>
                <w:sz w:val="24"/>
              </w:rPr>
              <w:t>构成服务费 名称</w:t>
            </w:r>
          </w:p>
        </w:tc>
        <w:tc>
          <w:tcPr>
            <w:tcW w:w="1805" w:type="dxa"/>
            <w:tcBorders>
              <w:top w:val="single" w:color="auto" w:sz="4" w:space="0"/>
              <w:left w:val="single" w:color="auto" w:sz="4" w:space="0"/>
            </w:tcBorders>
            <w:shd w:val="clear" w:color="auto" w:fill="FFFFFF"/>
            <w:noWrap/>
            <w:vAlign w:val="center"/>
          </w:tcPr>
          <w:p w14:paraId="4985C85C">
            <w:pPr>
              <w:pStyle w:val="93"/>
              <w:spacing w:line="240" w:lineRule="auto"/>
              <w:ind w:firstLine="0"/>
              <w:jc w:val="center"/>
              <w:rPr>
                <w:sz w:val="24"/>
              </w:rPr>
            </w:pPr>
            <w:r>
              <w:rPr>
                <w:sz w:val="24"/>
              </w:rPr>
              <w:t>内容描述</w:t>
            </w:r>
          </w:p>
        </w:tc>
        <w:tc>
          <w:tcPr>
            <w:tcW w:w="701" w:type="dxa"/>
            <w:tcBorders>
              <w:top w:val="single" w:color="auto" w:sz="4" w:space="0"/>
              <w:left w:val="single" w:color="auto" w:sz="4" w:space="0"/>
            </w:tcBorders>
            <w:shd w:val="clear" w:color="auto" w:fill="FFFFFF"/>
            <w:noWrap/>
            <w:vAlign w:val="center"/>
          </w:tcPr>
          <w:p w14:paraId="488E6903">
            <w:pPr>
              <w:pStyle w:val="93"/>
              <w:spacing w:line="240" w:lineRule="auto"/>
              <w:ind w:firstLine="0"/>
              <w:jc w:val="center"/>
              <w:rPr>
                <w:sz w:val="24"/>
              </w:rPr>
            </w:pPr>
            <w:r>
              <w:rPr>
                <w:sz w:val="24"/>
              </w:rPr>
              <w:t>数量</w:t>
            </w:r>
          </w:p>
        </w:tc>
        <w:tc>
          <w:tcPr>
            <w:tcW w:w="706" w:type="dxa"/>
            <w:tcBorders>
              <w:top w:val="single" w:color="auto" w:sz="4" w:space="0"/>
              <w:left w:val="single" w:color="auto" w:sz="4" w:space="0"/>
            </w:tcBorders>
            <w:shd w:val="clear" w:color="auto" w:fill="FFFFFF"/>
            <w:noWrap/>
            <w:vAlign w:val="center"/>
          </w:tcPr>
          <w:p w14:paraId="1DD384E3">
            <w:pPr>
              <w:pStyle w:val="93"/>
              <w:spacing w:line="240" w:lineRule="auto"/>
              <w:ind w:firstLine="0"/>
              <w:jc w:val="center"/>
              <w:rPr>
                <w:sz w:val="24"/>
              </w:rPr>
            </w:pPr>
            <w:r>
              <w:rPr>
                <w:sz w:val="24"/>
              </w:rPr>
              <w:t>单位</w:t>
            </w:r>
          </w:p>
        </w:tc>
        <w:tc>
          <w:tcPr>
            <w:tcW w:w="1415" w:type="dxa"/>
            <w:tcBorders>
              <w:top w:val="single" w:color="auto" w:sz="4" w:space="0"/>
              <w:left w:val="single" w:color="auto" w:sz="4" w:space="0"/>
            </w:tcBorders>
            <w:shd w:val="clear" w:color="auto" w:fill="FFFFFF"/>
            <w:noWrap/>
            <w:vAlign w:val="center"/>
          </w:tcPr>
          <w:p w14:paraId="0643051D">
            <w:pPr>
              <w:pStyle w:val="93"/>
              <w:spacing w:line="240" w:lineRule="auto"/>
              <w:ind w:firstLine="0"/>
              <w:jc w:val="center"/>
              <w:rPr>
                <w:sz w:val="24"/>
              </w:rPr>
            </w:pPr>
            <w:r>
              <w:rPr>
                <w:sz w:val="24"/>
              </w:rPr>
              <w:t>单价</w:t>
            </w:r>
            <w:r>
              <w:rPr>
                <w:rFonts w:hint="eastAsia"/>
                <w:sz w:val="24"/>
              </w:rPr>
              <w:t>(元)</w:t>
            </w:r>
          </w:p>
        </w:tc>
        <w:tc>
          <w:tcPr>
            <w:tcW w:w="1406" w:type="dxa"/>
            <w:tcBorders>
              <w:top w:val="single" w:color="auto" w:sz="4" w:space="0"/>
              <w:left w:val="single" w:color="auto" w:sz="4" w:space="0"/>
            </w:tcBorders>
            <w:shd w:val="clear" w:color="auto" w:fill="FFFFFF"/>
            <w:noWrap/>
            <w:vAlign w:val="center"/>
          </w:tcPr>
          <w:p w14:paraId="51229EB7">
            <w:pPr>
              <w:pStyle w:val="93"/>
              <w:spacing w:line="240" w:lineRule="auto"/>
              <w:ind w:firstLine="0"/>
              <w:jc w:val="center"/>
              <w:rPr>
                <w:sz w:val="24"/>
              </w:rPr>
            </w:pPr>
            <w:r>
              <w:rPr>
                <w:sz w:val="24"/>
              </w:rPr>
              <w:t>合价</w:t>
            </w:r>
            <w:r>
              <w:rPr>
                <w:rFonts w:hint="eastAsia"/>
                <w:sz w:val="24"/>
              </w:rPr>
              <w:t>(元)</w:t>
            </w:r>
          </w:p>
        </w:tc>
        <w:tc>
          <w:tcPr>
            <w:tcW w:w="1195" w:type="dxa"/>
            <w:tcBorders>
              <w:top w:val="single" w:color="auto" w:sz="4" w:space="0"/>
              <w:left w:val="single" w:color="auto" w:sz="4" w:space="0"/>
              <w:right w:val="single" w:color="auto" w:sz="4" w:space="0"/>
            </w:tcBorders>
            <w:shd w:val="clear" w:color="auto" w:fill="FFFFFF"/>
            <w:noWrap/>
            <w:vAlign w:val="center"/>
          </w:tcPr>
          <w:p w14:paraId="153399F9">
            <w:pPr>
              <w:pStyle w:val="93"/>
              <w:spacing w:line="240" w:lineRule="auto"/>
              <w:ind w:firstLine="0"/>
              <w:jc w:val="center"/>
              <w:rPr>
                <w:sz w:val="24"/>
              </w:rPr>
            </w:pPr>
            <w:r>
              <w:rPr>
                <w:sz w:val="24"/>
              </w:rPr>
              <w:t>备注</w:t>
            </w:r>
          </w:p>
        </w:tc>
      </w:tr>
      <w:tr w14:paraId="722C377E">
        <w:tblPrEx>
          <w:tblCellMar>
            <w:top w:w="0" w:type="dxa"/>
            <w:left w:w="10" w:type="dxa"/>
            <w:bottom w:w="0" w:type="dxa"/>
            <w:right w:w="10" w:type="dxa"/>
          </w:tblCellMar>
        </w:tblPrEx>
        <w:trPr>
          <w:trHeight w:val="461" w:hRule="exact"/>
          <w:jc w:val="center"/>
        </w:trPr>
        <w:tc>
          <w:tcPr>
            <w:tcW w:w="768" w:type="dxa"/>
            <w:tcBorders>
              <w:top w:val="single" w:color="auto" w:sz="4" w:space="0"/>
              <w:left w:val="single" w:color="auto" w:sz="4" w:space="0"/>
            </w:tcBorders>
            <w:shd w:val="clear" w:color="auto" w:fill="FFFFFF"/>
            <w:noWrap/>
          </w:tcPr>
          <w:p w14:paraId="69315DB1"/>
        </w:tc>
        <w:tc>
          <w:tcPr>
            <w:tcW w:w="1426" w:type="dxa"/>
            <w:tcBorders>
              <w:top w:val="single" w:color="auto" w:sz="4" w:space="0"/>
              <w:left w:val="single" w:color="auto" w:sz="4" w:space="0"/>
            </w:tcBorders>
            <w:shd w:val="clear" w:color="auto" w:fill="FFFFFF"/>
            <w:noWrap/>
          </w:tcPr>
          <w:p w14:paraId="7A1D36E8"/>
        </w:tc>
        <w:tc>
          <w:tcPr>
            <w:tcW w:w="1805" w:type="dxa"/>
            <w:tcBorders>
              <w:top w:val="single" w:color="auto" w:sz="4" w:space="0"/>
              <w:left w:val="single" w:color="auto" w:sz="4" w:space="0"/>
            </w:tcBorders>
            <w:shd w:val="clear" w:color="auto" w:fill="FFFFFF"/>
            <w:noWrap/>
          </w:tcPr>
          <w:p w14:paraId="38ED6036"/>
        </w:tc>
        <w:tc>
          <w:tcPr>
            <w:tcW w:w="701" w:type="dxa"/>
            <w:tcBorders>
              <w:top w:val="single" w:color="auto" w:sz="4" w:space="0"/>
              <w:left w:val="single" w:color="auto" w:sz="4" w:space="0"/>
            </w:tcBorders>
            <w:shd w:val="clear" w:color="auto" w:fill="FFFFFF"/>
            <w:noWrap/>
          </w:tcPr>
          <w:p w14:paraId="47C348FE"/>
        </w:tc>
        <w:tc>
          <w:tcPr>
            <w:tcW w:w="706" w:type="dxa"/>
            <w:tcBorders>
              <w:top w:val="single" w:color="auto" w:sz="4" w:space="0"/>
              <w:left w:val="single" w:color="auto" w:sz="4" w:space="0"/>
            </w:tcBorders>
            <w:shd w:val="clear" w:color="auto" w:fill="FFFFFF"/>
            <w:noWrap/>
          </w:tcPr>
          <w:p w14:paraId="6EE34F70"/>
        </w:tc>
        <w:tc>
          <w:tcPr>
            <w:tcW w:w="1415" w:type="dxa"/>
            <w:tcBorders>
              <w:top w:val="single" w:color="auto" w:sz="4" w:space="0"/>
              <w:left w:val="single" w:color="auto" w:sz="4" w:space="0"/>
            </w:tcBorders>
            <w:shd w:val="clear" w:color="auto" w:fill="FFFFFF"/>
            <w:noWrap/>
          </w:tcPr>
          <w:p w14:paraId="146FD816"/>
        </w:tc>
        <w:tc>
          <w:tcPr>
            <w:tcW w:w="1406" w:type="dxa"/>
            <w:tcBorders>
              <w:top w:val="single" w:color="auto" w:sz="4" w:space="0"/>
              <w:left w:val="single" w:color="auto" w:sz="4" w:space="0"/>
            </w:tcBorders>
            <w:shd w:val="clear" w:color="auto" w:fill="FFFFFF"/>
            <w:noWrap/>
          </w:tcPr>
          <w:p w14:paraId="4815EE33"/>
        </w:tc>
        <w:tc>
          <w:tcPr>
            <w:tcW w:w="1195" w:type="dxa"/>
            <w:tcBorders>
              <w:top w:val="single" w:color="auto" w:sz="4" w:space="0"/>
              <w:left w:val="single" w:color="auto" w:sz="4" w:space="0"/>
              <w:right w:val="single" w:color="auto" w:sz="4" w:space="0"/>
            </w:tcBorders>
            <w:shd w:val="clear" w:color="auto" w:fill="FFFFFF"/>
            <w:noWrap/>
          </w:tcPr>
          <w:p w14:paraId="162A7940"/>
        </w:tc>
      </w:tr>
      <w:tr w14:paraId="4CF0E1DE">
        <w:tblPrEx>
          <w:tblCellMar>
            <w:top w:w="0" w:type="dxa"/>
            <w:left w:w="10" w:type="dxa"/>
            <w:bottom w:w="0" w:type="dxa"/>
            <w:right w:w="10" w:type="dxa"/>
          </w:tblCellMar>
        </w:tblPrEx>
        <w:trPr>
          <w:trHeight w:val="466" w:hRule="exact"/>
          <w:jc w:val="center"/>
        </w:trPr>
        <w:tc>
          <w:tcPr>
            <w:tcW w:w="768" w:type="dxa"/>
            <w:tcBorders>
              <w:top w:val="single" w:color="auto" w:sz="4" w:space="0"/>
              <w:left w:val="single" w:color="auto" w:sz="4" w:space="0"/>
            </w:tcBorders>
            <w:shd w:val="clear" w:color="auto" w:fill="FFFFFF"/>
            <w:noWrap/>
          </w:tcPr>
          <w:p w14:paraId="4D361ECC"/>
        </w:tc>
        <w:tc>
          <w:tcPr>
            <w:tcW w:w="1426" w:type="dxa"/>
            <w:tcBorders>
              <w:top w:val="single" w:color="auto" w:sz="4" w:space="0"/>
              <w:left w:val="single" w:color="auto" w:sz="4" w:space="0"/>
            </w:tcBorders>
            <w:shd w:val="clear" w:color="auto" w:fill="FFFFFF"/>
            <w:noWrap/>
          </w:tcPr>
          <w:p w14:paraId="37DAF20A"/>
        </w:tc>
        <w:tc>
          <w:tcPr>
            <w:tcW w:w="1805" w:type="dxa"/>
            <w:tcBorders>
              <w:top w:val="single" w:color="auto" w:sz="4" w:space="0"/>
              <w:left w:val="single" w:color="auto" w:sz="4" w:space="0"/>
            </w:tcBorders>
            <w:shd w:val="clear" w:color="auto" w:fill="FFFFFF"/>
            <w:noWrap/>
          </w:tcPr>
          <w:p w14:paraId="767F3D57"/>
        </w:tc>
        <w:tc>
          <w:tcPr>
            <w:tcW w:w="701" w:type="dxa"/>
            <w:tcBorders>
              <w:top w:val="single" w:color="auto" w:sz="4" w:space="0"/>
              <w:left w:val="single" w:color="auto" w:sz="4" w:space="0"/>
            </w:tcBorders>
            <w:shd w:val="clear" w:color="auto" w:fill="FFFFFF"/>
            <w:noWrap/>
          </w:tcPr>
          <w:p w14:paraId="3C998670"/>
        </w:tc>
        <w:tc>
          <w:tcPr>
            <w:tcW w:w="706" w:type="dxa"/>
            <w:tcBorders>
              <w:top w:val="single" w:color="auto" w:sz="4" w:space="0"/>
              <w:left w:val="single" w:color="auto" w:sz="4" w:space="0"/>
            </w:tcBorders>
            <w:shd w:val="clear" w:color="auto" w:fill="FFFFFF"/>
            <w:noWrap/>
          </w:tcPr>
          <w:p w14:paraId="5C67CBE4"/>
        </w:tc>
        <w:tc>
          <w:tcPr>
            <w:tcW w:w="1415" w:type="dxa"/>
            <w:tcBorders>
              <w:top w:val="single" w:color="auto" w:sz="4" w:space="0"/>
              <w:left w:val="single" w:color="auto" w:sz="4" w:space="0"/>
            </w:tcBorders>
            <w:shd w:val="clear" w:color="auto" w:fill="FFFFFF"/>
            <w:noWrap/>
          </w:tcPr>
          <w:p w14:paraId="342DDEAE"/>
        </w:tc>
        <w:tc>
          <w:tcPr>
            <w:tcW w:w="1406" w:type="dxa"/>
            <w:tcBorders>
              <w:top w:val="single" w:color="auto" w:sz="4" w:space="0"/>
              <w:left w:val="single" w:color="auto" w:sz="4" w:space="0"/>
            </w:tcBorders>
            <w:shd w:val="clear" w:color="auto" w:fill="FFFFFF"/>
            <w:noWrap/>
          </w:tcPr>
          <w:p w14:paraId="3B06B895"/>
        </w:tc>
        <w:tc>
          <w:tcPr>
            <w:tcW w:w="1195" w:type="dxa"/>
            <w:tcBorders>
              <w:top w:val="single" w:color="auto" w:sz="4" w:space="0"/>
              <w:left w:val="single" w:color="auto" w:sz="4" w:space="0"/>
              <w:right w:val="single" w:color="auto" w:sz="4" w:space="0"/>
            </w:tcBorders>
            <w:shd w:val="clear" w:color="auto" w:fill="FFFFFF"/>
            <w:noWrap/>
          </w:tcPr>
          <w:p w14:paraId="45A9A585"/>
        </w:tc>
      </w:tr>
      <w:tr w14:paraId="66E8CBEA">
        <w:tblPrEx>
          <w:tblCellMar>
            <w:top w:w="0" w:type="dxa"/>
            <w:left w:w="10" w:type="dxa"/>
            <w:bottom w:w="0" w:type="dxa"/>
            <w:right w:w="10" w:type="dxa"/>
          </w:tblCellMar>
        </w:tblPrEx>
        <w:trPr>
          <w:trHeight w:val="466" w:hRule="exact"/>
          <w:jc w:val="center"/>
        </w:trPr>
        <w:tc>
          <w:tcPr>
            <w:tcW w:w="768" w:type="dxa"/>
            <w:tcBorders>
              <w:top w:val="single" w:color="auto" w:sz="4" w:space="0"/>
              <w:left w:val="single" w:color="auto" w:sz="4" w:space="0"/>
            </w:tcBorders>
            <w:shd w:val="clear" w:color="auto" w:fill="FFFFFF"/>
            <w:noWrap/>
          </w:tcPr>
          <w:p w14:paraId="3DF5E9B5"/>
        </w:tc>
        <w:tc>
          <w:tcPr>
            <w:tcW w:w="1426" w:type="dxa"/>
            <w:tcBorders>
              <w:top w:val="single" w:color="auto" w:sz="4" w:space="0"/>
              <w:left w:val="single" w:color="auto" w:sz="4" w:space="0"/>
            </w:tcBorders>
            <w:shd w:val="clear" w:color="auto" w:fill="FFFFFF"/>
            <w:noWrap/>
          </w:tcPr>
          <w:p w14:paraId="25C3B9F6"/>
        </w:tc>
        <w:tc>
          <w:tcPr>
            <w:tcW w:w="1805" w:type="dxa"/>
            <w:tcBorders>
              <w:top w:val="single" w:color="auto" w:sz="4" w:space="0"/>
              <w:left w:val="single" w:color="auto" w:sz="4" w:space="0"/>
            </w:tcBorders>
            <w:shd w:val="clear" w:color="auto" w:fill="FFFFFF"/>
            <w:noWrap/>
          </w:tcPr>
          <w:p w14:paraId="4A53C5BB"/>
        </w:tc>
        <w:tc>
          <w:tcPr>
            <w:tcW w:w="701" w:type="dxa"/>
            <w:tcBorders>
              <w:top w:val="single" w:color="auto" w:sz="4" w:space="0"/>
              <w:left w:val="single" w:color="auto" w:sz="4" w:space="0"/>
            </w:tcBorders>
            <w:shd w:val="clear" w:color="auto" w:fill="FFFFFF"/>
            <w:noWrap/>
          </w:tcPr>
          <w:p w14:paraId="31214033"/>
        </w:tc>
        <w:tc>
          <w:tcPr>
            <w:tcW w:w="706" w:type="dxa"/>
            <w:tcBorders>
              <w:top w:val="single" w:color="auto" w:sz="4" w:space="0"/>
              <w:left w:val="single" w:color="auto" w:sz="4" w:space="0"/>
            </w:tcBorders>
            <w:shd w:val="clear" w:color="auto" w:fill="FFFFFF"/>
            <w:noWrap/>
          </w:tcPr>
          <w:p w14:paraId="2DD7D919"/>
        </w:tc>
        <w:tc>
          <w:tcPr>
            <w:tcW w:w="1415" w:type="dxa"/>
            <w:tcBorders>
              <w:top w:val="single" w:color="auto" w:sz="4" w:space="0"/>
              <w:left w:val="single" w:color="auto" w:sz="4" w:space="0"/>
            </w:tcBorders>
            <w:shd w:val="clear" w:color="auto" w:fill="FFFFFF"/>
            <w:noWrap/>
          </w:tcPr>
          <w:p w14:paraId="55CFB306"/>
        </w:tc>
        <w:tc>
          <w:tcPr>
            <w:tcW w:w="1406" w:type="dxa"/>
            <w:tcBorders>
              <w:top w:val="single" w:color="auto" w:sz="4" w:space="0"/>
              <w:left w:val="single" w:color="auto" w:sz="4" w:space="0"/>
            </w:tcBorders>
            <w:shd w:val="clear" w:color="auto" w:fill="FFFFFF"/>
            <w:noWrap/>
          </w:tcPr>
          <w:p w14:paraId="43817942"/>
        </w:tc>
        <w:tc>
          <w:tcPr>
            <w:tcW w:w="1195" w:type="dxa"/>
            <w:tcBorders>
              <w:top w:val="single" w:color="auto" w:sz="4" w:space="0"/>
              <w:left w:val="single" w:color="auto" w:sz="4" w:space="0"/>
              <w:right w:val="single" w:color="auto" w:sz="4" w:space="0"/>
            </w:tcBorders>
            <w:shd w:val="clear" w:color="auto" w:fill="FFFFFF"/>
            <w:noWrap/>
          </w:tcPr>
          <w:p w14:paraId="7CF649D3"/>
        </w:tc>
      </w:tr>
      <w:tr w14:paraId="10C6202B">
        <w:tblPrEx>
          <w:tblCellMar>
            <w:top w:w="0" w:type="dxa"/>
            <w:left w:w="10" w:type="dxa"/>
            <w:bottom w:w="0" w:type="dxa"/>
            <w:right w:w="10" w:type="dxa"/>
          </w:tblCellMar>
        </w:tblPrEx>
        <w:trPr>
          <w:trHeight w:val="461" w:hRule="exact"/>
          <w:jc w:val="center"/>
        </w:trPr>
        <w:tc>
          <w:tcPr>
            <w:tcW w:w="768" w:type="dxa"/>
            <w:tcBorders>
              <w:top w:val="single" w:color="auto" w:sz="4" w:space="0"/>
              <w:left w:val="single" w:color="auto" w:sz="4" w:space="0"/>
            </w:tcBorders>
            <w:shd w:val="clear" w:color="auto" w:fill="FFFFFF"/>
            <w:noWrap/>
          </w:tcPr>
          <w:p w14:paraId="22AE4366"/>
        </w:tc>
        <w:tc>
          <w:tcPr>
            <w:tcW w:w="1426" w:type="dxa"/>
            <w:tcBorders>
              <w:top w:val="single" w:color="auto" w:sz="4" w:space="0"/>
              <w:left w:val="single" w:color="auto" w:sz="4" w:space="0"/>
            </w:tcBorders>
            <w:shd w:val="clear" w:color="auto" w:fill="FFFFFF"/>
            <w:noWrap/>
          </w:tcPr>
          <w:p w14:paraId="7B13ED22"/>
        </w:tc>
        <w:tc>
          <w:tcPr>
            <w:tcW w:w="1805" w:type="dxa"/>
            <w:tcBorders>
              <w:top w:val="single" w:color="auto" w:sz="4" w:space="0"/>
              <w:left w:val="single" w:color="auto" w:sz="4" w:space="0"/>
            </w:tcBorders>
            <w:shd w:val="clear" w:color="auto" w:fill="FFFFFF"/>
            <w:noWrap/>
          </w:tcPr>
          <w:p w14:paraId="5A14776E"/>
        </w:tc>
        <w:tc>
          <w:tcPr>
            <w:tcW w:w="701" w:type="dxa"/>
            <w:tcBorders>
              <w:top w:val="single" w:color="auto" w:sz="4" w:space="0"/>
              <w:left w:val="single" w:color="auto" w:sz="4" w:space="0"/>
            </w:tcBorders>
            <w:shd w:val="clear" w:color="auto" w:fill="FFFFFF"/>
            <w:noWrap/>
          </w:tcPr>
          <w:p w14:paraId="6DB58BB6"/>
        </w:tc>
        <w:tc>
          <w:tcPr>
            <w:tcW w:w="706" w:type="dxa"/>
            <w:tcBorders>
              <w:top w:val="single" w:color="auto" w:sz="4" w:space="0"/>
              <w:left w:val="single" w:color="auto" w:sz="4" w:space="0"/>
            </w:tcBorders>
            <w:shd w:val="clear" w:color="auto" w:fill="FFFFFF"/>
            <w:noWrap/>
          </w:tcPr>
          <w:p w14:paraId="56D3B0CC"/>
        </w:tc>
        <w:tc>
          <w:tcPr>
            <w:tcW w:w="1415" w:type="dxa"/>
            <w:tcBorders>
              <w:top w:val="single" w:color="auto" w:sz="4" w:space="0"/>
              <w:left w:val="single" w:color="auto" w:sz="4" w:space="0"/>
            </w:tcBorders>
            <w:shd w:val="clear" w:color="auto" w:fill="FFFFFF"/>
            <w:noWrap/>
          </w:tcPr>
          <w:p w14:paraId="76798D6B"/>
        </w:tc>
        <w:tc>
          <w:tcPr>
            <w:tcW w:w="1406" w:type="dxa"/>
            <w:tcBorders>
              <w:top w:val="single" w:color="auto" w:sz="4" w:space="0"/>
              <w:left w:val="single" w:color="auto" w:sz="4" w:space="0"/>
            </w:tcBorders>
            <w:shd w:val="clear" w:color="auto" w:fill="FFFFFF"/>
            <w:noWrap/>
          </w:tcPr>
          <w:p w14:paraId="67DF770A"/>
        </w:tc>
        <w:tc>
          <w:tcPr>
            <w:tcW w:w="1195" w:type="dxa"/>
            <w:tcBorders>
              <w:top w:val="single" w:color="auto" w:sz="4" w:space="0"/>
              <w:left w:val="single" w:color="auto" w:sz="4" w:space="0"/>
              <w:right w:val="single" w:color="auto" w:sz="4" w:space="0"/>
            </w:tcBorders>
            <w:shd w:val="clear" w:color="auto" w:fill="FFFFFF"/>
            <w:noWrap/>
          </w:tcPr>
          <w:p w14:paraId="25F3CCDB"/>
        </w:tc>
      </w:tr>
      <w:tr w14:paraId="23A55ABC">
        <w:tblPrEx>
          <w:tblCellMar>
            <w:top w:w="0" w:type="dxa"/>
            <w:left w:w="10" w:type="dxa"/>
            <w:bottom w:w="0" w:type="dxa"/>
            <w:right w:w="10" w:type="dxa"/>
          </w:tblCellMar>
        </w:tblPrEx>
        <w:trPr>
          <w:trHeight w:val="810" w:hRule="atLeast"/>
          <w:jc w:val="center"/>
        </w:trPr>
        <w:tc>
          <w:tcPr>
            <w:tcW w:w="2194" w:type="dxa"/>
            <w:gridSpan w:val="2"/>
            <w:tcBorders>
              <w:top w:val="single" w:color="auto" w:sz="4" w:space="0"/>
              <w:left w:val="single" w:color="auto" w:sz="4" w:space="0"/>
              <w:bottom w:val="single" w:color="auto" w:sz="4" w:space="0"/>
            </w:tcBorders>
            <w:shd w:val="clear" w:color="auto" w:fill="FFFFFF"/>
            <w:noWrap/>
            <w:vAlign w:val="center"/>
          </w:tcPr>
          <w:p w14:paraId="082A9CFC">
            <w:pPr>
              <w:pStyle w:val="93"/>
              <w:spacing w:line="240" w:lineRule="auto"/>
              <w:ind w:firstLine="0"/>
              <w:jc w:val="center"/>
              <w:rPr>
                <w:sz w:val="24"/>
              </w:rPr>
            </w:pPr>
            <w:r>
              <w:rPr>
                <w:rFonts w:hint="eastAsia"/>
                <w:sz w:val="24"/>
              </w:rPr>
              <w:t>合计(元)</w:t>
            </w:r>
          </w:p>
        </w:tc>
        <w:tc>
          <w:tcPr>
            <w:tcW w:w="7228"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1B86F827">
            <w:r>
              <w:rPr>
                <w:rFonts w:hint="eastAsia"/>
              </w:rPr>
              <w:t>小写:</w:t>
            </w:r>
          </w:p>
          <w:p w14:paraId="4117933D">
            <w:r>
              <w:rPr>
                <w:rFonts w:hint="eastAsia"/>
              </w:rPr>
              <w:t>大写:</w:t>
            </w:r>
          </w:p>
        </w:tc>
      </w:tr>
    </w:tbl>
    <w:p w14:paraId="12B8E770">
      <w:pPr>
        <w:spacing w:line="240" w:lineRule="auto"/>
        <w:ind w:firstLine="420"/>
        <w:rPr>
          <w:rFonts w:ascii="宋体" w:hAnsi="宋体"/>
        </w:rPr>
      </w:pPr>
      <w:r>
        <w:rPr>
          <w:rFonts w:hint="eastAsia" w:ascii="宋体" w:hAnsi="宋体"/>
        </w:rPr>
        <w:t>注：1、此表合计金额应与 “开标一览表”中投标报价相一致；</w:t>
      </w:r>
    </w:p>
    <w:p w14:paraId="2995B20D">
      <w:pPr>
        <w:spacing w:line="240" w:lineRule="auto"/>
        <w:ind w:firstLine="420"/>
        <w:rPr>
          <w:rFonts w:ascii="宋体" w:hAnsi="宋体"/>
        </w:rPr>
      </w:pPr>
      <w:r>
        <w:rPr>
          <w:rFonts w:hint="eastAsia" w:ascii="宋体" w:hAnsi="宋体"/>
        </w:rPr>
        <w:t xml:space="preserve">    2、此表可进一步细分，栏目可另加，应包括为完成本项目可能发生的全部费用。</w:t>
      </w:r>
    </w:p>
    <w:p w14:paraId="0E070EB9">
      <w:pPr>
        <w:spacing w:line="240" w:lineRule="auto"/>
        <w:ind w:firstLine="420"/>
        <w:rPr>
          <w:rFonts w:ascii="宋体" w:hAnsi="宋体"/>
        </w:rPr>
      </w:pPr>
      <w:r>
        <w:rPr>
          <w:rFonts w:hint="eastAsia" w:ascii="宋体" w:hAnsi="宋体"/>
        </w:rPr>
        <w:t xml:space="preserve">    3、按采购文件第二章投标人须知中5.1报价要求列明具体费用分项明细。</w:t>
      </w:r>
    </w:p>
    <w:p w14:paraId="2D08AC23">
      <w:pPr>
        <w:rPr>
          <w:rFonts w:ascii="宋体" w:hAnsi="宋体"/>
          <w:b/>
          <w:bCs/>
          <w:sz w:val="24"/>
        </w:rPr>
      </w:pPr>
    </w:p>
    <w:p w14:paraId="27EE09B0">
      <w:pPr>
        <w:rPr>
          <w:rFonts w:ascii="宋体" w:hAnsi="宋体"/>
          <w:b/>
          <w:bCs/>
          <w:sz w:val="24"/>
        </w:rPr>
      </w:pPr>
    </w:p>
    <w:p w14:paraId="57C52F01">
      <w:pPr>
        <w:rPr>
          <w:rFonts w:ascii="宋体" w:hAnsi="宋体"/>
          <w:b/>
          <w:bCs/>
          <w:sz w:val="24"/>
        </w:rPr>
      </w:pPr>
    </w:p>
    <w:p w14:paraId="0E2E7A31">
      <w:pPr>
        <w:spacing w:line="800" w:lineRule="exact"/>
        <w:ind w:firstLine="5060" w:firstLineChars="2100"/>
        <w:rPr>
          <w:rFonts w:ascii="宋体" w:hAnsi="宋体"/>
          <w:b/>
          <w:bCs/>
          <w:sz w:val="24"/>
        </w:rPr>
      </w:pPr>
      <w:r>
        <w:rPr>
          <w:rFonts w:ascii="宋体" w:hAnsi="宋体"/>
          <w:b/>
          <w:bCs/>
          <w:sz w:val="24"/>
        </w:rPr>
        <w:t>投标人（盖章）：</w:t>
      </w:r>
    </w:p>
    <w:p w14:paraId="076D366A">
      <w:pPr>
        <w:spacing w:line="800" w:lineRule="exact"/>
        <w:ind w:firstLine="3188" w:firstLineChars="1323"/>
        <w:rPr>
          <w:rFonts w:ascii="宋体" w:hAnsi="宋体"/>
          <w:b/>
          <w:bCs/>
          <w:sz w:val="24"/>
        </w:rPr>
      </w:pPr>
      <w:r>
        <w:rPr>
          <w:rFonts w:ascii="宋体" w:hAnsi="宋体"/>
          <w:b/>
          <w:bCs/>
          <w:sz w:val="24"/>
        </w:rPr>
        <w:t>法定代表人或其授权代表人（签字</w:t>
      </w:r>
      <w:r>
        <w:rPr>
          <w:rFonts w:hint="eastAsia" w:ascii="宋体" w:hAnsi="宋体"/>
          <w:b/>
          <w:bCs/>
          <w:sz w:val="24"/>
        </w:rPr>
        <w:t>或盖章</w:t>
      </w:r>
      <w:r>
        <w:rPr>
          <w:rFonts w:ascii="宋体" w:hAnsi="宋体"/>
          <w:b/>
          <w:bCs/>
          <w:sz w:val="24"/>
        </w:rPr>
        <w:t xml:space="preserve">）：                                   </w:t>
      </w:r>
    </w:p>
    <w:p w14:paraId="14DC1C85">
      <w:pPr>
        <w:spacing w:line="800" w:lineRule="exact"/>
        <w:ind w:firstLine="5060" w:firstLineChars="2100"/>
        <w:jc w:val="left"/>
        <w:rPr>
          <w:rFonts w:ascii="宋体" w:hAnsi="宋体"/>
          <w:b/>
          <w:bCs/>
          <w:sz w:val="24"/>
        </w:rPr>
      </w:pPr>
      <w:r>
        <w:rPr>
          <w:rFonts w:ascii="宋体" w:hAnsi="宋体"/>
          <w:b/>
          <w:bCs/>
          <w:sz w:val="24"/>
        </w:rPr>
        <w:t>日期</w:t>
      </w:r>
      <w:bookmarkStart w:id="348" w:name="_Toc9219"/>
      <w:bookmarkEnd w:id="348"/>
      <w:bookmarkStart w:id="349" w:name="_Toc605"/>
      <w:bookmarkEnd w:id="349"/>
      <w:r>
        <w:rPr>
          <w:rFonts w:hint="eastAsia" w:ascii="宋体" w:hAnsi="宋体"/>
          <w:b/>
          <w:bCs/>
          <w:sz w:val="24"/>
        </w:rPr>
        <w:t>:</w:t>
      </w:r>
    </w:p>
    <w:p w14:paraId="65C2F500"/>
    <w:p w14:paraId="1A7EB4AD"/>
    <w:p w14:paraId="47B60AB2">
      <w:pPr>
        <w:adjustRightInd w:val="0"/>
        <w:snapToGrid w:val="0"/>
        <w:rPr>
          <w:rFonts w:ascii="宋体" w:hAnsi="宋体"/>
          <w:b/>
          <w:bCs/>
          <w:sz w:val="28"/>
          <w:szCs w:val="21"/>
        </w:rPr>
      </w:pPr>
    </w:p>
    <w:p w14:paraId="30F4474A">
      <w:pPr>
        <w:adjustRightInd w:val="0"/>
        <w:snapToGrid w:val="0"/>
        <w:rPr>
          <w:rFonts w:ascii="宋体" w:hAnsi="宋体"/>
          <w:b/>
          <w:bCs/>
          <w:sz w:val="28"/>
          <w:szCs w:val="21"/>
        </w:rPr>
      </w:pPr>
    </w:p>
    <w:p w14:paraId="7D9B7D69">
      <w:pPr>
        <w:adjustRightInd w:val="0"/>
        <w:snapToGrid w:val="0"/>
        <w:rPr>
          <w:rFonts w:ascii="宋体" w:hAnsi="宋体"/>
          <w:b/>
          <w:bCs/>
          <w:sz w:val="28"/>
          <w:szCs w:val="21"/>
        </w:rPr>
      </w:pPr>
    </w:p>
    <w:p w14:paraId="0287E96A">
      <w:pPr>
        <w:adjustRightInd w:val="0"/>
        <w:snapToGrid w:val="0"/>
        <w:rPr>
          <w:rFonts w:ascii="宋体" w:hAnsi="宋体"/>
          <w:b/>
          <w:bCs/>
          <w:sz w:val="28"/>
          <w:szCs w:val="21"/>
        </w:rPr>
      </w:pPr>
    </w:p>
    <w:p w14:paraId="20B9323B">
      <w:pPr>
        <w:adjustRightInd w:val="0"/>
        <w:snapToGrid w:val="0"/>
        <w:rPr>
          <w:rFonts w:ascii="宋体" w:hAnsi="宋体"/>
          <w:b/>
          <w:bCs/>
          <w:sz w:val="28"/>
          <w:szCs w:val="21"/>
        </w:rPr>
      </w:pPr>
    </w:p>
    <w:p w14:paraId="4C79BFA8">
      <w:pPr>
        <w:adjustRightInd w:val="0"/>
        <w:snapToGrid w:val="0"/>
        <w:rPr>
          <w:rFonts w:ascii="宋体" w:hAnsi="宋体"/>
          <w:b/>
          <w:bCs/>
          <w:sz w:val="28"/>
          <w:szCs w:val="21"/>
        </w:rPr>
      </w:pPr>
    </w:p>
    <w:p w14:paraId="5E5A8404">
      <w:pPr>
        <w:ind w:right="420" w:firstLine="720" w:firstLineChars="300"/>
        <w:rPr>
          <w:rFonts w:hAnsi="宋体"/>
          <w:sz w:val="24"/>
        </w:rPr>
      </w:pPr>
    </w:p>
    <w:p w14:paraId="25C0A248">
      <w:pPr>
        <w:adjustRightInd w:val="0"/>
        <w:snapToGrid w:val="0"/>
        <w:rPr>
          <w:rFonts w:ascii="宋体" w:hAnsi="宋体" w:cs="宋体"/>
          <w:b/>
          <w:bCs/>
          <w:sz w:val="28"/>
          <w:szCs w:val="21"/>
        </w:rPr>
      </w:pPr>
      <w:r>
        <w:rPr>
          <w:rFonts w:hint="eastAsia" w:ascii="宋体" w:hAnsi="宋体" w:cs="宋体"/>
          <w:b/>
          <w:bCs/>
          <w:sz w:val="28"/>
          <w:szCs w:val="21"/>
        </w:rPr>
        <w:t>3.2.4中小企业声明函格式：</w:t>
      </w:r>
    </w:p>
    <w:p w14:paraId="5487FEF3">
      <w:pPr>
        <w:pStyle w:val="29"/>
        <w:jc w:val="center"/>
        <w:rPr>
          <w:rFonts w:hAnsi="宋体" w:cs="宋体"/>
          <w:b/>
          <w:bCs/>
          <w:sz w:val="24"/>
          <w:szCs w:val="24"/>
        </w:rPr>
      </w:pPr>
      <w:r>
        <w:rPr>
          <w:rFonts w:hint="eastAsia" w:hAnsi="宋体" w:cs="宋体"/>
          <w:b/>
          <w:sz w:val="32"/>
          <w:szCs w:val="32"/>
        </w:rPr>
        <w:t>4.中小企业声明函（服务）</w:t>
      </w:r>
    </w:p>
    <w:p w14:paraId="233A60AE">
      <w:pPr>
        <w:adjustRightInd w:val="0"/>
        <w:snapToGrid w:val="0"/>
        <w:rPr>
          <w:rFonts w:ascii="宋体" w:hAnsi="宋体" w:cs="宋体"/>
          <w:sz w:val="24"/>
          <w:u w:val="single"/>
        </w:rPr>
      </w:pPr>
      <w:r>
        <w:rPr>
          <w:rFonts w:hint="eastAsia" w:ascii="宋体" w:hAnsi="宋体" w:cs="宋体"/>
          <w:sz w:val="24"/>
          <w:u w:val="single"/>
        </w:rPr>
        <w:t>（招标人名称）：</w:t>
      </w:r>
    </w:p>
    <w:p w14:paraId="703DDE80">
      <w:pPr>
        <w:adjustRightInd w:val="0"/>
        <w:snapToGrid w:val="0"/>
        <w:rPr>
          <w:rFonts w:ascii="宋体" w:hAnsi="宋体" w:cs="宋体"/>
          <w:sz w:val="24"/>
          <w:u w:val="single"/>
        </w:rPr>
      </w:pPr>
      <w:r>
        <w:rPr>
          <w:rFonts w:hint="eastAsia" w:ascii="宋体" w:hAnsi="宋体" w:cs="宋体"/>
          <w:sz w:val="24"/>
          <w:u w:val="single"/>
          <w:lang w:eastAsia="zh-CN"/>
        </w:rPr>
        <w:t>杭州兑尚源工程管理有限公司</w:t>
      </w:r>
      <w:r>
        <w:rPr>
          <w:rFonts w:hint="eastAsia" w:ascii="宋体" w:hAnsi="宋体" w:cs="宋体"/>
          <w:sz w:val="24"/>
          <w:u w:val="single"/>
        </w:rPr>
        <w:t>：</w:t>
      </w:r>
    </w:p>
    <w:p w14:paraId="5CDBC424">
      <w:pPr>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b/>
          <w:kern w:val="0"/>
          <w:sz w:val="24"/>
          <w:u w:val="single"/>
          <w:lang w:eastAsia="zh-CN"/>
        </w:rPr>
        <w:t>衢州市冻猪肉储备政府购买服务项目（三次）</w:t>
      </w:r>
      <w:r>
        <w:rPr>
          <w:rFonts w:hint="eastAsia" w:ascii="宋体" w:hAnsi="宋体" w:cs="宋体"/>
          <w:sz w:val="24"/>
        </w:rPr>
        <w:t>采购活动，</w:t>
      </w:r>
      <w:r>
        <w:rPr>
          <w:rFonts w:hint="eastAsia" w:ascii="宋体" w:hAnsi="宋体" w:cs="宋体"/>
          <w:b/>
          <w:kern w:val="0"/>
          <w:sz w:val="24"/>
          <w:u w:val="single"/>
        </w:rPr>
        <w:t>提供的服务全部由符合政策要求的中小企业承接</w:t>
      </w:r>
      <w:r>
        <w:rPr>
          <w:rFonts w:hint="eastAsia" w:ascii="宋体" w:hAnsi="宋体" w:cs="宋体"/>
          <w:sz w:val="24"/>
        </w:rPr>
        <w:t>。相关企业（含联合体中的中小企业、签订分包意向协议的中小企业）的具体情况如下：</w:t>
      </w:r>
    </w:p>
    <w:p w14:paraId="07E50272">
      <w:pPr>
        <w:ind w:firstLine="480" w:firstLineChars="200"/>
        <w:jc w:val="left"/>
        <w:rPr>
          <w:rFonts w:ascii="宋体" w:hAnsi="宋体" w:cs="宋体"/>
          <w:sz w:val="24"/>
        </w:rPr>
      </w:pPr>
      <w:r>
        <w:rPr>
          <w:rFonts w:hint="eastAsia" w:ascii="宋体" w:hAnsi="宋体" w:cs="宋体"/>
          <w:sz w:val="24"/>
        </w:rPr>
        <w:t>1.</w:t>
      </w:r>
      <w:r>
        <w:rPr>
          <w:rFonts w:hint="eastAsia"/>
        </w:rPr>
        <w:t xml:space="preserve"> </w:t>
      </w:r>
      <w:r>
        <w:rPr>
          <w:rFonts w:hint="eastAsia" w:ascii="宋体" w:hAnsi="宋体" w:cs="宋体"/>
          <w:b/>
          <w:bCs/>
          <w:sz w:val="24"/>
          <w:u w:val="single"/>
          <w:lang w:eastAsia="zh-CN"/>
        </w:rPr>
        <w:t>衢州市冻猪肉储备政府购买服务项目（三次）</w:t>
      </w:r>
      <w:r>
        <w:rPr>
          <w:rFonts w:hint="eastAsia" w:ascii="宋体" w:hAnsi="宋体" w:cs="宋体"/>
          <w:sz w:val="24"/>
        </w:rPr>
        <w:t>，属于</w:t>
      </w:r>
      <w:r>
        <w:rPr>
          <w:rFonts w:hint="eastAsia" w:ascii="宋体" w:hAnsi="宋体" w:cs="宋体"/>
          <w:b/>
          <w:bCs/>
          <w:sz w:val="24"/>
          <w:u w:val="single"/>
        </w:rPr>
        <w:t>【仓储业】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5B78A55F">
      <w:pPr>
        <w:ind w:firstLine="480" w:firstLineChars="200"/>
        <w:jc w:val="left"/>
        <w:rPr>
          <w:rFonts w:ascii="宋体" w:hAnsi="宋体" w:cs="宋体"/>
          <w:sz w:val="24"/>
        </w:rPr>
      </w:pPr>
      <w:r>
        <w:rPr>
          <w:rFonts w:hint="eastAsia" w:ascii="宋体" w:hAnsi="宋体" w:cs="宋体"/>
          <w:sz w:val="24"/>
        </w:rPr>
        <w:t>2.</w:t>
      </w:r>
      <w:r>
        <w:rPr>
          <w:rFonts w:hint="eastAsia"/>
        </w:rPr>
        <w:t xml:space="preserve"> </w:t>
      </w:r>
      <w:r>
        <w:rPr>
          <w:rFonts w:hint="eastAsia" w:ascii="宋体" w:hAnsi="宋体" w:cs="宋体"/>
          <w:b/>
          <w:bCs/>
          <w:sz w:val="24"/>
          <w:u w:val="single"/>
          <w:lang w:eastAsia="zh-CN"/>
        </w:rPr>
        <w:t>衢州市冻猪肉储备政府购买服务项目（三次）</w:t>
      </w:r>
      <w:r>
        <w:rPr>
          <w:rFonts w:hint="eastAsia" w:ascii="宋体" w:hAnsi="宋体" w:cs="宋体"/>
          <w:b/>
          <w:bCs/>
          <w:sz w:val="24"/>
        </w:rPr>
        <w:t>，</w:t>
      </w:r>
      <w:r>
        <w:rPr>
          <w:rFonts w:hint="eastAsia" w:ascii="宋体" w:hAnsi="宋体" w:cs="宋体"/>
          <w:sz w:val="24"/>
        </w:rPr>
        <w:t>属于</w:t>
      </w:r>
      <w:r>
        <w:rPr>
          <w:rFonts w:hint="eastAsia" w:ascii="宋体" w:hAnsi="宋体" w:cs="宋体"/>
          <w:b/>
          <w:bCs/>
          <w:sz w:val="24"/>
          <w:u w:val="single"/>
        </w:rPr>
        <w:t>【仓储业】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6F4EFD94">
      <w:pPr>
        <w:ind w:firstLine="480" w:firstLineChars="200"/>
        <w:jc w:val="left"/>
        <w:rPr>
          <w:rFonts w:ascii="宋体" w:hAnsi="宋体" w:cs="宋体"/>
          <w:sz w:val="24"/>
        </w:rPr>
      </w:pPr>
      <w:r>
        <w:rPr>
          <w:rFonts w:hint="eastAsia" w:ascii="宋体" w:hAnsi="宋体" w:cs="宋体"/>
          <w:sz w:val="24"/>
        </w:rPr>
        <w:t>……</w:t>
      </w:r>
    </w:p>
    <w:p w14:paraId="6D615595">
      <w:pPr>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E525E65">
      <w:pPr>
        <w:ind w:firstLine="480" w:firstLineChars="200"/>
        <w:jc w:val="left"/>
        <w:rPr>
          <w:rFonts w:ascii="宋体" w:hAnsi="宋体" w:cs="宋体"/>
          <w:sz w:val="24"/>
        </w:rPr>
      </w:pPr>
      <w:r>
        <w:rPr>
          <w:rFonts w:hint="eastAsia" w:ascii="宋体" w:hAnsi="宋体" w:cs="宋体"/>
          <w:sz w:val="24"/>
        </w:rPr>
        <w:t>本企业对上述声明内容的真实性负责。</w:t>
      </w:r>
      <w:r>
        <w:rPr>
          <w:rFonts w:hint="eastAsia" w:ascii="宋体" w:hAnsi="宋体" w:cs="宋体"/>
          <w:b/>
          <w:bCs/>
          <w:sz w:val="24"/>
        </w:rPr>
        <w:t>如有虚假，将依法承担相应责任</w:t>
      </w:r>
      <w:r>
        <w:rPr>
          <w:rFonts w:hint="eastAsia" w:ascii="宋体" w:hAnsi="宋体" w:cs="宋体"/>
          <w:sz w:val="24"/>
        </w:rPr>
        <w:t>。</w:t>
      </w:r>
    </w:p>
    <w:p w14:paraId="77FAAD18">
      <w:pPr>
        <w:pStyle w:val="98"/>
        <w:spacing w:line="520" w:lineRule="exact"/>
        <w:ind w:left="3860" w:firstLine="0"/>
        <w:jc w:val="both"/>
        <w:rPr>
          <w:b/>
          <w:sz w:val="24"/>
        </w:rPr>
      </w:pPr>
    </w:p>
    <w:p w14:paraId="751738CD">
      <w:pPr>
        <w:pStyle w:val="98"/>
        <w:spacing w:line="520" w:lineRule="exact"/>
        <w:ind w:left="3860" w:firstLine="0"/>
        <w:jc w:val="both"/>
        <w:rPr>
          <w:b/>
          <w:sz w:val="24"/>
        </w:rPr>
      </w:pPr>
    </w:p>
    <w:p w14:paraId="2A665AB1">
      <w:pPr>
        <w:pStyle w:val="98"/>
        <w:spacing w:line="520" w:lineRule="exact"/>
        <w:ind w:left="3860" w:firstLine="0"/>
        <w:jc w:val="both"/>
        <w:rPr>
          <w:b/>
          <w:sz w:val="24"/>
        </w:rPr>
      </w:pPr>
      <w:r>
        <w:rPr>
          <w:rFonts w:hint="eastAsia"/>
          <w:b/>
          <w:sz w:val="24"/>
        </w:rPr>
        <w:t xml:space="preserve">           </w:t>
      </w:r>
      <w:r>
        <w:rPr>
          <w:b/>
          <w:sz w:val="24"/>
        </w:rPr>
        <w:t>企业名称（盖章）：</w:t>
      </w:r>
    </w:p>
    <w:p w14:paraId="761C974B">
      <w:pPr>
        <w:pStyle w:val="98"/>
        <w:spacing w:after="700" w:line="520" w:lineRule="exact"/>
        <w:ind w:firstLine="0"/>
        <w:jc w:val="center"/>
        <w:rPr>
          <w:b/>
          <w:sz w:val="24"/>
        </w:rPr>
      </w:pPr>
      <w:r>
        <w:rPr>
          <w:rFonts w:hint="eastAsia"/>
          <w:b/>
          <w:sz w:val="24"/>
        </w:rPr>
        <w:t xml:space="preserve">                      </w:t>
      </w:r>
      <w:r>
        <w:rPr>
          <w:b/>
          <w:sz w:val="24"/>
        </w:rPr>
        <w:t>日期：</w:t>
      </w:r>
    </w:p>
    <w:p w14:paraId="3B0CCE6F">
      <w:pPr>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4FB7239">
      <w:pPr>
        <w:ind w:right="420"/>
        <w:rPr>
          <w:rFonts w:ascii="宋体" w:hAnsi="宋体" w:cs="宋体"/>
          <w:sz w:val="24"/>
        </w:rPr>
      </w:pPr>
      <w:r>
        <w:rPr>
          <w:rFonts w:hint="eastAsia" w:ascii="宋体" w:hAnsi="宋体" w:cs="宋体"/>
          <w:b/>
          <w:bCs/>
          <w:sz w:val="24"/>
        </w:rPr>
        <w:t>备注</w:t>
      </w:r>
      <w:r>
        <w:rPr>
          <w:rFonts w:hint="eastAsia" w:ascii="宋体" w:hAnsi="宋体" w:cs="宋体"/>
          <w:sz w:val="24"/>
        </w:rPr>
        <w:t>：</w:t>
      </w:r>
    </w:p>
    <w:p w14:paraId="16C7553A">
      <w:pPr>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章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5BD1A32">
      <w:pPr>
        <w:ind w:right="420" w:firstLine="720" w:firstLineChars="300"/>
        <w:rPr>
          <w:rFonts w:hAnsi="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40"/>
      <w:pgMar w:top="1440" w:right="1128" w:bottom="1701" w:left="1276" w:header="851" w:footer="992"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76D8">
    <w:pPr>
      <w:pStyle w:val="35"/>
      <w:jc w:val="both"/>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9E57C">
    <w:pPr>
      <w:pStyle w:val="35"/>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B2795">
    <w:pPr>
      <w:pStyle w:val="35"/>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1913">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6F74844">
                          <w:pPr>
                            <w:pStyle w:val="35"/>
                          </w:pPr>
                          <w:r>
                            <w:t xml:space="preserve">— </w:t>
                          </w:r>
                          <w:r>
                            <w:fldChar w:fldCharType="begin"/>
                          </w:r>
                          <w:r>
                            <w:instrText xml:space="preserve"> PAGE  \* MERGEFORMAT </w:instrText>
                          </w:r>
                          <w:r>
                            <w:fldChar w:fldCharType="separate"/>
                          </w:r>
                          <w:r>
                            <w:t>47</w:t>
                          </w:r>
                          <w:r>
                            <w:fldChar w:fldCharType="end"/>
                          </w:r>
                          <w: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aYJL0wAAAAUBAAAPAAAAAAAAAAEA&#10;IAAAACIAAABkcnMvZG93bnJldi54bWxQSwECFAAUAAAACACHTuJAZ9VYf9sBAAC0AwAADgAAAAAA&#10;AAABACAAAAAiAQAAZHJzL2Uyb0RvYy54bWxQSwUGAAAAAAYABgBZAQAAbwUAAAAA&#10;">
              <v:fill on="f" focussize="0,0"/>
              <v:stroke on="f" weight="1.25pt"/>
              <v:imagedata o:title=""/>
              <o:lock v:ext="edit" aspectratio="f"/>
              <v:textbox inset="0mm,0mm,0mm,0mm" style="mso-fit-shape-to-text:t;">
                <w:txbxContent>
                  <w:p w14:paraId="36F74844">
                    <w:pPr>
                      <w:pStyle w:val="35"/>
                    </w:pPr>
                    <w:r>
                      <w:t xml:space="preserve">— </w:t>
                    </w:r>
                    <w:r>
                      <w:fldChar w:fldCharType="begin"/>
                    </w:r>
                    <w:r>
                      <w:instrText xml:space="preserve"> PAGE  \* MERGEFORMAT </w:instrText>
                    </w:r>
                    <w:r>
                      <w:fldChar w:fldCharType="separate"/>
                    </w:r>
                    <w:r>
                      <w:t>47</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B68C1">
    <w:pPr>
      <w:pStyle w:val="36"/>
      <w:pBdr>
        <w:top w:val="none" w:color="auto" w:sz="0" w:space="1"/>
        <w:left w:val="none" w:color="auto" w:sz="0" w:space="4"/>
        <w:bottom w:val="none" w:color="auto" w:sz="0" w:space="1"/>
        <w:right w:val="none" w:color="auto" w:sz="0" w:space="4"/>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3475">
    <w:pPr>
      <w:pStyle w:val="36"/>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01540">
    <w:pPr>
      <w:pStyle w:val="36"/>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7E7C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C0A4"/>
    <w:multiLevelType w:val="singleLevel"/>
    <w:tmpl w:val="9F76C0A4"/>
    <w:lvl w:ilvl="0" w:tentative="0">
      <w:start w:val="1"/>
      <w:numFmt w:val="decimal"/>
      <w:lvlText w:val="%1."/>
      <w:lvlJc w:val="left"/>
      <w:pPr>
        <w:tabs>
          <w:tab w:val="left" w:pos="312"/>
        </w:tabs>
      </w:pPr>
    </w:lvl>
  </w:abstractNum>
  <w:abstractNum w:abstractNumId="1">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7"/>
  <w:drawingGridVerticalSpacing w:val="159"/>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ODc2YTMzY2RkOGRiZTVhZTIyZDUxNTJiYmI4YmIifQ=="/>
  </w:docVars>
  <w:rsids>
    <w:rsidRoot w:val="00172A27"/>
    <w:rsid w:val="00000C43"/>
    <w:rsid w:val="000013CB"/>
    <w:rsid w:val="000019AE"/>
    <w:rsid w:val="000028D2"/>
    <w:rsid w:val="000028DE"/>
    <w:rsid w:val="00002DC9"/>
    <w:rsid w:val="000031A5"/>
    <w:rsid w:val="000034B9"/>
    <w:rsid w:val="00003E6F"/>
    <w:rsid w:val="00004101"/>
    <w:rsid w:val="000044D8"/>
    <w:rsid w:val="000069B8"/>
    <w:rsid w:val="00007A21"/>
    <w:rsid w:val="00010043"/>
    <w:rsid w:val="000108FE"/>
    <w:rsid w:val="000114E7"/>
    <w:rsid w:val="00011F97"/>
    <w:rsid w:val="00011F9F"/>
    <w:rsid w:val="00012004"/>
    <w:rsid w:val="0001294D"/>
    <w:rsid w:val="00012D20"/>
    <w:rsid w:val="00012E24"/>
    <w:rsid w:val="000135B7"/>
    <w:rsid w:val="000135CA"/>
    <w:rsid w:val="0001375F"/>
    <w:rsid w:val="00013C9B"/>
    <w:rsid w:val="00013D01"/>
    <w:rsid w:val="00013DF4"/>
    <w:rsid w:val="0001419F"/>
    <w:rsid w:val="00015959"/>
    <w:rsid w:val="00016C38"/>
    <w:rsid w:val="000172DC"/>
    <w:rsid w:val="000173F1"/>
    <w:rsid w:val="000207BA"/>
    <w:rsid w:val="000210C6"/>
    <w:rsid w:val="00021160"/>
    <w:rsid w:val="00021632"/>
    <w:rsid w:val="00021D6E"/>
    <w:rsid w:val="00021FBD"/>
    <w:rsid w:val="00022390"/>
    <w:rsid w:val="000225D8"/>
    <w:rsid w:val="00022F49"/>
    <w:rsid w:val="00023AA3"/>
    <w:rsid w:val="000245DA"/>
    <w:rsid w:val="000252A1"/>
    <w:rsid w:val="000252FF"/>
    <w:rsid w:val="0002568C"/>
    <w:rsid w:val="00026396"/>
    <w:rsid w:val="0002711B"/>
    <w:rsid w:val="0002761D"/>
    <w:rsid w:val="000276A1"/>
    <w:rsid w:val="00027ACE"/>
    <w:rsid w:val="000304B6"/>
    <w:rsid w:val="000313F3"/>
    <w:rsid w:val="000318B7"/>
    <w:rsid w:val="000321FF"/>
    <w:rsid w:val="00032E9E"/>
    <w:rsid w:val="00033993"/>
    <w:rsid w:val="00034487"/>
    <w:rsid w:val="000345AD"/>
    <w:rsid w:val="00034941"/>
    <w:rsid w:val="00034C74"/>
    <w:rsid w:val="000354AC"/>
    <w:rsid w:val="00035DDC"/>
    <w:rsid w:val="00037409"/>
    <w:rsid w:val="00040923"/>
    <w:rsid w:val="00041124"/>
    <w:rsid w:val="0004144A"/>
    <w:rsid w:val="0004226D"/>
    <w:rsid w:val="000423BB"/>
    <w:rsid w:val="000429A1"/>
    <w:rsid w:val="0004319F"/>
    <w:rsid w:val="000432AA"/>
    <w:rsid w:val="000441F3"/>
    <w:rsid w:val="0004487C"/>
    <w:rsid w:val="00044BA1"/>
    <w:rsid w:val="00044E0C"/>
    <w:rsid w:val="0004528B"/>
    <w:rsid w:val="00045908"/>
    <w:rsid w:val="00045B94"/>
    <w:rsid w:val="000464A2"/>
    <w:rsid w:val="0004670B"/>
    <w:rsid w:val="00046F23"/>
    <w:rsid w:val="00047BBC"/>
    <w:rsid w:val="00050161"/>
    <w:rsid w:val="00050615"/>
    <w:rsid w:val="0005080E"/>
    <w:rsid w:val="000520CC"/>
    <w:rsid w:val="000524D2"/>
    <w:rsid w:val="00052A06"/>
    <w:rsid w:val="00052C9B"/>
    <w:rsid w:val="00053CD4"/>
    <w:rsid w:val="00053F6E"/>
    <w:rsid w:val="00054127"/>
    <w:rsid w:val="00054864"/>
    <w:rsid w:val="00054E2E"/>
    <w:rsid w:val="00055AE0"/>
    <w:rsid w:val="00055BF4"/>
    <w:rsid w:val="00056915"/>
    <w:rsid w:val="00056B5B"/>
    <w:rsid w:val="00056BCD"/>
    <w:rsid w:val="000577CC"/>
    <w:rsid w:val="0005783E"/>
    <w:rsid w:val="00057CBF"/>
    <w:rsid w:val="0006003C"/>
    <w:rsid w:val="000600E2"/>
    <w:rsid w:val="00060703"/>
    <w:rsid w:val="000612AC"/>
    <w:rsid w:val="00062ADF"/>
    <w:rsid w:val="00063CD4"/>
    <w:rsid w:val="000642B8"/>
    <w:rsid w:val="000642C9"/>
    <w:rsid w:val="0006454D"/>
    <w:rsid w:val="00066183"/>
    <w:rsid w:val="00070CF8"/>
    <w:rsid w:val="00072099"/>
    <w:rsid w:val="000734DD"/>
    <w:rsid w:val="00074300"/>
    <w:rsid w:val="0007432B"/>
    <w:rsid w:val="00074715"/>
    <w:rsid w:val="00074769"/>
    <w:rsid w:val="000747FE"/>
    <w:rsid w:val="00074816"/>
    <w:rsid w:val="00074E6B"/>
    <w:rsid w:val="00075A35"/>
    <w:rsid w:val="000760AA"/>
    <w:rsid w:val="000764F8"/>
    <w:rsid w:val="0007668F"/>
    <w:rsid w:val="000767EF"/>
    <w:rsid w:val="00076F1F"/>
    <w:rsid w:val="00077447"/>
    <w:rsid w:val="0007790E"/>
    <w:rsid w:val="00077D5F"/>
    <w:rsid w:val="0008158F"/>
    <w:rsid w:val="0008159D"/>
    <w:rsid w:val="00081B40"/>
    <w:rsid w:val="00081DBD"/>
    <w:rsid w:val="000820B8"/>
    <w:rsid w:val="00082458"/>
    <w:rsid w:val="00082786"/>
    <w:rsid w:val="00082DE9"/>
    <w:rsid w:val="0008319A"/>
    <w:rsid w:val="00084C0B"/>
    <w:rsid w:val="00085959"/>
    <w:rsid w:val="000901DA"/>
    <w:rsid w:val="00091D10"/>
    <w:rsid w:val="000921E9"/>
    <w:rsid w:val="00092BDD"/>
    <w:rsid w:val="00093525"/>
    <w:rsid w:val="00093B8C"/>
    <w:rsid w:val="00094AAD"/>
    <w:rsid w:val="00094B24"/>
    <w:rsid w:val="0009519D"/>
    <w:rsid w:val="00095834"/>
    <w:rsid w:val="000959DB"/>
    <w:rsid w:val="00095CD6"/>
    <w:rsid w:val="00096034"/>
    <w:rsid w:val="0009645C"/>
    <w:rsid w:val="00096515"/>
    <w:rsid w:val="00096EAD"/>
    <w:rsid w:val="00097A2F"/>
    <w:rsid w:val="00097E4D"/>
    <w:rsid w:val="00097EA4"/>
    <w:rsid w:val="00097F90"/>
    <w:rsid w:val="000A0011"/>
    <w:rsid w:val="000A005B"/>
    <w:rsid w:val="000A037D"/>
    <w:rsid w:val="000A157F"/>
    <w:rsid w:val="000A1952"/>
    <w:rsid w:val="000A2A82"/>
    <w:rsid w:val="000A3036"/>
    <w:rsid w:val="000A3062"/>
    <w:rsid w:val="000A3533"/>
    <w:rsid w:val="000A3646"/>
    <w:rsid w:val="000A3B39"/>
    <w:rsid w:val="000A4329"/>
    <w:rsid w:val="000A4661"/>
    <w:rsid w:val="000A4896"/>
    <w:rsid w:val="000A54FB"/>
    <w:rsid w:val="000A5577"/>
    <w:rsid w:val="000A591A"/>
    <w:rsid w:val="000A6537"/>
    <w:rsid w:val="000A732A"/>
    <w:rsid w:val="000B1021"/>
    <w:rsid w:val="000B1938"/>
    <w:rsid w:val="000B1A0B"/>
    <w:rsid w:val="000B1A48"/>
    <w:rsid w:val="000B1C64"/>
    <w:rsid w:val="000B1EAA"/>
    <w:rsid w:val="000B3AD9"/>
    <w:rsid w:val="000B3DE3"/>
    <w:rsid w:val="000B5079"/>
    <w:rsid w:val="000B58F7"/>
    <w:rsid w:val="000B59F9"/>
    <w:rsid w:val="000B5D49"/>
    <w:rsid w:val="000B7326"/>
    <w:rsid w:val="000B7457"/>
    <w:rsid w:val="000C0137"/>
    <w:rsid w:val="000C03C2"/>
    <w:rsid w:val="000C0616"/>
    <w:rsid w:val="000C0B4C"/>
    <w:rsid w:val="000C0FD7"/>
    <w:rsid w:val="000C1440"/>
    <w:rsid w:val="000C177C"/>
    <w:rsid w:val="000C1A4C"/>
    <w:rsid w:val="000C2762"/>
    <w:rsid w:val="000C2A66"/>
    <w:rsid w:val="000C2CBF"/>
    <w:rsid w:val="000C2DA5"/>
    <w:rsid w:val="000C3567"/>
    <w:rsid w:val="000C3A9E"/>
    <w:rsid w:val="000C3F04"/>
    <w:rsid w:val="000C407F"/>
    <w:rsid w:val="000C4095"/>
    <w:rsid w:val="000C4271"/>
    <w:rsid w:val="000C4403"/>
    <w:rsid w:val="000C5245"/>
    <w:rsid w:val="000C5466"/>
    <w:rsid w:val="000C62FA"/>
    <w:rsid w:val="000C6FDE"/>
    <w:rsid w:val="000C71D1"/>
    <w:rsid w:val="000D033B"/>
    <w:rsid w:val="000D0BE4"/>
    <w:rsid w:val="000D433B"/>
    <w:rsid w:val="000D4BED"/>
    <w:rsid w:val="000D59EE"/>
    <w:rsid w:val="000D70A4"/>
    <w:rsid w:val="000D71EB"/>
    <w:rsid w:val="000E01D7"/>
    <w:rsid w:val="000E089D"/>
    <w:rsid w:val="000E0B2D"/>
    <w:rsid w:val="000E0B67"/>
    <w:rsid w:val="000E0F83"/>
    <w:rsid w:val="000E119A"/>
    <w:rsid w:val="000E120B"/>
    <w:rsid w:val="000E1CB0"/>
    <w:rsid w:val="000E25D7"/>
    <w:rsid w:val="000E3BFB"/>
    <w:rsid w:val="000E42E7"/>
    <w:rsid w:val="000E46A6"/>
    <w:rsid w:val="000E6245"/>
    <w:rsid w:val="000E6350"/>
    <w:rsid w:val="000E787C"/>
    <w:rsid w:val="000E78F5"/>
    <w:rsid w:val="000E7C05"/>
    <w:rsid w:val="000E7CAE"/>
    <w:rsid w:val="000F0D2B"/>
    <w:rsid w:val="000F0F66"/>
    <w:rsid w:val="000F1BA1"/>
    <w:rsid w:val="000F20F8"/>
    <w:rsid w:val="000F2815"/>
    <w:rsid w:val="000F2D69"/>
    <w:rsid w:val="000F3271"/>
    <w:rsid w:val="000F3C60"/>
    <w:rsid w:val="000F4642"/>
    <w:rsid w:val="000F4A68"/>
    <w:rsid w:val="000F4DCB"/>
    <w:rsid w:val="000F512D"/>
    <w:rsid w:val="000F633F"/>
    <w:rsid w:val="000F7300"/>
    <w:rsid w:val="000F7B54"/>
    <w:rsid w:val="000F7E5B"/>
    <w:rsid w:val="001001C0"/>
    <w:rsid w:val="001002CB"/>
    <w:rsid w:val="00100873"/>
    <w:rsid w:val="00101B57"/>
    <w:rsid w:val="00101CC2"/>
    <w:rsid w:val="00101CF1"/>
    <w:rsid w:val="00102148"/>
    <w:rsid w:val="00102F27"/>
    <w:rsid w:val="00104B4F"/>
    <w:rsid w:val="00104BA3"/>
    <w:rsid w:val="001055C2"/>
    <w:rsid w:val="00105CC4"/>
    <w:rsid w:val="00105E4E"/>
    <w:rsid w:val="00106A57"/>
    <w:rsid w:val="00107B73"/>
    <w:rsid w:val="00110B3D"/>
    <w:rsid w:val="00111A5A"/>
    <w:rsid w:val="00112405"/>
    <w:rsid w:val="00112A77"/>
    <w:rsid w:val="00113D94"/>
    <w:rsid w:val="001140EA"/>
    <w:rsid w:val="001152A7"/>
    <w:rsid w:val="00115C41"/>
    <w:rsid w:val="00115D0E"/>
    <w:rsid w:val="00116709"/>
    <w:rsid w:val="001168B2"/>
    <w:rsid w:val="0011765D"/>
    <w:rsid w:val="001176DF"/>
    <w:rsid w:val="00117CFE"/>
    <w:rsid w:val="00117EB8"/>
    <w:rsid w:val="00120167"/>
    <w:rsid w:val="00120239"/>
    <w:rsid w:val="0012093A"/>
    <w:rsid w:val="00121997"/>
    <w:rsid w:val="00121CE6"/>
    <w:rsid w:val="00121F7B"/>
    <w:rsid w:val="00123291"/>
    <w:rsid w:val="00123A40"/>
    <w:rsid w:val="00123A9F"/>
    <w:rsid w:val="00123DB2"/>
    <w:rsid w:val="00123DE2"/>
    <w:rsid w:val="0012434B"/>
    <w:rsid w:val="00124622"/>
    <w:rsid w:val="001248AD"/>
    <w:rsid w:val="00124E8F"/>
    <w:rsid w:val="00125036"/>
    <w:rsid w:val="00125115"/>
    <w:rsid w:val="00125CC5"/>
    <w:rsid w:val="00125D1E"/>
    <w:rsid w:val="00126436"/>
    <w:rsid w:val="001279C8"/>
    <w:rsid w:val="00127E92"/>
    <w:rsid w:val="00127F87"/>
    <w:rsid w:val="001301F5"/>
    <w:rsid w:val="001308ED"/>
    <w:rsid w:val="00131610"/>
    <w:rsid w:val="00131FBC"/>
    <w:rsid w:val="00133350"/>
    <w:rsid w:val="00133872"/>
    <w:rsid w:val="00133B6E"/>
    <w:rsid w:val="00134D4E"/>
    <w:rsid w:val="001352FD"/>
    <w:rsid w:val="00135E08"/>
    <w:rsid w:val="0013603F"/>
    <w:rsid w:val="001369C0"/>
    <w:rsid w:val="001376DB"/>
    <w:rsid w:val="00137D70"/>
    <w:rsid w:val="00140A52"/>
    <w:rsid w:val="00140BF1"/>
    <w:rsid w:val="0014111E"/>
    <w:rsid w:val="00141352"/>
    <w:rsid w:val="00142475"/>
    <w:rsid w:val="0014292E"/>
    <w:rsid w:val="00143C30"/>
    <w:rsid w:val="00143EF0"/>
    <w:rsid w:val="00143FBA"/>
    <w:rsid w:val="001456EE"/>
    <w:rsid w:val="00145A14"/>
    <w:rsid w:val="00145B15"/>
    <w:rsid w:val="001467FF"/>
    <w:rsid w:val="00146FE8"/>
    <w:rsid w:val="00147146"/>
    <w:rsid w:val="001474BA"/>
    <w:rsid w:val="001474C3"/>
    <w:rsid w:val="00147FAC"/>
    <w:rsid w:val="00150355"/>
    <w:rsid w:val="0015047A"/>
    <w:rsid w:val="001505EB"/>
    <w:rsid w:val="00150BBB"/>
    <w:rsid w:val="00151A2B"/>
    <w:rsid w:val="00151F6E"/>
    <w:rsid w:val="00151FEB"/>
    <w:rsid w:val="00152000"/>
    <w:rsid w:val="0015233F"/>
    <w:rsid w:val="00152368"/>
    <w:rsid w:val="00153BB4"/>
    <w:rsid w:val="00154E81"/>
    <w:rsid w:val="00154E8E"/>
    <w:rsid w:val="0015539D"/>
    <w:rsid w:val="00157C87"/>
    <w:rsid w:val="001619F2"/>
    <w:rsid w:val="00162284"/>
    <w:rsid w:val="00162545"/>
    <w:rsid w:val="001633A3"/>
    <w:rsid w:val="0016395F"/>
    <w:rsid w:val="00163A06"/>
    <w:rsid w:val="00163B8A"/>
    <w:rsid w:val="001645C2"/>
    <w:rsid w:val="00164998"/>
    <w:rsid w:val="00164AFB"/>
    <w:rsid w:val="00165108"/>
    <w:rsid w:val="0016574B"/>
    <w:rsid w:val="00166B51"/>
    <w:rsid w:val="00166C9B"/>
    <w:rsid w:val="00166DC1"/>
    <w:rsid w:val="00166DFE"/>
    <w:rsid w:val="00167B31"/>
    <w:rsid w:val="00170470"/>
    <w:rsid w:val="00170954"/>
    <w:rsid w:val="00170E5F"/>
    <w:rsid w:val="00170F0D"/>
    <w:rsid w:val="00171715"/>
    <w:rsid w:val="0017202F"/>
    <w:rsid w:val="0017233E"/>
    <w:rsid w:val="00172362"/>
    <w:rsid w:val="001726E5"/>
    <w:rsid w:val="00172A27"/>
    <w:rsid w:val="00172FB1"/>
    <w:rsid w:val="0017381A"/>
    <w:rsid w:val="00174033"/>
    <w:rsid w:val="0017408D"/>
    <w:rsid w:val="0018080B"/>
    <w:rsid w:val="001808DB"/>
    <w:rsid w:val="001809AF"/>
    <w:rsid w:val="001828DD"/>
    <w:rsid w:val="001832F2"/>
    <w:rsid w:val="00183B9E"/>
    <w:rsid w:val="00184085"/>
    <w:rsid w:val="001842C0"/>
    <w:rsid w:val="001842E6"/>
    <w:rsid w:val="00184622"/>
    <w:rsid w:val="001849A0"/>
    <w:rsid w:val="001851DB"/>
    <w:rsid w:val="00185B4A"/>
    <w:rsid w:val="0018702D"/>
    <w:rsid w:val="001870D7"/>
    <w:rsid w:val="001870FB"/>
    <w:rsid w:val="001876C3"/>
    <w:rsid w:val="001925AB"/>
    <w:rsid w:val="00192735"/>
    <w:rsid w:val="00192B2B"/>
    <w:rsid w:val="00192B93"/>
    <w:rsid w:val="00193072"/>
    <w:rsid w:val="00193183"/>
    <w:rsid w:val="001931F4"/>
    <w:rsid w:val="0019321C"/>
    <w:rsid w:val="00193245"/>
    <w:rsid w:val="0019489A"/>
    <w:rsid w:val="001958F1"/>
    <w:rsid w:val="001959B0"/>
    <w:rsid w:val="00196A6A"/>
    <w:rsid w:val="0019700F"/>
    <w:rsid w:val="001A11D4"/>
    <w:rsid w:val="001A124D"/>
    <w:rsid w:val="001A18CE"/>
    <w:rsid w:val="001A21D4"/>
    <w:rsid w:val="001A2617"/>
    <w:rsid w:val="001A2664"/>
    <w:rsid w:val="001A3490"/>
    <w:rsid w:val="001A3CA4"/>
    <w:rsid w:val="001A424D"/>
    <w:rsid w:val="001A426D"/>
    <w:rsid w:val="001A5783"/>
    <w:rsid w:val="001A58CD"/>
    <w:rsid w:val="001A6415"/>
    <w:rsid w:val="001A66B8"/>
    <w:rsid w:val="001A6B31"/>
    <w:rsid w:val="001A7382"/>
    <w:rsid w:val="001A7616"/>
    <w:rsid w:val="001A76F9"/>
    <w:rsid w:val="001B028C"/>
    <w:rsid w:val="001B084D"/>
    <w:rsid w:val="001B1868"/>
    <w:rsid w:val="001B1A84"/>
    <w:rsid w:val="001B35CB"/>
    <w:rsid w:val="001B36CD"/>
    <w:rsid w:val="001B37F1"/>
    <w:rsid w:val="001B4100"/>
    <w:rsid w:val="001B4BFA"/>
    <w:rsid w:val="001B5A8A"/>
    <w:rsid w:val="001B5C99"/>
    <w:rsid w:val="001B610E"/>
    <w:rsid w:val="001B64D3"/>
    <w:rsid w:val="001B6DB4"/>
    <w:rsid w:val="001B6F2E"/>
    <w:rsid w:val="001B6FFA"/>
    <w:rsid w:val="001B711A"/>
    <w:rsid w:val="001B7200"/>
    <w:rsid w:val="001B7589"/>
    <w:rsid w:val="001B779D"/>
    <w:rsid w:val="001B7CB1"/>
    <w:rsid w:val="001B7FD6"/>
    <w:rsid w:val="001C0183"/>
    <w:rsid w:val="001C0188"/>
    <w:rsid w:val="001C09FC"/>
    <w:rsid w:val="001C1614"/>
    <w:rsid w:val="001C1C35"/>
    <w:rsid w:val="001C282E"/>
    <w:rsid w:val="001C4204"/>
    <w:rsid w:val="001C5F71"/>
    <w:rsid w:val="001C646F"/>
    <w:rsid w:val="001C64CF"/>
    <w:rsid w:val="001C7DC7"/>
    <w:rsid w:val="001D01A9"/>
    <w:rsid w:val="001D025E"/>
    <w:rsid w:val="001D0717"/>
    <w:rsid w:val="001D0C71"/>
    <w:rsid w:val="001D0E67"/>
    <w:rsid w:val="001D0F6B"/>
    <w:rsid w:val="001D21E3"/>
    <w:rsid w:val="001D26DC"/>
    <w:rsid w:val="001D27B0"/>
    <w:rsid w:val="001D2A9C"/>
    <w:rsid w:val="001D2AA1"/>
    <w:rsid w:val="001D2D51"/>
    <w:rsid w:val="001D337A"/>
    <w:rsid w:val="001D3BC4"/>
    <w:rsid w:val="001D3C71"/>
    <w:rsid w:val="001D3CB9"/>
    <w:rsid w:val="001D3DBF"/>
    <w:rsid w:val="001D416E"/>
    <w:rsid w:val="001D4536"/>
    <w:rsid w:val="001D635B"/>
    <w:rsid w:val="001D63B5"/>
    <w:rsid w:val="001D666C"/>
    <w:rsid w:val="001E00E6"/>
    <w:rsid w:val="001E02F3"/>
    <w:rsid w:val="001E0D3F"/>
    <w:rsid w:val="001E117D"/>
    <w:rsid w:val="001E1E2E"/>
    <w:rsid w:val="001E2595"/>
    <w:rsid w:val="001E2D13"/>
    <w:rsid w:val="001E4061"/>
    <w:rsid w:val="001E45F4"/>
    <w:rsid w:val="001E479A"/>
    <w:rsid w:val="001E4BD1"/>
    <w:rsid w:val="001E4FBB"/>
    <w:rsid w:val="001E6058"/>
    <w:rsid w:val="001E661A"/>
    <w:rsid w:val="001E666B"/>
    <w:rsid w:val="001E6B29"/>
    <w:rsid w:val="001E7408"/>
    <w:rsid w:val="001E742D"/>
    <w:rsid w:val="001E7800"/>
    <w:rsid w:val="001F1895"/>
    <w:rsid w:val="001F1D9A"/>
    <w:rsid w:val="001F2E36"/>
    <w:rsid w:val="001F30FB"/>
    <w:rsid w:val="001F3185"/>
    <w:rsid w:val="001F321C"/>
    <w:rsid w:val="001F45E7"/>
    <w:rsid w:val="001F4954"/>
    <w:rsid w:val="001F4BF6"/>
    <w:rsid w:val="001F4C25"/>
    <w:rsid w:val="001F56A6"/>
    <w:rsid w:val="001F62E9"/>
    <w:rsid w:val="001F66B8"/>
    <w:rsid w:val="001F679D"/>
    <w:rsid w:val="001F67C2"/>
    <w:rsid w:val="001F6E92"/>
    <w:rsid w:val="001F707C"/>
    <w:rsid w:val="001F7F04"/>
    <w:rsid w:val="002007DD"/>
    <w:rsid w:val="00200CFF"/>
    <w:rsid w:val="00202078"/>
    <w:rsid w:val="0020211D"/>
    <w:rsid w:val="00202A0F"/>
    <w:rsid w:val="00203D73"/>
    <w:rsid w:val="00204226"/>
    <w:rsid w:val="0020471D"/>
    <w:rsid w:val="00206192"/>
    <w:rsid w:val="0020671E"/>
    <w:rsid w:val="00206F81"/>
    <w:rsid w:val="00207025"/>
    <w:rsid w:val="00207F84"/>
    <w:rsid w:val="0021046F"/>
    <w:rsid w:val="002104A5"/>
    <w:rsid w:val="00210592"/>
    <w:rsid w:val="00211015"/>
    <w:rsid w:val="00211316"/>
    <w:rsid w:val="00211715"/>
    <w:rsid w:val="00213F64"/>
    <w:rsid w:val="002140B4"/>
    <w:rsid w:val="002146C9"/>
    <w:rsid w:val="00214A0A"/>
    <w:rsid w:val="00214D1A"/>
    <w:rsid w:val="0021535D"/>
    <w:rsid w:val="002158E5"/>
    <w:rsid w:val="00215BBB"/>
    <w:rsid w:val="00216386"/>
    <w:rsid w:val="002200C3"/>
    <w:rsid w:val="002201FC"/>
    <w:rsid w:val="002207C6"/>
    <w:rsid w:val="00221284"/>
    <w:rsid w:val="00221750"/>
    <w:rsid w:val="002231C1"/>
    <w:rsid w:val="002238C9"/>
    <w:rsid w:val="00223CA0"/>
    <w:rsid w:val="0022464D"/>
    <w:rsid w:val="002247B7"/>
    <w:rsid w:val="0022493E"/>
    <w:rsid w:val="00224B44"/>
    <w:rsid w:val="00224BD4"/>
    <w:rsid w:val="00225252"/>
    <w:rsid w:val="00225E58"/>
    <w:rsid w:val="0022639E"/>
    <w:rsid w:val="002265A1"/>
    <w:rsid w:val="00226D8B"/>
    <w:rsid w:val="00227149"/>
    <w:rsid w:val="00227AB8"/>
    <w:rsid w:val="00227F47"/>
    <w:rsid w:val="00230518"/>
    <w:rsid w:val="0023054D"/>
    <w:rsid w:val="00230590"/>
    <w:rsid w:val="002310ED"/>
    <w:rsid w:val="00231FDC"/>
    <w:rsid w:val="0023269C"/>
    <w:rsid w:val="00232D47"/>
    <w:rsid w:val="00232DF4"/>
    <w:rsid w:val="00233188"/>
    <w:rsid w:val="00233868"/>
    <w:rsid w:val="0023394D"/>
    <w:rsid w:val="00234567"/>
    <w:rsid w:val="00234E5C"/>
    <w:rsid w:val="00236B17"/>
    <w:rsid w:val="00237708"/>
    <w:rsid w:val="00237B21"/>
    <w:rsid w:val="0024060B"/>
    <w:rsid w:val="002408C9"/>
    <w:rsid w:val="00240A1F"/>
    <w:rsid w:val="00240A95"/>
    <w:rsid w:val="00240BB9"/>
    <w:rsid w:val="00241296"/>
    <w:rsid w:val="00241835"/>
    <w:rsid w:val="002424B7"/>
    <w:rsid w:val="002428B6"/>
    <w:rsid w:val="00242986"/>
    <w:rsid w:val="00242A5C"/>
    <w:rsid w:val="00242AB7"/>
    <w:rsid w:val="00242D9A"/>
    <w:rsid w:val="0024463B"/>
    <w:rsid w:val="00244A53"/>
    <w:rsid w:val="00244FA7"/>
    <w:rsid w:val="00245371"/>
    <w:rsid w:val="00245F70"/>
    <w:rsid w:val="00246B2F"/>
    <w:rsid w:val="00246E20"/>
    <w:rsid w:val="00247E9A"/>
    <w:rsid w:val="0025029E"/>
    <w:rsid w:val="002502E2"/>
    <w:rsid w:val="00250B6F"/>
    <w:rsid w:val="00250D3F"/>
    <w:rsid w:val="00252958"/>
    <w:rsid w:val="00253095"/>
    <w:rsid w:val="0025361A"/>
    <w:rsid w:val="002538BD"/>
    <w:rsid w:val="00253DF0"/>
    <w:rsid w:val="00255DB4"/>
    <w:rsid w:val="00256025"/>
    <w:rsid w:val="00256C56"/>
    <w:rsid w:val="00256F8B"/>
    <w:rsid w:val="002571F2"/>
    <w:rsid w:val="0025721E"/>
    <w:rsid w:val="002574CA"/>
    <w:rsid w:val="002605FE"/>
    <w:rsid w:val="00260689"/>
    <w:rsid w:val="00261587"/>
    <w:rsid w:val="002617C9"/>
    <w:rsid w:val="00261F4F"/>
    <w:rsid w:val="00262CBA"/>
    <w:rsid w:val="00262E75"/>
    <w:rsid w:val="00264F67"/>
    <w:rsid w:val="0026550F"/>
    <w:rsid w:val="00265904"/>
    <w:rsid w:val="00265929"/>
    <w:rsid w:val="00266A69"/>
    <w:rsid w:val="00267FA7"/>
    <w:rsid w:val="00267FBB"/>
    <w:rsid w:val="002701AA"/>
    <w:rsid w:val="00270F5E"/>
    <w:rsid w:val="0027101C"/>
    <w:rsid w:val="0027153A"/>
    <w:rsid w:val="0027163C"/>
    <w:rsid w:val="00271990"/>
    <w:rsid w:val="00271B05"/>
    <w:rsid w:val="00271DDC"/>
    <w:rsid w:val="00272402"/>
    <w:rsid w:val="002730DB"/>
    <w:rsid w:val="002731A0"/>
    <w:rsid w:val="002731CE"/>
    <w:rsid w:val="00273FD3"/>
    <w:rsid w:val="00274A29"/>
    <w:rsid w:val="00274EC5"/>
    <w:rsid w:val="00275283"/>
    <w:rsid w:val="0027565B"/>
    <w:rsid w:val="00275B60"/>
    <w:rsid w:val="00275BF6"/>
    <w:rsid w:val="00276070"/>
    <w:rsid w:val="0027657F"/>
    <w:rsid w:val="002767D6"/>
    <w:rsid w:val="002769B0"/>
    <w:rsid w:val="00280320"/>
    <w:rsid w:val="002809BA"/>
    <w:rsid w:val="00280BBB"/>
    <w:rsid w:val="00280D65"/>
    <w:rsid w:val="00281FBB"/>
    <w:rsid w:val="002820D4"/>
    <w:rsid w:val="002820FF"/>
    <w:rsid w:val="00282573"/>
    <w:rsid w:val="002827DA"/>
    <w:rsid w:val="00282BCF"/>
    <w:rsid w:val="00283A0C"/>
    <w:rsid w:val="00284F7A"/>
    <w:rsid w:val="00285FC0"/>
    <w:rsid w:val="00286BBC"/>
    <w:rsid w:val="00286E9A"/>
    <w:rsid w:val="00287649"/>
    <w:rsid w:val="00287A4C"/>
    <w:rsid w:val="002909FD"/>
    <w:rsid w:val="00290A85"/>
    <w:rsid w:val="0029187D"/>
    <w:rsid w:val="002921F7"/>
    <w:rsid w:val="002931A7"/>
    <w:rsid w:val="0029372E"/>
    <w:rsid w:val="002937D1"/>
    <w:rsid w:val="002942BB"/>
    <w:rsid w:val="002958D2"/>
    <w:rsid w:val="00295E56"/>
    <w:rsid w:val="002967CD"/>
    <w:rsid w:val="00296B86"/>
    <w:rsid w:val="00296BD4"/>
    <w:rsid w:val="00297118"/>
    <w:rsid w:val="00297C8A"/>
    <w:rsid w:val="00297DC8"/>
    <w:rsid w:val="002A0A8F"/>
    <w:rsid w:val="002A1527"/>
    <w:rsid w:val="002A1CDB"/>
    <w:rsid w:val="002A361B"/>
    <w:rsid w:val="002A3FC4"/>
    <w:rsid w:val="002A42EE"/>
    <w:rsid w:val="002A549C"/>
    <w:rsid w:val="002A5EAC"/>
    <w:rsid w:val="002A673E"/>
    <w:rsid w:val="002A68EA"/>
    <w:rsid w:val="002A6D01"/>
    <w:rsid w:val="002A7084"/>
    <w:rsid w:val="002A7AF8"/>
    <w:rsid w:val="002B09F9"/>
    <w:rsid w:val="002B282A"/>
    <w:rsid w:val="002B2B5A"/>
    <w:rsid w:val="002B33FA"/>
    <w:rsid w:val="002B3870"/>
    <w:rsid w:val="002B3D0B"/>
    <w:rsid w:val="002B4218"/>
    <w:rsid w:val="002B4521"/>
    <w:rsid w:val="002B47A4"/>
    <w:rsid w:val="002B4BCA"/>
    <w:rsid w:val="002B69A3"/>
    <w:rsid w:val="002B6FCF"/>
    <w:rsid w:val="002B70D8"/>
    <w:rsid w:val="002B7586"/>
    <w:rsid w:val="002B76B5"/>
    <w:rsid w:val="002C0200"/>
    <w:rsid w:val="002C0501"/>
    <w:rsid w:val="002C1291"/>
    <w:rsid w:val="002C14FA"/>
    <w:rsid w:val="002C411A"/>
    <w:rsid w:val="002C4D2C"/>
    <w:rsid w:val="002C4FA0"/>
    <w:rsid w:val="002C5206"/>
    <w:rsid w:val="002C5249"/>
    <w:rsid w:val="002C5586"/>
    <w:rsid w:val="002C64F6"/>
    <w:rsid w:val="002C6501"/>
    <w:rsid w:val="002C67CC"/>
    <w:rsid w:val="002C72EF"/>
    <w:rsid w:val="002C748A"/>
    <w:rsid w:val="002C7D1A"/>
    <w:rsid w:val="002D02B7"/>
    <w:rsid w:val="002D0BA4"/>
    <w:rsid w:val="002D1349"/>
    <w:rsid w:val="002D2AF8"/>
    <w:rsid w:val="002D38C0"/>
    <w:rsid w:val="002D39F0"/>
    <w:rsid w:val="002D3CC7"/>
    <w:rsid w:val="002D4623"/>
    <w:rsid w:val="002D4722"/>
    <w:rsid w:val="002D4FED"/>
    <w:rsid w:val="002D5664"/>
    <w:rsid w:val="002D58AD"/>
    <w:rsid w:val="002D70B6"/>
    <w:rsid w:val="002E1DEC"/>
    <w:rsid w:val="002E24E5"/>
    <w:rsid w:val="002E2881"/>
    <w:rsid w:val="002E492D"/>
    <w:rsid w:val="002E587C"/>
    <w:rsid w:val="002E58F6"/>
    <w:rsid w:val="002E5C31"/>
    <w:rsid w:val="002E6661"/>
    <w:rsid w:val="002E68BC"/>
    <w:rsid w:val="002E6D9F"/>
    <w:rsid w:val="002E6DA8"/>
    <w:rsid w:val="002F020B"/>
    <w:rsid w:val="002F097A"/>
    <w:rsid w:val="002F16E2"/>
    <w:rsid w:val="002F23D1"/>
    <w:rsid w:val="002F2D8F"/>
    <w:rsid w:val="002F2DC7"/>
    <w:rsid w:val="002F30D1"/>
    <w:rsid w:val="002F3198"/>
    <w:rsid w:val="002F389F"/>
    <w:rsid w:val="002F3900"/>
    <w:rsid w:val="002F39B9"/>
    <w:rsid w:val="002F3B2B"/>
    <w:rsid w:val="002F4E65"/>
    <w:rsid w:val="002F5E04"/>
    <w:rsid w:val="002F648F"/>
    <w:rsid w:val="002F7740"/>
    <w:rsid w:val="002F7C47"/>
    <w:rsid w:val="003001CB"/>
    <w:rsid w:val="00300A7E"/>
    <w:rsid w:val="00300D18"/>
    <w:rsid w:val="003016A3"/>
    <w:rsid w:val="00301F52"/>
    <w:rsid w:val="0030313E"/>
    <w:rsid w:val="00304A7F"/>
    <w:rsid w:val="0030531C"/>
    <w:rsid w:val="003056C2"/>
    <w:rsid w:val="00306103"/>
    <w:rsid w:val="003069F9"/>
    <w:rsid w:val="0030761F"/>
    <w:rsid w:val="003103F7"/>
    <w:rsid w:val="00310438"/>
    <w:rsid w:val="00310572"/>
    <w:rsid w:val="003114AF"/>
    <w:rsid w:val="00311542"/>
    <w:rsid w:val="00311C2A"/>
    <w:rsid w:val="0031263C"/>
    <w:rsid w:val="00312FE2"/>
    <w:rsid w:val="00313318"/>
    <w:rsid w:val="00313480"/>
    <w:rsid w:val="00313AF3"/>
    <w:rsid w:val="003141C6"/>
    <w:rsid w:val="003144D8"/>
    <w:rsid w:val="00314EBB"/>
    <w:rsid w:val="00314ED9"/>
    <w:rsid w:val="003165A7"/>
    <w:rsid w:val="00317720"/>
    <w:rsid w:val="00317D04"/>
    <w:rsid w:val="00317F7A"/>
    <w:rsid w:val="00317FF6"/>
    <w:rsid w:val="00320EDB"/>
    <w:rsid w:val="00321801"/>
    <w:rsid w:val="0032396E"/>
    <w:rsid w:val="003239C7"/>
    <w:rsid w:val="00323C23"/>
    <w:rsid w:val="003241FA"/>
    <w:rsid w:val="0032488B"/>
    <w:rsid w:val="00325479"/>
    <w:rsid w:val="0032563E"/>
    <w:rsid w:val="00326C1B"/>
    <w:rsid w:val="003274CF"/>
    <w:rsid w:val="00327C45"/>
    <w:rsid w:val="00330720"/>
    <w:rsid w:val="00330AAD"/>
    <w:rsid w:val="00330E06"/>
    <w:rsid w:val="003316FF"/>
    <w:rsid w:val="00331D4C"/>
    <w:rsid w:val="00331FCE"/>
    <w:rsid w:val="003323F3"/>
    <w:rsid w:val="0033369F"/>
    <w:rsid w:val="003339A6"/>
    <w:rsid w:val="00334CD9"/>
    <w:rsid w:val="00334D25"/>
    <w:rsid w:val="003353E0"/>
    <w:rsid w:val="00336628"/>
    <w:rsid w:val="0033667A"/>
    <w:rsid w:val="00336BB1"/>
    <w:rsid w:val="00336E94"/>
    <w:rsid w:val="00336F39"/>
    <w:rsid w:val="00337547"/>
    <w:rsid w:val="00340833"/>
    <w:rsid w:val="00340CBC"/>
    <w:rsid w:val="00340EF2"/>
    <w:rsid w:val="0034107A"/>
    <w:rsid w:val="0034201A"/>
    <w:rsid w:val="003438ED"/>
    <w:rsid w:val="00343D71"/>
    <w:rsid w:val="00343E19"/>
    <w:rsid w:val="003449BA"/>
    <w:rsid w:val="00345039"/>
    <w:rsid w:val="00345295"/>
    <w:rsid w:val="003464FF"/>
    <w:rsid w:val="003470EB"/>
    <w:rsid w:val="00350881"/>
    <w:rsid w:val="003508AB"/>
    <w:rsid w:val="00350C52"/>
    <w:rsid w:val="00350E99"/>
    <w:rsid w:val="003510BD"/>
    <w:rsid w:val="00351397"/>
    <w:rsid w:val="0035246B"/>
    <w:rsid w:val="00352748"/>
    <w:rsid w:val="00353567"/>
    <w:rsid w:val="00353572"/>
    <w:rsid w:val="00353D05"/>
    <w:rsid w:val="003542C3"/>
    <w:rsid w:val="003546AF"/>
    <w:rsid w:val="00354864"/>
    <w:rsid w:val="003548EA"/>
    <w:rsid w:val="00355B2D"/>
    <w:rsid w:val="00355DC9"/>
    <w:rsid w:val="0035644D"/>
    <w:rsid w:val="00356AD4"/>
    <w:rsid w:val="00356E2C"/>
    <w:rsid w:val="00357741"/>
    <w:rsid w:val="00357E8B"/>
    <w:rsid w:val="003600FE"/>
    <w:rsid w:val="003601B9"/>
    <w:rsid w:val="003602B2"/>
    <w:rsid w:val="00361C90"/>
    <w:rsid w:val="00361D09"/>
    <w:rsid w:val="00361FC4"/>
    <w:rsid w:val="00362E48"/>
    <w:rsid w:val="003636B8"/>
    <w:rsid w:val="00364074"/>
    <w:rsid w:val="0036475A"/>
    <w:rsid w:val="00364ED4"/>
    <w:rsid w:val="00365E51"/>
    <w:rsid w:val="00366130"/>
    <w:rsid w:val="0036613A"/>
    <w:rsid w:val="00366D68"/>
    <w:rsid w:val="0036703F"/>
    <w:rsid w:val="00367B86"/>
    <w:rsid w:val="00367DEA"/>
    <w:rsid w:val="00370411"/>
    <w:rsid w:val="00370F70"/>
    <w:rsid w:val="00371366"/>
    <w:rsid w:val="00371D63"/>
    <w:rsid w:val="00372426"/>
    <w:rsid w:val="003726F8"/>
    <w:rsid w:val="0037289D"/>
    <w:rsid w:val="00372BA6"/>
    <w:rsid w:val="00374AC2"/>
    <w:rsid w:val="00374ACA"/>
    <w:rsid w:val="00374AEB"/>
    <w:rsid w:val="003753C2"/>
    <w:rsid w:val="003759DF"/>
    <w:rsid w:val="003762CC"/>
    <w:rsid w:val="00376599"/>
    <w:rsid w:val="00376627"/>
    <w:rsid w:val="00376710"/>
    <w:rsid w:val="0038022A"/>
    <w:rsid w:val="00380736"/>
    <w:rsid w:val="003811D1"/>
    <w:rsid w:val="003812D5"/>
    <w:rsid w:val="00381610"/>
    <w:rsid w:val="003830B8"/>
    <w:rsid w:val="00383441"/>
    <w:rsid w:val="0038363F"/>
    <w:rsid w:val="00383A2B"/>
    <w:rsid w:val="00383EC4"/>
    <w:rsid w:val="00384FDD"/>
    <w:rsid w:val="00385184"/>
    <w:rsid w:val="003854A5"/>
    <w:rsid w:val="00385634"/>
    <w:rsid w:val="00385F14"/>
    <w:rsid w:val="00386753"/>
    <w:rsid w:val="00386EE4"/>
    <w:rsid w:val="003875DE"/>
    <w:rsid w:val="00387E69"/>
    <w:rsid w:val="00390921"/>
    <w:rsid w:val="00391573"/>
    <w:rsid w:val="003920BA"/>
    <w:rsid w:val="00392242"/>
    <w:rsid w:val="00392E8F"/>
    <w:rsid w:val="0039335F"/>
    <w:rsid w:val="00393CF0"/>
    <w:rsid w:val="00394DB3"/>
    <w:rsid w:val="00395086"/>
    <w:rsid w:val="00395287"/>
    <w:rsid w:val="0039535B"/>
    <w:rsid w:val="00395D1C"/>
    <w:rsid w:val="003962B4"/>
    <w:rsid w:val="0039676B"/>
    <w:rsid w:val="00396879"/>
    <w:rsid w:val="00396BFB"/>
    <w:rsid w:val="00397095"/>
    <w:rsid w:val="00397659"/>
    <w:rsid w:val="00397E7A"/>
    <w:rsid w:val="003A0EB5"/>
    <w:rsid w:val="003A1822"/>
    <w:rsid w:val="003A1B4B"/>
    <w:rsid w:val="003A1C24"/>
    <w:rsid w:val="003A27F6"/>
    <w:rsid w:val="003A2CFC"/>
    <w:rsid w:val="003A3AA3"/>
    <w:rsid w:val="003A4DE7"/>
    <w:rsid w:val="003A4E1F"/>
    <w:rsid w:val="003A54AC"/>
    <w:rsid w:val="003A570B"/>
    <w:rsid w:val="003A5B2D"/>
    <w:rsid w:val="003A630A"/>
    <w:rsid w:val="003A68F6"/>
    <w:rsid w:val="003A78B7"/>
    <w:rsid w:val="003B0104"/>
    <w:rsid w:val="003B07C8"/>
    <w:rsid w:val="003B1296"/>
    <w:rsid w:val="003B1C1D"/>
    <w:rsid w:val="003B3423"/>
    <w:rsid w:val="003B3C30"/>
    <w:rsid w:val="003B3FF3"/>
    <w:rsid w:val="003B4CA4"/>
    <w:rsid w:val="003B521E"/>
    <w:rsid w:val="003B5887"/>
    <w:rsid w:val="003B5C48"/>
    <w:rsid w:val="003B5DB7"/>
    <w:rsid w:val="003B5E77"/>
    <w:rsid w:val="003B69CB"/>
    <w:rsid w:val="003B7710"/>
    <w:rsid w:val="003B787B"/>
    <w:rsid w:val="003C02B6"/>
    <w:rsid w:val="003C05BE"/>
    <w:rsid w:val="003C1B17"/>
    <w:rsid w:val="003C23E2"/>
    <w:rsid w:val="003C25B8"/>
    <w:rsid w:val="003C2967"/>
    <w:rsid w:val="003C33F4"/>
    <w:rsid w:val="003C4024"/>
    <w:rsid w:val="003C475B"/>
    <w:rsid w:val="003C47D6"/>
    <w:rsid w:val="003C4826"/>
    <w:rsid w:val="003C48D6"/>
    <w:rsid w:val="003C4DC8"/>
    <w:rsid w:val="003C5045"/>
    <w:rsid w:val="003C5A8E"/>
    <w:rsid w:val="003C6384"/>
    <w:rsid w:val="003C6AC0"/>
    <w:rsid w:val="003D0F53"/>
    <w:rsid w:val="003D20FD"/>
    <w:rsid w:val="003D23E9"/>
    <w:rsid w:val="003D3990"/>
    <w:rsid w:val="003D3F6F"/>
    <w:rsid w:val="003D4574"/>
    <w:rsid w:val="003D4E19"/>
    <w:rsid w:val="003D5061"/>
    <w:rsid w:val="003D512A"/>
    <w:rsid w:val="003D5361"/>
    <w:rsid w:val="003D5828"/>
    <w:rsid w:val="003D5F15"/>
    <w:rsid w:val="003D6B63"/>
    <w:rsid w:val="003E0156"/>
    <w:rsid w:val="003E0A86"/>
    <w:rsid w:val="003E0E1B"/>
    <w:rsid w:val="003E142A"/>
    <w:rsid w:val="003E3B33"/>
    <w:rsid w:val="003E3D30"/>
    <w:rsid w:val="003E428A"/>
    <w:rsid w:val="003E439D"/>
    <w:rsid w:val="003E48CE"/>
    <w:rsid w:val="003E4951"/>
    <w:rsid w:val="003E4958"/>
    <w:rsid w:val="003E4A25"/>
    <w:rsid w:val="003E62B0"/>
    <w:rsid w:val="003E6349"/>
    <w:rsid w:val="003E6388"/>
    <w:rsid w:val="003E668E"/>
    <w:rsid w:val="003E7BDC"/>
    <w:rsid w:val="003F049A"/>
    <w:rsid w:val="003F2A5A"/>
    <w:rsid w:val="003F347D"/>
    <w:rsid w:val="003F38C7"/>
    <w:rsid w:val="003F4153"/>
    <w:rsid w:val="003F4A8C"/>
    <w:rsid w:val="003F591A"/>
    <w:rsid w:val="003F5B38"/>
    <w:rsid w:val="003F645E"/>
    <w:rsid w:val="003F64E0"/>
    <w:rsid w:val="003F69F3"/>
    <w:rsid w:val="003F6DE3"/>
    <w:rsid w:val="003F71B1"/>
    <w:rsid w:val="003F735D"/>
    <w:rsid w:val="003F7E99"/>
    <w:rsid w:val="0040045A"/>
    <w:rsid w:val="00400B29"/>
    <w:rsid w:val="00400E2C"/>
    <w:rsid w:val="00400EBA"/>
    <w:rsid w:val="00400EC3"/>
    <w:rsid w:val="004018BA"/>
    <w:rsid w:val="00401E42"/>
    <w:rsid w:val="004022E7"/>
    <w:rsid w:val="00402928"/>
    <w:rsid w:val="0040325E"/>
    <w:rsid w:val="0040327B"/>
    <w:rsid w:val="004032EE"/>
    <w:rsid w:val="00403E20"/>
    <w:rsid w:val="00403E63"/>
    <w:rsid w:val="0040407A"/>
    <w:rsid w:val="004042A2"/>
    <w:rsid w:val="00404FE4"/>
    <w:rsid w:val="0040516A"/>
    <w:rsid w:val="004068B2"/>
    <w:rsid w:val="00410648"/>
    <w:rsid w:val="004112BC"/>
    <w:rsid w:val="00411F64"/>
    <w:rsid w:val="00412CCA"/>
    <w:rsid w:val="00413317"/>
    <w:rsid w:val="00413D74"/>
    <w:rsid w:val="00413DC2"/>
    <w:rsid w:val="004146B5"/>
    <w:rsid w:val="00414877"/>
    <w:rsid w:val="00414D44"/>
    <w:rsid w:val="00414D77"/>
    <w:rsid w:val="0041579C"/>
    <w:rsid w:val="00416B26"/>
    <w:rsid w:val="00420243"/>
    <w:rsid w:val="00420745"/>
    <w:rsid w:val="00420C6A"/>
    <w:rsid w:val="00421F1C"/>
    <w:rsid w:val="00422935"/>
    <w:rsid w:val="00422BC7"/>
    <w:rsid w:val="004230C7"/>
    <w:rsid w:val="004231A2"/>
    <w:rsid w:val="00423AB1"/>
    <w:rsid w:val="00423C0B"/>
    <w:rsid w:val="0042483D"/>
    <w:rsid w:val="00424B05"/>
    <w:rsid w:val="00424E8E"/>
    <w:rsid w:val="00425348"/>
    <w:rsid w:val="0042594E"/>
    <w:rsid w:val="00425E38"/>
    <w:rsid w:val="00425F99"/>
    <w:rsid w:val="004261C6"/>
    <w:rsid w:val="00426511"/>
    <w:rsid w:val="00426788"/>
    <w:rsid w:val="004276E1"/>
    <w:rsid w:val="0042784F"/>
    <w:rsid w:val="004279E0"/>
    <w:rsid w:val="0043040F"/>
    <w:rsid w:val="00430873"/>
    <w:rsid w:val="00431B4C"/>
    <w:rsid w:val="00431F11"/>
    <w:rsid w:val="004320ED"/>
    <w:rsid w:val="00432A19"/>
    <w:rsid w:val="004336CE"/>
    <w:rsid w:val="00433E69"/>
    <w:rsid w:val="0043550A"/>
    <w:rsid w:val="0043596C"/>
    <w:rsid w:val="00435EC8"/>
    <w:rsid w:val="0043628D"/>
    <w:rsid w:val="004365B1"/>
    <w:rsid w:val="00436D7B"/>
    <w:rsid w:val="00437157"/>
    <w:rsid w:val="004371BE"/>
    <w:rsid w:val="00440A03"/>
    <w:rsid w:val="00440CFE"/>
    <w:rsid w:val="00440D83"/>
    <w:rsid w:val="004413E3"/>
    <w:rsid w:val="00441DDE"/>
    <w:rsid w:val="00441F7F"/>
    <w:rsid w:val="00443130"/>
    <w:rsid w:val="00443566"/>
    <w:rsid w:val="00443CE0"/>
    <w:rsid w:val="004443F7"/>
    <w:rsid w:val="00444C0A"/>
    <w:rsid w:val="00444F0E"/>
    <w:rsid w:val="004454D9"/>
    <w:rsid w:val="004455BC"/>
    <w:rsid w:val="00445759"/>
    <w:rsid w:val="004469B2"/>
    <w:rsid w:val="00446BDD"/>
    <w:rsid w:val="00447701"/>
    <w:rsid w:val="00447E56"/>
    <w:rsid w:val="00447FC6"/>
    <w:rsid w:val="0045041F"/>
    <w:rsid w:val="00450EB8"/>
    <w:rsid w:val="00450FA3"/>
    <w:rsid w:val="00451251"/>
    <w:rsid w:val="004512E8"/>
    <w:rsid w:val="00451770"/>
    <w:rsid w:val="00451855"/>
    <w:rsid w:val="00452984"/>
    <w:rsid w:val="00453370"/>
    <w:rsid w:val="004543BB"/>
    <w:rsid w:val="004545B7"/>
    <w:rsid w:val="0045467F"/>
    <w:rsid w:val="00454B22"/>
    <w:rsid w:val="0045519B"/>
    <w:rsid w:val="0045533B"/>
    <w:rsid w:val="00455503"/>
    <w:rsid w:val="0045565B"/>
    <w:rsid w:val="004557F5"/>
    <w:rsid w:val="00455A1F"/>
    <w:rsid w:val="00457170"/>
    <w:rsid w:val="004572FD"/>
    <w:rsid w:val="00457575"/>
    <w:rsid w:val="0045762D"/>
    <w:rsid w:val="004578E2"/>
    <w:rsid w:val="00457FA6"/>
    <w:rsid w:val="00457FBA"/>
    <w:rsid w:val="00457FD3"/>
    <w:rsid w:val="0046000D"/>
    <w:rsid w:val="00461C4E"/>
    <w:rsid w:val="0046294A"/>
    <w:rsid w:val="00463973"/>
    <w:rsid w:val="00464A52"/>
    <w:rsid w:val="00465625"/>
    <w:rsid w:val="004661CF"/>
    <w:rsid w:val="004677D4"/>
    <w:rsid w:val="00470446"/>
    <w:rsid w:val="00471A4A"/>
    <w:rsid w:val="00471F16"/>
    <w:rsid w:val="00473457"/>
    <w:rsid w:val="00473554"/>
    <w:rsid w:val="0047418C"/>
    <w:rsid w:val="004744DF"/>
    <w:rsid w:val="004746FC"/>
    <w:rsid w:val="00474F91"/>
    <w:rsid w:val="004750D5"/>
    <w:rsid w:val="00475A18"/>
    <w:rsid w:val="00475C93"/>
    <w:rsid w:val="00475F8E"/>
    <w:rsid w:val="004764DC"/>
    <w:rsid w:val="00476DAB"/>
    <w:rsid w:val="004776EB"/>
    <w:rsid w:val="00477A07"/>
    <w:rsid w:val="004802CE"/>
    <w:rsid w:val="0048158B"/>
    <w:rsid w:val="004815CB"/>
    <w:rsid w:val="004816BB"/>
    <w:rsid w:val="004819D6"/>
    <w:rsid w:val="00484030"/>
    <w:rsid w:val="00484099"/>
    <w:rsid w:val="00484153"/>
    <w:rsid w:val="0048647C"/>
    <w:rsid w:val="00487FE2"/>
    <w:rsid w:val="004902C3"/>
    <w:rsid w:val="00490D70"/>
    <w:rsid w:val="0049183C"/>
    <w:rsid w:val="00491B98"/>
    <w:rsid w:val="00491F4E"/>
    <w:rsid w:val="00492370"/>
    <w:rsid w:val="004925C7"/>
    <w:rsid w:val="00492EE9"/>
    <w:rsid w:val="00492F10"/>
    <w:rsid w:val="00493798"/>
    <w:rsid w:val="00493988"/>
    <w:rsid w:val="004939FA"/>
    <w:rsid w:val="00493A00"/>
    <w:rsid w:val="00493CBB"/>
    <w:rsid w:val="00494856"/>
    <w:rsid w:val="00494F44"/>
    <w:rsid w:val="004953D3"/>
    <w:rsid w:val="00495AEB"/>
    <w:rsid w:val="00495D1C"/>
    <w:rsid w:val="00495ECB"/>
    <w:rsid w:val="00495FB1"/>
    <w:rsid w:val="00496455"/>
    <w:rsid w:val="00496F4E"/>
    <w:rsid w:val="00497C46"/>
    <w:rsid w:val="004A1C3C"/>
    <w:rsid w:val="004A2FF9"/>
    <w:rsid w:val="004A315C"/>
    <w:rsid w:val="004A3D11"/>
    <w:rsid w:val="004A60DA"/>
    <w:rsid w:val="004A6639"/>
    <w:rsid w:val="004A7704"/>
    <w:rsid w:val="004A7A8E"/>
    <w:rsid w:val="004B0B52"/>
    <w:rsid w:val="004B140A"/>
    <w:rsid w:val="004B1BA7"/>
    <w:rsid w:val="004B1C34"/>
    <w:rsid w:val="004B4090"/>
    <w:rsid w:val="004B46CD"/>
    <w:rsid w:val="004B4743"/>
    <w:rsid w:val="004B5007"/>
    <w:rsid w:val="004B5FFD"/>
    <w:rsid w:val="004B627C"/>
    <w:rsid w:val="004B633C"/>
    <w:rsid w:val="004B7348"/>
    <w:rsid w:val="004B7712"/>
    <w:rsid w:val="004B7E91"/>
    <w:rsid w:val="004C0897"/>
    <w:rsid w:val="004C0B8F"/>
    <w:rsid w:val="004C2642"/>
    <w:rsid w:val="004C2860"/>
    <w:rsid w:val="004C3024"/>
    <w:rsid w:val="004C329C"/>
    <w:rsid w:val="004C3814"/>
    <w:rsid w:val="004C3931"/>
    <w:rsid w:val="004C43B3"/>
    <w:rsid w:val="004C4438"/>
    <w:rsid w:val="004C4A81"/>
    <w:rsid w:val="004C4ADA"/>
    <w:rsid w:val="004C4FEC"/>
    <w:rsid w:val="004C5CD2"/>
    <w:rsid w:val="004C6E73"/>
    <w:rsid w:val="004C72BB"/>
    <w:rsid w:val="004D01FC"/>
    <w:rsid w:val="004D069D"/>
    <w:rsid w:val="004D0BCC"/>
    <w:rsid w:val="004D1B9B"/>
    <w:rsid w:val="004D2B15"/>
    <w:rsid w:val="004D336C"/>
    <w:rsid w:val="004D3812"/>
    <w:rsid w:val="004D4E23"/>
    <w:rsid w:val="004D569E"/>
    <w:rsid w:val="004D6254"/>
    <w:rsid w:val="004D71D3"/>
    <w:rsid w:val="004D78B3"/>
    <w:rsid w:val="004D7E4D"/>
    <w:rsid w:val="004D7E87"/>
    <w:rsid w:val="004E0387"/>
    <w:rsid w:val="004E0414"/>
    <w:rsid w:val="004E27B8"/>
    <w:rsid w:val="004E35B2"/>
    <w:rsid w:val="004E35B3"/>
    <w:rsid w:val="004E3632"/>
    <w:rsid w:val="004E42E4"/>
    <w:rsid w:val="004E51DD"/>
    <w:rsid w:val="004E5AE1"/>
    <w:rsid w:val="004E70C2"/>
    <w:rsid w:val="004E743E"/>
    <w:rsid w:val="004E7686"/>
    <w:rsid w:val="004E7D62"/>
    <w:rsid w:val="004E7F9A"/>
    <w:rsid w:val="004F0C29"/>
    <w:rsid w:val="004F1091"/>
    <w:rsid w:val="004F2845"/>
    <w:rsid w:val="004F2C13"/>
    <w:rsid w:val="004F2F1B"/>
    <w:rsid w:val="004F3BC4"/>
    <w:rsid w:val="004F41FE"/>
    <w:rsid w:val="004F4C8D"/>
    <w:rsid w:val="004F4CC6"/>
    <w:rsid w:val="004F63B6"/>
    <w:rsid w:val="004F64EE"/>
    <w:rsid w:val="004F76CC"/>
    <w:rsid w:val="004F7820"/>
    <w:rsid w:val="004F7BE1"/>
    <w:rsid w:val="005004A9"/>
    <w:rsid w:val="005009C8"/>
    <w:rsid w:val="00500B82"/>
    <w:rsid w:val="00500E40"/>
    <w:rsid w:val="005014BA"/>
    <w:rsid w:val="005014CB"/>
    <w:rsid w:val="005018D2"/>
    <w:rsid w:val="0050259C"/>
    <w:rsid w:val="005025C0"/>
    <w:rsid w:val="0050438F"/>
    <w:rsid w:val="005047CF"/>
    <w:rsid w:val="00504F1C"/>
    <w:rsid w:val="00505463"/>
    <w:rsid w:val="00505547"/>
    <w:rsid w:val="00505F6D"/>
    <w:rsid w:val="005060C8"/>
    <w:rsid w:val="005061DB"/>
    <w:rsid w:val="0050673F"/>
    <w:rsid w:val="00507948"/>
    <w:rsid w:val="005079A2"/>
    <w:rsid w:val="00511212"/>
    <w:rsid w:val="00511296"/>
    <w:rsid w:val="00511ADC"/>
    <w:rsid w:val="00511E85"/>
    <w:rsid w:val="005123CC"/>
    <w:rsid w:val="005137C0"/>
    <w:rsid w:val="00514ED0"/>
    <w:rsid w:val="0051513B"/>
    <w:rsid w:val="00515404"/>
    <w:rsid w:val="00515855"/>
    <w:rsid w:val="00515A3B"/>
    <w:rsid w:val="005161E7"/>
    <w:rsid w:val="005162F6"/>
    <w:rsid w:val="00516637"/>
    <w:rsid w:val="00516C84"/>
    <w:rsid w:val="00517477"/>
    <w:rsid w:val="00517608"/>
    <w:rsid w:val="0052090D"/>
    <w:rsid w:val="00520DC7"/>
    <w:rsid w:val="00522F25"/>
    <w:rsid w:val="005240C0"/>
    <w:rsid w:val="005248DA"/>
    <w:rsid w:val="005255D6"/>
    <w:rsid w:val="00526BF6"/>
    <w:rsid w:val="00526FD4"/>
    <w:rsid w:val="00527248"/>
    <w:rsid w:val="005275D5"/>
    <w:rsid w:val="00527957"/>
    <w:rsid w:val="00530F9A"/>
    <w:rsid w:val="00531259"/>
    <w:rsid w:val="005323AA"/>
    <w:rsid w:val="00532A1C"/>
    <w:rsid w:val="005336DA"/>
    <w:rsid w:val="0053439F"/>
    <w:rsid w:val="00534D60"/>
    <w:rsid w:val="00535F08"/>
    <w:rsid w:val="005365EB"/>
    <w:rsid w:val="00536BB9"/>
    <w:rsid w:val="00540F2F"/>
    <w:rsid w:val="005414EA"/>
    <w:rsid w:val="00541B69"/>
    <w:rsid w:val="00542026"/>
    <w:rsid w:val="00542279"/>
    <w:rsid w:val="00542CD2"/>
    <w:rsid w:val="00543399"/>
    <w:rsid w:val="0054365C"/>
    <w:rsid w:val="005437F6"/>
    <w:rsid w:val="00543F59"/>
    <w:rsid w:val="005445FD"/>
    <w:rsid w:val="005453E4"/>
    <w:rsid w:val="00545836"/>
    <w:rsid w:val="0054640F"/>
    <w:rsid w:val="005464CC"/>
    <w:rsid w:val="00547576"/>
    <w:rsid w:val="00547828"/>
    <w:rsid w:val="00550929"/>
    <w:rsid w:val="00550CB1"/>
    <w:rsid w:val="0055200C"/>
    <w:rsid w:val="005521DE"/>
    <w:rsid w:val="00552705"/>
    <w:rsid w:val="00552917"/>
    <w:rsid w:val="00552AD2"/>
    <w:rsid w:val="00553373"/>
    <w:rsid w:val="005535D2"/>
    <w:rsid w:val="00553E29"/>
    <w:rsid w:val="00554053"/>
    <w:rsid w:val="00554AFC"/>
    <w:rsid w:val="00555BAF"/>
    <w:rsid w:val="005574A3"/>
    <w:rsid w:val="00557FBB"/>
    <w:rsid w:val="005610C6"/>
    <w:rsid w:val="00561470"/>
    <w:rsid w:val="0056233C"/>
    <w:rsid w:val="00563119"/>
    <w:rsid w:val="0056331D"/>
    <w:rsid w:val="00563B92"/>
    <w:rsid w:val="00563DE3"/>
    <w:rsid w:val="005659F4"/>
    <w:rsid w:val="00565DAC"/>
    <w:rsid w:val="00566579"/>
    <w:rsid w:val="0056772D"/>
    <w:rsid w:val="00567FA0"/>
    <w:rsid w:val="00570504"/>
    <w:rsid w:val="005705D8"/>
    <w:rsid w:val="00570A71"/>
    <w:rsid w:val="005714B9"/>
    <w:rsid w:val="00571B8B"/>
    <w:rsid w:val="005726D0"/>
    <w:rsid w:val="00572AAF"/>
    <w:rsid w:val="005734D3"/>
    <w:rsid w:val="00573F57"/>
    <w:rsid w:val="0057440B"/>
    <w:rsid w:val="0057465D"/>
    <w:rsid w:val="005751BF"/>
    <w:rsid w:val="005756F4"/>
    <w:rsid w:val="00575DE3"/>
    <w:rsid w:val="00576245"/>
    <w:rsid w:val="005763C3"/>
    <w:rsid w:val="005768D3"/>
    <w:rsid w:val="00576DC0"/>
    <w:rsid w:val="00577109"/>
    <w:rsid w:val="005772E8"/>
    <w:rsid w:val="0058137C"/>
    <w:rsid w:val="00582293"/>
    <w:rsid w:val="00582AFB"/>
    <w:rsid w:val="00583751"/>
    <w:rsid w:val="005843B5"/>
    <w:rsid w:val="00584636"/>
    <w:rsid w:val="005848E4"/>
    <w:rsid w:val="00584BAE"/>
    <w:rsid w:val="00584C92"/>
    <w:rsid w:val="00585707"/>
    <w:rsid w:val="00585C4D"/>
    <w:rsid w:val="00586200"/>
    <w:rsid w:val="00590AF1"/>
    <w:rsid w:val="00590D0F"/>
    <w:rsid w:val="005912E5"/>
    <w:rsid w:val="005915B3"/>
    <w:rsid w:val="005915EF"/>
    <w:rsid w:val="00591E42"/>
    <w:rsid w:val="005924B3"/>
    <w:rsid w:val="005931A7"/>
    <w:rsid w:val="00593633"/>
    <w:rsid w:val="00593DCF"/>
    <w:rsid w:val="005943CE"/>
    <w:rsid w:val="00594F5D"/>
    <w:rsid w:val="0059595A"/>
    <w:rsid w:val="00595BBC"/>
    <w:rsid w:val="00595C9B"/>
    <w:rsid w:val="00595DAB"/>
    <w:rsid w:val="005966D9"/>
    <w:rsid w:val="00596A95"/>
    <w:rsid w:val="005978AE"/>
    <w:rsid w:val="00597992"/>
    <w:rsid w:val="00597AED"/>
    <w:rsid w:val="005A08F0"/>
    <w:rsid w:val="005A149A"/>
    <w:rsid w:val="005A171E"/>
    <w:rsid w:val="005A1A66"/>
    <w:rsid w:val="005A28B6"/>
    <w:rsid w:val="005A372A"/>
    <w:rsid w:val="005A37CB"/>
    <w:rsid w:val="005A3AB8"/>
    <w:rsid w:val="005A5773"/>
    <w:rsid w:val="005A586B"/>
    <w:rsid w:val="005A5A79"/>
    <w:rsid w:val="005A5BCF"/>
    <w:rsid w:val="005A6CBD"/>
    <w:rsid w:val="005B0689"/>
    <w:rsid w:val="005B09A1"/>
    <w:rsid w:val="005B09D2"/>
    <w:rsid w:val="005B0D17"/>
    <w:rsid w:val="005B1015"/>
    <w:rsid w:val="005B1E36"/>
    <w:rsid w:val="005B2BF5"/>
    <w:rsid w:val="005B2D8E"/>
    <w:rsid w:val="005B2EC3"/>
    <w:rsid w:val="005B3922"/>
    <w:rsid w:val="005B4587"/>
    <w:rsid w:val="005B64C6"/>
    <w:rsid w:val="005B6617"/>
    <w:rsid w:val="005B67EE"/>
    <w:rsid w:val="005B6974"/>
    <w:rsid w:val="005C030C"/>
    <w:rsid w:val="005C051B"/>
    <w:rsid w:val="005C0977"/>
    <w:rsid w:val="005C129D"/>
    <w:rsid w:val="005C12C0"/>
    <w:rsid w:val="005C1B84"/>
    <w:rsid w:val="005C2855"/>
    <w:rsid w:val="005C32C0"/>
    <w:rsid w:val="005C3EDE"/>
    <w:rsid w:val="005C4221"/>
    <w:rsid w:val="005C4479"/>
    <w:rsid w:val="005C51EF"/>
    <w:rsid w:val="005C5C35"/>
    <w:rsid w:val="005C60B8"/>
    <w:rsid w:val="005C6258"/>
    <w:rsid w:val="005C70BE"/>
    <w:rsid w:val="005C7581"/>
    <w:rsid w:val="005C7BCF"/>
    <w:rsid w:val="005C7C3B"/>
    <w:rsid w:val="005D031B"/>
    <w:rsid w:val="005D0D85"/>
    <w:rsid w:val="005D102C"/>
    <w:rsid w:val="005D111D"/>
    <w:rsid w:val="005D119F"/>
    <w:rsid w:val="005D152A"/>
    <w:rsid w:val="005D1548"/>
    <w:rsid w:val="005D1631"/>
    <w:rsid w:val="005D1ECC"/>
    <w:rsid w:val="005D2133"/>
    <w:rsid w:val="005D219A"/>
    <w:rsid w:val="005D2218"/>
    <w:rsid w:val="005D2DD1"/>
    <w:rsid w:val="005D2E4F"/>
    <w:rsid w:val="005D335A"/>
    <w:rsid w:val="005D3A94"/>
    <w:rsid w:val="005D3C4C"/>
    <w:rsid w:val="005D48A4"/>
    <w:rsid w:val="005D56D3"/>
    <w:rsid w:val="005D5926"/>
    <w:rsid w:val="005D6312"/>
    <w:rsid w:val="005D63BB"/>
    <w:rsid w:val="005D648A"/>
    <w:rsid w:val="005D761A"/>
    <w:rsid w:val="005D7D1C"/>
    <w:rsid w:val="005E05CC"/>
    <w:rsid w:val="005E0A57"/>
    <w:rsid w:val="005E143D"/>
    <w:rsid w:val="005E1C93"/>
    <w:rsid w:val="005E2E89"/>
    <w:rsid w:val="005E32DB"/>
    <w:rsid w:val="005E3657"/>
    <w:rsid w:val="005E3CCD"/>
    <w:rsid w:val="005E4107"/>
    <w:rsid w:val="005E42FC"/>
    <w:rsid w:val="005E5015"/>
    <w:rsid w:val="005E51CF"/>
    <w:rsid w:val="005E640A"/>
    <w:rsid w:val="005E6BE8"/>
    <w:rsid w:val="005E7070"/>
    <w:rsid w:val="005E72E5"/>
    <w:rsid w:val="005E7A76"/>
    <w:rsid w:val="005F074F"/>
    <w:rsid w:val="005F093A"/>
    <w:rsid w:val="005F0989"/>
    <w:rsid w:val="005F0D71"/>
    <w:rsid w:val="005F0ED9"/>
    <w:rsid w:val="005F0F81"/>
    <w:rsid w:val="005F16A7"/>
    <w:rsid w:val="005F1DE9"/>
    <w:rsid w:val="005F236F"/>
    <w:rsid w:val="005F2879"/>
    <w:rsid w:val="005F298A"/>
    <w:rsid w:val="005F37B3"/>
    <w:rsid w:val="005F3B4B"/>
    <w:rsid w:val="005F3F4A"/>
    <w:rsid w:val="005F41A7"/>
    <w:rsid w:val="005F682C"/>
    <w:rsid w:val="005F6AD2"/>
    <w:rsid w:val="00600548"/>
    <w:rsid w:val="00600B3B"/>
    <w:rsid w:val="00600C6B"/>
    <w:rsid w:val="00600DBF"/>
    <w:rsid w:val="00601AF8"/>
    <w:rsid w:val="00601FAD"/>
    <w:rsid w:val="00602EA5"/>
    <w:rsid w:val="00603E34"/>
    <w:rsid w:val="00605033"/>
    <w:rsid w:val="00605130"/>
    <w:rsid w:val="00606362"/>
    <w:rsid w:val="00606C08"/>
    <w:rsid w:val="00606DF7"/>
    <w:rsid w:val="0060749D"/>
    <w:rsid w:val="006077BF"/>
    <w:rsid w:val="006103B0"/>
    <w:rsid w:val="006107E7"/>
    <w:rsid w:val="00611B96"/>
    <w:rsid w:val="00613394"/>
    <w:rsid w:val="00614215"/>
    <w:rsid w:val="0061430E"/>
    <w:rsid w:val="006144A9"/>
    <w:rsid w:val="006147FD"/>
    <w:rsid w:val="00614C53"/>
    <w:rsid w:val="0061612F"/>
    <w:rsid w:val="006164E4"/>
    <w:rsid w:val="00616509"/>
    <w:rsid w:val="00620004"/>
    <w:rsid w:val="00620097"/>
    <w:rsid w:val="0062112B"/>
    <w:rsid w:val="006217A9"/>
    <w:rsid w:val="0062188C"/>
    <w:rsid w:val="0062199C"/>
    <w:rsid w:val="00623F05"/>
    <w:rsid w:val="006247E2"/>
    <w:rsid w:val="0062487D"/>
    <w:rsid w:val="00625716"/>
    <w:rsid w:val="006259D0"/>
    <w:rsid w:val="00625A41"/>
    <w:rsid w:val="00626095"/>
    <w:rsid w:val="0062628A"/>
    <w:rsid w:val="006263BB"/>
    <w:rsid w:val="006266B0"/>
    <w:rsid w:val="006273BA"/>
    <w:rsid w:val="006301A3"/>
    <w:rsid w:val="006306ED"/>
    <w:rsid w:val="006308A3"/>
    <w:rsid w:val="00630F9E"/>
    <w:rsid w:val="0063251B"/>
    <w:rsid w:val="00632CD6"/>
    <w:rsid w:val="00632EE2"/>
    <w:rsid w:val="00632F6E"/>
    <w:rsid w:val="006343DD"/>
    <w:rsid w:val="00635491"/>
    <w:rsid w:val="0063577D"/>
    <w:rsid w:val="006363D9"/>
    <w:rsid w:val="0063642A"/>
    <w:rsid w:val="00636AD3"/>
    <w:rsid w:val="00636ED4"/>
    <w:rsid w:val="0064146E"/>
    <w:rsid w:val="00641675"/>
    <w:rsid w:val="006422DA"/>
    <w:rsid w:val="006424AC"/>
    <w:rsid w:val="00642C67"/>
    <w:rsid w:val="00642EDB"/>
    <w:rsid w:val="00643D1C"/>
    <w:rsid w:val="00644B18"/>
    <w:rsid w:val="00644D6D"/>
    <w:rsid w:val="00644FCD"/>
    <w:rsid w:val="00645291"/>
    <w:rsid w:val="00646C3D"/>
    <w:rsid w:val="006477FD"/>
    <w:rsid w:val="006507C9"/>
    <w:rsid w:val="006512E4"/>
    <w:rsid w:val="00652264"/>
    <w:rsid w:val="00653268"/>
    <w:rsid w:val="006543A6"/>
    <w:rsid w:val="0065590E"/>
    <w:rsid w:val="00656F1A"/>
    <w:rsid w:val="00657162"/>
    <w:rsid w:val="0065785E"/>
    <w:rsid w:val="00660EF2"/>
    <w:rsid w:val="00661644"/>
    <w:rsid w:val="00661D96"/>
    <w:rsid w:val="00662154"/>
    <w:rsid w:val="006630BF"/>
    <w:rsid w:val="0066363F"/>
    <w:rsid w:val="00663C95"/>
    <w:rsid w:val="00663F4C"/>
    <w:rsid w:val="006652D9"/>
    <w:rsid w:val="0066652E"/>
    <w:rsid w:val="00667538"/>
    <w:rsid w:val="00667E0F"/>
    <w:rsid w:val="006703BF"/>
    <w:rsid w:val="00671411"/>
    <w:rsid w:val="00671949"/>
    <w:rsid w:val="00671D76"/>
    <w:rsid w:val="00672140"/>
    <w:rsid w:val="006722A4"/>
    <w:rsid w:val="0067397E"/>
    <w:rsid w:val="00674134"/>
    <w:rsid w:val="00675161"/>
    <w:rsid w:val="00675620"/>
    <w:rsid w:val="0067582E"/>
    <w:rsid w:val="00676691"/>
    <w:rsid w:val="00677AEF"/>
    <w:rsid w:val="00677DE5"/>
    <w:rsid w:val="00677E57"/>
    <w:rsid w:val="006809C9"/>
    <w:rsid w:val="00680CC6"/>
    <w:rsid w:val="00680FDF"/>
    <w:rsid w:val="00682DB4"/>
    <w:rsid w:val="00682E03"/>
    <w:rsid w:val="0068332E"/>
    <w:rsid w:val="00683E95"/>
    <w:rsid w:val="00683F44"/>
    <w:rsid w:val="006840D3"/>
    <w:rsid w:val="0068410A"/>
    <w:rsid w:val="00684274"/>
    <w:rsid w:val="00684586"/>
    <w:rsid w:val="00684862"/>
    <w:rsid w:val="00684EE7"/>
    <w:rsid w:val="0068598F"/>
    <w:rsid w:val="00685C7A"/>
    <w:rsid w:val="00685DC4"/>
    <w:rsid w:val="00685F7B"/>
    <w:rsid w:val="0068767A"/>
    <w:rsid w:val="00687BE3"/>
    <w:rsid w:val="0069099D"/>
    <w:rsid w:val="00691095"/>
    <w:rsid w:val="006911C7"/>
    <w:rsid w:val="00691853"/>
    <w:rsid w:val="006921C4"/>
    <w:rsid w:val="00692C82"/>
    <w:rsid w:val="006938DA"/>
    <w:rsid w:val="00693DC1"/>
    <w:rsid w:val="006941F8"/>
    <w:rsid w:val="00694EEF"/>
    <w:rsid w:val="00695A3E"/>
    <w:rsid w:val="0069675C"/>
    <w:rsid w:val="00696F40"/>
    <w:rsid w:val="00697804"/>
    <w:rsid w:val="00697EDF"/>
    <w:rsid w:val="006A0991"/>
    <w:rsid w:val="006A0B1C"/>
    <w:rsid w:val="006A0D4E"/>
    <w:rsid w:val="006A0E5E"/>
    <w:rsid w:val="006A2E9A"/>
    <w:rsid w:val="006A31D4"/>
    <w:rsid w:val="006A3611"/>
    <w:rsid w:val="006A5F1A"/>
    <w:rsid w:val="006A6524"/>
    <w:rsid w:val="006A66C0"/>
    <w:rsid w:val="006A7FDB"/>
    <w:rsid w:val="006A7FFA"/>
    <w:rsid w:val="006B089A"/>
    <w:rsid w:val="006B1AC8"/>
    <w:rsid w:val="006B253F"/>
    <w:rsid w:val="006B2C74"/>
    <w:rsid w:val="006B2F23"/>
    <w:rsid w:val="006B34DC"/>
    <w:rsid w:val="006B3871"/>
    <w:rsid w:val="006B74E5"/>
    <w:rsid w:val="006B772E"/>
    <w:rsid w:val="006B7E6D"/>
    <w:rsid w:val="006C0F3D"/>
    <w:rsid w:val="006C14AE"/>
    <w:rsid w:val="006C18AB"/>
    <w:rsid w:val="006C1B0D"/>
    <w:rsid w:val="006C2BDF"/>
    <w:rsid w:val="006C2C2A"/>
    <w:rsid w:val="006C3494"/>
    <w:rsid w:val="006C4825"/>
    <w:rsid w:val="006C4C12"/>
    <w:rsid w:val="006C5160"/>
    <w:rsid w:val="006C5B1A"/>
    <w:rsid w:val="006C5EF3"/>
    <w:rsid w:val="006C6936"/>
    <w:rsid w:val="006C6C44"/>
    <w:rsid w:val="006C6F4F"/>
    <w:rsid w:val="006C6F6F"/>
    <w:rsid w:val="006D0923"/>
    <w:rsid w:val="006D3A24"/>
    <w:rsid w:val="006D3ABD"/>
    <w:rsid w:val="006D58C6"/>
    <w:rsid w:val="006D5B9B"/>
    <w:rsid w:val="006D675A"/>
    <w:rsid w:val="006D720E"/>
    <w:rsid w:val="006D7245"/>
    <w:rsid w:val="006D7990"/>
    <w:rsid w:val="006D7C49"/>
    <w:rsid w:val="006D7E6F"/>
    <w:rsid w:val="006E07A3"/>
    <w:rsid w:val="006E0A4E"/>
    <w:rsid w:val="006E29DA"/>
    <w:rsid w:val="006E2F69"/>
    <w:rsid w:val="006E30BA"/>
    <w:rsid w:val="006E37EE"/>
    <w:rsid w:val="006E3A22"/>
    <w:rsid w:val="006E472C"/>
    <w:rsid w:val="006E55F7"/>
    <w:rsid w:val="006E59ED"/>
    <w:rsid w:val="006E6841"/>
    <w:rsid w:val="006E7086"/>
    <w:rsid w:val="006E7112"/>
    <w:rsid w:val="006E78A5"/>
    <w:rsid w:val="006E7D9E"/>
    <w:rsid w:val="006F07CA"/>
    <w:rsid w:val="006F1960"/>
    <w:rsid w:val="006F1F6D"/>
    <w:rsid w:val="006F2469"/>
    <w:rsid w:val="006F2825"/>
    <w:rsid w:val="006F2851"/>
    <w:rsid w:val="006F35D3"/>
    <w:rsid w:val="006F3A26"/>
    <w:rsid w:val="006F3EF6"/>
    <w:rsid w:val="006F3EFD"/>
    <w:rsid w:val="006F4011"/>
    <w:rsid w:val="006F45F0"/>
    <w:rsid w:val="006F53EF"/>
    <w:rsid w:val="006F551B"/>
    <w:rsid w:val="006F557D"/>
    <w:rsid w:val="006F735E"/>
    <w:rsid w:val="006F7B62"/>
    <w:rsid w:val="00700A40"/>
    <w:rsid w:val="00700A96"/>
    <w:rsid w:val="007021DF"/>
    <w:rsid w:val="00702863"/>
    <w:rsid w:val="00704327"/>
    <w:rsid w:val="00704793"/>
    <w:rsid w:val="007049F0"/>
    <w:rsid w:val="0070543F"/>
    <w:rsid w:val="0070574C"/>
    <w:rsid w:val="00706356"/>
    <w:rsid w:val="007072BA"/>
    <w:rsid w:val="0070797D"/>
    <w:rsid w:val="00707A27"/>
    <w:rsid w:val="00707AC5"/>
    <w:rsid w:val="00710806"/>
    <w:rsid w:val="00711205"/>
    <w:rsid w:val="0071156C"/>
    <w:rsid w:val="00712307"/>
    <w:rsid w:val="00713D7B"/>
    <w:rsid w:val="007140F9"/>
    <w:rsid w:val="00714856"/>
    <w:rsid w:val="007161EA"/>
    <w:rsid w:val="007169DB"/>
    <w:rsid w:val="00717010"/>
    <w:rsid w:val="00720723"/>
    <w:rsid w:val="00720B17"/>
    <w:rsid w:val="0072198D"/>
    <w:rsid w:val="00721A6F"/>
    <w:rsid w:val="0072278E"/>
    <w:rsid w:val="00723706"/>
    <w:rsid w:val="0072370E"/>
    <w:rsid w:val="00723972"/>
    <w:rsid w:val="00723C1E"/>
    <w:rsid w:val="00723CB8"/>
    <w:rsid w:val="00724761"/>
    <w:rsid w:val="00724AE0"/>
    <w:rsid w:val="00724C2A"/>
    <w:rsid w:val="00725507"/>
    <w:rsid w:val="00725C11"/>
    <w:rsid w:val="00726698"/>
    <w:rsid w:val="0072740B"/>
    <w:rsid w:val="0073088C"/>
    <w:rsid w:val="007309B2"/>
    <w:rsid w:val="00731637"/>
    <w:rsid w:val="00731C67"/>
    <w:rsid w:val="0073255D"/>
    <w:rsid w:val="007326A7"/>
    <w:rsid w:val="007327FE"/>
    <w:rsid w:val="0073359E"/>
    <w:rsid w:val="007338A5"/>
    <w:rsid w:val="007344FE"/>
    <w:rsid w:val="00734807"/>
    <w:rsid w:val="00734C79"/>
    <w:rsid w:val="00735010"/>
    <w:rsid w:val="0073541A"/>
    <w:rsid w:val="007358AB"/>
    <w:rsid w:val="00736A15"/>
    <w:rsid w:val="00736D9F"/>
    <w:rsid w:val="007374CD"/>
    <w:rsid w:val="0073764D"/>
    <w:rsid w:val="00740717"/>
    <w:rsid w:val="007407DE"/>
    <w:rsid w:val="00740E0D"/>
    <w:rsid w:val="00740FFF"/>
    <w:rsid w:val="00741C4E"/>
    <w:rsid w:val="00742DF3"/>
    <w:rsid w:val="00743A2E"/>
    <w:rsid w:val="00743AB0"/>
    <w:rsid w:val="007460F6"/>
    <w:rsid w:val="007465AA"/>
    <w:rsid w:val="0074682E"/>
    <w:rsid w:val="0074761A"/>
    <w:rsid w:val="00747D94"/>
    <w:rsid w:val="00750881"/>
    <w:rsid w:val="00750D41"/>
    <w:rsid w:val="007510CB"/>
    <w:rsid w:val="00751BBC"/>
    <w:rsid w:val="00751D3F"/>
    <w:rsid w:val="00751D66"/>
    <w:rsid w:val="007526E5"/>
    <w:rsid w:val="007527E3"/>
    <w:rsid w:val="007527F4"/>
    <w:rsid w:val="007528BB"/>
    <w:rsid w:val="00752932"/>
    <w:rsid w:val="00752B65"/>
    <w:rsid w:val="00752EED"/>
    <w:rsid w:val="0075357B"/>
    <w:rsid w:val="00753A45"/>
    <w:rsid w:val="00753A82"/>
    <w:rsid w:val="00753FA9"/>
    <w:rsid w:val="00754887"/>
    <w:rsid w:val="007556FE"/>
    <w:rsid w:val="007560EE"/>
    <w:rsid w:val="0075636F"/>
    <w:rsid w:val="0075749B"/>
    <w:rsid w:val="007574AC"/>
    <w:rsid w:val="00757E4B"/>
    <w:rsid w:val="0076013F"/>
    <w:rsid w:val="00760FF1"/>
    <w:rsid w:val="00761663"/>
    <w:rsid w:val="00762070"/>
    <w:rsid w:val="00762854"/>
    <w:rsid w:val="007638C1"/>
    <w:rsid w:val="007644E6"/>
    <w:rsid w:val="00765416"/>
    <w:rsid w:val="00765619"/>
    <w:rsid w:val="00765D99"/>
    <w:rsid w:val="007663D8"/>
    <w:rsid w:val="00766486"/>
    <w:rsid w:val="00766C8B"/>
    <w:rsid w:val="00767137"/>
    <w:rsid w:val="007673C8"/>
    <w:rsid w:val="00767586"/>
    <w:rsid w:val="0076780E"/>
    <w:rsid w:val="00767CC8"/>
    <w:rsid w:val="00770720"/>
    <w:rsid w:val="00770FAD"/>
    <w:rsid w:val="00771235"/>
    <w:rsid w:val="007714D1"/>
    <w:rsid w:val="007723D1"/>
    <w:rsid w:val="00772479"/>
    <w:rsid w:val="00772B58"/>
    <w:rsid w:val="007734A8"/>
    <w:rsid w:val="00774382"/>
    <w:rsid w:val="00774B53"/>
    <w:rsid w:val="007753DA"/>
    <w:rsid w:val="00775770"/>
    <w:rsid w:val="00776B92"/>
    <w:rsid w:val="00776F53"/>
    <w:rsid w:val="00777E62"/>
    <w:rsid w:val="0078005D"/>
    <w:rsid w:val="007821AF"/>
    <w:rsid w:val="00782A2E"/>
    <w:rsid w:val="00783BD0"/>
    <w:rsid w:val="007847D3"/>
    <w:rsid w:val="007848FE"/>
    <w:rsid w:val="00784AF6"/>
    <w:rsid w:val="00784B42"/>
    <w:rsid w:val="00784C44"/>
    <w:rsid w:val="00784CBC"/>
    <w:rsid w:val="00784D21"/>
    <w:rsid w:val="00785024"/>
    <w:rsid w:val="00785D07"/>
    <w:rsid w:val="007864EC"/>
    <w:rsid w:val="0078744E"/>
    <w:rsid w:val="00787CF6"/>
    <w:rsid w:val="00787EC9"/>
    <w:rsid w:val="007901CC"/>
    <w:rsid w:val="0079048F"/>
    <w:rsid w:val="0079077D"/>
    <w:rsid w:val="007907FA"/>
    <w:rsid w:val="00790958"/>
    <w:rsid w:val="0079122B"/>
    <w:rsid w:val="007915CB"/>
    <w:rsid w:val="00791B43"/>
    <w:rsid w:val="007927C9"/>
    <w:rsid w:val="00792D4D"/>
    <w:rsid w:val="00793A62"/>
    <w:rsid w:val="00793DDF"/>
    <w:rsid w:val="00793FF5"/>
    <w:rsid w:val="007977E3"/>
    <w:rsid w:val="007A1128"/>
    <w:rsid w:val="007A1656"/>
    <w:rsid w:val="007A1ACF"/>
    <w:rsid w:val="007A1B17"/>
    <w:rsid w:val="007A212D"/>
    <w:rsid w:val="007A219F"/>
    <w:rsid w:val="007A3F05"/>
    <w:rsid w:val="007A4C4F"/>
    <w:rsid w:val="007A4CEE"/>
    <w:rsid w:val="007A4D51"/>
    <w:rsid w:val="007A4F2F"/>
    <w:rsid w:val="007A5129"/>
    <w:rsid w:val="007A58CB"/>
    <w:rsid w:val="007A618F"/>
    <w:rsid w:val="007A666E"/>
    <w:rsid w:val="007A6688"/>
    <w:rsid w:val="007B01B5"/>
    <w:rsid w:val="007B07C9"/>
    <w:rsid w:val="007B108D"/>
    <w:rsid w:val="007B37EA"/>
    <w:rsid w:val="007B3E52"/>
    <w:rsid w:val="007B446F"/>
    <w:rsid w:val="007B5152"/>
    <w:rsid w:val="007B632C"/>
    <w:rsid w:val="007B76C0"/>
    <w:rsid w:val="007B7C22"/>
    <w:rsid w:val="007B7FFA"/>
    <w:rsid w:val="007C0AEA"/>
    <w:rsid w:val="007C0B36"/>
    <w:rsid w:val="007C124A"/>
    <w:rsid w:val="007C1DF3"/>
    <w:rsid w:val="007C2D93"/>
    <w:rsid w:val="007C2FDD"/>
    <w:rsid w:val="007C3B06"/>
    <w:rsid w:val="007C3F05"/>
    <w:rsid w:val="007C47CD"/>
    <w:rsid w:val="007C49C8"/>
    <w:rsid w:val="007C4A20"/>
    <w:rsid w:val="007C5C5A"/>
    <w:rsid w:val="007C5DF5"/>
    <w:rsid w:val="007C6DEF"/>
    <w:rsid w:val="007C6E78"/>
    <w:rsid w:val="007C767C"/>
    <w:rsid w:val="007C7FC1"/>
    <w:rsid w:val="007D0592"/>
    <w:rsid w:val="007D0910"/>
    <w:rsid w:val="007D0D1A"/>
    <w:rsid w:val="007D0F17"/>
    <w:rsid w:val="007D2323"/>
    <w:rsid w:val="007D2361"/>
    <w:rsid w:val="007D254D"/>
    <w:rsid w:val="007D2A2C"/>
    <w:rsid w:val="007D2CEC"/>
    <w:rsid w:val="007D2EDB"/>
    <w:rsid w:val="007D3798"/>
    <w:rsid w:val="007D3B16"/>
    <w:rsid w:val="007D3D62"/>
    <w:rsid w:val="007D409B"/>
    <w:rsid w:val="007D442D"/>
    <w:rsid w:val="007D5409"/>
    <w:rsid w:val="007D569B"/>
    <w:rsid w:val="007D56C3"/>
    <w:rsid w:val="007D5BE6"/>
    <w:rsid w:val="007D68DC"/>
    <w:rsid w:val="007D69C3"/>
    <w:rsid w:val="007D6B06"/>
    <w:rsid w:val="007D726F"/>
    <w:rsid w:val="007D7B4E"/>
    <w:rsid w:val="007E02E5"/>
    <w:rsid w:val="007E0451"/>
    <w:rsid w:val="007E094B"/>
    <w:rsid w:val="007E0E6A"/>
    <w:rsid w:val="007E11BF"/>
    <w:rsid w:val="007E14E3"/>
    <w:rsid w:val="007E153C"/>
    <w:rsid w:val="007E30FD"/>
    <w:rsid w:val="007E3335"/>
    <w:rsid w:val="007E35E7"/>
    <w:rsid w:val="007E3A2F"/>
    <w:rsid w:val="007E3A51"/>
    <w:rsid w:val="007E3E17"/>
    <w:rsid w:val="007E406B"/>
    <w:rsid w:val="007E440A"/>
    <w:rsid w:val="007E4BB4"/>
    <w:rsid w:val="007E4D39"/>
    <w:rsid w:val="007E4E5F"/>
    <w:rsid w:val="007E4F65"/>
    <w:rsid w:val="007E531D"/>
    <w:rsid w:val="007E6243"/>
    <w:rsid w:val="007E6317"/>
    <w:rsid w:val="007E76D2"/>
    <w:rsid w:val="007E7D22"/>
    <w:rsid w:val="007F04DC"/>
    <w:rsid w:val="007F12FB"/>
    <w:rsid w:val="007F16A2"/>
    <w:rsid w:val="007F16D9"/>
    <w:rsid w:val="007F1966"/>
    <w:rsid w:val="007F1E0E"/>
    <w:rsid w:val="007F34F8"/>
    <w:rsid w:val="007F47B7"/>
    <w:rsid w:val="007F4899"/>
    <w:rsid w:val="007F4F7E"/>
    <w:rsid w:val="007F5238"/>
    <w:rsid w:val="007F5704"/>
    <w:rsid w:val="007F57DE"/>
    <w:rsid w:val="007F5F48"/>
    <w:rsid w:val="007F6260"/>
    <w:rsid w:val="007F70D4"/>
    <w:rsid w:val="007F728F"/>
    <w:rsid w:val="007F74AF"/>
    <w:rsid w:val="007F79BF"/>
    <w:rsid w:val="007F79F9"/>
    <w:rsid w:val="0080114E"/>
    <w:rsid w:val="00801353"/>
    <w:rsid w:val="008019CF"/>
    <w:rsid w:val="00801C1C"/>
    <w:rsid w:val="00802148"/>
    <w:rsid w:val="008027AE"/>
    <w:rsid w:val="00802CE0"/>
    <w:rsid w:val="008036E2"/>
    <w:rsid w:val="0080444F"/>
    <w:rsid w:val="008044F0"/>
    <w:rsid w:val="00804938"/>
    <w:rsid w:val="00804A13"/>
    <w:rsid w:val="00804DF0"/>
    <w:rsid w:val="00804E00"/>
    <w:rsid w:val="008054A7"/>
    <w:rsid w:val="00805A93"/>
    <w:rsid w:val="00805C12"/>
    <w:rsid w:val="008102CF"/>
    <w:rsid w:val="008108C7"/>
    <w:rsid w:val="00810AC0"/>
    <w:rsid w:val="00811BC3"/>
    <w:rsid w:val="008124B9"/>
    <w:rsid w:val="00812606"/>
    <w:rsid w:val="00812972"/>
    <w:rsid w:val="00812E88"/>
    <w:rsid w:val="008131F8"/>
    <w:rsid w:val="008136EA"/>
    <w:rsid w:val="0081383B"/>
    <w:rsid w:val="00813C78"/>
    <w:rsid w:val="00814122"/>
    <w:rsid w:val="0081430F"/>
    <w:rsid w:val="008143B1"/>
    <w:rsid w:val="008146EA"/>
    <w:rsid w:val="00814F15"/>
    <w:rsid w:val="008150F2"/>
    <w:rsid w:val="008152A5"/>
    <w:rsid w:val="008153C4"/>
    <w:rsid w:val="0081605C"/>
    <w:rsid w:val="00816F99"/>
    <w:rsid w:val="008176BF"/>
    <w:rsid w:val="008202DA"/>
    <w:rsid w:val="00820597"/>
    <w:rsid w:val="00820755"/>
    <w:rsid w:val="00821901"/>
    <w:rsid w:val="0082196F"/>
    <w:rsid w:val="00821BF4"/>
    <w:rsid w:val="00821F4D"/>
    <w:rsid w:val="00822E49"/>
    <w:rsid w:val="00822F30"/>
    <w:rsid w:val="00823623"/>
    <w:rsid w:val="0082368D"/>
    <w:rsid w:val="00825F77"/>
    <w:rsid w:val="0082624F"/>
    <w:rsid w:val="00826887"/>
    <w:rsid w:val="00826AC1"/>
    <w:rsid w:val="00830222"/>
    <w:rsid w:val="008305AB"/>
    <w:rsid w:val="00830C32"/>
    <w:rsid w:val="00830DD8"/>
    <w:rsid w:val="008310F2"/>
    <w:rsid w:val="00831647"/>
    <w:rsid w:val="00831819"/>
    <w:rsid w:val="008320CB"/>
    <w:rsid w:val="0083215D"/>
    <w:rsid w:val="0083229A"/>
    <w:rsid w:val="0083235C"/>
    <w:rsid w:val="00832584"/>
    <w:rsid w:val="008327E9"/>
    <w:rsid w:val="00832D9A"/>
    <w:rsid w:val="00833C27"/>
    <w:rsid w:val="00834741"/>
    <w:rsid w:val="008353E5"/>
    <w:rsid w:val="00835425"/>
    <w:rsid w:val="00835FD9"/>
    <w:rsid w:val="0083671C"/>
    <w:rsid w:val="00836C3C"/>
    <w:rsid w:val="00837837"/>
    <w:rsid w:val="008379B2"/>
    <w:rsid w:val="0084191B"/>
    <w:rsid w:val="00841E4C"/>
    <w:rsid w:val="00841F4F"/>
    <w:rsid w:val="00841F5F"/>
    <w:rsid w:val="0084231D"/>
    <w:rsid w:val="00844908"/>
    <w:rsid w:val="00844C21"/>
    <w:rsid w:val="00845541"/>
    <w:rsid w:val="008456FC"/>
    <w:rsid w:val="0084599F"/>
    <w:rsid w:val="00845C3C"/>
    <w:rsid w:val="00845E37"/>
    <w:rsid w:val="008462C6"/>
    <w:rsid w:val="008468EE"/>
    <w:rsid w:val="00846F34"/>
    <w:rsid w:val="008473A6"/>
    <w:rsid w:val="00850348"/>
    <w:rsid w:val="00850AD8"/>
    <w:rsid w:val="00850C42"/>
    <w:rsid w:val="008521B4"/>
    <w:rsid w:val="008546A4"/>
    <w:rsid w:val="00854AFC"/>
    <w:rsid w:val="00854FD9"/>
    <w:rsid w:val="008553D2"/>
    <w:rsid w:val="008562DA"/>
    <w:rsid w:val="00856FBB"/>
    <w:rsid w:val="008570D2"/>
    <w:rsid w:val="00857DDC"/>
    <w:rsid w:val="008606B2"/>
    <w:rsid w:val="00860B14"/>
    <w:rsid w:val="008610AD"/>
    <w:rsid w:val="00863080"/>
    <w:rsid w:val="00863220"/>
    <w:rsid w:val="008632B3"/>
    <w:rsid w:val="00863587"/>
    <w:rsid w:val="008636D9"/>
    <w:rsid w:val="0086371E"/>
    <w:rsid w:val="00863901"/>
    <w:rsid w:val="00863E02"/>
    <w:rsid w:val="00864A25"/>
    <w:rsid w:val="00864B9B"/>
    <w:rsid w:val="00865259"/>
    <w:rsid w:val="008657FB"/>
    <w:rsid w:val="00866252"/>
    <w:rsid w:val="00866A5B"/>
    <w:rsid w:val="00866B28"/>
    <w:rsid w:val="00866D4C"/>
    <w:rsid w:val="008714CD"/>
    <w:rsid w:val="00871602"/>
    <w:rsid w:val="00871A8E"/>
    <w:rsid w:val="00872412"/>
    <w:rsid w:val="0087280D"/>
    <w:rsid w:val="00872E4F"/>
    <w:rsid w:val="00873597"/>
    <w:rsid w:val="00873865"/>
    <w:rsid w:val="0087408C"/>
    <w:rsid w:val="00874B11"/>
    <w:rsid w:val="00875018"/>
    <w:rsid w:val="00875AC4"/>
    <w:rsid w:val="00875DD1"/>
    <w:rsid w:val="00875FA3"/>
    <w:rsid w:val="00877AB3"/>
    <w:rsid w:val="008800E1"/>
    <w:rsid w:val="00880E7E"/>
    <w:rsid w:val="0088389B"/>
    <w:rsid w:val="00883CB5"/>
    <w:rsid w:val="008843F9"/>
    <w:rsid w:val="0088468B"/>
    <w:rsid w:val="008849E2"/>
    <w:rsid w:val="00884BA4"/>
    <w:rsid w:val="00884D46"/>
    <w:rsid w:val="00884DF1"/>
    <w:rsid w:val="008853AF"/>
    <w:rsid w:val="00885FE5"/>
    <w:rsid w:val="008871C8"/>
    <w:rsid w:val="008877CF"/>
    <w:rsid w:val="0089081C"/>
    <w:rsid w:val="00891078"/>
    <w:rsid w:val="00891182"/>
    <w:rsid w:val="00891692"/>
    <w:rsid w:val="008919AB"/>
    <w:rsid w:val="00891EB5"/>
    <w:rsid w:val="00891F88"/>
    <w:rsid w:val="0089258E"/>
    <w:rsid w:val="008940B6"/>
    <w:rsid w:val="0089444A"/>
    <w:rsid w:val="00896E6F"/>
    <w:rsid w:val="00897B43"/>
    <w:rsid w:val="00897E35"/>
    <w:rsid w:val="008A044C"/>
    <w:rsid w:val="008A0B81"/>
    <w:rsid w:val="008A0C12"/>
    <w:rsid w:val="008A0CDC"/>
    <w:rsid w:val="008A0D38"/>
    <w:rsid w:val="008A1468"/>
    <w:rsid w:val="008A1C4A"/>
    <w:rsid w:val="008A258C"/>
    <w:rsid w:val="008A2831"/>
    <w:rsid w:val="008A2AB3"/>
    <w:rsid w:val="008A2F72"/>
    <w:rsid w:val="008A369E"/>
    <w:rsid w:val="008A3A08"/>
    <w:rsid w:val="008A486A"/>
    <w:rsid w:val="008A4B5E"/>
    <w:rsid w:val="008A4EF6"/>
    <w:rsid w:val="008A55F7"/>
    <w:rsid w:val="008A5685"/>
    <w:rsid w:val="008A5AE2"/>
    <w:rsid w:val="008A7317"/>
    <w:rsid w:val="008A7747"/>
    <w:rsid w:val="008B1995"/>
    <w:rsid w:val="008B2CAE"/>
    <w:rsid w:val="008B3A63"/>
    <w:rsid w:val="008B3F99"/>
    <w:rsid w:val="008B4119"/>
    <w:rsid w:val="008B4E2E"/>
    <w:rsid w:val="008B4ED8"/>
    <w:rsid w:val="008B4F02"/>
    <w:rsid w:val="008B50EB"/>
    <w:rsid w:val="008B51E0"/>
    <w:rsid w:val="008B55C9"/>
    <w:rsid w:val="008B5A93"/>
    <w:rsid w:val="008B6292"/>
    <w:rsid w:val="008B62DF"/>
    <w:rsid w:val="008B6A21"/>
    <w:rsid w:val="008B7B7E"/>
    <w:rsid w:val="008C0E2F"/>
    <w:rsid w:val="008C0F38"/>
    <w:rsid w:val="008C12D3"/>
    <w:rsid w:val="008C1F73"/>
    <w:rsid w:val="008C21FD"/>
    <w:rsid w:val="008C39F8"/>
    <w:rsid w:val="008C3C93"/>
    <w:rsid w:val="008C3CE0"/>
    <w:rsid w:val="008C4FC5"/>
    <w:rsid w:val="008C5297"/>
    <w:rsid w:val="008C59F5"/>
    <w:rsid w:val="008C608A"/>
    <w:rsid w:val="008C6DC9"/>
    <w:rsid w:val="008C7A8B"/>
    <w:rsid w:val="008D04F6"/>
    <w:rsid w:val="008D0DB3"/>
    <w:rsid w:val="008D11E7"/>
    <w:rsid w:val="008D17D3"/>
    <w:rsid w:val="008D1D0F"/>
    <w:rsid w:val="008D2C02"/>
    <w:rsid w:val="008D372F"/>
    <w:rsid w:val="008D3859"/>
    <w:rsid w:val="008D4661"/>
    <w:rsid w:val="008D4C16"/>
    <w:rsid w:val="008D5522"/>
    <w:rsid w:val="008D560E"/>
    <w:rsid w:val="008D6961"/>
    <w:rsid w:val="008E014D"/>
    <w:rsid w:val="008E0680"/>
    <w:rsid w:val="008E17B9"/>
    <w:rsid w:val="008E1AC1"/>
    <w:rsid w:val="008E1B2D"/>
    <w:rsid w:val="008E2690"/>
    <w:rsid w:val="008E2943"/>
    <w:rsid w:val="008E31C5"/>
    <w:rsid w:val="008E430B"/>
    <w:rsid w:val="008E4392"/>
    <w:rsid w:val="008E4563"/>
    <w:rsid w:val="008E466E"/>
    <w:rsid w:val="008E6424"/>
    <w:rsid w:val="008E689B"/>
    <w:rsid w:val="008E695A"/>
    <w:rsid w:val="008E7091"/>
    <w:rsid w:val="008E76E5"/>
    <w:rsid w:val="008F0DBC"/>
    <w:rsid w:val="008F0ED5"/>
    <w:rsid w:val="008F0FA5"/>
    <w:rsid w:val="008F132D"/>
    <w:rsid w:val="008F2349"/>
    <w:rsid w:val="008F2B0A"/>
    <w:rsid w:val="008F2E97"/>
    <w:rsid w:val="008F33D3"/>
    <w:rsid w:val="008F3460"/>
    <w:rsid w:val="008F35D3"/>
    <w:rsid w:val="008F3A2E"/>
    <w:rsid w:val="008F3CC9"/>
    <w:rsid w:val="008F3F08"/>
    <w:rsid w:val="008F4058"/>
    <w:rsid w:val="008F4912"/>
    <w:rsid w:val="008F492E"/>
    <w:rsid w:val="008F49BB"/>
    <w:rsid w:val="008F4D41"/>
    <w:rsid w:val="008F501A"/>
    <w:rsid w:val="008F517F"/>
    <w:rsid w:val="008F5217"/>
    <w:rsid w:val="008F557A"/>
    <w:rsid w:val="008F60F2"/>
    <w:rsid w:val="008F6D61"/>
    <w:rsid w:val="008F7A16"/>
    <w:rsid w:val="008F7DFE"/>
    <w:rsid w:val="00900977"/>
    <w:rsid w:val="00901146"/>
    <w:rsid w:val="009013F9"/>
    <w:rsid w:val="00902308"/>
    <w:rsid w:val="00902946"/>
    <w:rsid w:val="00903A7A"/>
    <w:rsid w:val="00904170"/>
    <w:rsid w:val="00904173"/>
    <w:rsid w:val="00904408"/>
    <w:rsid w:val="0090552D"/>
    <w:rsid w:val="009062AB"/>
    <w:rsid w:val="009070D4"/>
    <w:rsid w:val="00907212"/>
    <w:rsid w:val="00907EE6"/>
    <w:rsid w:val="009103C1"/>
    <w:rsid w:val="00911F08"/>
    <w:rsid w:val="00912370"/>
    <w:rsid w:val="00912D23"/>
    <w:rsid w:val="00914598"/>
    <w:rsid w:val="00914DE3"/>
    <w:rsid w:val="009155B3"/>
    <w:rsid w:val="0091603C"/>
    <w:rsid w:val="009162FB"/>
    <w:rsid w:val="00916A67"/>
    <w:rsid w:val="00917688"/>
    <w:rsid w:val="00922216"/>
    <w:rsid w:val="009222E3"/>
    <w:rsid w:val="00922460"/>
    <w:rsid w:val="00923D85"/>
    <w:rsid w:val="00923FEC"/>
    <w:rsid w:val="00924034"/>
    <w:rsid w:val="009241B8"/>
    <w:rsid w:val="00924E32"/>
    <w:rsid w:val="00925019"/>
    <w:rsid w:val="00926287"/>
    <w:rsid w:val="00927140"/>
    <w:rsid w:val="009277FE"/>
    <w:rsid w:val="00927912"/>
    <w:rsid w:val="009307CE"/>
    <w:rsid w:val="0093098B"/>
    <w:rsid w:val="00930E4C"/>
    <w:rsid w:val="00931390"/>
    <w:rsid w:val="00932682"/>
    <w:rsid w:val="00932B0D"/>
    <w:rsid w:val="009332C8"/>
    <w:rsid w:val="00933E5C"/>
    <w:rsid w:val="009348E3"/>
    <w:rsid w:val="00934914"/>
    <w:rsid w:val="00934FF6"/>
    <w:rsid w:val="00935435"/>
    <w:rsid w:val="009355C8"/>
    <w:rsid w:val="00935F44"/>
    <w:rsid w:val="00936299"/>
    <w:rsid w:val="00936AD3"/>
    <w:rsid w:val="00936BB9"/>
    <w:rsid w:val="00936BED"/>
    <w:rsid w:val="00937123"/>
    <w:rsid w:val="00937785"/>
    <w:rsid w:val="0094010C"/>
    <w:rsid w:val="009403E9"/>
    <w:rsid w:val="00940497"/>
    <w:rsid w:val="00940877"/>
    <w:rsid w:val="00941346"/>
    <w:rsid w:val="00941687"/>
    <w:rsid w:val="00941D37"/>
    <w:rsid w:val="00942784"/>
    <w:rsid w:val="00942B65"/>
    <w:rsid w:val="00942FDF"/>
    <w:rsid w:val="0094307C"/>
    <w:rsid w:val="009436C8"/>
    <w:rsid w:val="009439A9"/>
    <w:rsid w:val="0094425F"/>
    <w:rsid w:val="0094446B"/>
    <w:rsid w:val="00945BF5"/>
    <w:rsid w:val="00946146"/>
    <w:rsid w:val="00946699"/>
    <w:rsid w:val="009468D3"/>
    <w:rsid w:val="00946AD2"/>
    <w:rsid w:val="00946BBD"/>
    <w:rsid w:val="00946F87"/>
    <w:rsid w:val="009473E5"/>
    <w:rsid w:val="00947600"/>
    <w:rsid w:val="00950E55"/>
    <w:rsid w:val="00950F51"/>
    <w:rsid w:val="00950F86"/>
    <w:rsid w:val="009515B8"/>
    <w:rsid w:val="00952054"/>
    <w:rsid w:val="0095207D"/>
    <w:rsid w:val="0095288B"/>
    <w:rsid w:val="009529EB"/>
    <w:rsid w:val="00952D9B"/>
    <w:rsid w:val="00953181"/>
    <w:rsid w:val="009534E4"/>
    <w:rsid w:val="00953731"/>
    <w:rsid w:val="009539C1"/>
    <w:rsid w:val="00953DD4"/>
    <w:rsid w:val="00954319"/>
    <w:rsid w:val="0095446D"/>
    <w:rsid w:val="00954662"/>
    <w:rsid w:val="009546F1"/>
    <w:rsid w:val="00955380"/>
    <w:rsid w:val="00956E8E"/>
    <w:rsid w:val="00957281"/>
    <w:rsid w:val="0095757C"/>
    <w:rsid w:val="009576CC"/>
    <w:rsid w:val="00957AA2"/>
    <w:rsid w:val="00960279"/>
    <w:rsid w:val="00960748"/>
    <w:rsid w:val="00960B1A"/>
    <w:rsid w:val="009610D0"/>
    <w:rsid w:val="009611F4"/>
    <w:rsid w:val="00962317"/>
    <w:rsid w:val="00962345"/>
    <w:rsid w:val="00962B49"/>
    <w:rsid w:val="0096398A"/>
    <w:rsid w:val="009646B8"/>
    <w:rsid w:val="009656B4"/>
    <w:rsid w:val="009657F7"/>
    <w:rsid w:val="00966702"/>
    <w:rsid w:val="00967920"/>
    <w:rsid w:val="00967BC3"/>
    <w:rsid w:val="009706AD"/>
    <w:rsid w:val="00970A8F"/>
    <w:rsid w:val="009713F8"/>
    <w:rsid w:val="009716CE"/>
    <w:rsid w:val="00971F09"/>
    <w:rsid w:val="009724EB"/>
    <w:rsid w:val="00973B95"/>
    <w:rsid w:val="0097465E"/>
    <w:rsid w:val="0097520A"/>
    <w:rsid w:val="009756EF"/>
    <w:rsid w:val="009766F7"/>
    <w:rsid w:val="00976A3A"/>
    <w:rsid w:val="00977D86"/>
    <w:rsid w:val="0098014A"/>
    <w:rsid w:val="009804A5"/>
    <w:rsid w:val="009804C2"/>
    <w:rsid w:val="00980C3A"/>
    <w:rsid w:val="00981333"/>
    <w:rsid w:val="00981DF6"/>
    <w:rsid w:val="00982900"/>
    <w:rsid w:val="00982BF6"/>
    <w:rsid w:val="00982EDD"/>
    <w:rsid w:val="00982FF1"/>
    <w:rsid w:val="00984B5A"/>
    <w:rsid w:val="00985A75"/>
    <w:rsid w:val="00985B93"/>
    <w:rsid w:val="00986052"/>
    <w:rsid w:val="009874DA"/>
    <w:rsid w:val="00987B92"/>
    <w:rsid w:val="00987F66"/>
    <w:rsid w:val="00993453"/>
    <w:rsid w:val="009938F5"/>
    <w:rsid w:val="00994033"/>
    <w:rsid w:val="00994ADB"/>
    <w:rsid w:val="00995583"/>
    <w:rsid w:val="0099634B"/>
    <w:rsid w:val="00996379"/>
    <w:rsid w:val="009967D5"/>
    <w:rsid w:val="00996B91"/>
    <w:rsid w:val="009A0557"/>
    <w:rsid w:val="009A099C"/>
    <w:rsid w:val="009A0A6A"/>
    <w:rsid w:val="009A1103"/>
    <w:rsid w:val="009A11F4"/>
    <w:rsid w:val="009A1222"/>
    <w:rsid w:val="009A1E5F"/>
    <w:rsid w:val="009A2402"/>
    <w:rsid w:val="009A2636"/>
    <w:rsid w:val="009A31C2"/>
    <w:rsid w:val="009A3562"/>
    <w:rsid w:val="009A3732"/>
    <w:rsid w:val="009A3ACA"/>
    <w:rsid w:val="009A4B5E"/>
    <w:rsid w:val="009A55E5"/>
    <w:rsid w:val="009A58C5"/>
    <w:rsid w:val="009A63B2"/>
    <w:rsid w:val="009A6697"/>
    <w:rsid w:val="009A6A30"/>
    <w:rsid w:val="009A6D56"/>
    <w:rsid w:val="009A7059"/>
    <w:rsid w:val="009A7F2B"/>
    <w:rsid w:val="009B0403"/>
    <w:rsid w:val="009B0626"/>
    <w:rsid w:val="009B083E"/>
    <w:rsid w:val="009B0917"/>
    <w:rsid w:val="009B18CE"/>
    <w:rsid w:val="009B1D9F"/>
    <w:rsid w:val="009B2DEE"/>
    <w:rsid w:val="009B3274"/>
    <w:rsid w:val="009B34B4"/>
    <w:rsid w:val="009B4F0C"/>
    <w:rsid w:val="009B51C8"/>
    <w:rsid w:val="009B59BC"/>
    <w:rsid w:val="009B6080"/>
    <w:rsid w:val="009B60DC"/>
    <w:rsid w:val="009B62E0"/>
    <w:rsid w:val="009B6318"/>
    <w:rsid w:val="009B662D"/>
    <w:rsid w:val="009B6A18"/>
    <w:rsid w:val="009B6B4E"/>
    <w:rsid w:val="009C0074"/>
    <w:rsid w:val="009C0A19"/>
    <w:rsid w:val="009C0D86"/>
    <w:rsid w:val="009C0F77"/>
    <w:rsid w:val="009C1492"/>
    <w:rsid w:val="009C16AD"/>
    <w:rsid w:val="009C1EB0"/>
    <w:rsid w:val="009C34AC"/>
    <w:rsid w:val="009C38F9"/>
    <w:rsid w:val="009C3BC4"/>
    <w:rsid w:val="009C3F53"/>
    <w:rsid w:val="009C42E3"/>
    <w:rsid w:val="009C45EE"/>
    <w:rsid w:val="009C4DAF"/>
    <w:rsid w:val="009C673D"/>
    <w:rsid w:val="009C69AC"/>
    <w:rsid w:val="009C6E63"/>
    <w:rsid w:val="009D0469"/>
    <w:rsid w:val="009D0AA0"/>
    <w:rsid w:val="009D0B61"/>
    <w:rsid w:val="009D0EDC"/>
    <w:rsid w:val="009D10E1"/>
    <w:rsid w:val="009D2390"/>
    <w:rsid w:val="009D258B"/>
    <w:rsid w:val="009D2A91"/>
    <w:rsid w:val="009D2AF5"/>
    <w:rsid w:val="009D2D20"/>
    <w:rsid w:val="009D2E23"/>
    <w:rsid w:val="009D343A"/>
    <w:rsid w:val="009D37B4"/>
    <w:rsid w:val="009D3DE2"/>
    <w:rsid w:val="009D59E7"/>
    <w:rsid w:val="009D5D2F"/>
    <w:rsid w:val="009D5DA0"/>
    <w:rsid w:val="009D6A12"/>
    <w:rsid w:val="009D7C40"/>
    <w:rsid w:val="009E00BA"/>
    <w:rsid w:val="009E074B"/>
    <w:rsid w:val="009E27F0"/>
    <w:rsid w:val="009E31C1"/>
    <w:rsid w:val="009E3673"/>
    <w:rsid w:val="009E369B"/>
    <w:rsid w:val="009E40D5"/>
    <w:rsid w:val="009E49C2"/>
    <w:rsid w:val="009E4B36"/>
    <w:rsid w:val="009E4F54"/>
    <w:rsid w:val="009E4FBF"/>
    <w:rsid w:val="009E54D0"/>
    <w:rsid w:val="009E733C"/>
    <w:rsid w:val="009E797A"/>
    <w:rsid w:val="009E7989"/>
    <w:rsid w:val="009E7E96"/>
    <w:rsid w:val="009F03CA"/>
    <w:rsid w:val="009F1204"/>
    <w:rsid w:val="009F1541"/>
    <w:rsid w:val="009F168E"/>
    <w:rsid w:val="009F1FD5"/>
    <w:rsid w:val="009F25AA"/>
    <w:rsid w:val="009F2910"/>
    <w:rsid w:val="009F2E6F"/>
    <w:rsid w:val="009F2E7F"/>
    <w:rsid w:val="009F2F65"/>
    <w:rsid w:val="009F45E3"/>
    <w:rsid w:val="009F4688"/>
    <w:rsid w:val="009F4CEB"/>
    <w:rsid w:val="009F4E5D"/>
    <w:rsid w:val="009F4FAB"/>
    <w:rsid w:val="009F506D"/>
    <w:rsid w:val="009F50B6"/>
    <w:rsid w:val="009F586D"/>
    <w:rsid w:val="009F5BBE"/>
    <w:rsid w:val="009F6072"/>
    <w:rsid w:val="009F6347"/>
    <w:rsid w:val="009F6C61"/>
    <w:rsid w:val="009F6DAB"/>
    <w:rsid w:val="009F6EA7"/>
    <w:rsid w:val="009F73E4"/>
    <w:rsid w:val="009F76A2"/>
    <w:rsid w:val="009F7ABA"/>
    <w:rsid w:val="00A0130F"/>
    <w:rsid w:val="00A0160D"/>
    <w:rsid w:val="00A01848"/>
    <w:rsid w:val="00A02356"/>
    <w:rsid w:val="00A02807"/>
    <w:rsid w:val="00A02A06"/>
    <w:rsid w:val="00A02F8A"/>
    <w:rsid w:val="00A033CD"/>
    <w:rsid w:val="00A03DC1"/>
    <w:rsid w:val="00A04019"/>
    <w:rsid w:val="00A04400"/>
    <w:rsid w:val="00A06622"/>
    <w:rsid w:val="00A06A35"/>
    <w:rsid w:val="00A070F3"/>
    <w:rsid w:val="00A07419"/>
    <w:rsid w:val="00A07535"/>
    <w:rsid w:val="00A076B7"/>
    <w:rsid w:val="00A1104A"/>
    <w:rsid w:val="00A11473"/>
    <w:rsid w:val="00A11730"/>
    <w:rsid w:val="00A122B6"/>
    <w:rsid w:val="00A12777"/>
    <w:rsid w:val="00A14A6C"/>
    <w:rsid w:val="00A14DB3"/>
    <w:rsid w:val="00A15C41"/>
    <w:rsid w:val="00A16070"/>
    <w:rsid w:val="00A16A18"/>
    <w:rsid w:val="00A16C4C"/>
    <w:rsid w:val="00A16D9E"/>
    <w:rsid w:val="00A16DE1"/>
    <w:rsid w:val="00A17AE4"/>
    <w:rsid w:val="00A20424"/>
    <w:rsid w:val="00A20717"/>
    <w:rsid w:val="00A207FF"/>
    <w:rsid w:val="00A21289"/>
    <w:rsid w:val="00A213EE"/>
    <w:rsid w:val="00A2151F"/>
    <w:rsid w:val="00A220CB"/>
    <w:rsid w:val="00A228ED"/>
    <w:rsid w:val="00A22BFC"/>
    <w:rsid w:val="00A25304"/>
    <w:rsid w:val="00A25947"/>
    <w:rsid w:val="00A2624B"/>
    <w:rsid w:val="00A262EB"/>
    <w:rsid w:val="00A26553"/>
    <w:rsid w:val="00A2665B"/>
    <w:rsid w:val="00A26CDF"/>
    <w:rsid w:val="00A26F28"/>
    <w:rsid w:val="00A27B5D"/>
    <w:rsid w:val="00A27E08"/>
    <w:rsid w:val="00A27EBD"/>
    <w:rsid w:val="00A30576"/>
    <w:rsid w:val="00A30861"/>
    <w:rsid w:val="00A312B3"/>
    <w:rsid w:val="00A315E2"/>
    <w:rsid w:val="00A31BDD"/>
    <w:rsid w:val="00A31C49"/>
    <w:rsid w:val="00A31FC0"/>
    <w:rsid w:val="00A32905"/>
    <w:rsid w:val="00A3331C"/>
    <w:rsid w:val="00A333C6"/>
    <w:rsid w:val="00A345ED"/>
    <w:rsid w:val="00A35BF9"/>
    <w:rsid w:val="00A35FBD"/>
    <w:rsid w:val="00A36D8E"/>
    <w:rsid w:val="00A37670"/>
    <w:rsid w:val="00A40B99"/>
    <w:rsid w:val="00A40F8C"/>
    <w:rsid w:val="00A410E8"/>
    <w:rsid w:val="00A41703"/>
    <w:rsid w:val="00A417DB"/>
    <w:rsid w:val="00A41FC8"/>
    <w:rsid w:val="00A424EA"/>
    <w:rsid w:val="00A42DA5"/>
    <w:rsid w:val="00A432C8"/>
    <w:rsid w:val="00A441B6"/>
    <w:rsid w:val="00A450C0"/>
    <w:rsid w:val="00A45C67"/>
    <w:rsid w:val="00A47206"/>
    <w:rsid w:val="00A472BD"/>
    <w:rsid w:val="00A47D9D"/>
    <w:rsid w:val="00A47DF0"/>
    <w:rsid w:val="00A50DD3"/>
    <w:rsid w:val="00A512F4"/>
    <w:rsid w:val="00A52E76"/>
    <w:rsid w:val="00A53E13"/>
    <w:rsid w:val="00A54564"/>
    <w:rsid w:val="00A55161"/>
    <w:rsid w:val="00A559FF"/>
    <w:rsid w:val="00A55A32"/>
    <w:rsid w:val="00A562C6"/>
    <w:rsid w:val="00A562F3"/>
    <w:rsid w:val="00A567DE"/>
    <w:rsid w:val="00A56811"/>
    <w:rsid w:val="00A56DC1"/>
    <w:rsid w:val="00A5738D"/>
    <w:rsid w:val="00A606A6"/>
    <w:rsid w:val="00A60753"/>
    <w:rsid w:val="00A60BCE"/>
    <w:rsid w:val="00A60F5C"/>
    <w:rsid w:val="00A6297E"/>
    <w:rsid w:val="00A62BA4"/>
    <w:rsid w:val="00A63108"/>
    <w:rsid w:val="00A634CA"/>
    <w:rsid w:val="00A64919"/>
    <w:rsid w:val="00A64D3D"/>
    <w:rsid w:val="00A6618A"/>
    <w:rsid w:val="00A6681F"/>
    <w:rsid w:val="00A678EA"/>
    <w:rsid w:val="00A67B45"/>
    <w:rsid w:val="00A71468"/>
    <w:rsid w:val="00A71528"/>
    <w:rsid w:val="00A71A51"/>
    <w:rsid w:val="00A720CF"/>
    <w:rsid w:val="00A7210F"/>
    <w:rsid w:val="00A72E53"/>
    <w:rsid w:val="00A73440"/>
    <w:rsid w:val="00A7350E"/>
    <w:rsid w:val="00A7365A"/>
    <w:rsid w:val="00A73EAC"/>
    <w:rsid w:val="00A7479A"/>
    <w:rsid w:val="00A751FC"/>
    <w:rsid w:val="00A75267"/>
    <w:rsid w:val="00A753CC"/>
    <w:rsid w:val="00A758DE"/>
    <w:rsid w:val="00A75A0E"/>
    <w:rsid w:val="00A76173"/>
    <w:rsid w:val="00A77C21"/>
    <w:rsid w:val="00A801A0"/>
    <w:rsid w:val="00A80228"/>
    <w:rsid w:val="00A802DF"/>
    <w:rsid w:val="00A8088A"/>
    <w:rsid w:val="00A80D75"/>
    <w:rsid w:val="00A81939"/>
    <w:rsid w:val="00A83493"/>
    <w:rsid w:val="00A84C2C"/>
    <w:rsid w:val="00A8594C"/>
    <w:rsid w:val="00A85C24"/>
    <w:rsid w:val="00A86312"/>
    <w:rsid w:val="00A863E9"/>
    <w:rsid w:val="00A865A4"/>
    <w:rsid w:val="00A868AA"/>
    <w:rsid w:val="00A87ACC"/>
    <w:rsid w:val="00A87D37"/>
    <w:rsid w:val="00A90288"/>
    <w:rsid w:val="00A909DC"/>
    <w:rsid w:val="00A909E3"/>
    <w:rsid w:val="00A91019"/>
    <w:rsid w:val="00A9127D"/>
    <w:rsid w:val="00A91402"/>
    <w:rsid w:val="00A91499"/>
    <w:rsid w:val="00A91CB1"/>
    <w:rsid w:val="00A92EDD"/>
    <w:rsid w:val="00A93A8D"/>
    <w:rsid w:val="00A94382"/>
    <w:rsid w:val="00A957B3"/>
    <w:rsid w:val="00A96152"/>
    <w:rsid w:val="00A97F98"/>
    <w:rsid w:val="00AA040A"/>
    <w:rsid w:val="00AA0CC8"/>
    <w:rsid w:val="00AA0E8D"/>
    <w:rsid w:val="00AA16CC"/>
    <w:rsid w:val="00AA368A"/>
    <w:rsid w:val="00AA36A4"/>
    <w:rsid w:val="00AA3DDC"/>
    <w:rsid w:val="00AA4BC4"/>
    <w:rsid w:val="00AA6B33"/>
    <w:rsid w:val="00AA75B2"/>
    <w:rsid w:val="00AA7704"/>
    <w:rsid w:val="00AA7B4A"/>
    <w:rsid w:val="00AA7D64"/>
    <w:rsid w:val="00AB0380"/>
    <w:rsid w:val="00AB13FB"/>
    <w:rsid w:val="00AB1CB9"/>
    <w:rsid w:val="00AB242E"/>
    <w:rsid w:val="00AB2E13"/>
    <w:rsid w:val="00AB329C"/>
    <w:rsid w:val="00AB32F1"/>
    <w:rsid w:val="00AB3518"/>
    <w:rsid w:val="00AB3907"/>
    <w:rsid w:val="00AB3BCC"/>
    <w:rsid w:val="00AB3E8B"/>
    <w:rsid w:val="00AB46B5"/>
    <w:rsid w:val="00AB4962"/>
    <w:rsid w:val="00AB529A"/>
    <w:rsid w:val="00AB56C9"/>
    <w:rsid w:val="00AB570B"/>
    <w:rsid w:val="00AB5A65"/>
    <w:rsid w:val="00AB6653"/>
    <w:rsid w:val="00AB6FA4"/>
    <w:rsid w:val="00AB7104"/>
    <w:rsid w:val="00AB77EC"/>
    <w:rsid w:val="00AB78C2"/>
    <w:rsid w:val="00AC16C8"/>
    <w:rsid w:val="00AC392B"/>
    <w:rsid w:val="00AC417D"/>
    <w:rsid w:val="00AC4CAF"/>
    <w:rsid w:val="00AC61D2"/>
    <w:rsid w:val="00AC6EF7"/>
    <w:rsid w:val="00AC7787"/>
    <w:rsid w:val="00AC7B26"/>
    <w:rsid w:val="00AC7E49"/>
    <w:rsid w:val="00AC7FFE"/>
    <w:rsid w:val="00AD16F5"/>
    <w:rsid w:val="00AD1E78"/>
    <w:rsid w:val="00AD224D"/>
    <w:rsid w:val="00AD3A13"/>
    <w:rsid w:val="00AD41BB"/>
    <w:rsid w:val="00AD4654"/>
    <w:rsid w:val="00AD4A39"/>
    <w:rsid w:val="00AD4B79"/>
    <w:rsid w:val="00AD5597"/>
    <w:rsid w:val="00AD676F"/>
    <w:rsid w:val="00AD68FD"/>
    <w:rsid w:val="00AD6E8D"/>
    <w:rsid w:val="00AD736A"/>
    <w:rsid w:val="00AD739E"/>
    <w:rsid w:val="00AD7E89"/>
    <w:rsid w:val="00AE0D83"/>
    <w:rsid w:val="00AE1A02"/>
    <w:rsid w:val="00AE1F17"/>
    <w:rsid w:val="00AE21B9"/>
    <w:rsid w:val="00AE22AB"/>
    <w:rsid w:val="00AE22DC"/>
    <w:rsid w:val="00AE2440"/>
    <w:rsid w:val="00AE275D"/>
    <w:rsid w:val="00AE2885"/>
    <w:rsid w:val="00AE32ED"/>
    <w:rsid w:val="00AE3F0E"/>
    <w:rsid w:val="00AE4872"/>
    <w:rsid w:val="00AE4A51"/>
    <w:rsid w:val="00AE572F"/>
    <w:rsid w:val="00AE5D78"/>
    <w:rsid w:val="00AE6C2B"/>
    <w:rsid w:val="00AE7929"/>
    <w:rsid w:val="00AF0E7C"/>
    <w:rsid w:val="00AF21D0"/>
    <w:rsid w:val="00AF36E3"/>
    <w:rsid w:val="00AF39EB"/>
    <w:rsid w:val="00AF474A"/>
    <w:rsid w:val="00AF510F"/>
    <w:rsid w:val="00AF5803"/>
    <w:rsid w:val="00AF61F3"/>
    <w:rsid w:val="00AF6E5F"/>
    <w:rsid w:val="00AF6EA1"/>
    <w:rsid w:val="00AF7B8A"/>
    <w:rsid w:val="00B00548"/>
    <w:rsid w:val="00B00808"/>
    <w:rsid w:val="00B00EDF"/>
    <w:rsid w:val="00B01988"/>
    <w:rsid w:val="00B0235D"/>
    <w:rsid w:val="00B02CDC"/>
    <w:rsid w:val="00B03872"/>
    <w:rsid w:val="00B038CD"/>
    <w:rsid w:val="00B03D32"/>
    <w:rsid w:val="00B04962"/>
    <w:rsid w:val="00B0647A"/>
    <w:rsid w:val="00B10A6A"/>
    <w:rsid w:val="00B10C45"/>
    <w:rsid w:val="00B114DB"/>
    <w:rsid w:val="00B11946"/>
    <w:rsid w:val="00B11D8F"/>
    <w:rsid w:val="00B121AC"/>
    <w:rsid w:val="00B129AE"/>
    <w:rsid w:val="00B1490C"/>
    <w:rsid w:val="00B1775E"/>
    <w:rsid w:val="00B177E0"/>
    <w:rsid w:val="00B17939"/>
    <w:rsid w:val="00B201E3"/>
    <w:rsid w:val="00B2055E"/>
    <w:rsid w:val="00B20B85"/>
    <w:rsid w:val="00B20F8C"/>
    <w:rsid w:val="00B21429"/>
    <w:rsid w:val="00B21514"/>
    <w:rsid w:val="00B2155F"/>
    <w:rsid w:val="00B21D2E"/>
    <w:rsid w:val="00B22962"/>
    <w:rsid w:val="00B23250"/>
    <w:rsid w:val="00B236CE"/>
    <w:rsid w:val="00B2378C"/>
    <w:rsid w:val="00B246BC"/>
    <w:rsid w:val="00B2528B"/>
    <w:rsid w:val="00B25386"/>
    <w:rsid w:val="00B26132"/>
    <w:rsid w:val="00B267FA"/>
    <w:rsid w:val="00B27077"/>
    <w:rsid w:val="00B27580"/>
    <w:rsid w:val="00B278C5"/>
    <w:rsid w:val="00B3054F"/>
    <w:rsid w:val="00B31B56"/>
    <w:rsid w:val="00B3275B"/>
    <w:rsid w:val="00B33210"/>
    <w:rsid w:val="00B336E7"/>
    <w:rsid w:val="00B341BF"/>
    <w:rsid w:val="00B346DB"/>
    <w:rsid w:val="00B34AA3"/>
    <w:rsid w:val="00B352D2"/>
    <w:rsid w:val="00B354F3"/>
    <w:rsid w:val="00B36581"/>
    <w:rsid w:val="00B36832"/>
    <w:rsid w:val="00B37B15"/>
    <w:rsid w:val="00B41139"/>
    <w:rsid w:val="00B446C6"/>
    <w:rsid w:val="00B446E6"/>
    <w:rsid w:val="00B449ED"/>
    <w:rsid w:val="00B44C66"/>
    <w:rsid w:val="00B44F84"/>
    <w:rsid w:val="00B452DD"/>
    <w:rsid w:val="00B45947"/>
    <w:rsid w:val="00B46B59"/>
    <w:rsid w:val="00B4735E"/>
    <w:rsid w:val="00B47B46"/>
    <w:rsid w:val="00B47C82"/>
    <w:rsid w:val="00B47DF5"/>
    <w:rsid w:val="00B47EB5"/>
    <w:rsid w:val="00B50096"/>
    <w:rsid w:val="00B51765"/>
    <w:rsid w:val="00B53729"/>
    <w:rsid w:val="00B5491F"/>
    <w:rsid w:val="00B55085"/>
    <w:rsid w:val="00B551CE"/>
    <w:rsid w:val="00B55620"/>
    <w:rsid w:val="00B55D92"/>
    <w:rsid w:val="00B572C5"/>
    <w:rsid w:val="00B5740F"/>
    <w:rsid w:val="00B57D01"/>
    <w:rsid w:val="00B57D6E"/>
    <w:rsid w:val="00B61832"/>
    <w:rsid w:val="00B6244C"/>
    <w:rsid w:val="00B62AA9"/>
    <w:rsid w:val="00B6358D"/>
    <w:rsid w:val="00B6378A"/>
    <w:rsid w:val="00B637DD"/>
    <w:rsid w:val="00B63DF5"/>
    <w:rsid w:val="00B64C8C"/>
    <w:rsid w:val="00B64E05"/>
    <w:rsid w:val="00B65F89"/>
    <w:rsid w:val="00B6618A"/>
    <w:rsid w:val="00B66382"/>
    <w:rsid w:val="00B674BD"/>
    <w:rsid w:val="00B67C50"/>
    <w:rsid w:val="00B70FD3"/>
    <w:rsid w:val="00B71800"/>
    <w:rsid w:val="00B72BA2"/>
    <w:rsid w:val="00B7362A"/>
    <w:rsid w:val="00B74076"/>
    <w:rsid w:val="00B7451B"/>
    <w:rsid w:val="00B7453E"/>
    <w:rsid w:val="00B75538"/>
    <w:rsid w:val="00B75A58"/>
    <w:rsid w:val="00B76337"/>
    <w:rsid w:val="00B77741"/>
    <w:rsid w:val="00B80D4F"/>
    <w:rsid w:val="00B80E0A"/>
    <w:rsid w:val="00B81275"/>
    <w:rsid w:val="00B81721"/>
    <w:rsid w:val="00B82354"/>
    <w:rsid w:val="00B825FB"/>
    <w:rsid w:val="00B8300A"/>
    <w:rsid w:val="00B8359F"/>
    <w:rsid w:val="00B83DD1"/>
    <w:rsid w:val="00B83ED5"/>
    <w:rsid w:val="00B8443B"/>
    <w:rsid w:val="00B8498B"/>
    <w:rsid w:val="00B86FB5"/>
    <w:rsid w:val="00B87095"/>
    <w:rsid w:val="00B87535"/>
    <w:rsid w:val="00B90768"/>
    <w:rsid w:val="00B907BC"/>
    <w:rsid w:val="00B907C0"/>
    <w:rsid w:val="00B90F07"/>
    <w:rsid w:val="00B91907"/>
    <w:rsid w:val="00B93DB3"/>
    <w:rsid w:val="00B94B61"/>
    <w:rsid w:val="00B969B8"/>
    <w:rsid w:val="00B96ADE"/>
    <w:rsid w:val="00B97112"/>
    <w:rsid w:val="00BA02FC"/>
    <w:rsid w:val="00BA089D"/>
    <w:rsid w:val="00BA0CD6"/>
    <w:rsid w:val="00BA13FA"/>
    <w:rsid w:val="00BA169E"/>
    <w:rsid w:val="00BA171D"/>
    <w:rsid w:val="00BA3F73"/>
    <w:rsid w:val="00BA46BE"/>
    <w:rsid w:val="00BA46E3"/>
    <w:rsid w:val="00BA5852"/>
    <w:rsid w:val="00BA60B7"/>
    <w:rsid w:val="00BA6C9A"/>
    <w:rsid w:val="00BA733E"/>
    <w:rsid w:val="00BB0A66"/>
    <w:rsid w:val="00BB0D5D"/>
    <w:rsid w:val="00BB101D"/>
    <w:rsid w:val="00BB1419"/>
    <w:rsid w:val="00BB14F1"/>
    <w:rsid w:val="00BB18D4"/>
    <w:rsid w:val="00BB1A22"/>
    <w:rsid w:val="00BB23CF"/>
    <w:rsid w:val="00BB27D7"/>
    <w:rsid w:val="00BB2D96"/>
    <w:rsid w:val="00BB2E76"/>
    <w:rsid w:val="00BB4022"/>
    <w:rsid w:val="00BB44DB"/>
    <w:rsid w:val="00BB47EE"/>
    <w:rsid w:val="00BB48E8"/>
    <w:rsid w:val="00BB590A"/>
    <w:rsid w:val="00BB61B7"/>
    <w:rsid w:val="00BB6CB7"/>
    <w:rsid w:val="00BB6E73"/>
    <w:rsid w:val="00BB751F"/>
    <w:rsid w:val="00BC0B56"/>
    <w:rsid w:val="00BC1C25"/>
    <w:rsid w:val="00BC1FFC"/>
    <w:rsid w:val="00BC3EDD"/>
    <w:rsid w:val="00BC4932"/>
    <w:rsid w:val="00BC4BB5"/>
    <w:rsid w:val="00BC4D67"/>
    <w:rsid w:val="00BC51D7"/>
    <w:rsid w:val="00BC6189"/>
    <w:rsid w:val="00BC6207"/>
    <w:rsid w:val="00BC63A8"/>
    <w:rsid w:val="00BC69DA"/>
    <w:rsid w:val="00BC7913"/>
    <w:rsid w:val="00BC7CF0"/>
    <w:rsid w:val="00BD0ACC"/>
    <w:rsid w:val="00BD0B80"/>
    <w:rsid w:val="00BD106C"/>
    <w:rsid w:val="00BD1582"/>
    <w:rsid w:val="00BD2261"/>
    <w:rsid w:val="00BD295C"/>
    <w:rsid w:val="00BD2E28"/>
    <w:rsid w:val="00BD3817"/>
    <w:rsid w:val="00BD4FEA"/>
    <w:rsid w:val="00BD503C"/>
    <w:rsid w:val="00BD5C60"/>
    <w:rsid w:val="00BD5CE7"/>
    <w:rsid w:val="00BD651B"/>
    <w:rsid w:val="00BD66E4"/>
    <w:rsid w:val="00BD6F5F"/>
    <w:rsid w:val="00BD7015"/>
    <w:rsid w:val="00BD74C3"/>
    <w:rsid w:val="00BD764E"/>
    <w:rsid w:val="00BD7699"/>
    <w:rsid w:val="00BD77C2"/>
    <w:rsid w:val="00BD7A60"/>
    <w:rsid w:val="00BD7ECA"/>
    <w:rsid w:val="00BE05C6"/>
    <w:rsid w:val="00BE0CD7"/>
    <w:rsid w:val="00BE0D49"/>
    <w:rsid w:val="00BE1114"/>
    <w:rsid w:val="00BE1115"/>
    <w:rsid w:val="00BE1226"/>
    <w:rsid w:val="00BE2BAF"/>
    <w:rsid w:val="00BE2DB1"/>
    <w:rsid w:val="00BE3276"/>
    <w:rsid w:val="00BE3E06"/>
    <w:rsid w:val="00BE447A"/>
    <w:rsid w:val="00BE5745"/>
    <w:rsid w:val="00BE6F7E"/>
    <w:rsid w:val="00BE7372"/>
    <w:rsid w:val="00BE74AE"/>
    <w:rsid w:val="00BE78A2"/>
    <w:rsid w:val="00BE7A5B"/>
    <w:rsid w:val="00BE7F12"/>
    <w:rsid w:val="00BF075C"/>
    <w:rsid w:val="00BF0DB9"/>
    <w:rsid w:val="00BF1C06"/>
    <w:rsid w:val="00BF26BF"/>
    <w:rsid w:val="00BF32EF"/>
    <w:rsid w:val="00BF3B37"/>
    <w:rsid w:val="00BF456F"/>
    <w:rsid w:val="00BF4947"/>
    <w:rsid w:val="00BF5088"/>
    <w:rsid w:val="00BF50BF"/>
    <w:rsid w:val="00BF51F3"/>
    <w:rsid w:val="00BF5306"/>
    <w:rsid w:val="00BF74C2"/>
    <w:rsid w:val="00BF759F"/>
    <w:rsid w:val="00BF7826"/>
    <w:rsid w:val="00BF7F15"/>
    <w:rsid w:val="00C0072F"/>
    <w:rsid w:val="00C00844"/>
    <w:rsid w:val="00C00EDF"/>
    <w:rsid w:val="00C00F11"/>
    <w:rsid w:val="00C0216F"/>
    <w:rsid w:val="00C027C1"/>
    <w:rsid w:val="00C028BD"/>
    <w:rsid w:val="00C0297C"/>
    <w:rsid w:val="00C030A0"/>
    <w:rsid w:val="00C036F4"/>
    <w:rsid w:val="00C03712"/>
    <w:rsid w:val="00C0455D"/>
    <w:rsid w:val="00C04785"/>
    <w:rsid w:val="00C04E52"/>
    <w:rsid w:val="00C04F50"/>
    <w:rsid w:val="00C0502C"/>
    <w:rsid w:val="00C05AC7"/>
    <w:rsid w:val="00C076DC"/>
    <w:rsid w:val="00C10662"/>
    <w:rsid w:val="00C10F2F"/>
    <w:rsid w:val="00C110E1"/>
    <w:rsid w:val="00C11B28"/>
    <w:rsid w:val="00C11B3A"/>
    <w:rsid w:val="00C13A4A"/>
    <w:rsid w:val="00C13AFF"/>
    <w:rsid w:val="00C13D0F"/>
    <w:rsid w:val="00C13F50"/>
    <w:rsid w:val="00C14C0D"/>
    <w:rsid w:val="00C14CB5"/>
    <w:rsid w:val="00C15CBE"/>
    <w:rsid w:val="00C163EB"/>
    <w:rsid w:val="00C16CCE"/>
    <w:rsid w:val="00C17098"/>
    <w:rsid w:val="00C17385"/>
    <w:rsid w:val="00C17B6A"/>
    <w:rsid w:val="00C20826"/>
    <w:rsid w:val="00C21011"/>
    <w:rsid w:val="00C225B7"/>
    <w:rsid w:val="00C2266D"/>
    <w:rsid w:val="00C22AD1"/>
    <w:rsid w:val="00C22B50"/>
    <w:rsid w:val="00C22BA0"/>
    <w:rsid w:val="00C22F8E"/>
    <w:rsid w:val="00C23187"/>
    <w:rsid w:val="00C23A77"/>
    <w:rsid w:val="00C23CEA"/>
    <w:rsid w:val="00C24A02"/>
    <w:rsid w:val="00C24B88"/>
    <w:rsid w:val="00C2515A"/>
    <w:rsid w:val="00C25E29"/>
    <w:rsid w:val="00C25E49"/>
    <w:rsid w:val="00C25F1A"/>
    <w:rsid w:val="00C26635"/>
    <w:rsid w:val="00C26642"/>
    <w:rsid w:val="00C27467"/>
    <w:rsid w:val="00C27641"/>
    <w:rsid w:val="00C27E67"/>
    <w:rsid w:val="00C30346"/>
    <w:rsid w:val="00C30358"/>
    <w:rsid w:val="00C30829"/>
    <w:rsid w:val="00C30E1A"/>
    <w:rsid w:val="00C30F44"/>
    <w:rsid w:val="00C314FB"/>
    <w:rsid w:val="00C31ECB"/>
    <w:rsid w:val="00C32295"/>
    <w:rsid w:val="00C3294A"/>
    <w:rsid w:val="00C33EA0"/>
    <w:rsid w:val="00C3429C"/>
    <w:rsid w:val="00C3480E"/>
    <w:rsid w:val="00C34B15"/>
    <w:rsid w:val="00C34EAC"/>
    <w:rsid w:val="00C3614B"/>
    <w:rsid w:val="00C36AC6"/>
    <w:rsid w:val="00C3704D"/>
    <w:rsid w:val="00C407A5"/>
    <w:rsid w:val="00C40997"/>
    <w:rsid w:val="00C427E8"/>
    <w:rsid w:val="00C43203"/>
    <w:rsid w:val="00C43B01"/>
    <w:rsid w:val="00C440FD"/>
    <w:rsid w:val="00C44390"/>
    <w:rsid w:val="00C45293"/>
    <w:rsid w:val="00C454BA"/>
    <w:rsid w:val="00C45721"/>
    <w:rsid w:val="00C4586E"/>
    <w:rsid w:val="00C458B5"/>
    <w:rsid w:val="00C45A91"/>
    <w:rsid w:val="00C45E71"/>
    <w:rsid w:val="00C45EE4"/>
    <w:rsid w:val="00C464CE"/>
    <w:rsid w:val="00C46B65"/>
    <w:rsid w:val="00C4735F"/>
    <w:rsid w:val="00C473DF"/>
    <w:rsid w:val="00C47FE1"/>
    <w:rsid w:val="00C5027F"/>
    <w:rsid w:val="00C50E05"/>
    <w:rsid w:val="00C51AE1"/>
    <w:rsid w:val="00C52048"/>
    <w:rsid w:val="00C5247E"/>
    <w:rsid w:val="00C52804"/>
    <w:rsid w:val="00C53FC1"/>
    <w:rsid w:val="00C554F1"/>
    <w:rsid w:val="00C55827"/>
    <w:rsid w:val="00C56801"/>
    <w:rsid w:val="00C56C4D"/>
    <w:rsid w:val="00C570AE"/>
    <w:rsid w:val="00C60650"/>
    <w:rsid w:val="00C60C29"/>
    <w:rsid w:val="00C61714"/>
    <w:rsid w:val="00C61BDF"/>
    <w:rsid w:val="00C62979"/>
    <w:rsid w:val="00C62BF6"/>
    <w:rsid w:val="00C632D7"/>
    <w:rsid w:val="00C63573"/>
    <w:rsid w:val="00C637FC"/>
    <w:rsid w:val="00C63A72"/>
    <w:rsid w:val="00C64052"/>
    <w:rsid w:val="00C64245"/>
    <w:rsid w:val="00C642CE"/>
    <w:rsid w:val="00C64D91"/>
    <w:rsid w:val="00C653E2"/>
    <w:rsid w:val="00C658A2"/>
    <w:rsid w:val="00C65986"/>
    <w:rsid w:val="00C66080"/>
    <w:rsid w:val="00C66BF9"/>
    <w:rsid w:val="00C6725A"/>
    <w:rsid w:val="00C675AC"/>
    <w:rsid w:val="00C67F6F"/>
    <w:rsid w:val="00C70004"/>
    <w:rsid w:val="00C70469"/>
    <w:rsid w:val="00C7087E"/>
    <w:rsid w:val="00C70BB7"/>
    <w:rsid w:val="00C71534"/>
    <w:rsid w:val="00C718FE"/>
    <w:rsid w:val="00C73E94"/>
    <w:rsid w:val="00C741C7"/>
    <w:rsid w:val="00C74597"/>
    <w:rsid w:val="00C74B81"/>
    <w:rsid w:val="00C7584A"/>
    <w:rsid w:val="00C768F3"/>
    <w:rsid w:val="00C76D65"/>
    <w:rsid w:val="00C773A1"/>
    <w:rsid w:val="00C80685"/>
    <w:rsid w:val="00C80C7F"/>
    <w:rsid w:val="00C80F40"/>
    <w:rsid w:val="00C81586"/>
    <w:rsid w:val="00C81E7A"/>
    <w:rsid w:val="00C82040"/>
    <w:rsid w:val="00C82B5B"/>
    <w:rsid w:val="00C8316F"/>
    <w:rsid w:val="00C84B6B"/>
    <w:rsid w:val="00C84FEC"/>
    <w:rsid w:val="00C85404"/>
    <w:rsid w:val="00C8589D"/>
    <w:rsid w:val="00C85B1B"/>
    <w:rsid w:val="00C85BD5"/>
    <w:rsid w:val="00C86D78"/>
    <w:rsid w:val="00C87434"/>
    <w:rsid w:val="00C90011"/>
    <w:rsid w:val="00C91BC5"/>
    <w:rsid w:val="00C930C7"/>
    <w:rsid w:val="00C931DC"/>
    <w:rsid w:val="00C93533"/>
    <w:rsid w:val="00C93673"/>
    <w:rsid w:val="00C9406F"/>
    <w:rsid w:val="00C95022"/>
    <w:rsid w:val="00C95560"/>
    <w:rsid w:val="00C95BC8"/>
    <w:rsid w:val="00C96099"/>
    <w:rsid w:val="00C96226"/>
    <w:rsid w:val="00C96411"/>
    <w:rsid w:val="00C96B7D"/>
    <w:rsid w:val="00C96E4A"/>
    <w:rsid w:val="00C97A9E"/>
    <w:rsid w:val="00CA01F8"/>
    <w:rsid w:val="00CA13C6"/>
    <w:rsid w:val="00CA1AF2"/>
    <w:rsid w:val="00CA32C4"/>
    <w:rsid w:val="00CA36E7"/>
    <w:rsid w:val="00CA3BFF"/>
    <w:rsid w:val="00CA4263"/>
    <w:rsid w:val="00CA42A7"/>
    <w:rsid w:val="00CA4579"/>
    <w:rsid w:val="00CA56DD"/>
    <w:rsid w:val="00CA5E38"/>
    <w:rsid w:val="00CA5FC8"/>
    <w:rsid w:val="00CA6154"/>
    <w:rsid w:val="00CA651F"/>
    <w:rsid w:val="00CA710F"/>
    <w:rsid w:val="00CB0838"/>
    <w:rsid w:val="00CB0FAF"/>
    <w:rsid w:val="00CB1A36"/>
    <w:rsid w:val="00CB2593"/>
    <w:rsid w:val="00CB2E0F"/>
    <w:rsid w:val="00CB3483"/>
    <w:rsid w:val="00CB3870"/>
    <w:rsid w:val="00CB3A67"/>
    <w:rsid w:val="00CB4A55"/>
    <w:rsid w:val="00CB4B24"/>
    <w:rsid w:val="00CB4F34"/>
    <w:rsid w:val="00CB5B07"/>
    <w:rsid w:val="00CB5E06"/>
    <w:rsid w:val="00CB6E5D"/>
    <w:rsid w:val="00CB748F"/>
    <w:rsid w:val="00CB7E4B"/>
    <w:rsid w:val="00CC102C"/>
    <w:rsid w:val="00CC10ED"/>
    <w:rsid w:val="00CC2698"/>
    <w:rsid w:val="00CC2F9E"/>
    <w:rsid w:val="00CC30D1"/>
    <w:rsid w:val="00CC4128"/>
    <w:rsid w:val="00CC5F5A"/>
    <w:rsid w:val="00CC5F9C"/>
    <w:rsid w:val="00CC663D"/>
    <w:rsid w:val="00CC68BB"/>
    <w:rsid w:val="00CC7556"/>
    <w:rsid w:val="00CC7568"/>
    <w:rsid w:val="00CC7B28"/>
    <w:rsid w:val="00CC7D4D"/>
    <w:rsid w:val="00CD07C8"/>
    <w:rsid w:val="00CD0B7B"/>
    <w:rsid w:val="00CD14DE"/>
    <w:rsid w:val="00CD1B73"/>
    <w:rsid w:val="00CD3A01"/>
    <w:rsid w:val="00CD3E3F"/>
    <w:rsid w:val="00CD48EF"/>
    <w:rsid w:val="00CD4E24"/>
    <w:rsid w:val="00CD4FB7"/>
    <w:rsid w:val="00CD5502"/>
    <w:rsid w:val="00CD5660"/>
    <w:rsid w:val="00CD6737"/>
    <w:rsid w:val="00CD70A5"/>
    <w:rsid w:val="00CD7E17"/>
    <w:rsid w:val="00CE26BE"/>
    <w:rsid w:val="00CE2FEA"/>
    <w:rsid w:val="00CE37C5"/>
    <w:rsid w:val="00CE4186"/>
    <w:rsid w:val="00CE4CE7"/>
    <w:rsid w:val="00CE4D84"/>
    <w:rsid w:val="00CE4F84"/>
    <w:rsid w:val="00CE5927"/>
    <w:rsid w:val="00CE617A"/>
    <w:rsid w:val="00CE6B8C"/>
    <w:rsid w:val="00CE6CEC"/>
    <w:rsid w:val="00CE764E"/>
    <w:rsid w:val="00CE792B"/>
    <w:rsid w:val="00CE7FCB"/>
    <w:rsid w:val="00CF0659"/>
    <w:rsid w:val="00CF06C3"/>
    <w:rsid w:val="00CF10AB"/>
    <w:rsid w:val="00CF166B"/>
    <w:rsid w:val="00CF1857"/>
    <w:rsid w:val="00CF191A"/>
    <w:rsid w:val="00CF196E"/>
    <w:rsid w:val="00CF2425"/>
    <w:rsid w:val="00CF2908"/>
    <w:rsid w:val="00CF3876"/>
    <w:rsid w:val="00CF42FB"/>
    <w:rsid w:val="00CF4B29"/>
    <w:rsid w:val="00CF56BB"/>
    <w:rsid w:val="00CF62AE"/>
    <w:rsid w:val="00CF7734"/>
    <w:rsid w:val="00CF7CB3"/>
    <w:rsid w:val="00CF7F77"/>
    <w:rsid w:val="00D02126"/>
    <w:rsid w:val="00D021B3"/>
    <w:rsid w:val="00D0366A"/>
    <w:rsid w:val="00D048D0"/>
    <w:rsid w:val="00D05557"/>
    <w:rsid w:val="00D05E68"/>
    <w:rsid w:val="00D06178"/>
    <w:rsid w:val="00D0618B"/>
    <w:rsid w:val="00D06716"/>
    <w:rsid w:val="00D06C4D"/>
    <w:rsid w:val="00D0727C"/>
    <w:rsid w:val="00D07518"/>
    <w:rsid w:val="00D07BB0"/>
    <w:rsid w:val="00D10C6D"/>
    <w:rsid w:val="00D10CE5"/>
    <w:rsid w:val="00D10F78"/>
    <w:rsid w:val="00D113A3"/>
    <w:rsid w:val="00D11BD7"/>
    <w:rsid w:val="00D1267B"/>
    <w:rsid w:val="00D12C2C"/>
    <w:rsid w:val="00D13123"/>
    <w:rsid w:val="00D1398B"/>
    <w:rsid w:val="00D14AFD"/>
    <w:rsid w:val="00D14EB4"/>
    <w:rsid w:val="00D151C2"/>
    <w:rsid w:val="00D15292"/>
    <w:rsid w:val="00D15ECA"/>
    <w:rsid w:val="00D163F5"/>
    <w:rsid w:val="00D1653C"/>
    <w:rsid w:val="00D1795D"/>
    <w:rsid w:val="00D2018B"/>
    <w:rsid w:val="00D21877"/>
    <w:rsid w:val="00D23043"/>
    <w:rsid w:val="00D24B00"/>
    <w:rsid w:val="00D24C7D"/>
    <w:rsid w:val="00D24FF9"/>
    <w:rsid w:val="00D26624"/>
    <w:rsid w:val="00D26637"/>
    <w:rsid w:val="00D26DD3"/>
    <w:rsid w:val="00D27690"/>
    <w:rsid w:val="00D27796"/>
    <w:rsid w:val="00D278B2"/>
    <w:rsid w:val="00D31D37"/>
    <w:rsid w:val="00D32694"/>
    <w:rsid w:val="00D3482A"/>
    <w:rsid w:val="00D351CA"/>
    <w:rsid w:val="00D35577"/>
    <w:rsid w:val="00D367AA"/>
    <w:rsid w:val="00D37202"/>
    <w:rsid w:val="00D3725D"/>
    <w:rsid w:val="00D37CE9"/>
    <w:rsid w:val="00D401AD"/>
    <w:rsid w:val="00D4087C"/>
    <w:rsid w:val="00D40AA5"/>
    <w:rsid w:val="00D40AB3"/>
    <w:rsid w:val="00D41271"/>
    <w:rsid w:val="00D42DAD"/>
    <w:rsid w:val="00D42EFB"/>
    <w:rsid w:val="00D432B9"/>
    <w:rsid w:val="00D43323"/>
    <w:rsid w:val="00D43841"/>
    <w:rsid w:val="00D43BB4"/>
    <w:rsid w:val="00D451AF"/>
    <w:rsid w:val="00D4556D"/>
    <w:rsid w:val="00D461F3"/>
    <w:rsid w:val="00D473FA"/>
    <w:rsid w:val="00D47504"/>
    <w:rsid w:val="00D479DB"/>
    <w:rsid w:val="00D510D4"/>
    <w:rsid w:val="00D526C4"/>
    <w:rsid w:val="00D52C8A"/>
    <w:rsid w:val="00D53CD0"/>
    <w:rsid w:val="00D54E8F"/>
    <w:rsid w:val="00D55555"/>
    <w:rsid w:val="00D55637"/>
    <w:rsid w:val="00D55A83"/>
    <w:rsid w:val="00D55F42"/>
    <w:rsid w:val="00D568B5"/>
    <w:rsid w:val="00D57235"/>
    <w:rsid w:val="00D57495"/>
    <w:rsid w:val="00D60F8C"/>
    <w:rsid w:val="00D6108B"/>
    <w:rsid w:val="00D611A0"/>
    <w:rsid w:val="00D6146B"/>
    <w:rsid w:val="00D61ACA"/>
    <w:rsid w:val="00D61BA3"/>
    <w:rsid w:val="00D634B1"/>
    <w:rsid w:val="00D63A26"/>
    <w:rsid w:val="00D64AF9"/>
    <w:rsid w:val="00D65030"/>
    <w:rsid w:val="00D65446"/>
    <w:rsid w:val="00D663D0"/>
    <w:rsid w:val="00D66676"/>
    <w:rsid w:val="00D66BE8"/>
    <w:rsid w:val="00D6756E"/>
    <w:rsid w:val="00D7028E"/>
    <w:rsid w:val="00D70D25"/>
    <w:rsid w:val="00D71BB4"/>
    <w:rsid w:val="00D72470"/>
    <w:rsid w:val="00D73013"/>
    <w:rsid w:val="00D73ECF"/>
    <w:rsid w:val="00D74370"/>
    <w:rsid w:val="00D74B7E"/>
    <w:rsid w:val="00D74CF1"/>
    <w:rsid w:val="00D76474"/>
    <w:rsid w:val="00D77633"/>
    <w:rsid w:val="00D80722"/>
    <w:rsid w:val="00D81291"/>
    <w:rsid w:val="00D81663"/>
    <w:rsid w:val="00D84A90"/>
    <w:rsid w:val="00D859FF"/>
    <w:rsid w:val="00D85B1C"/>
    <w:rsid w:val="00D85B9F"/>
    <w:rsid w:val="00D85E3C"/>
    <w:rsid w:val="00D860C7"/>
    <w:rsid w:val="00D8623C"/>
    <w:rsid w:val="00D863BA"/>
    <w:rsid w:val="00D87B7E"/>
    <w:rsid w:val="00D90000"/>
    <w:rsid w:val="00D93B5B"/>
    <w:rsid w:val="00D94AF5"/>
    <w:rsid w:val="00D94CEF"/>
    <w:rsid w:val="00D963CA"/>
    <w:rsid w:val="00D9640F"/>
    <w:rsid w:val="00D9689C"/>
    <w:rsid w:val="00D96CAC"/>
    <w:rsid w:val="00D96FF1"/>
    <w:rsid w:val="00D972B6"/>
    <w:rsid w:val="00D9745B"/>
    <w:rsid w:val="00D976FB"/>
    <w:rsid w:val="00D97B0F"/>
    <w:rsid w:val="00DA0192"/>
    <w:rsid w:val="00DA0E43"/>
    <w:rsid w:val="00DA1282"/>
    <w:rsid w:val="00DA17E0"/>
    <w:rsid w:val="00DA1AE9"/>
    <w:rsid w:val="00DA2782"/>
    <w:rsid w:val="00DA29BC"/>
    <w:rsid w:val="00DA2D54"/>
    <w:rsid w:val="00DA2F41"/>
    <w:rsid w:val="00DA3451"/>
    <w:rsid w:val="00DA3779"/>
    <w:rsid w:val="00DA41DD"/>
    <w:rsid w:val="00DA4BAC"/>
    <w:rsid w:val="00DA4BDD"/>
    <w:rsid w:val="00DA4C91"/>
    <w:rsid w:val="00DA61DA"/>
    <w:rsid w:val="00DA6449"/>
    <w:rsid w:val="00DA6BED"/>
    <w:rsid w:val="00DA7A66"/>
    <w:rsid w:val="00DB014A"/>
    <w:rsid w:val="00DB162E"/>
    <w:rsid w:val="00DB2561"/>
    <w:rsid w:val="00DB25AA"/>
    <w:rsid w:val="00DB41FF"/>
    <w:rsid w:val="00DB4A0A"/>
    <w:rsid w:val="00DB4DAC"/>
    <w:rsid w:val="00DB4F16"/>
    <w:rsid w:val="00DB6874"/>
    <w:rsid w:val="00DB6BE9"/>
    <w:rsid w:val="00DB6F13"/>
    <w:rsid w:val="00DB71A1"/>
    <w:rsid w:val="00DB76A0"/>
    <w:rsid w:val="00DC0E00"/>
    <w:rsid w:val="00DC12BD"/>
    <w:rsid w:val="00DC1764"/>
    <w:rsid w:val="00DC1E59"/>
    <w:rsid w:val="00DC288E"/>
    <w:rsid w:val="00DC2EA2"/>
    <w:rsid w:val="00DC2EAF"/>
    <w:rsid w:val="00DC3E47"/>
    <w:rsid w:val="00DC3F9B"/>
    <w:rsid w:val="00DC4787"/>
    <w:rsid w:val="00DC5275"/>
    <w:rsid w:val="00DC5CA4"/>
    <w:rsid w:val="00DC5E81"/>
    <w:rsid w:val="00DC638D"/>
    <w:rsid w:val="00DC70B6"/>
    <w:rsid w:val="00DC7A25"/>
    <w:rsid w:val="00DC7C93"/>
    <w:rsid w:val="00DD06E2"/>
    <w:rsid w:val="00DD086B"/>
    <w:rsid w:val="00DD0A95"/>
    <w:rsid w:val="00DD0C5A"/>
    <w:rsid w:val="00DD1512"/>
    <w:rsid w:val="00DD18F2"/>
    <w:rsid w:val="00DD1D8B"/>
    <w:rsid w:val="00DD1F5F"/>
    <w:rsid w:val="00DD2B69"/>
    <w:rsid w:val="00DD3150"/>
    <w:rsid w:val="00DD3A2E"/>
    <w:rsid w:val="00DD43B0"/>
    <w:rsid w:val="00DD483B"/>
    <w:rsid w:val="00DD49B1"/>
    <w:rsid w:val="00DD4CB8"/>
    <w:rsid w:val="00DD6330"/>
    <w:rsid w:val="00DD6A74"/>
    <w:rsid w:val="00DD727B"/>
    <w:rsid w:val="00DD7A90"/>
    <w:rsid w:val="00DE09BC"/>
    <w:rsid w:val="00DE0A7E"/>
    <w:rsid w:val="00DE17E2"/>
    <w:rsid w:val="00DE41C5"/>
    <w:rsid w:val="00DE43FD"/>
    <w:rsid w:val="00DE488D"/>
    <w:rsid w:val="00DE50D0"/>
    <w:rsid w:val="00DE518B"/>
    <w:rsid w:val="00DE59FA"/>
    <w:rsid w:val="00DE640E"/>
    <w:rsid w:val="00DE64E7"/>
    <w:rsid w:val="00DE75A9"/>
    <w:rsid w:val="00DE76FD"/>
    <w:rsid w:val="00DE7D86"/>
    <w:rsid w:val="00DF148C"/>
    <w:rsid w:val="00DF176F"/>
    <w:rsid w:val="00DF19B1"/>
    <w:rsid w:val="00DF2727"/>
    <w:rsid w:val="00DF2C6A"/>
    <w:rsid w:val="00DF354B"/>
    <w:rsid w:val="00DF4893"/>
    <w:rsid w:val="00DF4B28"/>
    <w:rsid w:val="00DF5727"/>
    <w:rsid w:val="00DF624A"/>
    <w:rsid w:val="00DF6466"/>
    <w:rsid w:val="00DF65C6"/>
    <w:rsid w:val="00DF69B8"/>
    <w:rsid w:val="00DF6AAD"/>
    <w:rsid w:val="00DF70F3"/>
    <w:rsid w:val="00DF72A0"/>
    <w:rsid w:val="00E00B37"/>
    <w:rsid w:val="00E0112B"/>
    <w:rsid w:val="00E016A9"/>
    <w:rsid w:val="00E01BA1"/>
    <w:rsid w:val="00E01DBF"/>
    <w:rsid w:val="00E02645"/>
    <w:rsid w:val="00E02CDA"/>
    <w:rsid w:val="00E02E46"/>
    <w:rsid w:val="00E047BD"/>
    <w:rsid w:val="00E05025"/>
    <w:rsid w:val="00E050BA"/>
    <w:rsid w:val="00E05128"/>
    <w:rsid w:val="00E051B3"/>
    <w:rsid w:val="00E053DC"/>
    <w:rsid w:val="00E05524"/>
    <w:rsid w:val="00E05580"/>
    <w:rsid w:val="00E05BE8"/>
    <w:rsid w:val="00E0751F"/>
    <w:rsid w:val="00E07C12"/>
    <w:rsid w:val="00E100CD"/>
    <w:rsid w:val="00E106B5"/>
    <w:rsid w:val="00E107AE"/>
    <w:rsid w:val="00E11E42"/>
    <w:rsid w:val="00E122C7"/>
    <w:rsid w:val="00E13069"/>
    <w:rsid w:val="00E13949"/>
    <w:rsid w:val="00E13FFB"/>
    <w:rsid w:val="00E14FAA"/>
    <w:rsid w:val="00E16405"/>
    <w:rsid w:val="00E1738F"/>
    <w:rsid w:val="00E20563"/>
    <w:rsid w:val="00E20577"/>
    <w:rsid w:val="00E205D4"/>
    <w:rsid w:val="00E2063D"/>
    <w:rsid w:val="00E20C78"/>
    <w:rsid w:val="00E2136A"/>
    <w:rsid w:val="00E22C38"/>
    <w:rsid w:val="00E23A35"/>
    <w:rsid w:val="00E23D67"/>
    <w:rsid w:val="00E23DE0"/>
    <w:rsid w:val="00E23E48"/>
    <w:rsid w:val="00E24B48"/>
    <w:rsid w:val="00E25250"/>
    <w:rsid w:val="00E25448"/>
    <w:rsid w:val="00E256E7"/>
    <w:rsid w:val="00E25827"/>
    <w:rsid w:val="00E25FFA"/>
    <w:rsid w:val="00E26020"/>
    <w:rsid w:val="00E26201"/>
    <w:rsid w:val="00E26ABF"/>
    <w:rsid w:val="00E27073"/>
    <w:rsid w:val="00E27278"/>
    <w:rsid w:val="00E279CC"/>
    <w:rsid w:val="00E27D39"/>
    <w:rsid w:val="00E30D31"/>
    <w:rsid w:val="00E30F2A"/>
    <w:rsid w:val="00E311DA"/>
    <w:rsid w:val="00E31B06"/>
    <w:rsid w:val="00E31D28"/>
    <w:rsid w:val="00E31EA4"/>
    <w:rsid w:val="00E31FA4"/>
    <w:rsid w:val="00E33048"/>
    <w:rsid w:val="00E332D1"/>
    <w:rsid w:val="00E337E7"/>
    <w:rsid w:val="00E339EA"/>
    <w:rsid w:val="00E33CC5"/>
    <w:rsid w:val="00E33E04"/>
    <w:rsid w:val="00E35588"/>
    <w:rsid w:val="00E36483"/>
    <w:rsid w:val="00E3699D"/>
    <w:rsid w:val="00E36CAA"/>
    <w:rsid w:val="00E36D97"/>
    <w:rsid w:val="00E375B5"/>
    <w:rsid w:val="00E41144"/>
    <w:rsid w:val="00E4142E"/>
    <w:rsid w:val="00E415F6"/>
    <w:rsid w:val="00E41CD6"/>
    <w:rsid w:val="00E425E5"/>
    <w:rsid w:val="00E427DF"/>
    <w:rsid w:val="00E43DC9"/>
    <w:rsid w:val="00E4464E"/>
    <w:rsid w:val="00E453A7"/>
    <w:rsid w:val="00E456CE"/>
    <w:rsid w:val="00E46D3C"/>
    <w:rsid w:val="00E4722E"/>
    <w:rsid w:val="00E47CF6"/>
    <w:rsid w:val="00E47F0C"/>
    <w:rsid w:val="00E47F65"/>
    <w:rsid w:val="00E50810"/>
    <w:rsid w:val="00E509C9"/>
    <w:rsid w:val="00E50BB8"/>
    <w:rsid w:val="00E5106A"/>
    <w:rsid w:val="00E51889"/>
    <w:rsid w:val="00E523D6"/>
    <w:rsid w:val="00E5347E"/>
    <w:rsid w:val="00E53BAA"/>
    <w:rsid w:val="00E54F86"/>
    <w:rsid w:val="00E552E5"/>
    <w:rsid w:val="00E55546"/>
    <w:rsid w:val="00E56433"/>
    <w:rsid w:val="00E6027A"/>
    <w:rsid w:val="00E60F6A"/>
    <w:rsid w:val="00E6145B"/>
    <w:rsid w:val="00E6219D"/>
    <w:rsid w:val="00E62890"/>
    <w:rsid w:val="00E62ECD"/>
    <w:rsid w:val="00E64447"/>
    <w:rsid w:val="00E64AFD"/>
    <w:rsid w:val="00E6503A"/>
    <w:rsid w:val="00E65567"/>
    <w:rsid w:val="00E65F72"/>
    <w:rsid w:val="00E66257"/>
    <w:rsid w:val="00E667FE"/>
    <w:rsid w:val="00E66DC4"/>
    <w:rsid w:val="00E67261"/>
    <w:rsid w:val="00E675EF"/>
    <w:rsid w:val="00E70F90"/>
    <w:rsid w:val="00E716A3"/>
    <w:rsid w:val="00E71B85"/>
    <w:rsid w:val="00E71F0D"/>
    <w:rsid w:val="00E72652"/>
    <w:rsid w:val="00E72959"/>
    <w:rsid w:val="00E72C3B"/>
    <w:rsid w:val="00E743BA"/>
    <w:rsid w:val="00E748B2"/>
    <w:rsid w:val="00E74C58"/>
    <w:rsid w:val="00E75524"/>
    <w:rsid w:val="00E7579D"/>
    <w:rsid w:val="00E75B06"/>
    <w:rsid w:val="00E75CA2"/>
    <w:rsid w:val="00E76EF7"/>
    <w:rsid w:val="00E8034E"/>
    <w:rsid w:val="00E80490"/>
    <w:rsid w:val="00E81297"/>
    <w:rsid w:val="00E814BF"/>
    <w:rsid w:val="00E81578"/>
    <w:rsid w:val="00E819E0"/>
    <w:rsid w:val="00E81ADC"/>
    <w:rsid w:val="00E81BEC"/>
    <w:rsid w:val="00E82031"/>
    <w:rsid w:val="00E825C8"/>
    <w:rsid w:val="00E827CB"/>
    <w:rsid w:val="00E83088"/>
    <w:rsid w:val="00E833D2"/>
    <w:rsid w:val="00E8494D"/>
    <w:rsid w:val="00E857AB"/>
    <w:rsid w:val="00E86688"/>
    <w:rsid w:val="00E86B46"/>
    <w:rsid w:val="00E877D3"/>
    <w:rsid w:val="00E90919"/>
    <w:rsid w:val="00E9101A"/>
    <w:rsid w:val="00E913F9"/>
    <w:rsid w:val="00E91D0A"/>
    <w:rsid w:val="00E92E66"/>
    <w:rsid w:val="00E93476"/>
    <w:rsid w:val="00E93BDB"/>
    <w:rsid w:val="00E948C0"/>
    <w:rsid w:val="00E94B7B"/>
    <w:rsid w:val="00E94C07"/>
    <w:rsid w:val="00E95DB9"/>
    <w:rsid w:val="00E96031"/>
    <w:rsid w:val="00E9692E"/>
    <w:rsid w:val="00E9710B"/>
    <w:rsid w:val="00E97499"/>
    <w:rsid w:val="00E97670"/>
    <w:rsid w:val="00E97C02"/>
    <w:rsid w:val="00EA0558"/>
    <w:rsid w:val="00EA22E9"/>
    <w:rsid w:val="00EA2E8B"/>
    <w:rsid w:val="00EA44E9"/>
    <w:rsid w:val="00EA45B0"/>
    <w:rsid w:val="00EA4D3E"/>
    <w:rsid w:val="00EA5384"/>
    <w:rsid w:val="00EA564A"/>
    <w:rsid w:val="00EA5C82"/>
    <w:rsid w:val="00EA6044"/>
    <w:rsid w:val="00EA669E"/>
    <w:rsid w:val="00EA6797"/>
    <w:rsid w:val="00EA67A3"/>
    <w:rsid w:val="00EA67F6"/>
    <w:rsid w:val="00EA6ABF"/>
    <w:rsid w:val="00EA6D95"/>
    <w:rsid w:val="00EA7295"/>
    <w:rsid w:val="00EA7DAB"/>
    <w:rsid w:val="00EB2C47"/>
    <w:rsid w:val="00EB3170"/>
    <w:rsid w:val="00EB35B0"/>
    <w:rsid w:val="00EB4886"/>
    <w:rsid w:val="00EB50BA"/>
    <w:rsid w:val="00EB50CA"/>
    <w:rsid w:val="00EB54A8"/>
    <w:rsid w:val="00EB5695"/>
    <w:rsid w:val="00EB59A3"/>
    <w:rsid w:val="00EB6C57"/>
    <w:rsid w:val="00EB6CD0"/>
    <w:rsid w:val="00EB7278"/>
    <w:rsid w:val="00EB771F"/>
    <w:rsid w:val="00EB7DCE"/>
    <w:rsid w:val="00EC0A01"/>
    <w:rsid w:val="00EC0ED8"/>
    <w:rsid w:val="00EC17DE"/>
    <w:rsid w:val="00EC1E9B"/>
    <w:rsid w:val="00EC209D"/>
    <w:rsid w:val="00EC26C5"/>
    <w:rsid w:val="00EC2FEB"/>
    <w:rsid w:val="00EC34AA"/>
    <w:rsid w:val="00EC4498"/>
    <w:rsid w:val="00EC490B"/>
    <w:rsid w:val="00EC4A79"/>
    <w:rsid w:val="00EC4E30"/>
    <w:rsid w:val="00EC59FC"/>
    <w:rsid w:val="00EC611E"/>
    <w:rsid w:val="00EC66BD"/>
    <w:rsid w:val="00EC6F59"/>
    <w:rsid w:val="00ED0B80"/>
    <w:rsid w:val="00ED0C5C"/>
    <w:rsid w:val="00ED0C5E"/>
    <w:rsid w:val="00ED110D"/>
    <w:rsid w:val="00ED24BC"/>
    <w:rsid w:val="00ED2B26"/>
    <w:rsid w:val="00ED336A"/>
    <w:rsid w:val="00ED33F3"/>
    <w:rsid w:val="00ED4AAB"/>
    <w:rsid w:val="00ED5126"/>
    <w:rsid w:val="00ED53D1"/>
    <w:rsid w:val="00ED5A29"/>
    <w:rsid w:val="00ED635E"/>
    <w:rsid w:val="00ED6C40"/>
    <w:rsid w:val="00ED702F"/>
    <w:rsid w:val="00ED70C9"/>
    <w:rsid w:val="00ED7246"/>
    <w:rsid w:val="00EE0956"/>
    <w:rsid w:val="00EE1CB4"/>
    <w:rsid w:val="00EE3000"/>
    <w:rsid w:val="00EE32CC"/>
    <w:rsid w:val="00EE352B"/>
    <w:rsid w:val="00EE55E6"/>
    <w:rsid w:val="00EE586B"/>
    <w:rsid w:val="00EE5C72"/>
    <w:rsid w:val="00EE5C9A"/>
    <w:rsid w:val="00EE5DA9"/>
    <w:rsid w:val="00EE5E04"/>
    <w:rsid w:val="00EE639C"/>
    <w:rsid w:val="00EE666D"/>
    <w:rsid w:val="00EE6861"/>
    <w:rsid w:val="00EE6B3A"/>
    <w:rsid w:val="00EE70A1"/>
    <w:rsid w:val="00EE782D"/>
    <w:rsid w:val="00EE7E16"/>
    <w:rsid w:val="00EF0696"/>
    <w:rsid w:val="00EF09BE"/>
    <w:rsid w:val="00EF0A61"/>
    <w:rsid w:val="00EF0D98"/>
    <w:rsid w:val="00EF123F"/>
    <w:rsid w:val="00EF1840"/>
    <w:rsid w:val="00EF218F"/>
    <w:rsid w:val="00EF22F4"/>
    <w:rsid w:val="00EF2675"/>
    <w:rsid w:val="00EF2DA9"/>
    <w:rsid w:val="00EF353C"/>
    <w:rsid w:val="00EF35F2"/>
    <w:rsid w:val="00EF3700"/>
    <w:rsid w:val="00EF37A4"/>
    <w:rsid w:val="00EF4FEA"/>
    <w:rsid w:val="00EF52BF"/>
    <w:rsid w:val="00EF57D4"/>
    <w:rsid w:val="00EF638D"/>
    <w:rsid w:val="00EF66AC"/>
    <w:rsid w:val="00EF6A0A"/>
    <w:rsid w:val="00EF6BDB"/>
    <w:rsid w:val="00F00344"/>
    <w:rsid w:val="00F005EC"/>
    <w:rsid w:val="00F01002"/>
    <w:rsid w:val="00F01165"/>
    <w:rsid w:val="00F01378"/>
    <w:rsid w:val="00F017B5"/>
    <w:rsid w:val="00F01A6B"/>
    <w:rsid w:val="00F01B81"/>
    <w:rsid w:val="00F01B8B"/>
    <w:rsid w:val="00F022D5"/>
    <w:rsid w:val="00F02814"/>
    <w:rsid w:val="00F02CD0"/>
    <w:rsid w:val="00F02DCA"/>
    <w:rsid w:val="00F02EEE"/>
    <w:rsid w:val="00F03075"/>
    <w:rsid w:val="00F039F1"/>
    <w:rsid w:val="00F04869"/>
    <w:rsid w:val="00F0638B"/>
    <w:rsid w:val="00F06C7A"/>
    <w:rsid w:val="00F071E6"/>
    <w:rsid w:val="00F071F3"/>
    <w:rsid w:val="00F07243"/>
    <w:rsid w:val="00F074AB"/>
    <w:rsid w:val="00F1001C"/>
    <w:rsid w:val="00F106CE"/>
    <w:rsid w:val="00F10CEF"/>
    <w:rsid w:val="00F10DE1"/>
    <w:rsid w:val="00F10E36"/>
    <w:rsid w:val="00F1146C"/>
    <w:rsid w:val="00F117E6"/>
    <w:rsid w:val="00F11A02"/>
    <w:rsid w:val="00F11C86"/>
    <w:rsid w:val="00F1227E"/>
    <w:rsid w:val="00F122B9"/>
    <w:rsid w:val="00F1246E"/>
    <w:rsid w:val="00F12B44"/>
    <w:rsid w:val="00F12E09"/>
    <w:rsid w:val="00F1381C"/>
    <w:rsid w:val="00F13B5E"/>
    <w:rsid w:val="00F13BC1"/>
    <w:rsid w:val="00F1488E"/>
    <w:rsid w:val="00F14E1D"/>
    <w:rsid w:val="00F156B5"/>
    <w:rsid w:val="00F15C8C"/>
    <w:rsid w:val="00F15EB5"/>
    <w:rsid w:val="00F16F2F"/>
    <w:rsid w:val="00F1751A"/>
    <w:rsid w:val="00F2165A"/>
    <w:rsid w:val="00F21A20"/>
    <w:rsid w:val="00F22DEA"/>
    <w:rsid w:val="00F23136"/>
    <w:rsid w:val="00F24C98"/>
    <w:rsid w:val="00F24D52"/>
    <w:rsid w:val="00F261C1"/>
    <w:rsid w:val="00F304F8"/>
    <w:rsid w:val="00F305A3"/>
    <w:rsid w:val="00F3160C"/>
    <w:rsid w:val="00F31619"/>
    <w:rsid w:val="00F31FF6"/>
    <w:rsid w:val="00F32035"/>
    <w:rsid w:val="00F32E00"/>
    <w:rsid w:val="00F3369D"/>
    <w:rsid w:val="00F33944"/>
    <w:rsid w:val="00F34216"/>
    <w:rsid w:val="00F35527"/>
    <w:rsid w:val="00F35879"/>
    <w:rsid w:val="00F3620E"/>
    <w:rsid w:val="00F3691D"/>
    <w:rsid w:val="00F36A08"/>
    <w:rsid w:val="00F37BE1"/>
    <w:rsid w:val="00F406E6"/>
    <w:rsid w:val="00F41461"/>
    <w:rsid w:val="00F41C59"/>
    <w:rsid w:val="00F41F8A"/>
    <w:rsid w:val="00F426C5"/>
    <w:rsid w:val="00F42933"/>
    <w:rsid w:val="00F43081"/>
    <w:rsid w:val="00F430F3"/>
    <w:rsid w:val="00F431D7"/>
    <w:rsid w:val="00F434DC"/>
    <w:rsid w:val="00F4354D"/>
    <w:rsid w:val="00F443A8"/>
    <w:rsid w:val="00F4456F"/>
    <w:rsid w:val="00F45709"/>
    <w:rsid w:val="00F4640E"/>
    <w:rsid w:val="00F46C20"/>
    <w:rsid w:val="00F4788C"/>
    <w:rsid w:val="00F47DBB"/>
    <w:rsid w:val="00F47F5A"/>
    <w:rsid w:val="00F501A2"/>
    <w:rsid w:val="00F50704"/>
    <w:rsid w:val="00F50824"/>
    <w:rsid w:val="00F5182A"/>
    <w:rsid w:val="00F522F2"/>
    <w:rsid w:val="00F526EB"/>
    <w:rsid w:val="00F544AF"/>
    <w:rsid w:val="00F54D3F"/>
    <w:rsid w:val="00F56840"/>
    <w:rsid w:val="00F568A1"/>
    <w:rsid w:val="00F56BE1"/>
    <w:rsid w:val="00F57594"/>
    <w:rsid w:val="00F5771D"/>
    <w:rsid w:val="00F60032"/>
    <w:rsid w:val="00F607C8"/>
    <w:rsid w:val="00F60E76"/>
    <w:rsid w:val="00F611E5"/>
    <w:rsid w:val="00F623F9"/>
    <w:rsid w:val="00F62AFF"/>
    <w:rsid w:val="00F6349C"/>
    <w:rsid w:val="00F642FC"/>
    <w:rsid w:val="00F6453F"/>
    <w:rsid w:val="00F64E24"/>
    <w:rsid w:val="00F660B7"/>
    <w:rsid w:val="00F6625A"/>
    <w:rsid w:val="00F664D1"/>
    <w:rsid w:val="00F66838"/>
    <w:rsid w:val="00F6705F"/>
    <w:rsid w:val="00F67D20"/>
    <w:rsid w:val="00F70052"/>
    <w:rsid w:val="00F70966"/>
    <w:rsid w:val="00F70C10"/>
    <w:rsid w:val="00F70EFA"/>
    <w:rsid w:val="00F71653"/>
    <w:rsid w:val="00F71D9C"/>
    <w:rsid w:val="00F724C7"/>
    <w:rsid w:val="00F72637"/>
    <w:rsid w:val="00F7337A"/>
    <w:rsid w:val="00F7458D"/>
    <w:rsid w:val="00F7520C"/>
    <w:rsid w:val="00F759BD"/>
    <w:rsid w:val="00F75E1F"/>
    <w:rsid w:val="00F76471"/>
    <w:rsid w:val="00F77377"/>
    <w:rsid w:val="00F77566"/>
    <w:rsid w:val="00F80316"/>
    <w:rsid w:val="00F803EC"/>
    <w:rsid w:val="00F80898"/>
    <w:rsid w:val="00F8098F"/>
    <w:rsid w:val="00F80A6A"/>
    <w:rsid w:val="00F80C25"/>
    <w:rsid w:val="00F80C6E"/>
    <w:rsid w:val="00F81133"/>
    <w:rsid w:val="00F812BB"/>
    <w:rsid w:val="00F81C72"/>
    <w:rsid w:val="00F821CE"/>
    <w:rsid w:val="00F823A6"/>
    <w:rsid w:val="00F8356F"/>
    <w:rsid w:val="00F8441C"/>
    <w:rsid w:val="00F846E3"/>
    <w:rsid w:val="00F85368"/>
    <w:rsid w:val="00F85475"/>
    <w:rsid w:val="00F8553B"/>
    <w:rsid w:val="00F858D7"/>
    <w:rsid w:val="00F86391"/>
    <w:rsid w:val="00F868D6"/>
    <w:rsid w:val="00F86977"/>
    <w:rsid w:val="00F876C5"/>
    <w:rsid w:val="00F87821"/>
    <w:rsid w:val="00F87ACE"/>
    <w:rsid w:val="00F90226"/>
    <w:rsid w:val="00F904F4"/>
    <w:rsid w:val="00F908AF"/>
    <w:rsid w:val="00F90BD8"/>
    <w:rsid w:val="00F90F10"/>
    <w:rsid w:val="00F91A7F"/>
    <w:rsid w:val="00F91E20"/>
    <w:rsid w:val="00F91E3C"/>
    <w:rsid w:val="00F92DE6"/>
    <w:rsid w:val="00F9343F"/>
    <w:rsid w:val="00F934D4"/>
    <w:rsid w:val="00F9452C"/>
    <w:rsid w:val="00F9561E"/>
    <w:rsid w:val="00F956EE"/>
    <w:rsid w:val="00F97118"/>
    <w:rsid w:val="00F9763E"/>
    <w:rsid w:val="00F97672"/>
    <w:rsid w:val="00FA01B8"/>
    <w:rsid w:val="00FA11A0"/>
    <w:rsid w:val="00FA1667"/>
    <w:rsid w:val="00FA172E"/>
    <w:rsid w:val="00FA1864"/>
    <w:rsid w:val="00FA24BD"/>
    <w:rsid w:val="00FA25A7"/>
    <w:rsid w:val="00FA4F7C"/>
    <w:rsid w:val="00FA5866"/>
    <w:rsid w:val="00FA61FE"/>
    <w:rsid w:val="00FA7030"/>
    <w:rsid w:val="00FA7F92"/>
    <w:rsid w:val="00FB2704"/>
    <w:rsid w:val="00FB2B51"/>
    <w:rsid w:val="00FB3AAA"/>
    <w:rsid w:val="00FB49BE"/>
    <w:rsid w:val="00FB5022"/>
    <w:rsid w:val="00FB5057"/>
    <w:rsid w:val="00FB6BF6"/>
    <w:rsid w:val="00FB708A"/>
    <w:rsid w:val="00FB7905"/>
    <w:rsid w:val="00FB7E79"/>
    <w:rsid w:val="00FB7FAA"/>
    <w:rsid w:val="00FC061C"/>
    <w:rsid w:val="00FC0B80"/>
    <w:rsid w:val="00FC1868"/>
    <w:rsid w:val="00FC1C7E"/>
    <w:rsid w:val="00FC1D86"/>
    <w:rsid w:val="00FC23DB"/>
    <w:rsid w:val="00FC246A"/>
    <w:rsid w:val="00FC2700"/>
    <w:rsid w:val="00FC2DD8"/>
    <w:rsid w:val="00FC2FFB"/>
    <w:rsid w:val="00FC3334"/>
    <w:rsid w:val="00FC358F"/>
    <w:rsid w:val="00FC39C4"/>
    <w:rsid w:val="00FC4CB2"/>
    <w:rsid w:val="00FC6651"/>
    <w:rsid w:val="00FC6730"/>
    <w:rsid w:val="00FC6EAA"/>
    <w:rsid w:val="00FD03B7"/>
    <w:rsid w:val="00FD1A32"/>
    <w:rsid w:val="00FD4106"/>
    <w:rsid w:val="00FD497D"/>
    <w:rsid w:val="00FD4BD6"/>
    <w:rsid w:val="00FD5749"/>
    <w:rsid w:val="00FD65DE"/>
    <w:rsid w:val="00FD6ACB"/>
    <w:rsid w:val="00FD6B47"/>
    <w:rsid w:val="00FD74BF"/>
    <w:rsid w:val="00FD754D"/>
    <w:rsid w:val="00FD7594"/>
    <w:rsid w:val="00FE0016"/>
    <w:rsid w:val="00FE009E"/>
    <w:rsid w:val="00FE0CE2"/>
    <w:rsid w:val="00FE0F0B"/>
    <w:rsid w:val="00FE20F1"/>
    <w:rsid w:val="00FE23F0"/>
    <w:rsid w:val="00FE2B57"/>
    <w:rsid w:val="00FE2FD8"/>
    <w:rsid w:val="00FE34E0"/>
    <w:rsid w:val="00FE40BB"/>
    <w:rsid w:val="00FE4B0D"/>
    <w:rsid w:val="00FE4B52"/>
    <w:rsid w:val="00FE4D54"/>
    <w:rsid w:val="00FE4DF0"/>
    <w:rsid w:val="00FE4FD3"/>
    <w:rsid w:val="00FE5875"/>
    <w:rsid w:val="00FE5D3F"/>
    <w:rsid w:val="00FE6226"/>
    <w:rsid w:val="00FF0640"/>
    <w:rsid w:val="00FF0E43"/>
    <w:rsid w:val="00FF0FC1"/>
    <w:rsid w:val="00FF1198"/>
    <w:rsid w:val="00FF11E7"/>
    <w:rsid w:val="00FF1661"/>
    <w:rsid w:val="00FF1A95"/>
    <w:rsid w:val="00FF1C51"/>
    <w:rsid w:val="00FF2630"/>
    <w:rsid w:val="00FF32A8"/>
    <w:rsid w:val="00FF3C2D"/>
    <w:rsid w:val="00FF61B0"/>
    <w:rsid w:val="00FF6DD8"/>
    <w:rsid w:val="00FF7410"/>
    <w:rsid w:val="00FF7845"/>
    <w:rsid w:val="020B112D"/>
    <w:rsid w:val="0261789F"/>
    <w:rsid w:val="02A1725F"/>
    <w:rsid w:val="03B7410F"/>
    <w:rsid w:val="03D52F56"/>
    <w:rsid w:val="053B771B"/>
    <w:rsid w:val="05856C50"/>
    <w:rsid w:val="059720A3"/>
    <w:rsid w:val="05C22DB8"/>
    <w:rsid w:val="062C6A59"/>
    <w:rsid w:val="066701A7"/>
    <w:rsid w:val="06790CE1"/>
    <w:rsid w:val="077818CF"/>
    <w:rsid w:val="07977B48"/>
    <w:rsid w:val="08197D01"/>
    <w:rsid w:val="0834518B"/>
    <w:rsid w:val="084C6F25"/>
    <w:rsid w:val="08A87078"/>
    <w:rsid w:val="08B110EF"/>
    <w:rsid w:val="093011DE"/>
    <w:rsid w:val="094511A6"/>
    <w:rsid w:val="09C34035"/>
    <w:rsid w:val="0B5F5106"/>
    <w:rsid w:val="0B6B2A6D"/>
    <w:rsid w:val="0BB97FF9"/>
    <w:rsid w:val="0C3C5E16"/>
    <w:rsid w:val="0C6C36F8"/>
    <w:rsid w:val="0C9A6E66"/>
    <w:rsid w:val="0CBD0E54"/>
    <w:rsid w:val="0D601ED0"/>
    <w:rsid w:val="0D9963CF"/>
    <w:rsid w:val="0DC444A6"/>
    <w:rsid w:val="0DEF081E"/>
    <w:rsid w:val="0E5439AF"/>
    <w:rsid w:val="0E6E5B5C"/>
    <w:rsid w:val="0E920377"/>
    <w:rsid w:val="0E965BF3"/>
    <w:rsid w:val="0FE8086C"/>
    <w:rsid w:val="10383033"/>
    <w:rsid w:val="105D1373"/>
    <w:rsid w:val="1152457E"/>
    <w:rsid w:val="11B226E0"/>
    <w:rsid w:val="11BF15CB"/>
    <w:rsid w:val="12115188"/>
    <w:rsid w:val="12D25A29"/>
    <w:rsid w:val="136D4362"/>
    <w:rsid w:val="1448007A"/>
    <w:rsid w:val="14B6013D"/>
    <w:rsid w:val="154C42CF"/>
    <w:rsid w:val="15711CE4"/>
    <w:rsid w:val="158A742B"/>
    <w:rsid w:val="1639499A"/>
    <w:rsid w:val="16E1632A"/>
    <w:rsid w:val="171B524A"/>
    <w:rsid w:val="17E427DE"/>
    <w:rsid w:val="1820204F"/>
    <w:rsid w:val="18E71709"/>
    <w:rsid w:val="193204C3"/>
    <w:rsid w:val="19F36D8F"/>
    <w:rsid w:val="1A1455D1"/>
    <w:rsid w:val="1A5B4DE4"/>
    <w:rsid w:val="1AE6444A"/>
    <w:rsid w:val="1AF7772A"/>
    <w:rsid w:val="1B2E2B48"/>
    <w:rsid w:val="1B7C6139"/>
    <w:rsid w:val="1BE0236F"/>
    <w:rsid w:val="1BF12377"/>
    <w:rsid w:val="1C9E1265"/>
    <w:rsid w:val="1CB02F2A"/>
    <w:rsid w:val="1CEFFA0A"/>
    <w:rsid w:val="1D3201D2"/>
    <w:rsid w:val="1D8562AD"/>
    <w:rsid w:val="1DD712DE"/>
    <w:rsid w:val="1E096A76"/>
    <w:rsid w:val="1E2B069E"/>
    <w:rsid w:val="1E3C29CA"/>
    <w:rsid w:val="1E6A4663"/>
    <w:rsid w:val="1F30584E"/>
    <w:rsid w:val="1F6B2B3E"/>
    <w:rsid w:val="1FC456A4"/>
    <w:rsid w:val="1FC82BB1"/>
    <w:rsid w:val="202C1263"/>
    <w:rsid w:val="20504DEF"/>
    <w:rsid w:val="208B115E"/>
    <w:rsid w:val="21276D6F"/>
    <w:rsid w:val="22EB0E58"/>
    <w:rsid w:val="2302327F"/>
    <w:rsid w:val="243823D6"/>
    <w:rsid w:val="244C621D"/>
    <w:rsid w:val="24C44690"/>
    <w:rsid w:val="253B1950"/>
    <w:rsid w:val="258D093C"/>
    <w:rsid w:val="25B5747E"/>
    <w:rsid w:val="260356D7"/>
    <w:rsid w:val="268B4E72"/>
    <w:rsid w:val="26EF4D22"/>
    <w:rsid w:val="272F1287"/>
    <w:rsid w:val="28027A27"/>
    <w:rsid w:val="28A437C8"/>
    <w:rsid w:val="28ED310B"/>
    <w:rsid w:val="291413E1"/>
    <w:rsid w:val="294C7B66"/>
    <w:rsid w:val="29646426"/>
    <w:rsid w:val="298F269C"/>
    <w:rsid w:val="29E64E8E"/>
    <w:rsid w:val="2A6C2EBC"/>
    <w:rsid w:val="2A74072E"/>
    <w:rsid w:val="2AAC709C"/>
    <w:rsid w:val="2AF047B4"/>
    <w:rsid w:val="2B511820"/>
    <w:rsid w:val="2B8A6F26"/>
    <w:rsid w:val="2C1241BF"/>
    <w:rsid w:val="2C6425E2"/>
    <w:rsid w:val="2CF26E26"/>
    <w:rsid w:val="2D452159"/>
    <w:rsid w:val="2D917922"/>
    <w:rsid w:val="2DA309BF"/>
    <w:rsid w:val="2E4150DB"/>
    <w:rsid w:val="2E7510C8"/>
    <w:rsid w:val="2EB35A25"/>
    <w:rsid w:val="2F3B4C44"/>
    <w:rsid w:val="2F4245FA"/>
    <w:rsid w:val="2F7F87D1"/>
    <w:rsid w:val="2FEC5550"/>
    <w:rsid w:val="2FFF26FE"/>
    <w:rsid w:val="30345AF8"/>
    <w:rsid w:val="31001B98"/>
    <w:rsid w:val="311D45AB"/>
    <w:rsid w:val="312A5E49"/>
    <w:rsid w:val="31F27618"/>
    <w:rsid w:val="32824D89"/>
    <w:rsid w:val="32D33B70"/>
    <w:rsid w:val="32E030DF"/>
    <w:rsid w:val="33036D4F"/>
    <w:rsid w:val="337C3A66"/>
    <w:rsid w:val="34330A0C"/>
    <w:rsid w:val="34AE1023"/>
    <w:rsid w:val="34EA455F"/>
    <w:rsid w:val="34FE4CD5"/>
    <w:rsid w:val="35147F6D"/>
    <w:rsid w:val="352C3081"/>
    <w:rsid w:val="354C0746"/>
    <w:rsid w:val="367E63AD"/>
    <w:rsid w:val="36C00E7F"/>
    <w:rsid w:val="37FFBBE9"/>
    <w:rsid w:val="38896DEC"/>
    <w:rsid w:val="38BC0235"/>
    <w:rsid w:val="39406FA5"/>
    <w:rsid w:val="397C0B51"/>
    <w:rsid w:val="39991BD9"/>
    <w:rsid w:val="39C51411"/>
    <w:rsid w:val="3A520249"/>
    <w:rsid w:val="3A6F44E6"/>
    <w:rsid w:val="3A7232F5"/>
    <w:rsid w:val="3A8A3C6B"/>
    <w:rsid w:val="3B072B1A"/>
    <w:rsid w:val="3B106817"/>
    <w:rsid w:val="3BA85A2F"/>
    <w:rsid w:val="3C845752"/>
    <w:rsid w:val="3CB122CF"/>
    <w:rsid w:val="3D0918F5"/>
    <w:rsid w:val="3D2143D6"/>
    <w:rsid w:val="3DDB01C6"/>
    <w:rsid w:val="3DFF01B0"/>
    <w:rsid w:val="3E2851EB"/>
    <w:rsid w:val="3E2B18FA"/>
    <w:rsid w:val="3E5A1571"/>
    <w:rsid w:val="3E741203"/>
    <w:rsid w:val="3EB411A0"/>
    <w:rsid w:val="3ECE5157"/>
    <w:rsid w:val="3F75A878"/>
    <w:rsid w:val="3FFF30AD"/>
    <w:rsid w:val="3FFFA739"/>
    <w:rsid w:val="40013DCF"/>
    <w:rsid w:val="404276F7"/>
    <w:rsid w:val="40A72BEE"/>
    <w:rsid w:val="40B03FE1"/>
    <w:rsid w:val="40DF75B9"/>
    <w:rsid w:val="41795B23"/>
    <w:rsid w:val="41797B0D"/>
    <w:rsid w:val="419E6238"/>
    <w:rsid w:val="41C06A35"/>
    <w:rsid w:val="4219664B"/>
    <w:rsid w:val="422840D6"/>
    <w:rsid w:val="422F127B"/>
    <w:rsid w:val="42851CE1"/>
    <w:rsid w:val="429E1E94"/>
    <w:rsid w:val="42ED5D34"/>
    <w:rsid w:val="43074E11"/>
    <w:rsid w:val="43343F92"/>
    <w:rsid w:val="4361391A"/>
    <w:rsid w:val="43741E02"/>
    <w:rsid w:val="43AF42D0"/>
    <w:rsid w:val="43B4170F"/>
    <w:rsid w:val="442F00A1"/>
    <w:rsid w:val="444D6005"/>
    <w:rsid w:val="44BB41BA"/>
    <w:rsid w:val="44C92CE0"/>
    <w:rsid w:val="451C6FFC"/>
    <w:rsid w:val="455F0517"/>
    <w:rsid w:val="45655FA5"/>
    <w:rsid w:val="45DB6CD7"/>
    <w:rsid w:val="45FE6642"/>
    <w:rsid w:val="465C6DD4"/>
    <w:rsid w:val="46951423"/>
    <w:rsid w:val="474B96EE"/>
    <w:rsid w:val="47EC6581"/>
    <w:rsid w:val="47ED414B"/>
    <w:rsid w:val="48011958"/>
    <w:rsid w:val="48BD13E3"/>
    <w:rsid w:val="49286360"/>
    <w:rsid w:val="4954169C"/>
    <w:rsid w:val="4A2D157C"/>
    <w:rsid w:val="4A5058B0"/>
    <w:rsid w:val="4B176C63"/>
    <w:rsid w:val="4B507C7D"/>
    <w:rsid w:val="4B6A17F3"/>
    <w:rsid w:val="4B6F10D1"/>
    <w:rsid w:val="4C1D4493"/>
    <w:rsid w:val="4C4249F6"/>
    <w:rsid w:val="4CA12C3C"/>
    <w:rsid w:val="4CDC2E2E"/>
    <w:rsid w:val="4CEC58F5"/>
    <w:rsid w:val="4D3C37D7"/>
    <w:rsid w:val="4D711B1B"/>
    <w:rsid w:val="4D727DFC"/>
    <w:rsid w:val="4D995C18"/>
    <w:rsid w:val="4E584C3F"/>
    <w:rsid w:val="4EA013C8"/>
    <w:rsid w:val="4EC508EF"/>
    <w:rsid w:val="4EDD57A9"/>
    <w:rsid w:val="4EFC7B4F"/>
    <w:rsid w:val="4F0D57CB"/>
    <w:rsid w:val="4F5410ED"/>
    <w:rsid w:val="4F863785"/>
    <w:rsid w:val="4FA402E5"/>
    <w:rsid w:val="4FD6A209"/>
    <w:rsid w:val="4FFB16A3"/>
    <w:rsid w:val="504631E5"/>
    <w:rsid w:val="51097236"/>
    <w:rsid w:val="510D6EA3"/>
    <w:rsid w:val="523F04E4"/>
    <w:rsid w:val="5254212B"/>
    <w:rsid w:val="537370D9"/>
    <w:rsid w:val="54951C60"/>
    <w:rsid w:val="54D079D9"/>
    <w:rsid w:val="55934391"/>
    <w:rsid w:val="559D6E3F"/>
    <w:rsid w:val="55C44544"/>
    <w:rsid w:val="5640748B"/>
    <w:rsid w:val="56C9323D"/>
    <w:rsid w:val="56EF6A6B"/>
    <w:rsid w:val="57659E47"/>
    <w:rsid w:val="5797131D"/>
    <w:rsid w:val="57AC29E3"/>
    <w:rsid w:val="57C014A7"/>
    <w:rsid w:val="58041B43"/>
    <w:rsid w:val="58D7224E"/>
    <w:rsid w:val="595724FF"/>
    <w:rsid w:val="5957478F"/>
    <w:rsid w:val="595A2E26"/>
    <w:rsid w:val="5ACF620B"/>
    <w:rsid w:val="5AD95A37"/>
    <w:rsid w:val="5AEE27CB"/>
    <w:rsid w:val="5B01563F"/>
    <w:rsid w:val="5B3567C0"/>
    <w:rsid w:val="5B8D6833"/>
    <w:rsid w:val="5BA87E0B"/>
    <w:rsid w:val="5BC025FE"/>
    <w:rsid w:val="5C0F2139"/>
    <w:rsid w:val="5C7A042C"/>
    <w:rsid w:val="5D77D569"/>
    <w:rsid w:val="5DAB6F41"/>
    <w:rsid w:val="5DFE3023"/>
    <w:rsid w:val="5E2E7822"/>
    <w:rsid w:val="5EB10E76"/>
    <w:rsid w:val="5EBF461A"/>
    <w:rsid w:val="5ED66821"/>
    <w:rsid w:val="5F5257CC"/>
    <w:rsid w:val="5F58602B"/>
    <w:rsid w:val="5F8C426E"/>
    <w:rsid w:val="5F983AA8"/>
    <w:rsid w:val="5FB71C79"/>
    <w:rsid w:val="609528E4"/>
    <w:rsid w:val="618F641B"/>
    <w:rsid w:val="61A0111A"/>
    <w:rsid w:val="61C827FF"/>
    <w:rsid w:val="620C392F"/>
    <w:rsid w:val="6241442E"/>
    <w:rsid w:val="62CA704B"/>
    <w:rsid w:val="6304011E"/>
    <w:rsid w:val="63842F75"/>
    <w:rsid w:val="63986F1B"/>
    <w:rsid w:val="64304153"/>
    <w:rsid w:val="64423289"/>
    <w:rsid w:val="64CB0BBB"/>
    <w:rsid w:val="64E373F7"/>
    <w:rsid w:val="66593D66"/>
    <w:rsid w:val="66955B32"/>
    <w:rsid w:val="66F361B1"/>
    <w:rsid w:val="672912D6"/>
    <w:rsid w:val="672B5EEE"/>
    <w:rsid w:val="67A82DAA"/>
    <w:rsid w:val="67E747D9"/>
    <w:rsid w:val="685A4524"/>
    <w:rsid w:val="696357EB"/>
    <w:rsid w:val="6A862394"/>
    <w:rsid w:val="6A881DED"/>
    <w:rsid w:val="6AE419E0"/>
    <w:rsid w:val="6AFA4EA4"/>
    <w:rsid w:val="6B073482"/>
    <w:rsid w:val="6B9B3B52"/>
    <w:rsid w:val="6C7C0118"/>
    <w:rsid w:val="6C882D13"/>
    <w:rsid w:val="6CEA0711"/>
    <w:rsid w:val="6CEC27FD"/>
    <w:rsid w:val="6D062AED"/>
    <w:rsid w:val="6D706E0E"/>
    <w:rsid w:val="6DFA5BEE"/>
    <w:rsid w:val="6EA25D92"/>
    <w:rsid w:val="6ECC257B"/>
    <w:rsid w:val="6FDD189A"/>
    <w:rsid w:val="70AD2B47"/>
    <w:rsid w:val="713F68E8"/>
    <w:rsid w:val="71650D39"/>
    <w:rsid w:val="71800E61"/>
    <w:rsid w:val="71E616C6"/>
    <w:rsid w:val="71F67EB2"/>
    <w:rsid w:val="720240E2"/>
    <w:rsid w:val="724E70BA"/>
    <w:rsid w:val="72597068"/>
    <w:rsid w:val="73A76D64"/>
    <w:rsid w:val="73F2211E"/>
    <w:rsid w:val="74246E20"/>
    <w:rsid w:val="74AF0468"/>
    <w:rsid w:val="74DF3FC6"/>
    <w:rsid w:val="74F52740"/>
    <w:rsid w:val="755D66AA"/>
    <w:rsid w:val="758121C9"/>
    <w:rsid w:val="758C0943"/>
    <w:rsid w:val="759D4992"/>
    <w:rsid w:val="75BCE7D3"/>
    <w:rsid w:val="75FAF4B9"/>
    <w:rsid w:val="76432C1F"/>
    <w:rsid w:val="76D76293"/>
    <w:rsid w:val="77694EF6"/>
    <w:rsid w:val="77713E29"/>
    <w:rsid w:val="7787DCC9"/>
    <w:rsid w:val="77BE8700"/>
    <w:rsid w:val="78063784"/>
    <w:rsid w:val="78276CA9"/>
    <w:rsid w:val="78EE465B"/>
    <w:rsid w:val="79156236"/>
    <w:rsid w:val="79673561"/>
    <w:rsid w:val="799F4B15"/>
    <w:rsid w:val="79C97FA4"/>
    <w:rsid w:val="79FD4B74"/>
    <w:rsid w:val="7A101281"/>
    <w:rsid w:val="7A1905D5"/>
    <w:rsid w:val="7A1F7F85"/>
    <w:rsid w:val="7B441E30"/>
    <w:rsid w:val="7BB726C2"/>
    <w:rsid w:val="7BC918A0"/>
    <w:rsid w:val="7BED4CD0"/>
    <w:rsid w:val="7BEFA2B2"/>
    <w:rsid w:val="7C120DEF"/>
    <w:rsid w:val="7C1901FF"/>
    <w:rsid w:val="7C1D4C7F"/>
    <w:rsid w:val="7C28439E"/>
    <w:rsid w:val="7C3875CC"/>
    <w:rsid w:val="7CB433A3"/>
    <w:rsid w:val="7CFFC207"/>
    <w:rsid w:val="7D2A0E42"/>
    <w:rsid w:val="7D38642A"/>
    <w:rsid w:val="7D4C3490"/>
    <w:rsid w:val="7DAE455B"/>
    <w:rsid w:val="7DD3B1ED"/>
    <w:rsid w:val="7DFD9A09"/>
    <w:rsid w:val="7E3D74E3"/>
    <w:rsid w:val="7E875363"/>
    <w:rsid w:val="7EB66E2A"/>
    <w:rsid w:val="7F73F6C0"/>
    <w:rsid w:val="7F7EC139"/>
    <w:rsid w:val="7F9FD35E"/>
    <w:rsid w:val="7FB87E7A"/>
    <w:rsid w:val="7FDF270E"/>
    <w:rsid w:val="7FFAF018"/>
    <w:rsid w:val="83FD7108"/>
    <w:rsid w:val="8EFE07F6"/>
    <w:rsid w:val="9EB36DD7"/>
    <w:rsid w:val="AEFE7933"/>
    <w:rsid w:val="B53F6D94"/>
    <w:rsid w:val="B5782A87"/>
    <w:rsid w:val="B6FA135D"/>
    <w:rsid w:val="BA7B23C6"/>
    <w:rsid w:val="BEB759D4"/>
    <w:rsid w:val="BFEB7887"/>
    <w:rsid w:val="C6CF6A6F"/>
    <w:rsid w:val="CFEBDAF3"/>
    <w:rsid w:val="CFF54087"/>
    <w:rsid w:val="DE9D2C33"/>
    <w:rsid w:val="DF932BDA"/>
    <w:rsid w:val="E6CFB3D8"/>
    <w:rsid w:val="E9FEA3CB"/>
    <w:rsid w:val="EF552546"/>
    <w:rsid w:val="F1FB135E"/>
    <w:rsid w:val="F1FFE5D6"/>
    <w:rsid w:val="F7373A27"/>
    <w:rsid w:val="F7DA6EFF"/>
    <w:rsid w:val="F7E33B9C"/>
    <w:rsid w:val="FBE3594F"/>
    <w:rsid w:val="FC4EBF9B"/>
    <w:rsid w:val="FC7785C8"/>
    <w:rsid w:val="FE734873"/>
    <w:rsid w:val="FE7692A7"/>
    <w:rsid w:val="FE996BA2"/>
    <w:rsid w:val="FF6DA386"/>
    <w:rsid w:val="FF8F3A18"/>
    <w:rsid w:val="FFD1C170"/>
    <w:rsid w:val="FFDB782E"/>
    <w:rsid w:val="FFF7ED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1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9"/>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120"/>
    <w:qFormat/>
    <w:uiPriority w:val="0"/>
    <w:pPr>
      <w:keepNext/>
      <w:keepLines/>
      <w:spacing w:before="260" w:after="260" w:line="416" w:lineRule="auto"/>
      <w:outlineLvl w:val="2"/>
    </w:pPr>
    <w:rPr>
      <w:b/>
      <w:bCs/>
      <w:sz w:val="32"/>
      <w:szCs w:val="32"/>
    </w:rPr>
  </w:style>
  <w:style w:type="paragraph" w:styleId="5">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1"/>
    <w:qFormat/>
    <w:uiPriority w:val="0"/>
    <w:pPr>
      <w:keepNext/>
      <w:keepLines/>
      <w:spacing w:before="280" w:after="290" w:line="376" w:lineRule="auto"/>
      <w:outlineLvl w:val="4"/>
    </w:pPr>
    <w:rPr>
      <w:b/>
      <w:bCs/>
      <w:sz w:val="28"/>
      <w:szCs w:val="28"/>
    </w:rPr>
  </w:style>
  <w:style w:type="paragraph" w:styleId="7">
    <w:name w:val="heading 6"/>
    <w:basedOn w:val="1"/>
    <w:next w:val="1"/>
    <w:link w:val="112"/>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10"/>
    <w:qFormat/>
    <w:uiPriority w:val="0"/>
    <w:pPr>
      <w:keepNext/>
      <w:keepLines/>
      <w:spacing w:before="240" w:after="64" w:line="320" w:lineRule="auto"/>
      <w:outlineLvl w:val="6"/>
    </w:pPr>
    <w:rPr>
      <w:b/>
      <w:bCs/>
      <w:sz w:val="24"/>
    </w:rPr>
  </w:style>
  <w:style w:type="paragraph" w:styleId="9">
    <w:name w:val="heading 8"/>
    <w:basedOn w:val="1"/>
    <w:next w:val="1"/>
    <w:link w:val="14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09"/>
    <w:qFormat/>
    <w:uiPriority w:val="0"/>
    <w:pPr>
      <w:keepNext/>
      <w:keepLines/>
      <w:spacing w:before="240" w:after="64" w:line="320" w:lineRule="auto"/>
      <w:outlineLvl w:val="8"/>
    </w:pPr>
    <w:rPr>
      <w:rFonts w:ascii="Arial" w:hAnsi="Arial" w:eastAsia="黑体"/>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cs="Calibri"/>
      <w:sz w:val="18"/>
      <w:szCs w:val="18"/>
    </w:rPr>
  </w:style>
  <w:style w:type="paragraph" w:styleId="12">
    <w:name w:val="index 8"/>
    <w:basedOn w:val="1"/>
    <w:next w:val="1"/>
    <w:semiHidden/>
    <w:qFormat/>
    <w:uiPriority w:val="0"/>
    <w:pPr>
      <w:ind w:left="1400" w:leftChars="1400"/>
    </w:pPr>
  </w:style>
  <w:style w:type="paragraph" w:styleId="13">
    <w:name w:val="List Number"/>
    <w:basedOn w:val="1"/>
    <w:qFormat/>
    <w:uiPriority w:val="0"/>
    <w:pPr>
      <w:tabs>
        <w:tab w:val="left" w:pos="1455"/>
      </w:tabs>
      <w:ind w:left="1455" w:hanging="1455"/>
    </w:pPr>
  </w:style>
  <w:style w:type="paragraph" w:styleId="14">
    <w:name w:val="Normal Indent"/>
    <w:basedOn w:val="1"/>
    <w:link w:val="118"/>
    <w:qFormat/>
    <w:uiPriority w:val="0"/>
    <w:pPr>
      <w:ind w:firstLine="420" w:firstLineChars="200"/>
    </w:pPr>
    <w:rPr>
      <w:sz w:val="28"/>
      <w:szCs w:val="20"/>
    </w:rPr>
  </w:style>
  <w:style w:type="paragraph" w:styleId="15">
    <w:name w:val="caption"/>
    <w:basedOn w:val="1"/>
    <w:next w:val="1"/>
    <w:qFormat/>
    <w:uiPriority w:val="0"/>
    <w:rPr>
      <w:rFonts w:ascii="Arial" w:hAnsi="Arial" w:eastAsia="黑体" w:cs="Arial"/>
      <w:sz w:val="20"/>
      <w:szCs w:val="20"/>
    </w:rPr>
  </w:style>
  <w:style w:type="paragraph" w:styleId="16">
    <w:name w:val="index 5"/>
    <w:basedOn w:val="1"/>
    <w:next w:val="1"/>
    <w:semiHidden/>
    <w:qFormat/>
    <w:uiPriority w:val="0"/>
    <w:pPr>
      <w:ind w:left="800" w:leftChars="800"/>
    </w:pPr>
  </w:style>
  <w:style w:type="paragraph" w:styleId="17">
    <w:name w:val="Document Map"/>
    <w:basedOn w:val="1"/>
    <w:link w:val="132"/>
    <w:qFormat/>
    <w:uiPriority w:val="0"/>
    <w:pPr>
      <w:shd w:val="clear" w:color="auto" w:fill="000080"/>
      <w:spacing w:line="240" w:lineRule="auto"/>
    </w:pPr>
    <w:rPr>
      <w:rFonts w:ascii="Times New Roman" w:hAnsi="Times New Roman"/>
      <w:szCs w:val="20"/>
    </w:rPr>
  </w:style>
  <w:style w:type="paragraph" w:styleId="18">
    <w:name w:val="annotation text"/>
    <w:basedOn w:val="1"/>
    <w:link w:val="130"/>
    <w:qFormat/>
    <w:uiPriority w:val="0"/>
    <w:pPr>
      <w:jc w:val="left"/>
    </w:pPr>
  </w:style>
  <w:style w:type="paragraph" w:styleId="19">
    <w:name w:val="index 6"/>
    <w:basedOn w:val="1"/>
    <w:next w:val="1"/>
    <w:semiHidden/>
    <w:qFormat/>
    <w:uiPriority w:val="0"/>
    <w:pPr>
      <w:ind w:left="1000" w:leftChars="1000"/>
    </w:pPr>
  </w:style>
  <w:style w:type="paragraph" w:styleId="20">
    <w:name w:val="Salutation"/>
    <w:basedOn w:val="1"/>
    <w:next w:val="1"/>
    <w:link w:val="106"/>
    <w:qFormat/>
    <w:uiPriority w:val="0"/>
    <w:pPr>
      <w:spacing w:line="240" w:lineRule="auto"/>
    </w:pPr>
    <w:rPr>
      <w:rFonts w:ascii="Times New Roman" w:hAnsi="Times New Roman"/>
      <w:sz w:val="32"/>
      <w:szCs w:val="32"/>
    </w:rPr>
  </w:style>
  <w:style w:type="paragraph" w:styleId="21">
    <w:name w:val="Body Text 3"/>
    <w:basedOn w:val="1"/>
    <w:link w:val="145"/>
    <w:qFormat/>
    <w:uiPriority w:val="0"/>
    <w:pPr>
      <w:spacing w:line="240" w:lineRule="auto"/>
      <w:jc w:val="center"/>
    </w:pPr>
    <w:rPr>
      <w:rFonts w:ascii="Times New Roman" w:hAnsi="Times New Roman"/>
      <w:szCs w:val="20"/>
    </w:rPr>
  </w:style>
  <w:style w:type="paragraph" w:styleId="22">
    <w:name w:val="Body Text"/>
    <w:basedOn w:val="1"/>
    <w:next w:val="23"/>
    <w:link w:val="105"/>
    <w:qFormat/>
    <w:uiPriority w:val="0"/>
    <w:pPr>
      <w:jc w:val="center"/>
    </w:pPr>
    <w:rPr>
      <w:rFonts w:ascii="宋体" w:hAnsi="宋体"/>
      <w:b/>
      <w:bCs/>
      <w:color w:val="000000"/>
      <w:sz w:val="72"/>
      <w:szCs w:val="20"/>
    </w:rPr>
  </w:style>
  <w:style w:type="paragraph" w:styleId="23">
    <w:name w:val="Body Text First Indent"/>
    <w:basedOn w:val="22"/>
    <w:link w:val="146"/>
    <w:unhideWhenUsed/>
    <w:qFormat/>
    <w:uiPriority w:val="0"/>
    <w:pPr>
      <w:spacing w:after="120"/>
      <w:ind w:firstLine="420" w:firstLineChars="100"/>
    </w:pPr>
    <w:rPr>
      <w:rFonts w:ascii="Calibri" w:hAnsi="Calibri"/>
      <w:sz w:val="21"/>
      <w:szCs w:val="22"/>
    </w:rPr>
  </w:style>
  <w:style w:type="paragraph" w:styleId="24">
    <w:name w:val="Body Text Indent"/>
    <w:basedOn w:val="1"/>
    <w:link w:val="104"/>
    <w:qFormat/>
    <w:uiPriority w:val="0"/>
    <w:pPr>
      <w:spacing w:line="460" w:lineRule="exact"/>
      <w:ind w:firstLine="482" w:firstLineChars="200"/>
    </w:pPr>
    <w:rPr>
      <w:b/>
      <w:bCs/>
      <w:sz w:val="24"/>
      <w:shd w:val="clear" w:color="auto" w:fill="CCCCCC"/>
    </w:rPr>
  </w:style>
  <w:style w:type="paragraph" w:styleId="25">
    <w:name w:val="List 2"/>
    <w:basedOn w:val="1"/>
    <w:qFormat/>
    <w:uiPriority w:val="0"/>
    <w:pPr>
      <w:spacing w:after="120" w:line="400" w:lineRule="exact"/>
    </w:pPr>
    <w:rPr>
      <w:sz w:val="24"/>
      <w:szCs w:val="20"/>
    </w:rPr>
  </w:style>
  <w:style w:type="paragraph" w:styleId="26">
    <w:name w:val="index 4"/>
    <w:basedOn w:val="1"/>
    <w:next w:val="1"/>
    <w:semiHidden/>
    <w:qFormat/>
    <w:uiPriority w:val="0"/>
    <w:pPr>
      <w:ind w:left="600" w:leftChars="600"/>
    </w:pPr>
  </w:style>
  <w:style w:type="paragraph" w:styleId="27">
    <w:name w:val="toc 5"/>
    <w:basedOn w:val="1"/>
    <w:next w:val="1"/>
    <w:qFormat/>
    <w:uiPriority w:val="0"/>
    <w:pPr>
      <w:ind w:left="840"/>
      <w:jc w:val="left"/>
    </w:pPr>
    <w:rPr>
      <w:rFonts w:cs="Calibri"/>
      <w:sz w:val="18"/>
      <w:szCs w:val="18"/>
    </w:rPr>
  </w:style>
  <w:style w:type="paragraph" w:styleId="28">
    <w:name w:val="toc 3"/>
    <w:basedOn w:val="1"/>
    <w:next w:val="1"/>
    <w:qFormat/>
    <w:uiPriority w:val="0"/>
    <w:pPr>
      <w:ind w:left="420"/>
      <w:jc w:val="left"/>
    </w:pPr>
    <w:rPr>
      <w:rFonts w:cs="Calibri"/>
      <w:i/>
      <w:iCs/>
      <w:sz w:val="20"/>
      <w:szCs w:val="20"/>
    </w:rPr>
  </w:style>
  <w:style w:type="paragraph" w:styleId="29">
    <w:name w:val="Plain Text"/>
    <w:basedOn w:val="1"/>
    <w:link w:val="103"/>
    <w:qFormat/>
    <w:uiPriority w:val="0"/>
    <w:rPr>
      <w:rFonts w:ascii="宋体" w:hAnsi="Courier New" w:cs="Courier New"/>
      <w:szCs w:val="21"/>
    </w:rPr>
  </w:style>
  <w:style w:type="paragraph" w:styleId="30">
    <w:name w:val="toc 8"/>
    <w:basedOn w:val="1"/>
    <w:next w:val="1"/>
    <w:qFormat/>
    <w:uiPriority w:val="0"/>
    <w:pPr>
      <w:ind w:left="1470"/>
      <w:jc w:val="left"/>
    </w:pPr>
    <w:rPr>
      <w:rFonts w:cs="Calibri"/>
      <w:sz w:val="18"/>
      <w:szCs w:val="18"/>
    </w:rPr>
  </w:style>
  <w:style w:type="paragraph" w:styleId="31">
    <w:name w:val="index 3"/>
    <w:basedOn w:val="1"/>
    <w:next w:val="1"/>
    <w:semiHidden/>
    <w:qFormat/>
    <w:uiPriority w:val="0"/>
    <w:pPr>
      <w:ind w:left="400" w:leftChars="400"/>
    </w:pPr>
  </w:style>
  <w:style w:type="paragraph" w:styleId="32">
    <w:name w:val="Date"/>
    <w:basedOn w:val="1"/>
    <w:next w:val="1"/>
    <w:link w:val="117"/>
    <w:qFormat/>
    <w:uiPriority w:val="0"/>
    <w:pPr>
      <w:ind w:left="100" w:leftChars="2500"/>
    </w:pPr>
  </w:style>
  <w:style w:type="paragraph" w:styleId="33">
    <w:name w:val="Body Text Indent 2"/>
    <w:basedOn w:val="1"/>
    <w:link w:val="115"/>
    <w:qFormat/>
    <w:uiPriority w:val="0"/>
    <w:pPr>
      <w:ind w:firstLine="480"/>
    </w:pPr>
    <w:rPr>
      <w:rFonts w:hint="eastAsia" w:ascii="宋体" w:eastAsia="新宋体"/>
      <w:sz w:val="24"/>
      <w:szCs w:val="20"/>
    </w:rPr>
  </w:style>
  <w:style w:type="paragraph" w:styleId="34">
    <w:name w:val="Balloon Text"/>
    <w:basedOn w:val="1"/>
    <w:link w:val="129"/>
    <w:qFormat/>
    <w:uiPriority w:val="0"/>
    <w:rPr>
      <w:sz w:val="18"/>
      <w:szCs w:val="18"/>
    </w:rPr>
  </w:style>
  <w:style w:type="paragraph" w:styleId="35">
    <w:name w:val="footer"/>
    <w:basedOn w:val="1"/>
    <w:link w:val="102"/>
    <w:qFormat/>
    <w:uiPriority w:val="99"/>
    <w:pPr>
      <w:tabs>
        <w:tab w:val="center" w:pos="4153"/>
        <w:tab w:val="right" w:pos="8306"/>
      </w:tabs>
      <w:snapToGrid w:val="0"/>
      <w:jc w:val="left"/>
    </w:pPr>
    <w:rPr>
      <w:sz w:val="18"/>
      <w:szCs w:val="18"/>
    </w:rPr>
  </w:style>
  <w:style w:type="paragraph" w:styleId="36">
    <w:name w:val="header"/>
    <w:basedOn w:val="1"/>
    <w:link w:val="138"/>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cs="Calibri"/>
      <w:b/>
      <w:bCs/>
      <w:caps/>
      <w:sz w:val="20"/>
      <w:szCs w:val="20"/>
    </w:rPr>
  </w:style>
  <w:style w:type="paragraph" w:styleId="38">
    <w:name w:val="toc 4"/>
    <w:basedOn w:val="1"/>
    <w:next w:val="1"/>
    <w:qFormat/>
    <w:uiPriority w:val="0"/>
    <w:pPr>
      <w:ind w:left="630"/>
      <w:jc w:val="left"/>
    </w:pPr>
    <w:rPr>
      <w:rFonts w:cs="Calibri"/>
      <w:sz w:val="18"/>
      <w:szCs w:val="18"/>
    </w:rPr>
  </w:style>
  <w:style w:type="paragraph" w:styleId="39">
    <w:name w:val="index heading"/>
    <w:basedOn w:val="1"/>
    <w:next w:val="40"/>
    <w:semiHidden/>
    <w:qFormat/>
    <w:uiPriority w:val="0"/>
  </w:style>
  <w:style w:type="paragraph" w:styleId="40">
    <w:name w:val="index 1"/>
    <w:basedOn w:val="1"/>
    <w:next w:val="1"/>
    <w:semiHidden/>
    <w:qFormat/>
    <w:uiPriority w:val="0"/>
    <w:pPr>
      <w:spacing w:line="560" w:lineRule="exact"/>
    </w:pPr>
    <w:rPr>
      <w:sz w:val="28"/>
    </w:rPr>
  </w:style>
  <w:style w:type="paragraph" w:styleId="41">
    <w:name w:val="List"/>
    <w:basedOn w:val="1"/>
    <w:qFormat/>
    <w:uiPriority w:val="0"/>
    <w:pPr>
      <w:ind w:left="200" w:hanging="200" w:hangingChars="200"/>
      <w:contextualSpacing/>
    </w:pPr>
  </w:style>
  <w:style w:type="paragraph" w:styleId="42">
    <w:name w:val="toc 6"/>
    <w:basedOn w:val="1"/>
    <w:next w:val="1"/>
    <w:qFormat/>
    <w:uiPriority w:val="0"/>
    <w:pPr>
      <w:ind w:left="1050"/>
      <w:jc w:val="left"/>
    </w:pPr>
    <w:rPr>
      <w:rFonts w:cs="Calibri"/>
      <w:sz w:val="18"/>
      <w:szCs w:val="18"/>
    </w:rPr>
  </w:style>
  <w:style w:type="paragraph" w:styleId="43">
    <w:name w:val="Body Text Indent 3"/>
    <w:basedOn w:val="1"/>
    <w:link w:val="101"/>
    <w:qFormat/>
    <w:uiPriority w:val="0"/>
    <w:pPr>
      <w:spacing w:after="120"/>
      <w:ind w:left="420" w:leftChars="200"/>
    </w:pPr>
    <w:rPr>
      <w:sz w:val="16"/>
      <w:szCs w:val="16"/>
    </w:rPr>
  </w:style>
  <w:style w:type="paragraph" w:styleId="44">
    <w:name w:val="index 7"/>
    <w:basedOn w:val="1"/>
    <w:next w:val="1"/>
    <w:semiHidden/>
    <w:qFormat/>
    <w:uiPriority w:val="0"/>
    <w:pPr>
      <w:ind w:left="1200" w:leftChars="1200"/>
    </w:pPr>
  </w:style>
  <w:style w:type="paragraph" w:styleId="45">
    <w:name w:val="index 9"/>
    <w:basedOn w:val="1"/>
    <w:next w:val="1"/>
    <w:semiHidden/>
    <w:qFormat/>
    <w:uiPriority w:val="0"/>
    <w:pPr>
      <w:ind w:left="1600" w:leftChars="1600"/>
    </w:pPr>
  </w:style>
  <w:style w:type="paragraph" w:styleId="46">
    <w:name w:val="table of figures"/>
    <w:basedOn w:val="1"/>
    <w:next w:val="1"/>
    <w:semiHidden/>
    <w:qFormat/>
    <w:uiPriority w:val="0"/>
    <w:pPr>
      <w:spacing w:line="560" w:lineRule="exact"/>
    </w:pPr>
    <w:rPr>
      <w:b/>
      <w:sz w:val="28"/>
    </w:rPr>
  </w:style>
  <w:style w:type="paragraph" w:styleId="47">
    <w:name w:val="toc 2"/>
    <w:basedOn w:val="1"/>
    <w:next w:val="1"/>
    <w:qFormat/>
    <w:uiPriority w:val="39"/>
    <w:pPr>
      <w:ind w:left="210"/>
      <w:jc w:val="left"/>
    </w:pPr>
    <w:rPr>
      <w:rFonts w:cs="Calibri"/>
      <w:smallCaps/>
      <w:sz w:val="20"/>
      <w:szCs w:val="20"/>
    </w:rPr>
  </w:style>
  <w:style w:type="paragraph" w:styleId="48">
    <w:name w:val="toc 9"/>
    <w:basedOn w:val="1"/>
    <w:next w:val="1"/>
    <w:qFormat/>
    <w:uiPriority w:val="0"/>
    <w:pPr>
      <w:ind w:left="1680"/>
      <w:jc w:val="left"/>
    </w:pPr>
    <w:rPr>
      <w:rFonts w:cs="Calibri"/>
      <w:sz w:val="18"/>
      <w:szCs w:val="18"/>
    </w:rPr>
  </w:style>
  <w:style w:type="paragraph" w:styleId="49">
    <w:name w:val="Body Text 2"/>
    <w:basedOn w:val="1"/>
    <w:link w:val="144"/>
    <w:qFormat/>
    <w:uiPriority w:val="0"/>
    <w:pPr>
      <w:spacing w:after="120" w:line="480" w:lineRule="auto"/>
    </w:pPr>
  </w:style>
  <w:style w:type="paragraph" w:styleId="50">
    <w:name w:val="Normal (Web)"/>
    <w:basedOn w:val="1"/>
    <w:link w:val="114"/>
    <w:qFormat/>
    <w:uiPriority w:val="99"/>
    <w:rPr>
      <w:sz w:val="24"/>
    </w:rPr>
  </w:style>
  <w:style w:type="paragraph" w:styleId="51">
    <w:name w:val="index 2"/>
    <w:basedOn w:val="1"/>
    <w:next w:val="1"/>
    <w:semiHidden/>
    <w:qFormat/>
    <w:uiPriority w:val="0"/>
    <w:pPr>
      <w:spacing w:line="560" w:lineRule="exact"/>
      <w:ind w:left="200" w:leftChars="200"/>
    </w:pPr>
    <w:rPr>
      <w:sz w:val="28"/>
    </w:rPr>
  </w:style>
  <w:style w:type="paragraph" w:styleId="52">
    <w:name w:val="Title"/>
    <w:basedOn w:val="1"/>
    <w:next w:val="1"/>
    <w:link w:val="100"/>
    <w:qFormat/>
    <w:uiPriority w:val="0"/>
    <w:pPr>
      <w:jc w:val="center"/>
    </w:pPr>
    <w:rPr>
      <w:rFonts w:ascii="Arial" w:hAnsi="Arial"/>
      <w:b/>
      <w:kern w:val="0"/>
      <w:sz w:val="36"/>
      <w:lang w:eastAsia="en-US"/>
    </w:rPr>
  </w:style>
  <w:style w:type="paragraph" w:styleId="53">
    <w:name w:val="annotation subject"/>
    <w:basedOn w:val="18"/>
    <w:next w:val="18"/>
    <w:link w:val="150"/>
    <w:qFormat/>
    <w:uiPriority w:val="0"/>
    <w:pPr>
      <w:spacing w:line="240" w:lineRule="auto"/>
    </w:pPr>
    <w:rPr>
      <w:rFonts w:ascii="Times New Roman" w:hAnsi="Times New Roman"/>
      <w:b/>
      <w:bCs/>
      <w:szCs w:val="20"/>
    </w:rPr>
  </w:style>
  <w:style w:type="paragraph" w:styleId="54">
    <w:name w:val="Body Text First Indent 2"/>
    <w:basedOn w:val="24"/>
    <w:link w:val="122"/>
    <w:unhideWhenUsed/>
    <w:qFormat/>
    <w:uiPriority w:val="99"/>
    <w:pPr>
      <w:spacing w:after="120" w:line="360" w:lineRule="auto"/>
      <w:ind w:left="420" w:leftChars="200" w:firstLine="420"/>
    </w:pPr>
    <w:rPr>
      <w:b w:val="0"/>
      <w:bCs w:val="0"/>
      <w:sz w:val="21"/>
      <w:szCs w:val="20"/>
      <w:shd w:val="clear" w:color="auto" w:fill="auto"/>
    </w:rPr>
  </w:style>
  <w:style w:type="table" w:styleId="56">
    <w:name w:val="Table Grid"/>
    <w:basedOn w:val="5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rPr>
  </w:style>
  <w:style w:type="character" w:styleId="59">
    <w:name w:val="page number"/>
    <w:basedOn w:val="57"/>
    <w:qFormat/>
    <w:uiPriority w:val="0"/>
  </w:style>
  <w:style w:type="character" w:styleId="60">
    <w:name w:val="FollowedHyperlink"/>
    <w:qFormat/>
    <w:uiPriority w:val="0"/>
    <w:rPr>
      <w:color w:val="800080"/>
      <w:u w:val="single"/>
    </w:rPr>
  </w:style>
  <w:style w:type="character" w:styleId="61">
    <w:name w:val="Hyperlink"/>
    <w:qFormat/>
    <w:uiPriority w:val="99"/>
    <w:rPr>
      <w:color w:val="0000FF"/>
      <w:u w:val="single"/>
    </w:rPr>
  </w:style>
  <w:style w:type="character" w:styleId="62">
    <w:name w:val="annotation reference"/>
    <w:basedOn w:val="57"/>
    <w:qFormat/>
    <w:uiPriority w:val="0"/>
    <w:rPr>
      <w:sz w:val="21"/>
    </w:rPr>
  </w:style>
  <w:style w:type="character" w:styleId="63">
    <w:name w:val="HTML Sample"/>
    <w:basedOn w:val="57"/>
    <w:unhideWhenUsed/>
    <w:qFormat/>
    <w:uiPriority w:val="99"/>
    <w:rPr>
      <w:rFonts w:ascii="宋体" w:hAnsi="宋体" w:eastAsia="宋体" w:cs="宋体"/>
    </w:rPr>
  </w:style>
  <w:style w:type="character" w:customStyle="1" w:styleId="64">
    <w:name w:val="font41"/>
    <w:basedOn w:val="57"/>
    <w:qFormat/>
    <w:uiPriority w:val="0"/>
    <w:rPr>
      <w:rFonts w:hint="eastAsia" w:ascii="宋体" w:hAnsi="宋体" w:eastAsia="宋体" w:cs="宋体"/>
      <w:color w:val="000000"/>
      <w:sz w:val="18"/>
      <w:szCs w:val="18"/>
      <w:u w:val="none"/>
    </w:rPr>
  </w:style>
  <w:style w:type="character" w:customStyle="1" w:styleId="65">
    <w:name w:val="font31"/>
    <w:basedOn w:val="57"/>
    <w:qFormat/>
    <w:uiPriority w:val="0"/>
    <w:rPr>
      <w:rFonts w:hint="default" w:ascii="Times New Roman" w:hAnsi="Times New Roman" w:cs="Times New Roman"/>
      <w:color w:val="000000"/>
      <w:sz w:val="18"/>
      <w:szCs w:val="18"/>
      <w:u w:val="none"/>
    </w:rPr>
  </w:style>
  <w:style w:type="character" w:customStyle="1" w:styleId="66">
    <w:name w:val="正文非缩进 Char"/>
    <w:qFormat/>
    <w:uiPriority w:val="0"/>
    <w:rPr>
      <w:rFonts w:ascii="宋体" w:eastAsia="宋体"/>
      <w:snapToGrid w:val="0"/>
      <w:color w:val="000000"/>
      <w:kern w:val="28"/>
      <w:sz w:val="28"/>
      <w:lang w:val="en-US" w:eastAsia="zh-CN" w:bidi="ar-SA"/>
    </w:rPr>
  </w:style>
  <w:style w:type="character" w:customStyle="1" w:styleId="67">
    <w:name w:val="dectext1"/>
    <w:qFormat/>
    <w:uiPriority w:val="0"/>
    <w:rPr>
      <w:rFonts w:ascii="宋体" w:hAnsi="宋体" w:eastAsia="宋体"/>
      <w:color w:val="333333"/>
      <w:sz w:val="21"/>
      <w:szCs w:val="21"/>
      <w:u w:val="none"/>
    </w:rPr>
  </w:style>
  <w:style w:type="character" w:customStyle="1" w:styleId="68">
    <w:name w:val="h3 Char"/>
    <w:qFormat/>
    <w:uiPriority w:val="0"/>
    <w:rPr>
      <w:rFonts w:eastAsia="宋体"/>
      <w:b/>
      <w:kern w:val="2"/>
      <w:sz w:val="32"/>
      <w:lang w:val="en-US" w:eastAsia="zh-CN" w:bidi="ar-SA"/>
    </w:rPr>
  </w:style>
  <w:style w:type="character" w:customStyle="1" w:styleId="69">
    <w:name w:val="正文2 Char"/>
    <w:qFormat/>
    <w:uiPriority w:val="0"/>
    <w:rPr>
      <w:rFonts w:eastAsia="宋体"/>
      <w:kern w:val="2"/>
      <w:sz w:val="24"/>
      <w:lang w:val="en-US" w:eastAsia="zh-CN" w:bidi="ar-SA"/>
    </w:rPr>
  </w:style>
  <w:style w:type="character" w:customStyle="1" w:styleId="70">
    <w:name w:val="表正文 Char"/>
    <w:qFormat/>
    <w:uiPriority w:val="0"/>
    <w:rPr>
      <w:rFonts w:ascii="宋体" w:eastAsia="宋体"/>
      <w:snapToGrid w:val="0"/>
      <w:color w:val="000000"/>
      <w:kern w:val="28"/>
      <w:sz w:val="28"/>
      <w:lang w:val="en-US" w:eastAsia="zh-CN" w:bidi="ar-SA"/>
    </w:rPr>
  </w:style>
  <w:style w:type="character" w:customStyle="1" w:styleId="71">
    <w:name w:val="公文正文 Char Char"/>
    <w:link w:val="72"/>
    <w:qFormat/>
    <w:uiPriority w:val="0"/>
    <w:rPr>
      <w:rFonts w:ascii="仿宋_GB2312" w:hAnsi="Times New Roman" w:eastAsia="仿宋_GB2312"/>
      <w:kern w:val="2"/>
      <w:sz w:val="24"/>
      <w:szCs w:val="24"/>
    </w:rPr>
  </w:style>
  <w:style w:type="paragraph" w:customStyle="1" w:styleId="72">
    <w:name w:val="公文正文"/>
    <w:basedOn w:val="1"/>
    <w:link w:val="71"/>
    <w:qFormat/>
    <w:uiPriority w:val="0"/>
    <w:pPr>
      <w:spacing w:before="156"/>
      <w:ind w:firstLine="360" w:firstLineChars="200"/>
    </w:pPr>
    <w:rPr>
      <w:rFonts w:ascii="仿宋_GB2312" w:hAnsi="Times New Roman" w:eastAsia="仿宋_GB2312"/>
      <w:sz w:val="24"/>
    </w:rPr>
  </w:style>
  <w:style w:type="character" w:customStyle="1" w:styleId="73">
    <w:name w:val="FA正文 Char Char"/>
    <w:link w:val="74"/>
    <w:qFormat/>
    <w:uiPriority w:val="0"/>
    <w:rPr>
      <w:rFonts w:ascii="Times New Roman" w:hAnsi="宋体"/>
      <w:kern w:val="2"/>
      <w:sz w:val="24"/>
    </w:rPr>
  </w:style>
  <w:style w:type="paragraph" w:customStyle="1" w:styleId="74">
    <w:name w:val="FA正文"/>
    <w:basedOn w:val="1"/>
    <w:link w:val="73"/>
    <w:qFormat/>
    <w:uiPriority w:val="0"/>
    <w:pPr>
      <w:ind w:firstLine="480" w:firstLineChars="200"/>
    </w:pPr>
    <w:rPr>
      <w:rFonts w:ascii="Times New Roman" w:hAnsi="宋体"/>
      <w:sz w:val="24"/>
      <w:szCs w:val="20"/>
    </w:rPr>
  </w:style>
  <w:style w:type="character" w:customStyle="1" w:styleId="75">
    <w:name w:val="页眉或页脚 (2)_"/>
    <w:basedOn w:val="57"/>
    <w:link w:val="76"/>
    <w:qFormat/>
    <w:uiPriority w:val="0"/>
    <w:rPr>
      <w:rFonts w:ascii="Times New Roman" w:hAnsi="Times New Roman" w:eastAsia="Times New Roman"/>
    </w:rPr>
  </w:style>
  <w:style w:type="paragraph" w:customStyle="1" w:styleId="76">
    <w:name w:val="页眉或页脚 (2)"/>
    <w:basedOn w:val="1"/>
    <w:link w:val="75"/>
    <w:qFormat/>
    <w:uiPriority w:val="0"/>
    <w:pPr>
      <w:spacing w:line="240" w:lineRule="auto"/>
      <w:jc w:val="left"/>
    </w:pPr>
    <w:rPr>
      <w:rFonts w:ascii="Times New Roman" w:hAnsi="Times New Roman" w:eastAsia="Times New Roman"/>
      <w:kern w:val="0"/>
      <w:sz w:val="20"/>
      <w:szCs w:val="20"/>
    </w:rPr>
  </w:style>
  <w:style w:type="character" w:customStyle="1" w:styleId="77">
    <w:name w:val="无间隔 Char"/>
    <w:link w:val="78"/>
    <w:qFormat/>
    <w:locked/>
    <w:uiPriority w:val="1"/>
    <w:rPr>
      <w:sz w:val="22"/>
      <w:szCs w:val="22"/>
      <w:lang w:val="en-US" w:eastAsia="en-US" w:bidi="ar-SA"/>
    </w:rPr>
  </w:style>
  <w:style w:type="paragraph" w:customStyle="1" w:styleId="78">
    <w:name w:val="无间隔1"/>
    <w:link w:val="77"/>
    <w:qFormat/>
    <w:uiPriority w:val="1"/>
    <w:pPr>
      <w:spacing w:line="360" w:lineRule="auto"/>
      <w:jc w:val="center"/>
    </w:pPr>
    <w:rPr>
      <w:rFonts w:ascii="Calibri" w:hAnsi="Calibri" w:eastAsia="宋体" w:cs="Times New Roman"/>
      <w:sz w:val="22"/>
      <w:szCs w:val="22"/>
      <w:lang w:val="en-US" w:eastAsia="en-US" w:bidi="ar-SA"/>
    </w:rPr>
  </w:style>
  <w:style w:type="character" w:customStyle="1" w:styleId="79">
    <w:name w:val="htd0"/>
    <w:basedOn w:val="57"/>
    <w:qFormat/>
    <w:uiPriority w:val="0"/>
  </w:style>
  <w:style w:type="character" w:customStyle="1" w:styleId="80">
    <w:name w:val="bds_nopic"/>
    <w:basedOn w:val="57"/>
    <w:qFormat/>
    <w:uiPriority w:val="0"/>
  </w:style>
  <w:style w:type="character" w:customStyle="1" w:styleId="81">
    <w:name w:val="DN-正文 Char Char"/>
    <w:link w:val="82"/>
    <w:qFormat/>
    <w:uiPriority w:val="0"/>
    <w:rPr>
      <w:kern w:val="2"/>
      <w:sz w:val="21"/>
      <w:szCs w:val="24"/>
    </w:rPr>
  </w:style>
  <w:style w:type="paragraph" w:customStyle="1" w:styleId="82">
    <w:name w:val="DN-正文"/>
    <w:basedOn w:val="14"/>
    <w:link w:val="81"/>
    <w:qFormat/>
    <w:uiPriority w:val="0"/>
    <w:pPr>
      <w:spacing w:line="400" w:lineRule="exact"/>
      <w:ind w:firstLine="200"/>
    </w:pPr>
    <w:rPr>
      <w:sz w:val="21"/>
      <w:szCs w:val="24"/>
    </w:rPr>
  </w:style>
  <w:style w:type="character" w:customStyle="1" w:styleId="83">
    <w:name w:val="bds_more2"/>
    <w:basedOn w:val="57"/>
    <w:qFormat/>
    <w:uiPriority w:val="0"/>
  </w:style>
  <w:style w:type="character" w:customStyle="1" w:styleId="84">
    <w:name w:val="bds_more"/>
    <w:qFormat/>
    <w:uiPriority w:val="0"/>
    <w:rPr>
      <w:rFonts w:hint="eastAsia" w:ascii="宋体" w:hAnsi="宋体" w:eastAsia="宋体" w:cs="宋体"/>
    </w:rPr>
  </w:style>
  <w:style w:type="character" w:customStyle="1" w:styleId="85">
    <w:name w:val="bds_nopic2"/>
    <w:basedOn w:val="57"/>
    <w:qFormat/>
    <w:uiPriority w:val="0"/>
  </w:style>
  <w:style w:type="character" w:customStyle="1" w:styleId="86">
    <w:name w:val="bookmark-item"/>
    <w:basedOn w:val="57"/>
    <w:qFormat/>
    <w:uiPriority w:val="0"/>
  </w:style>
  <w:style w:type="character" w:customStyle="1" w:styleId="87">
    <w:name w:val="纯文本 Char1"/>
    <w:link w:val="88"/>
    <w:qFormat/>
    <w:uiPriority w:val="0"/>
    <w:rPr>
      <w:rFonts w:ascii="宋体" w:hAnsi="Courier New" w:cs="Courier New"/>
      <w:kern w:val="2"/>
      <w:sz w:val="21"/>
      <w:szCs w:val="21"/>
    </w:rPr>
  </w:style>
  <w:style w:type="paragraph" w:customStyle="1" w:styleId="88">
    <w:name w:val="纯文本1"/>
    <w:basedOn w:val="1"/>
    <w:link w:val="87"/>
    <w:qFormat/>
    <w:uiPriority w:val="0"/>
    <w:pPr>
      <w:spacing w:line="440" w:lineRule="exact"/>
    </w:pPr>
    <w:rPr>
      <w:rFonts w:ascii="宋体" w:hAnsi="Courier New"/>
      <w:szCs w:val="21"/>
    </w:rPr>
  </w:style>
  <w:style w:type="character" w:customStyle="1" w:styleId="89">
    <w:name w:val="文档结构图 Char1"/>
    <w:qFormat/>
    <w:uiPriority w:val="0"/>
    <w:rPr>
      <w:rFonts w:ascii="宋体" w:hAnsi="Times New Roman"/>
      <w:snapToGrid w:val="0"/>
      <w:sz w:val="18"/>
      <w:szCs w:val="18"/>
    </w:rPr>
  </w:style>
  <w:style w:type="character" w:customStyle="1" w:styleId="90">
    <w:name w:val="bds_more1"/>
    <w:basedOn w:val="57"/>
    <w:qFormat/>
    <w:uiPriority w:val="0"/>
  </w:style>
  <w:style w:type="character" w:customStyle="1" w:styleId="91">
    <w:name w:val="large1"/>
    <w:qFormat/>
    <w:uiPriority w:val="0"/>
    <w:rPr>
      <w:rFonts w:hint="eastAsia" w:ascii="宋体" w:hAnsi="宋体" w:eastAsia="宋体"/>
      <w:sz w:val="21"/>
      <w:szCs w:val="21"/>
    </w:rPr>
  </w:style>
  <w:style w:type="character" w:customStyle="1" w:styleId="92">
    <w:name w:val="其他_"/>
    <w:link w:val="93"/>
    <w:qFormat/>
    <w:uiPriority w:val="0"/>
    <w:rPr>
      <w:rFonts w:ascii="宋体" w:hAnsi="宋体" w:cs="宋体"/>
      <w:szCs w:val="24"/>
    </w:rPr>
  </w:style>
  <w:style w:type="paragraph" w:customStyle="1" w:styleId="93">
    <w:name w:val="其他"/>
    <w:basedOn w:val="1"/>
    <w:link w:val="92"/>
    <w:qFormat/>
    <w:uiPriority w:val="0"/>
    <w:pPr>
      <w:ind w:firstLine="400"/>
      <w:jc w:val="left"/>
    </w:pPr>
    <w:rPr>
      <w:rFonts w:ascii="宋体" w:hAnsi="宋体"/>
      <w:kern w:val="0"/>
      <w:sz w:val="20"/>
    </w:rPr>
  </w:style>
  <w:style w:type="character" w:customStyle="1" w:styleId="94">
    <w:name w:val="标题 #3_"/>
    <w:link w:val="95"/>
    <w:qFormat/>
    <w:uiPriority w:val="0"/>
    <w:rPr>
      <w:rFonts w:ascii="宋体" w:hAnsi="宋体" w:cs="宋体"/>
      <w:b/>
      <w:bCs/>
      <w:sz w:val="28"/>
      <w:szCs w:val="28"/>
    </w:rPr>
  </w:style>
  <w:style w:type="paragraph" w:customStyle="1" w:styleId="95">
    <w:name w:val="标题 #3"/>
    <w:basedOn w:val="1"/>
    <w:link w:val="94"/>
    <w:qFormat/>
    <w:uiPriority w:val="0"/>
    <w:pPr>
      <w:spacing w:line="240" w:lineRule="auto"/>
      <w:jc w:val="center"/>
      <w:outlineLvl w:val="2"/>
    </w:pPr>
    <w:rPr>
      <w:rFonts w:ascii="宋体" w:hAnsi="宋体"/>
      <w:b/>
      <w:bCs/>
      <w:kern w:val="0"/>
      <w:sz w:val="28"/>
      <w:szCs w:val="28"/>
    </w:rPr>
  </w:style>
  <w:style w:type="character" w:customStyle="1" w:styleId="96">
    <w:name w:val="纯文本 Char"/>
    <w:qFormat/>
    <w:uiPriority w:val="0"/>
    <w:rPr>
      <w:rFonts w:ascii="宋体" w:hAnsi="Courier New" w:eastAsia="宋体"/>
      <w:sz w:val="21"/>
      <w:lang w:val="en-US" w:eastAsia="zh-CN" w:bidi="ar-SA"/>
    </w:rPr>
  </w:style>
  <w:style w:type="character" w:customStyle="1" w:styleId="97">
    <w:name w:val="正文文本_"/>
    <w:link w:val="98"/>
    <w:qFormat/>
    <w:uiPriority w:val="0"/>
    <w:rPr>
      <w:rFonts w:ascii="宋体" w:hAnsi="宋体" w:cs="宋体"/>
      <w:szCs w:val="24"/>
    </w:rPr>
  </w:style>
  <w:style w:type="paragraph" w:customStyle="1" w:styleId="98">
    <w:name w:val="正文文本1"/>
    <w:basedOn w:val="1"/>
    <w:link w:val="97"/>
    <w:qFormat/>
    <w:uiPriority w:val="0"/>
    <w:pPr>
      <w:ind w:firstLine="400"/>
      <w:jc w:val="left"/>
    </w:pPr>
    <w:rPr>
      <w:rFonts w:ascii="宋体" w:hAnsi="宋体"/>
      <w:kern w:val="0"/>
      <w:sz w:val="20"/>
    </w:rPr>
  </w:style>
  <w:style w:type="character" w:customStyle="1" w:styleId="99">
    <w:name w:val="标题 1 Char Char"/>
    <w:qFormat/>
    <w:uiPriority w:val="0"/>
    <w:rPr>
      <w:rFonts w:eastAsia="宋体"/>
      <w:b/>
      <w:spacing w:val="-2"/>
      <w:sz w:val="24"/>
      <w:lang w:val="en-US" w:eastAsia="zh-CN" w:bidi="ar-SA"/>
    </w:rPr>
  </w:style>
  <w:style w:type="character" w:customStyle="1" w:styleId="100">
    <w:name w:val="标题 Char"/>
    <w:link w:val="52"/>
    <w:qFormat/>
    <w:uiPriority w:val="0"/>
    <w:rPr>
      <w:rFonts w:ascii="Arial" w:hAnsi="Arial"/>
      <w:b/>
      <w:sz w:val="36"/>
      <w:szCs w:val="24"/>
      <w:lang w:eastAsia="en-US"/>
    </w:rPr>
  </w:style>
  <w:style w:type="character" w:customStyle="1" w:styleId="101">
    <w:name w:val="正文文本缩进 3 Char"/>
    <w:link w:val="43"/>
    <w:qFormat/>
    <w:uiPriority w:val="0"/>
    <w:rPr>
      <w:kern w:val="2"/>
      <w:sz w:val="16"/>
      <w:szCs w:val="16"/>
    </w:rPr>
  </w:style>
  <w:style w:type="character" w:customStyle="1" w:styleId="102">
    <w:name w:val="页脚 Char"/>
    <w:link w:val="35"/>
    <w:qFormat/>
    <w:uiPriority w:val="99"/>
    <w:rPr>
      <w:kern w:val="2"/>
      <w:sz w:val="18"/>
      <w:szCs w:val="18"/>
    </w:rPr>
  </w:style>
  <w:style w:type="character" w:customStyle="1" w:styleId="103">
    <w:name w:val="纯文本 Char2"/>
    <w:link w:val="29"/>
    <w:qFormat/>
    <w:uiPriority w:val="0"/>
    <w:rPr>
      <w:rFonts w:ascii="宋体" w:hAnsi="Courier New" w:eastAsia="宋体" w:cs="Courier New"/>
      <w:kern w:val="2"/>
      <w:sz w:val="21"/>
      <w:szCs w:val="21"/>
      <w:lang w:val="en-US" w:eastAsia="zh-CN" w:bidi="ar-SA"/>
    </w:rPr>
  </w:style>
  <w:style w:type="character" w:customStyle="1" w:styleId="104">
    <w:name w:val="正文文本缩进 Char"/>
    <w:link w:val="24"/>
    <w:qFormat/>
    <w:uiPriority w:val="0"/>
    <w:rPr>
      <w:b/>
      <w:bCs/>
      <w:kern w:val="2"/>
      <w:sz w:val="24"/>
      <w:szCs w:val="24"/>
    </w:rPr>
  </w:style>
  <w:style w:type="character" w:customStyle="1" w:styleId="105">
    <w:name w:val="正文文本 Char"/>
    <w:link w:val="22"/>
    <w:qFormat/>
    <w:uiPriority w:val="0"/>
    <w:rPr>
      <w:rFonts w:ascii="宋体" w:hAnsi="宋体"/>
      <w:b/>
      <w:bCs/>
      <w:color w:val="000000"/>
      <w:kern w:val="2"/>
      <w:sz w:val="72"/>
    </w:rPr>
  </w:style>
  <w:style w:type="character" w:customStyle="1" w:styleId="106">
    <w:name w:val="称呼 Char"/>
    <w:basedOn w:val="57"/>
    <w:link w:val="20"/>
    <w:qFormat/>
    <w:uiPriority w:val="0"/>
    <w:rPr>
      <w:rFonts w:ascii="Times New Roman" w:hAnsi="Times New Roman"/>
      <w:kern w:val="2"/>
      <w:sz w:val="32"/>
      <w:szCs w:val="32"/>
    </w:rPr>
  </w:style>
  <w:style w:type="character" w:customStyle="1" w:styleId="107">
    <w:name w:val="Char Char Char1"/>
    <w:link w:val="108"/>
    <w:qFormat/>
    <w:uiPriority w:val="0"/>
    <w:rPr>
      <w:rFonts w:ascii="宋体" w:hAnsi="Courier New"/>
      <w:kern w:val="2"/>
      <w:sz w:val="21"/>
    </w:rPr>
  </w:style>
  <w:style w:type="paragraph" w:customStyle="1" w:styleId="108">
    <w:name w:val="Char4"/>
    <w:basedOn w:val="1"/>
    <w:link w:val="107"/>
    <w:qFormat/>
    <w:uiPriority w:val="0"/>
    <w:pPr>
      <w:spacing w:line="240" w:lineRule="auto"/>
    </w:pPr>
    <w:rPr>
      <w:rFonts w:ascii="宋体" w:hAnsi="Courier New"/>
      <w:szCs w:val="20"/>
    </w:rPr>
  </w:style>
  <w:style w:type="character" w:customStyle="1" w:styleId="109">
    <w:name w:val="标题 9 Char"/>
    <w:basedOn w:val="57"/>
    <w:link w:val="10"/>
    <w:qFormat/>
    <w:uiPriority w:val="0"/>
    <w:rPr>
      <w:rFonts w:ascii="Arial" w:hAnsi="Arial" w:eastAsia="黑体"/>
      <w:kern w:val="2"/>
      <w:sz w:val="21"/>
      <w:szCs w:val="21"/>
    </w:rPr>
  </w:style>
  <w:style w:type="character" w:customStyle="1" w:styleId="110">
    <w:name w:val="标题 7 Char"/>
    <w:basedOn w:val="57"/>
    <w:link w:val="8"/>
    <w:qFormat/>
    <w:uiPriority w:val="0"/>
    <w:rPr>
      <w:b/>
      <w:bCs/>
      <w:kern w:val="2"/>
      <w:sz w:val="24"/>
      <w:szCs w:val="24"/>
    </w:rPr>
  </w:style>
  <w:style w:type="character" w:customStyle="1" w:styleId="111">
    <w:name w:val="标题 4 Char"/>
    <w:basedOn w:val="57"/>
    <w:link w:val="5"/>
    <w:qFormat/>
    <w:uiPriority w:val="0"/>
    <w:rPr>
      <w:rFonts w:ascii="Arial" w:hAnsi="Arial" w:eastAsia="黑体"/>
      <w:b/>
      <w:bCs/>
      <w:kern w:val="2"/>
      <w:sz w:val="28"/>
      <w:szCs w:val="28"/>
    </w:rPr>
  </w:style>
  <w:style w:type="character" w:customStyle="1" w:styleId="112">
    <w:name w:val="标题 6 Char"/>
    <w:basedOn w:val="57"/>
    <w:link w:val="7"/>
    <w:qFormat/>
    <w:uiPriority w:val="0"/>
    <w:rPr>
      <w:rFonts w:ascii="Arial" w:hAnsi="Arial" w:eastAsia="黑体"/>
      <w:b/>
      <w:bCs/>
      <w:kern w:val="2"/>
      <w:sz w:val="24"/>
      <w:szCs w:val="24"/>
    </w:rPr>
  </w:style>
  <w:style w:type="character" w:customStyle="1" w:styleId="113">
    <w:name w:val="标题 1 Char"/>
    <w:link w:val="2"/>
    <w:qFormat/>
    <w:uiPriority w:val="0"/>
    <w:rPr>
      <w:b/>
      <w:bCs/>
      <w:kern w:val="44"/>
      <w:sz w:val="44"/>
      <w:szCs w:val="44"/>
    </w:rPr>
  </w:style>
  <w:style w:type="character" w:customStyle="1" w:styleId="114">
    <w:name w:val="普通(网站) Char"/>
    <w:link w:val="50"/>
    <w:qFormat/>
    <w:locked/>
    <w:uiPriority w:val="0"/>
    <w:rPr>
      <w:kern w:val="2"/>
      <w:sz w:val="24"/>
      <w:szCs w:val="24"/>
    </w:rPr>
  </w:style>
  <w:style w:type="character" w:customStyle="1" w:styleId="115">
    <w:name w:val="正文文本缩进 2 Char"/>
    <w:basedOn w:val="57"/>
    <w:link w:val="33"/>
    <w:qFormat/>
    <w:uiPriority w:val="0"/>
    <w:rPr>
      <w:rFonts w:ascii="宋体" w:eastAsia="新宋体"/>
      <w:kern w:val="2"/>
      <w:sz w:val="24"/>
    </w:rPr>
  </w:style>
  <w:style w:type="character" w:customStyle="1" w:styleId="116">
    <w:name w:val="shadow11"/>
    <w:qFormat/>
    <w:uiPriority w:val="0"/>
    <w:rPr>
      <w:color w:val="000000"/>
      <w:sz w:val="21"/>
    </w:rPr>
  </w:style>
  <w:style w:type="character" w:customStyle="1" w:styleId="117">
    <w:name w:val="日期 Char"/>
    <w:link w:val="32"/>
    <w:qFormat/>
    <w:uiPriority w:val="0"/>
    <w:rPr>
      <w:kern w:val="2"/>
      <w:sz w:val="21"/>
      <w:szCs w:val="24"/>
    </w:rPr>
  </w:style>
  <w:style w:type="character" w:customStyle="1" w:styleId="118">
    <w:name w:val="正文缩进 Char"/>
    <w:link w:val="14"/>
    <w:qFormat/>
    <w:uiPriority w:val="0"/>
    <w:rPr>
      <w:kern w:val="2"/>
      <w:sz w:val="28"/>
    </w:rPr>
  </w:style>
  <w:style w:type="character" w:customStyle="1" w:styleId="119">
    <w:name w:val="md"/>
    <w:basedOn w:val="57"/>
    <w:qFormat/>
    <w:uiPriority w:val="0"/>
  </w:style>
  <w:style w:type="character" w:customStyle="1" w:styleId="120">
    <w:name w:val="标题 3 Char"/>
    <w:link w:val="4"/>
    <w:qFormat/>
    <w:uiPriority w:val="0"/>
    <w:rPr>
      <w:b/>
      <w:bCs/>
      <w:kern w:val="2"/>
      <w:sz w:val="32"/>
      <w:szCs w:val="32"/>
    </w:rPr>
  </w:style>
  <w:style w:type="character" w:customStyle="1" w:styleId="121">
    <w:name w:val="bds_nopic1"/>
    <w:basedOn w:val="57"/>
    <w:qFormat/>
    <w:uiPriority w:val="0"/>
  </w:style>
  <w:style w:type="character" w:customStyle="1" w:styleId="122">
    <w:name w:val="正文首行缩进 2 Char"/>
    <w:link w:val="54"/>
    <w:qFormat/>
    <w:uiPriority w:val="99"/>
    <w:rPr>
      <w:kern w:val="2"/>
      <w:sz w:val="21"/>
    </w:rPr>
  </w:style>
  <w:style w:type="character" w:customStyle="1" w:styleId="123">
    <w:name w:val="gf正文1 Char Char"/>
    <w:link w:val="124"/>
    <w:qFormat/>
    <w:uiPriority w:val="0"/>
    <w:rPr>
      <w:rFonts w:ascii="宋体" w:hAnsi="宋体" w:cs="宋体"/>
      <w:kern w:val="2"/>
      <w:sz w:val="24"/>
      <w:szCs w:val="24"/>
    </w:rPr>
  </w:style>
  <w:style w:type="paragraph" w:customStyle="1" w:styleId="124">
    <w:name w:val="gf正文1"/>
    <w:basedOn w:val="1"/>
    <w:link w:val="123"/>
    <w:qFormat/>
    <w:uiPriority w:val="0"/>
    <w:pPr>
      <w:adjustRightInd w:val="0"/>
      <w:snapToGrid w:val="0"/>
      <w:spacing w:beforeLines="50"/>
      <w:ind w:firstLine="480" w:firstLineChars="200"/>
    </w:pPr>
    <w:rPr>
      <w:rFonts w:ascii="宋体" w:hAnsi="宋体"/>
      <w:sz w:val="24"/>
    </w:rPr>
  </w:style>
  <w:style w:type="character" w:customStyle="1" w:styleId="125">
    <w:name w:val="unnamed11"/>
    <w:qFormat/>
    <w:uiPriority w:val="0"/>
    <w:rPr>
      <w:sz w:val="20"/>
      <w:szCs w:val="20"/>
    </w:rPr>
  </w:style>
  <w:style w:type="character" w:customStyle="1" w:styleId="126">
    <w:name w:val="Char Char3"/>
    <w:qFormat/>
    <w:uiPriority w:val="0"/>
    <w:rPr>
      <w:rFonts w:ascii="宋体" w:eastAsia="宋体"/>
      <w:snapToGrid w:val="0"/>
      <w:color w:val="000000"/>
      <w:kern w:val="28"/>
      <w:sz w:val="28"/>
      <w:lang w:val="en-US" w:eastAsia="zh-CN" w:bidi="ar-SA"/>
    </w:rPr>
  </w:style>
  <w:style w:type="character" w:customStyle="1" w:styleId="127">
    <w:name w:val="font11"/>
    <w:basedOn w:val="57"/>
    <w:qFormat/>
    <w:uiPriority w:val="0"/>
    <w:rPr>
      <w:rFonts w:hint="default" w:ascii="Times New Roman" w:hAnsi="Times New Roman" w:cs="Times New Roman"/>
      <w:color w:val="000000"/>
      <w:sz w:val="18"/>
      <w:szCs w:val="18"/>
      <w:u w:val="none"/>
      <w:vertAlign w:val="subscript"/>
    </w:rPr>
  </w:style>
  <w:style w:type="character" w:customStyle="1" w:styleId="128">
    <w:name w:val="标题 Char1"/>
    <w:qFormat/>
    <w:uiPriority w:val="0"/>
    <w:rPr>
      <w:rFonts w:ascii="Cambria" w:hAnsi="Cambria" w:cs="Times New Roman"/>
      <w:b/>
      <w:bCs/>
      <w:kern w:val="2"/>
      <w:sz w:val="32"/>
      <w:szCs w:val="32"/>
    </w:rPr>
  </w:style>
  <w:style w:type="character" w:customStyle="1" w:styleId="129">
    <w:name w:val="批注框文本 Char"/>
    <w:link w:val="34"/>
    <w:qFormat/>
    <w:uiPriority w:val="0"/>
    <w:rPr>
      <w:kern w:val="2"/>
      <w:sz w:val="18"/>
      <w:szCs w:val="18"/>
    </w:rPr>
  </w:style>
  <w:style w:type="character" w:customStyle="1" w:styleId="130">
    <w:name w:val="批注文字 Char"/>
    <w:link w:val="18"/>
    <w:qFormat/>
    <w:locked/>
    <w:uiPriority w:val="0"/>
    <w:rPr>
      <w:kern w:val="2"/>
      <w:sz w:val="21"/>
      <w:szCs w:val="24"/>
    </w:rPr>
  </w:style>
  <w:style w:type="character" w:customStyle="1" w:styleId="131">
    <w:name w:val="font51"/>
    <w:basedOn w:val="57"/>
    <w:qFormat/>
    <w:uiPriority w:val="0"/>
    <w:rPr>
      <w:rFonts w:hint="eastAsia" w:ascii="宋体" w:hAnsi="宋体" w:eastAsia="宋体" w:cs="宋体"/>
      <w:color w:val="000000"/>
      <w:sz w:val="20"/>
      <w:szCs w:val="20"/>
      <w:u w:val="none"/>
      <w:vertAlign w:val="subscript"/>
    </w:rPr>
  </w:style>
  <w:style w:type="character" w:customStyle="1" w:styleId="132">
    <w:name w:val="文档结构图 Char"/>
    <w:basedOn w:val="57"/>
    <w:link w:val="17"/>
    <w:qFormat/>
    <w:uiPriority w:val="0"/>
    <w:rPr>
      <w:rFonts w:ascii="Times New Roman" w:hAnsi="Times New Roman"/>
      <w:kern w:val="2"/>
      <w:sz w:val="21"/>
      <w:shd w:val="clear" w:color="auto" w:fill="000080"/>
    </w:rPr>
  </w:style>
  <w:style w:type="character" w:customStyle="1" w:styleId="133">
    <w:name w:val="标题 #2_"/>
    <w:basedOn w:val="57"/>
    <w:link w:val="134"/>
    <w:qFormat/>
    <w:uiPriority w:val="0"/>
    <w:rPr>
      <w:rFonts w:ascii="宋体" w:hAnsi="宋体" w:eastAsia="宋体" w:cs="宋体"/>
      <w:sz w:val="36"/>
      <w:szCs w:val="36"/>
    </w:rPr>
  </w:style>
  <w:style w:type="paragraph" w:customStyle="1" w:styleId="134">
    <w:name w:val="标题 #2"/>
    <w:basedOn w:val="1"/>
    <w:link w:val="133"/>
    <w:qFormat/>
    <w:uiPriority w:val="0"/>
    <w:pPr>
      <w:spacing w:before="60" w:after="540" w:line="240" w:lineRule="auto"/>
      <w:jc w:val="center"/>
      <w:outlineLvl w:val="1"/>
    </w:pPr>
    <w:rPr>
      <w:rFonts w:ascii="宋体" w:hAnsi="宋体" w:cs="宋体"/>
      <w:kern w:val="0"/>
      <w:sz w:val="36"/>
      <w:szCs w:val="36"/>
    </w:rPr>
  </w:style>
  <w:style w:type="character" w:customStyle="1" w:styleId="135">
    <w:name w:val="font01"/>
    <w:basedOn w:val="57"/>
    <w:qFormat/>
    <w:uiPriority w:val="0"/>
    <w:rPr>
      <w:rFonts w:hint="eastAsia" w:ascii="宋体" w:hAnsi="宋体" w:eastAsia="宋体" w:cs="宋体"/>
      <w:color w:val="000000"/>
      <w:sz w:val="20"/>
      <w:szCs w:val="20"/>
      <w:u w:val="none"/>
    </w:rPr>
  </w:style>
  <w:style w:type="character" w:customStyle="1" w:styleId="136">
    <w:name w:val="正文2 Char Char"/>
    <w:link w:val="137"/>
    <w:qFormat/>
    <w:uiPriority w:val="0"/>
    <w:rPr>
      <w:kern w:val="2"/>
      <w:sz w:val="24"/>
    </w:rPr>
  </w:style>
  <w:style w:type="paragraph" w:customStyle="1" w:styleId="137">
    <w:name w:val="正文2"/>
    <w:basedOn w:val="1"/>
    <w:link w:val="136"/>
    <w:qFormat/>
    <w:uiPriority w:val="0"/>
    <w:pPr>
      <w:spacing w:before="156"/>
      <w:ind w:firstLine="510" w:firstLineChars="200"/>
    </w:pPr>
    <w:rPr>
      <w:sz w:val="24"/>
      <w:szCs w:val="20"/>
    </w:rPr>
  </w:style>
  <w:style w:type="character" w:customStyle="1" w:styleId="138">
    <w:name w:val="页眉 Char"/>
    <w:link w:val="36"/>
    <w:qFormat/>
    <w:uiPriority w:val="99"/>
    <w:rPr>
      <w:kern w:val="2"/>
      <w:sz w:val="18"/>
      <w:szCs w:val="18"/>
    </w:rPr>
  </w:style>
  <w:style w:type="character" w:customStyle="1" w:styleId="139">
    <w:name w:val="font71"/>
    <w:basedOn w:val="57"/>
    <w:qFormat/>
    <w:uiPriority w:val="0"/>
    <w:rPr>
      <w:rFonts w:hint="eastAsia" w:ascii="宋体" w:hAnsi="宋体" w:eastAsia="宋体" w:cs="宋体"/>
      <w:color w:val="000000"/>
      <w:sz w:val="20"/>
      <w:szCs w:val="20"/>
      <w:u w:val="none"/>
    </w:rPr>
  </w:style>
  <w:style w:type="character" w:customStyle="1" w:styleId="140">
    <w:name w:val="标题 8 Char"/>
    <w:basedOn w:val="57"/>
    <w:link w:val="9"/>
    <w:qFormat/>
    <w:uiPriority w:val="0"/>
    <w:rPr>
      <w:rFonts w:ascii="Arial" w:hAnsi="Arial" w:eastAsia="黑体"/>
      <w:kern w:val="2"/>
      <w:sz w:val="24"/>
      <w:szCs w:val="24"/>
    </w:rPr>
  </w:style>
  <w:style w:type="character" w:customStyle="1" w:styleId="141">
    <w:name w:val="标题 5 Char"/>
    <w:basedOn w:val="57"/>
    <w:link w:val="6"/>
    <w:qFormat/>
    <w:uiPriority w:val="0"/>
    <w:rPr>
      <w:b/>
      <w:bCs/>
      <w:kern w:val="2"/>
      <w:sz w:val="28"/>
      <w:szCs w:val="28"/>
    </w:rPr>
  </w:style>
  <w:style w:type="character" w:customStyle="1" w:styleId="142">
    <w:name w:val="正文文本 (3)_"/>
    <w:link w:val="143"/>
    <w:qFormat/>
    <w:uiPriority w:val="0"/>
    <w:rPr>
      <w:rFonts w:eastAsia="Times New Roman"/>
      <w:szCs w:val="24"/>
    </w:rPr>
  </w:style>
  <w:style w:type="paragraph" w:customStyle="1" w:styleId="143">
    <w:name w:val="正文文本 (3)"/>
    <w:basedOn w:val="1"/>
    <w:link w:val="142"/>
    <w:qFormat/>
    <w:uiPriority w:val="0"/>
    <w:pPr>
      <w:spacing w:line="340" w:lineRule="exact"/>
      <w:ind w:firstLine="440"/>
      <w:jc w:val="left"/>
    </w:pPr>
    <w:rPr>
      <w:rFonts w:eastAsia="Times New Roman"/>
      <w:kern w:val="0"/>
      <w:sz w:val="20"/>
    </w:rPr>
  </w:style>
  <w:style w:type="character" w:customStyle="1" w:styleId="144">
    <w:name w:val="正文文本 2 Char"/>
    <w:basedOn w:val="57"/>
    <w:link w:val="49"/>
    <w:qFormat/>
    <w:uiPriority w:val="0"/>
    <w:rPr>
      <w:kern w:val="2"/>
      <w:sz w:val="21"/>
      <w:szCs w:val="24"/>
    </w:rPr>
  </w:style>
  <w:style w:type="character" w:customStyle="1" w:styleId="145">
    <w:name w:val="正文文本 3 Char"/>
    <w:basedOn w:val="57"/>
    <w:link w:val="21"/>
    <w:qFormat/>
    <w:uiPriority w:val="0"/>
    <w:rPr>
      <w:rFonts w:ascii="Times New Roman" w:hAnsi="Times New Roman"/>
      <w:kern w:val="2"/>
      <w:sz w:val="21"/>
    </w:rPr>
  </w:style>
  <w:style w:type="character" w:customStyle="1" w:styleId="146">
    <w:name w:val="正文首行缩进 Char"/>
    <w:basedOn w:val="105"/>
    <w:link w:val="23"/>
    <w:qFormat/>
    <w:uiPriority w:val="0"/>
    <w:rPr>
      <w:sz w:val="21"/>
      <w:szCs w:val="22"/>
    </w:rPr>
  </w:style>
  <w:style w:type="character" w:customStyle="1" w:styleId="147">
    <w:name w:val="font21"/>
    <w:basedOn w:val="57"/>
    <w:qFormat/>
    <w:uiPriority w:val="0"/>
    <w:rPr>
      <w:rFonts w:hint="eastAsia" w:ascii="宋体" w:hAnsi="宋体" w:eastAsia="宋体" w:cs="宋体"/>
      <w:color w:val="000000"/>
      <w:sz w:val="24"/>
      <w:szCs w:val="24"/>
      <w:u w:val="none"/>
      <w:vertAlign w:val="subscript"/>
    </w:rPr>
  </w:style>
  <w:style w:type="character" w:customStyle="1" w:styleId="148">
    <w:name w:val="apple-converted-space"/>
    <w:basedOn w:val="57"/>
    <w:qFormat/>
    <w:uiPriority w:val="0"/>
  </w:style>
  <w:style w:type="character" w:customStyle="1" w:styleId="149">
    <w:name w:val="标题 2 Char"/>
    <w:link w:val="3"/>
    <w:qFormat/>
    <w:uiPriority w:val="0"/>
    <w:rPr>
      <w:rFonts w:ascii="Arial" w:hAnsi="Arial" w:eastAsia="黑体"/>
      <w:b/>
      <w:bCs/>
      <w:kern w:val="2"/>
      <w:sz w:val="32"/>
      <w:szCs w:val="32"/>
    </w:rPr>
  </w:style>
  <w:style w:type="character" w:customStyle="1" w:styleId="150">
    <w:name w:val="批注主题 Char"/>
    <w:basedOn w:val="130"/>
    <w:link w:val="53"/>
    <w:qFormat/>
    <w:uiPriority w:val="0"/>
    <w:rPr>
      <w:rFonts w:ascii="Times New Roman" w:hAnsi="Times New Roman"/>
      <w:b/>
      <w:bCs/>
    </w:rPr>
  </w:style>
  <w:style w:type="paragraph" w:customStyle="1" w:styleId="151">
    <w:name w:val="trs_edito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52">
    <w:name w:val="规范正文"/>
    <w:basedOn w:val="1"/>
    <w:qFormat/>
    <w:uiPriority w:val="0"/>
    <w:pPr>
      <w:tabs>
        <w:tab w:val="left" w:pos="900"/>
      </w:tabs>
      <w:adjustRightInd w:val="0"/>
      <w:spacing w:beforeLines="50"/>
      <w:ind w:left="900" w:hanging="420"/>
      <w:textAlignment w:val="baseline"/>
    </w:pPr>
    <w:rPr>
      <w:rFonts w:ascii="Times New Roman" w:hAnsi="Times New Roman"/>
      <w:szCs w:val="20"/>
    </w:rPr>
  </w:style>
  <w:style w:type="paragraph" w:customStyle="1" w:styleId="153">
    <w:name w:val="Char Char Char Char Char Char Char"/>
    <w:basedOn w:val="1"/>
    <w:qFormat/>
    <w:uiPriority w:val="0"/>
    <w:rPr>
      <w:rFonts w:ascii="Tahoma" w:hAnsi="Tahoma"/>
      <w:sz w:val="24"/>
      <w:szCs w:val="20"/>
    </w:rPr>
  </w:style>
  <w:style w:type="paragraph" w:customStyle="1" w:styleId="154">
    <w:name w:val="正文表标题"/>
    <w:next w:val="155"/>
    <w:qFormat/>
    <w:uiPriority w:val="0"/>
    <w:pPr>
      <w:ind w:left="3240"/>
      <w:jc w:val="center"/>
    </w:pPr>
    <w:rPr>
      <w:rFonts w:ascii="黑体" w:hAnsi="Times New Roman" w:eastAsia="黑体" w:cs="Times New Roman"/>
      <w:sz w:val="21"/>
      <w:lang w:val="en-US" w:eastAsia="zh-CN" w:bidi="ar-SA"/>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DAS正文"/>
    <w:basedOn w:val="1"/>
    <w:qFormat/>
    <w:uiPriority w:val="0"/>
    <w:pPr>
      <w:ind w:right="181" w:firstLine="480" w:firstLineChars="200"/>
    </w:pPr>
    <w:rPr>
      <w:rFonts w:ascii="Verdana" w:hAnsi="Verdana"/>
      <w:sz w:val="24"/>
      <w:szCs w:val="20"/>
    </w:rPr>
  </w:style>
  <w:style w:type="paragraph" w:customStyle="1" w:styleId="157">
    <w:name w:val="Char"/>
    <w:basedOn w:val="1"/>
    <w:qFormat/>
    <w:uiPriority w:val="0"/>
    <w:rPr>
      <w:szCs w:val="20"/>
    </w:rPr>
  </w:style>
  <w:style w:type="paragraph" w:customStyle="1" w:styleId="158">
    <w:name w:val="Fließtext"/>
    <w:basedOn w:val="1"/>
    <w:qFormat/>
    <w:uiPriority w:val="99"/>
    <w:pPr>
      <w:overflowPunct w:val="0"/>
      <w:autoSpaceDE w:val="0"/>
      <w:autoSpaceDN w:val="0"/>
      <w:adjustRightInd w:val="0"/>
      <w:textAlignment w:val="baseline"/>
    </w:pPr>
    <w:rPr>
      <w:kern w:val="28"/>
    </w:rPr>
  </w:style>
  <w:style w:type="paragraph" w:customStyle="1" w:styleId="159">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数字标题4"/>
    <w:basedOn w:val="5"/>
    <w:qFormat/>
    <w:uiPriority w:val="0"/>
    <w:pPr>
      <w:tabs>
        <w:tab w:val="left" w:pos="864"/>
      </w:tabs>
      <w:spacing w:line="240" w:lineRule="auto"/>
    </w:pPr>
    <w:rPr>
      <w:rFonts w:ascii="仿宋_GB2312" w:hAnsi="Times New Roman" w:eastAsia="仿宋_GB2312"/>
      <w:bCs w:val="0"/>
      <w:sz w:val="24"/>
      <w:szCs w:val="20"/>
    </w:rPr>
  </w:style>
  <w:style w:type="paragraph" w:customStyle="1" w:styleId="161">
    <w:name w:val="三级条标题"/>
    <w:basedOn w:val="162"/>
    <w:next w:val="155"/>
    <w:qFormat/>
    <w:uiPriority w:val="0"/>
    <w:pPr>
      <w:outlineLvl w:val="4"/>
    </w:pPr>
  </w:style>
  <w:style w:type="paragraph" w:customStyle="1" w:styleId="162">
    <w:name w:val="二级条标题"/>
    <w:basedOn w:val="163"/>
    <w:next w:val="155"/>
    <w:qFormat/>
    <w:uiPriority w:val="0"/>
    <w:pPr>
      <w:outlineLvl w:val="3"/>
    </w:pPr>
  </w:style>
  <w:style w:type="paragraph" w:customStyle="1" w:styleId="163">
    <w:name w:val="一级条标题"/>
    <w:basedOn w:val="164"/>
    <w:next w:val="155"/>
    <w:qFormat/>
    <w:uiPriority w:val="0"/>
    <w:pPr>
      <w:spacing w:beforeLines="0" w:afterLines="0"/>
      <w:ind w:left="525"/>
      <w:outlineLvl w:val="2"/>
    </w:pPr>
  </w:style>
  <w:style w:type="paragraph" w:customStyle="1" w:styleId="164">
    <w:name w:val="章标题"/>
    <w:next w:val="155"/>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65">
    <w:name w:val="正文首行缩进1"/>
    <w:basedOn w:val="22"/>
    <w:qFormat/>
    <w:uiPriority w:val="0"/>
    <w:pPr>
      <w:suppressAutoHyphens/>
      <w:spacing w:after="120" w:line="240" w:lineRule="auto"/>
      <w:ind w:firstLine="420"/>
      <w:jc w:val="left"/>
    </w:pPr>
    <w:rPr>
      <w:rFonts w:ascii="Times New Roman" w:hAnsi="Times New Roman"/>
      <w:b w:val="0"/>
      <w:bCs w:val="0"/>
      <w:color w:val="auto"/>
      <w:kern w:val="1"/>
      <w:sz w:val="28"/>
      <w:szCs w:val="24"/>
      <w:lang w:eastAsia="ar-SA"/>
    </w:rPr>
  </w:style>
  <w:style w:type="paragraph" w:customStyle="1" w:styleId="166">
    <w:name w:val="标准中文版式_正文"/>
    <w:basedOn w:val="1"/>
    <w:qFormat/>
    <w:uiPriority w:val="0"/>
    <w:pPr>
      <w:spacing w:before="30"/>
      <w:ind w:firstLine="200" w:firstLineChars="200"/>
    </w:pPr>
    <w:rPr>
      <w:rFonts w:ascii="Arial" w:hAnsi="Arial"/>
      <w:sz w:val="24"/>
    </w:rPr>
  </w:style>
  <w:style w:type="paragraph" w:customStyle="1" w:styleId="167">
    <w:name w:val="样式 正文文本缩进 2 + 仿宋_GB2312 黑色 行距: 1.5 倍行距"/>
    <w:basedOn w:val="1"/>
    <w:next w:val="7"/>
    <w:qFormat/>
    <w:uiPriority w:val="0"/>
    <w:pPr>
      <w:ind w:firstLine="560" w:firstLineChars="200"/>
    </w:pPr>
    <w:rPr>
      <w:rFonts w:ascii="宋体" w:hAnsi="宋体" w:cs="宋体"/>
      <w:color w:val="000000"/>
      <w:sz w:val="24"/>
      <w:szCs w:val="20"/>
    </w:rPr>
  </w:style>
  <w:style w:type="paragraph" w:customStyle="1" w:styleId="16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69">
    <w:name w:val="默认段落字体 Para Char Char Char Char"/>
    <w:basedOn w:val="1"/>
    <w:qFormat/>
    <w:uiPriority w:val="0"/>
    <w:pPr>
      <w:adjustRightInd w:val="0"/>
    </w:pPr>
    <w:rPr>
      <w:rFonts w:ascii="Times New Roman" w:hAnsi="Times New Roman"/>
      <w:szCs w:val="20"/>
    </w:rPr>
  </w:style>
  <w:style w:type="paragraph" w:customStyle="1" w:styleId="170">
    <w:name w:val="正文缩进1"/>
    <w:basedOn w:val="1"/>
    <w:next w:val="24"/>
    <w:qFormat/>
    <w:uiPriority w:val="0"/>
    <w:pPr>
      <w:autoSpaceDE w:val="0"/>
      <w:autoSpaceDN w:val="0"/>
      <w:adjustRightInd w:val="0"/>
      <w:snapToGrid w:val="0"/>
      <w:spacing w:after="120"/>
      <w:ind w:left="420" w:leftChars="200" w:firstLine="480" w:firstLineChars="200"/>
    </w:pPr>
    <w:rPr>
      <w:rFonts w:ascii="Times New Roman" w:hAnsi="Times New Roman"/>
      <w:sz w:val="24"/>
      <w:szCs w:val="20"/>
    </w:rPr>
  </w:style>
  <w:style w:type="paragraph" w:customStyle="1" w:styleId="171">
    <w:name w:val="Char Char1"/>
    <w:basedOn w:val="1"/>
    <w:qFormat/>
    <w:uiPriority w:val="0"/>
    <w:pPr>
      <w:widowControl/>
      <w:spacing w:after="160" w:line="240" w:lineRule="exact"/>
      <w:jc w:val="left"/>
    </w:pPr>
    <w:rPr>
      <w:rFonts w:ascii="Times New Roman" w:hAnsi="Times New Roman" w:eastAsia="仿宋_GB2312"/>
      <w:sz w:val="28"/>
      <w:szCs w:val="20"/>
    </w:rPr>
  </w:style>
  <w:style w:type="paragraph" w:customStyle="1" w:styleId="172">
    <w:name w:val="样式 首行缩进:  2 字符"/>
    <w:basedOn w:val="1"/>
    <w:qFormat/>
    <w:uiPriority w:val="0"/>
    <w:pPr>
      <w:snapToGrid w:val="0"/>
    </w:pPr>
    <w:rPr>
      <w:rFonts w:ascii="仿宋_GB2312" w:hAnsi="宋体" w:eastAsia="仿宋_GB2312" w:cs="宋体"/>
      <w:color w:val="000000"/>
      <w:kern w:val="0"/>
      <w:sz w:val="28"/>
      <w:szCs w:val="21"/>
    </w:rPr>
  </w:style>
  <w:style w:type="paragraph" w:customStyle="1" w:styleId="173">
    <w:name w:val="Char Char Char Char Char Char Char2"/>
    <w:basedOn w:val="1"/>
    <w:qFormat/>
    <w:uiPriority w:val="0"/>
    <w:pPr>
      <w:tabs>
        <w:tab w:val="left" w:pos="432"/>
      </w:tabs>
      <w:ind w:left="432" w:hanging="432"/>
    </w:pPr>
    <w:rPr>
      <w:rFonts w:ascii="仿宋_GB2312" w:hAnsi="Times New Roman" w:eastAsia="仿宋_GB2312"/>
      <w:kern w:val="0"/>
      <w:sz w:val="24"/>
      <w:lang w:val="zh-CN"/>
    </w:rPr>
  </w:style>
  <w:style w:type="paragraph" w:customStyle="1" w:styleId="174">
    <w:name w:val="a1"/>
    <w:basedOn w:val="1"/>
    <w:qFormat/>
    <w:uiPriority w:val="0"/>
    <w:pPr>
      <w:widowControl/>
      <w:spacing w:line="300" w:lineRule="atLeast"/>
      <w:jc w:val="left"/>
    </w:pPr>
    <w:rPr>
      <w:rFonts w:ascii="宋体" w:hAnsi="宋体"/>
      <w:kern w:val="0"/>
      <w:sz w:val="18"/>
      <w:szCs w:val="20"/>
    </w:rPr>
  </w:style>
  <w:style w:type="paragraph" w:customStyle="1" w:styleId="175">
    <w:name w:val="Char Char1 Char Char Char Char Char Char1"/>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176">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177">
    <w:name w:val="Char Char1 Char Char Char Char Char Char"/>
    <w:basedOn w:val="1"/>
    <w:qFormat/>
    <w:uiPriority w:val="0"/>
    <w:pPr>
      <w:spacing w:line="240" w:lineRule="auto"/>
    </w:pPr>
    <w:rPr>
      <w:rFonts w:ascii="仿宋_GB2312" w:hAnsi="Times New Roman" w:eastAsia="仿宋_GB2312"/>
      <w:b/>
      <w:sz w:val="32"/>
      <w:szCs w:val="20"/>
    </w:rPr>
  </w:style>
  <w:style w:type="paragraph" w:customStyle="1" w:styleId="178">
    <w:name w:val="Char1 Char Char Char"/>
    <w:basedOn w:val="1"/>
    <w:qFormat/>
    <w:uiPriority w:val="0"/>
    <w:pPr>
      <w:spacing w:line="240" w:lineRule="auto"/>
    </w:pPr>
    <w:rPr>
      <w:rFonts w:ascii="Tahoma" w:hAnsi="Tahoma"/>
      <w:sz w:val="24"/>
      <w:szCs w:val="20"/>
    </w:rPr>
  </w:style>
  <w:style w:type="paragraph" w:customStyle="1" w:styleId="17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80">
    <w:name w:val="Test2"/>
    <w:basedOn w:val="3"/>
    <w:qFormat/>
    <w:uiPriority w:val="0"/>
    <w:pPr>
      <w:widowControl/>
      <w:numPr>
        <w:ilvl w:val="0"/>
        <w:numId w:val="0"/>
      </w:numPr>
      <w:adjustRightInd w:val="0"/>
      <w:snapToGrid w:val="0"/>
      <w:spacing w:before="360" w:after="360" w:line="240" w:lineRule="atLeast"/>
      <w:jc w:val="left"/>
    </w:pPr>
    <w:rPr>
      <w:rFonts w:ascii="宋体" w:eastAsia="宋体"/>
      <w:bCs w:val="0"/>
      <w:snapToGrid w:val="0"/>
      <w:kern w:val="0"/>
      <w:sz w:val="28"/>
      <w:szCs w:val="20"/>
    </w:rPr>
  </w:style>
  <w:style w:type="paragraph" w:customStyle="1" w:styleId="181">
    <w:name w:val="样式"/>
    <w:basedOn w:val="1"/>
    <w:qFormat/>
    <w:uiPriority w:val="0"/>
    <w:pPr>
      <w:autoSpaceDE w:val="0"/>
      <w:autoSpaceDN w:val="0"/>
      <w:snapToGrid w:val="0"/>
      <w:spacing w:before="120" w:after="120"/>
    </w:pPr>
    <w:rPr>
      <w:rFonts w:ascii="宋体"/>
      <w:sz w:val="24"/>
      <w:szCs w:val="20"/>
    </w:rPr>
  </w:style>
  <w:style w:type="paragraph" w:customStyle="1" w:styleId="182">
    <w:name w:val="Char Char Char Char"/>
    <w:basedOn w:val="1"/>
    <w:qFormat/>
    <w:uiPriority w:val="0"/>
    <w:pPr>
      <w:spacing w:line="240" w:lineRule="auto"/>
    </w:pPr>
    <w:rPr>
      <w:rFonts w:ascii="Tahoma" w:hAnsi="Tahoma"/>
      <w:sz w:val="24"/>
      <w:szCs w:val="20"/>
    </w:rPr>
  </w:style>
  <w:style w:type="paragraph" w:customStyle="1" w:styleId="183">
    <w:name w:val="Char2 Char Char Char"/>
    <w:basedOn w:val="1"/>
    <w:qFormat/>
    <w:uiPriority w:val="0"/>
    <w:pPr>
      <w:spacing w:line="240" w:lineRule="auto"/>
    </w:pPr>
    <w:rPr>
      <w:rFonts w:ascii="仿宋_GB2312" w:hAnsi="Times New Roman" w:eastAsia="仿宋_GB2312"/>
      <w:b/>
      <w:sz w:val="32"/>
      <w:szCs w:val="32"/>
    </w:rPr>
  </w:style>
  <w:style w:type="paragraph" w:customStyle="1" w:styleId="18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5">
    <w:name w:val="Char Char1 Char Char Char"/>
    <w:basedOn w:val="1"/>
    <w:qFormat/>
    <w:uiPriority w:val="0"/>
    <w:pPr>
      <w:spacing w:line="240" w:lineRule="auto"/>
    </w:pPr>
    <w:rPr>
      <w:rFonts w:ascii="仿宋_GB2312" w:hAnsi="Times New Roman" w:eastAsia="仿宋_GB2312"/>
      <w:b/>
      <w:sz w:val="32"/>
      <w:szCs w:val="20"/>
    </w:rPr>
  </w:style>
  <w:style w:type="paragraph" w:customStyle="1" w:styleId="186">
    <w:name w:val="默认段落字体 Para Char Char Char Char Char Char Char"/>
    <w:basedOn w:val="1"/>
    <w:qFormat/>
    <w:uiPriority w:val="0"/>
    <w:pPr>
      <w:spacing w:line="240" w:lineRule="auto"/>
    </w:pPr>
    <w:rPr>
      <w:rFonts w:ascii="Times New Roman" w:hAnsi="Times New Roman" w:eastAsia="仿宋_GB2312"/>
      <w:sz w:val="28"/>
      <w:szCs w:val="20"/>
    </w:rPr>
  </w:style>
  <w:style w:type="paragraph" w:customStyle="1" w:styleId="187">
    <w:name w:val="正文文字表格居中"/>
    <w:basedOn w:val="1"/>
    <w:next w:val="49"/>
    <w:qFormat/>
    <w:uiPriority w:val="0"/>
    <w:pPr>
      <w:snapToGrid w:val="0"/>
    </w:pPr>
    <w:rPr>
      <w:rFonts w:ascii="宋体" w:hAnsi="Times New Roman"/>
      <w:b/>
      <w:sz w:val="24"/>
      <w:szCs w:val="20"/>
    </w:rPr>
  </w:style>
  <w:style w:type="paragraph" w:customStyle="1" w:styleId="188">
    <w:name w:val="样式 标题 3标题 3 Char第二层条h33Bold Headbh章标题1小标题level_3PIM 3..."/>
    <w:basedOn w:val="4"/>
    <w:qFormat/>
    <w:uiPriority w:val="0"/>
    <w:pPr>
      <w:tabs>
        <w:tab w:val="left" w:pos="720"/>
      </w:tabs>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89">
    <w:name w:val="Char1"/>
    <w:basedOn w:val="1"/>
    <w:qFormat/>
    <w:uiPriority w:val="0"/>
    <w:pPr>
      <w:spacing w:line="240" w:lineRule="auto"/>
    </w:pPr>
    <w:rPr>
      <w:rFonts w:ascii="仿宋_GB2312" w:hAnsi="Times New Roman" w:eastAsia="仿宋_GB2312"/>
      <w:b/>
      <w:sz w:val="32"/>
      <w:szCs w:val="20"/>
    </w:rPr>
  </w:style>
  <w:style w:type="paragraph" w:customStyle="1" w:styleId="190">
    <w:name w:val="正文 + 小四"/>
    <w:basedOn w:val="29"/>
    <w:qFormat/>
    <w:uiPriority w:val="0"/>
    <w:pPr>
      <w:ind w:firstLine="480" w:firstLineChars="200"/>
    </w:pPr>
    <w:rPr>
      <w:rFonts w:hAnsi="宋体"/>
      <w:sz w:val="24"/>
    </w:rPr>
  </w:style>
  <w:style w:type="paragraph" w:customStyle="1" w:styleId="191">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2">
    <w:name w:val="Char Char Char Char Char Char Char Char"/>
    <w:basedOn w:val="1"/>
    <w:qFormat/>
    <w:uiPriority w:val="0"/>
    <w:pPr>
      <w:tabs>
        <w:tab w:val="left" w:pos="360"/>
      </w:tabs>
      <w:spacing w:line="240" w:lineRule="auto"/>
    </w:pPr>
    <w:rPr>
      <w:rFonts w:ascii="Times New Roman" w:hAnsi="Times New Roman"/>
      <w:sz w:val="24"/>
      <w:szCs w:val="20"/>
    </w:rPr>
  </w:style>
  <w:style w:type="paragraph" w:customStyle="1" w:styleId="193">
    <w:name w:val="正文文本 21"/>
    <w:basedOn w:val="1"/>
    <w:qFormat/>
    <w:uiPriority w:val="0"/>
    <w:pPr>
      <w:widowControl/>
      <w:overflowPunct w:val="0"/>
      <w:autoSpaceDE w:val="0"/>
      <w:autoSpaceDN w:val="0"/>
      <w:adjustRightInd w:val="0"/>
      <w:spacing w:line="240" w:lineRule="auto"/>
      <w:ind w:left="720" w:hanging="720"/>
      <w:textAlignment w:val="baseline"/>
    </w:pPr>
    <w:rPr>
      <w:rFonts w:ascii="Times New Roman" w:hAnsi="Times New Roman"/>
      <w:kern w:val="0"/>
      <w:sz w:val="24"/>
      <w:szCs w:val="20"/>
      <w:lang w:val="en-GB"/>
    </w:rPr>
  </w:style>
  <w:style w:type="paragraph" w:customStyle="1" w:styleId="194">
    <w:name w:val="Char Char Char Char Char Char Char1"/>
    <w:basedOn w:val="1"/>
    <w:qFormat/>
    <w:uiPriority w:val="0"/>
    <w:pPr>
      <w:spacing w:line="240" w:lineRule="auto"/>
    </w:pPr>
    <w:rPr>
      <w:rFonts w:ascii="仿宋_GB2312" w:hAnsi="Times New Roman" w:eastAsia="仿宋_GB2312"/>
      <w:b/>
      <w:sz w:val="32"/>
      <w:szCs w:val="32"/>
    </w:rPr>
  </w:style>
  <w:style w:type="paragraph" w:customStyle="1" w:styleId="195">
    <w:name w:val="_Style 48"/>
    <w:basedOn w:val="1"/>
    <w:qFormat/>
    <w:uiPriority w:val="0"/>
    <w:pPr>
      <w:ind w:firstLine="200" w:firstLineChars="200"/>
    </w:pPr>
    <w:rPr>
      <w:rFonts w:ascii="Times New Roman" w:hAnsi="Times New Roman" w:eastAsia="楷体_GB2312" w:cs="Lucida Sans"/>
      <w:sz w:val="24"/>
    </w:rPr>
  </w:style>
  <w:style w:type="paragraph" w:customStyle="1" w:styleId="196">
    <w:name w:val="xl25"/>
    <w:basedOn w:val="1"/>
    <w:qFormat/>
    <w:uiPriority w:val="0"/>
    <w:pPr>
      <w:widowControl/>
      <w:spacing w:before="100" w:beforeAutospacing="1" w:after="100" w:afterAutospacing="1" w:line="240" w:lineRule="auto"/>
      <w:jc w:val="center"/>
      <w:textAlignment w:val="center"/>
    </w:pPr>
    <w:rPr>
      <w:rFonts w:hint="eastAsia" w:ascii="楷体_GB2312" w:hAnsi="宋体" w:eastAsia="楷体_GB2312"/>
      <w:kern w:val="0"/>
      <w:sz w:val="24"/>
      <w:szCs w:val="20"/>
    </w:rPr>
  </w:style>
  <w:style w:type="paragraph" w:customStyle="1" w:styleId="197">
    <w:name w:val="部分1"/>
    <w:basedOn w:val="1"/>
    <w:qFormat/>
    <w:uiPriority w:val="0"/>
    <w:pPr>
      <w:keepNext/>
      <w:pageBreakBefore/>
      <w:tabs>
        <w:tab w:val="left" w:pos="720"/>
      </w:tabs>
      <w:jc w:val="center"/>
      <w:outlineLvl w:val="0"/>
    </w:pPr>
    <w:rPr>
      <w:rFonts w:ascii="Times New Roman" w:hAnsi="Times New Roman" w:eastAsia="黑体"/>
      <w:b/>
      <w:kern w:val="44"/>
      <w:sz w:val="36"/>
      <w:szCs w:val="20"/>
    </w:rPr>
  </w:style>
  <w:style w:type="paragraph" w:customStyle="1" w:styleId="198">
    <w:name w:val="Char31"/>
    <w:basedOn w:val="1"/>
    <w:qFormat/>
    <w:uiPriority w:val="0"/>
    <w:pPr>
      <w:spacing w:line="240" w:lineRule="auto"/>
    </w:pPr>
    <w:rPr>
      <w:rFonts w:ascii="Tahoma" w:hAnsi="Tahoma"/>
      <w:sz w:val="24"/>
      <w:szCs w:val="20"/>
    </w:rPr>
  </w:style>
  <w:style w:type="paragraph" w:customStyle="1" w:styleId="199">
    <w:name w:val="Table Paragraph"/>
    <w:basedOn w:val="1"/>
    <w:qFormat/>
    <w:uiPriority w:val="1"/>
    <w:pPr>
      <w:spacing w:line="240" w:lineRule="auto"/>
    </w:pPr>
    <w:rPr>
      <w:rFonts w:ascii="宋体" w:hAnsi="Times New Roman" w:cs="宋体"/>
    </w:rPr>
  </w:style>
  <w:style w:type="paragraph" w:customStyle="1" w:styleId="200">
    <w:name w:val="Default"/>
    <w:qFormat/>
    <w:uiPriority w:val="0"/>
    <w:pPr>
      <w:widowControl w:val="0"/>
      <w:autoSpaceDE w:val="0"/>
      <w:autoSpaceDN w:val="0"/>
      <w:adjustRightInd w:val="0"/>
      <w:spacing w:line="360" w:lineRule="auto"/>
      <w:jc w:val="center"/>
    </w:pPr>
    <w:rPr>
      <w:rFonts w:ascii="Calibri" w:hAnsi="Calibri" w:eastAsia="宋体" w:cs="Times New Roman"/>
      <w:color w:val="000000"/>
      <w:sz w:val="24"/>
      <w:szCs w:val="24"/>
      <w:lang w:val="en-US" w:eastAsia="zh-CN" w:bidi="ar-SA"/>
    </w:rPr>
  </w:style>
  <w:style w:type="paragraph" w:styleId="201">
    <w:name w:val="No Spacing"/>
    <w:qFormat/>
    <w:uiPriority w:val="1"/>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202">
    <w:name w:val="Normal_0"/>
    <w:qFormat/>
    <w:uiPriority w:val="0"/>
    <w:rPr>
      <w:rFonts w:ascii="Calibri" w:hAnsi="Calibri" w:eastAsia="Times New Roman" w:cs="Times New Roman"/>
      <w:sz w:val="24"/>
      <w:szCs w:val="24"/>
      <w:lang w:val="en-US" w:eastAsia="zh-CN" w:bidi="ar-SA"/>
    </w:rPr>
  </w:style>
  <w:style w:type="paragraph" w:customStyle="1" w:styleId="203">
    <w:name w:val="xl24"/>
    <w:basedOn w:val="1"/>
    <w:qFormat/>
    <w:uiPriority w:val="0"/>
    <w:pPr>
      <w:widowControl/>
      <w:spacing w:before="100" w:beforeAutospacing="1" w:after="100" w:afterAutospacing="1"/>
      <w:jc w:val="right"/>
    </w:pPr>
    <w:rPr>
      <w:rFonts w:ascii="宋体" w:hAnsi="宋体"/>
      <w:kern w:val="0"/>
      <w:sz w:val="24"/>
    </w:rPr>
  </w:style>
  <w:style w:type="paragraph" w:customStyle="1" w:styleId="204">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har Char1 Char Char Char1"/>
    <w:basedOn w:val="1"/>
    <w:qFormat/>
    <w:uiPriority w:val="0"/>
    <w:pPr>
      <w:spacing w:line="240" w:lineRule="auto"/>
    </w:pPr>
    <w:rPr>
      <w:rFonts w:ascii="仿宋_GB2312" w:hAnsi="Times New Roman" w:eastAsia="仿宋_GB2312"/>
      <w:b/>
      <w:sz w:val="32"/>
      <w:szCs w:val="20"/>
    </w:rPr>
  </w:style>
  <w:style w:type="paragraph" w:customStyle="1" w:styleId="206">
    <w:name w:val="保留正文"/>
    <w:basedOn w:val="22"/>
    <w:qFormat/>
    <w:uiPriority w:val="0"/>
    <w:pPr>
      <w:keepNext/>
      <w:jc w:val="both"/>
    </w:pPr>
    <w:rPr>
      <w:rFonts w:ascii="Times New Roman" w:hAnsi="Times New Roman"/>
      <w:b w:val="0"/>
      <w:bCs w:val="0"/>
      <w:color w:val="auto"/>
      <w:sz w:val="24"/>
    </w:rPr>
  </w:style>
  <w:style w:type="paragraph" w:customStyle="1" w:styleId="20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8">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9">
    <w:name w:val="Char11"/>
    <w:basedOn w:val="1"/>
    <w:qFormat/>
    <w:uiPriority w:val="0"/>
    <w:rPr>
      <w:szCs w:val="20"/>
    </w:rPr>
  </w:style>
  <w:style w:type="paragraph" w:customStyle="1" w:styleId="210">
    <w:name w:val="正文1"/>
    <w:basedOn w:val="1"/>
    <w:next w:val="1"/>
    <w:qFormat/>
    <w:uiPriority w:val="0"/>
    <w:pPr>
      <w:spacing w:before="156"/>
      <w:ind w:left="426"/>
    </w:pPr>
    <w:rPr>
      <w:rFonts w:ascii="Times New Roman" w:hAnsi="Times New Roman"/>
      <w:sz w:val="24"/>
      <w:szCs w:val="20"/>
    </w:rPr>
  </w:style>
  <w:style w:type="paragraph" w:customStyle="1" w:styleId="211">
    <w:name w:val="标题1"/>
    <w:basedOn w:val="37"/>
    <w:qFormat/>
    <w:uiPriority w:val="0"/>
    <w:pPr>
      <w:widowControl/>
      <w:overflowPunct w:val="0"/>
      <w:autoSpaceDE w:val="0"/>
      <w:autoSpaceDN w:val="0"/>
      <w:adjustRightInd w:val="0"/>
      <w:spacing w:line="420" w:lineRule="exact"/>
      <w:jc w:val="center"/>
      <w:textAlignment w:val="baseline"/>
    </w:pPr>
    <w:rPr>
      <w:rFonts w:ascii="宋体" w:hAnsi="宋体"/>
      <w:b w:val="0"/>
      <w:bCs w:val="0"/>
      <w:kern w:val="0"/>
      <w:sz w:val="44"/>
    </w:rPr>
  </w:style>
  <w:style w:type="paragraph" w:customStyle="1" w:styleId="21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Char Char Char"/>
    <w:basedOn w:val="1"/>
    <w:qFormat/>
    <w:uiPriority w:val="0"/>
    <w:rPr>
      <w:rFonts w:ascii="Tahoma" w:hAnsi="Tahoma"/>
      <w:sz w:val="24"/>
      <w:szCs w:val="20"/>
    </w:rPr>
  </w:style>
  <w:style w:type="paragraph" w:customStyle="1" w:styleId="214">
    <w:name w:val="Char Char Char1 Char"/>
    <w:basedOn w:val="1"/>
    <w:qFormat/>
    <w:uiPriority w:val="0"/>
    <w:pPr>
      <w:spacing w:line="240" w:lineRule="auto"/>
    </w:pPr>
    <w:rPr>
      <w:rFonts w:ascii="Times New Roman" w:hAnsi="Times New Roman"/>
      <w:szCs w:val="20"/>
    </w:rPr>
  </w:style>
  <w:style w:type="paragraph" w:customStyle="1" w:styleId="215">
    <w:name w:val="p0"/>
    <w:basedOn w:val="1"/>
    <w:unhideWhenUsed/>
    <w:qFormat/>
    <w:uiPriority w:val="0"/>
    <w:pPr>
      <w:widowControl/>
      <w:spacing w:line="260" w:lineRule="atLeast"/>
    </w:pPr>
    <w:rPr>
      <w:rFonts w:hint="eastAsia" w:ascii="Times New Roman" w:hAnsi="Times New Roman"/>
      <w:szCs w:val="20"/>
    </w:rPr>
  </w:style>
  <w:style w:type="paragraph" w:customStyle="1" w:styleId="216">
    <w:name w:val="正文段"/>
    <w:basedOn w:val="1"/>
    <w:qFormat/>
    <w:uiPriority w:val="0"/>
    <w:pPr>
      <w:widowControl/>
      <w:snapToGrid w:val="0"/>
      <w:spacing w:afterLines="50"/>
      <w:ind w:firstLine="200" w:firstLineChars="200"/>
    </w:pPr>
    <w:rPr>
      <w:kern w:val="0"/>
      <w:sz w:val="24"/>
      <w:szCs w:val="20"/>
    </w:rPr>
  </w:style>
  <w:style w:type="paragraph" w:customStyle="1" w:styleId="21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218">
    <w:name w:val="Char Char Char Char Char Char Char Char Char Char Char Char Char"/>
    <w:basedOn w:val="1"/>
    <w:qFormat/>
    <w:uiPriority w:val="0"/>
    <w:pPr>
      <w:widowControl/>
      <w:spacing w:after="160" w:line="240" w:lineRule="exact"/>
      <w:jc w:val="left"/>
    </w:pPr>
  </w:style>
  <w:style w:type="paragraph" w:customStyle="1" w:styleId="21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0">
    <w:name w:val="Char21"/>
    <w:basedOn w:val="1"/>
    <w:qFormat/>
    <w:uiPriority w:val="0"/>
    <w:pPr>
      <w:spacing w:line="240" w:lineRule="auto"/>
    </w:pPr>
    <w:rPr>
      <w:rFonts w:ascii="仿宋_GB2312" w:hAnsi="Times New Roman" w:eastAsia="仿宋_GB2312"/>
      <w:b/>
      <w:sz w:val="32"/>
      <w:szCs w:val="20"/>
    </w:rPr>
  </w:style>
  <w:style w:type="paragraph" w:customStyle="1" w:styleId="221">
    <w:name w:val="样式1"/>
    <w:basedOn w:val="3"/>
    <w:next w:val="1"/>
    <w:qFormat/>
    <w:uiPriority w:val="0"/>
    <w:pPr>
      <w:jc w:val="center"/>
    </w:pPr>
    <w:rPr>
      <w:rFonts w:ascii="宋体" w:hAnsi="宋体"/>
      <w:sz w:val="36"/>
      <w:szCs w:val="36"/>
    </w:rPr>
  </w:style>
  <w:style w:type="paragraph" w:customStyle="1" w:styleId="222">
    <w:name w:val="button"/>
    <w:basedOn w:val="1"/>
    <w:qFormat/>
    <w:uiPriority w:val="0"/>
    <w:pPr>
      <w:widowControl/>
      <w:spacing w:before="100" w:beforeAutospacing="1" w:after="100" w:afterAutospacing="1" w:line="240" w:lineRule="auto"/>
      <w:jc w:val="left"/>
    </w:pPr>
    <w:rPr>
      <w:rFonts w:ascii="Arial Unicode MS" w:hAnsi="Arial Unicode MS"/>
      <w:color w:val="000000"/>
      <w:kern w:val="0"/>
      <w:sz w:val="24"/>
      <w:szCs w:val="20"/>
    </w:rPr>
  </w:style>
  <w:style w:type="paragraph" w:customStyle="1" w:styleId="223">
    <w:name w:val="+正文"/>
    <w:basedOn w:val="1"/>
    <w:qFormat/>
    <w:uiPriority w:val="0"/>
    <w:pPr>
      <w:ind w:firstLine="200" w:firstLineChars="200"/>
    </w:pPr>
    <w:rPr>
      <w:sz w:val="24"/>
      <w:szCs w:val="28"/>
    </w:rPr>
  </w:style>
  <w:style w:type="paragraph" w:customStyle="1" w:styleId="224">
    <w:name w:val="Char3"/>
    <w:basedOn w:val="1"/>
    <w:qFormat/>
    <w:uiPriority w:val="0"/>
    <w:pPr>
      <w:tabs>
        <w:tab w:val="left" w:pos="360"/>
      </w:tabs>
    </w:pPr>
    <w:rPr>
      <w:sz w:val="24"/>
    </w:rPr>
  </w:style>
  <w:style w:type="paragraph" w:customStyle="1" w:styleId="225">
    <w:name w:val="Char2"/>
    <w:basedOn w:val="1"/>
    <w:qFormat/>
    <w:uiPriority w:val="0"/>
    <w:rPr>
      <w:szCs w:val="20"/>
    </w:rPr>
  </w:style>
  <w:style w:type="paragraph" w:customStyle="1" w:styleId="226">
    <w:name w:val="正文3"/>
    <w:basedOn w:val="1"/>
    <w:qFormat/>
    <w:uiPriority w:val="0"/>
    <w:pPr>
      <w:spacing w:beforeLines="50" w:afterLines="50"/>
      <w:outlineLvl w:val="8"/>
    </w:pPr>
    <w:rPr>
      <w:rFonts w:ascii="Segoe UI" w:hAnsi="宋体" w:eastAsia="楷体_GB2312" w:cs="Latha"/>
      <w:sz w:val="24"/>
      <w:szCs w:val="21"/>
    </w:rPr>
  </w:style>
  <w:style w:type="paragraph" w:customStyle="1" w:styleId="227">
    <w:name w:val="ÕýÎÄ"/>
    <w:qFormat/>
    <w:uiPriority w:val="0"/>
    <w:pPr>
      <w:widowControl w:val="0"/>
      <w:overflowPunct w:val="0"/>
      <w:autoSpaceDE w:val="0"/>
      <w:autoSpaceDN w:val="0"/>
      <w:adjustRightInd w:val="0"/>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228">
    <w:name w:val="四级条标题"/>
    <w:basedOn w:val="161"/>
    <w:next w:val="155"/>
    <w:qFormat/>
    <w:uiPriority w:val="0"/>
    <w:pPr>
      <w:outlineLvl w:val="5"/>
    </w:pPr>
  </w:style>
  <w:style w:type="paragraph" w:customStyle="1" w:styleId="229">
    <w:name w:val="正文缩进HS-正文1"/>
    <w:basedOn w:val="1"/>
    <w:qFormat/>
    <w:uiPriority w:val="0"/>
    <w:pPr>
      <w:suppressAutoHyphens/>
      <w:ind w:firstLine="480"/>
    </w:pPr>
    <w:rPr>
      <w:rFonts w:ascii="宋体" w:hAnsi="宋体"/>
      <w:color w:val="000000"/>
      <w:kern w:val="1"/>
      <w:szCs w:val="20"/>
      <w:lang w:eastAsia="ar-SA"/>
    </w:rPr>
  </w:style>
  <w:style w:type="paragraph" w:customStyle="1" w:styleId="230">
    <w:name w:val="纯文本_0_0"/>
    <w:basedOn w:val="219"/>
    <w:qFormat/>
    <w:uiPriority w:val="0"/>
    <w:rPr>
      <w:rFonts w:ascii="宋体" w:hAnsi="Courier New"/>
      <w:szCs w:val="21"/>
    </w:rPr>
  </w:style>
  <w:style w:type="paragraph" w:customStyle="1" w:styleId="23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32">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233">
    <w:name w:val="附注"/>
    <w:basedOn w:val="1"/>
    <w:qFormat/>
    <w:uiPriority w:val="0"/>
    <w:pPr>
      <w:ind w:firstLine="640"/>
    </w:pPr>
    <w:rPr>
      <w:rFonts w:eastAsia="仿宋_GB2312"/>
      <w:sz w:val="32"/>
      <w:szCs w:val="20"/>
    </w:rPr>
  </w:style>
  <w:style w:type="paragraph" w:customStyle="1" w:styleId="234">
    <w:name w:val="表格（小）"/>
    <w:basedOn w:val="1"/>
    <w:qFormat/>
    <w:uiPriority w:val="0"/>
    <w:pPr>
      <w:snapToGrid w:val="0"/>
      <w:spacing w:line="300" w:lineRule="auto"/>
    </w:pPr>
    <w:rPr>
      <w:rFonts w:ascii="Times New Roman" w:hAnsi="Times New Roman" w:eastAsia="仿宋"/>
      <w:szCs w:val="21"/>
    </w:rPr>
  </w:style>
  <w:style w:type="paragraph" w:styleId="235">
    <w:name w:val="List Paragraph"/>
    <w:basedOn w:val="1"/>
    <w:qFormat/>
    <w:uiPriority w:val="34"/>
    <w:pPr>
      <w:ind w:firstLine="420" w:firstLineChars="200"/>
    </w:pPr>
    <w:rPr>
      <w:szCs w:val="22"/>
    </w:rPr>
  </w:style>
  <w:style w:type="paragraph" w:customStyle="1" w:styleId="236">
    <w:name w:val="0"/>
    <w:basedOn w:val="1"/>
    <w:qFormat/>
    <w:uiPriority w:val="0"/>
    <w:pPr>
      <w:widowControl/>
      <w:spacing w:line="240" w:lineRule="auto"/>
    </w:pPr>
    <w:rPr>
      <w:rFonts w:ascii="Times New Roman" w:hAnsi="Times New Roman"/>
      <w:kern w:val="0"/>
      <w:sz w:val="24"/>
      <w:szCs w:val="20"/>
    </w:rPr>
  </w:style>
  <w:style w:type="paragraph" w:customStyle="1" w:styleId="237">
    <w:name w:val="列出段落1"/>
    <w:basedOn w:val="1"/>
    <w:qFormat/>
    <w:uiPriority w:val="34"/>
    <w:pPr>
      <w:ind w:firstLine="420" w:firstLineChars="200"/>
    </w:pPr>
  </w:style>
  <w:style w:type="paragraph" w:customStyle="1" w:styleId="238">
    <w:name w:val="Char Char Char Char Char Char Char Char Char Char"/>
    <w:basedOn w:val="1"/>
    <w:qFormat/>
    <w:uiPriority w:val="0"/>
    <w:pPr>
      <w:spacing w:line="240" w:lineRule="auto"/>
    </w:pPr>
    <w:rPr>
      <w:rFonts w:ascii="仿宋_GB2312" w:hAnsi="Times New Roman" w:eastAsia="仿宋_GB2312"/>
      <w:b/>
      <w:sz w:val="32"/>
      <w:szCs w:val="32"/>
    </w:rPr>
  </w:style>
  <w:style w:type="paragraph" w:customStyle="1" w:styleId="239">
    <w:name w:val="[Normal]"/>
    <w:qFormat/>
    <w:uiPriority w:val="0"/>
    <w:rPr>
      <w:rFonts w:ascii="宋体" w:hAnsi="宋体" w:eastAsia="宋体" w:cs="Times New Roman"/>
      <w:sz w:val="24"/>
      <w:szCs w:val="22"/>
      <w:lang w:val="zh-CN" w:eastAsia="zh-CN" w:bidi="ar-SA"/>
    </w:rPr>
  </w:style>
  <w:style w:type="paragraph" w:customStyle="1" w:styleId="24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4"/>
    <w:basedOn w:val="1"/>
    <w:next w:val="33"/>
    <w:qFormat/>
    <w:uiPriority w:val="0"/>
    <w:pPr>
      <w:spacing w:after="120" w:line="480" w:lineRule="auto"/>
      <w:ind w:left="420" w:leftChars="200"/>
    </w:pPr>
    <w:rPr>
      <w:rFonts w:ascii="Times New Roman" w:hAnsi="Times New Roman"/>
      <w:sz w:val="24"/>
      <w:szCs w:val="20"/>
    </w:rPr>
  </w:style>
  <w:style w:type="paragraph" w:customStyle="1" w:styleId="242">
    <w:name w:val="默认段落字体 Para Char Char Char1 Char"/>
    <w:basedOn w:val="1"/>
    <w:qFormat/>
    <w:uiPriority w:val="0"/>
    <w:pPr>
      <w:spacing w:line="240" w:lineRule="atLeast"/>
      <w:ind w:left="420" w:firstLine="420"/>
    </w:pPr>
    <w:rPr>
      <w:rFonts w:ascii="Times New Roman" w:hAnsi="Times New Roman"/>
      <w:sz w:val="24"/>
    </w:rPr>
  </w:style>
  <w:style w:type="paragraph" w:customStyle="1" w:styleId="2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4">
    <w:name w:val="五级条标题"/>
    <w:basedOn w:val="228"/>
    <w:next w:val="155"/>
    <w:qFormat/>
    <w:uiPriority w:val="0"/>
    <w:pPr>
      <w:outlineLvl w:val="6"/>
    </w:pPr>
  </w:style>
  <w:style w:type="paragraph" w:customStyle="1" w:styleId="245">
    <w:name w:val="默认段落字体 Para Char"/>
    <w:basedOn w:val="1"/>
    <w:qFormat/>
    <w:uiPriority w:val="0"/>
    <w:pPr>
      <w:spacing w:line="240" w:lineRule="auto"/>
    </w:pPr>
    <w:rPr>
      <w:rFonts w:ascii="Tahoma" w:hAnsi="Tahoma"/>
      <w:sz w:val="24"/>
      <w:szCs w:val="20"/>
    </w:rPr>
  </w:style>
  <w:style w:type="paragraph" w:customStyle="1" w:styleId="24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7">
    <w:name w:val="WPSOffice手动目录 1"/>
    <w:qFormat/>
    <w:uiPriority w:val="0"/>
    <w:rPr>
      <w:rFonts w:ascii="Calibri" w:hAnsi="Calibri" w:eastAsia="宋体" w:cs="Times New Roman"/>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44383</Words>
  <Characters>48235</Characters>
  <Lines>375</Lines>
  <Paragraphs>105</Paragraphs>
  <TotalTime>52</TotalTime>
  <ScaleCrop>false</ScaleCrop>
  <LinksUpToDate>false</LinksUpToDate>
  <CharactersWithSpaces>50202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2024-07-13T01:54:00Z</dcterms:created>
  <dc:creator>Gamo</dc:creator>
  <cp:lastModifiedBy>孟琴</cp:lastModifiedBy>
  <cp:lastPrinted>2024-08-20T12:03:00Z</cp:lastPrinted>
  <dcterms:modified xsi:type="dcterms:W3CDTF">2024-10-18T02:46:15Z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f245242b_mFV0yj84JSk0PspPmHv8q0a81HM=_8QYrr0VhfDcxPthIkXX8pkuhADeIFYY9zGTEeSaBhmlUfX9cYE7aXwGgR/wolj/0HxRKDaf0Hc28sYLQYz4z2QbT9g==_eb4f9c61</vt:lpwstr>
  </property>
  <property fmtid="{D5CDD505-2E9C-101B-9397-08002B2CF9AE}" pid="4" name="ICV">
    <vt:lpwstr>E8318C8A790144989293BDF578B583A6_13</vt:lpwstr>
  </property>
</Properties>
</file>