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2024-2025年度淳安县入湖口和乡镇交接断面水质自动监测系统监理服务项目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ZJYGZF[2024]015号</w:t>
      </w:r>
    </w:p>
    <w:p>
      <w:pPr>
        <w:spacing w:line="148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48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48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48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杭州市生态环境局淳安分局</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5001"/>
        <w:gridCol w:w="3937"/>
      </w:tblGrid>
      <w:tr>
        <w:tblPrEx>
          <w:tblCellMar>
            <w:top w:w="0" w:type="dxa"/>
            <w:left w:w="108" w:type="dxa"/>
            <w:bottom w:w="0" w:type="dxa"/>
            <w:right w:w="108" w:type="dxa"/>
          </w:tblCellMar>
        </w:tblPrEx>
        <w:trPr>
          <w:trHeight w:val="2929" w:hRule="atLeast"/>
        </w:trPr>
        <w:tc>
          <w:tcPr>
            <w:tcW w:w="5001"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hint="eastAsia" w:ascii="仿宋" w:hAnsi="仿宋" w:eastAsia="仿宋" w:cs="仿宋"/>
                <w:lang w:eastAsia="zh-CN"/>
              </w:rPr>
            </w:pPr>
            <w:r>
              <w:rPr>
                <w:rFonts w:hint="eastAsia" w:ascii="仿宋" w:hAnsi="仿宋" w:eastAsia="仿宋" w:cs="仿宋"/>
                <w:sz w:val="32"/>
                <w:szCs w:val="32"/>
              </w:rPr>
              <w:t>日期：</w:t>
            </w:r>
            <w:r>
              <w:rPr>
                <w:rFonts w:hint="eastAsia" w:ascii="仿宋" w:hAnsi="仿宋" w:eastAsia="仿宋" w:cs="仿宋"/>
                <w:sz w:val="32"/>
                <w:szCs w:val="32"/>
                <w:lang w:eastAsia="zh-CN"/>
              </w:rPr>
              <w:t>2024年06月</w:t>
            </w:r>
          </w:p>
        </w:tc>
        <w:tc>
          <w:tcPr>
            <w:tcW w:w="3937"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hint="eastAsia" w:ascii="仿宋" w:hAnsi="仿宋" w:eastAsia="仿宋" w:cs="仿宋"/>
                <w:lang w:eastAsia="zh-CN"/>
              </w:rPr>
            </w:pPr>
            <w:r>
              <w:rPr>
                <w:rFonts w:hint="eastAsia" w:ascii="仿宋" w:hAnsi="仿宋" w:eastAsia="仿宋" w:cs="仿宋"/>
                <w:sz w:val="32"/>
                <w:szCs w:val="32"/>
              </w:rPr>
              <w:t>日期：</w:t>
            </w:r>
            <w:r>
              <w:rPr>
                <w:rFonts w:hint="eastAsia" w:ascii="仿宋" w:hAnsi="仿宋" w:eastAsia="仿宋" w:cs="仿宋"/>
                <w:sz w:val="32"/>
                <w:szCs w:val="32"/>
                <w:lang w:eastAsia="zh-CN"/>
              </w:rPr>
              <w:t>2024年06月</w:t>
            </w:r>
          </w:p>
        </w:tc>
      </w:tr>
    </w:tbl>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sz w:val="32"/>
          <w:szCs w:val="32"/>
        </w:rPr>
      </w:pPr>
      <w:r>
        <w:rPr>
          <w:rFonts w:hint="eastAsia" w:ascii="仿宋" w:hAnsi="仿宋" w:eastAsia="仿宋" w:cs="仿宋"/>
          <w:b/>
          <w:sz w:val="48"/>
          <w:szCs w:val="48"/>
        </w:rPr>
        <w:t>目  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Style w:val="81"/>
          <w:rFonts w:ascii="仿宋" w:hAnsi="仿宋" w:eastAsia="仿宋" w:cs="仿宋"/>
          <w:kern w:val="2"/>
          <w:sz w:val="24"/>
          <w:szCs w:val="24"/>
        </w:rPr>
      </w:pPr>
      <w:r>
        <w:rPr>
          <w:rFonts w:hint="eastAsia" w:ascii="仿宋" w:hAnsi="仿宋" w:eastAsia="仿宋" w:cs="仿宋"/>
          <w:sz w:val="24"/>
          <w:lang w:eastAsia="zh-CN"/>
        </w:rPr>
        <w:t>2024-2025年度淳安县入湖口和乡镇交接断面水质自动监测系统监理服务项目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w:t>
      </w:r>
      <w:r>
        <w:rPr>
          <w:rStyle w:val="81"/>
          <w:rFonts w:hint="eastAsia" w:ascii="仿宋" w:hAnsi="仿宋" w:eastAsia="仿宋" w:cs="仿宋"/>
          <w:snapToGrid/>
          <w:kern w:val="2"/>
          <w:sz w:val="24"/>
          <w:szCs w:val="24"/>
          <w:lang w:eastAsia="zh-CN"/>
        </w:rPr>
        <w:t>2024年07月16日</w:t>
      </w:r>
      <w:r>
        <w:rPr>
          <w:rStyle w:val="81"/>
          <w:rFonts w:hint="eastAsia" w:ascii="仿宋" w:hAnsi="仿宋" w:eastAsia="仿宋" w:cs="仿宋"/>
          <w:snapToGrid/>
          <w:kern w:val="2"/>
          <w:sz w:val="24"/>
          <w:szCs w:val="24"/>
          <w:lang w:val="en-US" w:eastAsia="zh-CN"/>
        </w:rPr>
        <w:t>09</w:t>
      </w:r>
      <w:r>
        <w:rPr>
          <w:rStyle w:val="81"/>
          <w:rFonts w:hint="eastAsia" w:ascii="仿宋" w:hAnsi="仿宋" w:eastAsia="仿宋" w:cs="仿宋"/>
          <w:snapToGrid/>
          <w:kern w:val="2"/>
          <w:sz w:val="24"/>
          <w:szCs w:val="24"/>
          <w:lang w:eastAsia="zh-CN"/>
        </w:rPr>
        <w:t>点</w:t>
      </w:r>
      <w:r>
        <w:rPr>
          <w:rStyle w:val="81"/>
          <w:rFonts w:hint="eastAsia" w:ascii="仿宋" w:hAnsi="仿宋" w:eastAsia="仿宋" w:cs="仿宋"/>
          <w:snapToGrid/>
          <w:kern w:val="2"/>
          <w:sz w:val="24"/>
          <w:szCs w:val="24"/>
          <w:lang w:val="en-US" w:eastAsia="zh-CN"/>
        </w:rPr>
        <w:t>3</w:t>
      </w:r>
      <w:r>
        <w:rPr>
          <w:rStyle w:val="81"/>
          <w:rFonts w:hint="eastAsia" w:ascii="仿宋" w:hAnsi="仿宋" w:eastAsia="仿宋" w:cs="仿宋"/>
          <w:snapToGrid/>
          <w:kern w:val="2"/>
          <w:sz w:val="24"/>
          <w:szCs w:val="24"/>
          <w:lang w:eastAsia="zh-CN"/>
        </w:rPr>
        <w:t>0分</w:t>
      </w:r>
      <w:r>
        <w:rPr>
          <w:rStyle w:val="81"/>
          <w:rFonts w:ascii="仿宋" w:hAnsi="仿宋" w:eastAsia="仿宋" w:cs="仿宋"/>
          <w:snapToGrid/>
          <w:kern w:val="2"/>
          <w:sz w:val="24"/>
          <w:szCs w:val="24"/>
        </w:rPr>
        <w:t>00</w:t>
      </w:r>
      <w:r>
        <w:rPr>
          <w:rStyle w:val="81"/>
          <w:rFonts w:hint="eastAsia" w:ascii="仿宋" w:hAnsi="仿宋" w:eastAsia="仿宋" w:cs="仿宋"/>
          <w:snapToGrid/>
          <w:kern w:val="2"/>
          <w:sz w:val="24"/>
          <w:szCs w:val="24"/>
        </w:rPr>
        <w:t>秒</w:t>
      </w:r>
      <w:r>
        <w:rPr>
          <w:rStyle w:val="81"/>
          <w:rFonts w:hint="eastAsia" w:ascii="仿宋" w:hAnsi="仿宋" w:eastAsia="仿宋" w:cs="仿宋"/>
          <w:snapToGrid/>
          <w:kern w:val="2"/>
          <w:sz w:val="24"/>
          <w:szCs w:val="24"/>
        </w:rPr>
        <w:fldChar w:fldCharType="end"/>
      </w:r>
      <w:r>
        <w:rPr>
          <w:rStyle w:val="81"/>
          <w:rFonts w:hint="eastAsia" w:ascii="仿宋" w:hAnsi="仿宋" w:eastAsia="仿宋" w:cs="仿宋"/>
          <w:kern w:val="2"/>
          <w:sz w:val="24"/>
          <w:szCs w:val="24"/>
        </w:rPr>
        <w:t>（北京时间）前递交（上传）投标文件。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ZJYGZF[2024]015号</w:t>
      </w:r>
    </w:p>
    <w:p>
      <w:pPr>
        <w:spacing w:line="460" w:lineRule="exact"/>
        <w:rPr>
          <w:rFonts w:hint="eastAsia" w:ascii="仿宋" w:hAnsi="仿宋" w:eastAsia="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lang w:eastAsia="zh-CN"/>
        </w:rPr>
        <w:t>2024-2025年度淳安县入湖口和乡镇交接断面水质自动监测系统监理服务项目</w:t>
      </w:r>
    </w:p>
    <w:p>
      <w:pPr>
        <w:spacing w:line="460" w:lineRule="exact"/>
        <w:rPr>
          <w:rFonts w:hint="eastAsia" w:ascii="仿宋_GB2312" w:hAnsi="仿宋" w:eastAsia="仿宋_GB2312" w:cs="仿宋"/>
          <w:sz w:val="32"/>
          <w:szCs w:val="32"/>
          <w:lang w:val="en-US" w:eastAsia="zh-CN"/>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sz w:val="24"/>
          <w:lang w:val="en-US" w:eastAsia="zh-CN"/>
        </w:rPr>
        <w:t>880000.00</w:t>
      </w:r>
    </w:p>
    <w:p>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w:t>
      </w:r>
      <w:r>
        <w:rPr>
          <w:rFonts w:hint="eastAsia" w:ascii="仿宋" w:hAnsi="仿宋" w:eastAsia="仿宋"/>
          <w:sz w:val="24"/>
          <w:lang w:val="en-US" w:eastAsia="zh-CN"/>
        </w:rPr>
        <w:t>880000.00</w:t>
      </w:r>
    </w:p>
    <w:p>
      <w:pPr>
        <w:snapToGrid w:val="0"/>
        <w:spacing w:line="360" w:lineRule="auto"/>
        <w:rPr>
          <w:rFonts w:ascii="仿宋" w:hAnsi="仿宋" w:eastAsia="仿宋" w:cs="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cs="宋体"/>
          <w:b/>
          <w:color w:val="000000" w:themeColor="text1"/>
          <w:sz w:val="24"/>
          <w14:textFill>
            <w14:solidFill>
              <w14:schemeClr w14:val="tx1"/>
            </w14:solidFill>
          </w14:textFill>
        </w:rPr>
        <w:t>采购需求：</w:t>
      </w:r>
      <w:r>
        <w:rPr>
          <w:rFonts w:hint="eastAsia" w:ascii="仿宋" w:hAnsi="仿宋" w:eastAsia="仿宋" w:cs="仿宋"/>
          <w:sz w:val="24"/>
        </w:rPr>
        <w:t>为确保千岛湖流域水质自动监测系统数据购买的有效性、准确性，参照固有模式，拟由第三方监理公司提供的我县流域水质自动监测系统现场检查和评价服务。运维现场检查和评价工作包括：建设验收（若有）、自动监测运维和质控体系检查、现场五参数比对、盲样考核，并参与抽测比对和飞行检查等，根据工作需要开展的计划外检查，以及通过运维检查对流域水质自动监测系统运维情况进行现场考核。考核作为BOO购买服务绩效的依据。同时下达抽检任务考核监理公司的运维和评价质量。详见招标文件第三部分采购需求。</w:t>
      </w:r>
    </w:p>
    <w:p>
      <w:pPr>
        <w:pStyle w:val="135"/>
        <w:ind w:firstLine="482"/>
        <w:outlineLvl w:val="2"/>
        <w:rPr>
          <w:rFonts w:hint="eastAsia" w:ascii="仿宋_GB2312" w:hAnsi="宋体" w:eastAsia="仿宋_GB2312" w:cs="宋体"/>
          <w:sz w:val="24"/>
        </w:rPr>
      </w:pPr>
      <w:r>
        <w:rPr>
          <w:rFonts w:hint="eastAsia" w:ascii="仿宋" w:hAnsi="仿宋" w:eastAsia="仿宋" w:cs="宋体"/>
          <w:b/>
          <w:color w:val="0D0D0D" w:themeColor="text1" w:themeTint="F2"/>
          <w14:textFill>
            <w14:solidFill>
              <w14:schemeClr w14:val="tx1">
                <w14:lumMod w14:val="95000"/>
                <w14:lumOff w14:val="5000"/>
              </w14:schemeClr>
            </w14:solidFill>
          </w14:textFill>
        </w:rPr>
        <w:t>合同履约时间：</w:t>
      </w:r>
      <w:r>
        <w:rPr>
          <w:rFonts w:hint="eastAsia" w:ascii="仿宋" w:hAnsi="仿宋" w:eastAsia="仿宋"/>
          <w:sz w:val="24"/>
        </w:rPr>
        <w:t>服务期两年</w:t>
      </w:r>
      <w:r>
        <w:rPr>
          <w:rFonts w:hint="eastAsia" w:ascii="仿宋" w:hAnsi="仿宋" w:eastAsia="仿宋"/>
          <w:sz w:val="24"/>
          <w:lang w:eastAsia="zh-CN"/>
        </w:rPr>
        <w:t>。</w:t>
      </w:r>
      <w:r>
        <w:rPr>
          <w:rFonts w:hint="eastAsia" w:ascii="仿宋_GB2312" w:hAnsi="宋体" w:eastAsia="仿宋_GB2312" w:cs="宋体"/>
          <w:sz w:val="24"/>
        </w:rPr>
        <w:t>（具体以签订合同时间为准）</w:t>
      </w:r>
    </w:p>
    <w:p>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bookmarkStart w:id="527" w:name="_GoBack"/>
      <w:bookmarkEnd w:id="527"/>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rPr>
          <w:rFonts w:ascii="仿宋" w:eastAsia="仿宋"/>
          <w:color w:val="000000"/>
          <w:sz w:val="24"/>
        </w:rPr>
      </w:pPr>
      <w:r>
        <w:rPr>
          <w:rFonts w:hint="eastAsia" w:ascii="仿宋" w:eastAsia="仿宋"/>
          <w:color w:val="000000"/>
          <w:sz w:val="24"/>
        </w:rPr>
        <w:t xml:space="preserve">3.落实政府采购政策需满足的资格要求： </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无；</w:t>
      </w:r>
    </w:p>
    <w:p>
      <w:pPr>
        <w:spacing w:line="440" w:lineRule="exact"/>
        <w:rPr>
          <w:rFonts w:ascii="仿宋" w:hAnsi="仿宋" w:eastAsia="仿宋" w:cs="仿宋_GB2312"/>
          <w:snapToGrid w:val="0"/>
          <w:kern w:val="28"/>
          <w:sz w:val="24"/>
          <w:szCs w:val="20"/>
        </w:rPr>
      </w:pPr>
      <w:r>
        <w:rPr>
          <w:rFonts w:ascii="仿宋_GB2312" w:hAnsi="仿宋" w:eastAsia="仿宋_GB2312" w:cs="Arial"/>
          <w:color w:val="000000"/>
          <w:kern w:val="0"/>
          <w:sz w:val="24"/>
        </w:rPr>
        <w:sym w:font="Wingdings" w:char="00FE"/>
      </w:r>
      <w:r>
        <w:rPr>
          <w:rFonts w:hint="eastAsia" w:ascii="仿宋" w:hAnsi="仿宋" w:eastAsia="仿宋" w:cs="仿宋_GB2312"/>
          <w:snapToGrid w:val="0"/>
          <w:kern w:val="28"/>
          <w:sz w:val="24"/>
          <w:szCs w:val="20"/>
        </w:rPr>
        <w:t>专门面向中小企业</w:t>
      </w:r>
    </w:p>
    <w:p>
      <w:pPr>
        <w:spacing w:line="440" w:lineRule="exact"/>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u w:val="dotted"/>
        </w:rPr>
        <w:t>服务</w:t>
      </w:r>
      <w:r>
        <w:rPr>
          <w:rFonts w:hint="eastAsia" w:ascii="仿宋" w:eastAsia="仿宋"/>
          <w:color w:val="000000"/>
          <w:sz w:val="24"/>
        </w:rPr>
        <w:t>全部由符合政策要求的中小微企业承接，提供中小企业声明函；</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要求以联合体形式参加，提供联合协议和中小企业声明函，联合协议中中小企业合同金额应当达到</w:t>
      </w:r>
      <w:r>
        <w:rPr>
          <w:rFonts w:ascii="仿宋" w:eastAsia="仿宋"/>
          <w:color w:val="000000"/>
          <w:sz w:val="24"/>
        </w:rPr>
        <w:t>%</w:t>
      </w:r>
      <w:r>
        <w:rPr>
          <w:rFonts w:hint="eastAsia" w:ascii="仿宋" w:eastAsia="仿宋"/>
          <w:color w:val="000000"/>
          <w:sz w:val="24"/>
        </w:rPr>
        <w:t>，小微企业合同金额应当达到</w:t>
      </w:r>
      <w:r>
        <w:rPr>
          <w:rFonts w:ascii="仿宋" w:eastAsia="仿宋"/>
          <w:color w:val="000000"/>
          <w:sz w:val="24"/>
        </w:rPr>
        <w:t>%;</w:t>
      </w:r>
      <w:r>
        <w:rPr>
          <w:rFonts w:hint="eastAsia" w:ascii="仿宋" w:eastAsia="仿宋"/>
          <w:color w:val="000000"/>
          <w:sz w:val="24"/>
        </w:rPr>
        <w:t>如果供应商本身提供所有标的均由中小企业制造、承建或承接，视同符合了资格条件，无需再与其他中小企业组成联合体参加政府采购活动，无需提供联合协议；</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要求合同分包，提供分包意向协议和中小企业声明函，分包意向协议中中小企业合同金额应当达到达到</w:t>
      </w:r>
      <w:r>
        <w:rPr>
          <w:rFonts w:ascii="仿宋" w:eastAsia="仿宋"/>
          <w:color w:val="000000"/>
          <w:sz w:val="24"/>
        </w:rPr>
        <w:t xml:space="preserve">% </w:t>
      </w:r>
      <w:r>
        <w:rPr>
          <w:rFonts w:hint="eastAsia" w:ascii="仿宋" w:eastAsia="仿宋"/>
          <w:color w:val="000000"/>
          <w:sz w:val="24"/>
        </w:rPr>
        <w:t>，小微企业合同金额应当达到</w:t>
      </w:r>
      <w:r>
        <w:rPr>
          <w:rFonts w:ascii="仿宋" w:eastAsia="仿宋"/>
          <w:color w:val="000000"/>
          <w:sz w:val="24"/>
        </w:rPr>
        <w:t>% ;</w:t>
      </w:r>
      <w:r>
        <w:rPr>
          <w:rFonts w:hint="eastAsia" w:ascii="仿宋" w:eastAsia="仿宋"/>
          <w:color w:val="000000"/>
          <w:sz w:val="24"/>
        </w:rPr>
        <w:t>如果供应商本身提供所有标的均由中小企业制造、承建或承接，视同符合了资格条件，无需再向中小企业分包，无需提供分包意向协议；</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pPr>
        <w:spacing w:line="460"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hAnsi="仿宋" w:eastAsia="仿宋" w:cs="仿宋"/>
          <w:sz w:val="24"/>
        </w:rPr>
        <w:t>1.</w:t>
      </w: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lang w:eastAsia="zh-CN"/>
        </w:rPr>
        <w:t>2024年07月16日</w:t>
      </w:r>
      <w:r>
        <w:rPr>
          <w:rFonts w:hint="eastAsia" w:ascii="仿宋" w:hAnsi="仿宋" w:eastAsia="仿宋" w:cs="仿宋"/>
          <w:sz w:val="24"/>
        </w:rPr>
        <w:t>，每天</w:t>
      </w:r>
      <w:r>
        <w:rPr>
          <w:rFonts w:hint="eastAsia" w:ascii="仿宋" w:eastAsia="仿宋"/>
          <w:sz w:val="24"/>
        </w:rPr>
        <w:t>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2024年07月16日09点30分</w:t>
      </w:r>
      <w:r>
        <w:rPr>
          <w:rFonts w:hint="eastAsia" w:ascii="仿宋" w:hAnsi="仿宋" w:eastAsia="仿宋" w:cs="仿宋"/>
          <w:sz w:val="24"/>
        </w:rPr>
        <w:t>（北京时间）</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440" w:lineRule="exact"/>
        <w:ind w:firstLine="482" w:firstLineChars="200"/>
        <w:rPr>
          <w:rFonts w:hint="eastAsia" w:ascii="仿宋" w:hAnsi="仿宋" w:eastAsia="仿宋" w:cs="仿宋"/>
          <w:sz w:val="24"/>
          <w:lang w:eastAsia="zh-CN"/>
        </w:rPr>
      </w:pPr>
      <w:r>
        <w:rPr>
          <w:rFonts w:hint="eastAsia" w:ascii="仿宋" w:hAnsi="仿宋" w:eastAsia="仿宋" w:cs="仿宋"/>
          <w:b/>
          <w:sz w:val="24"/>
        </w:rPr>
        <w:t>开标时间：</w:t>
      </w:r>
      <w:r>
        <w:rPr>
          <w:rFonts w:hint="eastAsia" w:ascii="仿宋" w:hAnsi="仿宋" w:eastAsia="仿宋" w:cs="仿宋"/>
          <w:sz w:val="24"/>
          <w:lang w:eastAsia="zh-CN"/>
        </w:rPr>
        <w:t>2024年07月16日09点30分</w:t>
      </w:r>
    </w:p>
    <w:p>
      <w:pPr>
        <w:pStyle w:val="28"/>
        <w:widowControl/>
        <w:snapToGrid w:val="0"/>
        <w:spacing w:after="120" w:line="360" w:lineRule="auto"/>
        <w:ind w:right="-512" w:firstLine="482"/>
        <w:rPr>
          <w:rFonts w:ascii="仿宋" w:hAnsi="仿宋" w:eastAsia="仿宋" w:cs="仿宋"/>
          <w:bCs/>
        </w:rPr>
      </w:pPr>
      <w:r>
        <w:rPr>
          <w:rFonts w:hint="eastAsia" w:ascii="仿宋" w:hAnsi="仿宋" w:eastAsia="仿宋" w:cs="仿宋"/>
          <w:b/>
        </w:rPr>
        <w:t>开标地点（网址）：</w:t>
      </w:r>
      <w:r>
        <w:rPr>
          <w:rFonts w:hint="eastAsia" w:ascii="仿宋" w:hAnsi="仿宋" w:eastAsia="仿宋" w:cs="仿宋"/>
          <w:lang w:eastAsia="zh-CN"/>
        </w:rPr>
        <w:t>2024年07月16日09点30分</w:t>
      </w:r>
      <w:r>
        <w:rPr>
          <w:rFonts w:hint="eastAsia" w:ascii="仿宋" w:hAnsi="仿宋" w:eastAsia="仿宋" w:cs="仿宋"/>
          <w:bCs/>
        </w:rPr>
        <w:t>，地点：淳安县千岛湖镇新安大街104号五楼开标室，通过“政府采购云平台（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1、采购单位：</w:t>
      </w:r>
      <w:r>
        <w:rPr>
          <w:rFonts w:hint="eastAsia" w:ascii="仿宋" w:hAnsi="仿宋" w:eastAsia="仿宋"/>
          <w:sz w:val="24"/>
          <w:szCs w:val="24"/>
          <w:highlight w:val="none"/>
          <w:lang w:eastAsia="zh-CN"/>
        </w:rPr>
        <w:t>杭州市生态环境局淳安分局</w:t>
      </w:r>
      <w:r>
        <w:rPr>
          <w:rFonts w:hint="eastAsia" w:ascii="仿宋" w:hAnsi="仿宋" w:eastAsia="仿宋"/>
          <w:sz w:val="24"/>
          <w:szCs w:val="24"/>
          <w:highlight w:val="none"/>
        </w:rPr>
        <w:t>；</w:t>
      </w:r>
    </w:p>
    <w:p>
      <w:pPr>
        <w:spacing w:line="440" w:lineRule="exact"/>
        <w:ind w:firstLine="720" w:firstLineChars="3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采购人：王裕成        联系电话：0571-89601999 </w:t>
      </w:r>
    </w:p>
    <w:p>
      <w:pPr>
        <w:spacing w:line="440" w:lineRule="exact"/>
        <w:ind w:firstLine="720" w:firstLineChars="300"/>
        <w:rPr>
          <w:rFonts w:hint="default"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质疑接收人：江威      联系电话：18357007996 </w:t>
      </w:r>
    </w:p>
    <w:p>
      <w:pPr>
        <w:spacing w:line="440" w:lineRule="exact"/>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地址：杭州市淳安县千岛湖镇；  </w:t>
      </w:r>
    </w:p>
    <w:p>
      <w:pPr>
        <w:pStyle w:val="16"/>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2.采购代理机构信息代理机构：</w:t>
      </w:r>
      <w:r>
        <w:rPr>
          <w:rFonts w:hint="eastAsia" w:ascii="仿宋" w:hAnsi="仿宋" w:eastAsia="仿宋" w:cs="仿宋"/>
          <w:snapToGrid/>
          <w:color w:val="auto"/>
          <w:kern w:val="2"/>
          <w:sz w:val="24"/>
          <w:szCs w:val="24"/>
          <w:lang w:eastAsia="zh-CN"/>
        </w:rPr>
        <w:t>浙江阳光联合会计师事务所（普通合伙）</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tabs>
          <w:tab w:val="left" w:pos="1152"/>
        </w:tabs>
        <w:rPr>
          <w:rFonts w:ascii="仿宋" w:hAnsi="仿宋" w:eastAsia="仿宋" w:cs="仿宋"/>
          <w:sz w:val="36"/>
          <w:szCs w:val="20"/>
        </w:rPr>
      </w:pPr>
    </w:p>
    <w:p>
      <w:pPr>
        <w:rPr>
          <w:rFonts w:ascii="仿宋" w:hAnsi="仿宋" w:eastAsia="仿宋" w:cs="仿宋"/>
          <w:b/>
          <w:sz w:val="36"/>
          <w:szCs w:val="20"/>
        </w:rPr>
      </w:pPr>
    </w:p>
    <w:p>
      <w:pPr>
        <w:tabs>
          <w:tab w:val="left" w:pos="1152"/>
        </w:tabs>
        <w:rPr>
          <w:rFonts w:ascii="仿宋" w:hAnsi="仿宋" w:eastAsia="仿宋" w:cs="仿宋"/>
          <w:sz w:val="36"/>
          <w:szCs w:val="20"/>
        </w:rPr>
      </w:pPr>
    </w:p>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both"/>
        <w:rPr>
          <w:rFonts w:ascii="仿宋" w:hAnsi="仿宋" w:eastAsia="仿宋" w:cs="仿宋"/>
          <w:b/>
          <w:sz w:val="36"/>
          <w:szCs w:val="20"/>
        </w:rPr>
      </w:pPr>
    </w:p>
    <w:p>
      <w:pPr>
        <w:widowControl/>
        <w:adjustRightInd/>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服务类，单一产品或</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核心产品为：</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（1）标的：</w:t>
            </w:r>
            <w:r>
              <w:rPr>
                <w:rFonts w:hint="eastAsia" w:ascii="仿宋" w:hAnsi="仿宋" w:eastAsia="仿宋" w:cs="宋体"/>
                <w:color w:val="0D0D0D" w:themeColor="text1" w:themeTint="F2"/>
                <w:kern w:val="0"/>
                <w:sz w:val="24"/>
                <w:u w:val="single"/>
                <w14:textFill>
                  <w14:solidFill>
                    <w14:schemeClr w14:val="tx1">
                      <w14:lumMod w14:val="95000"/>
                      <w14:lumOff w14:val="5000"/>
                    </w14:schemeClr>
                  </w14:solidFill>
                </w14:textFill>
              </w:rPr>
              <w:t>采购标的及所属行业详见附件7《中小企业声明函》</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，属于</w:t>
            </w:r>
            <w:r>
              <w:rPr>
                <w:rFonts w:hint="eastAsia" w:ascii="仿宋" w:hAnsi="仿宋" w:eastAsia="仿宋" w:cs="宋体"/>
                <w:color w:val="0D0D0D" w:themeColor="text1" w:themeTint="F2"/>
                <w:kern w:val="0"/>
                <w:sz w:val="24"/>
                <w:u w:val="single"/>
                <w:lang w:eastAsia="zh-CN"/>
                <w14:textFill>
                  <w14:solidFill>
                    <w14:schemeClr w14:val="tx1">
                      <w14:lumMod w14:val="95000"/>
                      <w14:lumOff w14:val="5000"/>
                    </w14:schemeClr>
                  </w14:solidFill>
                </w14:textFill>
              </w:rPr>
              <w:t>软件和信息技术服务业行业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同意将</w:t>
            </w:r>
            <w:r>
              <w:rPr>
                <w:rFonts w:hint="eastAsia" w:ascii="仿宋" w:hAnsi="仿宋" w:eastAsia="仿宋" w:cs="宋体"/>
                <w:color w:val="0D0D0D" w:themeColor="text1" w:themeTint="F2"/>
                <w:sz w:val="24"/>
                <w:lang w:val="en-US" w:eastAsia="zh-CN"/>
                <w14:textFill>
                  <w14:solidFill>
                    <w14:schemeClr w14:val="tx1">
                      <w14:lumMod w14:val="95000"/>
                      <w14:lumOff w14:val="5000"/>
                    </w14:schemeClr>
                  </w14:solidFill>
                </w14:textFill>
              </w:rPr>
              <w:t>设备运输类</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的工作分包。</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pacing w:line="360" w:lineRule="auto"/>
              <w:rPr>
                <w:rFonts w:ascii="仿宋" w:hAnsi="仿宋" w:eastAsia="仿宋" w:cs="宋体"/>
                <w:color w:val="0D0D0D" w:themeColor="text1" w:themeTint="F2"/>
                <w:sz w:val="24"/>
                <w:szCs w:val="20"/>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B组织，</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时间：,地点：，联系人：，联系方式：</w:t>
            </w:r>
            <w:r>
              <w:rPr>
                <w:rFonts w:hint="eastAsia" w:ascii="仿宋" w:hAnsi="仿宋" w:eastAsia="仿宋" w:cs="宋体"/>
                <w:color w:val="0D0D0D" w:themeColor="text1" w:themeTint="F2"/>
                <w:sz w:val="24"/>
                <w:szCs w:val="20"/>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样品制作的标准和要求：</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（5）提供样品的时间：</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B组织。 （1）在评标时安排每个投标人进行方案讲解演示。每个投标人时间不超过</w:t>
                    </w:r>
                    <w:r>
                      <w:rPr>
                        <w:rFonts w:hint="eastAsia" w:ascii="仿宋" w:hAnsi="仿宋" w:eastAsia="仿宋" w:cs="宋体"/>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r>
                      <w:rPr>
                        <w:rFonts w:hint="eastAsia" w:ascii="仿宋" w:eastAsia="仿宋" w:cs="宋体"/>
                        <w:color w:val="000000" w:themeColor="text1"/>
                        <w:kern w:val="0"/>
                        <w:sz w:val="24"/>
                        <w14:textFill>
                          <w14:solidFill>
                            <w14:schemeClr w14:val="tx1"/>
                          </w14:solidFill>
                        </w14:textFill>
                      </w:rPr>
                      <w:sym w:font="Wingdings" w:char="00A8"/>
                    </w:r>
                    <w:r>
                      <w:rPr>
                        <w:rFonts w:hint="eastAsia" w:ascii="仿宋" w:eastAsia="仿宋" w:cs="宋体"/>
                        <w:color w:val="000000" w:themeColor="text1"/>
                        <w:kern w:val="0"/>
                        <w:sz w:val="24"/>
                        <w14:textFill>
                          <w14:solidFill>
                            <w14:schemeClr w14:val="tx1"/>
                          </w14:solidFill>
                        </w14:textFill>
                      </w:rPr>
                      <w:t>方式一：提供演示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14:textFill>
                          <w14:solidFill>
                            <w14:schemeClr w14:val="tx1"/>
                          </w14:solidFill>
                        </w14:textFill>
                      </w:rPr>
                      <w:t>104</w:t>
                    </w:r>
                    <w:r>
                      <w:rPr>
                        <w:rFonts w:hint="eastAsia" w:ascii="仿宋" w:eastAsia="仿宋" w:cs="宋体"/>
                        <w:color w:val="000000" w:themeColor="text1"/>
                        <w:kern w:val="0"/>
                        <w:sz w:val="24"/>
                        <w14:textFill>
                          <w14:solidFill>
                            <w14:schemeClr w14:val="tx1"/>
                          </w14:solidFill>
                        </w14:textFill>
                      </w:rPr>
                      <w:t>号</w:t>
                    </w:r>
                    <w:r>
                      <w:rPr>
                        <w:rFonts w:ascii="仿宋" w:eastAsia="仿宋" w:cs="宋体"/>
                        <w:color w:val="000000" w:themeColor="text1"/>
                        <w:kern w:val="0"/>
                        <w:sz w:val="24"/>
                        <w14:textFill>
                          <w14:solidFill>
                            <w14:schemeClr w14:val="tx1"/>
                          </w14:solidFill>
                        </w14:textFill>
                      </w:rPr>
                      <w:t>4</w:t>
                    </w:r>
                    <w:r>
                      <w:rPr>
                        <w:rFonts w:hint="eastAsia" w:ascii="仿宋" w:eastAsia="仿宋" w:cs="宋体"/>
                        <w:color w:val="000000" w:themeColor="text1"/>
                        <w:kern w:val="0"/>
                        <w:sz w:val="24"/>
                        <w14:textFill>
                          <w14:solidFill>
                            <w14:schemeClr w14:val="tx1"/>
                          </w14:solidFill>
                        </w14:textFill>
                      </w:rPr>
                      <w:t>楼采购代理部，李梦</w:t>
                    </w:r>
                    <w:r>
                      <w:rPr>
                        <w:rFonts w:ascii="仿宋" w:eastAsia="仿宋" w:cs="宋体"/>
                        <w:color w:val="000000" w:themeColor="text1"/>
                        <w:kern w:val="0"/>
                        <w:sz w:val="24"/>
                        <w14:textFill>
                          <w14:solidFill>
                            <w14:schemeClr w14:val="tx1"/>
                          </w14:solidFill>
                        </w14:textFill>
                      </w:rPr>
                      <w:t>0571-64832556</w:t>
                    </w:r>
                    <w:r>
                      <w:rPr>
                        <w:rFonts w:hint="eastAsia" w:ascii="仿宋" w:eastAsia="仿宋" w:cs="宋体"/>
                        <w:color w:val="000000" w:themeColor="text1"/>
                        <w:kern w:val="0"/>
                        <w:sz w:val="24"/>
                        <w14:textFill>
                          <w14:solidFill>
                            <w14:schemeClr w14:val="tx1"/>
                          </w14:solidFill>
                        </w14:textFill>
                      </w:rPr>
                      <w:t xml:space="preserve">。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提醒：验收时检测费用由采购人承担，不包含在投标总价中。</w:t>
            </w:r>
          </w:p>
          <w:p>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color w:val="000000" w:themeColor="text1"/>
                <w:kern w:val="0"/>
                <w:sz w:val="24"/>
                <w:szCs w:val="24"/>
                <w14:textFill>
                  <w14:solidFill>
                    <w14:schemeClr w14:val="tx1"/>
                  </w14:solidFill>
                </w14:textFill>
              </w:rPr>
              <w:t>淳安县千岛湖镇新安大街</w:t>
            </w:r>
            <w:r>
              <w:rPr>
                <w:rFonts w:ascii="仿宋" w:eastAsia="仿宋" w:cs="宋体"/>
                <w:color w:val="000000" w:themeColor="text1"/>
                <w:kern w:val="0"/>
                <w:sz w:val="24"/>
                <w:szCs w:val="24"/>
                <w14:textFill>
                  <w14:solidFill>
                    <w14:schemeClr w14:val="tx1"/>
                  </w14:solidFill>
                </w14:textFill>
              </w:rPr>
              <w:t>104</w:t>
            </w:r>
            <w:r>
              <w:rPr>
                <w:rFonts w:hint="eastAsia" w:ascii="仿宋" w:eastAsia="仿宋" w:cs="宋体"/>
                <w:color w:val="000000" w:themeColor="text1"/>
                <w:kern w:val="0"/>
                <w:sz w:val="24"/>
                <w:szCs w:val="24"/>
                <w14:textFill>
                  <w14:solidFill>
                    <w14:schemeClr w14:val="tx1"/>
                  </w14:solidFill>
                </w14:textFill>
              </w:rPr>
              <w:t>号</w:t>
            </w:r>
            <w:r>
              <w:rPr>
                <w:rFonts w:ascii="仿宋" w:eastAsia="仿宋" w:cs="宋体"/>
                <w:color w:val="000000" w:themeColor="text1"/>
                <w:kern w:val="0"/>
                <w:sz w:val="24"/>
                <w:szCs w:val="24"/>
                <w14:textFill>
                  <w14:solidFill>
                    <w14:schemeClr w14:val="tx1"/>
                  </w14:solidFill>
                </w14:textFill>
              </w:rPr>
              <w:t>4</w:t>
            </w:r>
            <w:r>
              <w:rPr>
                <w:rFonts w:hint="eastAsia" w:ascii="仿宋" w:eastAsia="仿宋" w:cs="宋体"/>
                <w:color w:val="000000" w:themeColor="text1"/>
                <w:kern w:val="0"/>
                <w:sz w:val="24"/>
                <w:szCs w:val="24"/>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color w:val="000000" w:themeColor="text1"/>
                <w:kern w:val="0"/>
                <w:sz w:val="24"/>
                <w:szCs w:val="24"/>
                <w14:textFill>
                  <w14:solidFill>
                    <w14:schemeClr w14:val="tx1"/>
                  </w14:solidFill>
                </w14:textFill>
              </w:rPr>
              <w:t>李梦</w:t>
            </w:r>
            <w:r>
              <w:rPr>
                <w:rFonts w:ascii="仿宋" w:eastAsia="仿宋" w:cs="宋体"/>
                <w:color w:val="000000" w:themeColor="text1"/>
                <w:kern w:val="0"/>
                <w:sz w:val="24"/>
                <w:szCs w:val="24"/>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号文《招标代理服务费管理暂行办法》及发改办价格[2003]857号文的收费标准计取。采购服务费为人民币￥：</w:t>
            </w:r>
            <w:r>
              <w:rPr>
                <w:rFonts w:hint="eastAsia" w:ascii="仿宋" w:hAnsi="仿宋" w:eastAsia="仿宋" w:cs="宋体"/>
                <w:snapToGrid w:val="0"/>
                <w:color w:val="0D0D0D" w:themeColor="text1" w:themeTint="F2"/>
                <w:kern w:val="28"/>
                <w:sz w:val="24"/>
                <w:lang w:val="en-US" w:eastAsia="zh-CN"/>
                <w14:textFill>
                  <w14:solidFill>
                    <w14:schemeClr w14:val="tx1">
                      <w14:lumMod w14:val="95000"/>
                      <w14:lumOff w14:val="5000"/>
                    </w14:schemeClr>
                  </w14:solidFill>
                </w14:textFill>
              </w:rPr>
              <w:t xml:space="preserve">      </w:t>
            </w:r>
            <w:r>
              <w:rPr>
                <w:rFonts w:hint="eastAsia" w:ascii="仿宋" w:hAnsi="仿宋" w:eastAsia="仿宋" w:cs="宋体"/>
                <w:snapToGrid w:val="0"/>
                <w:color w:val="0D0D0D" w:themeColor="text1" w:themeTint="F2"/>
                <w:kern w:val="28"/>
                <w:sz w:val="24"/>
                <w:u w:val="single"/>
                <w:lang w:val="en-US" w:eastAsia="zh-CN"/>
                <w14:textFill>
                  <w14:solidFill>
                    <w14:schemeClr w14:val="tx1">
                      <w14:lumMod w14:val="95000"/>
                      <w14:lumOff w14:val="5000"/>
                    </w14:schemeClr>
                  </w14:solidFill>
                </w14:textFill>
              </w:rPr>
              <w:t>13200.00</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元；由中标单位一次性支付给采购代理公司。</w:t>
            </w:r>
          </w:p>
          <w:p>
            <w:pPr>
              <w:snapToGrid w:val="0"/>
              <w:spacing w:line="380" w:lineRule="atLeast"/>
              <w:rPr>
                <w:rFonts w:hint="eastAsia" w:ascii="仿宋" w:hAnsi="仿宋" w:eastAsia="仿宋" w:cs="宋体"/>
                <w:snapToGrid w:val="0"/>
                <w:color w:val="0D0D0D" w:themeColor="text1" w:themeTint="F2"/>
                <w:kern w:val="28"/>
                <w:sz w:val="24"/>
                <w:lang w:eastAsia="zh-CN"/>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收款单位（户名）：</w:t>
            </w:r>
            <w:r>
              <w:rPr>
                <w:rFonts w:hint="eastAsia" w:ascii="仿宋" w:hAnsi="仿宋" w:eastAsia="仿宋" w:cs="宋体"/>
                <w:snapToGrid w:val="0"/>
                <w:color w:val="0D0D0D" w:themeColor="text1" w:themeTint="F2"/>
                <w:kern w:val="28"/>
                <w:sz w:val="24"/>
                <w:lang w:eastAsia="zh-CN"/>
                <w14:textFill>
                  <w14:solidFill>
                    <w14:schemeClr w14:val="tx1">
                      <w14:lumMod w14:val="95000"/>
                      <w14:lumOff w14:val="5000"/>
                    </w14:schemeClr>
                  </w14:solidFill>
                </w14:textFill>
              </w:rPr>
              <w:t>浙江阳光联合会计师事务所（普通合伙）</w:t>
            </w:r>
          </w:p>
          <w:p>
            <w:pPr>
              <w:snapToGrid w:val="0"/>
              <w:spacing w:line="360" w:lineRule="auto"/>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开户行：中国工商银行淳安县支行</w:t>
            </w:r>
          </w:p>
          <w:p>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00000" w:themeColor="text1"/>
                <w:kern w:val="28"/>
                <w:sz w:val="24"/>
                <w14:textFill>
                  <w14:solidFill>
                    <w14:schemeClr w14:val="tx1"/>
                  </w14:solidFill>
                </w14:textFill>
              </w:rPr>
              <w:t>账号：1202029109006717573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pPr>
        <w:pStyle w:val="57"/>
        <w:ind w:left="0" w:leftChars="0"/>
      </w:pPr>
    </w:p>
    <w:bookmarkEnd w:id="9"/>
    <w:p>
      <w:pPr>
        <w:adjustRightInd/>
        <w:spacing w:line="360" w:lineRule="auto"/>
        <w:ind w:firstLine="281" w:firstLineChars="100"/>
        <w:jc w:val="center"/>
        <w:outlineLvl w:val="1"/>
        <w:rPr>
          <w:rFonts w:ascii="仿宋" w:hAnsi="仿宋" w:eastAsia="仿宋" w:cs="仿宋"/>
          <w:b/>
          <w:sz w:val="28"/>
          <w:szCs w:val="28"/>
        </w:rPr>
      </w:pPr>
      <w:bookmarkStart w:id="10" w:name="_Toc164416483"/>
      <w:bookmarkStart w:id="11" w:name="第三部分"/>
      <w:r>
        <w:rPr>
          <w:rFonts w:hint="eastAsia" w:ascii="仿宋" w:hAnsi="仿宋" w:eastAsia="仿宋" w:cs="仿宋"/>
          <w:b/>
          <w:sz w:val="28"/>
          <w:szCs w:val="28"/>
        </w:rPr>
        <w:t>一、总则</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adjustRightInd/>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二、招标文件的构成、澄清、修改</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三、投标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11.1.2联合协议</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lang w:val="en-US" w:eastAsia="zh-CN"/>
        </w:rPr>
        <w:t>11.1.3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p>
    <w:p>
      <w:pPr>
        <w:snapToGrid w:val="0"/>
        <w:spacing w:line="360" w:lineRule="auto"/>
        <w:ind w:firstLine="960" w:firstLineChars="4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11.1.5</w:t>
      </w:r>
      <w:r>
        <w:rPr>
          <w:rFonts w:hint="eastAsia" w:ascii="仿宋" w:hAnsi="仿宋" w:eastAsia="仿宋" w:cs="仿宋"/>
          <w:color w:val="auto"/>
          <w:sz w:val="24"/>
          <w:lang w:val="en-US"/>
        </w:rPr>
        <w:t>中小企业声明函.</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napToGrid/>
          <w:szCs w:val="24"/>
          <w:lang w:val="en-US"/>
        </w:rPr>
      </w:pPr>
      <w:r>
        <w:rPr>
          <w:rFonts w:hint="eastAsia" w:ascii="仿宋" w:hAnsi="仿宋" w:eastAsia="仿宋" w:cs="仿宋"/>
          <w:sz w:val="24"/>
        </w:rPr>
        <w:t>11.3.2 报价明细表</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pPr>
        <w:pStyle w:val="28"/>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5"/>
        <w:spacing w:before="0"/>
        <w:ind w:firstLine="1687" w:firstLineChars="600"/>
        <w:outlineLvl w:val="1"/>
        <w:rPr>
          <w:rFonts w:ascii="仿宋" w:hAnsi="仿宋" w:eastAsia="仿宋" w:cs="仿宋"/>
          <w:b/>
          <w:sz w:val="28"/>
          <w:szCs w:val="28"/>
        </w:rPr>
      </w:pPr>
      <w:r>
        <w:rPr>
          <w:rFonts w:hint="eastAsia" w:ascii="仿宋" w:hAnsi="仿宋" w:eastAsia="仿宋" w:cs="仿宋"/>
          <w:b/>
          <w:sz w:val="28"/>
          <w:szCs w:val="28"/>
        </w:rPr>
        <w:t>四、开标、资格审查与信用信息查询</w:t>
      </w:r>
    </w:p>
    <w:p>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六、定标</w:t>
      </w:r>
    </w:p>
    <w:p>
      <w:pPr>
        <w:pStyle w:val="2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七、合同授予</w:t>
      </w:r>
    </w:p>
    <w:p>
      <w:pPr>
        <w:pStyle w:val="2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8"/>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8"/>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Helvetica"/>
          <w:kern w:val="0"/>
          <w:sz w:val="24"/>
        </w:rPr>
      </w:pPr>
      <w:r>
        <w:rPr>
          <w:rFonts w:hint="eastAsia" w:ascii="仿宋_GB2312" w:hAnsi="仿宋" w:eastAsia="仿宋_GB2312" w:cs="Helvetica"/>
          <w:kern w:val="0"/>
          <w:sz w:val="24"/>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八、电子交易活动的中止</w:t>
      </w:r>
    </w:p>
    <w:p>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22" w:firstLineChars="150"/>
        <w:jc w:val="center"/>
        <w:outlineLvl w:val="1"/>
        <w:rPr>
          <w:rFonts w:ascii="仿宋" w:hAnsi="仿宋" w:eastAsia="仿宋" w:cs="仿宋"/>
          <w:b/>
          <w:sz w:val="28"/>
          <w:szCs w:val="28"/>
        </w:rPr>
      </w:pPr>
      <w:r>
        <w:rPr>
          <w:rFonts w:hint="eastAsia" w:ascii="仿宋" w:hAnsi="仿宋" w:eastAsia="仿宋" w:cs="仿宋"/>
          <w:b/>
          <w:sz w:val="28"/>
          <w:szCs w:val="28"/>
        </w:rPr>
        <w:t>九、验收</w:t>
      </w:r>
    </w:p>
    <w:p>
      <w:pPr>
        <w:pStyle w:val="28"/>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jc w:val="center"/>
        <w:rPr>
          <w:rFonts w:ascii="仿宋" w:hAnsi="仿宋" w:eastAsia="仿宋" w:cs="仿宋"/>
          <w:b/>
          <w:sz w:val="36"/>
          <w:szCs w:val="36"/>
        </w:rPr>
      </w:pPr>
      <w:bookmarkStart w:id="13" w:name="_Hlt74714665"/>
      <w:bookmarkEnd w:id="13"/>
      <w:bookmarkStart w:id="14" w:name="_Hlt68403820"/>
      <w:bookmarkEnd w:id="14"/>
      <w:bookmarkStart w:id="15" w:name="_Hlt74707468"/>
      <w:bookmarkEnd w:id="15"/>
      <w:bookmarkStart w:id="16" w:name="_Hlt74729768"/>
      <w:bookmarkEnd w:id="16"/>
      <w:bookmarkStart w:id="17" w:name="_Hlt68057669"/>
      <w:bookmarkEnd w:id="17"/>
      <w:bookmarkStart w:id="18" w:name="_Hlt75236101"/>
      <w:bookmarkEnd w:id="18"/>
      <w:bookmarkStart w:id="19" w:name="_Hlt68072990"/>
      <w:bookmarkEnd w:id="19"/>
      <w:bookmarkStart w:id="20" w:name="_Hlt68073093"/>
      <w:bookmarkEnd w:id="20"/>
      <w:bookmarkStart w:id="21" w:name="_Hlt68072998"/>
      <w:bookmarkEnd w:id="21"/>
      <w:bookmarkStart w:id="22" w:name="_Hlt75236290"/>
      <w:bookmarkEnd w:id="22"/>
      <w:bookmarkStart w:id="23" w:name="_Hlt75236011"/>
      <w:bookmarkEnd w:id="23"/>
      <w:bookmarkStart w:id="24" w:name="_Hlt74730295"/>
      <w:bookmarkEnd w:id="24"/>
    </w:p>
    <w:p>
      <w:pPr>
        <w:pStyle w:val="25"/>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
      <w:pPr>
        <w:pStyle w:val="31"/>
        <w:ind w:right="-512" w:firstLine="717"/>
      </w:pPr>
    </w:p>
    <w:p>
      <w:pPr>
        <w:pStyle w:val="31"/>
        <w:ind w:right="-512" w:firstLine="717"/>
      </w:pPr>
    </w:p>
    <w:p>
      <w:pPr>
        <w:pStyle w:val="31"/>
        <w:ind w:right="-512" w:firstLine="717"/>
      </w:pPr>
    </w:p>
    <w:p>
      <w:pPr>
        <w:pStyle w:val="31"/>
        <w:ind w:left="0" w:leftChars="0" w:right="-512" w:firstLine="0" w:firstLineChars="0"/>
      </w:pPr>
    </w:p>
    <w:bookmarkEnd w:id="10"/>
    <w:bookmarkEnd w:id="11"/>
    <w:p>
      <w:pPr>
        <w:widowControl/>
        <w:adjustRightInd/>
        <w:jc w:val="center"/>
        <w:outlineLvl w:val="0"/>
        <w:rPr>
          <w:rFonts w:ascii="仿宋" w:hAnsi="仿宋" w:eastAsia="仿宋" w:cs="仿宋"/>
          <w:b/>
          <w:sz w:val="36"/>
          <w:szCs w:val="20"/>
        </w:rPr>
      </w:pPr>
      <w:bookmarkStart w:id="25" w:name="第五部分"/>
      <w:bookmarkStart w:id="26" w:name="_Toc86217003"/>
      <w:r>
        <w:rPr>
          <w:rFonts w:hint="eastAsia" w:ascii="仿宋" w:hAnsi="仿宋" w:eastAsia="仿宋" w:cs="仿宋"/>
          <w:b/>
          <w:sz w:val="36"/>
          <w:szCs w:val="20"/>
        </w:rPr>
        <w:t>第三部分采购需求</w:t>
      </w:r>
    </w:p>
    <w:p>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为确保千岛湖流域水质自动监测系统数据购买的有效性、准确性，参照固有模式，拟由第三方监理公司提供的我县流域水质自动监测系统现场检查和评价服务。运维现场检查和评价工作包括：建设验收（若有）、自动监测运维和质控体系检查、现场五参数比对、盲样考核，并参与抽测比对和飞行检查等，根据工作需要开展的计划外检查，以及通过运维检查对流域水质自动监测系统运维情况进行现场考核。考核作为BOO购买服务绩效的依据。同时下达抽检任务考核监理公司的运维和评价质量。</w:t>
      </w:r>
    </w:p>
    <w:p>
      <w:pPr>
        <w:snapToGrid w:val="0"/>
        <w:spacing w:line="360" w:lineRule="auto"/>
        <w:rPr>
          <w:rFonts w:ascii="仿宋" w:hAnsi="仿宋" w:eastAsia="仿宋" w:cs="仿宋"/>
          <w:b/>
          <w:kern w:val="0"/>
          <w:sz w:val="24"/>
        </w:rPr>
      </w:pPr>
      <w:r>
        <w:rPr>
          <w:rFonts w:hint="eastAsia" w:ascii="仿宋" w:hAnsi="仿宋" w:eastAsia="仿宋" w:cs="仿宋"/>
          <w:b/>
          <w:kern w:val="0"/>
          <w:sz w:val="24"/>
        </w:rPr>
        <w:t>一、服务站点</w:t>
      </w:r>
    </w:p>
    <w:p>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淳安县25个流域水质自动站的自动监测运维和质控体系检查、现场五参数比对、盲样考核，并参与抽测比对和飞行检查。简称监理，如下。</w:t>
      </w:r>
    </w:p>
    <w:tbl>
      <w:tblPr>
        <w:tblStyle w:val="6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80"/>
        <w:gridCol w:w="433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序号</w:t>
            </w:r>
          </w:p>
        </w:tc>
        <w:tc>
          <w:tcPr>
            <w:tcW w:w="1680" w:type="dxa"/>
            <w:vAlign w:val="center"/>
          </w:tcPr>
          <w:p>
            <w:pPr>
              <w:snapToGrid w:val="0"/>
              <w:jc w:val="center"/>
              <w:rPr>
                <w:rFonts w:ascii="仿宋" w:hAnsi="仿宋" w:eastAsia="仿宋" w:cs="仿宋"/>
                <w:sz w:val="24"/>
              </w:rPr>
            </w:pPr>
            <w:r>
              <w:rPr>
                <w:rFonts w:hint="eastAsia" w:ascii="仿宋" w:hAnsi="仿宋" w:eastAsia="仿宋" w:cs="仿宋"/>
                <w:sz w:val="24"/>
              </w:rPr>
              <w:t>站点状态</w:t>
            </w: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站点名称</w:t>
            </w:r>
          </w:p>
        </w:tc>
        <w:tc>
          <w:tcPr>
            <w:tcW w:w="1529" w:type="dxa"/>
            <w:vAlign w:val="center"/>
          </w:tcPr>
          <w:p>
            <w:pPr>
              <w:snapToGrid w:val="0"/>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1680"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入湖口站点</w:t>
            </w: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东源港入湖口水质自动监测站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上梧溪入湖口水质自动监测站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3</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凤林港入湖口水质自动监测站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4</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云源港入湖口水质自动监测站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郁川溪入湖口水质自动监测站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七都源入湖口水质自动监测站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7</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商家源入湖口水质自动监测站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8</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清平源入湖口水质自动监测站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9</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梓桐源入湖口水质自动监测站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浪川溪入湖口水质自动监测站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11</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六都源入湖口水质自动监测站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12</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武强溪入湖口水质自动监测站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13</w:t>
            </w:r>
          </w:p>
        </w:tc>
        <w:tc>
          <w:tcPr>
            <w:tcW w:w="1680" w:type="dxa"/>
            <w:vMerge w:val="restart"/>
            <w:vAlign w:val="center"/>
          </w:tcPr>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交接断面站点</w:t>
            </w: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千岛湖镇乡镇交接断面水质自动监测站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14</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瑶山乡乡镇交接断面水质自动监测站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15</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屏门乡乡镇交接断面水质自动监测站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16</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文昌镇乡镇交接断面水质自动监测站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17</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左口乡乡镇交接断面水质自动监测站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18</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鸠坑乡乡镇交接断面水质自动监测站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19</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王阜乡乡镇交接断面水质自动监测站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金峰乡乡镇交接断面水质自动监测站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21</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界首乡乡镇交接断面水质自动监测站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22</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中洲镇乡镇交接断面水质自动监测站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23</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枫树岭镇乡镇交接断面水质自动监测站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24</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大墅镇乡镇交接断面水质自动监测站</w:t>
            </w:r>
          </w:p>
        </w:tc>
        <w:tc>
          <w:tcPr>
            <w:tcW w:w="1529" w:type="dxa"/>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pPr>
              <w:snapToGrid w:val="0"/>
              <w:jc w:val="center"/>
              <w:rPr>
                <w:rFonts w:ascii="仿宋" w:hAnsi="仿宋" w:eastAsia="仿宋" w:cs="仿宋"/>
                <w:sz w:val="24"/>
              </w:rPr>
            </w:pPr>
            <w:r>
              <w:rPr>
                <w:rFonts w:hint="eastAsia" w:ascii="仿宋" w:hAnsi="仿宋" w:eastAsia="仿宋" w:cs="仿宋"/>
                <w:sz w:val="24"/>
              </w:rPr>
              <w:t>25</w:t>
            </w:r>
          </w:p>
        </w:tc>
        <w:tc>
          <w:tcPr>
            <w:tcW w:w="1680" w:type="dxa"/>
            <w:vMerge w:val="continue"/>
            <w:vAlign w:val="center"/>
          </w:tcPr>
          <w:p>
            <w:pPr>
              <w:snapToGrid w:val="0"/>
              <w:jc w:val="center"/>
              <w:rPr>
                <w:rFonts w:ascii="仿宋" w:hAnsi="仿宋" w:eastAsia="仿宋" w:cs="仿宋"/>
                <w:sz w:val="24"/>
              </w:rPr>
            </w:pPr>
          </w:p>
        </w:tc>
        <w:tc>
          <w:tcPr>
            <w:tcW w:w="4337" w:type="dxa"/>
            <w:vAlign w:val="center"/>
          </w:tcPr>
          <w:p>
            <w:pPr>
              <w:snapToGrid w:val="0"/>
              <w:jc w:val="center"/>
              <w:rPr>
                <w:rFonts w:ascii="仿宋" w:hAnsi="仿宋" w:eastAsia="仿宋" w:cs="仿宋"/>
                <w:sz w:val="24"/>
              </w:rPr>
            </w:pPr>
            <w:r>
              <w:rPr>
                <w:rFonts w:hint="eastAsia" w:ascii="仿宋" w:hAnsi="仿宋" w:eastAsia="仿宋" w:cs="仿宋"/>
                <w:sz w:val="24"/>
              </w:rPr>
              <w:t>石林镇乡镇交接断面水质自动监测站</w:t>
            </w:r>
          </w:p>
        </w:tc>
        <w:tc>
          <w:tcPr>
            <w:tcW w:w="1529" w:type="dxa"/>
            <w:vAlign w:val="center"/>
          </w:tcPr>
          <w:p>
            <w:pPr>
              <w:snapToGrid w:val="0"/>
              <w:jc w:val="center"/>
              <w:rPr>
                <w:rFonts w:ascii="仿宋" w:hAnsi="仿宋" w:eastAsia="仿宋" w:cs="仿宋"/>
                <w:sz w:val="24"/>
              </w:rPr>
            </w:pPr>
          </w:p>
        </w:tc>
      </w:tr>
    </w:tbl>
    <w:p>
      <w:pPr>
        <w:snapToGrid w:val="0"/>
        <w:spacing w:line="360" w:lineRule="auto"/>
        <w:rPr>
          <w:rFonts w:ascii="仿宋" w:hAnsi="仿宋" w:eastAsia="仿宋" w:cs="仿宋"/>
          <w:b/>
          <w:sz w:val="24"/>
        </w:rPr>
      </w:pPr>
      <w:r>
        <w:rPr>
          <w:rFonts w:hint="eastAsia" w:ascii="仿宋" w:hAnsi="仿宋" w:eastAsia="仿宋" w:cs="仿宋"/>
          <w:sz w:val="24"/>
        </w:rPr>
        <w:t>二、</w:t>
      </w:r>
      <w:r>
        <w:rPr>
          <w:rFonts w:hint="eastAsia" w:ascii="仿宋" w:hAnsi="仿宋" w:eastAsia="仿宋" w:cs="仿宋"/>
          <w:b/>
          <w:sz w:val="24"/>
        </w:rPr>
        <w:t>监理服务目标</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1、专业性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网络数据信息平台的专业化巡检，通过对各监测站点历史数据的分钟、时均、日均等数据进行批量专业化分析来初步判断异常数据、仪器故障、弄虚作假等情况，为有针对性地开展现场核查、核实问题提供后台技术支持，并对现场发现的一系列情况进行签字确认、拍照取证，并告知业主单位。</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通过监理人员现场的专业化分析，快速作出科学、客观、真实地判断现场仪器是否正常运行，监督运营单位日常运维工作是否合理到位，如当场发现问题，应要求运营单位立即整改落实，并要求杜绝此类事情的再次发生。</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（3）监理人员针对不同种类的仪器，熟悉仪器的原理、分析流程、具体操作及日常运维，监督运营单位制定的各项运维方案是否合理，准确地评估仪器的各项性能是否合格。</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（4）通过监理人员专业的技术服务，为业主单位提供可靠、客观的各项监理工作报告，为数据购买项目的顺利实施保驾护航。</w:t>
      </w:r>
    </w:p>
    <w:p>
      <w:pPr>
        <w:snapToGrid w:val="0"/>
        <w:spacing w:line="360" w:lineRule="auto"/>
        <w:ind w:left="465"/>
        <w:rPr>
          <w:rFonts w:ascii="仿宋" w:hAnsi="仿宋" w:eastAsia="仿宋" w:cs="仿宋"/>
          <w:b/>
          <w:sz w:val="24"/>
        </w:rPr>
      </w:pPr>
      <w:r>
        <w:rPr>
          <w:rFonts w:hint="eastAsia" w:ascii="仿宋" w:hAnsi="仿宋" w:eastAsia="仿宋" w:cs="仿宋"/>
          <w:b/>
          <w:sz w:val="24"/>
        </w:rPr>
        <w:t>2、有效性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（1）通过监理人员对现场监测仪器和数据采集仪存储的历史数据来判定数据的完整性。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（2）通过监理人员对现场监测仪器、数据采集仪、平台数据的比较，来判断数据传输的一致性。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（3）通过专业的手段，对现场仪器分别进行质控样、实样比对分析，来评估仪器数据的准确性。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（4）通过监理人员对现场运维工作整体的检查和评估，来判定现场运维工作的质量状况，以确保水质数据的客观性、真实性和有效性。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（5）通过监理人员各项工作的汇总，为业主单位获得真实有效的数据提供保障。</w:t>
      </w:r>
    </w:p>
    <w:p>
      <w:pPr>
        <w:snapToGrid w:val="0"/>
        <w:spacing w:line="360" w:lineRule="auto"/>
        <w:ind w:left="465"/>
        <w:rPr>
          <w:rFonts w:ascii="仿宋" w:hAnsi="仿宋" w:eastAsia="仿宋" w:cs="仿宋"/>
          <w:b/>
          <w:sz w:val="24"/>
        </w:rPr>
      </w:pPr>
      <w:r>
        <w:rPr>
          <w:rFonts w:hint="eastAsia" w:ascii="仿宋" w:hAnsi="仿宋" w:eastAsia="仿宋" w:cs="仿宋"/>
          <w:b/>
          <w:sz w:val="24"/>
        </w:rPr>
        <w:t>3、持续性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（1）针对仪器质控样和实样比对数据不合格的情况，监理人员将及时告知运营单位，并针对现场实际情况提出意见和建议，督促运营单位整改落实，及时复查，直至仪器数据的准确性达到要求为止。</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（2）针对现场运维工作有不规范或遗漏等问题，监理人员将有针对性地提出整改建议，督促运营单位整改落实，并重点核查此类问题的再次发生，确保监测数据的连续性、科学性、客观性、真实性和有效性。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（3）通过监理人员对所有数据进行持续性、流域性、区域性的整合汇总，可持续地为业主单位提供准确可靠的淳安县流域水质情况。</w:t>
      </w:r>
    </w:p>
    <w:p>
      <w:pPr>
        <w:snapToGrid w:val="0"/>
        <w:spacing w:line="360" w:lineRule="auto"/>
        <w:rPr>
          <w:rFonts w:ascii="仿宋" w:hAnsi="仿宋" w:eastAsia="仿宋" w:cs="仿宋"/>
          <w:b/>
          <w:sz w:val="24"/>
        </w:rPr>
      </w:pPr>
      <w:r>
        <w:rPr>
          <w:rFonts w:hint="eastAsia" w:ascii="仿宋" w:hAnsi="仿宋" w:eastAsia="仿宋" w:cs="仿宋"/>
          <w:b/>
          <w:sz w:val="24"/>
        </w:rPr>
        <w:t>三、监理服务检查内容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任务具体包括：根据《浙江省地表水环境自动监测系统运行管理实施细则（试行）》、《浙江省地表水环境自动监测技术规范》的要求，结合招标单位的月监理站点数量要求，制定合理的监理计划，现场监理包含以下几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（1）按照招标人制定的监理计划，每季度全覆盖对责任区域内的点位进行运维和质控体系监理，并根据每季度运维体系监理结果，增加重点环节的专项监理。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（2）在每季度运维和质控体系监理的点位，携带具有在有效期内的检定证书的便携式仪器对常规五参数（水温、pH、溶解氧、电导率和浊度）进行现场比对。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（3）在每季度运维和质控体系监理的点位，开展水质自动监测站的盲样考核。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（4）季度对所有水站进行水样比对，由与运维方不同的第三方实验室检测，每季度25个水站全覆盖，出具的比对报告需加盖CMA章。</w:t>
      </w:r>
    </w:p>
    <w:p>
      <w:pPr>
        <w:snapToGrid w:val="0"/>
        <w:spacing w:line="360" w:lineRule="auto"/>
        <w:ind w:firstLine="480" w:firstLineChars="200"/>
        <w:rPr>
          <w:rFonts w:ascii="仿宋" w:hAnsi="仿宋" w:eastAsia="仿宋" w:cs="仿宋"/>
          <w:sz w:val="24"/>
        </w:rPr>
      </w:pPr>
      <w:commentRangeStart w:id="0"/>
      <w:r>
        <w:rPr>
          <w:rFonts w:hint="eastAsia" w:ascii="仿宋" w:hAnsi="仿宋" w:eastAsia="仿宋" w:cs="仿宋"/>
          <w:sz w:val="24"/>
        </w:rPr>
        <w:t>（5）根据招标人的要求，针对数据质量存疑的水质自动站，开展计划外的质控监理，全年不少于4次。</w:t>
      </w:r>
      <w:commentRangeEnd w:id="0"/>
      <w:r>
        <w:rPr>
          <w:rStyle w:val="83"/>
        </w:rPr>
        <w:commentReference w:id="0"/>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（6）根据招标人的要求，参与其他质控监理工作。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1、监理涉及的项目</w:t>
      </w:r>
    </w:p>
    <w:p>
      <w:pPr>
        <w:snapToGrid w:val="0"/>
        <w:spacing w:line="360" w:lineRule="auto"/>
        <w:ind w:firstLine="480" w:firstLineChars="200"/>
        <w:rPr>
          <w:rFonts w:ascii="仿宋" w:hAnsi="仿宋" w:eastAsia="仿宋" w:cs="仿宋"/>
          <w:sz w:val="24"/>
        </w:rPr>
      </w:pPr>
      <w:commentRangeStart w:id="1"/>
      <w:r>
        <w:rPr>
          <w:rFonts w:hint="eastAsia" w:ascii="仿宋" w:hAnsi="仿宋" w:eastAsia="仿宋" w:cs="仿宋"/>
          <w:sz w:val="24"/>
        </w:rPr>
        <w:t>水温、pH、溶解氧、电导率、浊度、高锰酸盐指数、氨氮、总磷、总氮。</w:t>
      </w:r>
      <w:commentRangeEnd w:id="1"/>
      <w:r>
        <w:rPr>
          <w:rStyle w:val="83"/>
        </w:rPr>
        <w:commentReference w:id="1"/>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其中需开展现场比对的项目为水温、pH、溶解氧、电导率和浊度。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2、运维和质控体系监理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由监理公司开展运维和质控体系监理，制定监理方案，每季度完成所有点位全覆盖进行监理，按要求反馈监理结果，并每季度形成监理总结报告。监理包括对地表水水质自动监测日常运维工作的开展情况和自动站质控体系构建情况进行监理，包括人员持证、站房环境、仪器状态、巡检情况、养护维修情况、质控措施、文件制定等。</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（1）检查现场各项运维记录表记录的完整性、真实性和及时性。</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（2）检查现场各监测仪器的校验、校准情况。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（3）检查现场监测仪器、数据采集仪参数设置合理性情况。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（4）检查耗材更换、试剂保质期、故障处理等情况。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（5）检查仪器各关键部件、供水管路、供水各关键部件、其他辅助设备功能实现及运维情况。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（6）检查站房温湿度、仪器及地面的干净整洁情况。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（7）检查现场视频功能实现情况。</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（8）检查现场仪器数据溯源情况。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3、现场五参数比对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由监理公司开展水质自动监测站的现场比对，比对点位为每季度运维监理的点位。监理公司携带具有在有效期内的检定证书的便携式仪器对常规五参数（水温、pH、溶解氧、电导率和浊度）进行现场比对，按要求进行记录，并对比对结果进行统计分析，每季度形成比对报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4、盲样考核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由监理公司开展水质自动监测站的盲样考核，考核点位为每季度运维监理的点位，考核参数为氨氮、高锰酸盐指数、总磷和总氮。监理公司根据被考核点位最近两个月的监测结果，选择浓度接近的有证标准物质，在实验室中配制好，盛装于符合要求的容器内，在规定时间内携带至现场，由采水口进样测定。监理公司按要求记录结果，并对结果进行统计分析，每季度形成比对报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5、实际水样比对</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（1）每季度由监理公司组织区域内自动监测点位的手工比对，并统计比对结果，形成比对报告。</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（2）比对不合格的，应在运营单位整改后提出再次比对申请的两天内安排再次实样比对一次，如果比对未通过将不再安排，同时通报业主单位扣减相关运维费用。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6、参与飞行监理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每月例行运维监理、现场比对、盲样考核、视频监理和抽测比对结果，结合各点位水质异常波动情况，不定期对部分“监测结果存疑”点位开展飞行监理。并针对投诉、举报等各种渠道反馈的有人为干扰嫌疑的点位开展飞行监理。监理公司参与飞行监理，负责相应的技术支持和后勤保障等工作。</w:t>
      </w:r>
    </w:p>
    <w:p>
      <w:pPr>
        <w:snapToGrid w:val="0"/>
        <w:spacing w:line="360" w:lineRule="auto"/>
        <w:rPr>
          <w:rFonts w:ascii="仿宋" w:hAnsi="仿宋" w:eastAsia="仿宋" w:cs="仿宋"/>
          <w:b/>
          <w:sz w:val="24"/>
        </w:rPr>
      </w:pPr>
      <w:r>
        <w:rPr>
          <w:rFonts w:hint="eastAsia" w:ascii="仿宋" w:hAnsi="仿宋" w:eastAsia="仿宋" w:cs="仿宋"/>
          <w:b/>
          <w:sz w:val="24"/>
        </w:rPr>
        <w:t>四、监理服务工作技术要求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所有监测任务应严格按照《地表水自动监测技术规范（试行）》（HJ 915-2017）规定、《浙江省地表水环境自动监测技术规范》和相关技术要求执行，《地表水自动监测技术规范（试行）》（HJ 915-2017）、《浙江省地表水环境自动监测技术规范》和相关技术要求为质控检查的重要依据。</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1、人员要求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为保证杭州市</w:t>
      </w:r>
      <w:r>
        <w:rPr>
          <w:rFonts w:hint="eastAsia" w:ascii="仿宋" w:hAnsi="仿宋" w:eastAsia="仿宋" w:cs="仿宋"/>
          <w:bCs/>
          <w:kern w:val="0"/>
          <w:sz w:val="24"/>
        </w:rPr>
        <w:t>淳安县加密</w:t>
      </w:r>
      <w:r>
        <w:rPr>
          <w:rFonts w:hint="eastAsia" w:ascii="仿宋" w:hAnsi="仿宋" w:eastAsia="仿宋" w:cs="仿宋"/>
          <w:sz w:val="24"/>
        </w:rPr>
        <w:t>地表水系统能长期稳定运行，要求投标人监理人员具备国、省级颁发的水质在线监测设备运维上岗证（地表水、废水）运维人员。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以上人员必须为投标人本单位或其全资子公司在职正式人员，并提供相关社保缴存证明。</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2、车辆等硬件保障要求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监理服务项目须配备以下装备保障工作需要：</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（1）须配备网络巡检专用电脑，用于网络巡检及各类报表的统计、分析、汇总、工作联系等；由运营单位提供数据信息平台和相应的软件。</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须配备专车用于现场监理，保障现场监理工作的顺利开展。中标单位须在中标后一个月（30日历日）内，配齐全部投标所述的车辆和检查（监理）设备，并向杭州市生态环境局淳安分局提交已有、采购或证明材料（如车辆为租赁合同，则租赁合同周期需至少覆盖至2024和2025年二年），否则杭州市生态环境局淳安分局有权以中标人虚假应标为由解除合同，要求中标人退还杭州市生态环境局淳安分局已支付的全部费用，扣除履约保证金，并进一步追索中标人相关责任。</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（3）须配备现场监理用的氨氮、总磷、总氮、高锰酸盐指数等各种浓度的标准溶液。</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3、网络数据信息平台管理要求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根据《浙江省地表水环境自动监测技术规范》的要求，对运营单位提供的自动监测数据、数据信息平台功能使用、日常巡检工作联系单进行巡检、校对和核查。</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每日进行网络数据巡检，负责对平台数据脱机、异常数据的判别，并对异常数据、超标数据等进行记录，核对运营单位提交的数据异常、仪器故障等各类表格或工作联系单的及时性和真实性；督促运营单位对现场运维的整改和落实。</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（2）每日使用数据信息平台的各项基础功能，监督其功能能够正常使用，针对日常监理的需要，向运营单位提出改进意见和建议。</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（3）对重大污染事故以短信、电话等形式及时向业主单位进行信息汇报。</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（4）每日对现场视频监控进行检查，对平台上脱机、视频显示模糊等情况，及时以工作联系单的形式通知运营单位，督促其及时落实整改。</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（5）每月分别统计单个站点和所有站点的有效数据获取率。</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（6）监督运营单位对数据信息平台的日常维护和数据备份的落实情况。</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4、质控监理技术要求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根据《浙江省地表水环境自动监测系统运行管理实施细则（试行）》、《浙江省地表水环境自动监测技术规范》的要求，结合招标单位的月监理站点数量要求，制定合理的监理计划，现场监理包含以下几点：</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（1）现场监测项目需求采购现场监测仪器，现场监测仪器须满足环境保护相关技术规范要求，经过检定/校准，提供相应的校准记录、盲样采购记录、配制记录和使用记录。</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2）投标人需提供现场监测仪器配置清单，包含型号、测定范围、检出限、准确度和精密度。如非投标人自有或已购，须提供合作周期不少于本项目服务周期的合同或合作意向书复印件加盖投标人公章，已购须提供采购合同复印件加盖投标人公章。</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（3）质控检查人员必须对水质自动站/点位现场的检查情况进行拍照记录，并对质控检查过程进行视频拍摄留存记录。</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（4）因遭遇恶劣天气等突发客观情况等非主观原因造成的无法完成质控检查任务，以及根据实际情况做出临时调整的，必须事先向采购人反映，保存好相关记录备查。</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（5）投标人采取必要的安全措施保障质控检查时人身安全。如发生任何意外，投标人负责事故处理及一切费用，与招标人无关。</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（6）质控检查机构发现采样点位周边环境不符合要求、采样系统未正常工作或仪器设备异常，应如实记录，并立即向招标人报告。</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rPr>
        <w:t>（7）现场监测项目的分析方法严格按照《国家地表水环境质量监测网监测任务作业指导书》的要求进行，现场监测的仪器设备必须在检定日期内使用。</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（8）受委托的社会化检查机构要对现场检查时发现的问题及时、如实记录，以现场检查时所见为准，不应在运维机构临时纠正后随意修改检查结果。检查完成后须检查人员和被检查人员共同签字确认。</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（9）投标人必须出具承诺函，承诺中标后1个月内，配齐现场监测仪器、冷藏箱、冷藏车及符合要求的标准试剂。</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5、实验室检测能力保障要求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根据《浙江省环境监测质量保证技术规定》、《地表水和污水监测技术规范》HJ/T 91-2002、《水质采样技术指导》HJ494-2009和《水质采样样品的保存和管理技术规定》HJ493-2009的相关规定和要求，实验室检测能力保障要求须做到以下几点：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地表水氨氮、总磷、总氮、高锰酸盐指数的检出限至少达到《地表水环境质量标准》(GB 3838-2002)一级标准限值，测试方法如下：</w:t>
      </w:r>
    </w:p>
    <w:tbl>
      <w:tblPr>
        <w:tblStyle w:val="66"/>
        <w:tblW w:w="8284" w:type="dxa"/>
        <w:jc w:val="center"/>
        <w:tblLayout w:type="fixed"/>
        <w:tblCellMar>
          <w:top w:w="0" w:type="dxa"/>
          <w:left w:w="108" w:type="dxa"/>
          <w:bottom w:w="0" w:type="dxa"/>
          <w:right w:w="108" w:type="dxa"/>
        </w:tblCellMar>
      </w:tblPr>
      <w:tblGrid>
        <w:gridCol w:w="660"/>
        <w:gridCol w:w="1799"/>
        <w:gridCol w:w="5825"/>
      </w:tblGrid>
      <w:tr>
        <w:tblPrEx>
          <w:tblCellMar>
            <w:top w:w="0" w:type="dxa"/>
            <w:left w:w="108" w:type="dxa"/>
            <w:bottom w:w="0" w:type="dxa"/>
            <w:right w:w="108" w:type="dxa"/>
          </w:tblCellMar>
        </w:tblPrEx>
        <w:trPr>
          <w:cantSplit/>
          <w:trHeight w:val="45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序号</w:t>
            </w:r>
          </w:p>
        </w:tc>
        <w:tc>
          <w:tcPr>
            <w:tcW w:w="179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检测项目</w:t>
            </w:r>
          </w:p>
        </w:tc>
        <w:tc>
          <w:tcPr>
            <w:tcW w:w="582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检测依据的标准（方法）名称及编号（含年号）</w:t>
            </w:r>
          </w:p>
        </w:tc>
      </w:tr>
      <w:tr>
        <w:tblPrEx>
          <w:tblCellMar>
            <w:top w:w="0" w:type="dxa"/>
            <w:left w:w="108" w:type="dxa"/>
            <w:bottom w:w="0" w:type="dxa"/>
            <w:right w:w="108" w:type="dxa"/>
          </w:tblCellMar>
        </w:tblPrEx>
        <w:trPr>
          <w:cantSplit/>
          <w:trHeight w:val="45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1</w:t>
            </w:r>
          </w:p>
        </w:tc>
        <w:tc>
          <w:tcPr>
            <w:tcW w:w="179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高锰酸盐指数</w:t>
            </w:r>
          </w:p>
        </w:tc>
        <w:tc>
          <w:tcPr>
            <w:tcW w:w="582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水质 高锰酸盐指数的测定 GB/T 11892-1989</w:t>
            </w:r>
          </w:p>
        </w:tc>
      </w:tr>
      <w:tr>
        <w:tblPrEx>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2</w:t>
            </w:r>
          </w:p>
        </w:tc>
        <w:tc>
          <w:tcPr>
            <w:tcW w:w="1799"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氨氮</w:t>
            </w:r>
          </w:p>
        </w:tc>
        <w:tc>
          <w:tcPr>
            <w:tcW w:w="5825" w:type="dxa"/>
            <w:tcBorders>
              <w:top w:val="single" w:color="auto" w:sz="4" w:space="0"/>
              <w:left w:val="nil"/>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水质 氨氮的测定 纳氏试剂分光光度法 HJ 535-2009</w:t>
            </w:r>
          </w:p>
        </w:tc>
      </w:tr>
      <w:tr>
        <w:tblPrEx>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3</w:t>
            </w:r>
          </w:p>
        </w:tc>
        <w:tc>
          <w:tcPr>
            <w:tcW w:w="1799" w:type="dxa"/>
            <w:tcBorders>
              <w:top w:val="single" w:color="auto" w:sz="4" w:space="0"/>
              <w:left w:val="nil"/>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总氮</w:t>
            </w:r>
          </w:p>
        </w:tc>
        <w:tc>
          <w:tcPr>
            <w:tcW w:w="5825"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水质 总氮的测定 碱性过硫酸钾消解紫外分光光度法（HJ636-2012）</w:t>
            </w:r>
          </w:p>
        </w:tc>
      </w:tr>
      <w:tr>
        <w:tblPrEx>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4</w:t>
            </w:r>
          </w:p>
        </w:tc>
        <w:tc>
          <w:tcPr>
            <w:tcW w:w="1799" w:type="dxa"/>
            <w:tcBorders>
              <w:top w:val="single" w:color="auto" w:sz="4" w:space="0"/>
              <w:left w:val="nil"/>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总磷</w:t>
            </w:r>
          </w:p>
        </w:tc>
        <w:tc>
          <w:tcPr>
            <w:tcW w:w="5825" w:type="dxa"/>
            <w:tcBorders>
              <w:top w:val="single" w:color="auto" w:sz="4" w:space="0"/>
              <w:left w:val="nil"/>
              <w:bottom w:val="single" w:color="auto" w:sz="4" w:space="0"/>
              <w:right w:val="single" w:color="auto" w:sz="4" w:space="0"/>
            </w:tcBorders>
            <w:vAlign w:val="center"/>
          </w:tcPr>
          <w:p>
            <w:pPr>
              <w:suppressAutoHyphens/>
              <w:snapToGrid w:val="0"/>
              <w:ind w:left="-105" w:leftChars="-50" w:right="-105" w:rightChars="-50"/>
              <w:jc w:val="center"/>
              <w:rPr>
                <w:rFonts w:ascii="仿宋" w:hAnsi="仿宋" w:eastAsia="仿宋" w:cs="仿宋"/>
                <w:sz w:val="24"/>
              </w:rPr>
            </w:pPr>
            <w:r>
              <w:rPr>
                <w:rFonts w:hint="eastAsia" w:ascii="仿宋" w:hAnsi="仿宋" w:eastAsia="仿宋" w:cs="仿宋"/>
                <w:sz w:val="24"/>
              </w:rPr>
              <w:t>水质 总磷的测定 钼酸铵分光光度法GB/T 11893-1989</w:t>
            </w:r>
          </w:p>
        </w:tc>
      </w:tr>
    </w:tbl>
    <w:p>
      <w:pPr>
        <w:snapToGrid w:val="0"/>
        <w:spacing w:line="360" w:lineRule="auto"/>
        <w:ind w:left="420" w:leftChars="200"/>
        <w:rPr>
          <w:rFonts w:ascii="仿宋" w:hAnsi="仿宋" w:eastAsia="仿宋" w:cs="仿宋"/>
          <w:sz w:val="24"/>
        </w:rPr>
      </w:pPr>
      <w:r>
        <w:rPr>
          <w:rFonts w:hint="eastAsia" w:ascii="仿宋" w:hAnsi="仿宋" w:eastAsia="仿宋" w:cs="仿宋"/>
          <w:sz w:val="24"/>
        </w:rPr>
        <w:t>（1）实样比对水样原则上须在采集后第二天内完成各项指标分析，最迟不得超过三天，样品的保存须严格参照</w:t>
      </w:r>
      <w:r>
        <w:rPr>
          <w:rFonts w:hint="eastAsia" w:ascii="仿宋" w:hAnsi="仿宋" w:eastAsia="仿宋" w:cs="仿宋"/>
          <w:bCs/>
          <w:sz w:val="24"/>
        </w:rPr>
        <w:t>《水质采样样品的保存和管理技术规定》HJ493-2009中的相关规定。</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（2）实验室质控要求及其他相关未尽事宜须严格按照《浙江省环境监测质量保证技术规定》的相关规定执行。</w:t>
      </w:r>
    </w:p>
    <w:p>
      <w:pPr>
        <w:snapToGrid w:val="0"/>
        <w:spacing w:line="360" w:lineRule="auto"/>
        <w:ind w:firstLine="482" w:firstLineChars="200"/>
        <w:jc w:val="center"/>
        <w:rPr>
          <w:rFonts w:ascii="仿宋" w:hAnsi="仿宋" w:eastAsia="仿宋" w:cs="仿宋"/>
          <w:b/>
          <w:bCs/>
          <w:sz w:val="24"/>
        </w:rPr>
      </w:pPr>
      <w:r>
        <w:rPr>
          <w:rFonts w:hint="eastAsia" w:ascii="仿宋" w:hAnsi="仿宋" w:eastAsia="仿宋" w:cs="仿宋"/>
          <w:b/>
          <w:bCs/>
          <w:sz w:val="24"/>
        </w:rPr>
        <w:t>比对实验允许误差表</w:t>
      </w:r>
    </w:p>
    <w:tbl>
      <w:tblPr>
        <w:tblStyle w:val="6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890"/>
        <w:gridCol w:w="231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Align w:val="center"/>
          </w:tcPr>
          <w:p>
            <w:pPr>
              <w:snapToGrid w:val="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监测项目</w:t>
            </w:r>
          </w:p>
        </w:tc>
        <w:tc>
          <w:tcPr>
            <w:tcW w:w="6406" w:type="dxa"/>
            <w:gridSpan w:val="3"/>
            <w:vAlign w:val="center"/>
          </w:tcPr>
          <w:p>
            <w:pPr>
              <w:snapToGrid w:val="0"/>
              <w:jc w:val="center"/>
              <w:rPr>
                <w:rFonts w:ascii="仿宋" w:hAnsi="仿宋" w:eastAsia="仿宋" w:cs="仿宋"/>
                <w:b/>
                <w:sz w:val="24"/>
              </w:rPr>
            </w:pPr>
            <w:r>
              <w:rPr>
                <w:rFonts w:hint="eastAsia" w:ascii="仿宋" w:hAnsi="仿宋" w:eastAsia="仿宋" w:cs="仿宋"/>
                <w:b/>
                <w:sz w:val="24"/>
              </w:rPr>
              <w:t>比对误差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Align w:val="center"/>
          </w:tcPr>
          <w:p>
            <w:pPr>
              <w:snapToGrid w:val="0"/>
              <w:jc w:val="center"/>
              <w:rPr>
                <w:rFonts w:ascii="仿宋" w:hAnsi="仿宋" w:eastAsia="仿宋" w:cs="仿宋"/>
                <w:sz w:val="24"/>
              </w:rPr>
            </w:pPr>
            <w:r>
              <w:rPr>
                <w:rFonts w:hint="eastAsia" w:ascii="仿宋" w:hAnsi="仿宋" w:eastAsia="仿宋" w:cs="仿宋"/>
                <w:sz w:val="24"/>
              </w:rPr>
              <w:t>PH</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4516" w:type="dxa"/>
            <w:gridSpan w:val="2"/>
            <w:vAlign w:val="center"/>
          </w:tcPr>
          <w:p>
            <w:pPr>
              <w:snapToGrid w:val="0"/>
              <w:jc w:val="center"/>
              <w:rPr>
                <w:rFonts w:ascii="仿宋" w:hAnsi="仿宋" w:eastAsia="仿宋" w:cs="仿宋"/>
                <w:sz w:val="24"/>
              </w:rPr>
            </w:pPr>
            <w:r>
              <w:rPr>
                <w:rFonts w:hint="eastAsia" w:ascii="仿宋" w:hAnsi="仿宋" w:eastAsia="仿宋" w:cs="仿宋"/>
                <w:sz w:val="24"/>
              </w:rPr>
              <w:t>≤0.5pH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Align w:val="center"/>
          </w:tcPr>
          <w:p>
            <w:pPr>
              <w:snapToGrid w:val="0"/>
              <w:jc w:val="center"/>
              <w:rPr>
                <w:rFonts w:ascii="仿宋" w:hAnsi="仿宋" w:eastAsia="仿宋" w:cs="仿宋"/>
                <w:sz w:val="24"/>
              </w:rPr>
            </w:pPr>
            <w:r>
              <w:rPr>
                <w:rFonts w:hint="eastAsia" w:ascii="仿宋" w:hAnsi="仿宋" w:eastAsia="仿宋" w:cs="仿宋"/>
                <w:sz w:val="24"/>
              </w:rPr>
              <w:t>溶解氧</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4516" w:type="dxa"/>
            <w:gridSpan w:val="2"/>
            <w:vAlign w:val="center"/>
          </w:tcPr>
          <w:p>
            <w:pPr>
              <w:snapToGrid w:val="0"/>
              <w:jc w:val="center"/>
              <w:rPr>
                <w:rFonts w:ascii="仿宋" w:hAnsi="仿宋" w:eastAsia="仿宋" w:cs="仿宋"/>
                <w:sz w:val="24"/>
              </w:rPr>
            </w:pPr>
            <w:r>
              <w:rPr>
                <w:rFonts w:hint="eastAsia" w:ascii="仿宋" w:hAnsi="仿宋" w:eastAsia="仿宋" w:cs="仿宋"/>
                <w:sz w:val="24"/>
              </w:rPr>
              <w:t>±0.6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氨氮</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实验室值</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≤0.5 mg/L</w:t>
            </w:r>
          </w:p>
        </w:tc>
        <w:tc>
          <w:tcPr>
            <w:tcW w:w="2205" w:type="dxa"/>
            <w:vAlign w:val="center"/>
          </w:tcPr>
          <w:p>
            <w:pPr>
              <w:snapToGrid w:val="0"/>
              <w:jc w:val="center"/>
              <w:rPr>
                <w:rFonts w:ascii="仿宋" w:hAnsi="仿宋" w:eastAsia="仿宋" w:cs="仿宋"/>
                <w:sz w:val="24"/>
              </w:rPr>
            </w:pPr>
            <w:r>
              <w:rPr>
                <w:rFonts w:hint="eastAsia" w:ascii="仿宋" w:hAnsi="仿宋" w:eastAsia="仿宋" w:cs="仿宋"/>
                <w:sz w:val="24"/>
              </w:rPr>
              <w:t>&gt;0.5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continue"/>
            <w:vAlign w:val="center"/>
          </w:tcPr>
          <w:p>
            <w:pPr>
              <w:snapToGrid w:val="0"/>
              <w:jc w:val="center"/>
              <w:rPr>
                <w:rFonts w:ascii="仿宋" w:hAnsi="仿宋" w:eastAsia="仿宋" w:cs="仿宋"/>
                <w:sz w:val="24"/>
              </w:rPr>
            </w:pP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±0.1 mg/L</w:t>
            </w:r>
          </w:p>
        </w:tc>
        <w:tc>
          <w:tcPr>
            <w:tcW w:w="2205" w:type="dxa"/>
            <w:vAlign w:val="center"/>
          </w:tcPr>
          <w:p>
            <w:pPr>
              <w:snapToGrid w:val="0"/>
              <w:ind w:firstLine="120" w:firstLineChars="50"/>
              <w:jc w:val="center"/>
              <w:rPr>
                <w:rFonts w:ascii="仿宋" w:hAnsi="仿宋" w:eastAsia="仿宋" w:cs="仿宋"/>
                <w:sz w:val="24"/>
              </w:rPr>
            </w:pPr>
            <w:r>
              <w:rPr>
                <w:rFonts w:hint="eastAsia" w:ascii="仿宋" w:hAnsi="仿宋" w:eastAsia="仿宋" w:cs="仿宋"/>
                <w:sz w:val="24"/>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高锰酸盐指数</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实验室值</w:t>
            </w:r>
          </w:p>
        </w:tc>
        <w:tc>
          <w:tcPr>
            <w:tcW w:w="2311" w:type="dxa"/>
            <w:vAlign w:val="center"/>
          </w:tcPr>
          <w:p>
            <w:pPr>
              <w:snapToGrid w:val="0"/>
              <w:ind w:firstLine="240" w:firstLineChars="100"/>
              <w:jc w:val="center"/>
              <w:rPr>
                <w:rFonts w:ascii="仿宋" w:hAnsi="仿宋" w:eastAsia="仿宋" w:cs="仿宋"/>
                <w:sz w:val="24"/>
              </w:rPr>
            </w:pPr>
            <w:r>
              <w:rPr>
                <w:rFonts w:hint="eastAsia" w:ascii="仿宋" w:hAnsi="仿宋" w:eastAsia="仿宋" w:cs="仿宋"/>
                <w:sz w:val="24"/>
              </w:rPr>
              <w:t>≤4 mg/L</w:t>
            </w:r>
          </w:p>
        </w:tc>
        <w:tc>
          <w:tcPr>
            <w:tcW w:w="2205" w:type="dxa"/>
            <w:vAlign w:val="center"/>
          </w:tcPr>
          <w:p>
            <w:pPr>
              <w:snapToGrid w:val="0"/>
              <w:ind w:firstLine="240" w:firstLineChars="100"/>
              <w:jc w:val="center"/>
              <w:rPr>
                <w:rFonts w:ascii="仿宋" w:hAnsi="仿宋" w:eastAsia="仿宋" w:cs="仿宋"/>
                <w:sz w:val="24"/>
              </w:rPr>
            </w:pPr>
            <w:r>
              <w:rPr>
                <w:rFonts w:hint="eastAsia" w:ascii="仿宋" w:hAnsi="仿宋" w:eastAsia="仿宋" w:cs="仿宋"/>
                <w:sz w:val="24"/>
              </w:rPr>
              <w:t>&gt;4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continue"/>
            <w:vAlign w:val="center"/>
          </w:tcPr>
          <w:p>
            <w:pPr>
              <w:snapToGrid w:val="0"/>
              <w:jc w:val="center"/>
              <w:rPr>
                <w:rFonts w:ascii="仿宋" w:hAnsi="仿宋" w:eastAsia="仿宋" w:cs="仿宋"/>
                <w:sz w:val="24"/>
              </w:rPr>
            </w:pP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±0.8 mg/L</w:t>
            </w:r>
          </w:p>
        </w:tc>
        <w:tc>
          <w:tcPr>
            <w:tcW w:w="2205" w:type="dxa"/>
            <w:vAlign w:val="center"/>
          </w:tcPr>
          <w:p>
            <w:pPr>
              <w:snapToGrid w:val="0"/>
              <w:ind w:firstLine="120" w:firstLineChars="50"/>
              <w:jc w:val="center"/>
              <w:rPr>
                <w:rFonts w:ascii="仿宋" w:hAnsi="仿宋" w:eastAsia="仿宋" w:cs="仿宋"/>
                <w:sz w:val="24"/>
              </w:rPr>
            </w:pPr>
            <w:r>
              <w:rPr>
                <w:rFonts w:hint="eastAsia" w:ascii="仿宋" w:hAnsi="仿宋" w:eastAsia="仿宋" w:cs="仿宋"/>
                <w:sz w:val="24"/>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总氮</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实验室值</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≤0.5mg/L</w:t>
            </w:r>
          </w:p>
        </w:tc>
        <w:tc>
          <w:tcPr>
            <w:tcW w:w="2205" w:type="dxa"/>
            <w:vAlign w:val="center"/>
          </w:tcPr>
          <w:p>
            <w:pPr>
              <w:snapToGrid w:val="0"/>
              <w:jc w:val="center"/>
              <w:rPr>
                <w:rFonts w:ascii="仿宋" w:hAnsi="仿宋" w:eastAsia="仿宋" w:cs="仿宋"/>
                <w:sz w:val="24"/>
              </w:rPr>
            </w:pPr>
            <w:r>
              <w:rPr>
                <w:rFonts w:hint="eastAsia" w:ascii="仿宋" w:hAnsi="仿宋" w:eastAsia="仿宋" w:cs="仿宋"/>
                <w:sz w:val="24"/>
              </w:rPr>
              <w:t>&gt;0.5mg/L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continue"/>
            <w:vAlign w:val="center"/>
          </w:tcPr>
          <w:p>
            <w:pPr>
              <w:snapToGrid w:val="0"/>
              <w:jc w:val="center"/>
              <w:rPr>
                <w:rFonts w:ascii="仿宋" w:hAnsi="仿宋" w:eastAsia="仿宋" w:cs="仿宋"/>
                <w:sz w:val="24"/>
              </w:rPr>
            </w:pP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±0.1 mg/L</w:t>
            </w:r>
          </w:p>
        </w:tc>
        <w:tc>
          <w:tcPr>
            <w:tcW w:w="2205" w:type="dxa"/>
            <w:vAlign w:val="center"/>
          </w:tcPr>
          <w:p>
            <w:pPr>
              <w:snapToGrid w:val="0"/>
              <w:ind w:firstLine="120" w:firstLineChars="50"/>
              <w:jc w:val="center"/>
              <w:rPr>
                <w:rFonts w:ascii="仿宋" w:hAnsi="仿宋" w:eastAsia="仿宋" w:cs="仿宋"/>
                <w:sz w:val="24"/>
              </w:rPr>
            </w:pPr>
            <w:r>
              <w:rPr>
                <w:rFonts w:hint="eastAsia" w:ascii="仿宋" w:hAnsi="仿宋" w:eastAsia="仿宋" w:cs="仿宋"/>
                <w:sz w:val="24"/>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总磷</w:t>
            </w: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实验室值</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≤0.1 mg/L</w:t>
            </w:r>
          </w:p>
        </w:tc>
        <w:tc>
          <w:tcPr>
            <w:tcW w:w="2205" w:type="dxa"/>
            <w:vAlign w:val="center"/>
          </w:tcPr>
          <w:p>
            <w:pPr>
              <w:snapToGrid w:val="0"/>
              <w:jc w:val="center"/>
              <w:rPr>
                <w:rFonts w:ascii="仿宋" w:hAnsi="仿宋" w:eastAsia="仿宋" w:cs="仿宋"/>
                <w:sz w:val="24"/>
              </w:rPr>
            </w:pPr>
            <w:r>
              <w:rPr>
                <w:rFonts w:hint="eastAsia" w:ascii="仿宋" w:hAnsi="仿宋" w:eastAsia="仿宋" w:cs="仿宋"/>
                <w:sz w:val="24"/>
              </w:rPr>
              <w:t>&gt;0.1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89" w:type="dxa"/>
            <w:vMerge w:val="continue"/>
            <w:vAlign w:val="center"/>
          </w:tcPr>
          <w:p>
            <w:pPr>
              <w:snapToGrid w:val="0"/>
              <w:jc w:val="center"/>
              <w:rPr>
                <w:rFonts w:ascii="仿宋" w:hAnsi="仿宋" w:eastAsia="仿宋" w:cs="仿宋"/>
                <w:sz w:val="24"/>
              </w:rPr>
            </w:pPr>
          </w:p>
        </w:tc>
        <w:tc>
          <w:tcPr>
            <w:tcW w:w="1890" w:type="dxa"/>
            <w:vAlign w:val="center"/>
          </w:tcPr>
          <w:p>
            <w:pPr>
              <w:snapToGrid w:val="0"/>
              <w:jc w:val="center"/>
              <w:rPr>
                <w:rFonts w:ascii="仿宋" w:hAnsi="仿宋" w:eastAsia="仿宋" w:cs="仿宋"/>
                <w:sz w:val="24"/>
              </w:rPr>
            </w:pPr>
            <w:r>
              <w:rPr>
                <w:rFonts w:hint="eastAsia" w:ascii="仿宋" w:hAnsi="仿宋" w:eastAsia="仿宋" w:cs="仿宋"/>
                <w:sz w:val="24"/>
              </w:rPr>
              <w:t>允许误差</w:t>
            </w:r>
          </w:p>
        </w:tc>
        <w:tc>
          <w:tcPr>
            <w:tcW w:w="2311" w:type="dxa"/>
            <w:vAlign w:val="center"/>
          </w:tcPr>
          <w:p>
            <w:pPr>
              <w:snapToGrid w:val="0"/>
              <w:jc w:val="center"/>
              <w:rPr>
                <w:rFonts w:ascii="仿宋" w:hAnsi="仿宋" w:eastAsia="仿宋" w:cs="仿宋"/>
                <w:sz w:val="24"/>
              </w:rPr>
            </w:pPr>
            <w:r>
              <w:rPr>
                <w:rFonts w:hint="eastAsia" w:ascii="仿宋" w:hAnsi="仿宋" w:eastAsia="仿宋" w:cs="仿宋"/>
                <w:sz w:val="24"/>
              </w:rPr>
              <w:t>±0.02 mg/L</w:t>
            </w:r>
          </w:p>
        </w:tc>
        <w:tc>
          <w:tcPr>
            <w:tcW w:w="2205" w:type="dxa"/>
            <w:vAlign w:val="center"/>
          </w:tcPr>
          <w:p>
            <w:pPr>
              <w:snapToGrid w:val="0"/>
              <w:ind w:firstLine="120" w:firstLineChars="50"/>
              <w:jc w:val="center"/>
              <w:rPr>
                <w:rFonts w:ascii="仿宋" w:hAnsi="仿宋" w:eastAsia="仿宋" w:cs="仿宋"/>
                <w:sz w:val="24"/>
              </w:rPr>
            </w:pPr>
            <w:r>
              <w:rPr>
                <w:rFonts w:hint="eastAsia" w:ascii="仿宋" w:hAnsi="仿宋" w:eastAsia="仿宋" w:cs="仿宋"/>
                <w:sz w:val="24"/>
              </w:rPr>
              <w:t>±20 ％</w:t>
            </w:r>
          </w:p>
        </w:tc>
      </w:tr>
    </w:tbl>
    <w:p>
      <w:pPr>
        <w:snapToGrid w:val="0"/>
        <w:spacing w:line="360" w:lineRule="auto"/>
        <w:rPr>
          <w:rFonts w:ascii="仿宋" w:hAnsi="仿宋" w:eastAsia="仿宋" w:cs="仿宋"/>
          <w:bCs/>
          <w:kern w:val="0"/>
          <w:sz w:val="24"/>
        </w:rPr>
      </w:pPr>
    </w:p>
    <w:p>
      <w:pPr>
        <w:snapToGrid w:val="0"/>
        <w:spacing w:line="360" w:lineRule="auto"/>
        <w:jc w:val="center"/>
        <w:rPr>
          <w:rFonts w:ascii="仿宋" w:hAnsi="仿宋" w:eastAsia="仿宋" w:cs="仿宋"/>
          <w:b/>
          <w:kern w:val="0"/>
          <w:sz w:val="24"/>
        </w:rPr>
      </w:pPr>
      <w:r>
        <w:rPr>
          <w:rFonts w:hint="eastAsia" w:ascii="仿宋" w:hAnsi="仿宋" w:eastAsia="仿宋" w:cs="仿宋"/>
          <w:b/>
          <w:kern w:val="0"/>
          <w:sz w:val="24"/>
        </w:rPr>
        <w:t>自动站例行质控结果要求</w:t>
      </w:r>
    </w:p>
    <w:tbl>
      <w:tblPr>
        <w:tblStyle w:val="66"/>
        <w:tblW w:w="8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378"/>
        <w:gridCol w:w="1294"/>
        <w:gridCol w:w="1676"/>
        <w:gridCol w:w="1236"/>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项目</w:t>
            </w:r>
          </w:p>
        </w:tc>
        <w:tc>
          <w:tcPr>
            <w:tcW w:w="2672" w:type="dxa"/>
            <w:gridSpan w:val="2"/>
            <w:tcBorders>
              <w:bottom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标准样考核(误差/相对误差)</w:t>
            </w:r>
          </w:p>
        </w:tc>
        <w:tc>
          <w:tcPr>
            <w:tcW w:w="1676"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现场水样平行测试(相对偏差/偏差)</w:t>
            </w:r>
          </w:p>
        </w:tc>
        <w:tc>
          <w:tcPr>
            <w:tcW w:w="1236"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现场水样加标(回收率)</w:t>
            </w:r>
          </w:p>
        </w:tc>
        <w:tc>
          <w:tcPr>
            <w:tcW w:w="1831"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现场水样比对测试(相对偏差/偏差)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Merge w:val="continue"/>
            <w:vAlign w:val="center"/>
          </w:tcPr>
          <w:p>
            <w:pPr>
              <w:snapToGrid w:val="0"/>
              <w:jc w:val="center"/>
              <w:rPr>
                <w:rFonts w:ascii="仿宋" w:hAnsi="仿宋" w:eastAsia="仿宋" w:cs="仿宋"/>
                <w:sz w:val="24"/>
              </w:rPr>
            </w:pPr>
          </w:p>
        </w:tc>
        <w:tc>
          <w:tcPr>
            <w:tcW w:w="1378" w:type="dxa"/>
            <w:tcBorders>
              <w:top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控制限</w:t>
            </w:r>
          </w:p>
        </w:tc>
        <w:tc>
          <w:tcPr>
            <w:tcW w:w="1294" w:type="dxa"/>
            <w:tcBorders>
              <w:top w:val="single" w:color="auto" w:sz="4" w:space="0"/>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扩展限</w:t>
            </w:r>
          </w:p>
        </w:tc>
        <w:tc>
          <w:tcPr>
            <w:tcW w:w="1676" w:type="dxa"/>
            <w:vMerge w:val="continue"/>
            <w:vAlign w:val="center"/>
          </w:tcPr>
          <w:p>
            <w:pPr>
              <w:snapToGrid w:val="0"/>
              <w:jc w:val="center"/>
              <w:rPr>
                <w:rFonts w:ascii="仿宋" w:hAnsi="仿宋" w:eastAsia="仿宋" w:cs="仿宋"/>
                <w:sz w:val="24"/>
              </w:rPr>
            </w:pPr>
          </w:p>
        </w:tc>
        <w:tc>
          <w:tcPr>
            <w:tcW w:w="1236" w:type="dxa"/>
            <w:vMerge w:val="continue"/>
            <w:vAlign w:val="center"/>
          </w:tcPr>
          <w:p>
            <w:pPr>
              <w:snapToGrid w:val="0"/>
              <w:jc w:val="center"/>
              <w:rPr>
                <w:rFonts w:ascii="仿宋" w:hAnsi="仿宋" w:eastAsia="仿宋" w:cs="仿宋"/>
                <w:sz w:val="24"/>
              </w:rPr>
            </w:pPr>
          </w:p>
        </w:tc>
        <w:tc>
          <w:tcPr>
            <w:tcW w:w="1831" w:type="dxa"/>
            <w:vMerge w:val="continue"/>
            <w:vAlign w:val="center"/>
          </w:tcPr>
          <w:p>
            <w:pPr>
              <w:snapToGrid w:val="0"/>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水温</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pH</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±0.1</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±0.2</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溶解氧</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±0.5mg/L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电导率</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浊度</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±20%</w:t>
            </w:r>
          </w:p>
          <w:p>
            <w:pPr>
              <w:snapToGrid w:val="0"/>
              <w:jc w:val="center"/>
              <w:rPr>
                <w:rFonts w:ascii="仿宋" w:hAnsi="仿宋" w:eastAsia="仿宋" w:cs="仿宋"/>
                <w:sz w:val="24"/>
              </w:rPr>
            </w:pPr>
            <w:r>
              <w:rPr>
                <w:rFonts w:hint="eastAsia" w:ascii="仿宋" w:hAnsi="仿宋" w:eastAsia="仿宋" w:cs="仿宋"/>
                <w:sz w:val="24"/>
              </w:rPr>
              <w:t>或±3NTU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氨氮</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≤10%</w:t>
            </w:r>
          </w:p>
          <w:p>
            <w:pPr>
              <w:snapToGrid w:val="0"/>
              <w:jc w:val="center"/>
              <w:rPr>
                <w:rFonts w:ascii="仿宋" w:hAnsi="仿宋" w:eastAsia="仿宋" w:cs="仿宋"/>
                <w:sz w:val="24"/>
              </w:rPr>
            </w:pPr>
            <w:r>
              <w:rPr>
                <w:rFonts w:hint="eastAsia" w:ascii="仿宋" w:hAnsi="仿宋" w:eastAsia="仿宋" w:cs="仿宋"/>
                <w:sz w:val="24"/>
              </w:rPr>
              <w:t>或±0.1mg/L</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85%-110%</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±20％</w:t>
            </w:r>
          </w:p>
          <w:p>
            <w:pPr>
              <w:snapToGrid w:val="0"/>
              <w:jc w:val="center"/>
              <w:rPr>
                <w:rFonts w:ascii="仿宋" w:hAnsi="仿宋" w:eastAsia="仿宋" w:cs="仿宋"/>
                <w:sz w:val="24"/>
              </w:rPr>
            </w:pPr>
            <w:r>
              <w:rPr>
                <w:rFonts w:hint="eastAsia" w:ascii="仿宋" w:hAnsi="仿宋" w:eastAsia="仿宋" w:cs="仿宋"/>
                <w:sz w:val="24"/>
              </w:rPr>
              <w:t>或±0.1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总氮</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≤10%</w:t>
            </w:r>
          </w:p>
          <w:p>
            <w:pPr>
              <w:snapToGrid w:val="0"/>
              <w:jc w:val="center"/>
              <w:rPr>
                <w:rFonts w:ascii="仿宋" w:hAnsi="仿宋" w:eastAsia="仿宋" w:cs="仿宋"/>
                <w:sz w:val="24"/>
              </w:rPr>
            </w:pPr>
            <w:r>
              <w:rPr>
                <w:rFonts w:hint="eastAsia" w:ascii="仿宋" w:hAnsi="仿宋" w:eastAsia="仿宋" w:cs="仿宋"/>
                <w:sz w:val="24"/>
              </w:rPr>
              <w:t>或±0.2mg/L</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85%-110%</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±20％</w:t>
            </w:r>
          </w:p>
          <w:p>
            <w:pPr>
              <w:snapToGrid w:val="0"/>
              <w:jc w:val="center"/>
              <w:rPr>
                <w:rFonts w:ascii="仿宋" w:hAnsi="仿宋" w:eastAsia="仿宋" w:cs="仿宋"/>
                <w:sz w:val="24"/>
              </w:rPr>
            </w:pPr>
            <w:r>
              <w:rPr>
                <w:rFonts w:hint="eastAsia" w:ascii="仿宋" w:hAnsi="仿宋" w:eastAsia="仿宋" w:cs="仿宋"/>
                <w:sz w:val="24"/>
              </w:rPr>
              <w:t>或±0.1mg/L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总磷</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≤10%</w:t>
            </w:r>
          </w:p>
          <w:p>
            <w:pPr>
              <w:snapToGrid w:val="0"/>
              <w:jc w:val="center"/>
              <w:rPr>
                <w:rFonts w:ascii="仿宋" w:hAnsi="仿宋" w:eastAsia="仿宋" w:cs="仿宋"/>
                <w:sz w:val="24"/>
              </w:rPr>
            </w:pPr>
            <w:r>
              <w:rPr>
                <w:rFonts w:hint="eastAsia" w:ascii="仿宋" w:hAnsi="仿宋" w:eastAsia="仿宋" w:cs="仿宋"/>
                <w:sz w:val="24"/>
              </w:rPr>
              <w:t>或±0.02 mg/L</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85%-110%</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±20％</w:t>
            </w:r>
          </w:p>
          <w:p>
            <w:pPr>
              <w:snapToGrid w:val="0"/>
              <w:jc w:val="center"/>
              <w:rPr>
                <w:rFonts w:ascii="仿宋" w:hAnsi="仿宋" w:eastAsia="仿宋" w:cs="仿宋"/>
                <w:sz w:val="24"/>
              </w:rPr>
            </w:pPr>
            <w:r>
              <w:rPr>
                <w:rFonts w:hint="eastAsia" w:ascii="仿宋" w:hAnsi="仿宋" w:eastAsia="仿宋" w:cs="仿宋"/>
                <w:sz w:val="24"/>
              </w:rPr>
              <w:t>或±0.02 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snapToGrid w:val="0"/>
              <w:jc w:val="center"/>
              <w:rPr>
                <w:rFonts w:ascii="仿宋" w:hAnsi="仿宋" w:eastAsia="仿宋" w:cs="仿宋"/>
                <w:sz w:val="24"/>
              </w:rPr>
            </w:pPr>
            <w:r>
              <w:rPr>
                <w:rFonts w:hint="eastAsia" w:ascii="仿宋" w:hAnsi="仿宋" w:eastAsia="仿宋" w:cs="仿宋"/>
                <w:sz w:val="24"/>
              </w:rPr>
              <w:t>高锰酸盐指数</w:t>
            </w:r>
          </w:p>
        </w:tc>
        <w:tc>
          <w:tcPr>
            <w:tcW w:w="1378" w:type="dxa"/>
            <w:tcBorders>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294" w:type="dxa"/>
            <w:tcBorders>
              <w:lef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±20%</w:t>
            </w:r>
          </w:p>
        </w:tc>
        <w:tc>
          <w:tcPr>
            <w:tcW w:w="1676" w:type="dxa"/>
            <w:vAlign w:val="center"/>
          </w:tcPr>
          <w:p>
            <w:pPr>
              <w:snapToGrid w:val="0"/>
              <w:jc w:val="center"/>
              <w:rPr>
                <w:rFonts w:ascii="仿宋" w:hAnsi="仿宋" w:eastAsia="仿宋" w:cs="仿宋"/>
                <w:sz w:val="24"/>
              </w:rPr>
            </w:pPr>
            <w:r>
              <w:rPr>
                <w:rFonts w:hint="eastAsia" w:ascii="仿宋" w:hAnsi="仿宋" w:eastAsia="仿宋" w:cs="仿宋"/>
                <w:sz w:val="24"/>
              </w:rPr>
              <w:t>≤10%</w:t>
            </w:r>
          </w:p>
          <w:p>
            <w:pPr>
              <w:snapToGrid w:val="0"/>
              <w:jc w:val="center"/>
              <w:rPr>
                <w:rFonts w:ascii="仿宋" w:hAnsi="仿宋" w:eastAsia="仿宋" w:cs="仿宋"/>
                <w:sz w:val="24"/>
              </w:rPr>
            </w:pPr>
            <w:r>
              <w:rPr>
                <w:rFonts w:hint="eastAsia" w:ascii="仿宋" w:hAnsi="仿宋" w:eastAsia="仿宋" w:cs="仿宋"/>
                <w:sz w:val="24"/>
              </w:rPr>
              <w:t>或±0.8 mg/L</w:t>
            </w:r>
          </w:p>
        </w:tc>
        <w:tc>
          <w:tcPr>
            <w:tcW w:w="1236" w:type="dxa"/>
            <w:vAlign w:val="center"/>
          </w:tcPr>
          <w:p>
            <w:pPr>
              <w:snapToGrid w:val="0"/>
              <w:jc w:val="center"/>
              <w:rPr>
                <w:rFonts w:ascii="仿宋" w:hAnsi="仿宋" w:eastAsia="仿宋" w:cs="仿宋"/>
                <w:sz w:val="24"/>
              </w:rPr>
            </w:pPr>
            <w:r>
              <w:rPr>
                <w:rFonts w:hint="eastAsia" w:ascii="仿宋" w:hAnsi="仿宋" w:eastAsia="仿宋" w:cs="仿宋"/>
                <w:sz w:val="24"/>
              </w:rPr>
              <w:t>85%-110%</w:t>
            </w:r>
          </w:p>
        </w:tc>
        <w:tc>
          <w:tcPr>
            <w:tcW w:w="1831" w:type="dxa"/>
            <w:vAlign w:val="center"/>
          </w:tcPr>
          <w:p>
            <w:pPr>
              <w:snapToGrid w:val="0"/>
              <w:jc w:val="center"/>
              <w:rPr>
                <w:rFonts w:ascii="仿宋" w:hAnsi="仿宋" w:eastAsia="仿宋" w:cs="仿宋"/>
                <w:sz w:val="24"/>
              </w:rPr>
            </w:pPr>
            <w:r>
              <w:rPr>
                <w:rFonts w:hint="eastAsia" w:ascii="仿宋" w:hAnsi="仿宋" w:eastAsia="仿宋" w:cs="仿宋"/>
                <w:sz w:val="24"/>
              </w:rPr>
              <w:t>±20％</w:t>
            </w:r>
          </w:p>
          <w:p>
            <w:pPr>
              <w:snapToGrid w:val="0"/>
              <w:jc w:val="center"/>
              <w:rPr>
                <w:rFonts w:ascii="仿宋" w:hAnsi="仿宋" w:eastAsia="仿宋" w:cs="仿宋"/>
                <w:sz w:val="24"/>
              </w:rPr>
            </w:pPr>
            <w:r>
              <w:rPr>
                <w:rFonts w:hint="eastAsia" w:ascii="仿宋" w:hAnsi="仿宋" w:eastAsia="仿宋" w:cs="仿宋"/>
                <w:sz w:val="24"/>
              </w:rPr>
              <w:t>或±0.8 mg/L</w:t>
            </w:r>
          </w:p>
        </w:tc>
      </w:tr>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6、制度保障要求</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（1）本项目涉及的数据为政府机密数据，未经业主单位许可，不得向其他单位和个人泄露地表水监测数据、监理相关资料等与本项目相关的数据及资料。</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（2）工作期间遵守业主单位各项要求及规章制度，工作态度公平公正、文明礼貌、耐心细致。</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督促运维单位保</w:t>
      </w:r>
      <w:r>
        <w:rPr>
          <w:rFonts w:hint="eastAsia" w:ascii="仿宋" w:hAnsi="仿宋" w:eastAsia="仿宋" w:cs="仿宋"/>
          <w:sz w:val="24"/>
        </w:rPr>
        <w:t>持监控站点等工作场所的卫生。</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（4）实验室分析过程将严格遵循实验室计量认证和质量管理体系的相关要求，确保检测结果具有良好的代表性、准确性、客观性、公正性和可比性，不得出具虚假或者不实数据和结果的检测报告。</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4）不得接受运营单位的礼物和宴请，对监理发现的运营违规行为不得瞒报、缓报、谎报，不得串通或协助运营单位规避业主单位的监理要求。不得借工作便利向运营单位推销与本项目相关的设备、配件及耗材。一经发现监理人员有违规违纪情况，将扣除年度监理项目合同总值的5%作为惩罚措施（发现一次扣一次）。</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（5）监测实施和环境要求，投标人应拥有管理权和使用权的固定的监测活动场所，满足监测仪器设备放置、盲样配制、样品分析、开展质控检查和监测活动所需的条件要求。</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6）仪器设备要求，投标人应配备数量充足、技术指标符合相关监测方法要求的各类监测仪器设备和标准物质。与采样和监测结果的准确性和有效性相关的仪器设备在投入使用前，必须进行量值溯源，并保持其在有效期内进行监测。</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7）外部质量监督要求，投标人要接受招标人对质控检查工作的监督检查。招标人不定期对质控检查机构的质量管理体系、质控检查活动完成情况等进行飞行检查，并对现场质控检查视频记录进行抽查，不合格项要求限时整改；合格率低于60%的，终止合同。上述检查中，按水质自动站检查情况累积，如果以下行为出现2次以上5次以下（含5次），在外网进行通报；出现5次以上，终止合同：</w:t>
      </w:r>
      <w:r>
        <w:rPr>
          <w:rFonts w:ascii="Calibri" w:hAnsi="Calibri" w:eastAsia="仿宋" w:cs="Calibri"/>
          <w:sz w:val="24"/>
        </w:rPr>
        <w:t>①</w:t>
      </w:r>
      <w:r>
        <w:rPr>
          <w:rFonts w:hint="eastAsia" w:ascii="仿宋" w:hAnsi="仿宋" w:eastAsia="仿宋" w:cs="仿宋"/>
          <w:sz w:val="24"/>
        </w:rPr>
        <w:t>除遭遇极端天气等客观原因外，没有到达点位现场进行质控检查；</w:t>
      </w:r>
      <w:r>
        <w:rPr>
          <w:rFonts w:ascii="Calibri" w:hAnsi="Calibri" w:eastAsia="仿宋" w:cs="Calibri"/>
          <w:sz w:val="24"/>
        </w:rPr>
        <w:t>②</w:t>
      </w:r>
      <w:r>
        <w:rPr>
          <w:rFonts w:hint="eastAsia" w:ascii="仿宋" w:hAnsi="仿宋" w:eastAsia="仿宋" w:cs="仿宋"/>
          <w:sz w:val="24"/>
        </w:rPr>
        <w:t>质控检查过程出现不符合技术要求的行为被质疑成功的；</w:t>
      </w:r>
      <w:r>
        <w:rPr>
          <w:rFonts w:ascii="Calibri" w:hAnsi="Calibri" w:eastAsia="仿宋" w:cs="Calibri"/>
          <w:sz w:val="24"/>
        </w:rPr>
        <w:t>③</w:t>
      </w:r>
      <w:r>
        <w:rPr>
          <w:rFonts w:hint="eastAsia" w:ascii="仿宋" w:hAnsi="仿宋" w:eastAsia="仿宋" w:cs="仿宋"/>
          <w:sz w:val="24"/>
        </w:rPr>
        <w:t>非本项目人员开展质控检查任务。</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8）严禁出现数据弄虚造假行为，投标人不得以任何形式收受利益单位贿赂或在质控检查任务全过程中弄虚作假，一经发现并查实，严格执行环保部关于印发《环境监测数据弄虚作假行为判定及处理办法》，立即终止合同，由此产生的一切责任全部由投标人承担，并将被列入黑名单。</w:t>
      </w:r>
    </w:p>
    <w:p>
      <w:pPr>
        <w:snapToGrid w:val="0"/>
        <w:spacing w:line="360" w:lineRule="auto"/>
        <w:ind w:left="420" w:leftChars="200"/>
        <w:rPr>
          <w:rFonts w:ascii="仿宋" w:hAnsi="仿宋" w:eastAsia="仿宋" w:cs="仿宋"/>
          <w:sz w:val="24"/>
        </w:rPr>
      </w:pPr>
      <w:r>
        <w:rPr>
          <w:rFonts w:hint="eastAsia" w:ascii="仿宋" w:hAnsi="仿宋" w:eastAsia="仿宋" w:cs="仿宋"/>
          <w:sz w:val="24"/>
        </w:rPr>
        <w:t>（9）投标人的报价和工作范围将被认为满足本项目招标文件中所要求的一切货物和服务所需的全部费用和内容，若有漏项均由投标人承担。（2）对于招标人提出的采购需求范围内的要求，中标人有义务积极配合，且不得要求增加费用；如招标人提出采购需求外的要求或采购内容，中标人应予以配合，双方按照《中华人民共和国合同法》、《中华人民共和国政府采购法》及相关法规的要求签署补充协议。</w:t>
      </w:r>
    </w:p>
    <w:p>
      <w:pPr>
        <w:snapToGrid w:val="0"/>
        <w:spacing w:line="360" w:lineRule="auto"/>
        <w:rPr>
          <w:rFonts w:ascii="仿宋" w:hAnsi="仿宋" w:eastAsia="仿宋" w:cs="仿宋"/>
          <w:b/>
          <w:sz w:val="24"/>
        </w:rPr>
      </w:pPr>
      <w:r>
        <w:rPr>
          <w:rFonts w:hint="eastAsia" w:ascii="仿宋" w:hAnsi="仿宋" w:eastAsia="仿宋" w:cs="仿宋"/>
          <w:b/>
          <w:sz w:val="24"/>
        </w:rPr>
        <w:t>五、数据归属及保密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所形成的所有质控检查形成的数据及报告归招标人所有。未经招标人授权，中标人无权使用任何质控检查结果或将质控检查结果发送给任何第三方。报告发送和保管人员应遵守《保密程序》的相关规定，为招标人保密。</w:t>
      </w:r>
    </w:p>
    <w:p>
      <w:pPr>
        <w:snapToGrid w:val="0"/>
        <w:spacing w:line="360" w:lineRule="auto"/>
        <w:rPr>
          <w:rFonts w:ascii="仿宋" w:hAnsi="仿宋" w:eastAsia="仿宋" w:cs="仿宋"/>
          <w:sz w:val="24"/>
        </w:rPr>
      </w:pPr>
      <w:r>
        <w:rPr>
          <w:rFonts w:hint="eastAsia" w:ascii="仿宋" w:hAnsi="仿宋" w:eastAsia="仿宋" w:cs="仿宋"/>
          <w:b/>
          <w:sz w:val="24"/>
        </w:rPr>
        <w:t>六、业主单位监督考核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1、监理人员须服从业主单位的日常管理，对不能胜任本项目监理工作任务或未达到业主单位要求的，业主单位有权提出调换监理工作人员。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2、每月10日上午10:00前提交上个月的最终监理结果及相关支撑材料，如遇国家法定节假日则可按期顺延。未经业主单位同意延迟上交的，每延迟一天，则扣除该月监理项目合同总值的2%作为惩罚措施。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3、业主单位有权对中标单位的监理结果进行监督，发现监理过程及结果明显有失公平公正之处，每发现一次则扣当月监理项目合同总值的5%作为惩罚措施，一年之内发现三次以上，业主单位有权解除合同。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4、发现中标单位对监理结果造假的，业主单位有权解除合同。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5、考核结果与付费</w:t>
      </w:r>
    </w:p>
    <w:p>
      <w:pPr>
        <w:spacing w:line="360" w:lineRule="auto"/>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水质自动站监理考核表</w:t>
      </w:r>
    </w:p>
    <w:tbl>
      <w:tblPr>
        <w:tblStyle w:val="66"/>
        <w:tblW w:w="9331" w:type="dxa"/>
        <w:jc w:val="center"/>
        <w:tblLayout w:type="fixed"/>
        <w:tblCellMar>
          <w:top w:w="0" w:type="dxa"/>
          <w:left w:w="0" w:type="dxa"/>
          <w:bottom w:w="0" w:type="dxa"/>
          <w:right w:w="0" w:type="dxa"/>
        </w:tblCellMar>
      </w:tblPr>
      <w:tblGrid>
        <w:gridCol w:w="779"/>
        <w:gridCol w:w="2004"/>
        <w:gridCol w:w="5952"/>
        <w:gridCol w:w="596"/>
      </w:tblGrid>
      <w:tr>
        <w:tblPrEx>
          <w:tblCellMar>
            <w:top w:w="0" w:type="dxa"/>
            <w:left w:w="0" w:type="dxa"/>
            <w:bottom w:w="0" w:type="dxa"/>
            <w:right w:w="0" w:type="dxa"/>
          </w:tblCellMar>
        </w:tblPrEx>
        <w:trPr>
          <w:trHeight w:val="479" w:hRule="atLeast"/>
          <w:jc w:val="center"/>
        </w:trPr>
        <w:tc>
          <w:tcPr>
            <w:tcW w:w="2783" w:type="dxa"/>
            <w:gridSpan w:val="2"/>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ascii="仿宋" w:hAnsi="仿宋" w:eastAsia="仿宋" w:cs="仿宋"/>
                <w:sz w:val="24"/>
              </w:rPr>
            </w:pPr>
            <w:r>
              <w:rPr>
                <w:rFonts w:hint="eastAsia" w:ascii="仿宋" w:hAnsi="仿宋" w:eastAsia="仿宋" w:cs="仿宋"/>
                <w:sz w:val="24"/>
              </w:rPr>
              <w:t>考核内容</w:t>
            </w:r>
          </w:p>
        </w:tc>
        <w:tc>
          <w:tcPr>
            <w:tcW w:w="5952" w:type="dxa"/>
            <w:tcBorders>
              <w:top w:val="single" w:color="000000" w:sz="4" w:space="0"/>
              <w:left w:val="nil"/>
              <w:bottom w:val="single" w:color="000000" w:sz="4" w:space="0"/>
              <w:right w:val="single" w:color="000000" w:sz="4" w:space="0"/>
            </w:tcBorders>
            <w:shd w:val="clear" w:color="auto" w:fill="BEBEBE"/>
            <w:vAlign w:val="center"/>
          </w:tcPr>
          <w:p>
            <w:pPr>
              <w:jc w:val="center"/>
              <w:rPr>
                <w:rFonts w:ascii="仿宋" w:hAnsi="仿宋" w:eastAsia="仿宋" w:cs="仿宋"/>
                <w:sz w:val="24"/>
              </w:rPr>
            </w:pPr>
            <w:r>
              <w:rPr>
                <w:rFonts w:hint="eastAsia" w:ascii="仿宋" w:hAnsi="仿宋" w:eastAsia="仿宋" w:cs="仿宋"/>
                <w:sz w:val="24"/>
              </w:rPr>
              <w:t>考核标准及要求</w:t>
            </w:r>
          </w:p>
        </w:tc>
        <w:tc>
          <w:tcPr>
            <w:tcW w:w="596" w:type="dxa"/>
            <w:tcBorders>
              <w:top w:val="single" w:color="000000" w:sz="4" w:space="0"/>
              <w:left w:val="nil"/>
              <w:bottom w:val="single" w:color="000000" w:sz="4" w:space="0"/>
              <w:right w:val="single" w:color="000000" w:sz="4" w:space="0"/>
            </w:tcBorders>
            <w:shd w:val="clear" w:color="auto" w:fill="BEBEBE"/>
            <w:vAlign w:val="center"/>
          </w:tcPr>
          <w:p>
            <w:pPr>
              <w:jc w:val="center"/>
              <w:rPr>
                <w:rFonts w:ascii="仿宋" w:hAnsi="仿宋" w:eastAsia="仿宋" w:cs="仿宋"/>
                <w:sz w:val="24"/>
              </w:rPr>
            </w:pPr>
            <w:r>
              <w:rPr>
                <w:rFonts w:hint="eastAsia" w:ascii="仿宋" w:hAnsi="仿宋" w:eastAsia="仿宋" w:cs="仿宋"/>
                <w:sz w:val="24"/>
              </w:rPr>
              <w:t>考核结果</w:t>
            </w:r>
          </w:p>
        </w:tc>
      </w:tr>
      <w:tr>
        <w:tblPrEx>
          <w:tblCellMar>
            <w:top w:w="0" w:type="dxa"/>
            <w:left w:w="0" w:type="dxa"/>
            <w:bottom w:w="0" w:type="dxa"/>
            <w:right w:w="0" w:type="dxa"/>
          </w:tblCellMar>
        </w:tblPrEx>
        <w:trPr>
          <w:trHeight w:val="340" w:hRule="atLeast"/>
          <w:jc w:val="center"/>
        </w:trPr>
        <w:tc>
          <w:tcPr>
            <w:tcW w:w="2783" w:type="dxa"/>
            <w:gridSpan w:val="2"/>
            <w:tcBorders>
              <w:top w:val="nil"/>
              <w:left w:val="single" w:color="000000" w:sz="4" w:space="0"/>
              <w:bottom w:val="nil"/>
              <w:right w:val="single" w:color="000000"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一、人员要求（15分）</w:t>
            </w:r>
          </w:p>
          <w:p>
            <w:pPr>
              <w:rPr>
                <w:rFonts w:ascii="仿宋" w:hAnsi="仿宋" w:eastAsia="仿宋" w:cs="仿宋"/>
                <w:sz w:val="24"/>
              </w:rPr>
            </w:pPr>
          </w:p>
        </w:tc>
        <w:tc>
          <w:tcPr>
            <w:tcW w:w="5952" w:type="dxa"/>
            <w:tcBorders>
              <w:top w:val="single" w:color="000000" w:sz="4" w:space="0"/>
              <w:left w:val="nil"/>
              <w:bottom w:val="single" w:color="000000" w:sz="4" w:space="0"/>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每季度采购人在6h内联系不上技术负责人或其指定的助理，每次扣1分，扣完为止。监理人员须服从业主单位的日常管理，对不能胜任本项目监理工作任务或未达到业主单位要求的，业主单位有权提出调换监理工作人员。监理方需持证上岗，未持证每人扣15分。</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1380"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二、平台数据审核要求</w:t>
            </w:r>
          </w:p>
          <w:p>
            <w:pPr>
              <w:jc w:val="center"/>
              <w:rPr>
                <w:rFonts w:ascii="仿宋" w:hAnsi="仿宋" w:eastAsia="仿宋" w:cs="仿宋"/>
                <w:sz w:val="24"/>
              </w:rPr>
            </w:pPr>
            <w:r>
              <w:rPr>
                <w:rFonts w:hint="eastAsia" w:ascii="仿宋" w:hAnsi="仿宋" w:eastAsia="仿宋" w:cs="仿宋"/>
                <w:sz w:val="24"/>
              </w:rPr>
              <w:t>（10分）</w:t>
            </w:r>
          </w:p>
          <w:p>
            <w:pPr>
              <w:rPr>
                <w:rFonts w:ascii="仿宋" w:hAnsi="仿宋" w:eastAsia="仿宋" w:cs="仿宋"/>
                <w:sz w:val="24"/>
              </w:rPr>
            </w:pPr>
          </w:p>
        </w:tc>
        <w:tc>
          <w:tcPr>
            <w:tcW w:w="5952" w:type="dxa"/>
            <w:tcBorders>
              <w:top w:val="single" w:color="000000" w:sz="4" w:space="0"/>
              <w:left w:val="nil"/>
              <w:bottom w:val="nil"/>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工作日每日11点之前二级审核完数据。未经业主单位同意延迟的，由于监理的原因每延迟一次扣2分，扣完为止。业主方提出应急期间数据审核保障服务，监理方需主动配合。</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915"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三、实际水样比对要求</w:t>
            </w:r>
          </w:p>
          <w:p>
            <w:pPr>
              <w:jc w:val="center"/>
              <w:rPr>
                <w:rFonts w:ascii="仿宋" w:hAnsi="仿宋" w:eastAsia="仿宋" w:cs="仿宋"/>
                <w:sz w:val="24"/>
              </w:rPr>
            </w:pPr>
            <w:r>
              <w:rPr>
                <w:rFonts w:hint="eastAsia" w:ascii="仿宋" w:hAnsi="仿宋" w:eastAsia="仿宋" w:cs="仿宋"/>
                <w:sz w:val="24"/>
              </w:rPr>
              <w:t>（15分）</w:t>
            </w:r>
          </w:p>
          <w:p>
            <w:pPr>
              <w:rPr>
                <w:rFonts w:ascii="仿宋" w:hAnsi="仿宋" w:eastAsia="仿宋" w:cs="仿宋"/>
                <w:sz w:val="24"/>
              </w:rPr>
            </w:pPr>
          </w:p>
        </w:tc>
        <w:tc>
          <w:tcPr>
            <w:tcW w:w="5952" w:type="dxa"/>
            <w:tcBorders>
              <w:top w:val="single" w:color="000000" w:sz="4" w:space="0"/>
              <w:left w:val="nil"/>
              <w:bottom w:val="nil"/>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中标人无论因为何种原因，未完成每季度的实际水样比对任务的，一个站点扣5分，扣完为止。</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1380"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ind w:firstLine="240" w:firstLineChars="100"/>
              <w:rPr>
                <w:rFonts w:ascii="仿宋" w:hAnsi="仿宋" w:eastAsia="仿宋" w:cs="仿宋"/>
                <w:sz w:val="24"/>
              </w:rPr>
            </w:pPr>
            <w:r>
              <w:rPr>
                <w:rFonts w:hint="eastAsia" w:ascii="仿宋" w:hAnsi="仿宋" w:eastAsia="仿宋" w:cs="仿宋"/>
                <w:sz w:val="24"/>
              </w:rPr>
              <w:t>四、报告成果要求</w:t>
            </w:r>
          </w:p>
          <w:p>
            <w:pPr>
              <w:ind w:firstLine="720" w:firstLineChars="300"/>
              <w:rPr>
                <w:rFonts w:ascii="仿宋" w:hAnsi="仿宋" w:eastAsia="仿宋" w:cs="仿宋"/>
                <w:sz w:val="24"/>
              </w:rPr>
            </w:pPr>
            <w:r>
              <w:rPr>
                <w:rFonts w:hint="eastAsia" w:ascii="仿宋" w:hAnsi="仿宋" w:eastAsia="仿宋" w:cs="仿宋"/>
                <w:sz w:val="24"/>
              </w:rPr>
              <w:t>（15分）</w:t>
            </w:r>
          </w:p>
          <w:p>
            <w:pPr>
              <w:rPr>
                <w:rFonts w:ascii="仿宋" w:hAnsi="仿宋" w:eastAsia="仿宋" w:cs="仿宋"/>
                <w:sz w:val="24"/>
              </w:rPr>
            </w:pPr>
          </w:p>
        </w:tc>
        <w:tc>
          <w:tcPr>
            <w:tcW w:w="5952" w:type="dxa"/>
            <w:tcBorders>
              <w:top w:val="single" w:color="000000" w:sz="4" w:space="0"/>
              <w:left w:val="nil"/>
              <w:bottom w:val="nil"/>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每季度下个月的10日上午10:00前提交上个季度的最终监理结果及相关支撑材料，如遇国家法定节假日则可按期顺延。未经业主单位同意延迟上交的，每延迟一天扣1分，扣完为止。</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875"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ind w:firstLine="240" w:firstLineChars="100"/>
              <w:rPr>
                <w:rFonts w:ascii="仿宋" w:hAnsi="仿宋" w:eastAsia="仿宋" w:cs="仿宋"/>
                <w:sz w:val="24"/>
              </w:rPr>
            </w:pPr>
            <w:r>
              <w:rPr>
                <w:rFonts w:hint="eastAsia" w:ascii="仿宋" w:hAnsi="仿宋" w:eastAsia="仿宋" w:cs="仿宋"/>
                <w:sz w:val="24"/>
              </w:rPr>
              <w:t xml:space="preserve">五、任务要求         </w:t>
            </w:r>
          </w:p>
          <w:p>
            <w:pPr>
              <w:rPr>
                <w:rFonts w:ascii="仿宋" w:hAnsi="仿宋" w:eastAsia="仿宋" w:cs="仿宋"/>
                <w:sz w:val="24"/>
              </w:rPr>
            </w:pPr>
            <w:r>
              <w:rPr>
                <w:rFonts w:hint="eastAsia" w:ascii="仿宋" w:hAnsi="仿宋" w:eastAsia="仿宋" w:cs="仿宋"/>
                <w:sz w:val="24"/>
              </w:rPr>
              <w:t xml:space="preserve">   （15分）</w:t>
            </w:r>
          </w:p>
        </w:tc>
        <w:tc>
          <w:tcPr>
            <w:tcW w:w="5952" w:type="dxa"/>
            <w:tcBorders>
              <w:top w:val="single" w:color="auto" w:sz="4" w:space="0"/>
              <w:left w:val="nil"/>
              <w:bottom w:val="nil"/>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中标人无论因为何种原因未完成质控检查任务的，一个站点扣3分，扣完为止。</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1040"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六、质量要求</w:t>
            </w:r>
          </w:p>
          <w:p>
            <w:pPr>
              <w:ind w:firstLine="720" w:firstLineChars="300"/>
              <w:rPr>
                <w:rFonts w:ascii="仿宋" w:hAnsi="仿宋" w:eastAsia="仿宋" w:cs="仿宋"/>
                <w:sz w:val="24"/>
              </w:rPr>
            </w:pPr>
            <w:r>
              <w:rPr>
                <w:rFonts w:hint="eastAsia" w:ascii="仿宋" w:hAnsi="仿宋" w:eastAsia="仿宋" w:cs="仿宋"/>
                <w:sz w:val="24"/>
              </w:rPr>
              <w:t>（15分）</w:t>
            </w:r>
          </w:p>
        </w:tc>
        <w:tc>
          <w:tcPr>
            <w:tcW w:w="5952" w:type="dxa"/>
            <w:tcBorders>
              <w:top w:val="single" w:color="auto" w:sz="4" w:space="0"/>
              <w:left w:val="nil"/>
              <w:bottom w:val="nil"/>
              <w:right w:val="single" w:color="000000" w:sz="4" w:space="0"/>
            </w:tcBorders>
            <w:shd w:val="clear" w:color="auto" w:fill="auto"/>
            <w:vAlign w:val="center"/>
          </w:tcPr>
          <w:p>
            <w:pPr>
              <w:ind w:firstLine="480" w:firstLineChars="200"/>
              <w:rPr>
                <w:rFonts w:ascii="仿宋" w:hAnsi="仿宋" w:eastAsia="仿宋" w:cs="仿宋"/>
                <w:sz w:val="24"/>
              </w:rPr>
            </w:pPr>
            <w:r>
              <w:rPr>
                <w:rFonts w:hint="eastAsia" w:ascii="仿宋" w:hAnsi="仿宋" w:eastAsia="仿宋" w:cs="仿宋"/>
                <w:sz w:val="24"/>
              </w:rPr>
              <w:t>业主单位有权对中标单位的监理结果进行监督，发现监理过程及结果明显有失公平公正之处，每发现一次扣5分，扣完为止。</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785"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七、仪器鉴定（5分）</w:t>
            </w:r>
          </w:p>
        </w:tc>
        <w:tc>
          <w:tcPr>
            <w:tcW w:w="5952" w:type="dxa"/>
            <w:tcBorders>
              <w:top w:val="single" w:color="auto" w:sz="4" w:space="0"/>
              <w:left w:val="nil"/>
              <w:bottom w:val="nil"/>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便携式监理检查设备需每年检定一次，未落实一台设备扣5分。</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770"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八、整改问题落实情况</w:t>
            </w:r>
          </w:p>
          <w:p>
            <w:pPr>
              <w:jc w:val="center"/>
              <w:rPr>
                <w:rFonts w:ascii="仿宋" w:hAnsi="仿宋" w:eastAsia="仿宋" w:cs="仿宋"/>
                <w:sz w:val="24"/>
              </w:rPr>
            </w:pPr>
            <w:r>
              <w:rPr>
                <w:rFonts w:hint="eastAsia" w:ascii="仿宋" w:hAnsi="仿宋" w:eastAsia="仿宋" w:cs="仿宋"/>
                <w:sz w:val="24"/>
              </w:rPr>
              <w:t>（10分）</w:t>
            </w:r>
          </w:p>
        </w:tc>
        <w:tc>
          <w:tcPr>
            <w:tcW w:w="5952" w:type="dxa"/>
            <w:tcBorders>
              <w:top w:val="single" w:color="auto" w:sz="4" w:space="0"/>
              <w:left w:val="nil"/>
              <w:bottom w:val="nil"/>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问题的整改需及时反馈及闭环，未整改1次扣2分，扣完为止。</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785" w:hRule="atLeast"/>
          <w:jc w:val="center"/>
        </w:trPr>
        <w:tc>
          <w:tcPr>
            <w:tcW w:w="2783" w:type="dxa"/>
            <w:gridSpan w:val="2"/>
            <w:tcBorders>
              <w:top w:val="single" w:color="auto" w:sz="4" w:space="0"/>
              <w:left w:val="single" w:color="auto" w:sz="4" w:space="0"/>
              <w:bottom w:val="nil"/>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九、其他</w:t>
            </w:r>
          </w:p>
        </w:tc>
        <w:tc>
          <w:tcPr>
            <w:tcW w:w="5952" w:type="dxa"/>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发现中标单位对监理结果造假的，业主单位有权解除合同。</w:t>
            </w:r>
          </w:p>
        </w:tc>
        <w:tc>
          <w:tcPr>
            <w:tcW w:w="596" w:type="dxa"/>
            <w:tcBorders>
              <w:top w:val="single" w:color="000000" w:sz="4" w:space="0"/>
              <w:left w:val="nil"/>
              <w:bottom w:val="single" w:color="000000"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34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总评</w:t>
            </w:r>
          </w:p>
        </w:tc>
        <w:tc>
          <w:tcPr>
            <w:tcW w:w="8552" w:type="dxa"/>
            <w:gridSpan w:val="3"/>
            <w:tcBorders>
              <w:top w:val="single" w:color="auto" w:sz="4" w:space="0"/>
              <w:left w:val="nil"/>
              <w:bottom w:val="single" w:color="auto" w:sz="4" w:space="0"/>
              <w:right w:val="single" w:color="000000" w:sz="4" w:space="0"/>
            </w:tcBorders>
            <w:shd w:val="clear" w:color="auto" w:fill="auto"/>
            <w:vAlign w:val="center"/>
          </w:tcPr>
          <w:p>
            <w:pPr>
              <w:rPr>
                <w:rFonts w:ascii="仿宋" w:hAnsi="仿宋" w:eastAsia="仿宋" w:cs="仿宋"/>
                <w:sz w:val="24"/>
              </w:rPr>
            </w:pPr>
          </w:p>
        </w:tc>
      </w:tr>
      <w:tr>
        <w:tblPrEx>
          <w:tblCellMar>
            <w:top w:w="0" w:type="dxa"/>
            <w:left w:w="0" w:type="dxa"/>
            <w:bottom w:w="0" w:type="dxa"/>
            <w:right w:w="0" w:type="dxa"/>
          </w:tblCellMar>
        </w:tblPrEx>
        <w:trPr>
          <w:trHeight w:val="34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b/>
                <w:sz w:val="24"/>
              </w:rPr>
              <w:t>备注</w:t>
            </w:r>
          </w:p>
        </w:tc>
        <w:tc>
          <w:tcPr>
            <w:tcW w:w="8552" w:type="dxa"/>
            <w:gridSpan w:val="3"/>
            <w:tcBorders>
              <w:top w:val="single" w:color="auto" w:sz="4" w:space="0"/>
              <w:left w:val="nil"/>
              <w:bottom w:val="single" w:color="auto" w:sz="4" w:space="0"/>
              <w:right w:val="single" w:color="000000" w:sz="4" w:space="0"/>
            </w:tcBorders>
            <w:shd w:val="clear" w:color="auto" w:fill="auto"/>
            <w:vAlign w:val="center"/>
          </w:tcPr>
          <w:p>
            <w:pPr>
              <w:widowControl/>
              <w:autoSpaceDE w:val="0"/>
              <w:jc w:val="left"/>
              <w:rPr>
                <w:rFonts w:ascii="仿宋" w:hAnsi="仿宋" w:eastAsia="仿宋" w:cs="仿宋"/>
                <w:sz w:val="24"/>
              </w:rPr>
            </w:pPr>
            <w:r>
              <w:rPr>
                <w:rFonts w:hint="eastAsia" w:ascii="仿宋" w:hAnsi="仿宋" w:eastAsia="仿宋" w:cs="仿宋"/>
                <w:sz w:val="24"/>
              </w:rPr>
              <w:t>按季度考核、半年度结算的方式支付该项目费用。</w:t>
            </w:r>
          </w:p>
          <w:p>
            <w:pPr>
              <w:widowControl/>
              <w:jc w:val="left"/>
              <w:rPr>
                <w:rFonts w:ascii="仿宋" w:hAnsi="仿宋" w:eastAsia="仿宋" w:cs="仿宋"/>
                <w:sz w:val="24"/>
              </w:rPr>
            </w:pPr>
            <w:r>
              <w:rPr>
                <w:rFonts w:hint="eastAsia" w:ascii="仿宋" w:hAnsi="仿宋" w:eastAsia="仿宋" w:cs="仿宋"/>
                <w:sz w:val="24"/>
              </w:rPr>
              <w:t>1、单次考核结果在80分以上，支付本季度监理费用的100%；2、单次考核结果在70分以上，80分以下，为初级警告，扣除当季度监理费用的20%，并责令整改；3、单次考核结果在60分以上，70分以下，为二级警告，扣除当季度监理费用的50%，并责令整改；4、考核结果在60分以下，扣除当季度监理费用的100%。</w:t>
            </w:r>
          </w:p>
        </w:tc>
      </w:tr>
    </w:tbl>
    <w:p>
      <w:pPr>
        <w:adjustRightInd/>
        <w:snapToGrid w:val="0"/>
        <w:spacing w:line="360" w:lineRule="auto"/>
        <w:jc w:val="left"/>
        <w:rPr>
          <w:rFonts w:ascii="仿宋" w:hAnsi="仿宋" w:eastAsia="仿宋" w:cs="仿宋"/>
          <w:b/>
          <w:sz w:val="24"/>
        </w:rPr>
      </w:pPr>
    </w:p>
    <w:p>
      <w:pPr>
        <w:adjustRightInd/>
        <w:snapToGrid w:val="0"/>
        <w:spacing w:line="360" w:lineRule="auto"/>
        <w:jc w:val="left"/>
        <w:rPr>
          <w:rFonts w:ascii="仿宋" w:hAnsi="仿宋" w:eastAsia="仿宋" w:cs="仿宋"/>
          <w:b/>
          <w:sz w:val="24"/>
        </w:rPr>
      </w:pPr>
    </w:p>
    <w:p>
      <w:pPr>
        <w:adjustRightInd/>
        <w:snapToGrid w:val="0"/>
        <w:spacing w:line="360" w:lineRule="auto"/>
        <w:jc w:val="left"/>
        <w:rPr>
          <w:rFonts w:ascii="仿宋" w:hAnsi="仿宋" w:eastAsia="仿宋" w:cs="仿宋"/>
          <w:sz w:val="24"/>
        </w:rPr>
      </w:pPr>
      <w:r>
        <w:rPr>
          <w:rFonts w:hint="eastAsia" w:ascii="仿宋" w:hAnsi="仿宋" w:eastAsia="仿宋" w:cs="仿宋"/>
          <w:b/>
          <w:sz w:val="24"/>
        </w:rPr>
        <w:t>七、商务要求</w:t>
      </w:r>
    </w:p>
    <w:p>
      <w:pPr>
        <w:spacing w:line="360" w:lineRule="auto"/>
        <w:ind w:firstLine="482" w:firstLineChars="200"/>
        <w:rPr>
          <w:rFonts w:ascii="仿宋" w:hAnsi="仿宋" w:eastAsia="仿宋" w:cs="仿宋"/>
          <w:b/>
          <w:sz w:val="24"/>
        </w:rPr>
      </w:pPr>
      <w:r>
        <w:rPr>
          <w:rFonts w:hint="eastAsia" w:ascii="仿宋" w:hAnsi="仿宋" w:eastAsia="仿宋" w:cs="仿宋"/>
          <w:b/>
          <w:bCs/>
          <w:kern w:val="0"/>
          <w:sz w:val="24"/>
        </w:rPr>
        <w:t>▲</w:t>
      </w:r>
      <w:r>
        <w:rPr>
          <w:rFonts w:hint="eastAsia" w:ascii="仿宋" w:hAnsi="仿宋" w:eastAsia="仿宋" w:cs="仿宋"/>
          <w:b/>
          <w:sz w:val="24"/>
        </w:rPr>
        <w:t>1、付款方式：</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1.1.本项目根据“按季度考核、半年度支付”方式支付合同费用。</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1.2.合同生效以及具备实施条件后7个工作日内支付当年费用的50%预付款，当年剩余50%款项根据考核结果结算后支付。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1.3.由于本项目为财政预算拨款，一切付款进度均以财政资金到位情况为前提，如财政拨款因故延迟，付款时间将顺延，但供应商不得以付款延迟为理由拖延或拒绝履行合同义务，否则按严重违约处理。</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2、服务期：</w:t>
      </w:r>
      <w:r>
        <w:rPr>
          <w:rFonts w:hint="eastAsia" w:ascii="仿宋" w:hAnsi="仿宋" w:eastAsia="仿宋" w:cs="仿宋"/>
          <w:sz w:val="24"/>
        </w:rPr>
        <w:t>中标服务期为2年，服务期从淳安县乡镇交接断面水质自动监测系统提供数据服务的次日开始计算。</w:t>
      </w:r>
    </w:p>
    <w:p>
      <w:pPr>
        <w:spacing w:line="360" w:lineRule="auto"/>
        <w:ind w:firstLine="482" w:firstLineChars="200"/>
        <w:rPr>
          <w:rFonts w:ascii="仿宋" w:hAnsi="仿宋" w:eastAsia="仿宋" w:cs="仿宋"/>
          <w:sz w:val="24"/>
        </w:rPr>
      </w:pPr>
      <w:r>
        <w:rPr>
          <w:rFonts w:hint="eastAsia" w:ascii="仿宋" w:hAnsi="仿宋" w:eastAsia="仿宋" w:cs="仿宋"/>
          <w:b/>
          <w:sz w:val="24"/>
        </w:rPr>
        <w:t>3、项目实施地点：</w:t>
      </w:r>
      <w:r>
        <w:rPr>
          <w:rFonts w:hint="eastAsia" w:ascii="仿宋" w:hAnsi="仿宋" w:eastAsia="仿宋" w:cs="仿宋"/>
          <w:bCs/>
          <w:sz w:val="24"/>
        </w:rPr>
        <w:t>采购人指定地点。</w:t>
      </w:r>
    </w:p>
    <w:p>
      <w:pPr>
        <w:spacing w:line="360" w:lineRule="auto"/>
        <w:ind w:firstLine="482" w:firstLineChars="200"/>
        <w:rPr>
          <w:rFonts w:ascii="仿宋" w:hAnsi="仿宋" w:eastAsia="仿宋" w:cs="仿宋"/>
          <w:bCs/>
          <w:sz w:val="24"/>
        </w:rPr>
      </w:pPr>
      <w:r>
        <w:rPr>
          <w:rFonts w:hint="eastAsia" w:ascii="仿宋" w:hAnsi="仿宋" w:eastAsia="仿宋" w:cs="仿宋"/>
          <w:b/>
          <w:sz w:val="24"/>
        </w:rPr>
        <w:t>4、履约保证金：</w:t>
      </w:r>
      <w:r>
        <w:rPr>
          <w:rFonts w:hint="eastAsia" w:ascii="仿宋" w:hAnsi="仿宋" w:eastAsia="仿宋" w:cs="仿宋"/>
          <w:bCs/>
          <w:sz w:val="24"/>
        </w:rPr>
        <w:t>无需缴纳。</w:t>
      </w:r>
    </w:p>
    <w:p>
      <w:pPr>
        <w:spacing w:line="360" w:lineRule="auto"/>
        <w:ind w:firstLine="482" w:firstLineChars="200"/>
        <w:rPr>
          <w:rFonts w:ascii="仿宋" w:hAnsi="仿宋" w:eastAsia="仿宋" w:cs="仿宋"/>
          <w:sz w:val="24"/>
          <w:lang w:val="zh-CN"/>
        </w:rPr>
      </w:pPr>
      <w:r>
        <w:rPr>
          <w:rFonts w:hint="eastAsia" w:ascii="仿宋" w:hAnsi="仿宋" w:eastAsia="仿宋" w:cs="仿宋"/>
          <w:b/>
          <w:sz w:val="24"/>
        </w:rPr>
        <w:t>5、验收标准：</w:t>
      </w:r>
      <w:r>
        <w:rPr>
          <w:rFonts w:hint="eastAsia" w:ascii="仿宋" w:hAnsi="仿宋" w:eastAsia="仿宋" w:cs="仿宋"/>
          <w:sz w:val="24"/>
          <w:lang w:val="zh-CN"/>
        </w:rPr>
        <w:t>（1）由采购方组织验收，采购人审查监理原始记录表格，及监理报告，相应监理工作及质控质保措施应确保100％执行。</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（2）数据有效率须达到相关要求。</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（3）符合国家有关技术标准和招标人管理要求。</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（4）中标人提供监理验收报告、专家验收意见作为成果资料。</w:t>
      </w:r>
    </w:p>
    <w:p>
      <w:pPr>
        <w:spacing w:line="360" w:lineRule="auto"/>
        <w:ind w:firstLine="482" w:firstLineChars="200"/>
        <w:rPr>
          <w:rFonts w:ascii="仿宋" w:hAnsi="仿宋" w:eastAsia="仿宋" w:cs="仿宋"/>
          <w:b/>
          <w:sz w:val="24"/>
        </w:rPr>
      </w:pPr>
      <w:r>
        <w:rPr>
          <w:rFonts w:hint="eastAsia" w:ascii="仿宋" w:hAnsi="仿宋" w:eastAsia="仿宋" w:cs="仿宋"/>
          <w:b/>
          <w:sz w:val="24"/>
        </w:rPr>
        <w:t>▲6、特别约定：</w:t>
      </w:r>
      <w:r>
        <w:rPr>
          <w:rFonts w:hint="eastAsia" w:ascii="仿宋" w:hAnsi="仿宋" w:eastAsia="仿宋" w:cs="仿宋"/>
          <w:bCs/>
          <w:sz w:val="24"/>
        </w:rPr>
        <w:t>为保障项目实施过程公开公平公正的原则，保证检查（监理）的中立，中标人必须承诺在检查（监理）服务期内不与被检查（监理）方发生任何环境监测类设备（含配件耗材）交易。</w:t>
      </w:r>
    </w:p>
    <w:p>
      <w:pPr>
        <w:spacing w:line="360" w:lineRule="auto"/>
        <w:rPr>
          <w:rFonts w:ascii="仿宋" w:hAnsi="仿宋" w:eastAsia="仿宋" w:cs="仿宋"/>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74" w:right="1814" w:bottom="1474" w:left="1814" w:header="851" w:footer="851" w:gutter="0"/>
          <w:cols w:space="720" w:num="1"/>
        </w:sectPr>
      </w:pPr>
    </w:p>
    <w:p>
      <w:pPr>
        <w:widowControl/>
        <w:adjustRightInd/>
        <w:jc w:val="left"/>
        <w:rPr>
          <w:rFonts w:ascii="仿宋" w:hAnsi="仿宋" w:eastAsia="仿宋" w:cs="仿宋"/>
          <w:b/>
          <w:sz w:val="36"/>
          <w:szCs w:val="36"/>
        </w:rPr>
      </w:pPr>
    </w:p>
    <w:p>
      <w:pPr>
        <w:jc w:val="center"/>
        <w:outlineLvl w:val="0"/>
        <w:rPr>
          <w:rFonts w:ascii="仿宋" w:hAnsi="仿宋" w:eastAsia="仿宋" w:cs="仿宋"/>
          <w:b/>
          <w:sz w:val="36"/>
          <w:szCs w:val="36"/>
        </w:rPr>
      </w:pPr>
      <w:r>
        <w:rPr>
          <w:rFonts w:hint="eastAsia" w:ascii="仿宋" w:hAnsi="仿宋" w:eastAsia="仿宋" w:cs="仿宋"/>
          <w:b/>
          <w:sz w:val="36"/>
          <w:szCs w:val="36"/>
        </w:rPr>
        <w:t>第四部分</w:t>
      </w:r>
      <w:bookmarkStart w:id="27" w:name="_Toc184313264"/>
      <w:bookmarkEnd w:id="27"/>
      <w:bookmarkStart w:id="28" w:name="_Toc184313298"/>
      <w:bookmarkEnd w:id="28"/>
      <w:bookmarkStart w:id="29" w:name="_Toc184310292"/>
      <w:bookmarkEnd w:id="29"/>
      <w:bookmarkStart w:id="30" w:name="_Toc184308096"/>
      <w:bookmarkEnd w:id="30"/>
      <w:bookmarkStart w:id="31" w:name="_Toc184310309"/>
      <w:bookmarkEnd w:id="31"/>
      <w:bookmarkStart w:id="32" w:name="_Toc184314446"/>
      <w:bookmarkEnd w:id="32"/>
      <w:bookmarkStart w:id="33" w:name="_Toc184308054"/>
      <w:bookmarkEnd w:id="33"/>
      <w:bookmarkStart w:id="34" w:name="_Toc184310297"/>
      <w:bookmarkEnd w:id="34"/>
      <w:bookmarkStart w:id="35" w:name="_Toc184310283"/>
      <w:bookmarkEnd w:id="35"/>
      <w:bookmarkStart w:id="36" w:name="_Toc184310339"/>
      <w:bookmarkEnd w:id="36"/>
      <w:bookmarkStart w:id="37" w:name="_Toc184312087"/>
      <w:bookmarkEnd w:id="37"/>
      <w:bookmarkStart w:id="38" w:name="_Toc184310319"/>
      <w:bookmarkEnd w:id="38"/>
      <w:bookmarkStart w:id="39" w:name="_Toc184308048"/>
      <w:bookmarkEnd w:id="39"/>
      <w:bookmarkStart w:id="40" w:name="_Toc184313240"/>
      <w:bookmarkEnd w:id="40"/>
      <w:bookmarkStart w:id="41" w:name="_Toc184308091"/>
      <w:bookmarkEnd w:id="41"/>
      <w:bookmarkStart w:id="42" w:name="_Toc184312106"/>
      <w:bookmarkEnd w:id="42"/>
      <w:bookmarkStart w:id="43" w:name="_Toc184308094"/>
      <w:bookmarkEnd w:id="43"/>
      <w:bookmarkStart w:id="44" w:name="_Toc184312084"/>
      <w:bookmarkEnd w:id="44"/>
      <w:bookmarkStart w:id="45" w:name="_Toc184314463"/>
      <w:bookmarkEnd w:id="45"/>
      <w:bookmarkStart w:id="46" w:name="_Toc184314459"/>
      <w:bookmarkEnd w:id="46"/>
      <w:bookmarkStart w:id="47" w:name="_Toc184314429"/>
      <w:bookmarkEnd w:id="47"/>
      <w:bookmarkStart w:id="48" w:name="_Toc184310317"/>
      <w:bookmarkEnd w:id="48"/>
      <w:bookmarkStart w:id="49" w:name="_Toc184313304"/>
      <w:bookmarkEnd w:id="49"/>
      <w:bookmarkStart w:id="50" w:name="_Toc184308070"/>
      <w:bookmarkEnd w:id="50"/>
      <w:bookmarkStart w:id="51" w:name="_Toc184312131"/>
      <w:bookmarkEnd w:id="51"/>
      <w:bookmarkStart w:id="52" w:name="_Toc184308099"/>
      <w:bookmarkEnd w:id="52"/>
      <w:bookmarkStart w:id="53" w:name="_Toc184312104"/>
      <w:bookmarkEnd w:id="53"/>
      <w:bookmarkStart w:id="54" w:name="_Toc184312079"/>
      <w:bookmarkEnd w:id="54"/>
      <w:bookmarkStart w:id="55" w:name="_Toc184312096"/>
      <w:bookmarkEnd w:id="55"/>
      <w:bookmarkStart w:id="56" w:name="_Toc184308087"/>
      <w:bookmarkEnd w:id="56"/>
      <w:bookmarkStart w:id="57" w:name="_Toc184314440"/>
      <w:bookmarkEnd w:id="57"/>
      <w:bookmarkStart w:id="58" w:name="_Toc184312089"/>
      <w:bookmarkEnd w:id="58"/>
      <w:bookmarkStart w:id="59" w:name="_Toc184308071"/>
      <w:bookmarkEnd w:id="59"/>
      <w:bookmarkStart w:id="60" w:name="_Toc184313280"/>
      <w:bookmarkEnd w:id="60"/>
      <w:bookmarkStart w:id="61" w:name="_Toc184310291"/>
      <w:bookmarkEnd w:id="61"/>
      <w:bookmarkStart w:id="62" w:name="_Toc184313254"/>
      <w:bookmarkEnd w:id="62"/>
      <w:bookmarkStart w:id="63" w:name="_Toc184312137"/>
      <w:bookmarkEnd w:id="63"/>
      <w:bookmarkStart w:id="64" w:name="_Toc184312077"/>
      <w:bookmarkEnd w:id="64"/>
      <w:bookmarkStart w:id="65" w:name="_Toc184312134"/>
      <w:bookmarkEnd w:id="65"/>
      <w:bookmarkStart w:id="66" w:name="_Toc184310341"/>
      <w:bookmarkEnd w:id="66"/>
      <w:bookmarkStart w:id="67" w:name="_Toc184308072"/>
      <w:bookmarkEnd w:id="67"/>
      <w:bookmarkStart w:id="68" w:name="_Toc184313243"/>
      <w:bookmarkEnd w:id="68"/>
      <w:bookmarkStart w:id="69" w:name="_Toc184313282"/>
      <w:bookmarkEnd w:id="69"/>
      <w:bookmarkStart w:id="70" w:name="_Toc184312135"/>
      <w:bookmarkEnd w:id="70"/>
      <w:bookmarkStart w:id="71" w:name="_Toc184313276"/>
      <w:bookmarkEnd w:id="71"/>
      <w:bookmarkStart w:id="72" w:name="_Toc184313281"/>
      <w:bookmarkEnd w:id="72"/>
      <w:bookmarkStart w:id="73" w:name="_Toc184314426"/>
      <w:bookmarkEnd w:id="73"/>
      <w:bookmarkStart w:id="74" w:name="_Toc184308083"/>
      <w:bookmarkEnd w:id="74"/>
      <w:bookmarkStart w:id="75" w:name="_Toc184313245"/>
      <w:bookmarkEnd w:id="75"/>
      <w:bookmarkStart w:id="76" w:name="_Toc184312094"/>
      <w:bookmarkEnd w:id="76"/>
      <w:bookmarkStart w:id="77" w:name="_Toc184310282"/>
      <w:bookmarkEnd w:id="77"/>
      <w:bookmarkStart w:id="78" w:name="_Toc184312082"/>
      <w:bookmarkEnd w:id="78"/>
      <w:bookmarkStart w:id="79" w:name="_Toc184314441"/>
      <w:bookmarkEnd w:id="79"/>
      <w:bookmarkStart w:id="80" w:name="_Toc184308085"/>
      <w:bookmarkEnd w:id="80"/>
      <w:bookmarkStart w:id="81" w:name="_Toc184312091"/>
      <w:bookmarkEnd w:id="81"/>
      <w:bookmarkStart w:id="82" w:name="_Toc184310287"/>
      <w:bookmarkEnd w:id="82"/>
      <w:bookmarkStart w:id="83" w:name="_Toc184308107"/>
      <w:bookmarkEnd w:id="83"/>
      <w:bookmarkStart w:id="84" w:name="_Toc184312069"/>
      <w:bookmarkEnd w:id="84"/>
      <w:bookmarkStart w:id="85" w:name="_Toc184310320"/>
      <w:bookmarkEnd w:id="85"/>
      <w:bookmarkStart w:id="86" w:name="_Toc184313250"/>
      <w:bookmarkEnd w:id="86"/>
      <w:bookmarkStart w:id="87" w:name="_Toc184313290"/>
      <w:bookmarkEnd w:id="87"/>
      <w:bookmarkStart w:id="88" w:name="_Toc184314468"/>
      <w:bookmarkEnd w:id="88"/>
      <w:bookmarkStart w:id="89" w:name="_Toc184310334"/>
      <w:bookmarkEnd w:id="89"/>
      <w:bookmarkStart w:id="90" w:name="_Toc184308068"/>
      <w:bookmarkEnd w:id="90"/>
      <w:bookmarkStart w:id="91" w:name="_Toc184312111"/>
      <w:bookmarkEnd w:id="91"/>
      <w:bookmarkStart w:id="92" w:name="_Toc184310306"/>
      <w:bookmarkEnd w:id="92"/>
      <w:bookmarkStart w:id="93" w:name="_Toc184312121"/>
      <w:bookmarkEnd w:id="93"/>
      <w:bookmarkStart w:id="94" w:name="_Toc184308076"/>
      <w:bookmarkEnd w:id="94"/>
      <w:bookmarkStart w:id="95" w:name="_Toc184308097"/>
      <w:bookmarkEnd w:id="95"/>
      <w:bookmarkStart w:id="96" w:name="_Toc184310316"/>
      <w:bookmarkEnd w:id="96"/>
      <w:bookmarkStart w:id="97" w:name="_Toc184313309"/>
      <w:bookmarkEnd w:id="97"/>
      <w:bookmarkStart w:id="98" w:name="_Toc184314482"/>
      <w:bookmarkEnd w:id="98"/>
      <w:bookmarkStart w:id="99" w:name="_Toc184314410"/>
      <w:bookmarkEnd w:id="99"/>
      <w:bookmarkStart w:id="100" w:name="_Toc184310298"/>
      <w:bookmarkEnd w:id="100"/>
      <w:bookmarkStart w:id="101" w:name="_Toc184314461"/>
      <w:bookmarkEnd w:id="101"/>
      <w:bookmarkStart w:id="102" w:name="_Toc184314432"/>
      <w:bookmarkEnd w:id="102"/>
      <w:bookmarkStart w:id="103" w:name="_Toc184308086"/>
      <w:bookmarkEnd w:id="103"/>
      <w:bookmarkStart w:id="104" w:name="_Toc184308106"/>
      <w:bookmarkEnd w:id="104"/>
      <w:bookmarkStart w:id="105" w:name="_Toc184313296"/>
      <w:bookmarkEnd w:id="105"/>
      <w:bookmarkStart w:id="106" w:name="_Toc184312103"/>
      <w:bookmarkEnd w:id="106"/>
      <w:bookmarkStart w:id="107" w:name="_Toc184310330"/>
      <w:bookmarkEnd w:id="107"/>
      <w:bookmarkStart w:id="108" w:name="_Toc184314415"/>
      <w:bookmarkEnd w:id="108"/>
      <w:bookmarkStart w:id="109" w:name="_Toc184314425"/>
      <w:bookmarkEnd w:id="109"/>
      <w:bookmarkStart w:id="110" w:name="_Toc184308059"/>
      <w:bookmarkEnd w:id="110"/>
      <w:bookmarkStart w:id="111" w:name="_Toc184312114"/>
      <w:bookmarkEnd w:id="111"/>
      <w:bookmarkStart w:id="112" w:name="_Toc184314454"/>
      <w:bookmarkEnd w:id="112"/>
      <w:bookmarkStart w:id="113" w:name="_Toc184312123"/>
      <w:bookmarkEnd w:id="113"/>
      <w:bookmarkStart w:id="114" w:name="_Toc184308102"/>
      <w:bookmarkEnd w:id="114"/>
      <w:bookmarkStart w:id="115" w:name="_Toc184308042"/>
      <w:bookmarkEnd w:id="115"/>
      <w:bookmarkStart w:id="116" w:name="_Toc184314438"/>
      <w:bookmarkEnd w:id="116"/>
      <w:bookmarkStart w:id="117" w:name="_Toc184314466"/>
      <w:bookmarkEnd w:id="117"/>
      <w:bookmarkStart w:id="118" w:name="_Toc184312118"/>
      <w:bookmarkEnd w:id="118"/>
      <w:bookmarkStart w:id="119" w:name="_Toc184308100"/>
      <w:bookmarkEnd w:id="119"/>
      <w:bookmarkStart w:id="120" w:name="_Toc184312102"/>
      <w:bookmarkEnd w:id="120"/>
      <w:bookmarkStart w:id="121" w:name="_Toc184314418"/>
      <w:bookmarkEnd w:id="121"/>
      <w:bookmarkStart w:id="122" w:name="_Toc184312071"/>
      <w:bookmarkEnd w:id="122"/>
      <w:bookmarkStart w:id="123" w:name="_Toc184314430"/>
      <w:bookmarkEnd w:id="123"/>
      <w:bookmarkStart w:id="124" w:name="_Toc184312109"/>
      <w:bookmarkEnd w:id="124"/>
      <w:bookmarkStart w:id="125" w:name="_Toc184313248"/>
      <w:bookmarkEnd w:id="125"/>
      <w:bookmarkStart w:id="126" w:name="_Toc184312095"/>
      <w:bookmarkEnd w:id="126"/>
      <w:bookmarkStart w:id="127" w:name="_Toc184310273"/>
      <w:bookmarkEnd w:id="127"/>
      <w:bookmarkStart w:id="128" w:name="_Toc184308080"/>
      <w:bookmarkEnd w:id="128"/>
      <w:bookmarkStart w:id="129" w:name="_Toc184308082"/>
      <w:bookmarkEnd w:id="129"/>
      <w:bookmarkStart w:id="130" w:name="_Toc184314423"/>
      <w:bookmarkEnd w:id="130"/>
      <w:bookmarkStart w:id="131" w:name="_Toc184314451"/>
      <w:bookmarkEnd w:id="131"/>
      <w:bookmarkStart w:id="132" w:name="_Toc184314433"/>
      <w:bookmarkEnd w:id="132"/>
      <w:bookmarkStart w:id="133" w:name="_Toc184314465"/>
      <w:bookmarkEnd w:id="133"/>
      <w:bookmarkStart w:id="134" w:name="_Toc184310280"/>
      <w:bookmarkEnd w:id="134"/>
      <w:bookmarkStart w:id="135" w:name="_Toc184310321"/>
      <w:bookmarkEnd w:id="135"/>
      <w:bookmarkStart w:id="136" w:name="_Toc184308089"/>
      <w:bookmarkEnd w:id="136"/>
      <w:bookmarkStart w:id="137" w:name="_Toc184308078"/>
      <w:bookmarkEnd w:id="137"/>
      <w:bookmarkStart w:id="138" w:name="_Toc184314479"/>
      <w:bookmarkEnd w:id="138"/>
      <w:bookmarkStart w:id="139" w:name="_Toc184310284"/>
      <w:bookmarkEnd w:id="139"/>
      <w:bookmarkStart w:id="140" w:name="_Toc184308044"/>
      <w:bookmarkEnd w:id="140"/>
      <w:bookmarkStart w:id="141" w:name="_Toc184312098"/>
      <w:bookmarkEnd w:id="141"/>
      <w:bookmarkStart w:id="142" w:name="_Toc184310290"/>
      <w:bookmarkEnd w:id="142"/>
      <w:bookmarkStart w:id="143" w:name="_Toc184310295"/>
      <w:bookmarkEnd w:id="143"/>
      <w:bookmarkStart w:id="144" w:name="_Toc184312136"/>
      <w:bookmarkEnd w:id="144"/>
      <w:bookmarkStart w:id="145" w:name="_Toc184313242"/>
      <w:bookmarkEnd w:id="145"/>
      <w:bookmarkStart w:id="146" w:name="_Toc184313259"/>
      <w:bookmarkEnd w:id="146"/>
      <w:bookmarkStart w:id="147" w:name="_Toc184313257"/>
      <w:bookmarkEnd w:id="147"/>
      <w:bookmarkStart w:id="148" w:name="_Toc184310279"/>
      <w:bookmarkEnd w:id="148"/>
      <w:bookmarkStart w:id="149" w:name="_Toc184308061"/>
      <w:bookmarkEnd w:id="149"/>
      <w:bookmarkStart w:id="150" w:name="_Toc184308056"/>
      <w:bookmarkEnd w:id="150"/>
      <w:bookmarkStart w:id="151" w:name="_Toc184312128"/>
      <w:bookmarkEnd w:id="151"/>
      <w:bookmarkStart w:id="152" w:name="_Toc184312110"/>
      <w:bookmarkEnd w:id="152"/>
      <w:bookmarkStart w:id="153" w:name="_Toc184310305"/>
      <w:bookmarkEnd w:id="153"/>
      <w:bookmarkStart w:id="154" w:name="_Toc184310294"/>
      <w:bookmarkEnd w:id="154"/>
      <w:bookmarkStart w:id="155" w:name="_Toc184314419"/>
      <w:bookmarkEnd w:id="155"/>
      <w:bookmarkStart w:id="156" w:name="_Toc184313241"/>
      <w:bookmarkEnd w:id="156"/>
      <w:bookmarkStart w:id="157" w:name="_Toc184308104"/>
      <w:bookmarkEnd w:id="157"/>
      <w:bookmarkStart w:id="158" w:name="_Toc184308049"/>
      <w:bookmarkEnd w:id="158"/>
      <w:bookmarkStart w:id="159" w:name="_Toc184310310"/>
      <w:bookmarkEnd w:id="159"/>
      <w:bookmarkStart w:id="160" w:name="_Toc184308055"/>
      <w:bookmarkEnd w:id="160"/>
      <w:bookmarkStart w:id="161" w:name="_Toc184312101"/>
      <w:bookmarkEnd w:id="161"/>
      <w:bookmarkStart w:id="162" w:name="_Toc184314439"/>
      <w:bookmarkEnd w:id="162"/>
      <w:bookmarkStart w:id="163" w:name="_Toc184310332"/>
      <w:bookmarkEnd w:id="163"/>
      <w:bookmarkStart w:id="164" w:name="_Toc184308105"/>
      <w:bookmarkEnd w:id="164"/>
      <w:bookmarkStart w:id="165" w:name="_Toc184310311"/>
      <w:bookmarkEnd w:id="165"/>
      <w:bookmarkStart w:id="166" w:name="_Toc184312117"/>
      <w:bookmarkEnd w:id="166"/>
      <w:bookmarkStart w:id="167" w:name="_Toc184308043"/>
      <w:bookmarkEnd w:id="167"/>
      <w:bookmarkStart w:id="168" w:name="_Toc184314456"/>
      <w:bookmarkEnd w:id="168"/>
      <w:bookmarkStart w:id="169" w:name="_Toc184313238"/>
      <w:bookmarkEnd w:id="169"/>
      <w:bookmarkStart w:id="170" w:name="_Toc184310318"/>
      <w:bookmarkEnd w:id="170"/>
      <w:bookmarkStart w:id="171" w:name="_Toc184310299"/>
      <w:bookmarkEnd w:id="171"/>
      <w:bookmarkStart w:id="172" w:name="_Toc184312126"/>
      <w:bookmarkEnd w:id="172"/>
      <w:bookmarkStart w:id="173" w:name="_Toc184308074"/>
      <w:bookmarkEnd w:id="173"/>
      <w:bookmarkStart w:id="174" w:name="_Toc184314471"/>
      <w:bookmarkEnd w:id="174"/>
      <w:bookmarkStart w:id="175" w:name="_Toc184314455"/>
      <w:bookmarkEnd w:id="175"/>
      <w:bookmarkStart w:id="176" w:name="_Toc184308050"/>
      <w:bookmarkEnd w:id="176"/>
      <w:bookmarkStart w:id="177" w:name="_Toc184313306"/>
      <w:bookmarkEnd w:id="177"/>
      <w:bookmarkStart w:id="178" w:name="_Toc184308108"/>
      <w:bookmarkEnd w:id="178"/>
      <w:bookmarkStart w:id="179" w:name="_Toc184313249"/>
      <w:bookmarkEnd w:id="179"/>
      <w:bookmarkStart w:id="180" w:name="_Toc184312093"/>
      <w:bookmarkEnd w:id="180"/>
      <w:bookmarkStart w:id="181" w:name="_Toc184312099"/>
      <w:bookmarkEnd w:id="181"/>
      <w:bookmarkStart w:id="182" w:name="_Toc184310300"/>
      <w:bookmarkEnd w:id="182"/>
      <w:bookmarkStart w:id="183" w:name="_Toc184314477"/>
      <w:bookmarkEnd w:id="183"/>
      <w:bookmarkStart w:id="184" w:name="_Toc184310285"/>
      <w:bookmarkEnd w:id="184"/>
      <w:bookmarkStart w:id="185" w:name="_Toc184310302"/>
      <w:bookmarkEnd w:id="185"/>
      <w:bookmarkStart w:id="186" w:name="_Toc184308064"/>
      <w:bookmarkEnd w:id="186"/>
      <w:bookmarkStart w:id="187" w:name="_Toc184314417"/>
      <w:bookmarkEnd w:id="187"/>
      <w:bookmarkStart w:id="188" w:name="_Toc184310326"/>
      <w:bookmarkEnd w:id="188"/>
      <w:bookmarkStart w:id="189" w:name="_Toc184310337"/>
      <w:bookmarkEnd w:id="189"/>
      <w:bookmarkStart w:id="190" w:name="_Toc184314447"/>
      <w:bookmarkEnd w:id="190"/>
      <w:bookmarkStart w:id="191" w:name="_Toc184313289"/>
      <w:bookmarkEnd w:id="191"/>
      <w:bookmarkStart w:id="192" w:name="_Toc184308040"/>
      <w:bookmarkEnd w:id="192"/>
      <w:bookmarkStart w:id="193" w:name="_Toc184313265"/>
      <w:bookmarkEnd w:id="193"/>
      <w:bookmarkStart w:id="194" w:name="_Toc184314424"/>
      <w:bookmarkEnd w:id="194"/>
      <w:bookmarkStart w:id="195" w:name="_Toc184314431"/>
      <w:bookmarkEnd w:id="195"/>
      <w:bookmarkStart w:id="196" w:name="_Toc184312097"/>
      <w:bookmarkEnd w:id="196"/>
      <w:bookmarkStart w:id="197" w:name="_Toc184313278"/>
      <w:bookmarkEnd w:id="197"/>
      <w:bookmarkStart w:id="198" w:name="_Toc184312073"/>
      <w:bookmarkEnd w:id="198"/>
      <w:bookmarkStart w:id="199" w:name="_Toc184313266"/>
      <w:bookmarkEnd w:id="199"/>
      <w:bookmarkStart w:id="200" w:name="_Toc184314474"/>
      <w:bookmarkEnd w:id="200"/>
      <w:bookmarkStart w:id="201" w:name="_Toc184312122"/>
      <w:bookmarkEnd w:id="201"/>
      <w:bookmarkStart w:id="202" w:name="_Toc184313275"/>
      <w:bookmarkEnd w:id="202"/>
      <w:bookmarkStart w:id="203" w:name="_Toc184308066"/>
      <w:bookmarkEnd w:id="203"/>
      <w:bookmarkStart w:id="204" w:name="_Toc184314450"/>
      <w:bookmarkEnd w:id="204"/>
      <w:bookmarkStart w:id="205" w:name="_Toc184310344"/>
      <w:bookmarkEnd w:id="205"/>
      <w:bookmarkStart w:id="206" w:name="_Toc184314445"/>
      <w:bookmarkEnd w:id="206"/>
      <w:bookmarkStart w:id="207" w:name="_Toc184310328"/>
      <w:bookmarkEnd w:id="207"/>
      <w:bookmarkStart w:id="208" w:name="_Toc184313294"/>
      <w:bookmarkEnd w:id="208"/>
      <w:bookmarkStart w:id="209" w:name="_Toc184312075"/>
      <w:bookmarkEnd w:id="209"/>
      <w:bookmarkStart w:id="210" w:name="_Toc184314422"/>
      <w:bookmarkEnd w:id="210"/>
      <w:bookmarkStart w:id="211" w:name="_Toc184312132"/>
      <w:bookmarkEnd w:id="211"/>
      <w:bookmarkStart w:id="212" w:name="_Toc184312100"/>
      <w:bookmarkEnd w:id="212"/>
      <w:bookmarkStart w:id="213" w:name="_Toc184312120"/>
      <w:bookmarkEnd w:id="213"/>
      <w:bookmarkStart w:id="214" w:name="_Toc184310333"/>
      <w:bookmarkEnd w:id="214"/>
      <w:bookmarkStart w:id="215" w:name="_Toc184308045"/>
      <w:bookmarkEnd w:id="215"/>
      <w:bookmarkStart w:id="216" w:name="_Toc184313288"/>
      <w:bookmarkEnd w:id="216"/>
      <w:bookmarkStart w:id="217" w:name="_Toc184308051"/>
      <w:bookmarkEnd w:id="217"/>
      <w:bookmarkStart w:id="218" w:name="_Toc184312107"/>
      <w:bookmarkEnd w:id="218"/>
      <w:bookmarkStart w:id="219" w:name="_Toc184312129"/>
      <w:bookmarkEnd w:id="219"/>
      <w:bookmarkStart w:id="220" w:name="_Toc184308084"/>
      <w:bookmarkEnd w:id="220"/>
      <w:bookmarkStart w:id="221" w:name="_Toc184312078"/>
      <w:bookmarkEnd w:id="221"/>
      <w:bookmarkStart w:id="222" w:name="_Toc184310315"/>
      <w:bookmarkEnd w:id="222"/>
      <w:bookmarkStart w:id="223" w:name="_Toc184313273"/>
      <w:bookmarkEnd w:id="223"/>
      <w:bookmarkStart w:id="224" w:name="_Toc184313307"/>
      <w:bookmarkEnd w:id="224"/>
      <w:bookmarkStart w:id="225" w:name="_Toc184314448"/>
      <w:bookmarkEnd w:id="225"/>
      <w:bookmarkStart w:id="226" w:name="_Toc184312113"/>
      <w:bookmarkEnd w:id="226"/>
      <w:bookmarkStart w:id="227" w:name="_Toc184308067"/>
      <w:bookmarkEnd w:id="227"/>
      <w:bookmarkStart w:id="228" w:name="_Toc184312092"/>
      <w:bookmarkEnd w:id="228"/>
      <w:bookmarkStart w:id="229" w:name="_Toc184312105"/>
      <w:bookmarkEnd w:id="229"/>
      <w:bookmarkStart w:id="230" w:name="_Toc184313305"/>
      <w:bookmarkEnd w:id="230"/>
      <w:bookmarkStart w:id="231" w:name="_Toc184314464"/>
      <w:bookmarkEnd w:id="231"/>
      <w:bookmarkStart w:id="232" w:name="_Toc184314411"/>
      <w:bookmarkEnd w:id="232"/>
      <w:bookmarkStart w:id="233" w:name="_Toc184314462"/>
      <w:bookmarkEnd w:id="233"/>
      <w:bookmarkStart w:id="234" w:name="_Toc184313295"/>
      <w:bookmarkEnd w:id="234"/>
      <w:bookmarkStart w:id="235" w:name="_Toc184314421"/>
      <w:bookmarkEnd w:id="235"/>
      <w:bookmarkStart w:id="236" w:name="_Toc184313302"/>
      <w:bookmarkEnd w:id="236"/>
      <w:bookmarkStart w:id="237" w:name="_Toc184313244"/>
      <w:bookmarkEnd w:id="237"/>
      <w:bookmarkStart w:id="238" w:name="_Toc184310276"/>
      <w:bookmarkEnd w:id="238"/>
      <w:bookmarkStart w:id="239" w:name="_Toc184310308"/>
      <w:bookmarkEnd w:id="239"/>
      <w:bookmarkStart w:id="240" w:name="_Toc184314460"/>
      <w:bookmarkEnd w:id="240"/>
      <w:bookmarkStart w:id="241" w:name="_Toc184312090"/>
      <w:bookmarkEnd w:id="241"/>
      <w:bookmarkStart w:id="242" w:name="_Toc184313277"/>
      <w:bookmarkEnd w:id="242"/>
      <w:bookmarkStart w:id="243" w:name="_Toc184313287"/>
      <w:bookmarkEnd w:id="243"/>
      <w:bookmarkStart w:id="244" w:name="_Toc184313253"/>
      <w:bookmarkEnd w:id="244"/>
      <w:bookmarkStart w:id="245" w:name="_Toc184308090"/>
      <w:bookmarkEnd w:id="245"/>
      <w:bookmarkStart w:id="246" w:name="_Toc184313291"/>
      <w:bookmarkEnd w:id="246"/>
      <w:bookmarkStart w:id="247" w:name="_Toc184313274"/>
      <w:bookmarkEnd w:id="247"/>
      <w:bookmarkStart w:id="248" w:name="_Toc184310322"/>
      <w:bookmarkEnd w:id="248"/>
      <w:bookmarkStart w:id="249" w:name="_Toc184312125"/>
      <w:bookmarkEnd w:id="249"/>
      <w:bookmarkStart w:id="250" w:name="_Toc184310343"/>
      <w:bookmarkEnd w:id="250"/>
      <w:bookmarkStart w:id="251" w:name="_Toc184314473"/>
      <w:bookmarkEnd w:id="251"/>
      <w:bookmarkStart w:id="252" w:name="_Toc184310303"/>
      <w:bookmarkEnd w:id="252"/>
      <w:bookmarkStart w:id="253" w:name="_Toc184308081"/>
      <w:bookmarkEnd w:id="253"/>
      <w:bookmarkStart w:id="254" w:name="_Toc184308077"/>
      <w:bookmarkEnd w:id="254"/>
      <w:bookmarkStart w:id="255" w:name="_Toc184313271"/>
      <w:bookmarkEnd w:id="255"/>
      <w:bookmarkStart w:id="256" w:name="_Toc184313268"/>
      <w:bookmarkEnd w:id="256"/>
      <w:bookmarkStart w:id="257" w:name="_Toc184310293"/>
      <w:bookmarkEnd w:id="257"/>
      <w:bookmarkStart w:id="258" w:name="_Toc184314428"/>
      <w:bookmarkEnd w:id="258"/>
      <w:bookmarkStart w:id="259" w:name="_Toc184314470"/>
      <w:bookmarkEnd w:id="259"/>
      <w:bookmarkStart w:id="260" w:name="_Toc184314442"/>
      <w:bookmarkEnd w:id="260"/>
      <w:bookmarkStart w:id="261" w:name="_Toc184310329"/>
      <w:bookmarkEnd w:id="261"/>
      <w:bookmarkStart w:id="262" w:name="_Toc184313270"/>
      <w:bookmarkEnd w:id="262"/>
      <w:bookmarkStart w:id="263" w:name="_Toc184314443"/>
      <w:bookmarkEnd w:id="263"/>
      <w:bookmarkStart w:id="264" w:name="_Toc184313310"/>
      <w:bookmarkEnd w:id="264"/>
      <w:bookmarkStart w:id="265" w:name="_Toc184308065"/>
      <w:bookmarkEnd w:id="265"/>
      <w:bookmarkStart w:id="266" w:name="_Toc184314449"/>
      <w:bookmarkEnd w:id="266"/>
      <w:bookmarkStart w:id="267" w:name="_Toc184308075"/>
      <w:bookmarkEnd w:id="267"/>
      <w:bookmarkStart w:id="268" w:name="_Toc184308088"/>
      <w:bookmarkEnd w:id="268"/>
      <w:bookmarkStart w:id="269" w:name="_Toc184314413"/>
      <w:bookmarkEnd w:id="269"/>
      <w:bookmarkStart w:id="270" w:name="_Toc184310272"/>
      <w:bookmarkEnd w:id="270"/>
      <w:bookmarkStart w:id="271" w:name="_Toc184310314"/>
      <w:bookmarkEnd w:id="271"/>
      <w:bookmarkStart w:id="272" w:name="_Toc184310312"/>
      <w:bookmarkEnd w:id="272"/>
      <w:bookmarkStart w:id="273" w:name="_Toc184310325"/>
      <w:bookmarkEnd w:id="273"/>
      <w:bookmarkStart w:id="274" w:name="_Toc184313263"/>
      <w:bookmarkEnd w:id="274"/>
      <w:bookmarkStart w:id="275" w:name="_Toc184312085"/>
      <w:bookmarkEnd w:id="275"/>
      <w:bookmarkStart w:id="276" w:name="_Toc184313283"/>
      <w:bookmarkEnd w:id="276"/>
      <w:bookmarkStart w:id="277" w:name="_Toc184314427"/>
      <w:bookmarkEnd w:id="277"/>
      <w:bookmarkStart w:id="278" w:name="_Toc184312124"/>
      <w:bookmarkEnd w:id="278"/>
      <w:bookmarkStart w:id="279" w:name="_Toc184314414"/>
      <w:bookmarkEnd w:id="279"/>
      <w:bookmarkStart w:id="280" w:name="_Toc184312139"/>
      <w:bookmarkEnd w:id="280"/>
      <w:bookmarkStart w:id="281" w:name="_Toc184314435"/>
      <w:bookmarkEnd w:id="281"/>
      <w:bookmarkStart w:id="282" w:name="_Toc184308037"/>
      <w:bookmarkEnd w:id="282"/>
      <w:bookmarkStart w:id="283" w:name="_Toc184308093"/>
      <w:bookmarkEnd w:id="283"/>
      <w:bookmarkStart w:id="284" w:name="_Toc184308039"/>
      <w:bookmarkEnd w:id="284"/>
      <w:bookmarkStart w:id="285" w:name="_Toc184310304"/>
      <w:bookmarkEnd w:id="285"/>
      <w:bookmarkStart w:id="286" w:name="_Toc184308103"/>
      <w:bookmarkEnd w:id="286"/>
      <w:bookmarkStart w:id="287" w:name="_Toc184314416"/>
      <w:bookmarkEnd w:id="287"/>
      <w:bookmarkStart w:id="288" w:name="_Toc184308073"/>
      <w:bookmarkEnd w:id="288"/>
      <w:bookmarkStart w:id="289" w:name="_Toc184308047"/>
      <w:bookmarkEnd w:id="289"/>
      <w:bookmarkStart w:id="290" w:name="_Toc184313303"/>
      <w:bookmarkEnd w:id="290"/>
      <w:bookmarkStart w:id="291" w:name="_Toc184314469"/>
      <w:bookmarkEnd w:id="291"/>
      <w:bookmarkStart w:id="292" w:name="_Toc184314478"/>
      <w:bookmarkEnd w:id="292"/>
      <w:bookmarkStart w:id="293" w:name="_Toc184314457"/>
      <w:bookmarkEnd w:id="293"/>
      <w:bookmarkStart w:id="294" w:name="_Toc184308098"/>
      <w:bookmarkEnd w:id="294"/>
      <w:bookmarkStart w:id="295" w:name="_Toc184310307"/>
      <w:bookmarkEnd w:id="295"/>
      <w:bookmarkStart w:id="296" w:name="_Toc184312088"/>
      <w:bookmarkEnd w:id="296"/>
      <w:bookmarkStart w:id="297" w:name="_Toc184313293"/>
      <w:bookmarkEnd w:id="297"/>
      <w:bookmarkStart w:id="298" w:name="_Toc184314480"/>
      <w:bookmarkEnd w:id="298"/>
      <w:bookmarkStart w:id="299" w:name="_Toc184313251"/>
      <w:bookmarkEnd w:id="299"/>
      <w:bookmarkStart w:id="300" w:name="_Toc184313269"/>
      <w:bookmarkEnd w:id="300"/>
      <w:bookmarkStart w:id="301" w:name="_Toc184308046"/>
      <w:bookmarkEnd w:id="301"/>
      <w:bookmarkStart w:id="302" w:name="_Toc184313252"/>
      <w:bookmarkEnd w:id="302"/>
      <w:bookmarkStart w:id="303" w:name="_Toc184308092"/>
      <w:bookmarkEnd w:id="303"/>
      <w:bookmarkStart w:id="304" w:name="_Toc184314476"/>
      <w:bookmarkEnd w:id="304"/>
      <w:bookmarkStart w:id="305" w:name="_Toc184310281"/>
      <w:bookmarkEnd w:id="305"/>
      <w:bookmarkStart w:id="306" w:name="_Toc184312130"/>
      <w:bookmarkEnd w:id="306"/>
      <w:bookmarkStart w:id="307" w:name="_Toc184312070"/>
      <w:bookmarkEnd w:id="307"/>
      <w:bookmarkStart w:id="308" w:name="_Toc184310289"/>
      <w:bookmarkEnd w:id="308"/>
      <w:bookmarkStart w:id="309" w:name="_Toc184312086"/>
      <w:bookmarkEnd w:id="309"/>
      <w:bookmarkStart w:id="310" w:name="_Toc184310296"/>
      <w:bookmarkEnd w:id="310"/>
      <w:bookmarkStart w:id="311" w:name="_Toc184308069"/>
      <w:bookmarkEnd w:id="311"/>
      <w:bookmarkStart w:id="312" w:name="_Toc184313285"/>
      <w:bookmarkEnd w:id="312"/>
      <w:bookmarkStart w:id="313" w:name="_Toc184313301"/>
      <w:bookmarkEnd w:id="313"/>
      <w:bookmarkStart w:id="314" w:name="_Toc184313284"/>
      <w:bookmarkEnd w:id="314"/>
      <w:bookmarkStart w:id="315" w:name="_Toc184312080"/>
      <w:bookmarkEnd w:id="315"/>
      <w:bookmarkStart w:id="316" w:name="_Toc184312116"/>
      <w:bookmarkEnd w:id="316"/>
      <w:bookmarkStart w:id="317" w:name="_Toc184313239"/>
      <w:bookmarkEnd w:id="317"/>
      <w:bookmarkStart w:id="318" w:name="_Toc184312068"/>
      <w:bookmarkEnd w:id="318"/>
      <w:bookmarkStart w:id="319" w:name="_Toc184314472"/>
      <w:bookmarkEnd w:id="319"/>
      <w:bookmarkStart w:id="320" w:name="_Toc184312108"/>
      <w:bookmarkEnd w:id="320"/>
      <w:bookmarkStart w:id="321" w:name="_Toc184310301"/>
      <w:bookmarkEnd w:id="321"/>
      <w:bookmarkStart w:id="322" w:name="_Toc184313260"/>
      <w:bookmarkEnd w:id="322"/>
      <w:bookmarkStart w:id="323" w:name="_Toc184310335"/>
      <w:bookmarkEnd w:id="323"/>
      <w:bookmarkStart w:id="324" w:name="_Toc184308041"/>
      <w:bookmarkEnd w:id="324"/>
      <w:bookmarkStart w:id="325" w:name="_Toc184314481"/>
      <w:bookmarkEnd w:id="325"/>
      <w:bookmarkStart w:id="326" w:name="_Toc184308060"/>
      <w:bookmarkEnd w:id="326"/>
      <w:bookmarkStart w:id="327" w:name="_Toc184313279"/>
      <w:bookmarkEnd w:id="327"/>
      <w:bookmarkStart w:id="328" w:name="_Toc184313297"/>
      <w:bookmarkEnd w:id="328"/>
      <w:bookmarkStart w:id="329" w:name="_Toc184310342"/>
      <w:bookmarkEnd w:id="329"/>
      <w:bookmarkStart w:id="330" w:name="_Toc184312074"/>
      <w:bookmarkEnd w:id="330"/>
      <w:bookmarkStart w:id="331" w:name="_Toc184314420"/>
      <w:bookmarkEnd w:id="331"/>
      <w:bookmarkStart w:id="332" w:name="_Toc184312138"/>
      <w:bookmarkEnd w:id="332"/>
      <w:bookmarkStart w:id="333" w:name="_Toc184308062"/>
      <w:bookmarkEnd w:id="333"/>
      <w:bookmarkStart w:id="334" w:name="_Toc184314436"/>
      <w:bookmarkEnd w:id="334"/>
      <w:bookmarkStart w:id="335" w:name="_Toc184314458"/>
      <w:bookmarkEnd w:id="335"/>
      <w:bookmarkStart w:id="336" w:name="_Toc184310278"/>
      <w:bookmarkEnd w:id="336"/>
      <w:bookmarkStart w:id="337" w:name="_Toc184308036"/>
      <w:bookmarkEnd w:id="337"/>
      <w:bookmarkStart w:id="338" w:name="_Toc184312083"/>
      <w:bookmarkEnd w:id="338"/>
      <w:bookmarkStart w:id="339" w:name="_Toc184312076"/>
      <w:bookmarkEnd w:id="339"/>
      <w:bookmarkStart w:id="340" w:name="_Toc184313261"/>
      <w:bookmarkEnd w:id="340"/>
      <w:bookmarkStart w:id="341" w:name="_Toc184312133"/>
      <w:bookmarkEnd w:id="341"/>
      <w:bookmarkStart w:id="342" w:name="_Toc184314452"/>
      <w:bookmarkEnd w:id="342"/>
      <w:bookmarkStart w:id="343" w:name="_Toc184312119"/>
      <w:bookmarkEnd w:id="343"/>
      <w:bookmarkStart w:id="344" w:name="_Toc184312115"/>
      <w:bookmarkEnd w:id="344"/>
      <w:bookmarkStart w:id="345" w:name="_Toc184312072"/>
      <w:bookmarkEnd w:id="345"/>
      <w:bookmarkStart w:id="346" w:name="_Toc184308095"/>
      <w:bookmarkEnd w:id="346"/>
      <w:bookmarkStart w:id="347" w:name="_Toc184308052"/>
      <w:bookmarkEnd w:id="347"/>
      <w:bookmarkStart w:id="348" w:name="_Toc184310323"/>
      <w:bookmarkEnd w:id="348"/>
      <w:bookmarkStart w:id="349" w:name="_Toc184310288"/>
      <w:bookmarkEnd w:id="349"/>
      <w:bookmarkStart w:id="350" w:name="_Toc184313308"/>
      <w:bookmarkEnd w:id="350"/>
      <w:bookmarkStart w:id="351" w:name="_Toc184314467"/>
      <w:bookmarkEnd w:id="351"/>
      <w:bookmarkStart w:id="352" w:name="_Toc184310324"/>
      <w:bookmarkEnd w:id="352"/>
      <w:bookmarkStart w:id="353" w:name="_Toc184308058"/>
      <w:bookmarkEnd w:id="353"/>
      <w:bookmarkStart w:id="354" w:name="_Toc184314453"/>
      <w:bookmarkEnd w:id="354"/>
      <w:bookmarkStart w:id="355" w:name="_Toc184313256"/>
      <w:bookmarkEnd w:id="355"/>
      <w:bookmarkStart w:id="356" w:name="_Toc184312067"/>
      <w:bookmarkEnd w:id="356"/>
      <w:bookmarkStart w:id="357" w:name="_Toc184313258"/>
      <w:bookmarkEnd w:id="357"/>
      <w:bookmarkStart w:id="358" w:name="_Toc184312112"/>
      <w:bookmarkEnd w:id="358"/>
      <w:bookmarkStart w:id="359" w:name="_Toc184310340"/>
      <w:bookmarkEnd w:id="359"/>
      <w:bookmarkStart w:id="360" w:name="_Toc184310277"/>
      <w:bookmarkEnd w:id="360"/>
      <w:bookmarkStart w:id="361" w:name="_Toc184314434"/>
      <w:bookmarkEnd w:id="361"/>
      <w:bookmarkStart w:id="362" w:name="_Toc184310331"/>
      <w:bookmarkEnd w:id="362"/>
      <w:bookmarkStart w:id="363" w:name="_Toc184314475"/>
      <w:bookmarkEnd w:id="363"/>
      <w:bookmarkStart w:id="364" w:name="_Toc184314437"/>
      <w:bookmarkEnd w:id="364"/>
      <w:bookmarkStart w:id="365" w:name="_Toc184313262"/>
      <w:bookmarkEnd w:id="365"/>
      <w:bookmarkStart w:id="366" w:name="_Toc184313246"/>
      <w:bookmarkEnd w:id="366"/>
      <w:bookmarkStart w:id="367" w:name="_Toc184313255"/>
      <w:bookmarkEnd w:id="367"/>
      <w:bookmarkStart w:id="368" w:name="_Toc184313267"/>
      <w:bookmarkEnd w:id="368"/>
      <w:bookmarkStart w:id="369" w:name="_Toc184314444"/>
      <w:bookmarkEnd w:id="369"/>
      <w:bookmarkStart w:id="370" w:name="_Toc184310336"/>
      <w:bookmarkEnd w:id="370"/>
      <w:bookmarkStart w:id="371" w:name="_Toc184310274"/>
      <w:bookmarkEnd w:id="371"/>
      <w:bookmarkStart w:id="372" w:name="_Toc184314412"/>
      <w:bookmarkEnd w:id="372"/>
      <w:bookmarkStart w:id="373" w:name="_Toc184308053"/>
      <w:bookmarkEnd w:id="373"/>
      <w:bookmarkStart w:id="374" w:name="_Toc184308057"/>
      <w:bookmarkEnd w:id="374"/>
      <w:bookmarkStart w:id="375" w:name="_Toc184310338"/>
      <w:bookmarkEnd w:id="375"/>
      <w:bookmarkStart w:id="376" w:name="_Toc184308079"/>
      <w:bookmarkEnd w:id="376"/>
      <w:bookmarkStart w:id="377" w:name="_Toc184313286"/>
      <w:bookmarkEnd w:id="377"/>
      <w:bookmarkStart w:id="378" w:name="_Toc184313300"/>
      <w:bookmarkEnd w:id="378"/>
      <w:bookmarkStart w:id="379" w:name="_Toc184308038"/>
      <w:bookmarkEnd w:id="379"/>
      <w:bookmarkStart w:id="380" w:name="_Toc184313292"/>
      <w:bookmarkEnd w:id="380"/>
      <w:bookmarkStart w:id="381" w:name="_Toc184308101"/>
      <w:bookmarkEnd w:id="381"/>
      <w:bookmarkStart w:id="382" w:name="_Toc184310275"/>
      <w:bookmarkEnd w:id="382"/>
      <w:bookmarkStart w:id="383" w:name="_Toc184310313"/>
      <w:bookmarkEnd w:id="383"/>
      <w:bookmarkStart w:id="384" w:name="_Toc184313272"/>
      <w:bookmarkEnd w:id="384"/>
      <w:bookmarkStart w:id="385" w:name="_Toc184310327"/>
      <w:bookmarkEnd w:id="385"/>
      <w:bookmarkStart w:id="386" w:name="_Toc184310286"/>
      <w:bookmarkEnd w:id="386"/>
      <w:bookmarkStart w:id="387" w:name="_Toc184313299"/>
      <w:bookmarkEnd w:id="387"/>
      <w:bookmarkStart w:id="388" w:name="_Toc184312127"/>
      <w:bookmarkEnd w:id="388"/>
      <w:bookmarkStart w:id="389" w:name="_Toc184313247"/>
      <w:bookmarkEnd w:id="389"/>
      <w:bookmarkStart w:id="390" w:name="_Toc184308063"/>
      <w:bookmarkEnd w:id="390"/>
      <w:bookmarkStart w:id="391" w:name="_Toc184312081"/>
      <w:bookmarkEnd w:id="391"/>
      <w:r>
        <w:rPr>
          <w:rFonts w:hint="eastAsia" w:ascii="仿宋" w:hAnsi="仿宋" w:eastAsia="仿宋" w:cs="仿宋"/>
          <w:b/>
          <w:sz w:val="36"/>
          <w:szCs w:val="36"/>
          <w:lang w:eastAsia="zh-CN"/>
        </w:rPr>
        <w:t>　　</w:t>
      </w:r>
      <w:r>
        <w:rPr>
          <w:rFonts w:hint="eastAsia" w:ascii="仿宋" w:hAnsi="仿宋" w:eastAsia="仿宋" w:cs="仿宋"/>
          <w:b/>
          <w:sz w:val="36"/>
          <w:szCs w:val="36"/>
        </w:rPr>
        <w:t>评标办法</w:t>
      </w:r>
    </w:p>
    <w:tbl>
      <w:tblPr>
        <w:tblStyle w:val="66"/>
        <w:tblW w:w="905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5675"/>
        <w:gridCol w:w="613"/>
        <w:gridCol w:w="97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567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评标标准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权重</w:t>
            </w:r>
          </w:p>
        </w:tc>
        <w:tc>
          <w:tcPr>
            <w:tcW w:w="97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主观分/客观分属性</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675" w:type="dxa"/>
            <w:shd w:val="clear" w:color="auto" w:fill="auto"/>
            <w:tcMar>
              <w:top w:w="15" w:type="dxa"/>
              <w:left w:w="15" w:type="dxa"/>
              <w:right w:w="15" w:type="dxa"/>
            </w:tcMar>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根据供应商针对本项目监理范围和内容要求制作的监理服务大纲，其内容简明扼要，重点突出，针对性强。</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证明材料：提供监理服务大纲方案。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主</w:t>
            </w:r>
            <w:r>
              <w:rPr>
                <w:rFonts w:hint="eastAsia" w:ascii="仿宋" w:hAnsi="仿宋" w:eastAsia="仿宋" w:cs="仿宋"/>
                <w:color w:val="000000"/>
                <w:sz w:val="24"/>
                <w:szCs w:val="24"/>
              </w:rPr>
              <w:t>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监理服务工作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0" w:type="dxa"/>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675" w:type="dxa"/>
            <w:shd w:val="clear" w:color="auto" w:fill="FFFFFF"/>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项目负责人具有信息系统监理师证书、政府环保部门或政府环境监测部门颁发的地表水环境质量自动监测培训合格证书、高级工程师职称证书、信息系统项目管理师（高级）证书的，每项得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分，最高得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（提供相关证书材料及投标截止之日前3个月的社保证明材料扫描件加盖公章，否则不得分）。</w:t>
            </w:r>
          </w:p>
        </w:tc>
        <w:tc>
          <w:tcPr>
            <w:tcW w:w="613" w:type="dxa"/>
            <w:shd w:val="clear" w:color="auto" w:fill="FFFFFF"/>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c>
          <w:tcPr>
            <w:tcW w:w="1189" w:type="dxa"/>
            <w:shd w:val="clear" w:color="auto" w:fill="auto"/>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拟派</w:t>
            </w:r>
            <w:r>
              <w:rPr>
                <w:rFonts w:hint="eastAsia" w:ascii="仿宋" w:hAnsi="仿宋" w:eastAsia="仿宋" w:cs="仿宋"/>
                <w:color w:val="000000"/>
                <w:sz w:val="24"/>
                <w:szCs w:val="24"/>
                <w:lang w:val="en-US" w:eastAsia="zh-CN"/>
              </w:rPr>
              <w:t>本项目</w:t>
            </w:r>
            <w:r>
              <w:rPr>
                <w:rFonts w:hint="eastAsia" w:ascii="仿宋" w:hAnsi="仿宋" w:eastAsia="仿宋" w:cs="仿宋"/>
                <w:color w:val="000000"/>
                <w:sz w:val="24"/>
                <w:szCs w:val="24"/>
              </w:rPr>
              <w:t>现场监理人员（不含项目负责人）持有省级以上政府环保部门或政府环境监测部门颁发的地表水环境（水质）质量自动监测培训合格证书的。有一人得1分，最多得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拟派的在线分析（监理）人员具有信息系统监理师证书、大数据安全分析师（CISP-BDSA）、自动监控（污废水）运行工证书，每项得1分，最多得3分。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（提供相关证书材料及投标截止之日前3个月的社保证明材料扫描件加盖公章，否则不得分）。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客观分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服务本项目</w:t>
            </w:r>
            <w:r>
              <w:rPr>
                <w:rFonts w:hint="eastAsia" w:ascii="仿宋" w:hAnsi="仿宋" w:eastAsia="仿宋" w:cs="仿宋"/>
                <w:color w:val="000000"/>
                <w:sz w:val="24"/>
                <w:szCs w:val="24"/>
              </w:rPr>
              <w:t>检查（监理）车辆配置：本项目要求检查（监理）单位保证配备的专用巡检车辆数量1辆得2分，在杭已有项目检查（监理）的公司须承诺不得与本项目车辆重复。（需提供车辆证明扫描件和承诺函，否则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客观分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车辆配置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p>
        </w:tc>
        <w:tc>
          <w:tcPr>
            <w:tcW w:w="5675" w:type="dxa"/>
            <w:shd w:val="clear" w:color="auto" w:fill="auto"/>
            <w:tcMar>
              <w:top w:w="15" w:type="dxa"/>
              <w:left w:w="15" w:type="dxa"/>
              <w:right w:w="15" w:type="dxa"/>
            </w:tcMar>
            <w:vAlign w:val="top"/>
          </w:tcPr>
          <w:p>
            <w:pPr>
              <w:rPr>
                <w:rFonts w:ascii="仿宋" w:hAnsi="仿宋" w:eastAsia="仿宋" w:cs="仿宋"/>
                <w:color w:val="auto"/>
                <w:sz w:val="24"/>
              </w:rPr>
            </w:pPr>
            <w:r>
              <w:rPr>
                <w:rFonts w:ascii="仿宋" w:hAnsi="仿宋" w:eastAsia="仿宋" w:cs="仿宋"/>
                <w:color w:val="auto"/>
                <w:sz w:val="24"/>
              </w:rPr>
              <w:t>根据投标人对本项目的重难点分析，包括但不限于下列内容:重难点分析提出重难点解决方案，进行评审。</w:t>
            </w:r>
          </w:p>
          <w:p>
            <w:pPr>
              <w:rPr>
                <w:rFonts w:hint="eastAsia" w:ascii="仿宋" w:hAnsi="仿宋" w:eastAsia="仿宋" w:cs="仿宋"/>
                <w:color w:val="auto"/>
                <w:sz w:val="24"/>
                <w:szCs w:val="24"/>
              </w:rPr>
            </w:pPr>
            <w:r>
              <w:rPr>
                <w:rFonts w:hint="eastAsia" w:ascii="仿宋" w:hAnsi="仿宋" w:eastAsia="仿宋" w:cs="仿宋"/>
                <w:color w:val="auto"/>
                <w:sz w:val="24"/>
              </w:rPr>
              <w:t>可行性强的得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分，基本合理的</w:t>
            </w: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r>
              <w:rPr>
                <w:rFonts w:hint="eastAsia" w:ascii="仿宋" w:hAnsi="仿宋" w:eastAsia="仿宋" w:cs="仿宋"/>
                <w:color w:val="auto"/>
                <w:sz w:val="24"/>
                <w:lang w:val="en-US" w:eastAsia="zh-CN"/>
              </w:rPr>
              <w:t>部分</w:t>
            </w:r>
            <w:r>
              <w:rPr>
                <w:rFonts w:hint="eastAsia" w:ascii="仿宋" w:hAnsi="仿宋" w:eastAsia="仿宋" w:cs="仿宋"/>
                <w:color w:val="auto"/>
                <w:sz w:val="24"/>
              </w:rPr>
              <w:t>合理方案</w:t>
            </w:r>
            <w:r>
              <w:rPr>
                <w:rFonts w:hint="eastAsia" w:ascii="仿宋" w:hAnsi="仿宋" w:eastAsia="仿宋" w:cs="仿宋"/>
                <w:color w:val="auto"/>
                <w:sz w:val="24"/>
                <w:lang w:val="en-US" w:eastAsia="zh-CN"/>
              </w:rPr>
              <w:t>一般</w:t>
            </w:r>
            <w:r>
              <w:rPr>
                <w:rFonts w:hint="eastAsia" w:ascii="仿宋" w:hAnsi="仿宋" w:eastAsia="仿宋" w:cs="仿宋"/>
                <w:color w:val="auto"/>
                <w:sz w:val="24"/>
              </w:rPr>
              <w:t>的得1分，未提供不得分。</w:t>
            </w:r>
          </w:p>
        </w:tc>
        <w:tc>
          <w:tcPr>
            <w:tcW w:w="613" w:type="dxa"/>
            <w:shd w:val="clear" w:color="auto" w:fill="auto"/>
            <w:tcMar>
              <w:top w:w="15" w:type="dxa"/>
              <w:left w:w="15" w:type="dxa"/>
              <w:right w:w="15" w:type="dxa"/>
            </w:tcMar>
            <w:vAlign w:val="center"/>
          </w:tcPr>
          <w:p>
            <w:pPr>
              <w:jc w:val="center"/>
              <w:rPr>
                <w:rFonts w:hint="eastAsia" w:ascii="仿宋" w:hAnsi="仿宋" w:eastAsia="仿宋" w:cs="仿宋"/>
                <w:color w:val="000000"/>
                <w:kern w:val="0"/>
                <w:sz w:val="24"/>
                <w:szCs w:val="24"/>
              </w:rPr>
            </w:pPr>
            <w:r>
              <w:rPr>
                <w:rFonts w:hint="eastAsia" w:ascii="仿宋" w:hAnsi="仿宋" w:eastAsia="仿宋" w:cs="仿宋"/>
                <w:sz w:val="24"/>
                <w:lang w:val="en-US" w:eastAsia="zh-CN"/>
              </w:rPr>
              <w:t>3</w:t>
            </w:r>
          </w:p>
        </w:tc>
        <w:tc>
          <w:tcPr>
            <w:tcW w:w="973" w:type="dxa"/>
            <w:shd w:val="clear" w:color="auto" w:fill="auto"/>
            <w:noWrap/>
            <w:tcMar>
              <w:top w:w="15" w:type="dxa"/>
              <w:left w:w="15" w:type="dxa"/>
              <w:right w:w="15" w:type="dxa"/>
            </w:tcMar>
            <w:vAlign w:val="center"/>
          </w:tcPr>
          <w:p>
            <w:pPr>
              <w:jc w:val="center"/>
              <w:rPr>
                <w:rFonts w:hint="eastAsia" w:ascii="仿宋" w:hAnsi="仿宋" w:eastAsia="仿宋" w:cs="仿宋"/>
                <w:color w:val="000000"/>
                <w:sz w:val="24"/>
                <w:szCs w:val="24"/>
              </w:rPr>
            </w:pPr>
            <w:r>
              <w:rPr>
                <w:rFonts w:hint="eastAsia" w:ascii="仿宋" w:hAnsi="仿宋" w:eastAsia="仿宋" w:cs="仿宋"/>
                <w:sz w:val="24"/>
              </w:rPr>
              <w:t>主观分</w:t>
            </w:r>
          </w:p>
        </w:tc>
        <w:tc>
          <w:tcPr>
            <w:tcW w:w="1189" w:type="dxa"/>
            <w:shd w:val="clear" w:color="auto" w:fill="auto"/>
            <w:tcMar>
              <w:top w:w="15" w:type="dxa"/>
              <w:left w:w="15" w:type="dxa"/>
              <w:right w:w="15" w:type="dxa"/>
            </w:tcMar>
            <w:vAlign w:val="center"/>
          </w:tcPr>
          <w:p>
            <w:pPr>
              <w:widowControl/>
              <w:rPr>
                <w:rFonts w:hint="default" w:ascii="仿宋" w:hAnsi="仿宋" w:eastAsia="仿宋" w:cs="仿宋"/>
                <w:color w:val="000000"/>
                <w:sz w:val="24"/>
                <w:szCs w:val="24"/>
                <w:lang w:val="en-US" w:eastAsia="zh-CN"/>
              </w:rPr>
            </w:pPr>
            <w:r>
              <w:rPr>
                <w:rFonts w:ascii="仿宋" w:hAnsi="仿宋" w:eastAsia="仿宋" w:cs="仿宋"/>
                <w:sz w:val="24"/>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根据供应商针对本项目具体分项内容的理解，理解针对性强、深入、全面、准确到位、阐述准确等因素进行打分。</w:t>
            </w:r>
          </w:p>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证明材料：提供项目分项内容理解方案。</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vMerge w:val="restart"/>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eastAsia" w:ascii="仿宋" w:hAnsi="仿宋" w:eastAsia="仿宋" w:cs="仿宋"/>
                <w:color w:val="000000"/>
                <w:sz w:val="24"/>
                <w:szCs w:val="24"/>
                <w:lang w:val="en-US" w:eastAsia="zh-CN"/>
              </w:rPr>
            </w:pPr>
          </w:p>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项目整体理解和问题解决措施方案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0" w:type="dxa"/>
            <w:shd w:val="clear" w:color="auto" w:fill="auto"/>
            <w:tcMar>
              <w:top w:w="15" w:type="dxa"/>
              <w:left w:w="15" w:type="dxa"/>
              <w:right w:w="15" w:type="dxa"/>
            </w:tcMar>
            <w:vAlign w:val="center"/>
          </w:tcPr>
          <w:p>
            <w:pPr>
              <w:widowControl/>
              <w:ind w:firstLine="240" w:firstLineChars="100"/>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根据供应商针对本项目的背景、系统及建设现状、存在问题和差距、总体架构、技术方案的理解是否具有针对性、全面性、准确性，分析全面、准确、合理且具有针对性。</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证明材料：提供项目整体理解方案。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vMerge w:val="continue"/>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根据供应商针对本项目情况找准关键点，采用信息化系统对项目进行管理，并提出切实可行的特殊监理措施等情况进行打分。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证明材料：提供关键点的特殊控制方案。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vMerge w:val="continue"/>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根据供应商针对本项目需求并结合自身专业优势，提出</w:t>
            </w:r>
            <w:r>
              <w:rPr>
                <w:rFonts w:hint="eastAsia" w:ascii="仿宋" w:hAnsi="仿宋" w:eastAsia="仿宋" w:cs="仿宋"/>
                <w:sz w:val="24"/>
                <w:szCs w:val="24"/>
                <w:lang w:val="en-US" w:eastAsia="zh-CN"/>
              </w:rPr>
              <w:t>独特</w:t>
            </w:r>
            <w:r>
              <w:rPr>
                <w:rFonts w:hint="eastAsia" w:ascii="仿宋" w:hAnsi="仿宋" w:eastAsia="仿宋" w:cs="仿宋"/>
                <w:sz w:val="24"/>
                <w:szCs w:val="24"/>
              </w:rPr>
              <w:t>的合理化建议进行评分。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证明材料：提供理解及合理化建议方案。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ind w:firstLine="240" w:firstLineChars="1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根据供应商结合项目实际情况、类似典型案例和信息化管理手段，针对本项目情况科学合理地采取质量控制方法及措施进行打分。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证明材料：提供质量控制方案。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质量控制</w:t>
            </w:r>
            <w:r>
              <w:rPr>
                <w:rFonts w:hint="eastAsia" w:ascii="仿宋" w:hAnsi="仿宋" w:eastAsia="仿宋" w:cs="仿宋"/>
                <w:color w:val="000000"/>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ind w:firstLine="240" w:firstLineChars="1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根据供应商结合项目实际情况、类似典型案例和信息化管理</w:t>
            </w:r>
            <w:r>
              <w:rPr>
                <w:rFonts w:hint="eastAsia" w:ascii="仿宋" w:hAnsi="仿宋" w:eastAsia="仿宋" w:cs="仿宋"/>
                <w:sz w:val="24"/>
                <w:szCs w:val="24"/>
                <w:lang w:val="en-US" w:eastAsia="zh-CN"/>
              </w:rPr>
              <w:t>方式</w:t>
            </w:r>
            <w:r>
              <w:rPr>
                <w:rFonts w:hint="eastAsia" w:ascii="仿宋" w:hAnsi="仿宋" w:eastAsia="仿宋" w:cs="仿宋"/>
                <w:sz w:val="24"/>
                <w:szCs w:val="24"/>
              </w:rPr>
              <w:t>，针对本项目情况科学合理地采取进度控制的监理工作方法及措施详细、科学合理，针对性强，有助于项目的顺利实施等情况进行打分。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证明材料：提供进度控制方案。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分；方案内容基本完整、合理得</w:t>
            </w:r>
            <w:r>
              <w:rPr>
                <w:rFonts w:hint="eastAsia" w:ascii="仿宋" w:hAnsi="仿宋" w:eastAsia="仿宋" w:cs="仿宋"/>
                <w:sz w:val="24"/>
                <w:szCs w:val="24"/>
                <w:lang w:val="en-US" w:eastAsia="zh-CN"/>
              </w:rPr>
              <w:t>2</w:t>
            </w:r>
            <w:r>
              <w:rPr>
                <w:rFonts w:hint="eastAsia" w:ascii="仿宋" w:hAnsi="仿宋" w:eastAsia="仿宋" w:cs="仿宋"/>
                <w:sz w:val="24"/>
                <w:szCs w:val="24"/>
              </w:rPr>
              <w:t>分；方案内容完整性、合理性一般得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施工</w:t>
            </w:r>
            <w:r>
              <w:rPr>
                <w:rFonts w:hint="eastAsia" w:ascii="仿宋" w:hAnsi="仿宋" w:eastAsia="仿宋" w:cs="仿宋"/>
                <w:color w:val="000000"/>
                <w:sz w:val="24"/>
                <w:szCs w:val="24"/>
              </w:rPr>
              <w:t>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根据供应商结合项目实际情况，提供的项目合同管理和项目安全管理方案详细且科学合理，针对性强等内容进行打分。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证明材料：提供项目合同和项目安全管理方案。</w:t>
            </w:r>
            <w:r>
              <w:rPr>
                <w:rFonts w:hint="eastAsia" w:ascii="仿宋" w:hAnsi="仿宋" w:eastAsia="仿宋" w:cs="仿宋"/>
                <w:sz w:val="24"/>
                <w:szCs w:val="24"/>
              </w:rPr>
              <w:br w:type="textWrapping"/>
            </w:r>
            <w:r>
              <w:rPr>
                <w:rFonts w:hint="eastAsia" w:ascii="仿宋" w:hAnsi="仿宋" w:eastAsia="仿宋" w:cs="仿宋"/>
                <w:sz w:val="24"/>
                <w:szCs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安全生产管理方案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根据供应商提供的应急预案的科学、合理、可行性强的得5分，应急预案的基本科学、基本合理、基本可行的得4分，基本合理的3分，部分合理的2分；不合理的得1分，未提供不得分。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sz w:val="24"/>
                <w:szCs w:val="24"/>
              </w:rPr>
            </w:pPr>
            <w:r>
              <w:rPr>
                <w:rFonts w:hint="eastAsia" w:ascii="仿宋" w:hAnsi="仿宋" w:eastAsia="仿宋" w:cs="仿宋"/>
                <w:sz w:val="24"/>
              </w:rPr>
              <w:t>根据供应商结合项目实际情况，提供的信息管理/项目文档管理方案详细且科学合理，针对性强等内容进行打分。证明材料：提供信息管理/项目文档管理方案。</w:t>
            </w:r>
            <w:r>
              <w:rPr>
                <w:rFonts w:hint="eastAsia" w:ascii="仿宋" w:hAnsi="仿宋" w:eastAsia="仿宋" w:cs="仿宋"/>
                <w:sz w:val="24"/>
              </w:rPr>
              <w:br w:type="textWrapping"/>
            </w:r>
            <w:r>
              <w:rPr>
                <w:rFonts w:hint="eastAsia" w:ascii="仿宋" w:hAnsi="仿宋" w:eastAsia="仿宋" w:cs="仿宋"/>
                <w:sz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rPr>
              <w:t>信息管理/项目文档管理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根据供应商针对本项目提供解决在建设过程中各种纠纷的条理方案的完整性、科学性等内容进行打分。</w:t>
            </w:r>
          </w:p>
          <w:p>
            <w:pPr>
              <w:widowControl/>
              <w:jc w:val="left"/>
              <w:textAlignment w:val="center"/>
              <w:rPr>
                <w:rFonts w:hint="eastAsia" w:ascii="仿宋" w:hAnsi="仿宋" w:eastAsia="仿宋" w:cs="仿宋"/>
                <w:sz w:val="24"/>
                <w:szCs w:val="24"/>
              </w:rPr>
            </w:pPr>
            <w:r>
              <w:rPr>
                <w:rFonts w:hint="eastAsia" w:ascii="仿宋" w:hAnsi="仿宋" w:eastAsia="仿宋" w:cs="仿宋"/>
                <w:sz w:val="24"/>
              </w:rPr>
              <w:t>证明材料：提供项目建设协调管理方案。</w:t>
            </w:r>
            <w:r>
              <w:rPr>
                <w:rFonts w:hint="eastAsia" w:ascii="仿宋" w:hAnsi="仿宋" w:eastAsia="仿宋" w:cs="仿宋"/>
                <w:sz w:val="24"/>
              </w:rPr>
              <w:br w:type="textWrapping"/>
            </w:r>
            <w:r>
              <w:rPr>
                <w:rFonts w:hint="eastAsia" w:ascii="仿宋" w:hAnsi="仿宋" w:eastAsia="仿宋" w:cs="仿宋"/>
                <w:sz w:val="24"/>
              </w:rPr>
              <w:t>方案内容完整、合理，符合招标文件诉求得5分；方案内容基本完整、合理得4分；方案内容完整性、合理性一般得3分；方案内容仅具备完整性或合理性得2分；方案内容与本次项目要求匹配程度低得1分；无此内容或与本项目无关的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rPr>
              <w:t>项目建设协调管理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管理软件：投入的项目管理软件，更科学有效的协助业主从质量（1分）、进度（1分）、合同（1分）、变更（1分）、文档（1分）等维度管理项目。能有效协助各方面管理项目，每项得1分，不能满足协助管理的不得分，本项最高得5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证明材料：提供本单位的等保备案证书、PC端和手机端的软件截图以及该功能的软件流程图。</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客观分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监理工作所需的项目管理软件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根据供应商针对本项目提供持续的监理服务和快速的售后服务响应等内容进行打</w:t>
            </w:r>
            <w:r>
              <w:rPr>
                <w:rFonts w:hint="eastAsia" w:ascii="仿宋" w:hAnsi="仿宋" w:eastAsia="仿宋" w:cs="仿宋"/>
                <w:color w:val="000000"/>
                <w:sz w:val="24"/>
                <w:szCs w:val="24"/>
                <w:lang w:val="en-US" w:eastAsia="zh-CN"/>
              </w:rPr>
              <w:t>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证明材料</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提供服务响应方案。方案内容完整、合理，符合招标文件诉求得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分；方案内容完整性、合理性一般得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分；无</w:t>
            </w:r>
            <w:r>
              <w:rPr>
                <w:rFonts w:hint="eastAsia" w:ascii="仿宋" w:hAnsi="仿宋" w:eastAsia="仿宋" w:cs="仿宋"/>
                <w:color w:val="000000"/>
                <w:sz w:val="24"/>
                <w:szCs w:val="24"/>
                <w:lang w:val="en-US" w:eastAsia="zh-CN"/>
              </w:rPr>
              <w:t>方案</w:t>
            </w:r>
            <w:r>
              <w:rPr>
                <w:rFonts w:hint="eastAsia" w:ascii="仿宋" w:hAnsi="仿宋" w:eastAsia="仿宋" w:cs="仿宋"/>
                <w:color w:val="000000"/>
                <w:sz w:val="24"/>
                <w:szCs w:val="24"/>
              </w:rPr>
              <w:t>内容不得分。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服务响应方案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投标人自202</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年1月1日以来（以合同签订时间为准）同类项目（水自动监测站点、加密水站、超级站、污染源废水等的监理业绩），每提供1份合同得1分，最高得2分。（提供业绩合同及验收证明扫描件，否则不得分。）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客观分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5675"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投标人具备环保、水站、环境质量等运维监理类计算机软件著作权登记证书每个得1分，最高得3分。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（提供加盖公章的证明材料，否则不得分。）</w:t>
            </w:r>
          </w:p>
        </w:tc>
        <w:tc>
          <w:tcPr>
            <w:tcW w:w="61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73" w:type="dxa"/>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客观分</w:t>
            </w:r>
          </w:p>
        </w:tc>
        <w:tc>
          <w:tcPr>
            <w:tcW w:w="1189"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0" w:type="dxa"/>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rPr>
              <w:t>20</w:t>
            </w:r>
          </w:p>
        </w:tc>
        <w:tc>
          <w:tcPr>
            <w:tcW w:w="5675" w:type="dxa"/>
            <w:shd w:val="clear" w:color="auto" w:fill="auto"/>
            <w:tcMar>
              <w:top w:w="15" w:type="dxa"/>
              <w:left w:w="15" w:type="dxa"/>
              <w:right w:w="15" w:type="dxa"/>
            </w:tcMar>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投标报价的最低价作为评标基准价，其最低报价为满分；按［投标报价得分=（评标基准价/投标报价）*20］的计算公式计算。有效投标报价的最低价作为评标基准价，其最低报价为满分；按［投标报价得分=（评标基准价/投标报价）*权重］的计算公式计算。</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评标过程中，不得去掉报价中的最高报价和最低报价。</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themeColor="text1"/>
                <w:sz w:val="24"/>
                <w:szCs w:val="24"/>
                <w14:textFill>
                  <w14:solidFill>
                    <w14:schemeClr w14:val="tx1"/>
                  </w14:solidFill>
                </w14:textFill>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13" w:type="dxa"/>
            <w:shd w:val="clear" w:color="auto" w:fill="auto"/>
            <w:tcMar>
              <w:top w:w="15" w:type="dxa"/>
              <w:left w:w="15" w:type="dxa"/>
              <w:right w:w="15" w:type="dxa"/>
            </w:tcMar>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20</w:t>
            </w:r>
          </w:p>
        </w:tc>
        <w:tc>
          <w:tcPr>
            <w:tcW w:w="973" w:type="dxa"/>
            <w:shd w:val="clear" w:color="auto" w:fill="auto"/>
            <w:noWrap/>
            <w:tcMar>
              <w:top w:w="15" w:type="dxa"/>
              <w:left w:w="15" w:type="dxa"/>
              <w:right w:w="15" w:type="dxa"/>
            </w:tcMar>
            <w:vAlign w:val="center"/>
          </w:tcPr>
          <w:p>
            <w:pPr>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rPr>
              <w:t>客观</w:t>
            </w:r>
          </w:p>
        </w:tc>
        <w:tc>
          <w:tcPr>
            <w:tcW w:w="1189" w:type="dxa"/>
            <w:shd w:val="clear" w:color="auto" w:fill="auto"/>
            <w:noWrap/>
            <w:tcMar>
              <w:top w:w="15" w:type="dxa"/>
              <w:left w:w="15" w:type="dxa"/>
              <w:right w:w="15" w:type="dxa"/>
            </w:tcMar>
            <w:vAlign w:val="center"/>
          </w:tcPr>
          <w:p>
            <w:pPr>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rPr>
              <w:t>报价</w:t>
            </w:r>
          </w:p>
        </w:tc>
      </w:tr>
    </w:tbl>
    <w:p>
      <w:pPr>
        <w:pStyle w:val="26"/>
        <w:ind w:left="0" w:leftChars="0" w:firstLine="0" w:firstLineChars="0"/>
        <w:rPr>
          <w:rFonts w:hint="eastAsia"/>
        </w:rPr>
      </w:pPr>
    </w:p>
    <w:p>
      <w:pPr>
        <w:pStyle w:val="26"/>
        <w:ind w:left="0" w:leftChars="0" w:firstLine="0" w:firstLineChars="0"/>
        <w:rPr>
          <w:rFonts w:hint="eastAsia"/>
        </w:rPr>
      </w:pPr>
    </w:p>
    <w:p>
      <w:pPr>
        <w:jc w:val="center"/>
      </w:pPr>
      <w:r>
        <w:rPr>
          <w:rFonts w:hint="eastAsia" w:ascii="仿宋" w:hAnsi="仿宋" w:eastAsia="仿宋" w:cs="仿宋"/>
          <w:b/>
          <w:sz w:val="32"/>
          <w:szCs w:val="20"/>
        </w:rPr>
        <w:t>评标办法前附表</w:t>
      </w:r>
    </w:p>
    <w:p>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adjustRightInd/>
        <w:spacing w:line="360" w:lineRule="auto"/>
        <w:rPr>
          <w:rFonts w:ascii="仿宋" w:hAnsi="仿宋" w:eastAsia="仿宋" w:cs="仿宋"/>
          <w:b/>
          <w:sz w:val="32"/>
        </w:rPr>
      </w:pPr>
      <w:r>
        <w:rPr>
          <w:rFonts w:hint="eastAsia" w:ascii="仿宋" w:hAnsi="仿宋" w:eastAsia="仿宋" w:cs="仿宋"/>
          <w:b/>
          <w:sz w:val="32"/>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5"/>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5"/>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8"/>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8"/>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8"/>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8"/>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8"/>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8"/>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8"/>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8"/>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8"/>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8"/>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8"/>
        <w:snapToGrid w:val="0"/>
        <w:spacing w:line="360" w:lineRule="auto"/>
        <w:ind w:firstLine="0" w:firstLineChars="0"/>
        <w:rPr>
          <w:rFonts w:ascii="仿宋" w:hAnsi="仿宋" w:eastAsia="仿宋" w:cs="仿宋"/>
        </w:rPr>
      </w:pPr>
    </w:p>
    <w:p>
      <w:pPr>
        <w:widowControl/>
        <w:adjustRightInd/>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pPr>
        <w:spacing w:line="480" w:lineRule="auto"/>
        <w:jc w:val="center"/>
        <w:rPr>
          <w:rFonts w:ascii="仿宋" w:hAnsi="仿宋" w:eastAsia="仿宋" w:cs="仿宋"/>
          <w:b/>
          <w:sz w:val="28"/>
          <w:szCs w:val="28"/>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w:t>
      </w:r>
    </w:p>
    <w:p>
      <w:pPr>
        <w:pStyle w:val="705"/>
        <w:ind w:firstLine="602"/>
        <w:jc w:val="center"/>
        <w:rPr>
          <w:rFonts w:ascii="仿宋_GB2312" w:eastAsia="仿宋_GB2312"/>
          <w:b/>
          <w:sz w:val="30"/>
          <w:szCs w:val="30"/>
        </w:rPr>
      </w:pPr>
    </w:p>
    <w:p>
      <w:pPr>
        <w:pStyle w:val="28"/>
        <w:spacing w:after="120"/>
        <w:ind w:left="5250"/>
      </w:pPr>
    </w:p>
    <w:p>
      <w:pPr>
        <w:pStyle w:val="705"/>
        <w:ind w:firstLine="602"/>
        <w:jc w:val="center"/>
        <w:rPr>
          <w:rFonts w:ascii="仿宋_GB2312" w:eastAsia="仿宋_GB2312"/>
          <w:b/>
          <w:sz w:val="30"/>
          <w:szCs w:val="30"/>
        </w:rPr>
      </w:pPr>
      <w:r>
        <w:rPr>
          <w:rFonts w:hint="eastAsia" w:ascii="仿宋_GB2312" w:eastAsia="仿宋_GB2312"/>
          <w:b/>
          <w:sz w:val="30"/>
          <w:szCs w:val="30"/>
        </w:rPr>
        <w:t>第一部分 合同书</w:t>
      </w:r>
    </w:p>
    <w:p>
      <w:pPr>
        <w:spacing w:before="120" w:line="360" w:lineRule="auto"/>
        <w:rPr>
          <w:rFonts w:ascii="仿宋_GB2312" w:eastAsia="仿宋_GB2312"/>
          <w:color w:val="000000"/>
          <w:sz w:val="24"/>
        </w:rPr>
      </w:pPr>
    </w:p>
    <w:p>
      <w:pPr>
        <w:spacing w:line="360" w:lineRule="auto"/>
        <w:rPr>
          <w:rFonts w:ascii="仿宋_GB2312" w:eastAsia="仿宋_GB2312" w:cs="仿宋_GB2312"/>
          <w:color w:val="000000"/>
          <w:sz w:val="24"/>
        </w:rPr>
      </w:pPr>
      <w:r>
        <w:rPr>
          <w:rFonts w:hint="eastAsia" w:ascii="仿宋_GB2312" w:eastAsia="仿宋_GB2312" w:cs="仿宋_GB2312"/>
          <w:color w:val="000000"/>
          <w:sz w:val="24"/>
        </w:rPr>
        <w:t>项目名称：</w:t>
      </w:r>
      <w:r>
        <w:rPr>
          <w:rFonts w:hint="eastAsia" w:ascii="仿宋_GB2312" w:eastAsia="仿宋_GB2312" w:cs="仿宋_GB2312"/>
          <w:color w:val="000000"/>
          <w:sz w:val="24"/>
          <w:u w:val="single"/>
          <w:lang w:eastAsia="zh-CN"/>
        </w:rPr>
        <w:t>2024-2025年度淳安县入湖口和乡镇交接断面水质自动监测系统监理服务项目</w:t>
      </w:r>
    </w:p>
    <w:p>
      <w:pPr>
        <w:pStyle w:val="16"/>
        <w:spacing w:after="120"/>
      </w:pPr>
    </w:p>
    <w:p>
      <w:pPr>
        <w:spacing w:before="120" w:line="360" w:lineRule="auto"/>
        <w:ind w:left="960"/>
        <w:rPr>
          <w:rFonts w:hint="eastAsia" w:ascii="仿宋_GB2312" w:eastAsia="仿宋_GB2312" w:cs="仿宋_GB2312"/>
          <w:color w:val="000000"/>
          <w:sz w:val="24"/>
          <w:u w:val="single"/>
          <w:lang w:eastAsia="zh-CN"/>
        </w:rPr>
      </w:pPr>
      <w:r>
        <w:rPr>
          <w:rFonts w:hint="eastAsia" w:ascii="仿宋_GB2312" w:eastAsia="仿宋_GB2312" w:cs="仿宋_GB2312"/>
          <w:color w:val="000000"/>
          <w:sz w:val="24"/>
        </w:rPr>
        <w:t>甲方：</w:t>
      </w:r>
      <w:r>
        <w:rPr>
          <w:rFonts w:hint="eastAsia" w:ascii="仿宋_GB2312" w:eastAsia="仿宋_GB2312" w:cs="仿宋_GB2312"/>
          <w:color w:val="000000"/>
          <w:sz w:val="24"/>
          <w:u w:val="single"/>
          <w:lang w:eastAsia="zh-CN"/>
        </w:rPr>
        <w:t>杭州市生态环境局淳安分局</w:t>
      </w:r>
    </w:p>
    <w:p>
      <w:pPr>
        <w:spacing w:before="120" w:line="360" w:lineRule="auto"/>
        <w:rPr>
          <w:rFonts w:ascii="仿宋_GB2312" w:eastAsia="仿宋_GB2312" w:cs="仿宋_GB2312"/>
          <w:color w:val="000000"/>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360" w:lineRule="auto"/>
        <w:ind w:left="960"/>
        <w:rPr>
          <w:rFonts w:ascii="仿宋_GB2312" w:eastAsia="仿宋_GB2312" w:cs="仿宋_GB2312"/>
          <w:color w:val="000000"/>
          <w:sz w:val="24"/>
          <w:u w:val="single"/>
        </w:rPr>
      </w:pPr>
    </w:p>
    <w:p>
      <w:pPr>
        <w:spacing w:before="120" w:line="360" w:lineRule="auto"/>
        <w:rPr>
          <w:rFonts w:ascii="仿宋_GB2312" w:eastAsia="仿宋_GB2312" w:cs="仿宋_GB2312"/>
          <w:color w:val="000000"/>
          <w:sz w:val="24"/>
        </w:rPr>
      </w:pPr>
    </w:p>
    <w:p>
      <w:pPr>
        <w:spacing w:before="120" w:line="360" w:lineRule="auto"/>
        <w:ind w:firstLine="960" w:firstLineChars="400"/>
        <w:rPr>
          <w:rFonts w:ascii="仿宋_GB2312" w:eastAsia="仿宋_GB2312" w:cs="仿宋_GB2312"/>
          <w:color w:val="000000"/>
          <w:sz w:val="24"/>
          <w:u w:val="single"/>
        </w:rPr>
      </w:pPr>
      <w:r>
        <w:rPr>
          <w:rFonts w:hint="eastAsia" w:ascii="仿宋_GB2312" w:eastAsia="仿宋_GB2312" w:cs="仿宋_GB2312"/>
          <w:color w:val="000000"/>
          <w:sz w:val="24"/>
        </w:rPr>
        <w:t>签订地：</w:t>
      </w:r>
    </w:p>
    <w:p>
      <w:pPr>
        <w:spacing w:before="120" w:line="360" w:lineRule="auto"/>
        <w:rPr>
          <w:rFonts w:ascii="仿宋_GB2312" w:eastAsia="仿宋_GB2312"/>
          <w:color w:val="000000"/>
          <w:sz w:val="24"/>
        </w:rPr>
      </w:pPr>
    </w:p>
    <w:p>
      <w:pPr>
        <w:spacing w:before="120" w:line="360" w:lineRule="auto"/>
        <w:ind w:firstLine="960" w:firstLineChars="400"/>
        <w:rPr>
          <w:rFonts w:ascii="仿宋_GB2312" w:eastAsia="仿宋_GB2312"/>
          <w:color w:val="000000"/>
          <w:sz w:val="24"/>
        </w:rPr>
        <w:sectPr>
          <w:headerReference r:id="rId11" w:type="default"/>
          <w:footerReference r:id="rId12" w:type="default"/>
          <w:pgSz w:w="11907" w:h="16840"/>
          <w:pgMar w:top="1474" w:right="1814" w:bottom="1474" w:left="1814" w:header="851" w:footer="851" w:gutter="0"/>
          <w:cols w:space="720" w:num="1"/>
          <w:docGrid w:linePitch="462" w:charSpace="0"/>
        </w:sectPr>
      </w:pPr>
      <w:r>
        <w:rPr>
          <w:rFonts w:hint="eastAsia" w:ascii="仿宋_GB2312" w:eastAsia="仿宋_GB2312"/>
          <w:color w:val="000000"/>
          <w:sz w:val="24"/>
        </w:rPr>
        <w:t>签订日期：</w:t>
      </w:r>
      <w:r>
        <w:rPr>
          <w:rFonts w:hint="eastAsia" w:ascii="仿宋_GB2312" w:eastAsia="仿宋_GB2312"/>
          <w:color w:val="000000"/>
          <w:sz w:val="24"/>
          <w:lang w:val="en-US" w:eastAsia="zh-CN"/>
        </w:rPr>
        <w:t>2024</w:t>
      </w:r>
      <w:r>
        <w:rPr>
          <w:rFonts w:hint="eastAsia" w:ascii="仿宋_GB2312" w:eastAsia="仿宋_GB2312"/>
          <w:color w:val="000000"/>
          <w:sz w:val="24"/>
        </w:rPr>
        <w:t>年 月 日</w:t>
      </w:r>
    </w:p>
    <w:p>
      <w:pPr>
        <w:spacing w:before="120" w:line="360" w:lineRule="auto"/>
        <w:rPr>
          <w:rFonts w:ascii="仿宋_GB2312" w:eastAsia="仿宋_GB2312"/>
          <w:sz w:val="24"/>
        </w:rPr>
      </w:pPr>
    </w:p>
    <w:p>
      <w:pPr>
        <w:spacing w:line="520" w:lineRule="exact"/>
        <w:ind w:firstLine="480" w:firstLineChars="200"/>
        <w:rPr>
          <w:rFonts w:ascii="仿宋_GB2312" w:eastAsia="仿宋_GB2312"/>
          <w:sz w:val="24"/>
        </w:rPr>
      </w:pPr>
      <w:r>
        <w:rPr>
          <w:rFonts w:hint="eastAsia" w:ascii="仿宋_GB2312" w:eastAsia="仿宋_GB2312"/>
          <w:sz w:val="24"/>
          <w:lang w:val="zh-CN"/>
        </w:rPr>
        <w:t>年</w:t>
      </w:r>
      <w:r>
        <w:rPr>
          <w:rFonts w:hint="eastAsia" w:ascii="仿宋_GB2312" w:eastAsia="仿宋_GB2312"/>
          <w:sz w:val="24"/>
          <w:lang w:val="en-US" w:eastAsia="zh-CN"/>
        </w:rPr>
        <w:t xml:space="preserve">  </w:t>
      </w:r>
      <w:r>
        <w:rPr>
          <w:rFonts w:hint="eastAsia" w:ascii="仿宋_GB2312" w:eastAsia="仿宋_GB2312"/>
          <w:sz w:val="24"/>
          <w:lang w:val="zh-CN"/>
        </w:rPr>
        <w:t>月</w:t>
      </w:r>
      <w:r>
        <w:rPr>
          <w:rFonts w:hint="eastAsia" w:ascii="仿宋_GB2312" w:eastAsia="仿宋_GB2312"/>
          <w:sz w:val="24"/>
          <w:lang w:val="en-US" w:eastAsia="zh-CN"/>
        </w:rPr>
        <w:t xml:space="preserve">  </w:t>
      </w:r>
      <w:r>
        <w:rPr>
          <w:rFonts w:hint="eastAsia" w:ascii="仿宋_GB2312" w:eastAsia="仿宋_GB2312"/>
          <w:sz w:val="24"/>
          <w:lang w:val="zh-CN"/>
        </w:rPr>
        <w:t>日</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eastAsia="zh-CN"/>
        </w:rPr>
        <w:t>杭州市生态环境局淳安分局</w:t>
      </w:r>
      <w:r>
        <w:rPr>
          <w:rFonts w:hint="eastAsia" w:ascii="仿宋_GB2312" w:eastAsia="仿宋_GB2312"/>
          <w:sz w:val="24"/>
          <w:u w:val="single"/>
        </w:rPr>
        <w:t xml:space="preserve">）   </w:t>
      </w:r>
      <w:r>
        <w:rPr>
          <w:rFonts w:hint="eastAsia" w:ascii="仿宋_GB2312" w:eastAsia="仿宋_GB2312"/>
          <w:sz w:val="24"/>
        </w:rPr>
        <w:t>以</w:t>
      </w:r>
      <w:r>
        <w:rPr>
          <w:rFonts w:hint="eastAsia" w:ascii="仿宋_GB2312" w:eastAsia="仿宋_GB2312"/>
          <w:sz w:val="24"/>
          <w:u w:val="single"/>
        </w:rPr>
        <w:t xml:space="preserve">   （政府采购方式）  </w:t>
      </w:r>
      <w:r>
        <w:rPr>
          <w:rFonts w:hint="eastAsia" w:ascii="仿宋_GB2312" w:eastAsia="仿宋_GB2312"/>
          <w:sz w:val="24"/>
        </w:rPr>
        <w:t>对</w:t>
      </w:r>
      <w:r>
        <w:rPr>
          <w:rFonts w:hint="eastAsia" w:ascii="仿宋_GB2312" w:eastAsia="仿宋_GB2312"/>
          <w:sz w:val="24"/>
          <w:u w:val="single"/>
        </w:rPr>
        <w:t xml:space="preserve">   （同前页项目名称）   </w:t>
      </w:r>
      <w:r>
        <w:rPr>
          <w:rFonts w:hint="eastAsia" w:ascii="仿宋_GB2312" w:eastAsia="仿宋_GB2312"/>
          <w:sz w:val="24"/>
        </w:rPr>
        <w:t>项目进行了采购。经评定，</w:t>
      </w:r>
      <w:r>
        <w:rPr>
          <w:rFonts w:hint="eastAsia" w:ascii="仿宋_GB2312" w:eastAsia="仿宋_GB2312"/>
          <w:sz w:val="24"/>
          <w:u w:val="single"/>
        </w:rPr>
        <w:t xml:space="preserve">   （中标供应商名称）</w:t>
      </w:r>
      <w:r>
        <w:rPr>
          <w:rFonts w:hint="eastAsia" w:ascii="仿宋_GB2312" w:eastAsia="仿宋_GB2312"/>
          <w:sz w:val="24"/>
        </w:rPr>
        <w:t>为该项目中标供应商。现于中标通知书发出之日起</w:t>
      </w:r>
      <w:r>
        <w:rPr>
          <w:rFonts w:hint="eastAsia" w:ascii="仿宋_GB2312" w:eastAsia="仿宋_GB2312"/>
          <w:color w:val="000000"/>
          <w:sz w:val="24"/>
        </w:rPr>
        <w:t>10个工作日内</w:t>
      </w:r>
      <w:r>
        <w:rPr>
          <w:rFonts w:hint="eastAsia" w:ascii="仿宋_GB2312" w:eastAsia="仿宋_GB2312"/>
          <w:sz w:val="24"/>
        </w:rPr>
        <w:t>，按照采购文件确定的事项签订本合同。</w:t>
      </w:r>
    </w:p>
    <w:p>
      <w:pPr>
        <w:spacing w:line="520" w:lineRule="exact"/>
        <w:ind w:firstLine="480" w:firstLineChars="200"/>
        <w:rPr>
          <w:rFonts w:ascii="仿宋_GB2312" w:eastAsia="仿宋_GB2312"/>
          <w:sz w:val="24"/>
        </w:rPr>
      </w:pPr>
      <w:bookmarkStart w:id="393" w:name="_Toc2232"/>
      <w:bookmarkStart w:id="394" w:name="_Toc24059"/>
      <w:bookmarkStart w:id="395" w:name="_Toc3029"/>
      <w:r>
        <w:rPr>
          <w:rFonts w:hint="eastAsia" w:ascii="仿宋_GB2312" w:eastAsia="仿宋_GB2312"/>
          <w:sz w:val="24"/>
          <w:lang w:val="zh-CN"/>
        </w:rPr>
        <w:t>根据《中华人民共和国民法典》、《中华人民共和国政府采购法》等相关法律法规之规定，按照平等、自愿、公平和诚实信用的原则，经</w:t>
      </w:r>
      <w:r>
        <w:rPr>
          <w:rFonts w:hint="eastAsia" w:ascii="仿宋_GB2312" w:eastAsia="仿宋_GB2312"/>
          <w:sz w:val="24"/>
          <w:u w:val="single"/>
        </w:rPr>
        <w:t xml:space="preserve">   （采购人名称）   </w:t>
      </w:r>
      <w:r>
        <w:rPr>
          <w:rFonts w:hint="eastAsia" w:ascii="仿宋_GB2312" w:eastAsia="仿宋_GB2312"/>
          <w:sz w:val="24"/>
          <w:lang w:val="zh-CN"/>
        </w:rPr>
        <w:t>(以下简称：甲方)和</w:t>
      </w:r>
      <w:r>
        <w:rPr>
          <w:rFonts w:hint="eastAsia" w:ascii="仿宋_GB2312" w:eastAsia="仿宋_GB2312"/>
          <w:sz w:val="24"/>
          <w:u w:val="single"/>
        </w:rPr>
        <w:t xml:space="preserve">   （中标供应商名称）   </w:t>
      </w:r>
      <w:r>
        <w:rPr>
          <w:rFonts w:hint="eastAsia" w:ascii="仿宋_GB2312" w:eastAsia="仿宋_GB2312"/>
          <w:sz w:val="24"/>
          <w:lang w:val="zh-CN"/>
        </w:rPr>
        <w:t>(以下简称：乙方)协商一致，约定以下合同</w:t>
      </w:r>
      <w:r>
        <w:rPr>
          <w:rFonts w:hint="eastAsia" w:ascii="仿宋_GB2312" w:eastAsia="仿宋_GB2312"/>
          <w:sz w:val="24"/>
        </w:rPr>
        <w:t>条款，以兹共同遵守、全面履行。</w:t>
      </w:r>
    </w:p>
    <w:p>
      <w:pPr>
        <w:spacing w:line="520" w:lineRule="exact"/>
        <w:ind w:firstLine="482" w:firstLineChars="200"/>
        <w:rPr>
          <w:rFonts w:ascii="仿宋_GB2312" w:eastAsia="仿宋_GB2312"/>
          <w:b/>
          <w:sz w:val="24"/>
        </w:rPr>
      </w:pPr>
      <w:r>
        <w:rPr>
          <w:rFonts w:hint="eastAsia" w:ascii="仿宋_GB2312" w:eastAsia="仿宋_GB2312"/>
          <w:b/>
          <w:sz w:val="24"/>
        </w:rPr>
        <w:t>1.1 合同组成部分</w:t>
      </w:r>
      <w:bookmarkEnd w:id="393"/>
      <w:bookmarkEnd w:id="394"/>
      <w:bookmarkEnd w:id="395"/>
    </w:p>
    <w:p>
      <w:pPr>
        <w:spacing w:line="520" w:lineRule="exact"/>
        <w:ind w:firstLine="480" w:firstLineChars="200"/>
        <w:rPr>
          <w:rFonts w:ascii="仿宋_GB2312" w:eastAsia="仿宋_GB2312"/>
          <w:sz w:val="24"/>
        </w:rPr>
      </w:pPr>
      <w:r>
        <w:rPr>
          <w:rFonts w:hint="eastAsia" w:asci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ascii="仿宋_GB2312" w:eastAsia="仿宋_GB2312"/>
          <w:sz w:val="24"/>
        </w:rPr>
      </w:pPr>
      <w:r>
        <w:rPr>
          <w:rFonts w:hint="eastAsia" w:ascii="仿宋_GB2312" w:eastAsia="仿宋_GB2312"/>
          <w:sz w:val="24"/>
        </w:rPr>
        <w:t>1.1.1 本合同及其补充合同、变更协议；</w:t>
      </w:r>
    </w:p>
    <w:p>
      <w:pPr>
        <w:spacing w:line="520" w:lineRule="exact"/>
        <w:ind w:firstLine="480" w:firstLineChars="200"/>
        <w:rPr>
          <w:rFonts w:ascii="仿宋_GB2312" w:eastAsia="仿宋_GB2312"/>
          <w:sz w:val="24"/>
        </w:rPr>
      </w:pPr>
      <w:r>
        <w:rPr>
          <w:rFonts w:hint="eastAsia" w:ascii="仿宋_GB2312" w:eastAsia="仿宋_GB2312"/>
          <w:sz w:val="24"/>
        </w:rPr>
        <w:t>1.1.2 中标通知书；</w:t>
      </w:r>
    </w:p>
    <w:p>
      <w:pPr>
        <w:spacing w:line="520" w:lineRule="exact"/>
        <w:ind w:firstLine="480" w:firstLineChars="200"/>
        <w:rPr>
          <w:rFonts w:ascii="仿宋_GB2312" w:eastAsia="仿宋_GB2312"/>
          <w:sz w:val="24"/>
        </w:rPr>
      </w:pPr>
      <w:r>
        <w:rPr>
          <w:rFonts w:hint="eastAsia" w:ascii="仿宋_GB2312" w:eastAsia="仿宋_GB2312"/>
          <w:sz w:val="24"/>
        </w:rPr>
        <w:t>1.1.3 投标文件（含澄清或者说明文件）；</w:t>
      </w:r>
    </w:p>
    <w:p>
      <w:pPr>
        <w:spacing w:line="520" w:lineRule="exact"/>
        <w:ind w:firstLine="480" w:firstLineChars="200"/>
        <w:rPr>
          <w:rFonts w:ascii="仿宋_GB2312" w:eastAsia="仿宋_GB2312"/>
          <w:sz w:val="24"/>
        </w:rPr>
      </w:pPr>
      <w:r>
        <w:rPr>
          <w:rFonts w:hint="eastAsia" w:ascii="仿宋_GB2312" w:eastAsia="仿宋_GB2312"/>
          <w:sz w:val="24"/>
        </w:rPr>
        <w:t>1.1.4 招标文件（含澄清或者修改文件）；</w:t>
      </w:r>
    </w:p>
    <w:p>
      <w:pPr>
        <w:spacing w:line="520" w:lineRule="exact"/>
        <w:ind w:firstLine="480" w:firstLineChars="200"/>
        <w:rPr>
          <w:rFonts w:ascii="仿宋_GB2312" w:eastAsia="仿宋_GB2312"/>
          <w:sz w:val="24"/>
        </w:rPr>
      </w:pPr>
      <w:r>
        <w:rPr>
          <w:rFonts w:hint="eastAsia" w:ascii="仿宋_GB2312" w:eastAsia="仿宋_GB2312"/>
          <w:sz w:val="24"/>
        </w:rPr>
        <w:t>1.1.5 其他相关采购文件。</w:t>
      </w:r>
    </w:p>
    <w:p>
      <w:pPr>
        <w:spacing w:line="520" w:lineRule="exact"/>
        <w:ind w:firstLine="482" w:firstLineChars="200"/>
        <w:rPr>
          <w:rFonts w:ascii="仿宋_GB2312" w:eastAsia="仿宋_GB2312"/>
          <w:b/>
          <w:sz w:val="24"/>
        </w:rPr>
      </w:pPr>
      <w:bookmarkStart w:id="396" w:name="_Toc27126"/>
      <w:bookmarkStart w:id="397" w:name="_Toc24300"/>
      <w:bookmarkStart w:id="398" w:name="_Toc21295"/>
      <w:r>
        <w:rPr>
          <w:rFonts w:hint="eastAsia" w:ascii="仿宋_GB2312" w:eastAsia="仿宋_GB2312"/>
          <w:b/>
          <w:sz w:val="24"/>
        </w:rPr>
        <w:t xml:space="preserve">1.2 </w:t>
      </w:r>
      <w:bookmarkEnd w:id="396"/>
      <w:bookmarkEnd w:id="397"/>
      <w:bookmarkEnd w:id="398"/>
      <w:r>
        <w:rPr>
          <w:rFonts w:hint="eastAsia" w:ascii="仿宋_GB2312" w:eastAsia="仿宋_GB2312"/>
          <w:b/>
          <w:sz w:val="24"/>
        </w:rPr>
        <w:t>服务</w:t>
      </w:r>
    </w:p>
    <w:p>
      <w:pPr>
        <w:spacing w:line="520" w:lineRule="exact"/>
        <w:ind w:firstLine="480" w:firstLineChars="200"/>
        <w:rPr>
          <w:rFonts w:ascii="仿宋_GB2312" w:eastAsia="仿宋_GB2312"/>
          <w:sz w:val="24"/>
          <w:u w:val="single"/>
        </w:rPr>
      </w:pPr>
      <w:r>
        <w:rPr>
          <w:rFonts w:hint="eastAsia" w:ascii="仿宋_GB2312" w:eastAsia="仿宋_GB2312"/>
          <w:sz w:val="24"/>
        </w:rPr>
        <w:t>1.2.1 服务名称：；</w:t>
      </w:r>
    </w:p>
    <w:p>
      <w:pPr>
        <w:spacing w:line="520" w:lineRule="exact"/>
        <w:ind w:left="480"/>
        <w:rPr>
          <w:rFonts w:ascii="仿宋_GB2312" w:eastAsia="仿宋_GB2312"/>
          <w:sz w:val="24"/>
          <w:u w:val="single"/>
        </w:rPr>
      </w:pPr>
      <w:r>
        <w:rPr>
          <w:rFonts w:hint="eastAsia" w:ascii="仿宋_GB2312" w:eastAsia="仿宋_GB2312"/>
          <w:sz w:val="24"/>
        </w:rPr>
        <w:t>1.2.2 服务数量：；</w:t>
      </w:r>
    </w:p>
    <w:p>
      <w:pPr>
        <w:spacing w:line="520" w:lineRule="exact"/>
        <w:ind w:firstLine="480" w:firstLineChars="200"/>
        <w:rPr>
          <w:rFonts w:ascii="仿宋_GB2312" w:eastAsia="仿宋_GB2312"/>
          <w:sz w:val="24"/>
        </w:rPr>
      </w:pPr>
      <w:r>
        <w:rPr>
          <w:rFonts w:hint="eastAsia" w:ascii="仿宋_GB2312" w:eastAsia="仿宋_GB2312"/>
          <w:sz w:val="24"/>
        </w:rPr>
        <w:t>1.2.3 服务质量：。</w:t>
      </w:r>
    </w:p>
    <w:p>
      <w:pPr>
        <w:spacing w:line="520" w:lineRule="exact"/>
        <w:ind w:firstLine="482" w:firstLineChars="200"/>
        <w:rPr>
          <w:rFonts w:ascii="仿宋_GB2312" w:eastAsia="仿宋_GB2312"/>
          <w:b/>
          <w:sz w:val="24"/>
        </w:rPr>
      </w:pPr>
      <w:bookmarkStart w:id="399" w:name="_Toc23292"/>
      <w:bookmarkStart w:id="400" w:name="_Toc21631"/>
      <w:bookmarkStart w:id="401" w:name="_Toc21551"/>
      <w:r>
        <w:rPr>
          <w:rFonts w:hint="eastAsia" w:ascii="仿宋_GB2312" w:eastAsia="仿宋_GB2312"/>
          <w:b/>
          <w:sz w:val="24"/>
        </w:rPr>
        <w:t>1.3 价款</w:t>
      </w:r>
      <w:bookmarkEnd w:id="399"/>
      <w:bookmarkEnd w:id="400"/>
      <w:bookmarkEnd w:id="401"/>
    </w:p>
    <w:p>
      <w:pPr>
        <w:spacing w:line="520" w:lineRule="exact"/>
        <w:ind w:firstLine="480" w:firstLineChars="200"/>
        <w:rPr>
          <w:rFonts w:ascii="仿宋_GB2312" w:eastAsia="仿宋_GB2312"/>
          <w:sz w:val="24"/>
        </w:rPr>
      </w:pPr>
      <w:r>
        <w:rPr>
          <w:rFonts w:hint="eastAsia" w:ascii="仿宋_GB2312" w:eastAsia="仿宋_GB2312"/>
          <w:sz w:val="24"/>
        </w:rPr>
        <w:t>本合同总价为：￥元（大写：元人民币）。</w:t>
      </w:r>
    </w:p>
    <w:p>
      <w:pPr>
        <w:spacing w:line="520" w:lineRule="exact"/>
        <w:ind w:firstLine="480" w:firstLineChars="200"/>
        <w:rPr>
          <w:rFonts w:ascii="仿宋_GB2312" w:eastAsia="仿宋_GB2312"/>
          <w:sz w:val="24"/>
          <w:u w:val="single"/>
        </w:rPr>
      </w:pPr>
      <w:r>
        <w:rPr>
          <w:rFonts w:hint="eastAsia" w:ascii="仿宋_GB2312" w:eastAsia="仿宋_GB2312"/>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jc w:val="center"/>
              <w:rPr>
                <w:rFonts w:ascii="仿宋_GB2312" w:eastAsia="仿宋_GB2312"/>
                <w:sz w:val="24"/>
                <w:szCs w:val="24"/>
              </w:rPr>
            </w:pPr>
            <w:r>
              <w:rPr>
                <w:rFonts w:hint="eastAsia" w:ascii="仿宋_GB2312" w:eastAsia="仿宋_GB2312"/>
                <w:sz w:val="24"/>
                <w:szCs w:val="24"/>
              </w:rPr>
              <w:t>序号</w:t>
            </w:r>
          </w:p>
        </w:tc>
        <w:tc>
          <w:tcPr>
            <w:tcW w:w="3402" w:type="dxa"/>
            <w:vAlign w:val="center"/>
          </w:tcPr>
          <w:p>
            <w:pPr>
              <w:pStyle w:val="323"/>
              <w:spacing w:line="520" w:lineRule="exact"/>
              <w:ind w:firstLine="200"/>
              <w:jc w:val="center"/>
              <w:rPr>
                <w:rFonts w:ascii="仿宋_GB2312" w:eastAsia="仿宋_GB2312"/>
                <w:sz w:val="24"/>
                <w:szCs w:val="24"/>
              </w:rPr>
            </w:pPr>
            <w:r>
              <w:rPr>
                <w:rFonts w:hint="eastAsia" w:ascii="仿宋_GB2312" w:eastAsia="仿宋_GB2312"/>
                <w:sz w:val="24"/>
                <w:szCs w:val="24"/>
              </w:rPr>
              <w:t>分项名称</w:t>
            </w:r>
          </w:p>
        </w:tc>
        <w:tc>
          <w:tcPr>
            <w:tcW w:w="2552" w:type="dxa"/>
            <w:vAlign w:val="center"/>
          </w:tcPr>
          <w:p>
            <w:pPr>
              <w:pStyle w:val="323"/>
              <w:spacing w:line="520" w:lineRule="exact"/>
              <w:jc w:val="center"/>
              <w:rPr>
                <w:rFonts w:ascii="仿宋_GB2312" w:eastAsia="仿宋_GB2312"/>
                <w:sz w:val="24"/>
                <w:szCs w:val="24"/>
              </w:rPr>
            </w:pPr>
            <w:r>
              <w:rPr>
                <w:rFonts w:hint="eastAsia" w:ascii="仿宋_GB2312"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_GB2312" w:eastAsia="仿宋_GB2312"/>
                <w:sz w:val="24"/>
                <w:szCs w:val="24"/>
              </w:rPr>
            </w:pPr>
          </w:p>
        </w:tc>
        <w:tc>
          <w:tcPr>
            <w:tcW w:w="3402" w:type="dxa"/>
            <w:vAlign w:val="center"/>
          </w:tcPr>
          <w:p>
            <w:pPr>
              <w:pStyle w:val="323"/>
              <w:spacing w:line="520" w:lineRule="exact"/>
              <w:ind w:firstLine="200"/>
              <w:jc w:val="center"/>
              <w:rPr>
                <w:rFonts w:ascii="仿宋_GB2312" w:eastAsia="仿宋_GB2312"/>
                <w:sz w:val="24"/>
                <w:szCs w:val="24"/>
              </w:rPr>
            </w:pPr>
          </w:p>
        </w:tc>
        <w:tc>
          <w:tcPr>
            <w:tcW w:w="2552" w:type="dxa"/>
            <w:vAlign w:val="center"/>
          </w:tcPr>
          <w:p>
            <w:pPr>
              <w:pStyle w:val="323"/>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_GB2312" w:eastAsia="仿宋_GB2312"/>
                <w:sz w:val="24"/>
                <w:szCs w:val="24"/>
              </w:rPr>
            </w:pPr>
          </w:p>
        </w:tc>
        <w:tc>
          <w:tcPr>
            <w:tcW w:w="3402" w:type="dxa"/>
            <w:vAlign w:val="center"/>
          </w:tcPr>
          <w:p>
            <w:pPr>
              <w:pStyle w:val="323"/>
              <w:spacing w:line="520" w:lineRule="exact"/>
              <w:ind w:firstLine="200"/>
              <w:jc w:val="center"/>
              <w:rPr>
                <w:rFonts w:ascii="仿宋_GB2312" w:eastAsia="仿宋_GB2312"/>
                <w:sz w:val="24"/>
                <w:szCs w:val="24"/>
              </w:rPr>
            </w:pPr>
          </w:p>
        </w:tc>
        <w:tc>
          <w:tcPr>
            <w:tcW w:w="2552" w:type="dxa"/>
            <w:vAlign w:val="center"/>
          </w:tcPr>
          <w:p>
            <w:pPr>
              <w:pStyle w:val="323"/>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_GB2312" w:eastAsia="仿宋_GB2312"/>
                <w:sz w:val="24"/>
                <w:szCs w:val="24"/>
              </w:rPr>
            </w:pPr>
          </w:p>
        </w:tc>
        <w:tc>
          <w:tcPr>
            <w:tcW w:w="3402" w:type="dxa"/>
            <w:vAlign w:val="center"/>
          </w:tcPr>
          <w:p>
            <w:pPr>
              <w:pStyle w:val="323"/>
              <w:spacing w:line="520" w:lineRule="exact"/>
              <w:ind w:firstLine="200"/>
              <w:jc w:val="center"/>
              <w:rPr>
                <w:rFonts w:ascii="仿宋_GB2312" w:eastAsia="仿宋_GB2312"/>
                <w:sz w:val="24"/>
                <w:szCs w:val="24"/>
              </w:rPr>
            </w:pPr>
          </w:p>
        </w:tc>
        <w:tc>
          <w:tcPr>
            <w:tcW w:w="2552" w:type="dxa"/>
            <w:vAlign w:val="center"/>
          </w:tcPr>
          <w:p>
            <w:pPr>
              <w:pStyle w:val="323"/>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_GB2312" w:eastAsia="仿宋_GB2312"/>
                <w:sz w:val="24"/>
                <w:szCs w:val="24"/>
              </w:rPr>
            </w:pPr>
          </w:p>
        </w:tc>
        <w:tc>
          <w:tcPr>
            <w:tcW w:w="3402" w:type="dxa"/>
            <w:vAlign w:val="center"/>
          </w:tcPr>
          <w:p>
            <w:pPr>
              <w:pStyle w:val="323"/>
              <w:spacing w:line="520" w:lineRule="exact"/>
              <w:ind w:firstLine="200"/>
              <w:jc w:val="center"/>
              <w:rPr>
                <w:rFonts w:ascii="仿宋_GB2312" w:eastAsia="仿宋_GB2312"/>
                <w:sz w:val="24"/>
                <w:szCs w:val="24"/>
              </w:rPr>
            </w:pPr>
          </w:p>
        </w:tc>
        <w:tc>
          <w:tcPr>
            <w:tcW w:w="2552" w:type="dxa"/>
            <w:vAlign w:val="center"/>
          </w:tcPr>
          <w:p>
            <w:pPr>
              <w:pStyle w:val="323"/>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520" w:lineRule="exact"/>
              <w:ind w:firstLine="200"/>
              <w:jc w:val="center"/>
              <w:rPr>
                <w:rFonts w:ascii="仿宋_GB2312" w:eastAsia="仿宋_GB2312"/>
                <w:sz w:val="24"/>
                <w:szCs w:val="24"/>
              </w:rPr>
            </w:pPr>
            <w:r>
              <w:rPr>
                <w:rFonts w:hint="eastAsia" w:ascii="仿宋_GB2312" w:eastAsia="仿宋_GB2312"/>
                <w:sz w:val="24"/>
                <w:szCs w:val="24"/>
              </w:rPr>
              <w:t>总价</w:t>
            </w:r>
          </w:p>
        </w:tc>
        <w:tc>
          <w:tcPr>
            <w:tcW w:w="2552" w:type="dxa"/>
            <w:vAlign w:val="center"/>
          </w:tcPr>
          <w:p>
            <w:pPr>
              <w:pStyle w:val="323"/>
              <w:spacing w:line="520" w:lineRule="exact"/>
              <w:ind w:firstLine="200"/>
              <w:jc w:val="center"/>
              <w:rPr>
                <w:rFonts w:ascii="仿宋_GB2312" w:eastAsia="仿宋_GB2312"/>
                <w:sz w:val="24"/>
                <w:szCs w:val="24"/>
              </w:rPr>
            </w:pPr>
          </w:p>
        </w:tc>
      </w:tr>
    </w:tbl>
    <w:p>
      <w:pPr>
        <w:spacing w:line="520" w:lineRule="exact"/>
        <w:ind w:firstLine="482" w:firstLineChars="200"/>
        <w:rPr>
          <w:rFonts w:ascii="仿宋_GB2312" w:eastAsia="仿宋_GB2312"/>
          <w:b/>
          <w:sz w:val="24"/>
        </w:rPr>
      </w:pPr>
      <w:bookmarkStart w:id="402" w:name="_Toc10340"/>
      <w:bookmarkStart w:id="403" w:name="_Toc22618"/>
      <w:bookmarkStart w:id="404" w:name="_Toc1814"/>
      <w:r>
        <w:rPr>
          <w:rFonts w:hint="eastAsia" w:ascii="仿宋_GB2312" w:eastAsia="仿宋_GB2312"/>
          <w:b/>
          <w:sz w:val="24"/>
        </w:rPr>
        <w:t>1.4 付款方式</w:t>
      </w:r>
      <w:bookmarkEnd w:id="402"/>
      <w:bookmarkEnd w:id="403"/>
      <w:bookmarkEnd w:id="404"/>
      <w:r>
        <w:rPr>
          <w:rFonts w:hint="eastAsia" w:ascii="仿宋_GB2312" w:eastAsia="仿宋_GB2312"/>
          <w:b/>
          <w:sz w:val="24"/>
        </w:rPr>
        <w:t>、时间和条件</w:t>
      </w:r>
    </w:p>
    <w:p>
      <w:pPr>
        <w:pStyle w:val="96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w:t>
      </w:r>
      <w:r>
        <w:rPr>
          <w:rFonts w:hint="eastAsia" w:ascii="仿宋" w:hAnsi="仿宋" w:eastAsia="仿宋" w:cs="Times New Roman"/>
          <w:u w:val="single"/>
        </w:rPr>
        <w:t>或按照招标公告要求</w:t>
      </w:r>
      <w:r>
        <w:rPr>
          <w:rFonts w:hint="eastAsia" w:ascii="仿宋" w:hAnsi="仿宋" w:eastAsia="仿宋" w:cs="Times New Roman"/>
        </w:rPr>
        <w:t>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Arial"/>
          <w:color w:val="000000"/>
          <w:kern w:val="0"/>
          <w:sz w:val="24"/>
        </w:rPr>
        <w:t> </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20" w:lineRule="exact"/>
        <w:ind w:firstLine="482" w:firstLineChars="200"/>
        <w:rPr>
          <w:rFonts w:ascii="仿宋_GB2312" w:eastAsia="仿宋_GB2312"/>
          <w:b/>
          <w:sz w:val="24"/>
        </w:rPr>
      </w:pPr>
      <w:bookmarkStart w:id="405" w:name="_Toc2846"/>
      <w:bookmarkStart w:id="406" w:name="_Toc32071"/>
      <w:bookmarkStart w:id="407" w:name="_Toc19304"/>
      <w:r>
        <w:rPr>
          <w:rFonts w:hint="eastAsia" w:ascii="仿宋_GB2312" w:eastAsia="仿宋_GB2312"/>
          <w:b/>
          <w:sz w:val="24"/>
        </w:rPr>
        <w:t>1.5 履行服务期限、地点和方式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hint="eastAsia" w:ascii="仿宋" w:hAnsi="仿宋" w:eastAsia="仿宋"/>
          <w:b/>
          <w:i/>
          <w:sz w:val="24"/>
          <w:u w:val="single"/>
        </w:rPr>
        <w:t>合同专用条款</w:t>
      </w:r>
      <w:r>
        <w:rPr>
          <w:rFonts w:hint="eastAsia" w:ascii="仿宋" w:hAnsi="仿宋" w:eastAsia="仿宋"/>
          <w:sz w:val="24"/>
        </w:rPr>
        <w:t>；</w:t>
      </w:r>
    </w:p>
    <w:p>
      <w:pPr>
        <w:spacing w:line="52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rPr>
          <w:rFonts w:ascii="仿宋" w:hAnsi="仿宋" w:eastAsia="仿宋"/>
          <w:b/>
          <w:sz w:val="24"/>
        </w:rPr>
      </w:pPr>
      <w:bookmarkStart w:id="408" w:name="_Toc27250"/>
      <w:bookmarkStart w:id="409" w:name="_Toc21423"/>
      <w:bookmarkStart w:id="410" w:name="_Toc19554"/>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adjustRightInd/>
        <w:spacing w:line="566"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adjustRightInd/>
        <w:spacing w:line="566" w:lineRule="exact"/>
        <w:ind w:firstLine="480" w:firstLineChars="200"/>
        <w:rPr>
          <w:rFonts w:ascii="仿宋" w:hAnsi="仿宋" w:eastAsia="仿宋"/>
          <w:sz w:val="24"/>
        </w:rPr>
      </w:pPr>
      <w:r>
        <w:rPr>
          <w:rFonts w:ascii="仿宋" w:hAnsi="仿宋" w:eastAsia="仿宋"/>
          <w:sz w:val="24"/>
        </w:rPr>
        <w:t>1.6.2</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除不可抗力或因乙方原因及非甲方原因外</w:t>
      </w:r>
      <w:r>
        <w:rPr>
          <w:rFonts w:hint="eastAsia" w:ascii="仿宋" w:hAnsi="仿宋" w:eastAsia="仿宋"/>
          <w:color w:val="000000" w:themeColor="text1"/>
          <w:sz w:val="24"/>
          <w14:textFill>
            <w14:solidFill>
              <w14:schemeClr w14:val="tx1"/>
            </w14:solidFill>
          </w14:textFill>
        </w:rPr>
        <w:t>，如果</w:t>
      </w:r>
      <w:r>
        <w:rPr>
          <w:rFonts w:hint="eastAsia" w:ascii="仿宋" w:hAnsi="仿宋" w:eastAsia="仿宋"/>
          <w:sz w:val="24"/>
        </w:rPr>
        <w:t>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adjustRightInd/>
        <w:spacing w:line="566"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w:t>
      </w:r>
      <w:r>
        <w:rPr>
          <w:rFonts w:hint="eastAsia" w:ascii="仿宋" w:hAnsi="仿宋" w:eastAsia="仿宋"/>
          <w:color w:val="000000" w:themeColor="text1"/>
          <w:sz w:val="24"/>
          <w14:textFill>
            <w14:solidFill>
              <w14:schemeClr w14:val="tx1"/>
            </w14:solidFill>
          </w14:textFill>
        </w:rPr>
        <w:t>知违约方</w:t>
      </w:r>
      <w:r>
        <w:rPr>
          <w:rFonts w:hint="eastAsia" w:ascii="仿宋" w:hAnsi="仿宋" w:eastAsia="仿宋"/>
          <w:color w:val="000000" w:themeColor="text1"/>
          <w:sz w:val="24"/>
          <w:u w:val="single"/>
          <w14:textFill>
            <w14:solidFill>
              <w14:schemeClr w14:val="tx1"/>
            </w14:solidFill>
          </w14:textFill>
        </w:rPr>
        <w:t>单方解除本合同</w:t>
      </w:r>
      <w:r>
        <w:rPr>
          <w:rFonts w:hint="eastAsia" w:ascii="仿宋" w:hAnsi="仿宋" w:eastAsia="仿宋"/>
          <w:color w:val="000000" w:themeColor="text1"/>
          <w:sz w:val="24"/>
          <w14:textFill>
            <w14:solidFill>
              <w14:schemeClr w14:val="tx1"/>
            </w14:solidFill>
          </w14:textFill>
        </w:rPr>
        <w:t>；</w:t>
      </w:r>
    </w:p>
    <w:p>
      <w:pPr>
        <w:adjustRightInd/>
        <w:spacing w:line="566"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566"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566"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w:t>
      </w: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中止或终止</w:t>
      </w:r>
      <w:r>
        <w:rPr>
          <w:rFonts w:hint="eastAsia" w:ascii="仿宋" w:hAnsi="仿宋" w:eastAsia="仿宋"/>
          <w:color w:val="000000" w:themeColor="text1"/>
          <w:sz w:val="24"/>
          <w14:textFill>
            <w14:solidFill>
              <w14:schemeClr w14:val="tx1"/>
            </w14:solidFill>
          </w14:textFill>
        </w:rPr>
        <w:t>履行合同的情形，均不视为甲方违约。</w:t>
      </w:r>
    </w:p>
    <w:p>
      <w:pPr>
        <w:adjustRightInd/>
        <w:spacing w:line="566" w:lineRule="exact"/>
        <w:ind w:left="-420" w:leftChars="-200" w:right="-420" w:rightChars="-200" w:firstLine="960" w:firstLineChars="4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adjustRightInd/>
        <w:spacing w:line="566" w:lineRule="exact"/>
        <w:ind w:firstLine="482" w:firstLineChars="200"/>
        <w:rPr>
          <w:rFonts w:ascii="仿宋" w:hAnsi="仿宋" w:eastAsia="仿宋"/>
          <w:b/>
          <w:color w:val="000000" w:themeColor="text1"/>
          <w:sz w:val="24"/>
          <w14:textFill>
            <w14:solidFill>
              <w14:schemeClr w14:val="tx1"/>
            </w14:solidFill>
          </w14:textFill>
        </w:rPr>
      </w:pPr>
      <w:bookmarkStart w:id="411" w:name="_Toc16021"/>
      <w:bookmarkStart w:id="412" w:name="_Toc28375"/>
      <w:bookmarkStart w:id="413" w:name="_Toc15583"/>
      <w:r>
        <w:rPr>
          <w:rFonts w:ascii="仿宋" w:hAnsi="仿宋" w:eastAsia="仿宋"/>
          <w:b/>
          <w:color w:val="000000" w:themeColor="text1"/>
          <w:sz w:val="24"/>
          <w14:textFill>
            <w14:solidFill>
              <w14:schemeClr w14:val="tx1"/>
            </w14:solidFill>
          </w14:textFill>
        </w:rPr>
        <w:t xml:space="preserve">1.7 </w:t>
      </w:r>
      <w:r>
        <w:rPr>
          <w:rFonts w:hint="eastAsia" w:ascii="仿宋" w:hAnsi="仿宋" w:eastAsia="仿宋"/>
          <w:b/>
          <w:color w:val="000000" w:themeColor="text1"/>
          <w:sz w:val="24"/>
          <w14:textFill>
            <w14:solidFill>
              <w14:schemeClr w14:val="tx1"/>
            </w14:solidFill>
          </w14:textFill>
        </w:rPr>
        <w:t>合同争议的解决</w:t>
      </w:r>
      <w:bookmarkEnd w:id="411"/>
      <w:bookmarkEnd w:id="412"/>
      <w:bookmarkEnd w:id="413"/>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rPr>
          <w:rFonts w:ascii="仿宋" w:hAnsi="仿宋" w:eastAsia="仿宋"/>
          <w:b/>
          <w:color w:val="000000" w:themeColor="text1"/>
          <w:sz w:val="24"/>
          <w14:textFill>
            <w14:solidFill>
              <w14:schemeClr w14:val="tx1"/>
            </w14:solidFill>
          </w14:textFill>
        </w:rPr>
      </w:pPr>
      <w:bookmarkStart w:id="414" w:name="_Toc15322"/>
      <w:bookmarkStart w:id="415" w:name="_Toc7245"/>
      <w:bookmarkStart w:id="416" w:name="_Toc11173"/>
      <w:r>
        <w:rPr>
          <w:rFonts w:ascii="仿宋" w:hAnsi="仿宋" w:eastAsia="仿宋"/>
          <w:b/>
          <w:color w:val="000000" w:themeColor="text1"/>
          <w:sz w:val="24"/>
          <w14:textFill>
            <w14:solidFill>
              <w14:schemeClr w14:val="tx1"/>
            </w14:solidFill>
          </w14:textFill>
        </w:rPr>
        <w:t xml:space="preserve">1.8 </w:t>
      </w:r>
      <w:r>
        <w:rPr>
          <w:rFonts w:hint="eastAsia" w:ascii="仿宋" w:hAnsi="仿宋" w:eastAsia="仿宋"/>
          <w:b/>
          <w:color w:val="000000" w:themeColor="text1"/>
          <w:sz w:val="24"/>
          <w14:textFill>
            <w14:solidFill>
              <w14:schemeClr w14:val="tx1"/>
            </w14:solidFill>
          </w14:textFill>
        </w:rPr>
        <w:t>合同生效</w:t>
      </w:r>
      <w:bookmarkEnd w:id="414"/>
      <w:bookmarkEnd w:id="415"/>
      <w:bookmarkEnd w:id="416"/>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本合同自双方当事人盖章或者签字时生效。</w:t>
      </w:r>
    </w:p>
    <w:p>
      <w:pPr>
        <w:autoSpaceDE w:val="0"/>
        <w:autoSpaceDN w:val="0"/>
        <w:spacing w:line="520" w:lineRule="exact"/>
        <w:ind w:firstLine="482" w:firstLineChars="200"/>
        <w:rPr>
          <w:rFonts w:ascii="仿宋_GB2312" w:eastAsia="仿宋_GB2312"/>
          <w:b/>
          <w:bCs/>
          <w:color w:val="000000" w:themeColor="text1"/>
          <w:sz w:val="24"/>
          <w14:textFill>
            <w14:solidFill>
              <w14:schemeClr w14:val="tx1"/>
            </w14:solidFill>
          </w14:textFill>
        </w:rPr>
      </w:pPr>
      <w:r>
        <w:rPr>
          <w:rFonts w:ascii="仿宋_GB2312" w:eastAsia="仿宋_GB2312"/>
          <w:b/>
          <w:bCs/>
          <w:color w:val="000000" w:themeColor="text1"/>
          <w:sz w:val="24"/>
          <w14:textFill>
            <w14:solidFill>
              <w14:schemeClr w14:val="tx1"/>
            </w14:solidFill>
          </w14:textFill>
        </w:rPr>
        <w:t>（注：本合同不强制现场签订，</w:t>
      </w:r>
      <w:r>
        <w:rPr>
          <w:rFonts w:hint="eastAsia" w:ascii="仿宋_GB2312" w:eastAsia="仿宋_GB2312"/>
          <w:b/>
          <w:bCs/>
          <w:color w:val="000000" w:themeColor="text1"/>
          <w:sz w:val="24"/>
          <w:lang w:val="zh-CN"/>
          <w14:textFill>
            <w14:solidFill>
              <w14:schemeClr w14:val="tx1"/>
            </w14:solidFill>
          </w14:textFill>
        </w:rPr>
        <w:t>可</w:t>
      </w:r>
      <w:r>
        <w:rPr>
          <w:rFonts w:ascii="仿宋_GB2312" w:eastAsia="仿宋_GB2312"/>
          <w:b/>
          <w:bCs/>
          <w:color w:val="000000" w:themeColor="text1"/>
          <w:sz w:val="24"/>
          <w14:textFill>
            <w14:solidFill>
              <w14:schemeClr w14:val="tx1"/>
            </w14:solidFill>
          </w14:textFill>
        </w:rPr>
        <w:t>盖章后</w:t>
      </w:r>
      <w:r>
        <w:rPr>
          <w:rFonts w:hint="eastAsia" w:ascii="仿宋_GB2312" w:eastAsia="仿宋_GB2312"/>
          <w:b/>
          <w:bCs/>
          <w:color w:val="000000" w:themeColor="text1"/>
          <w:sz w:val="24"/>
          <w:lang w:val="zh-CN"/>
          <w14:textFill>
            <w14:solidFill>
              <w14:schemeClr w14:val="tx1"/>
            </w14:solidFill>
          </w14:textFill>
        </w:rPr>
        <w:t>邮寄送达</w:t>
      </w:r>
      <w:r>
        <w:rPr>
          <w:rFonts w:ascii="仿宋_GB2312" w:eastAsia="仿宋_GB2312"/>
          <w:b/>
          <w:bCs/>
          <w:color w:val="000000" w:themeColor="text1"/>
          <w:sz w:val="24"/>
          <w14:textFill>
            <w14:solidFill>
              <w14:schemeClr w14:val="tx1"/>
            </w14:solidFill>
          </w14:textFill>
        </w:rPr>
        <w:t>。）</w:t>
      </w:r>
    </w:p>
    <w:p>
      <w:pPr>
        <w:autoSpaceDE w:val="0"/>
        <w:autoSpaceDN w:val="0"/>
        <w:spacing w:line="520" w:lineRule="exact"/>
        <w:rPr>
          <w:rFonts w:ascii="仿宋_GB2312" w:eastAsia="仿宋_GB2312"/>
          <w:sz w:val="24"/>
          <w:lang w:val="zh-CN"/>
        </w:rPr>
      </w:pPr>
    </w:p>
    <w:p>
      <w:pPr>
        <w:autoSpaceDE w:val="0"/>
        <w:autoSpaceDN w:val="0"/>
        <w:spacing w:line="520" w:lineRule="exact"/>
        <w:rPr>
          <w:rFonts w:ascii="仿宋_GB2312" w:eastAsia="仿宋_GB2312"/>
          <w:sz w:val="24"/>
          <w:lang w:val="zh-CN"/>
        </w:rPr>
      </w:pPr>
      <w:r>
        <w:rPr>
          <w:rFonts w:hint="eastAsia" w:ascii="仿宋_GB2312" w:eastAsia="仿宋_GB2312"/>
          <w:b/>
          <w:sz w:val="24"/>
          <w:lang w:val="zh-CN"/>
        </w:rPr>
        <w:t>甲方</w:t>
      </w:r>
      <w:r>
        <w:rPr>
          <w:rFonts w:hint="eastAsia" w:ascii="仿宋_GB2312" w:eastAsia="仿宋_GB2312"/>
          <w:sz w:val="24"/>
          <w:lang w:val="zh-CN"/>
        </w:rPr>
        <w:t xml:space="preserve">：                             </w:t>
      </w:r>
      <w:r>
        <w:rPr>
          <w:rFonts w:hint="eastAsia" w:ascii="仿宋_GB2312" w:eastAsia="仿宋_GB2312"/>
          <w:b/>
          <w:sz w:val="24"/>
          <w:lang w:val="zh-CN"/>
        </w:rPr>
        <w:t xml:space="preserve">      乙方</w:t>
      </w:r>
      <w:r>
        <w:rPr>
          <w:rFonts w:hint="eastAsia" w:ascii="仿宋_GB2312" w:eastAsia="仿宋_GB2312"/>
          <w:sz w:val="24"/>
          <w:lang w:val="zh-CN"/>
        </w:rPr>
        <w:t>：</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统一社会信用代码：                        统一社会信用代码或身份证号码：</w:t>
      </w:r>
    </w:p>
    <w:p>
      <w:pPr>
        <w:autoSpaceDE w:val="0"/>
        <w:autoSpaceDN w:val="0"/>
        <w:spacing w:line="520" w:lineRule="exact"/>
        <w:rPr>
          <w:rFonts w:ascii="仿宋_GB2312" w:eastAsia="仿宋_GB2312"/>
          <w:sz w:val="24"/>
          <w:lang w:val="zh-CN"/>
        </w:rPr>
      </w:pP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住所：                                   住所：</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法定代表人或                             法定代表人</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 xml:space="preserve">授权代表（签字）：                       或授权代表（签字）: </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联系人：                                 联系人：</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约定送达地址：                           约定送达地址：</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邮政编码：                               邮政编码：</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 xml:space="preserve">电话:                                    电话: </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传真:                                    传真:</w:t>
      </w:r>
    </w:p>
    <w:p>
      <w:pPr>
        <w:autoSpaceDE w:val="0"/>
        <w:autoSpaceDN w:val="0"/>
        <w:spacing w:line="520" w:lineRule="exact"/>
        <w:rPr>
          <w:rFonts w:ascii="仿宋_GB2312" w:eastAsia="仿宋_GB2312"/>
          <w:sz w:val="24"/>
        </w:rPr>
      </w:pPr>
      <w:r>
        <w:rPr>
          <w:rFonts w:hint="eastAsia" w:ascii="仿宋_GB2312" w:eastAsia="仿宋_GB2312"/>
          <w:sz w:val="24"/>
          <w:lang w:val="zh-CN"/>
        </w:rPr>
        <w:t>电子邮箱：                               电子邮箱：</w:t>
      </w:r>
    </w:p>
    <w:p>
      <w:pPr>
        <w:autoSpaceDE w:val="0"/>
        <w:autoSpaceDN w:val="0"/>
        <w:spacing w:line="520" w:lineRule="exact"/>
        <w:rPr>
          <w:rFonts w:ascii="仿宋_GB2312" w:eastAsia="仿宋_GB2312"/>
          <w:sz w:val="24"/>
        </w:rPr>
      </w:pPr>
      <w:r>
        <w:rPr>
          <w:rFonts w:hint="eastAsia" w:ascii="仿宋_GB2312" w:eastAsia="仿宋_GB2312"/>
          <w:sz w:val="24"/>
        </w:rPr>
        <w:t xml:space="preserve">开户银行：                               开户银行： </w:t>
      </w:r>
    </w:p>
    <w:p>
      <w:pPr>
        <w:autoSpaceDE w:val="0"/>
        <w:autoSpaceDN w:val="0"/>
        <w:spacing w:line="520" w:lineRule="exact"/>
        <w:rPr>
          <w:rFonts w:ascii="仿宋_GB2312" w:eastAsia="仿宋_GB2312"/>
          <w:sz w:val="24"/>
        </w:rPr>
      </w:pPr>
      <w:r>
        <w:rPr>
          <w:rFonts w:hint="eastAsia" w:ascii="仿宋_GB2312" w:eastAsia="仿宋_GB2312"/>
          <w:sz w:val="24"/>
        </w:rPr>
        <w:t xml:space="preserve">开户名称：                               开户名称： </w:t>
      </w:r>
    </w:p>
    <w:p>
      <w:pPr>
        <w:autoSpaceDE w:val="0"/>
        <w:autoSpaceDN w:val="0"/>
        <w:spacing w:line="520" w:lineRule="exact"/>
        <w:rPr>
          <w:rFonts w:ascii="仿宋_GB2312" w:eastAsia="仿宋_GB2312"/>
          <w:sz w:val="24"/>
        </w:rPr>
      </w:pPr>
      <w:r>
        <w:rPr>
          <w:rFonts w:hint="eastAsia" w:ascii="仿宋_GB2312" w:eastAsia="仿宋_GB2312"/>
          <w:sz w:val="24"/>
        </w:rPr>
        <w:t>开户账号：开户账号：</w:t>
      </w:r>
    </w:p>
    <w:p>
      <w:pPr>
        <w:pStyle w:val="705"/>
        <w:spacing w:line="520" w:lineRule="exact"/>
        <w:ind w:firstLine="562"/>
        <w:jc w:val="center"/>
        <w:rPr>
          <w:rFonts w:ascii="仿宋_GB2312" w:eastAsia="仿宋_GB2312"/>
          <w:b/>
          <w:sz w:val="28"/>
          <w:szCs w:val="28"/>
        </w:rPr>
      </w:pPr>
      <w:bookmarkStart w:id="417" w:name="_Toc331685783"/>
    </w:p>
    <w:p>
      <w:pPr>
        <w:pStyle w:val="705"/>
        <w:spacing w:line="520" w:lineRule="exact"/>
        <w:ind w:firstLine="562"/>
        <w:jc w:val="center"/>
        <w:rPr>
          <w:rFonts w:ascii="仿宋_GB2312" w:eastAsia="仿宋_GB2312"/>
          <w:b/>
          <w:sz w:val="28"/>
          <w:szCs w:val="28"/>
        </w:rPr>
      </w:pPr>
      <w:r>
        <w:rPr>
          <w:rFonts w:hint="eastAsia" w:ascii="仿宋_GB2312" w:eastAsia="仿宋_GB2312"/>
          <w:b/>
          <w:sz w:val="28"/>
          <w:szCs w:val="28"/>
        </w:rPr>
        <w:t>第二部分 合同一般条款</w:t>
      </w:r>
      <w:bookmarkEnd w:id="417"/>
    </w:p>
    <w:p>
      <w:pPr>
        <w:spacing w:line="360" w:lineRule="auto"/>
        <w:ind w:firstLine="482" w:firstLineChars="200"/>
        <w:rPr>
          <w:rFonts w:ascii="仿宋_GB2312" w:eastAsia="仿宋_GB2312"/>
          <w:b/>
          <w:sz w:val="24"/>
        </w:rPr>
      </w:pPr>
      <w:bookmarkStart w:id="418" w:name="_Ref467379195"/>
      <w:bookmarkStart w:id="419" w:name="_Ref467379225"/>
      <w:bookmarkStart w:id="420" w:name="_Ref467379101"/>
      <w:bookmarkStart w:id="421" w:name="_Toc28763"/>
      <w:bookmarkStart w:id="422" w:name="_Toc487900349"/>
      <w:bookmarkStart w:id="423" w:name="_Ref467378404"/>
      <w:bookmarkStart w:id="424" w:name="_Ref467378499"/>
      <w:bookmarkStart w:id="425" w:name="_Ref467379109"/>
      <w:bookmarkStart w:id="426" w:name="_Ref467379094"/>
      <w:bookmarkStart w:id="427" w:name="_Toc279701240"/>
      <w:bookmarkStart w:id="428" w:name="_Toc16917"/>
      <w:bookmarkStart w:id="429" w:name="_Toc19614"/>
      <w:bookmarkStart w:id="430" w:name="_Toc259093669"/>
      <w:bookmarkStart w:id="431" w:name="_Ref467379205"/>
      <w:bookmarkStart w:id="432" w:name="_Ref467379214"/>
      <w:bookmarkStart w:id="433" w:name="_Ref467378463"/>
      <w:r>
        <w:rPr>
          <w:rFonts w:hint="eastAsia" w:ascii="仿宋_GB2312" w:eastAsia="仿宋_GB2312"/>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360" w:lineRule="auto"/>
        <w:ind w:firstLine="480" w:firstLineChars="200"/>
        <w:rPr>
          <w:rFonts w:ascii="仿宋_GB2312" w:eastAsia="仿宋_GB2312"/>
          <w:sz w:val="24"/>
        </w:rPr>
      </w:pPr>
      <w:r>
        <w:rPr>
          <w:rFonts w:hint="eastAsia" w:ascii="仿宋_GB2312" w:eastAsia="仿宋_GB2312"/>
          <w:sz w:val="24"/>
        </w:rPr>
        <w:t>本合同中的下列词语应按以下内容进行解释：</w:t>
      </w:r>
    </w:p>
    <w:p>
      <w:pPr>
        <w:spacing w:line="360" w:lineRule="auto"/>
        <w:ind w:firstLine="480" w:firstLineChars="200"/>
        <w:rPr>
          <w:rFonts w:ascii="仿宋_GB2312" w:eastAsia="仿宋_GB2312"/>
          <w:sz w:val="24"/>
        </w:rPr>
      </w:pPr>
      <w:r>
        <w:rPr>
          <w:rFonts w:hint="eastAsia" w:ascii="仿宋_GB2312"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eastAsia="仿宋_GB2312"/>
          <w:sz w:val="24"/>
        </w:rPr>
      </w:pPr>
      <w:r>
        <w:rPr>
          <w:rFonts w:hint="eastAsia" w:ascii="仿宋_GB2312"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eastAsia="仿宋_GB2312"/>
          <w:color w:val="000000"/>
          <w:sz w:val="24"/>
        </w:rPr>
      </w:pPr>
      <w:r>
        <w:rPr>
          <w:rFonts w:hint="eastAsia" w:ascii="仿宋_GB2312" w:eastAsia="仿宋_GB2312"/>
          <w:sz w:val="24"/>
        </w:rPr>
        <w:t>2.1.3</w:t>
      </w:r>
      <w:bookmarkStart w:id="434" w:name="_Ref467378840"/>
      <w:r>
        <w:rPr>
          <w:rFonts w:hint="eastAsia" w:ascii="仿宋_GB2312" w:eastAsia="仿宋_GB2312"/>
          <w:color w:val="000000" w:themeColor="text1"/>
          <w:sz w:val="24"/>
          <w14:textFill>
            <w14:solidFill>
              <w14:schemeClr w14:val="tx1"/>
            </w14:solidFill>
          </w14:textFill>
        </w:rPr>
        <w:t>“货物”系指中标供</w:t>
      </w:r>
      <w:r>
        <w:rPr>
          <w:rFonts w:hint="eastAsia" w:ascii="仿宋_GB2312" w:eastAsia="仿宋_GB2312"/>
          <w:color w:val="000000"/>
          <w:sz w:val="24"/>
        </w:rPr>
        <w:t>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仿宋_GB2312" w:eastAsia="仿宋_GB2312"/>
          <w:sz w:val="24"/>
        </w:rPr>
      </w:pPr>
      <w:r>
        <w:rPr>
          <w:rFonts w:hint="eastAsia" w:ascii="仿宋_GB2312" w:eastAsia="仿宋_GB2312"/>
          <w:sz w:val="24"/>
        </w:rPr>
        <w:t>2.1.4 “甲方”系指与中标供应商签署合同的采购人</w:t>
      </w:r>
      <w:bookmarkEnd w:id="434"/>
      <w:r>
        <w:rPr>
          <w:rFonts w:hint="eastAsia" w:ascii="仿宋_GB2312" w:eastAsia="仿宋_GB2312"/>
          <w:sz w:val="24"/>
        </w:rPr>
        <w:t>；采购人委托采购机构代表其与乙方签订合同的，采购人的授权委托书作为合同附件。</w:t>
      </w:r>
    </w:p>
    <w:p>
      <w:pPr>
        <w:spacing w:line="360" w:lineRule="auto"/>
        <w:ind w:firstLine="480" w:firstLineChars="200"/>
        <w:rPr>
          <w:rFonts w:ascii="仿宋_GB2312" w:eastAsia="仿宋_GB2312"/>
          <w:sz w:val="24"/>
        </w:rPr>
      </w:pPr>
      <w:bookmarkStart w:id="435" w:name="_Ref467379400"/>
      <w:r>
        <w:rPr>
          <w:rFonts w:hint="eastAsia" w:ascii="仿宋_GB2312" w:eastAsia="仿宋_GB2312"/>
          <w:sz w:val="24"/>
        </w:rPr>
        <w:t>2.1.5 “乙方”系指根据合同约定交付服务的中标供应商</w:t>
      </w:r>
      <w:bookmarkEnd w:id="435"/>
      <w:r>
        <w:rPr>
          <w:rFonts w:hint="eastAsia" w:ascii="仿宋_GB2312"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eastAsia="仿宋_GB2312"/>
          <w:sz w:val="24"/>
        </w:rPr>
      </w:pPr>
      <w:bookmarkStart w:id="436" w:name="_Ref467379436"/>
      <w:r>
        <w:rPr>
          <w:rFonts w:hint="eastAsia" w:ascii="仿宋_GB2312" w:eastAsia="仿宋_GB2312"/>
          <w:sz w:val="24"/>
        </w:rPr>
        <w:t>2.1.6 “现场”系指合同约定服务将要运至或者安装的地点。</w:t>
      </w:r>
      <w:bookmarkEnd w:id="436"/>
    </w:p>
    <w:p>
      <w:pPr>
        <w:spacing w:line="360" w:lineRule="auto"/>
        <w:ind w:firstLine="482" w:firstLineChars="200"/>
        <w:rPr>
          <w:rFonts w:ascii="仿宋_GB2312" w:eastAsia="仿宋_GB2312"/>
          <w:b/>
          <w:sz w:val="24"/>
        </w:rPr>
      </w:pPr>
      <w:bookmarkStart w:id="437" w:name="_Toc27635"/>
      <w:bookmarkStart w:id="438" w:name="_Toc487900350"/>
      <w:bookmarkStart w:id="439" w:name="_Toc279701241"/>
      <w:bookmarkStart w:id="440" w:name="_Toc32504"/>
      <w:bookmarkStart w:id="441" w:name="_Toc13336"/>
      <w:bookmarkStart w:id="442" w:name="_Toc259093670"/>
      <w:r>
        <w:rPr>
          <w:rFonts w:hint="eastAsia" w:ascii="仿宋_GB2312" w:eastAsia="仿宋_GB2312"/>
          <w:b/>
          <w:sz w:val="24"/>
        </w:rPr>
        <w:t>2.2 技术规范</w:t>
      </w:r>
      <w:bookmarkEnd w:id="437"/>
      <w:bookmarkEnd w:id="438"/>
      <w:bookmarkEnd w:id="439"/>
      <w:bookmarkEnd w:id="440"/>
      <w:bookmarkEnd w:id="441"/>
      <w:bookmarkEnd w:id="442"/>
    </w:p>
    <w:p>
      <w:pPr>
        <w:spacing w:line="360" w:lineRule="auto"/>
        <w:ind w:firstLine="480" w:firstLineChars="200"/>
        <w:rPr>
          <w:rFonts w:ascii="仿宋_GB2312" w:eastAsia="仿宋_GB2312"/>
          <w:sz w:val="24"/>
        </w:rPr>
      </w:pPr>
      <w:r>
        <w:rPr>
          <w:rFonts w:hint="eastAsia" w:ascii="仿宋_GB2312" w:eastAsia="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仿宋_GB2312" w:eastAsia="仿宋_GB2312"/>
          <w:b/>
          <w:sz w:val="24"/>
        </w:rPr>
      </w:pPr>
      <w:bookmarkStart w:id="443" w:name="_Toc9829"/>
      <w:bookmarkStart w:id="444" w:name="_Toc279701242"/>
      <w:bookmarkStart w:id="445" w:name="_Toc259093671"/>
      <w:bookmarkStart w:id="446" w:name="_Toc31634"/>
      <w:bookmarkStart w:id="447" w:name="_Toc27853"/>
      <w:bookmarkStart w:id="448" w:name="_Toc487900351"/>
      <w:r>
        <w:rPr>
          <w:rFonts w:hint="eastAsia" w:ascii="仿宋_GB2312" w:eastAsia="仿宋_GB2312"/>
          <w:b/>
          <w:sz w:val="24"/>
        </w:rPr>
        <w:t>2.3 知识产权</w:t>
      </w:r>
      <w:bookmarkEnd w:id="443"/>
      <w:bookmarkEnd w:id="444"/>
      <w:bookmarkEnd w:id="445"/>
      <w:bookmarkEnd w:id="446"/>
      <w:bookmarkEnd w:id="447"/>
      <w:bookmarkEnd w:id="448"/>
    </w:p>
    <w:p>
      <w:pPr>
        <w:spacing w:line="360" w:lineRule="auto"/>
        <w:ind w:firstLine="480" w:firstLineChars="200"/>
        <w:rPr>
          <w:rFonts w:ascii="仿宋_GB2312" w:eastAsia="仿宋_GB2312"/>
          <w:sz w:val="24"/>
        </w:rPr>
      </w:pPr>
      <w:r>
        <w:rPr>
          <w:rFonts w:hint="eastAsia" w:ascii="仿宋_GB2312" w:eastAsia="仿宋_GB2312"/>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eastAsia="仿宋_GB2312"/>
          <w:sz w:val="24"/>
        </w:rPr>
      </w:pPr>
      <w:r>
        <w:rPr>
          <w:rFonts w:hint="eastAsia" w:ascii="仿宋_GB2312" w:eastAsia="仿宋_GB2312"/>
          <w:sz w:val="24"/>
        </w:rPr>
        <w:t>2.3.2合同涉及技术成果的归属和收益的分成办法的，详见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ascii="仿宋_GB2312" w:eastAsia="仿宋_GB2312"/>
          <w:b/>
          <w:sz w:val="24"/>
        </w:rPr>
      </w:pPr>
      <w:bookmarkStart w:id="449" w:name="_Toc29149"/>
      <w:bookmarkStart w:id="450" w:name="_Toc4194"/>
      <w:bookmarkStart w:id="451" w:name="_Toc11932"/>
      <w:r>
        <w:rPr>
          <w:rFonts w:hint="eastAsia" w:ascii="仿宋_GB2312" w:eastAsia="仿宋_GB2312"/>
          <w:b/>
          <w:sz w:val="24"/>
        </w:rPr>
        <w:t xml:space="preserve">2.4 </w:t>
      </w:r>
      <w:bookmarkEnd w:id="449"/>
      <w:bookmarkEnd w:id="450"/>
      <w:bookmarkEnd w:id="451"/>
      <w:bookmarkStart w:id="452" w:name="_Toc26182"/>
      <w:bookmarkStart w:id="453" w:name="_Toc30272"/>
      <w:bookmarkStart w:id="454" w:name="_Toc19074"/>
      <w:r>
        <w:rPr>
          <w:rFonts w:hint="eastAsia" w:ascii="仿宋_GB2312" w:eastAsia="仿宋_GB2312"/>
          <w:b/>
          <w:sz w:val="24"/>
        </w:rPr>
        <w:t xml:space="preserve"> 履约检查和问题反馈</w:t>
      </w:r>
      <w:bookmarkEnd w:id="452"/>
      <w:bookmarkEnd w:id="453"/>
      <w:bookmarkEnd w:id="454"/>
    </w:p>
    <w:p>
      <w:pPr>
        <w:spacing w:line="360" w:lineRule="auto"/>
        <w:ind w:firstLine="480" w:firstLineChars="200"/>
        <w:rPr>
          <w:rFonts w:ascii="仿宋_GB2312" w:eastAsia="仿宋_GB2312"/>
          <w:sz w:val="24"/>
        </w:rPr>
      </w:pPr>
      <w:bookmarkStart w:id="455" w:name="_Ref467379657"/>
      <w:r>
        <w:rPr>
          <w:rFonts w:hint="eastAsia" w:ascii="仿宋_GB2312" w:eastAsia="仿宋_GB2312"/>
          <w:sz w:val="24"/>
        </w:rPr>
        <w:t>2.4.1</w:t>
      </w:r>
      <w:bookmarkEnd w:id="455"/>
      <w:bookmarkStart w:id="456" w:name="_Toc186431854"/>
      <w:bookmarkStart w:id="457" w:name="_Toc279701247"/>
      <w:bookmarkStart w:id="458" w:name="_Ref467379793"/>
      <w:bookmarkStart w:id="459" w:name="_Toc487900357"/>
      <w:bookmarkStart w:id="460" w:name="_Toc259093676"/>
      <w:bookmarkStart w:id="461" w:name="_Ref467379807"/>
      <w:r>
        <w:rPr>
          <w:rFonts w:hint="eastAsia" w:ascii="仿宋_GB2312" w:eastAsia="仿宋_GB2312"/>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auto"/>
        <w:ind w:firstLine="480" w:firstLineChars="200"/>
        <w:rPr>
          <w:rFonts w:ascii="仿宋_GB2312" w:eastAsia="仿宋_GB2312"/>
          <w:sz w:val="24"/>
        </w:rPr>
      </w:pPr>
      <w:r>
        <w:rPr>
          <w:rFonts w:hint="eastAsia" w:ascii="仿宋_GB2312" w:eastAsia="仿宋_GB2312"/>
          <w:sz w:val="24"/>
        </w:rPr>
        <w:t>2.4.2 合同履行期间，甲方有权将履行过程中出现的问题反馈给乙方，双方当事人应以书面形式约定需要完善和改进的内容</w:t>
      </w:r>
      <w:bookmarkEnd w:id="456"/>
      <w:bookmarkStart w:id="462" w:name="_Toc186431855"/>
      <w:r>
        <w:rPr>
          <w:rFonts w:hint="eastAsia" w:ascii="仿宋_GB2312" w:eastAsia="仿宋_GB2312"/>
          <w:sz w:val="24"/>
        </w:rPr>
        <w:t>。</w:t>
      </w:r>
    </w:p>
    <w:bookmarkEnd w:id="457"/>
    <w:bookmarkEnd w:id="458"/>
    <w:bookmarkEnd w:id="459"/>
    <w:bookmarkEnd w:id="460"/>
    <w:bookmarkEnd w:id="461"/>
    <w:bookmarkEnd w:id="462"/>
    <w:p>
      <w:pPr>
        <w:spacing w:line="360" w:lineRule="auto"/>
        <w:ind w:firstLine="482" w:firstLineChars="200"/>
        <w:rPr>
          <w:rFonts w:ascii="仿宋_GB2312" w:eastAsia="仿宋_GB2312"/>
          <w:b/>
          <w:sz w:val="24"/>
        </w:rPr>
      </w:pPr>
      <w:bookmarkStart w:id="463" w:name="_Toc26555"/>
      <w:bookmarkStart w:id="464" w:name="_Toc32670"/>
      <w:bookmarkStart w:id="465" w:name="_Toc31233"/>
      <w:bookmarkStart w:id="466" w:name="_Toc15447"/>
      <w:bookmarkStart w:id="467" w:name="_Toc22011"/>
      <w:r>
        <w:rPr>
          <w:rFonts w:hint="eastAsia" w:ascii="仿宋_GB2312" w:eastAsia="仿宋_GB2312"/>
          <w:b/>
          <w:sz w:val="24"/>
        </w:rPr>
        <w:t>2.5 结算方式和付款条件</w:t>
      </w:r>
      <w:bookmarkEnd w:id="463"/>
      <w:bookmarkEnd w:id="464"/>
      <w:bookmarkEnd w:id="465"/>
      <w:bookmarkEnd w:id="466"/>
      <w:bookmarkEnd w:id="467"/>
    </w:p>
    <w:p>
      <w:pPr>
        <w:spacing w:line="360" w:lineRule="auto"/>
        <w:ind w:firstLine="480" w:firstLineChars="200"/>
        <w:rPr>
          <w:rFonts w:ascii="仿宋_GB2312" w:eastAsia="仿宋_GB2312"/>
          <w:sz w:val="24"/>
        </w:rPr>
      </w:pPr>
      <w:r>
        <w:rPr>
          <w:rFonts w:hint="eastAsia" w:ascii="仿宋_GB2312" w:eastAsia="仿宋_GB2312"/>
          <w:sz w:val="24"/>
        </w:rPr>
        <w:t>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ascii="仿宋_GB2312" w:eastAsia="仿宋_GB2312"/>
          <w:b/>
          <w:bCs/>
          <w:sz w:val="24"/>
        </w:rPr>
      </w:pPr>
      <w:bookmarkStart w:id="468" w:name="_Toc18990"/>
      <w:bookmarkStart w:id="469" w:name="_Toc13467"/>
      <w:bookmarkStart w:id="470" w:name="_Toc16163"/>
      <w:bookmarkStart w:id="471" w:name="_Toc13154"/>
      <w:bookmarkStart w:id="472" w:name="_Toc30507"/>
      <w:r>
        <w:rPr>
          <w:rFonts w:hint="eastAsia" w:ascii="仿宋_GB2312" w:eastAsia="仿宋_GB2312"/>
          <w:b/>
          <w:bCs/>
          <w:sz w:val="24"/>
        </w:rPr>
        <w:t>2.6 技术资料和保密义务</w:t>
      </w:r>
      <w:bookmarkEnd w:id="468"/>
      <w:bookmarkEnd w:id="469"/>
      <w:bookmarkEnd w:id="470"/>
      <w:bookmarkEnd w:id="471"/>
      <w:bookmarkEnd w:id="472"/>
    </w:p>
    <w:p>
      <w:pPr>
        <w:spacing w:line="360" w:lineRule="auto"/>
        <w:ind w:firstLine="480" w:firstLineChars="200"/>
        <w:rPr>
          <w:rFonts w:ascii="仿宋_GB2312" w:eastAsia="仿宋_GB2312"/>
          <w:sz w:val="24"/>
        </w:rPr>
      </w:pPr>
      <w:r>
        <w:rPr>
          <w:rFonts w:hint="eastAsia" w:ascii="仿宋_GB2312" w:eastAsia="仿宋_GB2312"/>
          <w:sz w:val="24"/>
        </w:rPr>
        <w:t>2.6.1 乙方有权依据合同约定和项目需要，向甲方了解有关情况，调阅有关资料等，甲方应予积极配合；</w:t>
      </w:r>
    </w:p>
    <w:p>
      <w:pPr>
        <w:spacing w:line="360" w:lineRule="auto"/>
        <w:ind w:firstLine="480" w:firstLineChars="200"/>
        <w:rPr>
          <w:rFonts w:ascii="仿宋_GB2312" w:eastAsia="仿宋_GB2312"/>
          <w:sz w:val="24"/>
        </w:rPr>
      </w:pPr>
      <w:r>
        <w:rPr>
          <w:rFonts w:hint="eastAsia" w:ascii="仿宋_GB2312" w:eastAsia="仿宋_GB2312"/>
          <w:sz w:val="24"/>
        </w:rPr>
        <w:t>2.6.2 乙方有义务妥善保管和保护由甲方提供的前款信息和资料等；</w:t>
      </w:r>
    </w:p>
    <w:p>
      <w:pPr>
        <w:spacing w:line="360" w:lineRule="auto"/>
        <w:ind w:firstLine="480" w:firstLineChars="200"/>
        <w:rPr>
          <w:rFonts w:ascii="仿宋_GB2312" w:eastAsia="仿宋_GB2312"/>
          <w:sz w:val="24"/>
        </w:rPr>
      </w:pPr>
      <w:r>
        <w:rPr>
          <w:rFonts w:hint="eastAsia" w:ascii="仿宋_GB2312" w:eastAsia="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_GB2312" w:eastAsia="仿宋_GB2312"/>
          <w:b/>
          <w:bCs/>
          <w:sz w:val="24"/>
        </w:rPr>
      </w:pPr>
      <w:bookmarkStart w:id="473" w:name="_Toc19069"/>
      <w:r>
        <w:rPr>
          <w:rFonts w:hint="eastAsia" w:ascii="仿宋_GB2312" w:eastAsia="仿宋_GB2312"/>
          <w:b/>
          <w:bCs/>
          <w:sz w:val="24"/>
        </w:rPr>
        <w:t>2.7 质量保证</w:t>
      </w:r>
      <w:bookmarkEnd w:id="473"/>
    </w:p>
    <w:p>
      <w:pPr>
        <w:spacing w:line="360" w:lineRule="auto"/>
        <w:ind w:firstLine="480" w:firstLineChars="200"/>
        <w:rPr>
          <w:rFonts w:ascii="仿宋_GB2312" w:eastAsia="仿宋_GB2312"/>
          <w:sz w:val="24"/>
        </w:rPr>
      </w:pPr>
      <w:r>
        <w:rPr>
          <w:rFonts w:hint="eastAsia" w:ascii="仿宋_GB2312" w:eastAsia="仿宋_GB2312"/>
          <w:sz w:val="24"/>
        </w:rPr>
        <w:t>2.7.1 乙方应建立和完善履行合同的内部质量保证体系，并提供相关内部规章制度给甲方，以便甲方进行监督检查；</w:t>
      </w:r>
    </w:p>
    <w:p>
      <w:pPr>
        <w:spacing w:line="360" w:lineRule="auto"/>
        <w:ind w:firstLine="480" w:firstLineChars="200"/>
        <w:rPr>
          <w:rFonts w:ascii="仿宋_GB2312" w:eastAsia="仿宋_GB2312"/>
          <w:sz w:val="24"/>
        </w:rPr>
      </w:pPr>
      <w:r>
        <w:rPr>
          <w:rFonts w:hint="eastAsia" w:ascii="仿宋_GB2312" w:eastAsia="仿宋_GB2312"/>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_GB2312" w:eastAsia="仿宋_GB2312"/>
          <w:b/>
          <w:bCs/>
          <w:sz w:val="24"/>
        </w:rPr>
      </w:pPr>
      <w:bookmarkStart w:id="474" w:name="_Toc22267"/>
      <w:r>
        <w:rPr>
          <w:rFonts w:hint="eastAsia" w:ascii="仿宋_GB2312" w:eastAsia="仿宋_GB2312"/>
          <w:b/>
          <w:bCs/>
          <w:sz w:val="24"/>
        </w:rPr>
        <w:t>2.8 延迟履行</w:t>
      </w:r>
      <w:bookmarkEnd w:id="474"/>
    </w:p>
    <w:p>
      <w:pPr>
        <w:spacing w:line="360" w:lineRule="auto"/>
        <w:ind w:firstLine="480" w:firstLineChars="200"/>
        <w:rPr>
          <w:rFonts w:ascii="仿宋_GB2312" w:eastAsia="仿宋_GB2312"/>
          <w:sz w:val="24"/>
        </w:rPr>
      </w:pPr>
      <w:r>
        <w:rPr>
          <w:rFonts w:hint="eastAsia" w:ascii="仿宋_GB2312" w:eastAsia="仿宋_GB231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_GB2312" w:eastAsia="仿宋_GB2312"/>
          <w:sz w:val="24"/>
        </w:rPr>
      </w:pPr>
      <w:bookmarkStart w:id="475" w:name="_Toc10611"/>
      <w:r>
        <w:rPr>
          <w:rFonts w:hint="eastAsia" w:ascii="仿宋_GB2312" w:eastAsia="仿宋_GB2312"/>
          <w:b/>
          <w:bCs/>
          <w:sz w:val="24"/>
        </w:rPr>
        <w:t>2.9 合同变更</w:t>
      </w:r>
      <w:bookmarkEnd w:id="475"/>
    </w:p>
    <w:p>
      <w:pPr>
        <w:spacing w:line="360" w:lineRule="auto"/>
        <w:ind w:firstLine="480" w:firstLineChars="200"/>
        <w:rPr>
          <w:rFonts w:ascii="仿宋_GB2312" w:eastAsia="仿宋_GB2312"/>
          <w:sz w:val="24"/>
        </w:rPr>
      </w:pPr>
      <w:r>
        <w:rPr>
          <w:rFonts w:hint="eastAsia" w:ascii="仿宋_GB2312" w:eastAsia="仿宋_GB2312"/>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仿宋_GB2312" w:eastAsia="仿宋_GB2312"/>
          <w:b/>
          <w:bCs/>
          <w:sz w:val="24"/>
        </w:rPr>
      </w:pPr>
      <w:bookmarkStart w:id="476" w:name="_Toc23368"/>
      <w:bookmarkStart w:id="477" w:name="_Toc42"/>
      <w:bookmarkStart w:id="478" w:name="_Toc26689"/>
      <w:bookmarkStart w:id="479" w:name="_Toc10663"/>
      <w:bookmarkStart w:id="480" w:name="_Toc21830"/>
      <w:r>
        <w:rPr>
          <w:rFonts w:hint="eastAsia" w:ascii="仿宋_GB2312" w:eastAsia="仿宋_GB2312"/>
          <w:b/>
          <w:bCs/>
          <w:sz w:val="24"/>
        </w:rPr>
        <w:t>2.10 合同转让和分包</w:t>
      </w:r>
      <w:bookmarkEnd w:id="476"/>
      <w:bookmarkEnd w:id="477"/>
      <w:bookmarkEnd w:id="478"/>
      <w:bookmarkEnd w:id="479"/>
      <w:bookmarkEnd w:id="480"/>
    </w:p>
    <w:p>
      <w:pPr>
        <w:spacing w:line="360" w:lineRule="auto"/>
        <w:ind w:firstLine="480" w:firstLineChars="200"/>
        <w:rPr>
          <w:rFonts w:ascii="仿宋_GB2312" w:eastAsia="仿宋_GB2312"/>
          <w:sz w:val="24"/>
        </w:rPr>
      </w:pPr>
      <w:r>
        <w:rPr>
          <w:rFonts w:hint="eastAsia" w:asci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eastAsia="仿宋_GB2312"/>
          <w:b/>
          <w:bCs/>
          <w:sz w:val="24"/>
        </w:rPr>
      </w:pPr>
      <w:bookmarkStart w:id="481" w:name="_Toc26633"/>
      <w:bookmarkStart w:id="482" w:name="_Toc14371"/>
      <w:bookmarkStart w:id="483" w:name="_Toc25571"/>
      <w:bookmarkStart w:id="484" w:name="_Toc32494"/>
      <w:bookmarkStart w:id="485" w:name="_Toc4720"/>
      <w:r>
        <w:rPr>
          <w:rFonts w:hint="eastAsia" w:ascii="仿宋_GB2312" w:eastAsia="仿宋_GB2312"/>
          <w:b/>
          <w:bCs/>
          <w:sz w:val="24"/>
        </w:rPr>
        <w:t>2.11 不可抗力</w:t>
      </w:r>
      <w:bookmarkEnd w:id="481"/>
      <w:bookmarkEnd w:id="482"/>
      <w:bookmarkEnd w:id="483"/>
      <w:bookmarkEnd w:id="484"/>
      <w:bookmarkEnd w:id="485"/>
    </w:p>
    <w:p>
      <w:pPr>
        <w:spacing w:line="360" w:lineRule="auto"/>
        <w:ind w:firstLine="480" w:firstLineChars="200"/>
        <w:rPr>
          <w:rFonts w:ascii="仿宋_GB2312" w:eastAsia="仿宋_GB2312"/>
          <w:sz w:val="24"/>
        </w:rPr>
      </w:pPr>
      <w:r>
        <w:rPr>
          <w:rFonts w:hint="eastAsia" w:ascii="仿宋_GB2312" w:eastAsia="仿宋_GB2312"/>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eastAsia="仿宋_GB2312"/>
          <w:sz w:val="24"/>
        </w:rPr>
      </w:pPr>
      <w:r>
        <w:rPr>
          <w:rFonts w:hint="eastAsia" w:ascii="仿宋_GB2312" w:eastAsia="仿宋_GB2312"/>
          <w:sz w:val="24"/>
        </w:rPr>
        <w:t>2.11.2 因不可抗力致使不能实现合同目的的，当事人可以解除合同；</w:t>
      </w:r>
    </w:p>
    <w:p>
      <w:pPr>
        <w:spacing w:line="360" w:lineRule="auto"/>
        <w:ind w:firstLine="480" w:firstLineChars="200"/>
        <w:rPr>
          <w:rFonts w:ascii="仿宋_GB2312" w:eastAsia="仿宋_GB2312"/>
          <w:sz w:val="24"/>
        </w:rPr>
      </w:pPr>
      <w:r>
        <w:rPr>
          <w:rFonts w:hint="eastAsia" w:ascii="仿宋_GB2312" w:eastAsia="仿宋_GB2312"/>
          <w:sz w:val="24"/>
        </w:rPr>
        <w:t>2.11.3 因不可抗力致使合同有变更必要的，双方当事人应在</w:t>
      </w:r>
      <w:r>
        <w:rPr>
          <w:rFonts w:hint="eastAsia" w:ascii="仿宋_GB2312" w:eastAsia="仿宋_GB2312"/>
          <w:b/>
          <w:i/>
          <w:sz w:val="24"/>
          <w:u w:val="single"/>
        </w:rPr>
        <w:t>合同专用条款</w:t>
      </w:r>
      <w:r>
        <w:rPr>
          <w:rFonts w:hint="eastAsia" w:ascii="仿宋_GB2312" w:eastAsia="仿宋_GB2312"/>
          <w:sz w:val="24"/>
        </w:rPr>
        <w:t>约定时间内以书面形式变更合同；</w:t>
      </w:r>
    </w:p>
    <w:p>
      <w:pPr>
        <w:spacing w:line="360" w:lineRule="auto"/>
        <w:ind w:firstLine="480" w:firstLineChars="200"/>
        <w:rPr>
          <w:rFonts w:ascii="仿宋_GB2312" w:eastAsia="仿宋_GB2312"/>
          <w:sz w:val="24"/>
        </w:rPr>
      </w:pPr>
      <w:r>
        <w:rPr>
          <w:rFonts w:hint="eastAsia" w:ascii="仿宋_GB2312" w:eastAsia="仿宋_GB2312"/>
          <w:sz w:val="24"/>
        </w:rPr>
        <w:t>2.11.4受不可抗力影响的一方在不可抗力发生后，应在</w:t>
      </w:r>
      <w:r>
        <w:rPr>
          <w:rFonts w:hint="eastAsia" w:ascii="仿宋_GB2312" w:eastAsia="仿宋_GB2312"/>
          <w:b/>
          <w:i/>
          <w:sz w:val="24"/>
          <w:u w:val="single"/>
        </w:rPr>
        <w:t>合同专用条款</w:t>
      </w:r>
      <w:r>
        <w:rPr>
          <w:rFonts w:hint="eastAsia" w:ascii="仿宋_GB2312" w:eastAsia="仿宋_GB2312"/>
          <w:sz w:val="24"/>
        </w:rPr>
        <w:t>约定时间内以书面形式通知对方当事人，并在</w:t>
      </w:r>
      <w:r>
        <w:rPr>
          <w:rFonts w:hint="eastAsia" w:ascii="仿宋_GB2312" w:eastAsia="仿宋_GB2312"/>
          <w:b/>
          <w:i/>
          <w:sz w:val="24"/>
          <w:u w:val="single"/>
        </w:rPr>
        <w:t>合同专用条款</w:t>
      </w:r>
      <w:r>
        <w:rPr>
          <w:rFonts w:hint="eastAsia" w:ascii="仿宋_GB2312" w:eastAsia="仿宋_GB2312"/>
          <w:sz w:val="24"/>
        </w:rPr>
        <w:t>约定时间内，将有关部门出具的证明文件送达对方当事人。</w:t>
      </w:r>
    </w:p>
    <w:p>
      <w:pPr>
        <w:spacing w:line="360" w:lineRule="auto"/>
        <w:ind w:firstLine="482" w:firstLineChars="200"/>
        <w:rPr>
          <w:rFonts w:ascii="仿宋_GB2312" w:eastAsia="仿宋_GB2312"/>
          <w:b/>
          <w:bCs/>
          <w:sz w:val="24"/>
        </w:rPr>
      </w:pPr>
      <w:bookmarkStart w:id="486" w:name="_Toc25783"/>
      <w:bookmarkStart w:id="487" w:name="_Toc24465"/>
      <w:bookmarkStart w:id="488" w:name="_Toc23854"/>
      <w:bookmarkStart w:id="489" w:name="_Toc3638"/>
      <w:bookmarkStart w:id="490" w:name="_Toc14115"/>
      <w:r>
        <w:rPr>
          <w:rFonts w:hint="eastAsia" w:ascii="仿宋_GB2312" w:eastAsia="仿宋_GB2312"/>
          <w:b/>
          <w:bCs/>
          <w:sz w:val="24"/>
        </w:rPr>
        <w:t>2.12 税费</w:t>
      </w:r>
      <w:bookmarkEnd w:id="486"/>
      <w:bookmarkEnd w:id="487"/>
      <w:bookmarkEnd w:id="488"/>
      <w:bookmarkEnd w:id="489"/>
      <w:bookmarkEnd w:id="490"/>
    </w:p>
    <w:p>
      <w:pPr>
        <w:spacing w:line="360" w:lineRule="auto"/>
        <w:ind w:firstLine="480" w:firstLineChars="200"/>
        <w:rPr>
          <w:rFonts w:ascii="仿宋_GB2312" w:eastAsia="仿宋_GB2312"/>
          <w:sz w:val="24"/>
        </w:rPr>
      </w:pPr>
      <w:r>
        <w:rPr>
          <w:rFonts w:hint="eastAsia" w:ascii="仿宋_GB2312" w:eastAsia="仿宋_GB2312"/>
          <w:sz w:val="24"/>
        </w:rPr>
        <w:t>与合同有关的一切税费，均按照中华人民共和国法律的相关规定缴纳。</w:t>
      </w:r>
    </w:p>
    <w:p>
      <w:pPr>
        <w:spacing w:line="360" w:lineRule="auto"/>
        <w:ind w:firstLine="482" w:firstLineChars="200"/>
        <w:rPr>
          <w:rFonts w:ascii="仿宋_GB2312" w:eastAsia="仿宋_GB2312"/>
          <w:sz w:val="24"/>
        </w:rPr>
      </w:pPr>
      <w:bookmarkStart w:id="491" w:name="_Toc25525"/>
      <w:bookmarkStart w:id="492" w:name="_Toc26883"/>
      <w:bookmarkStart w:id="493" w:name="_Toc7315"/>
      <w:bookmarkStart w:id="494" w:name="_Toc14814"/>
      <w:bookmarkStart w:id="495" w:name="_Toc30105"/>
      <w:r>
        <w:rPr>
          <w:rFonts w:hint="eastAsia" w:ascii="仿宋_GB2312" w:eastAsia="仿宋_GB2312"/>
          <w:b/>
          <w:bCs/>
          <w:sz w:val="24"/>
        </w:rPr>
        <w:t>2.13 乙方破产</w:t>
      </w:r>
      <w:bookmarkEnd w:id="491"/>
      <w:bookmarkEnd w:id="492"/>
      <w:bookmarkEnd w:id="493"/>
      <w:bookmarkEnd w:id="494"/>
      <w:bookmarkEnd w:id="495"/>
    </w:p>
    <w:p>
      <w:pPr>
        <w:spacing w:line="360" w:lineRule="auto"/>
        <w:ind w:firstLine="480" w:firstLineChars="200"/>
        <w:rPr>
          <w:rFonts w:ascii="仿宋_GB2312" w:eastAsia="仿宋_GB2312"/>
          <w:sz w:val="24"/>
        </w:rPr>
      </w:pPr>
      <w:r>
        <w:rPr>
          <w:rFonts w:hint="eastAsia" w:asci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eastAsia="仿宋_GB2312"/>
          <w:b/>
          <w:bCs/>
          <w:sz w:val="24"/>
        </w:rPr>
      </w:pPr>
      <w:bookmarkStart w:id="496" w:name="_Toc2016"/>
      <w:bookmarkStart w:id="497" w:name="_Toc1123"/>
      <w:bookmarkStart w:id="498" w:name="_Toc23323"/>
      <w:r>
        <w:rPr>
          <w:rFonts w:hint="eastAsia" w:ascii="仿宋_GB2312" w:eastAsia="仿宋_GB2312"/>
          <w:b/>
          <w:bCs/>
          <w:sz w:val="24"/>
        </w:rPr>
        <w:t>2.14 合同中止、终止</w:t>
      </w:r>
      <w:bookmarkEnd w:id="496"/>
      <w:bookmarkEnd w:id="497"/>
      <w:bookmarkEnd w:id="498"/>
    </w:p>
    <w:p>
      <w:pPr>
        <w:spacing w:line="360" w:lineRule="auto"/>
        <w:ind w:firstLine="480" w:firstLineChars="200"/>
        <w:rPr>
          <w:rFonts w:ascii="仿宋_GB2312" w:eastAsia="仿宋_GB2312"/>
          <w:sz w:val="24"/>
        </w:rPr>
      </w:pPr>
      <w:r>
        <w:rPr>
          <w:rFonts w:hint="eastAsia" w:ascii="仿宋_GB2312" w:eastAsia="仿宋_GB2312"/>
          <w:sz w:val="24"/>
        </w:rPr>
        <w:t>2.14.1 双方当事人不得擅自中止或者终止合同；</w:t>
      </w:r>
    </w:p>
    <w:p>
      <w:pPr>
        <w:spacing w:line="360" w:lineRule="auto"/>
        <w:ind w:firstLine="480" w:firstLineChars="200"/>
        <w:rPr>
          <w:rFonts w:ascii="仿宋_GB2312" w:eastAsia="仿宋_GB2312"/>
          <w:sz w:val="24"/>
        </w:rPr>
      </w:pPr>
      <w:r>
        <w:rPr>
          <w:rFonts w:hint="eastAsia" w:ascii="仿宋_GB2312" w:eastAsia="仿宋_GB2312"/>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eastAsia="仿宋_GB2312"/>
          <w:b/>
          <w:bCs/>
          <w:sz w:val="24"/>
        </w:rPr>
      </w:pPr>
      <w:bookmarkStart w:id="499" w:name="_Toc14525"/>
      <w:bookmarkStart w:id="500" w:name="_Toc17363"/>
      <w:bookmarkStart w:id="501" w:name="_Toc1969"/>
      <w:r>
        <w:rPr>
          <w:rFonts w:hint="eastAsia" w:ascii="仿宋_GB2312" w:eastAsia="仿宋_GB2312"/>
          <w:b/>
          <w:bCs/>
          <w:sz w:val="24"/>
        </w:rPr>
        <w:t>2.15 检验和验收</w:t>
      </w:r>
      <w:bookmarkEnd w:id="499"/>
      <w:bookmarkEnd w:id="500"/>
      <w:bookmarkEnd w:id="501"/>
    </w:p>
    <w:p>
      <w:pPr>
        <w:spacing w:line="360" w:lineRule="auto"/>
        <w:ind w:firstLine="480" w:firstLineChars="200"/>
        <w:rPr>
          <w:rFonts w:ascii="仿宋_GB2312" w:eastAsia="仿宋_GB2312"/>
          <w:sz w:val="24"/>
        </w:rPr>
      </w:pPr>
      <w:r>
        <w:rPr>
          <w:rFonts w:hint="eastAsia" w:ascii="仿宋_GB2312" w:eastAsia="仿宋_GB2312"/>
          <w:sz w:val="24"/>
        </w:rPr>
        <w:t>2.15.1 乙方按照合同专用条款的约定，定期提交服务报告，甲方按照合同专用条款的约定进行定期验收；</w:t>
      </w:r>
    </w:p>
    <w:p>
      <w:pPr>
        <w:spacing w:line="360" w:lineRule="auto"/>
        <w:ind w:firstLine="480" w:firstLineChars="200"/>
        <w:rPr>
          <w:rFonts w:ascii="仿宋_GB2312" w:eastAsia="仿宋_GB2312"/>
          <w:sz w:val="24"/>
        </w:rPr>
      </w:pPr>
      <w:r>
        <w:rPr>
          <w:rFonts w:hint="eastAsia" w:ascii="仿宋_GB2312" w:eastAsia="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ascii="仿宋_GB2312" w:eastAsia="仿宋_GB2312"/>
          <w:sz w:val="24"/>
        </w:rPr>
      </w:pPr>
      <w:r>
        <w:rPr>
          <w:rFonts w:hint="eastAsia" w:ascii="仿宋_GB2312" w:eastAsia="仿宋_GB2312"/>
          <w:sz w:val="24"/>
        </w:rPr>
        <w:t>2.15.3 检验和验收标准、程序等具体内容以及前述验收书的效力详见合同专用条款。</w:t>
      </w:r>
    </w:p>
    <w:p>
      <w:pPr>
        <w:spacing w:line="360" w:lineRule="auto"/>
        <w:ind w:firstLine="482" w:firstLineChars="200"/>
        <w:rPr>
          <w:rFonts w:ascii="仿宋_GB2312" w:eastAsia="仿宋_GB2312"/>
          <w:b/>
          <w:bCs/>
          <w:sz w:val="24"/>
        </w:rPr>
      </w:pPr>
      <w:bookmarkStart w:id="502" w:name="_Toc31892"/>
      <w:bookmarkStart w:id="503" w:name="_Toc9808"/>
      <w:bookmarkStart w:id="504" w:name="_Toc25198"/>
      <w:bookmarkStart w:id="505" w:name="_Toc12666"/>
      <w:bookmarkStart w:id="506" w:name="_Toc2308"/>
      <w:r>
        <w:rPr>
          <w:rFonts w:hint="eastAsia" w:ascii="仿宋_GB2312" w:eastAsia="仿宋_GB2312"/>
          <w:b/>
          <w:bCs/>
          <w:sz w:val="24"/>
        </w:rPr>
        <w:t>2.16 通知和送达</w:t>
      </w:r>
      <w:bookmarkEnd w:id="502"/>
      <w:bookmarkEnd w:id="503"/>
      <w:bookmarkEnd w:id="504"/>
      <w:bookmarkEnd w:id="505"/>
      <w:bookmarkEnd w:id="506"/>
    </w:p>
    <w:p>
      <w:pPr>
        <w:spacing w:line="360" w:lineRule="auto"/>
        <w:ind w:firstLine="480" w:firstLineChars="200"/>
        <w:rPr>
          <w:rFonts w:ascii="仿宋_GB2312" w:eastAsia="仿宋_GB2312"/>
          <w:sz w:val="24"/>
        </w:rPr>
      </w:pPr>
      <w:bookmarkStart w:id="507" w:name="_Toc27674"/>
      <w:bookmarkStart w:id="508" w:name="_Toc18401"/>
      <w:r>
        <w:rPr>
          <w:rFonts w:hint="eastAsia" w:ascii="仿宋_GB2312" w:eastAsia="仿宋_GB2312"/>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firstLine="480" w:firstLineChars="200"/>
        <w:rPr>
          <w:rFonts w:ascii="仿宋_GB2312" w:eastAsia="仿宋_GB2312"/>
          <w:sz w:val="24"/>
        </w:rPr>
      </w:pPr>
      <w:r>
        <w:rPr>
          <w:rFonts w:hint="eastAsia" w:ascii="仿宋_GB2312" w:eastAsia="仿宋_GB231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7"/>
      <w:bookmarkEnd w:id="508"/>
    </w:p>
    <w:p>
      <w:pPr>
        <w:spacing w:line="360" w:lineRule="auto"/>
        <w:ind w:firstLine="482" w:firstLineChars="200"/>
        <w:rPr>
          <w:rFonts w:ascii="仿宋_GB2312" w:eastAsia="仿宋_GB2312"/>
          <w:b/>
          <w:bCs/>
          <w:sz w:val="24"/>
        </w:rPr>
      </w:pPr>
      <w:bookmarkStart w:id="509" w:name="_Toc20808"/>
      <w:bookmarkStart w:id="510" w:name="_Toc28906"/>
      <w:bookmarkStart w:id="511" w:name="_Toc27644"/>
      <w:bookmarkStart w:id="512" w:name="_Toc12254"/>
      <w:bookmarkStart w:id="513" w:name="_Toc5063"/>
      <w:r>
        <w:rPr>
          <w:rFonts w:hint="eastAsia" w:ascii="仿宋_GB2312" w:eastAsia="仿宋_GB2312"/>
          <w:b/>
          <w:bCs/>
          <w:sz w:val="24"/>
        </w:rPr>
        <w:t>2.17 合同使用的文字和适用的法律</w:t>
      </w:r>
      <w:bookmarkEnd w:id="509"/>
      <w:bookmarkEnd w:id="510"/>
      <w:bookmarkEnd w:id="511"/>
      <w:bookmarkEnd w:id="512"/>
      <w:bookmarkEnd w:id="513"/>
    </w:p>
    <w:p>
      <w:pPr>
        <w:spacing w:line="360" w:lineRule="auto"/>
        <w:ind w:firstLine="480" w:firstLineChars="200"/>
        <w:rPr>
          <w:rFonts w:ascii="仿宋_GB2312" w:eastAsia="仿宋_GB2312"/>
          <w:sz w:val="24"/>
        </w:rPr>
      </w:pPr>
      <w:r>
        <w:rPr>
          <w:rFonts w:hint="eastAsia" w:ascii="仿宋_GB2312" w:eastAsia="仿宋_GB2312"/>
          <w:sz w:val="24"/>
        </w:rPr>
        <w:t>2.17.1 合同使用汉语书就、变更和解释；</w:t>
      </w:r>
    </w:p>
    <w:p>
      <w:pPr>
        <w:spacing w:line="360" w:lineRule="auto"/>
        <w:ind w:firstLine="480" w:firstLineChars="200"/>
        <w:rPr>
          <w:rFonts w:ascii="仿宋_GB2312" w:eastAsia="仿宋_GB2312"/>
          <w:sz w:val="24"/>
        </w:rPr>
      </w:pPr>
      <w:r>
        <w:rPr>
          <w:rFonts w:hint="eastAsia" w:ascii="仿宋_GB2312" w:eastAsia="仿宋_GB2312"/>
          <w:sz w:val="24"/>
        </w:rPr>
        <w:t>2.17.2 合同适用中华人民共和国法律。</w:t>
      </w:r>
    </w:p>
    <w:p>
      <w:pPr>
        <w:spacing w:line="360" w:lineRule="auto"/>
        <w:ind w:firstLine="482" w:firstLineChars="200"/>
        <w:rPr>
          <w:rFonts w:ascii="仿宋_GB2312" w:eastAsia="仿宋_GB2312"/>
          <w:b/>
          <w:bCs/>
          <w:sz w:val="24"/>
        </w:rPr>
      </w:pPr>
      <w:bookmarkStart w:id="514" w:name="_Toc22266"/>
      <w:bookmarkStart w:id="515" w:name="_Toc27127"/>
      <w:bookmarkStart w:id="516" w:name="_Toc1492"/>
      <w:bookmarkStart w:id="517" w:name="_Toc27403"/>
      <w:bookmarkStart w:id="518" w:name="_Toc30096"/>
      <w:r>
        <w:rPr>
          <w:rFonts w:hint="eastAsia" w:ascii="仿宋_GB2312" w:eastAsia="仿宋_GB2312"/>
          <w:b/>
          <w:bCs/>
          <w:sz w:val="24"/>
        </w:rPr>
        <w:t>2.18 履约保证金</w:t>
      </w:r>
      <w:bookmarkEnd w:id="514"/>
      <w:bookmarkEnd w:id="515"/>
      <w:bookmarkEnd w:id="516"/>
      <w:bookmarkEnd w:id="517"/>
      <w:bookmarkEnd w:id="518"/>
    </w:p>
    <w:p>
      <w:pPr>
        <w:spacing w:line="360" w:lineRule="auto"/>
        <w:ind w:firstLine="480" w:firstLineChars="200"/>
        <w:rPr>
          <w:rFonts w:ascii="仿宋_GB2312" w:eastAsia="仿宋_GB2312"/>
          <w:sz w:val="24"/>
        </w:rPr>
      </w:pPr>
      <w:r>
        <w:rPr>
          <w:rFonts w:hint="eastAsia" w:ascii="仿宋_GB2312" w:eastAsia="仿宋_GB2312"/>
          <w:sz w:val="24"/>
        </w:rPr>
        <w:t>2.18.1 本项目无需缴纳履约保证金。</w:t>
      </w:r>
    </w:p>
    <w:p>
      <w:pPr>
        <w:spacing w:line="360" w:lineRule="auto"/>
        <w:ind w:firstLine="480" w:firstLineChars="200"/>
        <w:rPr>
          <w:rFonts w:ascii="仿宋_GB2312" w:eastAsia="仿宋_GB2312"/>
          <w:sz w:val="24"/>
        </w:rPr>
      </w:pPr>
      <w:r>
        <w:rPr>
          <w:rFonts w:hint="eastAsia" w:ascii="仿宋_GB2312" w:eastAsia="仿宋_GB2312"/>
          <w:sz w:val="24"/>
        </w:rPr>
        <w:t>2.19对于因甲方原因导致变更、中止或者终止政府采购合同的，甲方应当依照合同约定对供应商受到的损失予以赔偿或者补偿。</w:t>
      </w:r>
    </w:p>
    <w:p>
      <w:pPr>
        <w:spacing w:line="360" w:lineRule="auto"/>
        <w:ind w:firstLine="480" w:firstLineChars="200"/>
        <w:rPr>
          <w:rFonts w:ascii="仿宋_GB2312" w:eastAsia="仿宋_GB2312"/>
          <w:sz w:val="24"/>
        </w:rPr>
      </w:pPr>
      <w:r>
        <w:rPr>
          <w:rFonts w:hint="eastAsia" w:ascii="仿宋_GB2312" w:eastAsia="仿宋_GB2312"/>
          <w:sz w:val="24"/>
        </w:rPr>
        <w:t>2.20合同份数</w:t>
      </w:r>
    </w:p>
    <w:p>
      <w:pPr>
        <w:spacing w:line="360" w:lineRule="auto"/>
        <w:ind w:firstLine="480" w:firstLineChars="200"/>
        <w:rPr>
          <w:rFonts w:ascii="仿宋_GB2312" w:eastAsia="仿宋_GB2312"/>
          <w:sz w:val="24"/>
        </w:rPr>
      </w:pPr>
      <w:r>
        <w:rPr>
          <w:rFonts w:hint="eastAsia" w:ascii="仿宋_GB2312" w:eastAsia="仿宋_GB2312"/>
          <w:sz w:val="24"/>
        </w:rPr>
        <w:t>合同份数按</w:t>
      </w:r>
      <w:r>
        <w:rPr>
          <w:rFonts w:hint="eastAsia" w:ascii="仿宋_GB2312" w:eastAsia="仿宋_GB2312"/>
          <w:b/>
          <w:i/>
          <w:sz w:val="24"/>
          <w:u w:val="single"/>
        </w:rPr>
        <w:t>合同专用条款</w:t>
      </w:r>
      <w:r>
        <w:rPr>
          <w:rFonts w:hint="eastAsia" w:ascii="仿宋_GB2312" w:eastAsia="仿宋_GB2312"/>
          <w:sz w:val="24"/>
        </w:rPr>
        <w:t>规定，每份均具有同等法律效力。</w:t>
      </w:r>
    </w:p>
    <w:p>
      <w:pPr>
        <w:spacing w:line="360" w:lineRule="auto"/>
        <w:ind w:left="720" w:leftChars="343" w:firstLine="2415" w:firstLineChars="115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4"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465"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hint="eastAsia" w:ascii="仿宋" w:hAnsi="仿宋" w:eastAsia="仿宋"/>
                <w:sz w:val="24"/>
              </w:rPr>
            </w:pPr>
            <w:r>
              <w:rPr>
                <w:rFonts w:hint="eastAsia" w:ascii="仿宋" w:hAnsi="仿宋" w:eastAsia="仿宋"/>
                <w:sz w:val="24"/>
              </w:rPr>
              <w:t>1.6.1</w:t>
            </w:r>
          </w:p>
        </w:tc>
        <w:tc>
          <w:tcPr>
            <w:tcW w:w="4465" w:type="pct"/>
            <w:vAlign w:val="center"/>
          </w:tcPr>
          <w:p>
            <w:pPr>
              <w:rPr>
                <w:rFonts w:hint="eastAsia" w:ascii="仿宋" w:hAnsi="仿宋" w:eastAsia="仿宋"/>
                <w:sz w:val="24"/>
              </w:rPr>
            </w:pPr>
            <w:r>
              <w:rPr>
                <w:rFonts w:hint="eastAsia" w:ascii="仿宋" w:hAnsi="仿宋" w:eastAsia="仿宋"/>
                <w:sz w:val="24"/>
              </w:rPr>
              <w:t>付款方式：合同生效以及具备实施条件后7个工作日内支付当年费用的50%预付款，当年剩余50%款项根据考核结果结算后支付。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1.7.1</w:t>
            </w:r>
          </w:p>
        </w:tc>
        <w:tc>
          <w:tcPr>
            <w:tcW w:w="4465" w:type="pct"/>
            <w:vAlign w:val="center"/>
          </w:tcPr>
          <w:p>
            <w:pPr>
              <w:spacing w:line="280" w:lineRule="exact"/>
              <w:rPr>
                <w:rFonts w:ascii="仿宋" w:hAnsi="仿宋" w:eastAsia="仿宋"/>
                <w:sz w:val="24"/>
              </w:rPr>
            </w:pPr>
            <w:r>
              <w:rPr>
                <w:rFonts w:hint="eastAsia" w:ascii="仿宋" w:hAnsi="仿宋" w:eastAsia="仿宋"/>
                <w:sz w:val="24"/>
              </w:rPr>
              <w:t>服务期限：中标服务期为2年，服务期从淳安县乡镇交接断面水质自动监测系统提供数据服务的次日开始计算。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7.2</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服务交付（实施）服务地点（地域范围）：淳安县。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7.3</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服务交付（实施）的方式：按采购人及项目要求提供服务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.7.4</w:t>
            </w:r>
          </w:p>
        </w:tc>
        <w:tc>
          <w:tcPr>
            <w:tcW w:w="4465" w:type="pct"/>
            <w:vAlign w:val="center"/>
          </w:tcPr>
          <w:p>
            <w:pPr>
              <w:spacing w:line="280" w:lineRule="exact"/>
              <w:rPr>
                <w:rFonts w:ascii="仿宋" w:hAnsi="仿宋" w:eastAsia="仿宋"/>
                <w:sz w:val="24"/>
              </w:rPr>
            </w:pPr>
            <w:r>
              <w:rPr>
                <w:rFonts w:hint="eastAsia" w:ascii="仿宋" w:hAnsi="仿宋" w:eastAsia="仿宋"/>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pPr>
              <w:spacing w:line="280" w:lineRule="exact"/>
              <w:rPr>
                <w:rFonts w:ascii="仿宋" w:hAnsi="仿宋" w:eastAsia="仿宋"/>
                <w:sz w:val="24"/>
              </w:rPr>
            </w:pPr>
            <w:r>
              <w:rPr>
                <w:rFonts w:hint="eastAsia" w:ascii="仿宋" w:hAnsi="仿宋" w:eastAsia="仿宋"/>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.7.4.1</w:t>
            </w:r>
          </w:p>
        </w:tc>
        <w:tc>
          <w:tcPr>
            <w:tcW w:w="4465" w:type="pct"/>
            <w:vAlign w:val="center"/>
          </w:tcPr>
          <w:p>
            <w:pPr>
              <w:rPr>
                <w:rFonts w:hint="eastAsia" w:ascii="仿宋" w:hAnsi="仿宋" w:eastAsia="仿宋"/>
                <w:sz w:val="24"/>
                <w:lang w:eastAsia="zh-CN"/>
              </w:rPr>
            </w:pPr>
            <w:r>
              <w:rPr>
                <w:rFonts w:hint="eastAsia" w:ascii="仿宋" w:hAnsi="仿宋" w:eastAsia="仿宋"/>
                <w:sz w:val="24"/>
              </w:rPr>
              <w:t>项目完成时间：中标服务期为2年，服务期从淳安县乡镇交接断面水质自动监测系统提供数据服务的次日开始计算。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1.7.4.2</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交付地点：淳安县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1.7.4.3</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交付方式：按采购方要求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r>
              <w:rPr>
                <w:rFonts w:ascii="仿宋" w:hAnsi="仿宋" w:eastAsia="仿宋"/>
                <w:sz w:val="24"/>
              </w:rPr>
              <w:t>4.5</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1.7.4.</w:t>
            </w:r>
            <w:r>
              <w:rPr>
                <w:rFonts w:ascii="仿宋" w:hAnsi="仿宋" w:eastAsia="仿宋"/>
                <w:sz w:val="24"/>
              </w:rPr>
              <w:t>6</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1.7.4</w:t>
            </w:r>
            <w:r>
              <w:rPr>
                <w:rFonts w:ascii="仿宋" w:hAnsi="仿宋" w:eastAsia="仿宋"/>
                <w:sz w:val="24"/>
              </w:rPr>
              <w:t>.7</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条款号</w:t>
            </w:r>
          </w:p>
        </w:tc>
        <w:tc>
          <w:tcPr>
            <w:tcW w:w="4465" w:type="pct"/>
            <w:vAlign w:val="center"/>
          </w:tcPr>
          <w:p>
            <w:pPr>
              <w:spacing w:line="360" w:lineRule="auto"/>
              <w:jc w:val="center"/>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hint="eastAsia" w:ascii="仿宋" w:hAnsi="仿宋" w:eastAsia="仿宋"/>
                <w:sz w:val="24"/>
              </w:rPr>
            </w:pPr>
            <w:r>
              <w:rPr>
                <w:rFonts w:hint="eastAsia" w:ascii="仿宋" w:hAnsi="仿宋" w:eastAsia="仿宋"/>
                <w:sz w:val="24"/>
              </w:rPr>
              <w:t>1.6.1</w:t>
            </w:r>
          </w:p>
        </w:tc>
        <w:tc>
          <w:tcPr>
            <w:tcW w:w="4465" w:type="pct"/>
            <w:vAlign w:val="center"/>
          </w:tcPr>
          <w:p>
            <w:pPr>
              <w:rPr>
                <w:rFonts w:hint="eastAsia" w:ascii="仿宋" w:hAnsi="仿宋" w:eastAsia="仿宋"/>
                <w:sz w:val="24"/>
              </w:rPr>
            </w:pPr>
            <w:r>
              <w:rPr>
                <w:rFonts w:hint="eastAsia" w:ascii="仿宋" w:hAnsi="仿宋" w:eastAsia="仿宋"/>
                <w:sz w:val="24"/>
              </w:rPr>
              <w:t>付款方式：付款方式：合同生效以及具备实施条件后7个工作日内支付当年费用的50%预付款，当年剩余50%款项根据考核结果结算后支付。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hint="eastAsia" w:ascii="仿宋" w:hAnsi="仿宋" w:eastAsia="仿宋"/>
                <w:sz w:val="24"/>
              </w:rPr>
            </w:pPr>
            <w:r>
              <w:rPr>
                <w:rFonts w:hint="eastAsia" w:ascii="仿宋" w:hAnsi="仿宋" w:eastAsia="仿宋"/>
                <w:sz w:val="24"/>
              </w:rPr>
              <w:t>1.7.1</w:t>
            </w:r>
          </w:p>
        </w:tc>
        <w:tc>
          <w:tcPr>
            <w:tcW w:w="4465" w:type="pct"/>
            <w:vAlign w:val="center"/>
          </w:tcPr>
          <w:p>
            <w:pPr>
              <w:rPr>
                <w:rFonts w:hint="eastAsia" w:ascii="仿宋" w:hAnsi="仿宋" w:eastAsia="仿宋"/>
                <w:sz w:val="24"/>
              </w:rPr>
            </w:pPr>
            <w:r>
              <w:rPr>
                <w:rFonts w:hint="eastAsia" w:ascii="仿宋" w:hAnsi="仿宋" w:eastAsia="仿宋"/>
                <w:sz w:val="24"/>
              </w:rPr>
              <w:t>服务期限：中标服务期为2年，服务期从淳安县乡镇交接断面水质自动监测系统提供数据服务的次日开始计算。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7.2</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服务交付（实施）服务地点（地域范围）：淳安县。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7.3</w:t>
            </w:r>
          </w:p>
        </w:tc>
        <w:tc>
          <w:tcPr>
            <w:tcW w:w="4465" w:type="pct"/>
            <w:vAlign w:val="center"/>
          </w:tcPr>
          <w:p>
            <w:pPr>
              <w:spacing w:line="440" w:lineRule="exact"/>
              <w:jc w:val="left"/>
              <w:rPr>
                <w:rFonts w:ascii="仿宋" w:hAnsi="仿宋" w:eastAsia="仿宋" w:cs="Times New Roman"/>
                <w:kern w:val="2"/>
                <w:sz w:val="24"/>
                <w:szCs w:val="24"/>
                <w:lang w:val="en-US" w:eastAsia="zh-CN" w:bidi="ar-SA"/>
              </w:rPr>
            </w:pPr>
            <w:r>
              <w:rPr>
                <w:rFonts w:hint="eastAsia" w:ascii="仿宋" w:hAnsi="仿宋" w:eastAsia="仿宋"/>
                <w:sz w:val="24"/>
              </w:rPr>
              <w:t>交付地点：淳安县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.7.4</w:t>
            </w:r>
          </w:p>
        </w:tc>
        <w:tc>
          <w:tcPr>
            <w:tcW w:w="4465" w:type="pct"/>
            <w:vAlign w:val="center"/>
          </w:tcPr>
          <w:p>
            <w:pPr>
              <w:spacing w:line="440" w:lineRule="exact"/>
              <w:jc w:val="left"/>
              <w:rPr>
                <w:rFonts w:ascii="仿宋" w:hAnsi="仿宋" w:eastAsia="仿宋" w:cs="Times New Roman"/>
                <w:kern w:val="2"/>
                <w:sz w:val="24"/>
                <w:szCs w:val="24"/>
                <w:lang w:val="en-US" w:eastAsia="zh-CN" w:bidi="ar-SA"/>
              </w:rPr>
            </w:pPr>
            <w:r>
              <w:rPr>
                <w:rFonts w:hint="eastAsia" w:ascii="仿宋" w:hAnsi="仿宋" w:eastAsia="仿宋"/>
                <w:sz w:val="24"/>
              </w:rPr>
              <w:t>交付方式：按采购方要求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r>
              <w:rPr>
                <w:rFonts w:ascii="仿宋" w:hAnsi="仿宋" w:eastAsia="仿宋"/>
                <w:sz w:val="24"/>
              </w:rPr>
              <w:t>.7.4.1</w:t>
            </w:r>
          </w:p>
        </w:tc>
        <w:tc>
          <w:tcPr>
            <w:tcW w:w="4465" w:type="pct"/>
            <w:vAlign w:val="center"/>
          </w:tcPr>
          <w:p>
            <w:pPr>
              <w:spacing w:line="440" w:lineRule="exact"/>
              <w:jc w:val="left"/>
              <w:rPr>
                <w:rFonts w:hint="eastAsia" w:ascii="仿宋" w:hAnsi="仿宋" w:eastAsia="仿宋"/>
                <w:sz w:val="24"/>
                <w:lang w:val="en-US" w:eastAsia="zh-CN"/>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1.7.4.2</w:t>
            </w:r>
          </w:p>
        </w:tc>
        <w:tc>
          <w:tcPr>
            <w:tcW w:w="4465" w:type="pct"/>
            <w:vAlign w:val="center"/>
          </w:tcPr>
          <w:p>
            <w:pPr>
              <w:spacing w:line="440" w:lineRule="exact"/>
              <w:jc w:val="left"/>
              <w:rPr>
                <w:rFonts w:hint="eastAsia" w:ascii="仿宋" w:hAnsi="仿宋" w:eastAsia="仿宋"/>
                <w:sz w:val="24"/>
                <w:lang w:val="en-US" w:eastAsia="zh-CN"/>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1.7.4.3</w:t>
            </w:r>
          </w:p>
        </w:tc>
        <w:tc>
          <w:tcPr>
            <w:tcW w:w="4465" w:type="pct"/>
            <w:vAlign w:val="center"/>
          </w:tcPr>
          <w:p>
            <w:pPr>
              <w:spacing w:line="440" w:lineRule="exact"/>
              <w:jc w:val="left"/>
              <w:rPr>
                <w:rFonts w:hint="eastAsia" w:ascii="仿宋" w:hAnsi="仿宋" w:eastAsia="仿宋"/>
                <w:sz w:val="24"/>
                <w:lang w:val="en-US" w:eastAsia="zh-CN"/>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r>
              <w:rPr>
                <w:rFonts w:ascii="仿宋" w:hAnsi="仿宋" w:eastAsia="仿宋"/>
                <w:sz w:val="24"/>
              </w:rPr>
              <w:t>4.5</w:t>
            </w:r>
          </w:p>
        </w:tc>
        <w:tc>
          <w:tcPr>
            <w:tcW w:w="4465" w:type="pct"/>
            <w:vAlign w:val="center"/>
          </w:tcPr>
          <w:p>
            <w:pPr>
              <w:spacing w:line="440" w:lineRule="exact"/>
              <w:jc w:val="left"/>
              <w:rPr>
                <w:rFonts w:ascii="仿宋" w:hAnsi="仿宋" w:eastAsia="仿宋"/>
                <w:sz w:val="24"/>
              </w:rPr>
            </w:pPr>
            <w:r>
              <w:rPr>
                <w:rFonts w:hint="eastAsia" w:ascii="仿宋" w:hAnsi="仿宋" w:eastAsia="仿宋"/>
                <w:sz w:val="24"/>
              </w:rPr>
              <w:t>/</w:t>
            </w:r>
          </w:p>
        </w:tc>
      </w:tr>
    </w:tbl>
    <w:p>
      <w:pPr>
        <w:tabs>
          <w:tab w:val="left" w:pos="1152"/>
        </w:tabs>
      </w:pPr>
    </w:p>
    <w:p/>
    <w:p>
      <w:pPr>
        <w:tabs>
          <w:tab w:val="left" w:pos="1152"/>
        </w:tabs>
      </w:pPr>
    </w:p>
    <w:p>
      <w:pPr>
        <w:widowControl/>
        <w:adjustRightInd/>
        <w:jc w:val="center"/>
        <w:rPr>
          <w:rFonts w:ascii="仿宋" w:hAnsi="仿宋" w:eastAsia="仿宋" w:cs="仿宋"/>
          <w:color w:val="000000"/>
          <w:kern w:val="0"/>
          <w:sz w:val="24"/>
        </w:rPr>
      </w:pPr>
    </w:p>
    <w:p>
      <w:pPr>
        <w:tabs>
          <w:tab w:val="left" w:pos="1152"/>
        </w:tabs>
      </w:pPr>
    </w:p>
    <w:p>
      <w:pPr>
        <w:jc w:val="center"/>
        <w:rPr>
          <w:rFonts w:ascii="仿宋" w:eastAsia="仿宋" w:cs="仿宋"/>
          <w:b/>
          <w:kern w:val="0"/>
          <w:sz w:val="30"/>
          <w:szCs w:val="30"/>
        </w:rPr>
      </w:pPr>
    </w:p>
    <w:p>
      <w:pPr>
        <w:jc w:val="center"/>
        <w:rPr>
          <w:rFonts w:ascii="仿宋" w:eastAsia="仿宋" w:cs="仿宋"/>
          <w:b/>
          <w:kern w:val="0"/>
          <w:sz w:val="30"/>
          <w:szCs w:val="30"/>
        </w:rPr>
      </w:pPr>
    </w:p>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pStyle w:val="25"/>
        <w:rPr>
          <w:rFonts w:ascii="仿宋" w:hAnsi="仿宋" w:eastAsia="仿宋" w:cs="仿宋"/>
          <w:b/>
          <w:sz w:val="36"/>
          <w:szCs w:val="20"/>
        </w:rPr>
      </w:pPr>
    </w:p>
    <w:p>
      <w:pPr>
        <w:widowControl/>
        <w:adjustRightInd/>
        <w:jc w:val="center"/>
        <w:rPr>
          <w:rFonts w:ascii="仿宋" w:hAnsi="仿宋" w:eastAsia="仿宋" w:cs="仿宋"/>
          <w:b/>
          <w:sz w:val="36"/>
          <w:szCs w:val="20"/>
        </w:rPr>
      </w:pPr>
    </w:p>
    <w:p>
      <w:pPr>
        <w:pStyle w:val="25"/>
      </w:pPr>
    </w:p>
    <w:p>
      <w:pPr>
        <w:widowControl/>
        <w:adjustRightInd/>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pPr>
        <w:spacing w:line="360" w:lineRule="auto"/>
        <w:jc w:val="center"/>
        <w:rPr>
          <w:rFonts w:ascii="仿宋" w:eastAsia="仿宋" w:cs="仿宋"/>
          <w:b/>
          <w:kern w:val="0"/>
          <w:sz w:val="24"/>
        </w:rPr>
      </w:pPr>
    </w:p>
    <w:p>
      <w:pPr>
        <w:numPr>
          <w:ilvl w:val="0"/>
          <w:numId w:val="11"/>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adjustRightInd/>
        <w:snapToGrid w:val="0"/>
        <w:spacing w:line="360" w:lineRule="auto"/>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中小企业声明函……………………………………………………（页码）</w:t>
      </w:r>
    </w:p>
    <w:p>
      <w:pPr>
        <w:spacing w:line="360" w:lineRule="auto"/>
        <w:ind w:firstLine="480" w:firstLineChars="200"/>
        <w:rPr>
          <w:rFonts w:ascii="仿宋" w:eastAsia="仿宋" w:cs="仿宋"/>
          <w:sz w:val="24"/>
        </w:rPr>
      </w:pPr>
    </w:p>
    <w:p>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
          <w:sz w:val="24"/>
          <w:lang w:eastAsia="zh-CN"/>
        </w:rPr>
        <w:t>杭州市生态环境局淳安分局</w:t>
      </w:r>
      <w:r>
        <w:rPr>
          <w:rFonts w:ascii="仿宋" w:hAnsi="仿宋" w:eastAsia="仿宋" w:cs="仿宋_GB2312"/>
          <w:sz w:val="24"/>
        </w:rPr>
        <w:t>、</w:t>
      </w:r>
      <w:r>
        <w:rPr>
          <w:rFonts w:hint="eastAsia" w:ascii="仿宋" w:hAnsi="仿宋" w:eastAsia="仿宋" w:cs="仿宋_GB2312"/>
          <w:sz w:val="24"/>
          <w:lang w:eastAsia="zh-CN"/>
        </w:rPr>
        <w:t>浙江阳光联合会计师事务所（普通合伙）</w:t>
      </w:r>
      <w:r>
        <w:rPr>
          <w:rFonts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2024-2025年度淳安县入湖口和乡镇交接断面水质自动监测系统监理服务项目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ZJYGZF[2024]015号</w:t>
      </w:r>
      <w:r>
        <w:rPr>
          <w:rFonts w:ascii="仿宋" w:hAnsi="仿宋" w:eastAsia="仿宋" w:cs="仿宋_GB2312"/>
          <w:sz w:val="24"/>
          <w:u w:val="single"/>
        </w:rPr>
        <w:t>】</w:t>
      </w:r>
      <w:r>
        <w:rPr>
          <w:rFonts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pPr>
        <w:snapToGrid w:val="0"/>
        <w:spacing w:line="360" w:lineRule="auto"/>
        <w:ind w:firstLine="480" w:firstLineChars="200"/>
        <w:rPr>
          <w:rFonts w:ascii="仿宋" w:hAnsi="仿宋" w:eastAsia="仿宋" w:cs="仿宋_GB2312"/>
          <w:sz w:val="24"/>
        </w:rPr>
      </w:pPr>
      <w:bookmarkStart w:id="519"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19"/>
    <w:p>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pPr>
        <w:pStyle w:val="16"/>
        <w:spacing w:after="120"/>
        <w:rPr>
          <w:rFonts w:ascii="仿宋" w:hAnsi="仿宋" w:eastAsia="仿宋"/>
          <w:sz w:val="21"/>
        </w:rPr>
      </w:pPr>
    </w:p>
    <w:p>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w:t>
      </w:r>
      <w:r>
        <w:rPr>
          <w:rFonts w:hint="eastAsia" w:ascii="仿宋" w:hAnsi="仿宋" w:eastAsia="仿宋" w:cs="仿宋_GB2312"/>
          <w:kern w:val="0"/>
          <w:sz w:val="24"/>
          <w:lang w:val="en-US" w:eastAsia="zh-CN"/>
        </w:rPr>
        <w:t xml:space="preserve">   </w:t>
      </w:r>
      <w:r>
        <w:rPr>
          <w:rFonts w:ascii="仿宋" w:hAnsi="仿宋" w:eastAsia="仿宋" w:cs="仿宋_GB2312"/>
          <w:kern w:val="0"/>
          <w:sz w:val="24"/>
          <w:lang w:val="zh-CN"/>
        </w:rPr>
        <w:t>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2"/>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tabs>
          <w:tab w:val="left" w:pos="432"/>
        </w:tabs>
        <w:jc w:val="center"/>
        <w:rPr>
          <w:rFonts w:ascii="仿宋" w:eastAsia="仿宋" w:cs="仿宋_GB2312"/>
          <w:kern w:val="0"/>
        </w:rPr>
      </w:pPr>
      <w:r>
        <w:rPr>
          <w:rFonts w:ascii="仿宋" w:eastAsia="仿宋"/>
        </w:rPr>
        <w:br w:type="page"/>
      </w:r>
      <w:r>
        <w:rPr>
          <w:rFonts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pPr>
        <w:numPr>
          <w:ilvl w:val="0"/>
          <w:numId w:val="13"/>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jc w:val="left"/>
        <w:rPr>
          <w:rFonts w:ascii="仿宋" w:hAnsi="仿宋" w:eastAsia="仿宋" w:cs="仿宋_GB2312"/>
          <w:sz w:val="24"/>
        </w:rPr>
      </w:pPr>
    </w:p>
    <w:p>
      <w:pPr>
        <w:widowControl/>
        <w:numPr>
          <w:ilvl w:val="0"/>
          <w:numId w:val="14"/>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 w:hAnsi="仿宋" w:eastAsia="仿宋" w:cs="仿宋_GB2312"/>
          <w:sz w:val="24"/>
        </w:rPr>
      </w:pPr>
    </w:p>
    <w:p>
      <w:pPr>
        <w:widowControl/>
        <w:numPr>
          <w:ilvl w:val="0"/>
          <w:numId w:val="14"/>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 w:hAnsi="仿宋" w:eastAsia="仿宋" w:cs="仿宋_GB2312"/>
          <w:b/>
          <w:kern w:val="0"/>
          <w:sz w:val="32"/>
          <w:szCs w:val="32"/>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pPr>
        <w:snapToGrid w:val="0"/>
        <w:spacing w:line="360" w:lineRule="auto"/>
        <w:ind w:right="480"/>
        <w:jc w:val="center"/>
        <w:rPr>
          <w:rFonts w:ascii="仿宋" w:hAnsi="仿宋" w:eastAsia="仿宋" w:cs="仿宋"/>
          <w:b/>
          <w:kern w:val="0"/>
          <w:sz w:val="32"/>
          <w:szCs w:val="32"/>
        </w:rPr>
      </w:pPr>
    </w:p>
    <w:p>
      <w:pPr>
        <w:pStyle w:val="25"/>
        <w:rPr>
          <w:rFonts w:ascii="仿宋" w:hAnsi="仿宋" w:eastAsia="仿宋"/>
          <w:lang w:val="en-US"/>
        </w:rPr>
      </w:pPr>
    </w:p>
    <w:p>
      <w:pPr>
        <w:pStyle w:val="26"/>
        <w:rPr>
          <w:rFonts w:ascii="仿宋" w:hAnsi="仿宋" w:eastAsia="仿宋"/>
          <w:lang w:val="en-US"/>
        </w:rPr>
      </w:pPr>
    </w:p>
    <w:p>
      <w:pPr>
        <w:pStyle w:val="26"/>
        <w:rPr>
          <w:rFonts w:ascii="仿宋" w:hAnsi="仿宋" w:eastAsia="仿宋"/>
          <w:lang w:val="en-US"/>
        </w:rPr>
      </w:pPr>
    </w:p>
    <w:p>
      <w:pPr>
        <w:pStyle w:val="26"/>
        <w:rPr>
          <w:rFonts w:ascii="仿宋" w:hAnsi="仿宋" w:eastAsia="仿宋"/>
          <w:lang w:val="en-US"/>
        </w:rPr>
      </w:pPr>
    </w:p>
    <w:p>
      <w:pPr>
        <w:snapToGrid w:val="0"/>
        <w:spacing w:line="360" w:lineRule="auto"/>
        <w:ind w:right="480"/>
        <w:rPr>
          <w:rFonts w:ascii="仿宋" w:hAnsi="仿宋" w:eastAsia="仿宋" w:cs="仿宋"/>
          <w:b/>
          <w:kern w:val="0"/>
          <w:sz w:val="32"/>
          <w:szCs w:val="32"/>
        </w:rPr>
      </w:pPr>
    </w:p>
    <w:p>
      <w:pPr>
        <w:pStyle w:val="25"/>
        <w:rPr>
          <w:rFonts w:ascii="仿宋" w:hAnsi="仿宋" w:eastAsia="仿宋" w:cs="仿宋"/>
          <w:b/>
          <w:kern w:val="0"/>
          <w:sz w:val="32"/>
          <w:szCs w:val="32"/>
        </w:rPr>
      </w:pPr>
    </w:p>
    <w:p>
      <w:pPr>
        <w:spacing w:line="360" w:lineRule="auto"/>
        <w:ind w:firstLine="643" w:firstLineChars="200"/>
        <w:jc w:val="center"/>
        <w:rPr>
          <w:rFonts w:ascii="仿宋" w:hAnsi="仿宋" w:eastAsia="仿宋"/>
          <w:b/>
          <w:bCs/>
          <w:sz w:val="32"/>
          <w:szCs w:val="32"/>
        </w:rPr>
      </w:pPr>
      <w:r>
        <w:rPr>
          <w:rFonts w:hint="eastAsia" w:ascii="仿宋_GB2312" w:hAnsi="宋体"/>
          <w:b/>
          <w:sz w:val="32"/>
          <w:szCs w:val="32"/>
          <w:lang w:val="en-US" w:eastAsia="zh-CN"/>
        </w:rPr>
        <w:t>五</w:t>
      </w:r>
      <w:r>
        <w:rPr>
          <w:rFonts w:ascii="仿宋" w:hAnsi="仿宋" w:eastAsia="仿宋" w:cs="仿宋_GB2312"/>
          <w:b/>
          <w:kern w:val="0"/>
          <w:sz w:val="32"/>
          <w:szCs w:val="32"/>
        </w:rPr>
        <w:t>、</w:t>
      </w:r>
      <w:r>
        <w:rPr>
          <w:rFonts w:ascii="仿宋_GB2312" w:hAnsi="宋体"/>
          <w:b/>
          <w:sz w:val="32"/>
          <w:szCs w:val="32"/>
        </w:rPr>
        <w:t>中小企业声明函</w:t>
      </w:r>
    </w:p>
    <w:p>
      <w:pPr>
        <w:spacing w:line="360" w:lineRule="auto"/>
        <w:jc w:val="center"/>
        <w:rPr>
          <w:rFonts w:ascii="仿宋" w:hAnsi="仿宋" w:eastAsia="仿宋" w:cs="仿宋_GB2312"/>
          <w:sz w:val="24"/>
          <w:u w:val="single"/>
        </w:rPr>
      </w:pPr>
    </w:p>
    <w:p>
      <w:pPr>
        <w:snapToGrid w:val="0"/>
        <w:spacing w:beforeLines="20"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w:t>
      </w:r>
      <w:r>
        <w:rPr>
          <w:rFonts w:ascii="仿宋" w:hAnsi="仿宋" w:eastAsia="仿宋" w:cs="仿宋"/>
          <w:b/>
          <w:color w:val="000000"/>
          <w:sz w:val="32"/>
          <w:szCs w:val="32"/>
        </w:rPr>
        <w:t>(</w:t>
      </w:r>
      <w:r>
        <w:rPr>
          <w:rFonts w:hint="eastAsia" w:ascii="仿宋" w:hAnsi="仿宋" w:eastAsia="仿宋" w:cs="仿宋"/>
          <w:b/>
          <w:color w:val="000000"/>
          <w:sz w:val="32"/>
          <w:szCs w:val="32"/>
        </w:rPr>
        <w:t>服务</w:t>
      </w:r>
      <w:r>
        <w:rPr>
          <w:rFonts w:ascii="仿宋" w:hAnsi="仿宋" w:eastAsia="仿宋" w:cs="仿宋"/>
          <w:b/>
          <w:color w:val="000000"/>
          <w:sz w:val="32"/>
          <w:szCs w:val="32"/>
        </w:rPr>
        <w:t>)</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w:t>
      </w:r>
      <w:r>
        <w:rPr>
          <w:rFonts w:ascii="仿宋" w:hAnsi="仿宋" w:eastAsia="仿宋" w:cs="仿宋"/>
          <w:color w:val="000000"/>
          <w:sz w:val="24"/>
        </w:rPr>
        <w:t>2020</w:t>
      </w:r>
      <w:r>
        <w:rPr>
          <w:rFonts w:hint="eastAsia" w:ascii="仿宋" w:hAnsi="仿宋" w:eastAsia="仿宋" w:cs="仿宋"/>
          <w:color w:val="000000"/>
          <w:sz w:val="24"/>
        </w:rPr>
        <w:t>﹞</w:t>
      </w:r>
      <w:r>
        <w:rPr>
          <w:rFonts w:ascii="仿宋" w:hAnsi="仿宋" w:eastAsia="仿宋" w:cs="仿宋"/>
          <w:color w:val="000000"/>
          <w:sz w:val="24"/>
        </w:rPr>
        <w:t xml:space="preserve">46 </w:t>
      </w:r>
      <w:r>
        <w:rPr>
          <w:rFonts w:hint="eastAsia" w:ascii="仿宋" w:hAnsi="仿宋" w:eastAsia="仿宋" w:cs="仿宋"/>
          <w:color w:val="000000"/>
          <w:sz w:val="24"/>
        </w:rPr>
        <w:t>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pPr>
        <w:snapToGrid w:val="0"/>
        <w:spacing w:beforeLines="20" w:afterLines="20" w:line="400" w:lineRule="atLeast"/>
        <w:ind w:firstLine="480"/>
        <w:jc w:val="left"/>
        <w:rPr>
          <w:rFonts w:hint="eastAsia"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u w:val="single"/>
        </w:rPr>
        <w:t>（</w:t>
      </w:r>
      <w:r>
        <w:rPr>
          <w:rFonts w:hint="eastAsia" w:ascii="仿宋" w:hAnsi="仿宋" w:eastAsia="仿宋" w:cs="宋体"/>
          <w:color w:val="0D0D0D" w:themeColor="text1" w:themeTint="F2"/>
          <w:kern w:val="0"/>
          <w:sz w:val="24"/>
          <w:u w:val="single"/>
          <w:lang w:eastAsia="zh-CN"/>
          <w14:textFill>
            <w14:solidFill>
              <w14:schemeClr w14:val="tx1">
                <w14:lumMod w14:val="95000"/>
                <w14:lumOff w14:val="5000"/>
              </w14:schemeClr>
            </w14:solidFill>
          </w14:textFill>
        </w:rPr>
        <w:t>淳安县入湖口和乡镇交接断面水质自动监测系统监理服务</w:t>
      </w:r>
      <w:r>
        <w:rPr>
          <w:rFonts w:hint="eastAsia" w:ascii="仿宋" w:hAnsi="仿宋" w:eastAsia="仿宋" w:cs="仿宋"/>
          <w:color w:val="000000"/>
          <w:sz w:val="24"/>
          <w:u w:val="single"/>
        </w:rPr>
        <w:t>）</w:t>
      </w:r>
      <w:r>
        <w:rPr>
          <w:rFonts w:hint="eastAsia"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仿宋"/>
          <w:color w:val="000000"/>
          <w:sz w:val="24"/>
          <w:u w:val="single"/>
          <w:lang w:eastAsia="zh-CN"/>
        </w:rPr>
        <w:t>其他未列明行业</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\h </w:instrText>
      </w:r>
      <w:r>
        <w:rPr>
          <w:rFonts w:hint="eastAsia" w:ascii="仿宋" w:hAnsi="仿宋" w:eastAsia="仿宋" w:cs="仿宋"/>
        </w:rP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rPr>
          <w:rFonts w:hint="eastAsia" w:ascii="仿宋" w:hAnsi="仿宋" w:eastAsia="仿宋" w:cs="仿宋"/>
        </w:rPr>
        <w:fldChar w:fldCharType="begin"/>
      </w:r>
      <w:r>
        <w:rPr>
          <w:rFonts w:hint="eastAsia" w:ascii="仿宋" w:hAnsi="仿宋" w:eastAsia="仿宋" w:cs="仿宋"/>
        </w:rPr>
        <w:instrText xml:space="preserve"> HYPERLINK \l "_bookmark0" \h </w:instrText>
      </w:r>
      <w:r>
        <w:rPr>
          <w:rFonts w:hint="eastAsia" w:ascii="仿宋" w:hAnsi="仿宋" w:eastAsia="仿宋" w:cs="仿宋"/>
        </w:rP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ascii="仿宋" w:hAnsi="仿宋" w:eastAsia="仿宋" w:cs="仿宋"/>
          <w:color w:val="000000"/>
          <w:sz w:val="24"/>
        </w:rPr>
      </w:pP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pPr>
        <w:snapToGrid w:val="0"/>
        <w:spacing w:beforeLines="20"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pPr>
        <w:snapToGrid w:val="0"/>
        <w:spacing w:beforeLines="20"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 年月日</w:t>
      </w:r>
    </w:p>
    <w:p>
      <w:pPr>
        <w:snapToGrid w:val="0"/>
        <w:spacing w:beforeLines="50" w:afterLines="50" w:line="400" w:lineRule="atLeast"/>
        <w:ind w:firstLine="643"/>
        <w:jc w:val="center"/>
        <w:rPr>
          <w:rFonts w:ascii="仿宋" w:hAnsi="仿宋" w:eastAsia="仿宋" w:cs="仿宋"/>
          <w:color w:val="000000"/>
          <w:sz w:val="24"/>
        </w:rPr>
      </w:pPr>
      <w:r>
        <w:rPr>
          <w:rFonts w:hint="eastAsia" w:ascii="仿宋" w:hAnsi="仿宋" w:eastAsia="仿宋" w:cs="仿宋"/>
          <w:color w:val="000000"/>
          <w:sz w:val="24"/>
        </w:rPr>
        <w:t>从业人员、营业收入、资产总额填报上一年度数据，无上一年度数据的新成立企业可不填报。</w:t>
      </w:r>
    </w:p>
    <w:p>
      <w:pPr>
        <w:pStyle w:val="28"/>
        <w:snapToGrid w:val="0"/>
        <w:spacing w:after="120" w:line="400" w:lineRule="atLeast"/>
        <w:rPr>
          <w:rFonts w:ascii="仿宋" w:hAnsi="仿宋" w:eastAsia="仿宋" w:cs="仿宋"/>
          <w:color w:val="000000"/>
        </w:rPr>
      </w:pPr>
      <w:r>
        <w:rPr>
          <w:rFonts w:hint="eastAsia" w:ascii="仿宋" w:hAnsi="仿宋" w:eastAsia="仿宋" w:cs="仿宋"/>
          <w:color w:val="000000"/>
        </w:rPr>
        <w:t>注：投标人提供的中小企业声明函与实际情况不符的，投标价格不可享受价格扣除。符合《关于促进残疾人就业政府采购政策的通知》（财库〔</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141</w:t>
      </w:r>
      <w:r>
        <w:rPr>
          <w:rFonts w:hint="eastAsia" w:ascii="仿宋" w:hAnsi="仿宋" w:eastAsia="仿宋" w:cs="仿宋"/>
          <w:color w:val="000000"/>
        </w:rPr>
        <w:t>号）规定的条件并提供《残疾人福利性单位声明函》（附件</w:t>
      </w:r>
      <w:r>
        <w:rPr>
          <w:rFonts w:ascii="仿宋" w:hAnsi="仿宋" w:eastAsia="仿宋" w:cs="仿宋"/>
          <w:color w:val="000000"/>
        </w:rPr>
        <w:t>1</w:t>
      </w:r>
      <w:r>
        <w:rPr>
          <w:rFonts w:hint="eastAsia" w:ascii="仿宋" w:hAnsi="仿宋" w:eastAsia="仿宋" w:cs="仿宋"/>
          <w:color w:val="000000"/>
        </w:rPr>
        <w:t>）的残疾人福利性单位视同小型、微型企业；根据《关于政府采购支持监狱企业发展有关问题的通知》（财库</w:t>
      </w:r>
      <w:r>
        <w:rPr>
          <w:rFonts w:ascii="仿宋" w:hAnsi="仿宋" w:eastAsia="仿宋" w:cs="仿宋"/>
          <w:color w:val="000000"/>
        </w:rPr>
        <w:t>[2014]68</w:t>
      </w:r>
      <w:r>
        <w:rPr>
          <w:rFonts w:hint="eastAsia" w:ascii="仿宋" w:hAnsi="仿宋" w:eastAsia="仿宋" w:cs="仿宋"/>
          <w:color w:val="000000"/>
        </w:rPr>
        <w:t>号）的规定，投标人提供由省级以上监狱管理局、戒毒管理局（含新疆生产建设兵团）出具的属于监狱企业证明文件的，视同为小型和微型企业。</w:t>
      </w:r>
    </w:p>
    <w:p>
      <w:pPr>
        <w:pStyle w:val="25"/>
        <w:rPr>
          <w:rFonts w:ascii="仿宋" w:hAnsi="仿宋" w:eastAsia="仿宋" w:cs="仿宋"/>
          <w:b/>
          <w:kern w:val="0"/>
          <w:sz w:val="32"/>
          <w:szCs w:val="32"/>
        </w:rPr>
      </w:pPr>
    </w:p>
    <w:p>
      <w:pPr>
        <w:pStyle w:val="25"/>
        <w:rPr>
          <w:rFonts w:ascii="仿宋" w:hAnsi="仿宋" w:eastAsia="仿宋" w:cs="仿宋"/>
          <w:b/>
          <w:kern w:val="0"/>
          <w:sz w:val="32"/>
          <w:szCs w:val="32"/>
        </w:rPr>
      </w:pPr>
    </w:p>
    <w:p>
      <w:pPr>
        <w:pStyle w:val="25"/>
        <w:rPr>
          <w:rFonts w:ascii="仿宋" w:hAnsi="仿宋" w:eastAsia="仿宋" w:cs="仿宋"/>
          <w:b/>
          <w:kern w:val="0"/>
          <w:sz w:val="32"/>
          <w:szCs w:val="32"/>
        </w:rPr>
      </w:pPr>
    </w:p>
    <w:p>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 xml:space="preserve">   </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3"/>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rPr>
          <w:rFonts w:ascii="仿宋" w:eastAsia="仿宋" w:cs="仿宋"/>
        </w:rPr>
      </w:pPr>
      <w:r>
        <w:rPr>
          <w:rFonts w:hint="eastAsia" w:ascii="仿宋" w:eastAsia="仿宋" w:cs="仿宋"/>
          <w:kern w:val="0"/>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6"/>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1</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3"/>
              <w:jc w:val="center"/>
              <w:rPr>
                <w:rFonts w:ascii="仿宋" w:eastAsia="仿宋" w:cs="仿宋"/>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3</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4</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tabs>
          <w:tab w:val="left" w:pos="432"/>
        </w:tabs>
        <w:rPr>
          <w:rFonts w:ascii="仿宋" w:eastAsia="仿宋" w:cs="仿宋"/>
          <w:kern w:val="0"/>
        </w:rPr>
      </w:pPr>
    </w:p>
    <w:p>
      <w:pP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5"/>
        <w:rPr>
          <w:rFonts w:ascii="仿宋" w:hAnsi="仿宋" w:eastAsia="仿宋" w:cs="仿宋"/>
        </w:rPr>
      </w:pPr>
    </w:p>
    <w:p>
      <w:pPr>
        <w:pStyle w:val="57"/>
        <w:rPr>
          <w:rFonts w:ascii="仿宋" w:hAnsi="仿宋" w:eastAsia="仿宋" w:cs="仿宋"/>
        </w:rPr>
      </w:pPr>
    </w:p>
    <w:p/>
    <w:p>
      <w:pPr>
        <w:rPr>
          <w:rFonts w:ascii="仿宋" w:hAnsi="仿宋" w:eastAsia="仿宋" w:cs="仿宋"/>
        </w:rPr>
      </w:pPr>
    </w:p>
    <w:p>
      <w:pPr>
        <w:pStyle w:val="25"/>
      </w:pPr>
    </w:p>
    <w:p>
      <w:pPr>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pStyle w:val="25"/>
        <w:rPr>
          <w:rFonts w:ascii="仿宋" w:hAnsi="仿宋" w:eastAsia="仿宋" w:cs="仿宋"/>
          <w:b/>
          <w:kern w:val="0"/>
          <w:sz w:val="32"/>
          <w:szCs w:val="32"/>
        </w:rPr>
      </w:pPr>
    </w:p>
    <w:p>
      <w:pPr>
        <w:pStyle w:val="57"/>
        <w:rPr>
          <w:rFonts w:ascii="仿宋" w:hAnsi="仿宋" w:eastAsia="仿宋" w:cs="仿宋"/>
          <w:b/>
          <w:kern w:val="0"/>
          <w:sz w:val="32"/>
          <w:szCs w:val="32"/>
        </w:rPr>
      </w:pPr>
    </w:p>
    <w:p>
      <w:pPr>
        <w:pStyle w:val="25"/>
      </w:pPr>
    </w:p>
    <w:p>
      <w:pPr>
        <w:pStyle w:val="57"/>
        <w:rPr>
          <w:lang w:val="zh-CN"/>
        </w:rPr>
      </w:pPr>
    </w:p>
    <w:p>
      <w:pPr>
        <w:rPr>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（2）报价明细清单…………………………………………………………………（页码）</w:t>
      </w:r>
    </w:p>
    <w:p>
      <w:pPr>
        <w:pStyle w:val="25"/>
        <w:rPr>
          <w:lang w:val="en-US"/>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2024-2025年度淳安县入湖口和乡镇交接断面水质自动监测系统监理服务项目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ZJYGZF[2024]015号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6"/>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485"/>
        <w:gridCol w:w="2385"/>
        <w:gridCol w:w="2520"/>
        <w:gridCol w:w="2805"/>
        <w:gridCol w:w="220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9" w:type="dxa"/>
            <w:vAlign w:val="center"/>
          </w:tcPr>
          <w:p>
            <w:pPr>
              <w:spacing w:line="360" w:lineRule="auto"/>
              <w:jc w:val="center"/>
              <w:rPr>
                <w:rFonts w:ascii="仿宋" w:hAnsi="仿宋" w:eastAsia="仿宋" w:cs="宋体"/>
                <w:b/>
                <w:sz w:val="24"/>
              </w:rPr>
            </w:pPr>
            <w:r>
              <w:rPr>
                <w:rFonts w:hint="eastAsia" w:ascii="仿宋" w:hAnsi="仿宋" w:eastAsia="仿宋" w:cs="宋体"/>
                <w:b/>
                <w:sz w:val="24"/>
                <w:lang w:val="zh-CN"/>
              </w:rPr>
              <w:t>序号</w:t>
            </w:r>
          </w:p>
        </w:tc>
        <w:tc>
          <w:tcPr>
            <w:tcW w:w="1485" w:type="dxa"/>
            <w:vAlign w:val="center"/>
          </w:tcPr>
          <w:p>
            <w:pPr>
              <w:spacing w:line="360" w:lineRule="auto"/>
              <w:jc w:val="center"/>
              <w:rPr>
                <w:rFonts w:ascii="仿宋" w:hAnsi="仿宋" w:eastAsia="仿宋" w:cs="宋体"/>
                <w:b/>
                <w:sz w:val="24"/>
              </w:rPr>
            </w:pPr>
            <w:r>
              <w:rPr>
                <w:rFonts w:hint="eastAsia" w:ascii="仿宋" w:hAnsi="仿宋" w:eastAsia="仿宋" w:cs="宋体"/>
                <w:b/>
                <w:sz w:val="24"/>
                <w:lang w:val="zh-CN"/>
              </w:rPr>
              <w:t>名称</w:t>
            </w:r>
          </w:p>
        </w:tc>
        <w:tc>
          <w:tcPr>
            <w:tcW w:w="2385" w:type="dxa"/>
            <w:vAlign w:val="top"/>
          </w:tcPr>
          <w:p>
            <w:pPr>
              <w:spacing w:line="360" w:lineRule="auto"/>
              <w:jc w:val="center"/>
              <w:rPr>
                <w:rFonts w:ascii="仿宋" w:hAnsi="仿宋" w:eastAsia="仿宋" w:cs="宋体"/>
                <w:b/>
                <w:sz w:val="24"/>
              </w:rPr>
            </w:pPr>
          </w:p>
          <w:p>
            <w:pPr>
              <w:spacing w:line="360" w:lineRule="auto"/>
              <w:jc w:val="center"/>
              <w:rPr>
                <w:rFonts w:ascii="仿宋_GB2312" w:hAnsi="仿宋" w:eastAsia="仿宋_GB2312" w:cs="仿宋_GB2312"/>
                <w:b/>
                <w:sz w:val="24"/>
              </w:rPr>
            </w:pPr>
            <w:r>
              <w:rPr>
                <w:rFonts w:hint="eastAsia" w:ascii="仿宋" w:hAnsi="仿宋" w:eastAsia="仿宋" w:cs="宋体"/>
                <w:b/>
                <w:sz w:val="24"/>
              </w:rPr>
              <w:t>服务内容</w:t>
            </w:r>
          </w:p>
        </w:tc>
        <w:tc>
          <w:tcPr>
            <w:tcW w:w="2520" w:type="dxa"/>
            <w:vAlign w:val="center"/>
          </w:tcPr>
          <w:p>
            <w:pPr>
              <w:spacing w:line="360" w:lineRule="auto"/>
              <w:jc w:val="center"/>
              <w:rPr>
                <w:rFonts w:ascii="仿宋_GB2312" w:hAnsi="仿宋" w:eastAsia="仿宋_GB2312" w:cs="仿宋_GB2312"/>
                <w:b/>
                <w:sz w:val="24"/>
              </w:rPr>
            </w:pPr>
            <w:r>
              <w:rPr>
                <w:rFonts w:hint="eastAsia" w:ascii="仿宋" w:hAnsi="仿宋" w:eastAsia="仿宋" w:cs="宋体"/>
                <w:b/>
                <w:sz w:val="24"/>
              </w:rPr>
              <w:t>服务要求</w:t>
            </w:r>
          </w:p>
        </w:tc>
        <w:tc>
          <w:tcPr>
            <w:tcW w:w="2805" w:type="dxa"/>
            <w:vAlign w:val="center"/>
          </w:tcPr>
          <w:p>
            <w:pPr>
              <w:spacing w:line="360" w:lineRule="auto"/>
              <w:jc w:val="center"/>
              <w:rPr>
                <w:rFonts w:ascii="仿宋" w:hAnsi="仿宋" w:eastAsia="仿宋" w:cs="仿宋"/>
                <w:kern w:val="0"/>
                <w:sz w:val="24"/>
                <w:lang w:val="zh-CN"/>
              </w:rPr>
            </w:pPr>
            <w:r>
              <w:rPr>
                <w:rFonts w:hint="eastAsia" w:ascii="仿宋" w:hAnsi="仿宋" w:eastAsia="仿宋" w:cs="宋体"/>
                <w:b/>
                <w:sz w:val="24"/>
              </w:rPr>
              <w:t>服务时间</w:t>
            </w:r>
          </w:p>
        </w:tc>
        <w:tc>
          <w:tcPr>
            <w:tcW w:w="2205" w:type="dxa"/>
            <w:vAlign w:val="center"/>
          </w:tcPr>
          <w:p>
            <w:pPr>
              <w:spacing w:line="360" w:lineRule="auto"/>
              <w:jc w:val="center"/>
              <w:rPr>
                <w:rFonts w:hint="eastAsia" w:ascii="仿宋" w:hAnsi="仿宋" w:eastAsia="仿宋" w:cs="宋体"/>
                <w:b/>
                <w:sz w:val="24"/>
                <w:lang w:val="zh-CN"/>
              </w:rPr>
            </w:pPr>
            <w:r>
              <w:rPr>
                <w:rFonts w:hint="eastAsia" w:ascii="仿宋" w:hAnsi="仿宋" w:eastAsia="仿宋" w:cs="宋体"/>
                <w:b/>
                <w:sz w:val="24"/>
              </w:rPr>
              <w:t>总价</w:t>
            </w:r>
            <w:r>
              <w:rPr>
                <w:rFonts w:hint="eastAsia" w:ascii="仿宋" w:hAnsi="仿宋" w:eastAsia="仿宋" w:cs="宋体"/>
                <w:b/>
                <w:sz w:val="24"/>
                <w:lang w:val="zh-CN"/>
              </w:rPr>
              <w:t>（元）</w:t>
            </w:r>
          </w:p>
        </w:tc>
        <w:tc>
          <w:tcPr>
            <w:tcW w:w="2025" w:type="dxa"/>
            <w:vAlign w:val="center"/>
          </w:tcPr>
          <w:p>
            <w:pPr>
              <w:spacing w:line="360" w:lineRule="auto"/>
              <w:jc w:val="center"/>
              <w:rPr>
                <w:rFonts w:hint="eastAsia" w:ascii="仿宋" w:hAnsi="仿宋" w:eastAsia="仿宋" w:cs="宋体"/>
                <w:b/>
                <w:sz w:val="24"/>
                <w:lang w:val="zh-CN"/>
              </w:rPr>
            </w:pPr>
            <w:r>
              <w:rPr>
                <w:rFonts w:hint="eastAsia" w:ascii="仿宋" w:hAnsi="仿宋" w:eastAsia="仿宋" w:cs="宋体"/>
                <w:b/>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8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85" w:type="dxa"/>
            <w:vAlign w:val="center"/>
          </w:tcPr>
          <w:p>
            <w:pPr>
              <w:snapToGrid w:val="0"/>
              <w:spacing w:line="360" w:lineRule="auto"/>
              <w:jc w:val="center"/>
              <w:rPr>
                <w:rFonts w:ascii="仿宋_GB2312" w:hAnsi="仿宋" w:eastAsia="仿宋_GB2312" w:cs="仿宋_GB2312"/>
                <w:sz w:val="24"/>
              </w:rPr>
            </w:pPr>
          </w:p>
        </w:tc>
        <w:tc>
          <w:tcPr>
            <w:tcW w:w="2385" w:type="dxa"/>
            <w:vAlign w:val="center"/>
          </w:tcPr>
          <w:p>
            <w:pPr>
              <w:snapToGrid w:val="0"/>
              <w:spacing w:line="360" w:lineRule="auto"/>
              <w:jc w:val="center"/>
              <w:rPr>
                <w:rFonts w:ascii="仿宋_GB2312" w:hAnsi="仿宋" w:eastAsia="仿宋_GB2312" w:cs="仿宋_GB2312"/>
                <w:sz w:val="24"/>
              </w:rPr>
            </w:pPr>
          </w:p>
        </w:tc>
        <w:tc>
          <w:tcPr>
            <w:tcW w:w="2520" w:type="dxa"/>
            <w:vAlign w:val="center"/>
          </w:tcPr>
          <w:p>
            <w:pPr>
              <w:snapToGrid w:val="0"/>
              <w:spacing w:line="360" w:lineRule="auto"/>
              <w:jc w:val="center"/>
              <w:rPr>
                <w:rFonts w:ascii="仿宋_GB2312" w:hAnsi="仿宋" w:eastAsia="仿宋_GB2312" w:cs="仿宋_GB2312"/>
                <w:sz w:val="24"/>
              </w:rPr>
            </w:pPr>
          </w:p>
        </w:tc>
        <w:tc>
          <w:tcPr>
            <w:tcW w:w="2805" w:type="dxa"/>
            <w:vAlign w:val="center"/>
          </w:tcPr>
          <w:p>
            <w:pPr>
              <w:snapToGrid w:val="0"/>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c>
          <w:tcPr>
            <w:tcW w:w="202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89"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85" w:type="dxa"/>
            <w:vAlign w:val="center"/>
          </w:tcPr>
          <w:p>
            <w:pPr>
              <w:snapToGrid w:val="0"/>
              <w:spacing w:line="360" w:lineRule="auto"/>
              <w:jc w:val="center"/>
              <w:rPr>
                <w:rFonts w:ascii="仿宋_GB2312" w:hAnsi="仿宋" w:eastAsia="仿宋_GB2312" w:cs="仿宋_GB2312"/>
                <w:sz w:val="24"/>
              </w:rPr>
            </w:pPr>
          </w:p>
        </w:tc>
        <w:tc>
          <w:tcPr>
            <w:tcW w:w="2385" w:type="dxa"/>
            <w:vAlign w:val="center"/>
          </w:tcPr>
          <w:p>
            <w:pPr>
              <w:snapToGrid w:val="0"/>
              <w:spacing w:line="360" w:lineRule="auto"/>
              <w:jc w:val="center"/>
              <w:rPr>
                <w:rFonts w:ascii="仿宋_GB2312" w:hAnsi="仿宋" w:eastAsia="仿宋_GB2312" w:cs="仿宋_GB2312"/>
                <w:sz w:val="24"/>
              </w:rPr>
            </w:pPr>
          </w:p>
        </w:tc>
        <w:tc>
          <w:tcPr>
            <w:tcW w:w="2520" w:type="dxa"/>
            <w:vAlign w:val="center"/>
          </w:tcPr>
          <w:p>
            <w:pPr>
              <w:snapToGrid w:val="0"/>
              <w:spacing w:line="360" w:lineRule="auto"/>
              <w:jc w:val="center"/>
              <w:rPr>
                <w:rFonts w:ascii="仿宋_GB2312" w:hAnsi="仿宋" w:eastAsia="仿宋_GB2312" w:cs="仿宋_GB2312"/>
                <w:sz w:val="24"/>
              </w:rPr>
            </w:pPr>
          </w:p>
        </w:tc>
        <w:tc>
          <w:tcPr>
            <w:tcW w:w="2805" w:type="dxa"/>
            <w:vAlign w:val="center"/>
          </w:tcPr>
          <w:p>
            <w:pPr>
              <w:snapToGrid w:val="0"/>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c>
          <w:tcPr>
            <w:tcW w:w="202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89"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85" w:type="dxa"/>
            <w:vAlign w:val="center"/>
          </w:tcPr>
          <w:p>
            <w:pPr>
              <w:snapToGrid w:val="0"/>
              <w:spacing w:line="360" w:lineRule="auto"/>
              <w:jc w:val="center"/>
              <w:rPr>
                <w:rFonts w:ascii="仿宋_GB2312" w:hAnsi="仿宋" w:eastAsia="仿宋_GB2312" w:cs="仿宋_GB2312"/>
                <w:sz w:val="24"/>
              </w:rPr>
            </w:pPr>
          </w:p>
        </w:tc>
        <w:tc>
          <w:tcPr>
            <w:tcW w:w="2385" w:type="dxa"/>
            <w:vAlign w:val="center"/>
          </w:tcPr>
          <w:p>
            <w:pPr>
              <w:snapToGrid w:val="0"/>
              <w:spacing w:line="360" w:lineRule="auto"/>
              <w:jc w:val="center"/>
              <w:rPr>
                <w:rFonts w:ascii="仿宋_GB2312" w:hAnsi="仿宋" w:eastAsia="仿宋_GB2312" w:cs="仿宋_GB2312"/>
                <w:sz w:val="24"/>
              </w:rPr>
            </w:pPr>
          </w:p>
        </w:tc>
        <w:tc>
          <w:tcPr>
            <w:tcW w:w="2520" w:type="dxa"/>
            <w:vAlign w:val="center"/>
          </w:tcPr>
          <w:p>
            <w:pPr>
              <w:snapToGrid w:val="0"/>
              <w:spacing w:line="360" w:lineRule="auto"/>
              <w:jc w:val="center"/>
              <w:rPr>
                <w:rFonts w:ascii="仿宋_GB2312" w:hAnsi="仿宋" w:eastAsia="仿宋_GB2312" w:cs="仿宋_GB2312"/>
                <w:sz w:val="24"/>
              </w:rPr>
            </w:pPr>
          </w:p>
        </w:tc>
        <w:tc>
          <w:tcPr>
            <w:tcW w:w="2805" w:type="dxa"/>
            <w:vAlign w:val="center"/>
          </w:tcPr>
          <w:p>
            <w:pPr>
              <w:snapToGrid w:val="0"/>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c>
          <w:tcPr>
            <w:tcW w:w="202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89" w:type="dxa"/>
            <w:vAlign w:val="center"/>
          </w:tcPr>
          <w:p>
            <w:pPr>
              <w:spacing w:line="360" w:lineRule="auto"/>
              <w:jc w:val="center"/>
              <w:rPr>
                <w:rFonts w:ascii="仿宋_GB2312" w:hAnsi="仿宋" w:eastAsia="仿宋_GB2312" w:cs="仿宋_GB2312"/>
                <w:sz w:val="24"/>
              </w:rPr>
            </w:pPr>
          </w:p>
        </w:tc>
        <w:tc>
          <w:tcPr>
            <w:tcW w:w="1485" w:type="dxa"/>
            <w:vAlign w:val="center"/>
          </w:tcPr>
          <w:p>
            <w:pPr>
              <w:snapToGrid w:val="0"/>
              <w:spacing w:line="360" w:lineRule="auto"/>
              <w:jc w:val="center"/>
              <w:rPr>
                <w:rFonts w:ascii="仿宋_GB2312" w:hAnsi="仿宋" w:eastAsia="仿宋_GB2312" w:cs="仿宋_GB2312"/>
                <w:sz w:val="24"/>
              </w:rPr>
            </w:pPr>
          </w:p>
        </w:tc>
        <w:tc>
          <w:tcPr>
            <w:tcW w:w="2385" w:type="dxa"/>
            <w:vAlign w:val="center"/>
          </w:tcPr>
          <w:p>
            <w:pPr>
              <w:snapToGrid w:val="0"/>
              <w:spacing w:line="360" w:lineRule="auto"/>
              <w:jc w:val="center"/>
              <w:rPr>
                <w:rFonts w:ascii="仿宋_GB2312" w:hAnsi="仿宋" w:eastAsia="仿宋_GB2312" w:cs="仿宋_GB2312"/>
                <w:sz w:val="24"/>
              </w:rPr>
            </w:pPr>
          </w:p>
        </w:tc>
        <w:tc>
          <w:tcPr>
            <w:tcW w:w="2520" w:type="dxa"/>
            <w:vAlign w:val="center"/>
          </w:tcPr>
          <w:p>
            <w:pPr>
              <w:snapToGrid w:val="0"/>
              <w:spacing w:line="360" w:lineRule="auto"/>
              <w:jc w:val="center"/>
              <w:rPr>
                <w:rFonts w:ascii="仿宋_GB2312" w:hAnsi="仿宋" w:eastAsia="仿宋_GB2312" w:cs="仿宋_GB2312"/>
                <w:sz w:val="24"/>
              </w:rPr>
            </w:pPr>
          </w:p>
        </w:tc>
        <w:tc>
          <w:tcPr>
            <w:tcW w:w="2805" w:type="dxa"/>
            <w:vAlign w:val="center"/>
          </w:tcPr>
          <w:p>
            <w:pPr>
              <w:snapToGrid w:val="0"/>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c>
          <w:tcPr>
            <w:tcW w:w="202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89" w:type="dxa"/>
            <w:vAlign w:val="center"/>
          </w:tcPr>
          <w:p>
            <w:pPr>
              <w:spacing w:line="360" w:lineRule="auto"/>
              <w:jc w:val="center"/>
              <w:rPr>
                <w:rFonts w:ascii="仿宋_GB2312" w:hAnsi="仿宋" w:eastAsia="仿宋_GB2312" w:cs="仿宋_GB2312"/>
                <w:sz w:val="24"/>
              </w:rPr>
            </w:pPr>
          </w:p>
        </w:tc>
        <w:tc>
          <w:tcPr>
            <w:tcW w:w="1485" w:type="dxa"/>
            <w:vAlign w:val="center"/>
          </w:tcPr>
          <w:p>
            <w:pPr>
              <w:snapToGrid w:val="0"/>
              <w:spacing w:line="360" w:lineRule="auto"/>
              <w:jc w:val="center"/>
              <w:rPr>
                <w:rFonts w:ascii="仿宋_GB2312" w:hAnsi="仿宋" w:eastAsia="仿宋_GB2312" w:cs="仿宋_GB2312"/>
                <w:sz w:val="24"/>
              </w:rPr>
            </w:pPr>
          </w:p>
        </w:tc>
        <w:tc>
          <w:tcPr>
            <w:tcW w:w="2385" w:type="dxa"/>
            <w:vAlign w:val="center"/>
          </w:tcPr>
          <w:p>
            <w:pPr>
              <w:snapToGrid w:val="0"/>
              <w:spacing w:line="360" w:lineRule="auto"/>
              <w:jc w:val="center"/>
              <w:rPr>
                <w:rFonts w:ascii="仿宋_GB2312" w:hAnsi="仿宋" w:eastAsia="仿宋_GB2312" w:cs="仿宋_GB2312"/>
                <w:sz w:val="24"/>
              </w:rPr>
            </w:pPr>
          </w:p>
        </w:tc>
        <w:tc>
          <w:tcPr>
            <w:tcW w:w="2520" w:type="dxa"/>
            <w:vAlign w:val="center"/>
          </w:tcPr>
          <w:p>
            <w:pPr>
              <w:snapToGrid w:val="0"/>
              <w:spacing w:line="360" w:lineRule="auto"/>
              <w:jc w:val="center"/>
              <w:rPr>
                <w:rFonts w:ascii="仿宋_GB2312" w:hAnsi="仿宋" w:eastAsia="仿宋_GB2312" w:cs="仿宋_GB2312"/>
                <w:sz w:val="24"/>
              </w:rPr>
            </w:pPr>
          </w:p>
        </w:tc>
        <w:tc>
          <w:tcPr>
            <w:tcW w:w="2805" w:type="dxa"/>
            <w:vAlign w:val="center"/>
          </w:tcPr>
          <w:p>
            <w:pPr>
              <w:snapToGrid w:val="0"/>
              <w:spacing w:line="360" w:lineRule="auto"/>
              <w:jc w:val="center"/>
              <w:rPr>
                <w:rFonts w:ascii="仿宋_GB2312" w:hAnsi="仿宋" w:eastAsia="仿宋_GB2312" w:cs="仿宋_GB2312"/>
                <w:sz w:val="24"/>
              </w:rPr>
            </w:pPr>
          </w:p>
        </w:tc>
        <w:tc>
          <w:tcPr>
            <w:tcW w:w="2205" w:type="dxa"/>
            <w:vAlign w:val="center"/>
          </w:tcPr>
          <w:p>
            <w:pPr>
              <w:spacing w:line="360" w:lineRule="auto"/>
              <w:jc w:val="center"/>
              <w:rPr>
                <w:rFonts w:ascii="仿宋_GB2312" w:hAnsi="仿宋" w:eastAsia="仿宋_GB2312" w:cs="仿宋_GB2312"/>
                <w:sz w:val="24"/>
              </w:rPr>
            </w:pPr>
          </w:p>
        </w:tc>
        <w:tc>
          <w:tcPr>
            <w:tcW w:w="202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7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03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7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035" w:type="dxa"/>
            <w:gridSpan w:val="3"/>
            <w:vAlign w:val="center"/>
          </w:tcPr>
          <w:p>
            <w:pPr>
              <w:spacing w:line="360" w:lineRule="auto"/>
              <w:jc w:val="center"/>
              <w:rPr>
                <w:rFonts w:ascii="仿宋_GB2312" w:hAnsi="仿宋" w:eastAsia="仿宋_GB2312" w:cs="仿宋_GB2312"/>
                <w:sz w:val="24"/>
              </w:rPr>
            </w:pPr>
          </w:p>
        </w:tc>
      </w:tr>
    </w:tbl>
    <w:p>
      <w:pPr>
        <w:spacing w:line="360" w:lineRule="auto"/>
        <w:jc w:val="center"/>
        <w:rPr>
          <w:rFonts w:ascii="仿宋" w:hAnsi="仿宋" w:eastAsia="仿宋" w:cs="仿宋"/>
          <w:b/>
          <w:kern w:val="0"/>
          <w:sz w:val="24"/>
          <w:lang w:val="zh-CN"/>
        </w:rPr>
      </w:pPr>
    </w:p>
    <w:p>
      <w:pPr>
        <w:snapToGrid w:val="0"/>
        <w:spacing w:line="312"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1、投标人需按本表格式填写，不得自行更改。</w:t>
      </w:r>
    </w:p>
    <w:p>
      <w:pPr>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采购人将以合同形式有偿取得服务，不接受投标人给予的赠品、回扣或者与采购无关的其他服务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ind w:firstLine="480" w:firstLineChars="200"/>
        <w:jc w:val="left"/>
        <w:rPr>
          <w:rFonts w:ascii="仿宋" w:hAnsi="仿宋" w:eastAsia="仿宋" w:cs="仿宋"/>
          <w:kern w:val="0"/>
          <w:sz w:val="24"/>
          <w:highlight w:val="yellow"/>
          <w:lang w:val="zh-CN"/>
        </w:rPr>
      </w:pPr>
      <w:r>
        <w:rPr>
          <w:rFonts w:hint="eastAsia" w:ascii="仿宋" w:hAnsi="仿宋" w:eastAsia="仿宋" w:cs="仿宋"/>
          <w:kern w:val="0"/>
          <w:sz w:val="24"/>
          <w:lang w:val="zh-CN"/>
        </w:rPr>
        <w:t>3、以上表格要求细分项目及报价，在“</w:t>
      </w:r>
      <w:r>
        <w:rPr>
          <w:rFonts w:hint="eastAsia" w:ascii="仿宋" w:hAnsi="仿宋" w:eastAsia="仿宋" w:cs="仿宋"/>
          <w:b/>
          <w:sz w:val="24"/>
        </w:rPr>
        <w:t>项目名称</w:t>
      </w:r>
      <w:r>
        <w:rPr>
          <w:rFonts w:hint="eastAsia" w:ascii="仿宋" w:hAnsi="仿宋" w:eastAsia="仿宋" w:cs="仿宋"/>
          <w:kern w:val="0"/>
          <w:sz w:val="24"/>
          <w:lang w:val="zh-CN"/>
        </w:rPr>
        <w:t>”一栏中，填写具体项目名称。</w:t>
      </w:r>
    </w:p>
    <w:p>
      <w:pPr>
        <w:snapToGrid w:val="0"/>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4、特别提示：采购代理机构将对项目名称和项目编号，中标供应商名称、地址和中标金额，主要中标标的的名称、</w:t>
      </w:r>
      <w:r>
        <w:rPr>
          <w:rFonts w:hint="eastAsia" w:ascii="仿宋" w:hAnsi="仿宋" w:eastAsia="仿宋" w:cs="仿宋"/>
          <w:kern w:val="0"/>
          <w:sz w:val="24"/>
        </w:rPr>
        <w:t>服务范围</w:t>
      </w:r>
      <w:r>
        <w:rPr>
          <w:rFonts w:hint="eastAsia" w:ascii="仿宋" w:hAnsi="仿宋" w:eastAsia="仿宋" w:cs="仿宋"/>
          <w:kern w:val="0"/>
          <w:sz w:val="24"/>
          <w:lang w:val="zh-CN"/>
        </w:rPr>
        <w:t>、</w:t>
      </w:r>
      <w:r>
        <w:rPr>
          <w:rFonts w:hint="eastAsia" w:ascii="仿宋" w:hAnsi="仿宋" w:eastAsia="仿宋" w:cs="仿宋"/>
          <w:kern w:val="0"/>
          <w:sz w:val="24"/>
        </w:rPr>
        <w:t>服务时间</w:t>
      </w:r>
      <w:r>
        <w:rPr>
          <w:rFonts w:hint="eastAsia" w:ascii="仿宋" w:hAnsi="仿宋" w:eastAsia="仿宋" w:cs="仿宋"/>
          <w:kern w:val="0"/>
          <w:sz w:val="24"/>
          <w:lang w:val="zh-CN"/>
        </w:rPr>
        <w:t>、服务要求等予以公示。</w:t>
      </w:r>
    </w:p>
    <w:p>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b w:val="0"/>
          <w:bCs/>
          <w:kern w:val="0"/>
          <w:sz w:val="24"/>
          <w:lang w:val="zh-CN"/>
        </w:rPr>
      </w:pPr>
      <w:r>
        <w:rPr>
          <w:rFonts w:hint="eastAsia" w:ascii="仿宋" w:hAnsi="仿宋" w:eastAsia="仿宋" w:cs="仿宋"/>
          <w:b w:val="0"/>
          <w:bCs/>
          <w:kern w:val="0"/>
          <w:sz w:val="24"/>
          <w:szCs w:val="22"/>
          <w:lang w:val="zh-CN"/>
        </w:rPr>
        <w:t>5、</w:t>
      </w:r>
      <w:r>
        <w:rPr>
          <w:rFonts w:hint="eastAsia" w:ascii="仿宋" w:hAnsi="仿宋" w:eastAsia="仿宋" w:cs="仿宋"/>
          <w:b w:val="0"/>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6、</w:t>
      </w: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特别说明：▲供应商报价低于项目预算50%的，应当在报价文件中详细阐述不影响产品质量或者诚信履约的具体原因。</w:t>
      </w:r>
    </w:p>
    <w:p>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二、报价明细清单</w:t>
      </w:r>
    </w:p>
    <w:p>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                         项目名称：</w:t>
      </w:r>
    </w:p>
    <w:tbl>
      <w:tblPr>
        <w:tblStyle w:val="66"/>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8"/>
        <w:gridCol w:w="1544"/>
        <w:gridCol w:w="1078"/>
        <w:gridCol w:w="265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tcBorders>
              <w:top w:val="single" w:color="auto" w:sz="4" w:space="0"/>
              <w:left w:val="single" w:color="auto" w:sz="4" w:space="0"/>
              <w:bottom w:val="single" w:color="auto" w:sz="4" w:space="0"/>
              <w:right w:val="single" w:color="auto" w:sz="4" w:space="0"/>
            </w:tcBorders>
            <w:vAlign w:val="center"/>
          </w:tcPr>
          <w:p>
            <w:pPr>
              <w:adjustRightInd/>
              <w:jc w:val="center"/>
              <w:rPr>
                <w:rFonts w:hint="eastAsia" w:ascii="仿宋_GB2312" w:hAnsi="宋体" w:eastAsia="仿宋_GB2312" w:cs="宋体"/>
                <w:b/>
                <w:bCs/>
                <w:szCs w:val="21"/>
              </w:rPr>
            </w:pPr>
            <w:r>
              <w:rPr>
                <w:rFonts w:hint="eastAsia" w:ascii="仿宋_GB2312" w:hAnsi="宋体" w:eastAsia="仿宋_GB2312" w:cs="宋体"/>
                <w:b/>
                <w:bCs/>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jc w:val="center"/>
              <w:rPr>
                <w:rFonts w:hint="default" w:ascii="仿宋_GB2312" w:hAnsi="宋体" w:eastAsia="仿宋_GB2312" w:cs="宋体"/>
                <w:b/>
                <w:bCs/>
                <w:szCs w:val="21"/>
                <w:lang w:val="en-US" w:eastAsia="zh-CN"/>
              </w:rPr>
            </w:pPr>
            <w:r>
              <w:rPr>
                <w:rFonts w:hint="eastAsia" w:ascii="仿宋_GB2312" w:hAnsi="宋体" w:eastAsia="仿宋_GB2312" w:cs="宋体"/>
                <w:b/>
                <w:bCs/>
                <w:szCs w:val="21"/>
                <w:lang w:val="en-US" w:eastAsia="zh-CN"/>
              </w:rPr>
              <w:t>服务内容</w:t>
            </w:r>
          </w:p>
        </w:tc>
        <w:tc>
          <w:tcPr>
            <w:tcW w:w="1544" w:type="dxa"/>
            <w:tcBorders>
              <w:top w:val="single" w:color="auto" w:sz="4" w:space="0"/>
              <w:left w:val="single" w:color="auto" w:sz="4" w:space="0"/>
              <w:bottom w:val="single" w:color="auto" w:sz="4" w:space="0"/>
              <w:right w:val="single" w:color="auto" w:sz="4" w:space="0"/>
            </w:tcBorders>
            <w:vAlign w:val="center"/>
          </w:tcPr>
          <w:p>
            <w:pPr>
              <w:adjustRightInd/>
              <w:jc w:val="center"/>
              <w:rPr>
                <w:rFonts w:hint="eastAsia" w:ascii="仿宋_GB2312" w:hAnsi="宋体" w:eastAsia="仿宋_GB2312" w:cs="宋体"/>
                <w:b/>
                <w:bCs/>
                <w:szCs w:val="21"/>
              </w:rPr>
            </w:pPr>
            <w:r>
              <w:rPr>
                <w:rFonts w:hint="eastAsia" w:ascii="仿宋_GB2312" w:hAnsi="宋体" w:eastAsia="仿宋_GB2312" w:cs="宋体"/>
                <w:b/>
                <w:bCs/>
                <w:szCs w:val="21"/>
              </w:rPr>
              <w:t>数量</w:t>
            </w:r>
          </w:p>
        </w:tc>
        <w:tc>
          <w:tcPr>
            <w:tcW w:w="1078" w:type="dxa"/>
            <w:tcBorders>
              <w:top w:val="single" w:color="auto" w:sz="4" w:space="0"/>
              <w:left w:val="single" w:color="auto" w:sz="4" w:space="0"/>
              <w:bottom w:val="single" w:color="auto" w:sz="4" w:space="0"/>
              <w:right w:val="single" w:color="auto" w:sz="4" w:space="0"/>
            </w:tcBorders>
            <w:vAlign w:val="center"/>
          </w:tcPr>
          <w:p>
            <w:pPr>
              <w:adjustRightInd/>
              <w:jc w:val="center"/>
              <w:rPr>
                <w:rFonts w:hint="default" w:ascii="仿宋_GB2312" w:hAnsi="宋体" w:eastAsia="仿宋_GB2312" w:cs="宋体"/>
                <w:b/>
                <w:bCs/>
                <w:szCs w:val="21"/>
                <w:lang w:val="en-US" w:eastAsia="zh-CN"/>
              </w:rPr>
            </w:pPr>
            <w:r>
              <w:rPr>
                <w:rFonts w:hint="eastAsia" w:ascii="仿宋_GB2312" w:hAnsi="宋体" w:eastAsia="仿宋_GB2312" w:cs="宋体"/>
                <w:b/>
                <w:bCs/>
                <w:szCs w:val="21"/>
                <w:lang w:val="en-US" w:eastAsia="zh-CN"/>
              </w:rPr>
              <w:t>单价</w:t>
            </w:r>
          </w:p>
        </w:tc>
        <w:tc>
          <w:tcPr>
            <w:tcW w:w="2654" w:type="dxa"/>
            <w:tcBorders>
              <w:top w:val="single" w:color="auto" w:sz="4" w:space="0"/>
              <w:left w:val="single" w:color="auto" w:sz="4" w:space="0"/>
              <w:bottom w:val="single" w:color="auto" w:sz="4" w:space="0"/>
              <w:right w:val="single" w:color="auto" w:sz="4" w:space="0"/>
            </w:tcBorders>
            <w:vAlign w:val="center"/>
          </w:tcPr>
          <w:p>
            <w:pPr>
              <w:adjustRightInd/>
              <w:jc w:val="center"/>
              <w:rPr>
                <w:rFonts w:hint="eastAsia" w:ascii="仿宋_GB2312" w:hAnsi="宋体" w:eastAsia="仿宋_GB2312" w:cs="宋体"/>
                <w:b/>
                <w:bCs/>
                <w:szCs w:val="21"/>
                <w:lang w:val="en-US" w:eastAsia="zh-CN"/>
              </w:rPr>
            </w:pPr>
            <w:r>
              <w:rPr>
                <w:rFonts w:hint="eastAsia" w:ascii="仿宋_GB2312" w:hAnsi="宋体" w:eastAsia="仿宋_GB2312" w:cs="宋体"/>
                <w:b/>
                <w:bCs/>
                <w:szCs w:val="21"/>
              </w:rPr>
              <w:t>总价（元）</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jc w:val="center"/>
              <w:rPr>
                <w:rFonts w:ascii="仿宋_GB2312" w:hAnsi="宋体" w:eastAsia="仿宋_GB2312" w:cs="宋体"/>
                <w:b/>
                <w:bCs/>
                <w:szCs w:val="21"/>
              </w:rPr>
            </w:pPr>
            <w:r>
              <w:rPr>
                <w:rFonts w:hint="eastAsia" w:ascii="仿宋_GB2312" w:hAnsi="宋体" w:eastAsia="仿宋_GB2312"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26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投标报价（小写）</w:t>
            </w:r>
          </w:p>
        </w:tc>
        <w:tc>
          <w:tcPr>
            <w:tcW w:w="5217"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投标报价（大写）</w:t>
            </w:r>
          </w:p>
        </w:tc>
        <w:tc>
          <w:tcPr>
            <w:tcW w:w="5217"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bl>
    <w:p>
      <w:pPr>
        <w:pStyle w:val="7"/>
      </w:pPr>
    </w:p>
    <w:p>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pPr>
        <w:snapToGrid w:val="0"/>
        <w:spacing w:line="300" w:lineRule="auto"/>
        <w:ind w:firstLine="480" w:firstLineChars="2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autoSpaceDE w:val="0"/>
        <w:autoSpaceDN w:val="0"/>
        <w:jc w:val="center"/>
        <w:rPr>
          <w:rFonts w:ascii="仿宋" w:hAnsi="仿宋" w:eastAsia="仿宋" w:cs="仿宋"/>
          <w:b/>
          <w:sz w:val="32"/>
          <w:szCs w:val="32"/>
        </w:rPr>
      </w:pPr>
    </w:p>
    <w:p>
      <w:pPr>
        <w:spacing w:line="360" w:lineRule="auto"/>
        <w:ind w:left="5060" w:hanging="5060" w:hangingChars="2100"/>
        <w:rPr>
          <w:rFonts w:ascii="仿宋" w:hAnsi="仿宋" w:eastAsia="仿宋" w:cs="仿宋"/>
          <w:b/>
          <w:bCs/>
          <w:kern w:val="0"/>
          <w:sz w:val="24"/>
        </w:rPr>
      </w:pPr>
    </w:p>
    <w:p>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cols w:space="720" w:num="1"/>
          <w:titlePg/>
          <w:docGrid w:linePitch="312" w:charSpace="0"/>
        </w:sectPr>
      </w:pPr>
    </w:p>
    <w:p>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pPr>
        <w:spacing w:line="360" w:lineRule="auto"/>
        <w:rPr>
          <w:rFonts w:ascii="仿宋" w:eastAsia="仿宋" w:cs="仿宋"/>
          <w:b/>
          <w:spacing w:val="6"/>
          <w:sz w:val="24"/>
        </w:rPr>
      </w:pPr>
      <w:r>
        <w:rPr>
          <w:rFonts w:hint="eastAsia" w:ascii="仿宋" w:eastAsia="仿宋" w:cs="仿宋"/>
          <w:b/>
          <w:spacing w:val="6"/>
          <w:sz w:val="24"/>
        </w:rPr>
        <w:t>附件1：</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ascii="仿宋" w:eastAsia="仿宋" w:cs="仿宋"/>
          <w:b/>
          <w:spacing w:val="6"/>
          <w:sz w:val="24"/>
        </w:rPr>
      </w:pPr>
    </w:p>
    <w:p>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br w:type="page"/>
      </w:r>
    </w:p>
    <w:p>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pPr>
        <w:snapToGrid w:val="0"/>
        <w:spacing w:line="360" w:lineRule="auto"/>
        <w:rPr>
          <w:rFonts w:ascii="仿宋" w:eastAsia="仿宋" w:cs="仿宋"/>
          <w:sz w:val="24"/>
          <w:u w:val="dotted"/>
        </w:rPr>
      </w:pPr>
      <w:r>
        <w:rPr>
          <w:rFonts w:hint="eastAsia" w:ascii="仿宋" w:eastAsia="仿宋" w:cs="仿宋"/>
          <w:sz w:val="24"/>
        </w:rPr>
        <w:t>质疑供应商：</w:t>
      </w:r>
    </w:p>
    <w:p>
      <w:pPr>
        <w:snapToGrid w:val="0"/>
        <w:spacing w:line="360" w:lineRule="auto"/>
        <w:rPr>
          <w:rFonts w:ascii="仿宋" w:eastAsia="仿宋" w:cs="仿宋"/>
          <w:sz w:val="24"/>
        </w:rPr>
      </w:pPr>
      <w:r>
        <w:rPr>
          <w:rFonts w:hint="eastAsia" w:ascii="仿宋" w:eastAsia="仿宋" w:cs="仿宋"/>
          <w:sz w:val="24"/>
        </w:rPr>
        <w:t>地址：邮编：</w:t>
      </w:r>
    </w:p>
    <w:p>
      <w:pPr>
        <w:snapToGrid w:val="0"/>
        <w:spacing w:line="360" w:lineRule="auto"/>
        <w:rPr>
          <w:rFonts w:ascii="仿宋" w:eastAsia="仿宋" w:cs="仿宋"/>
          <w:sz w:val="24"/>
        </w:rPr>
      </w:pPr>
      <w:r>
        <w:rPr>
          <w:rFonts w:hint="eastAsia" w:ascii="仿宋" w:eastAsia="仿宋" w:cs="仿宋"/>
          <w:sz w:val="24"/>
        </w:rPr>
        <w:t>联系人：联系电话：</w:t>
      </w:r>
    </w:p>
    <w:p>
      <w:pPr>
        <w:snapToGrid w:val="0"/>
        <w:spacing w:line="360" w:lineRule="auto"/>
        <w:rPr>
          <w:rFonts w:ascii="仿宋" w:eastAsia="仿宋" w:cs="仿宋"/>
          <w:sz w:val="24"/>
          <w:u w:val="dotted"/>
        </w:rPr>
      </w:pPr>
      <w:r>
        <w:rPr>
          <w:rFonts w:hint="eastAsia" w:ascii="仿宋" w:eastAsia="仿宋" w:cs="仿宋"/>
          <w:sz w:val="24"/>
        </w:rPr>
        <w:t>授权代表：</w:t>
      </w:r>
    </w:p>
    <w:p>
      <w:pPr>
        <w:snapToGrid w:val="0"/>
        <w:spacing w:line="360" w:lineRule="auto"/>
        <w:rPr>
          <w:rFonts w:ascii="仿宋" w:eastAsia="仿宋" w:cs="仿宋"/>
          <w:sz w:val="24"/>
        </w:rPr>
      </w:pPr>
      <w:r>
        <w:rPr>
          <w:rFonts w:hint="eastAsia" w:ascii="仿宋" w:eastAsia="仿宋" w:cs="仿宋"/>
          <w:sz w:val="24"/>
        </w:rPr>
        <w:t>联系电话：</w:t>
      </w:r>
    </w:p>
    <w:p>
      <w:pPr>
        <w:snapToGrid w:val="0"/>
        <w:spacing w:line="360" w:lineRule="auto"/>
        <w:rPr>
          <w:rFonts w:ascii="仿宋" w:eastAsia="仿宋" w:cs="仿宋"/>
          <w:sz w:val="24"/>
        </w:rPr>
      </w:pPr>
      <w:r>
        <w:rPr>
          <w:rFonts w:hint="eastAsia" w:ascii="仿宋" w:eastAsia="仿宋" w:cs="仿宋"/>
          <w:sz w:val="24"/>
        </w:rPr>
        <w:t>地址： 邮编：</w:t>
      </w:r>
    </w:p>
    <w:p>
      <w:pPr>
        <w:snapToGrid w:val="0"/>
        <w:spacing w:line="360" w:lineRule="auto"/>
        <w:rPr>
          <w:rFonts w:ascii="仿宋" w:eastAsia="仿宋" w:cs="仿宋"/>
          <w:bCs/>
          <w:sz w:val="24"/>
        </w:rPr>
      </w:pPr>
      <w:r>
        <w:rPr>
          <w:rFonts w:hint="eastAsia" w:ascii="仿宋" w:eastAsia="仿宋" w:cs="仿宋"/>
          <w:bCs/>
          <w:sz w:val="24"/>
        </w:rPr>
        <w:t>二、质疑项目基本情况</w:t>
      </w:r>
    </w:p>
    <w:p>
      <w:pPr>
        <w:snapToGrid w:val="0"/>
        <w:spacing w:line="360" w:lineRule="auto"/>
        <w:rPr>
          <w:rFonts w:ascii="仿宋" w:eastAsia="仿宋" w:cs="仿宋"/>
          <w:sz w:val="24"/>
        </w:rPr>
      </w:pPr>
      <w:r>
        <w:rPr>
          <w:rFonts w:hint="eastAsia" w:ascii="仿宋" w:eastAsia="仿宋" w:cs="仿宋"/>
          <w:sz w:val="24"/>
        </w:rPr>
        <w:t>质疑项目的名称：</w:t>
      </w:r>
    </w:p>
    <w:p>
      <w:pPr>
        <w:snapToGrid w:val="0"/>
        <w:spacing w:line="360" w:lineRule="auto"/>
        <w:rPr>
          <w:rFonts w:ascii="仿宋" w:eastAsia="仿宋" w:cs="仿宋"/>
          <w:sz w:val="24"/>
        </w:rPr>
      </w:pPr>
      <w:r>
        <w:rPr>
          <w:rFonts w:hint="eastAsia" w:ascii="仿宋" w:eastAsia="仿宋" w:cs="仿宋"/>
          <w:sz w:val="24"/>
        </w:rPr>
        <w:t>质疑项目的编号：包号：</w:t>
      </w:r>
    </w:p>
    <w:p>
      <w:pPr>
        <w:snapToGrid w:val="0"/>
        <w:spacing w:line="360" w:lineRule="auto"/>
        <w:rPr>
          <w:rFonts w:ascii="仿宋" w:eastAsia="仿宋" w:cs="仿宋"/>
          <w:sz w:val="24"/>
          <w:u w:val="dotted"/>
        </w:rPr>
      </w:pPr>
      <w:r>
        <w:rPr>
          <w:rFonts w:hint="eastAsia" w:ascii="仿宋" w:eastAsia="仿宋" w:cs="仿宋"/>
          <w:sz w:val="24"/>
        </w:rPr>
        <w:t>采购人名称：</w:t>
      </w:r>
    </w:p>
    <w:p>
      <w:pPr>
        <w:snapToGrid w:val="0"/>
        <w:spacing w:line="360" w:lineRule="auto"/>
        <w:rPr>
          <w:rFonts w:ascii="仿宋" w:eastAsia="仿宋" w:cs="仿宋"/>
          <w:sz w:val="24"/>
        </w:rPr>
      </w:pPr>
      <w:r>
        <w:rPr>
          <w:rFonts w:hint="eastAsia" w:ascii="仿宋" w:eastAsia="仿宋" w:cs="仿宋"/>
          <w:sz w:val="24"/>
        </w:rPr>
        <w:t>采购文件获取日期：</w:t>
      </w:r>
    </w:p>
    <w:p>
      <w:pPr>
        <w:snapToGrid w:val="0"/>
        <w:spacing w:line="360" w:lineRule="auto"/>
        <w:rPr>
          <w:rFonts w:ascii="仿宋" w:eastAsia="仿宋" w:cs="仿宋"/>
          <w:bCs/>
          <w:sz w:val="24"/>
        </w:rPr>
      </w:pPr>
      <w:r>
        <w:rPr>
          <w:rFonts w:hint="eastAsia" w:ascii="仿宋" w:eastAsia="仿宋" w:cs="仿宋"/>
          <w:bCs/>
          <w:sz w:val="24"/>
        </w:rPr>
        <w:t>三、质疑事项具体内容</w:t>
      </w:r>
    </w:p>
    <w:p>
      <w:pPr>
        <w:snapToGrid w:val="0"/>
        <w:spacing w:line="360" w:lineRule="auto"/>
        <w:rPr>
          <w:rFonts w:ascii="仿宋" w:eastAsia="仿宋" w:cs="仿宋"/>
          <w:sz w:val="24"/>
          <w:u w:val="dotted"/>
        </w:rPr>
      </w:pPr>
      <w:r>
        <w:rPr>
          <w:rFonts w:hint="eastAsia" w:ascii="仿宋" w:eastAsia="仿宋" w:cs="仿宋"/>
          <w:sz w:val="24"/>
        </w:rPr>
        <w:t>质疑事项1：</w:t>
      </w:r>
    </w:p>
    <w:p>
      <w:pPr>
        <w:snapToGrid w:val="0"/>
        <w:spacing w:line="360" w:lineRule="auto"/>
        <w:rPr>
          <w:rFonts w:ascii="仿宋" w:eastAsia="仿宋" w:cs="仿宋"/>
          <w:sz w:val="24"/>
          <w:u w:val="dotted"/>
        </w:rPr>
      </w:pPr>
      <w:r>
        <w:rPr>
          <w:rFonts w:hint="eastAsia" w:ascii="仿宋" w:eastAsia="仿宋" w:cs="仿宋"/>
          <w:sz w:val="24"/>
        </w:rPr>
        <w:t>事实依据：</w:t>
      </w:r>
    </w:p>
    <w:p>
      <w:pPr>
        <w:snapToGrid w:val="0"/>
        <w:spacing w:line="360" w:lineRule="auto"/>
        <w:rPr>
          <w:rFonts w:ascii="仿宋" w:eastAsia="仿宋" w:cs="仿宋"/>
          <w:sz w:val="24"/>
        </w:rPr>
      </w:pPr>
    </w:p>
    <w:p>
      <w:pPr>
        <w:snapToGrid w:val="0"/>
        <w:spacing w:line="360" w:lineRule="auto"/>
        <w:rPr>
          <w:rFonts w:ascii="仿宋" w:eastAsia="仿宋" w:cs="仿宋"/>
          <w:sz w:val="24"/>
          <w:u w:val="dotted"/>
        </w:rPr>
      </w:pPr>
      <w:r>
        <w:rPr>
          <w:rFonts w:hint="eastAsia" w:ascii="仿宋" w:eastAsia="仿宋" w:cs="仿宋"/>
          <w:sz w:val="24"/>
        </w:rPr>
        <w:t>法律依据：</w:t>
      </w:r>
    </w:p>
    <w:p>
      <w:pPr>
        <w:snapToGrid w:val="0"/>
        <w:spacing w:line="360" w:lineRule="auto"/>
        <w:rPr>
          <w:rFonts w:ascii="仿宋" w:eastAsia="仿宋" w:cs="仿宋"/>
          <w:sz w:val="24"/>
          <w:u w:val="dotted"/>
        </w:rPr>
      </w:pPr>
    </w:p>
    <w:p>
      <w:pPr>
        <w:snapToGrid w:val="0"/>
        <w:spacing w:line="360" w:lineRule="auto"/>
        <w:rPr>
          <w:rFonts w:ascii="仿宋" w:eastAsia="仿宋" w:cs="仿宋"/>
          <w:sz w:val="24"/>
          <w:u w:val="dotted"/>
        </w:rPr>
      </w:pPr>
      <w:r>
        <w:rPr>
          <w:rFonts w:hint="eastAsia" w:ascii="仿宋" w:eastAsia="仿宋" w:cs="仿宋"/>
          <w:sz w:val="24"/>
        </w:rPr>
        <w:t>质疑事项2</w:t>
      </w:r>
    </w:p>
    <w:p>
      <w:pPr>
        <w:snapToGrid w:val="0"/>
        <w:spacing w:line="360" w:lineRule="auto"/>
        <w:rPr>
          <w:rFonts w:ascii="仿宋" w:eastAsia="仿宋" w:cs="仿宋"/>
          <w:sz w:val="24"/>
        </w:rPr>
      </w:pPr>
      <w:r>
        <w:rPr>
          <w:rFonts w:hint="eastAsia" w:ascii="仿宋" w:eastAsia="仿宋" w:cs="仿宋"/>
          <w:sz w:val="24"/>
        </w:rPr>
        <w:t>……</w:t>
      </w:r>
    </w:p>
    <w:p>
      <w:pPr>
        <w:snapToGrid w:val="0"/>
        <w:spacing w:line="360" w:lineRule="auto"/>
        <w:rPr>
          <w:rFonts w:ascii="仿宋" w:eastAsia="仿宋" w:cs="仿宋"/>
          <w:bCs/>
          <w:sz w:val="24"/>
        </w:rPr>
      </w:pPr>
      <w:r>
        <w:rPr>
          <w:rFonts w:hint="eastAsia" w:ascii="仿宋" w:eastAsia="仿宋" w:cs="仿宋"/>
          <w:bCs/>
          <w:sz w:val="24"/>
        </w:rPr>
        <w:t>四、与质疑事项相关的质疑请求</w:t>
      </w:r>
    </w:p>
    <w:p>
      <w:pPr>
        <w:snapToGrid w:val="0"/>
        <w:spacing w:line="360" w:lineRule="auto"/>
        <w:rPr>
          <w:rFonts w:ascii="仿宋" w:eastAsia="仿宋" w:cs="仿宋"/>
          <w:sz w:val="24"/>
          <w:u w:val="dotted"/>
        </w:rPr>
      </w:pPr>
      <w:r>
        <w:rPr>
          <w:rFonts w:hint="eastAsia" w:ascii="仿宋" w:eastAsia="仿宋" w:cs="仿宋"/>
          <w:sz w:val="24"/>
        </w:rPr>
        <w:t>请求：</w:t>
      </w: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jc w:val="center"/>
        <w:rPr>
          <w:rFonts w:ascii="仿宋" w:eastAsia="仿宋" w:cs="仿宋"/>
          <w:b/>
          <w:bCs/>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eastAsia="仿宋" w:cs="仿宋"/>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518"/>
        <w:ind w:firstLine="506"/>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pStyle w:val="25"/>
        <w:rPr>
          <w:rFonts w:ascii="仿宋" w:eastAsia="仿宋" w:cs="仿宋"/>
          <w:b/>
          <w:spacing w:val="6"/>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25"/>
      </w:pPr>
    </w:p>
    <w:p>
      <w:pPr>
        <w:spacing w:line="360" w:lineRule="auto"/>
        <w:jc w:val="left"/>
        <w:rPr>
          <w:rFonts w:ascii="仿宋" w:eastAsia="仿宋" w:cs="仿宋"/>
          <w:b/>
          <w:spacing w:val="6"/>
          <w:sz w:val="24"/>
        </w:rPr>
      </w:pPr>
    </w:p>
    <w:p>
      <w:pPr>
        <w:tabs>
          <w:tab w:val="left" w:pos="432"/>
        </w:tabs>
      </w:pPr>
    </w:p>
    <w:p>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ascii="仿宋" w:eastAsia="仿宋" w:cs="仿宋"/>
          <w:sz w:val="24"/>
        </w:rPr>
      </w:pPr>
      <w:r>
        <w:rPr>
          <w:rFonts w:hint="eastAsia" w:ascii="仿宋" w:eastAsia="仿宋" w:cs="仿宋"/>
          <w:sz w:val="24"/>
        </w:rPr>
        <w:t>一、投诉相关主体基本情况</w:t>
      </w:r>
    </w:p>
    <w:p>
      <w:pPr>
        <w:spacing w:line="360" w:lineRule="auto"/>
        <w:rPr>
          <w:rFonts w:ascii="仿宋" w:eastAsia="仿宋" w:cs="仿宋"/>
          <w:sz w:val="24"/>
          <w:u w:val="dotted"/>
        </w:rPr>
      </w:pPr>
      <w:r>
        <w:rPr>
          <w:rFonts w:hint="eastAsia" w:ascii="仿宋" w:eastAsia="仿宋" w:cs="仿宋"/>
          <w:sz w:val="24"/>
        </w:rPr>
        <w:t>投诉人：</w:t>
      </w:r>
    </w:p>
    <w:p>
      <w:pPr>
        <w:spacing w:line="360" w:lineRule="auto"/>
        <w:rPr>
          <w:rFonts w:ascii="仿宋" w:eastAsia="仿宋" w:cs="仿宋"/>
          <w:sz w:val="24"/>
          <w:u w:val="single"/>
        </w:rPr>
      </w:pPr>
      <w:r>
        <w:rPr>
          <w:rFonts w:hint="eastAsia" w:ascii="仿宋" w:eastAsia="仿宋" w:cs="仿宋"/>
          <w:sz w:val="24"/>
        </w:rPr>
        <w:t>地     址：邮编：</w:t>
      </w:r>
    </w:p>
    <w:p>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pPr>
        <w:tabs>
          <w:tab w:val="left" w:pos="6510"/>
        </w:tabs>
        <w:spacing w:line="360" w:lineRule="auto"/>
        <w:rPr>
          <w:rFonts w:ascii="仿宋" w:eastAsia="仿宋" w:cs="仿宋"/>
          <w:sz w:val="24"/>
          <w:u w:val="dotted"/>
        </w:rPr>
      </w:pPr>
      <w:r>
        <w:rPr>
          <w:rFonts w:hint="eastAsia" w:ascii="仿宋" w:eastAsia="仿宋" w:cs="仿宋"/>
          <w:sz w:val="24"/>
        </w:rPr>
        <w:t>联系电话：</w:t>
      </w:r>
    </w:p>
    <w:p>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pPr>
        <w:spacing w:line="360" w:lineRule="auto"/>
        <w:rPr>
          <w:rFonts w:ascii="仿宋" w:eastAsia="仿宋" w:cs="仿宋"/>
          <w:sz w:val="24"/>
          <w:u w:val="dotted"/>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被投诉人1：</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被投诉人2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u w:val="single"/>
        </w:rPr>
      </w:pPr>
      <w:r>
        <w:rPr>
          <w:rFonts w:hint="eastAsia" w:ascii="仿宋" w:eastAsia="仿宋" w:cs="仿宋"/>
          <w:sz w:val="24"/>
        </w:rPr>
        <w:t>相关供应商：</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二、投诉项目基本情况</w:t>
      </w:r>
    </w:p>
    <w:p>
      <w:pPr>
        <w:spacing w:line="360" w:lineRule="auto"/>
        <w:rPr>
          <w:rFonts w:ascii="仿宋" w:eastAsia="仿宋" w:cs="仿宋"/>
          <w:sz w:val="24"/>
          <w:u w:val="dotted"/>
        </w:rPr>
      </w:pPr>
      <w:r>
        <w:rPr>
          <w:rFonts w:hint="eastAsia" w:ascii="仿宋" w:eastAsia="仿宋" w:cs="仿宋"/>
          <w:sz w:val="24"/>
        </w:rPr>
        <w:t>采购项目名称：</w:t>
      </w:r>
    </w:p>
    <w:p>
      <w:pPr>
        <w:spacing w:line="360" w:lineRule="auto"/>
        <w:rPr>
          <w:rFonts w:ascii="仿宋" w:eastAsia="仿宋" w:cs="仿宋"/>
          <w:sz w:val="24"/>
          <w:u w:val="single"/>
        </w:rPr>
      </w:pPr>
      <w:r>
        <w:rPr>
          <w:rFonts w:hint="eastAsia" w:ascii="仿宋" w:eastAsia="仿宋" w:cs="仿宋"/>
          <w:sz w:val="24"/>
        </w:rPr>
        <w:t>采购项目编号：包号：</w:t>
      </w:r>
    </w:p>
    <w:p>
      <w:pPr>
        <w:spacing w:line="360" w:lineRule="auto"/>
        <w:rPr>
          <w:rFonts w:ascii="仿宋" w:eastAsia="仿宋" w:cs="仿宋"/>
          <w:sz w:val="24"/>
        </w:rPr>
      </w:pPr>
      <w:r>
        <w:rPr>
          <w:rFonts w:hint="eastAsia" w:ascii="仿宋" w:eastAsia="仿宋" w:cs="仿宋"/>
          <w:sz w:val="24"/>
        </w:rPr>
        <w:t>采购人名称：</w:t>
      </w:r>
    </w:p>
    <w:p>
      <w:pPr>
        <w:spacing w:line="360" w:lineRule="auto"/>
        <w:rPr>
          <w:rFonts w:ascii="仿宋" w:eastAsia="仿宋" w:cs="仿宋"/>
          <w:sz w:val="24"/>
          <w:u w:val="single"/>
        </w:rPr>
      </w:pPr>
      <w:r>
        <w:rPr>
          <w:rFonts w:hint="eastAsia" w:ascii="仿宋" w:eastAsia="仿宋" w:cs="仿宋"/>
          <w:sz w:val="24"/>
        </w:rPr>
        <w:t>代理机构名称：</w:t>
      </w:r>
    </w:p>
    <w:p>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rPr>
      </w:pPr>
      <w:r>
        <w:rPr>
          <w:rFonts w:hint="eastAsia" w:ascii="仿宋" w:eastAsia="仿宋" w:cs="仿宋"/>
          <w:sz w:val="24"/>
        </w:rPr>
        <w:t>三、质疑基本情况</w:t>
      </w:r>
    </w:p>
    <w:p>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pPr>
        <w:spacing w:line="360" w:lineRule="auto"/>
        <w:rPr>
          <w:rFonts w:ascii="仿宋" w:eastAsia="仿宋" w:cs="仿宋"/>
          <w:sz w:val="24"/>
          <w:u w:val="dotted"/>
        </w:rPr>
      </w:pPr>
    </w:p>
    <w:p>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pPr>
        <w:spacing w:line="360" w:lineRule="auto"/>
        <w:rPr>
          <w:rFonts w:ascii="仿宋" w:eastAsia="仿宋" w:cs="仿宋"/>
          <w:sz w:val="24"/>
        </w:rPr>
      </w:pPr>
      <w:r>
        <w:rPr>
          <w:rFonts w:hint="eastAsia" w:ascii="仿宋" w:eastAsia="仿宋" w:cs="仿宋"/>
          <w:sz w:val="24"/>
        </w:rPr>
        <w:t>四、投诉事项具体内容</w:t>
      </w:r>
    </w:p>
    <w:p>
      <w:pPr>
        <w:spacing w:line="360" w:lineRule="auto"/>
        <w:rPr>
          <w:rFonts w:ascii="仿宋" w:eastAsia="仿宋" w:cs="仿宋"/>
          <w:sz w:val="24"/>
          <w:u w:val="single"/>
        </w:rPr>
      </w:pPr>
      <w:r>
        <w:rPr>
          <w:rFonts w:hint="eastAsia" w:ascii="仿宋" w:eastAsia="仿宋" w:cs="仿宋"/>
          <w:sz w:val="24"/>
        </w:rPr>
        <w:t>投诉事项 1：</w:t>
      </w:r>
    </w:p>
    <w:p>
      <w:pPr>
        <w:spacing w:line="360" w:lineRule="auto"/>
        <w:rPr>
          <w:rFonts w:ascii="仿宋" w:eastAsia="仿宋" w:cs="仿宋"/>
          <w:sz w:val="24"/>
        </w:rPr>
      </w:pPr>
      <w:r>
        <w:rPr>
          <w:rFonts w:hint="eastAsia" w:ascii="仿宋" w:eastAsia="仿宋" w:cs="仿宋"/>
          <w:sz w:val="24"/>
        </w:rPr>
        <w:t>事实依据：</w:t>
      </w:r>
    </w:p>
    <w:p>
      <w:pPr>
        <w:spacing w:line="360" w:lineRule="auto"/>
        <w:rPr>
          <w:rFonts w:ascii="仿宋" w:eastAsia="仿宋" w:cs="仿宋"/>
          <w:sz w:val="24"/>
          <w:u w:val="dotted"/>
        </w:rPr>
      </w:pPr>
    </w:p>
    <w:p>
      <w:pPr>
        <w:spacing w:line="360" w:lineRule="auto"/>
        <w:rPr>
          <w:rFonts w:ascii="仿宋" w:eastAsia="仿宋" w:cs="仿宋"/>
          <w:sz w:val="24"/>
          <w:u w:val="single"/>
        </w:rPr>
      </w:pPr>
      <w:r>
        <w:rPr>
          <w:rFonts w:hint="eastAsia" w:ascii="仿宋" w:eastAsia="仿宋" w:cs="仿宋"/>
          <w:sz w:val="24"/>
        </w:rPr>
        <w:t>法律依据：</w:t>
      </w:r>
    </w:p>
    <w:p>
      <w:pPr>
        <w:spacing w:line="360" w:lineRule="auto"/>
        <w:rPr>
          <w:rFonts w:ascii="仿宋" w:eastAsia="仿宋" w:cs="仿宋"/>
          <w:sz w:val="24"/>
          <w:u w:val="dotted"/>
        </w:rPr>
      </w:pPr>
    </w:p>
    <w:p>
      <w:pPr>
        <w:spacing w:line="360" w:lineRule="auto"/>
        <w:rPr>
          <w:rFonts w:ascii="仿宋" w:eastAsia="仿宋" w:cs="仿宋"/>
          <w:sz w:val="24"/>
        </w:rPr>
      </w:pPr>
      <w:r>
        <w:rPr>
          <w:rFonts w:hint="eastAsia" w:ascii="仿宋" w:eastAsia="仿宋" w:cs="仿宋"/>
          <w:sz w:val="24"/>
        </w:rPr>
        <w:t>投诉事项2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rPr>
      </w:pPr>
      <w:r>
        <w:rPr>
          <w:rFonts w:hint="eastAsia" w:ascii="仿宋" w:eastAsia="仿宋" w:cs="仿宋"/>
          <w:sz w:val="24"/>
        </w:rPr>
        <w:t>五、与投诉事项相关的投诉请求</w:t>
      </w:r>
    </w:p>
    <w:p>
      <w:pPr>
        <w:spacing w:line="360" w:lineRule="auto"/>
        <w:rPr>
          <w:rFonts w:ascii="仿宋" w:eastAsia="仿宋" w:cs="仿宋"/>
          <w:sz w:val="24"/>
        </w:rPr>
      </w:pPr>
      <w:r>
        <w:rPr>
          <w:rFonts w:hint="eastAsia" w:ascii="仿宋" w:eastAsia="仿宋" w:cs="仿宋"/>
          <w:sz w:val="24"/>
        </w:rPr>
        <w:t>请求：</w:t>
      </w:r>
    </w:p>
    <w:p>
      <w:pPr>
        <w:spacing w:line="360" w:lineRule="auto"/>
        <w:rPr>
          <w:rFonts w:ascii="仿宋" w:eastAsia="仿宋" w:cs="仿宋"/>
          <w:sz w:val="24"/>
          <w:u w:val="single"/>
        </w:rPr>
      </w:pP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pPr>
        <w:spacing w:line="360" w:lineRule="auto"/>
        <w:ind w:firstLine="480" w:firstLineChars="200"/>
        <w:rPr>
          <w:rFonts w:ascii="仿宋" w:eastAsia="仿宋" w:cs="仿宋"/>
          <w:sz w:val="24"/>
        </w:rPr>
      </w:pPr>
    </w:p>
    <w:p>
      <w:pPr>
        <w:spacing w:line="360" w:lineRule="auto"/>
        <w:rPr>
          <w:rFonts w:ascii="仿宋" w:hAnsi="仿宋" w:eastAsia="仿宋"/>
          <w:sz w:val="24"/>
        </w:rPr>
      </w:pPr>
      <w:r>
        <w:rPr>
          <w:rFonts w:hint="eastAsia" w:ascii="仿宋" w:eastAsia="仿宋" w:cs="仿宋"/>
          <w:sz w:val="24"/>
          <w:lang w:eastAsia="zh-CN"/>
        </w:rPr>
        <w:t>杭州市生态环境局淳安分局</w:t>
      </w:r>
      <w:r>
        <w:rPr>
          <w:rFonts w:ascii="仿宋_GB2312" w:hAnsi="仿宋" w:cs="仿宋_GB2312"/>
          <w:sz w:val="24"/>
        </w:rPr>
        <w:t>、</w:t>
      </w:r>
      <w:r>
        <w:rPr>
          <w:rFonts w:hint="eastAsia" w:ascii="仿宋" w:hAnsi="仿宋" w:eastAsia="仿宋"/>
          <w:sz w:val="24"/>
          <w:lang w:eastAsia="zh-CN"/>
        </w:rPr>
        <w:t>浙江阳光联合会计师事务所（普通合伙）</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20" w:name="_Hlk101131882"/>
      <w:r>
        <w:rPr>
          <w:rFonts w:hint="eastAsia" w:ascii="仿宋" w:hAnsi="仿宋" w:eastAsia="仿宋" w:cs="仿宋"/>
          <w:sz w:val="24"/>
          <w:u w:val="single"/>
        </w:rPr>
        <w:t>联合体成员X,……</w:t>
      </w:r>
      <w:bookmarkEnd w:id="520"/>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21"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21"/>
      <w:r>
        <w:rPr>
          <w:rFonts w:hint="eastAsia" w:ascii="仿宋" w:hAnsi="仿宋" w:eastAsia="仿宋" w:cs="仿宋"/>
          <w:b/>
          <w:bCs/>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bookmarkStart w:id="522"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22"/>
    </w:p>
    <w:p>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tabs>
          <w:tab w:val="left" w:pos="432"/>
        </w:tabs>
        <w:rPr>
          <w:rFonts w:ascii="仿宋" w:hAnsi="仿宋" w:eastAsia="仿宋" w:cs="仿宋"/>
        </w:rPr>
      </w:pPr>
    </w:p>
    <w:p>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ascii="仿宋" w:hAnsi="仿宋" w:eastAsia="仿宋" w:cs="仿宋"/>
          <w:sz w:val="24"/>
          <w:lang w:val="zh-CN"/>
        </w:rPr>
      </w:pPr>
    </w:p>
    <w:p>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ind w:firstLine="480" w:firstLineChars="200"/>
        <w:rPr>
          <w:rFonts w:ascii="仿宋_GB2312" w:hAnsi="仿宋" w:cs="仿宋_GB2312"/>
          <w:sz w:val="24"/>
          <w:lang w:val="zh-CN"/>
        </w:rPr>
      </w:pPr>
    </w:p>
    <w:p>
      <w:pPr>
        <w:pStyle w:val="28"/>
        <w:snapToGrid w:val="0"/>
        <w:spacing w:after="120" w:line="400" w:lineRule="atLeast"/>
        <w:ind w:left="0" w:leftChars="0" w:firstLine="0" w:firstLineChars="0"/>
        <w:rPr>
          <w:rFonts w:ascii="仿宋" w:hAnsi="仿宋" w:eastAsia="仿宋" w:cs="仿宋"/>
          <w:b/>
          <w:spacing w:val="6"/>
          <w:sz w:val="32"/>
          <w:szCs w:val="32"/>
        </w:rPr>
      </w:pPr>
    </w:p>
    <w:sectPr>
      <w:headerReference r:id="rId26" w:type="first"/>
      <w:footerReference r:id="rId29" w:type="first"/>
      <w:headerReference r:id="rId25" w:type="default"/>
      <w:footerReference r:id="rId27" w:type="default"/>
      <w:footerReference r:id="rId28" w:type="even"/>
      <w:pgSz w:w="11906" w:h="16838"/>
      <w:pgMar w:top="1247" w:right="1418" w:bottom="1276"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L" w:date="2024-06-06T11:31:00Z" w:initials="D">
    <w:p w14:paraId="3C352832">
      <w:pPr>
        <w:pStyle w:val="21"/>
      </w:pPr>
      <w:r>
        <w:t>今年的</w:t>
      </w:r>
      <w:r>
        <w:rPr>
          <w:rFonts w:hint="eastAsia"/>
        </w:rPr>
        <w:t>项目里数量上有没有达到</w:t>
      </w:r>
    </w:p>
  </w:comment>
  <w:comment w:id="1" w:author="DELL" w:date="2024-06-06T11:30:00Z" w:initials="D">
    <w:p w14:paraId="6F6E51C8">
      <w:pPr>
        <w:pStyle w:val="21"/>
      </w:pPr>
      <w:r>
        <w:t>部分有总有机碳的怎么弄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352832" w15:done="0"/>
  <w15:commentEx w15:paraId="6F6E51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fldChar w:fldCharType="begin"/>
    </w:r>
    <w:r>
      <w:instrText xml:space="preserve">PAGE   \* MERGEFORMAT</w:instrText>
    </w:r>
    <w:r>
      <w:fldChar w:fldCharType="separate"/>
    </w:r>
    <w:r>
      <w:rPr>
        <w:lang w:val="zh-CN"/>
      </w:rPr>
      <w:t>36</w:t>
    </w:r>
    <w:r>
      <w:rPr>
        <w:lang w:val="zh-CN"/>
      </w:rPr>
      <w:fldChar w:fldCharType="end"/>
    </w:r>
  </w:p>
  <w:p>
    <w:pPr>
      <w:pStyle w:val="4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23" w:name="_Toc164085800"/>
    <w:bookmarkStart w:id="524" w:name="_Toc131845147"/>
    <w:bookmarkStart w:id="525" w:name="_Toc91899912"/>
    <w:bookmarkStart w:id="526" w:name="_Toc36110187"/>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3"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a:effectLst/>
                    </wps:spPr>
                    <wps:txbx>
                      <w:txbxContent>
                        <w:p>
                          <w:pPr>
                            <w:pStyle w:val="4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82</w:t>
                          </w:r>
                          <w:r>
                            <w:rPr>
                              <w:rFonts w:hint="eastAsia" w:ascii="仿宋_GB2312" w:eastAsia="仿宋_GB2312"/>
                            </w:rPr>
                            <w:fldChar w:fldCharType="end"/>
                          </w:r>
                          <w:r>
                            <w:rPr>
                              <w:rFonts w:hint="eastAsia" w:ascii="仿宋_GB2312" w:eastAsia="仿宋_GB2312"/>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hii+0QAAAAQBAAAPAAAAAAAAAAEAIAAAACIAAABk&#10;cnMvZG93bnJldi54bWxQSwECFAAUAAAACACHTuJAMEyrbtQBAAClAwAADgAAAAAAAAABACAAAAAg&#10;AQAAZHJzL2Uyb0RvYy54bWxQSwUGAAAAAAYABgBZAQAAZgUAAAAA&#10;">
              <v:fill on="f" focussize="0,0"/>
              <v:stroke on="f"/>
              <v:imagedata o:title=""/>
              <o:lock v:ext="edit" aspectratio="f"/>
              <v:textbox inset="0mm,0mm,0mm,0mm" style="mso-fit-shape-to-text:t;">
                <w:txbxContent>
                  <w:p>
                    <w:pPr>
                      <w:pStyle w:val="4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82</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pPr>
      <w:pStyle w:val="4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tabs>
        <w:tab w:val="right" w:pos="8279"/>
        <w:tab w:val="clear" w:pos="8306"/>
      </w:tabs>
      <w:jc w:val="right"/>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001"/>
      <w:lvlText w:val=""/>
      <w:lvlJc w:val="left"/>
      <w:pPr>
        <w:tabs>
          <w:tab w:val="left" w:pos="360"/>
        </w:tabs>
        <w:ind w:left="360" w:hanging="360"/>
      </w:pPr>
      <w:rPr>
        <w:rFonts w:hint="default" w:ascii="Wingdings" w:hAnsi="Wingdings"/>
      </w:rPr>
    </w:lvl>
  </w:abstractNum>
  <w:abstractNum w:abstractNumId="1">
    <w:nsid w:val="15ED9970"/>
    <w:multiLevelType w:val="singleLevel"/>
    <w:tmpl w:val="15ED9970"/>
    <w:lvl w:ilvl="0" w:tentative="0">
      <w:start w:val="1"/>
      <w:numFmt w:val="upperLetter"/>
      <w:lvlText w:val="%1."/>
      <w:lvlJc w:val="left"/>
      <w:pPr>
        <w:tabs>
          <w:tab w:val="left" w:pos="312"/>
        </w:tabs>
        <w:ind w:left="0" w:firstLine="0"/>
      </w:pPr>
    </w:lvl>
  </w:abstractNum>
  <w:abstractNum w:abstractNumId="2">
    <w:nsid w:val="18A777E8"/>
    <w:multiLevelType w:val="multilevel"/>
    <w:tmpl w:val="18A777E8"/>
    <w:lvl w:ilvl="0" w:tentative="0">
      <w:start w:val="1"/>
      <w:numFmt w:val="decimal"/>
      <w:pStyle w:val="1040"/>
      <w:suff w:val="nothing"/>
      <w:lvlText w:val="%1."/>
      <w:lvlJc w:val="left"/>
      <w:pPr>
        <w:ind w:left="0" w:firstLine="0"/>
      </w:pPr>
      <w:rPr>
        <w:rFonts w:hint="eastAsia"/>
        <w:b/>
        <w:i w:val="0"/>
        <w:sz w:val="32"/>
        <w:szCs w:val="32"/>
      </w:rPr>
    </w:lvl>
    <w:lvl w:ilvl="1" w:tentative="0">
      <w:start w:val="0"/>
      <w:numFmt w:val="decimal"/>
      <w:pStyle w:val="1000"/>
      <w:suff w:val="nothing"/>
      <w:lvlText w:val="%1.%2."/>
      <w:lvlJc w:val="left"/>
      <w:pPr>
        <w:ind w:left="380" w:hanging="380"/>
      </w:pPr>
      <w:rPr>
        <w:rFonts w:hint="eastAsia"/>
        <w:b/>
        <w:i w:val="0"/>
        <w:sz w:val="28"/>
        <w:szCs w:val="28"/>
      </w:rPr>
    </w:lvl>
    <w:lvl w:ilvl="2" w:tentative="0">
      <w:start w:val="1"/>
      <w:numFmt w:val="decimal"/>
      <w:pStyle w:val="1050"/>
      <w:suff w:val="nothing"/>
      <w:lvlText w:val="%1.%2.%3."/>
      <w:lvlJc w:val="left"/>
      <w:pPr>
        <w:ind w:left="0" w:firstLine="0"/>
      </w:pPr>
      <w:rPr>
        <w:rFonts w:hint="eastAsia"/>
        <w:b/>
        <w:i w:val="0"/>
        <w:sz w:val="24"/>
        <w:szCs w:val="24"/>
      </w:rPr>
    </w:lvl>
    <w:lvl w:ilvl="3" w:tentative="0">
      <w:start w:val="1"/>
      <w:numFmt w:val="decimal"/>
      <w:pStyle w:val="102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3">
    <w:nsid w:val="407922E3"/>
    <w:multiLevelType w:val="multilevel"/>
    <w:tmpl w:val="407922E3"/>
    <w:lvl w:ilvl="0" w:tentative="0">
      <w:start w:val="1"/>
      <w:numFmt w:val="bullet"/>
      <w:pStyle w:val="1080"/>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4">
    <w:nsid w:val="408A39E0"/>
    <w:multiLevelType w:val="multilevel"/>
    <w:tmpl w:val="408A39E0"/>
    <w:lvl w:ilvl="0" w:tentative="0">
      <w:start w:val="1"/>
      <w:numFmt w:val="chineseCountingThousand"/>
      <w:pStyle w:val="1006"/>
      <w:suff w:val="space"/>
      <w:lvlText w:val="%1."/>
      <w:lvlJc w:val="left"/>
      <w:pPr>
        <w:ind w:left="425" w:hanging="425"/>
      </w:pPr>
      <w:rPr>
        <w:rFonts w:hint="default" w:ascii="Times New Roman" w:hAnsi="Times New Roman" w:eastAsia="黑体"/>
      </w:rPr>
    </w:lvl>
    <w:lvl w:ilvl="1" w:tentative="0">
      <w:start w:val="1"/>
      <w:numFmt w:val="chineseCountingThousand"/>
      <w:pStyle w:val="1094"/>
      <w:suff w:val="space"/>
      <w:lvlText w:val="（%2）"/>
      <w:lvlJc w:val="left"/>
      <w:pPr>
        <w:ind w:left="567" w:hanging="567"/>
      </w:pPr>
      <w:rPr>
        <w:rFonts w:hint="default" w:ascii="Times New Roman" w:hAnsi="Times New Roman" w:eastAsia="黑体"/>
      </w:rPr>
    </w:lvl>
    <w:lvl w:ilvl="2" w:tentative="0">
      <w:start w:val="1"/>
      <w:numFmt w:val="decimal"/>
      <w:pStyle w:val="1062"/>
      <w:suff w:val="space"/>
      <w:lvlText w:val="%3."/>
      <w:lvlJc w:val="left"/>
      <w:pPr>
        <w:ind w:left="709" w:hanging="369"/>
      </w:pPr>
      <w:rPr>
        <w:rFonts w:hint="default" w:ascii="Times New Roman" w:hAnsi="Times New Roman" w:eastAsia="黑体"/>
      </w:rPr>
    </w:lvl>
    <w:lvl w:ilvl="3" w:tentative="0">
      <w:start w:val="1"/>
      <w:numFmt w:val="decimal"/>
      <w:pStyle w:val="1077"/>
      <w:suff w:val="space"/>
      <w:lvlText w:val="（%4）"/>
      <w:lvlJc w:val="left"/>
      <w:pPr>
        <w:ind w:left="747" w:hanging="567"/>
      </w:pPr>
      <w:rPr>
        <w:rFonts w:hint="default" w:ascii="Times New Roman" w:hAnsi="Times New Roman" w:eastAsia="黑体"/>
      </w:rPr>
    </w:lvl>
    <w:lvl w:ilvl="4" w:tentative="0">
      <w:start w:val="1"/>
      <w:numFmt w:val="lowerLetter"/>
      <w:pStyle w:val="1081"/>
      <w:suff w:val="space"/>
      <w:lvlText w:val="%5."/>
      <w:lvlJc w:val="left"/>
      <w:pPr>
        <w:ind w:left="992" w:hanging="425"/>
      </w:pPr>
      <w:rPr>
        <w:rFonts w:hint="default" w:ascii="Times New Roman" w:hAnsi="Times New Roman" w:eastAsia="黑体"/>
      </w:rPr>
    </w:lvl>
    <w:lvl w:ilvl="5" w:tentative="0">
      <w:start w:val="1"/>
      <w:numFmt w:val="lowerLetter"/>
      <w:pStyle w:val="107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CA75A52"/>
    <w:multiLevelType w:val="multilevel"/>
    <w:tmpl w:val="4CA75A52"/>
    <w:lvl w:ilvl="0" w:tentative="0">
      <w:start w:val="1"/>
      <w:numFmt w:val="decimal"/>
      <w:pStyle w:val="973"/>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6">
    <w:nsid w:val="4E332BE0"/>
    <w:multiLevelType w:val="singleLevel"/>
    <w:tmpl w:val="4E332BE0"/>
    <w:lvl w:ilvl="0" w:tentative="0">
      <w:start w:val="2"/>
      <w:numFmt w:val="upperLetter"/>
      <w:lvlText w:val="%1."/>
      <w:lvlJc w:val="left"/>
      <w:pPr>
        <w:tabs>
          <w:tab w:val="left" w:pos="312"/>
        </w:tabs>
        <w:ind w:left="0" w:firstLine="0"/>
      </w:pPr>
    </w:lvl>
  </w:abstractNum>
  <w:abstractNum w:abstractNumId="7">
    <w:nsid w:val="52485FC0"/>
    <w:multiLevelType w:val="multilevel"/>
    <w:tmpl w:val="52485FC0"/>
    <w:lvl w:ilvl="0" w:tentative="0">
      <w:start w:val="1"/>
      <w:numFmt w:val="bullet"/>
      <w:pStyle w:val="10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E2B59CD"/>
    <w:multiLevelType w:val="multilevel"/>
    <w:tmpl w:val="5E2B59CD"/>
    <w:lvl w:ilvl="0" w:tentative="0">
      <w:start w:val="1"/>
      <w:numFmt w:val="decimal"/>
      <w:pStyle w:val="1131"/>
      <w:lvlText w:val="%1."/>
      <w:lvlJc w:val="left"/>
      <w:pPr>
        <w:ind w:left="420" w:hanging="420"/>
      </w:pPr>
      <w:rPr>
        <w:rFonts w:ascii="宋体" w:hAnsi="宋体" w:eastAsia="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B74DF4"/>
    <w:multiLevelType w:val="multilevel"/>
    <w:tmpl w:val="5EB74DF4"/>
    <w:lvl w:ilvl="0" w:tentative="0">
      <w:start w:val="1"/>
      <w:numFmt w:val="bullet"/>
      <w:pStyle w:val="1095"/>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F06A90"/>
    <w:multiLevelType w:val="singleLevel"/>
    <w:tmpl w:val="64F06A90"/>
    <w:lvl w:ilvl="0" w:tentative="0">
      <w:start w:val="2"/>
      <w:numFmt w:val="chineseCounting"/>
      <w:suff w:val="nothing"/>
      <w:lvlText w:val="%1、"/>
      <w:lvlJc w:val="left"/>
      <w:pPr>
        <w:ind w:left="0" w:firstLine="0"/>
      </w:pPr>
    </w:lvl>
  </w:abstractNum>
  <w:abstractNum w:abstractNumId="11">
    <w:nsid w:val="65036913"/>
    <w:multiLevelType w:val="singleLevel"/>
    <w:tmpl w:val="65036913"/>
    <w:lvl w:ilvl="0" w:tentative="0">
      <w:start w:val="1"/>
      <w:numFmt w:val="decimal"/>
      <w:suff w:val="nothing"/>
      <w:lvlText w:val="（%1）"/>
      <w:lvlJc w:val="left"/>
      <w:pPr>
        <w:ind w:left="0" w:firstLine="0"/>
      </w:pPr>
    </w:lvl>
  </w:abstractNum>
  <w:abstractNum w:abstractNumId="12">
    <w:nsid w:val="67403E98"/>
    <w:multiLevelType w:val="singleLevel"/>
    <w:tmpl w:val="67403E98"/>
    <w:lvl w:ilvl="0" w:tentative="0">
      <w:start w:val="1"/>
      <w:numFmt w:val="bullet"/>
      <w:pStyle w:val="1057"/>
      <w:lvlText w:val=""/>
      <w:lvlJc w:val="left"/>
      <w:pPr>
        <w:tabs>
          <w:tab w:val="left" w:pos="360"/>
        </w:tabs>
        <w:ind w:left="360" w:hanging="360"/>
      </w:pPr>
      <w:rPr>
        <w:rFonts w:hint="default" w:ascii="Symbol" w:hAnsi="Symbol"/>
      </w:rPr>
    </w:lvl>
  </w:abstractNum>
  <w:abstractNum w:abstractNumId="13">
    <w:nsid w:val="7A12576E"/>
    <w:multiLevelType w:val="multilevel"/>
    <w:tmpl w:val="7A12576E"/>
    <w:lvl w:ilvl="0" w:tentative="0">
      <w:start w:val="1"/>
      <w:numFmt w:val="decimal"/>
      <w:pStyle w:val="1130"/>
      <w:lvlText w:val="%1"/>
      <w:lvlJc w:val="left"/>
      <w:pPr>
        <w:ind w:left="425" w:hanging="425"/>
      </w:pPr>
    </w:lvl>
    <w:lvl w:ilvl="1" w:tentative="0">
      <w:start w:val="1"/>
      <w:numFmt w:val="decimal"/>
      <w:pStyle w:val="1132"/>
      <w:lvlText w:val="%1.%2"/>
      <w:lvlJc w:val="left"/>
      <w:pPr>
        <w:ind w:left="992" w:hanging="567"/>
      </w:pPr>
      <w:rPr>
        <w:rFonts w:ascii="宋体" w:hAnsi="宋体" w:eastAsia="宋体"/>
        <w:b/>
        <w:bCs/>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2"/>
  </w:num>
  <w:num w:numId="6">
    <w:abstractNumId w:val="7"/>
  </w:num>
  <w:num w:numId="7">
    <w:abstractNumId w:val="3"/>
  </w:num>
  <w:num w:numId="8">
    <w:abstractNumId w:val="9"/>
  </w:num>
  <w:num w:numId="9">
    <w:abstractNumId w:val="13"/>
  </w:num>
  <w:num w:numId="10">
    <w:abstractNumId w:val="8"/>
  </w:num>
  <w:num w:numId="11">
    <w:abstractNumId w:val="11"/>
    <w:lvlOverride w:ilvl="0">
      <w:startOverride w:val="1"/>
    </w:lvlOverride>
  </w:num>
  <w:num w:numId="12">
    <w:abstractNumId w:val="10"/>
    <w:lvlOverride w:ilvl="0">
      <w:startOverride w:val="2"/>
    </w:lvlOverride>
  </w:num>
  <w:num w:numId="13">
    <w:abstractNumId w:val="1"/>
    <w:lvlOverride w:ilvl="0">
      <w:startOverride w:val="1"/>
    </w:lvlOverride>
  </w:num>
  <w:num w:numId="14">
    <w:abstractNumId w:val="6"/>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2C7B"/>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215"/>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114"/>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2D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43"/>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5B9"/>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08F3"/>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C5"/>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6FF8"/>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5F2"/>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C97"/>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C4"/>
    <w:rsid w:val="00C357CA"/>
    <w:rsid w:val="00C35EED"/>
    <w:rsid w:val="00C36B2C"/>
    <w:rsid w:val="00C3701A"/>
    <w:rsid w:val="00C379EF"/>
    <w:rsid w:val="00C405C8"/>
    <w:rsid w:val="00C40C2F"/>
    <w:rsid w:val="00C415AC"/>
    <w:rsid w:val="00C42492"/>
    <w:rsid w:val="00C4297A"/>
    <w:rsid w:val="00C4360C"/>
    <w:rsid w:val="00C439B8"/>
    <w:rsid w:val="00C43A0B"/>
    <w:rsid w:val="00C43C25"/>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395"/>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6C6"/>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3538"/>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4F6641"/>
    <w:rsid w:val="01553334"/>
    <w:rsid w:val="01695955"/>
    <w:rsid w:val="019F7441"/>
    <w:rsid w:val="01B37585"/>
    <w:rsid w:val="01D55165"/>
    <w:rsid w:val="01DF6BF8"/>
    <w:rsid w:val="01EC2C57"/>
    <w:rsid w:val="024254B7"/>
    <w:rsid w:val="026B2E25"/>
    <w:rsid w:val="02824C55"/>
    <w:rsid w:val="02824D4D"/>
    <w:rsid w:val="02DC4B10"/>
    <w:rsid w:val="02DD76CE"/>
    <w:rsid w:val="02E64D83"/>
    <w:rsid w:val="02F36323"/>
    <w:rsid w:val="02F5619C"/>
    <w:rsid w:val="031A67DB"/>
    <w:rsid w:val="0326446A"/>
    <w:rsid w:val="032D5555"/>
    <w:rsid w:val="036634D2"/>
    <w:rsid w:val="036964FC"/>
    <w:rsid w:val="037405E1"/>
    <w:rsid w:val="03795BF7"/>
    <w:rsid w:val="038D16A3"/>
    <w:rsid w:val="039842CF"/>
    <w:rsid w:val="03A52548"/>
    <w:rsid w:val="03B919A3"/>
    <w:rsid w:val="03DB1E2E"/>
    <w:rsid w:val="03DC6EBA"/>
    <w:rsid w:val="03DD35E4"/>
    <w:rsid w:val="04076900"/>
    <w:rsid w:val="04106CF5"/>
    <w:rsid w:val="041A5A3B"/>
    <w:rsid w:val="042311BA"/>
    <w:rsid w:val="042B157A"/>
    <w:rsid w:val="042C4A18"/>
    <w:rsid w:val="048900BC"/>
    <w:rsid w:val="048F763B"/>
    <w:rsid w:val="049F330E"/>
    <w:rsid w:val="04A46CA4"/>
    <w:rsid w:val="04A9250C"/>
    <w:rsid w:val="04AA775C"/>
    <w:rsid w:val="04AF1889"/>
    <w:rsid w:val="04C35575"/>
    <w:rsid w:val="04F66F48"/>
    <w:rsid w:val="05251E14"/>
    <w:rsid w:val="054214E7"/>
    <w:rsid w:val="05453FE3"/>
    <w:rsid w:val="054933A7"/>
    <w:rsid w:val="05754FEB"/>
    <w:rsid w:val="059E1945"/>
    <w:rsid w:val="05A16594"/>
    <w:rsid w:val="05A7762D"/>
    <w:rsid w:val="05CD222A"/>
    <w:rsid w:val="05EE467B"/>
    <w:rsid w:val="060E5941"/>
    <w:rsid w:val="06110FAF"/>
    <w:rsid w:val="063876A4"/>
    <w:rsid w:val="06493CA7"/>
    <w:rsid w:val="064F4EB3"/>
    <w:rsid w:val="065A6178"/>
    <w:rsid w:val="065B7836"/>
    <w:rsid w:val="066F1CF3"/>
    <w:rsid w:val="067D155B"/>
    <w:rsid w:val="0680729D"/>
    <w:rsid w:val="06930BB8"/>
    <w:rsid w:val="069C40D7"/>
    <w:rsid w:val="06D867B3"/>
    <w:rsid w:val="06F757B1"/>
    <w:rsid w:val="0724462F"/>
    <w:rsid w:val="07245D42"/>
    <w:rsid w:val="07264C62"/>
    <w:rsid w:val="07322345"/>
    <w:rsid w:val="075E313A"/>
    <w:rsid w:val="0779354C"/>
    <w:rsid w:val="07D77390"/>
    <w:rsid w:val="08061376"/>
    <w:rsid w:val="08283748"/>
    <w:rsid w:val="082D7A30"/>
    <w:rsid w:val="083245C7"/>
    <w:rsid w:val="0834015A"/>
    <w:rsid w:val="08452D77"/>
    <w:rsid w:val="086401F8"/>
    <w:rsid w:val="0865499C"/>
    <w:rsid w:val="08751CAA"/>
    <w:rsid w:val="087E4C40"/>
    <w:rsid w:val="087F5A5E"/>
    <w:rsid w:val="08843074"/>
    <w:rsid w:val="08AE00F1"/>
    <w:rsid w:val="08D66AD6"/>
    <w:rsid w:val="08DA33A3"/>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B80F59"/>
    <w:rsid w:val="09C13146"/>
    <w:rsid w:val="09DE67B4"/>
    <w:rsid w:val="09E04166"/>
    <w:rsid w:val="09F379B4"/>
    <w:rsid w:val="09F45D75"/>
    <w:rsid w:val="0A1026E6"/>
    <w:rsid w:val="0A1C0718"/>
    <w:rsid w:val="0A3E7710"/>
    <w:rsid w:val="0A4F76B2"/>
    <w:rsid w:val="0A5B7E63"/>
    <w:rsid w:val="0A6C2CA6"/>
    <w:rsid w:val="0A7315F2"/>
    <w:rsid w:val="0A753B5A"/>
    <w:rsid w:val="0A7964DD"/>
    <w:rsid w:val="0A984BB5"/>
    <w:rsid w:val="0AA374A5"/>
    <w:rsid w:val="0AAB7649"/>
    <w:rsid w:val="0AB41BBB"/>
    <w:rsid w:val="0ABC5606"/>
    <w:rsid w:val="0AC84F38"/>
    <w:rsid w:val="0AE0655C"/>
    <w:rsid w:val="0B1F7084"/>
    <w:rsid w:val="0B30404E"/>
    <w:rsid w:val="0B4C6C14"/>
    <w:rsid w:val="0B631A88"/>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E2B10"/>
    <w:rsid w:val="0CF83E33"/>
    <w:rsid w:val="0CFA3905"/>
    <w:rsid w:val="0CFE707A"/>
    <w:rsid w:val="0CFF0F1B"/>
    <w:rsid w:val="0D063BDA"/>
    <w:rsid w:val="0D08375F"/>
    <w:rsid w:val="0D184CFB"/>
    <w:rsid w:val="0D2615BF"/>
    <w:rsid w:val="0D402C67"/>
    <w:rsid w:val="0D4A7419"/>
    <w:rsid w:val="0D5079C9"/>
    <w:rsid w:val="0D827401"/>
    <w:rsid w:val="0D84094E"/>
    <w:rsid w:val="0D8A00E9"/>
    <w:rsid w:val="0D8D589E"/>
    <w:rsid w:val="0DA01C73"/>
    <w:rsid w:val="0DD01299"/>
    <w:rsid w:val="0DD63300"/>
    <w:rsid w:val="0DE76D11"/>
    <w:rsid w:val="0DF50604"/>
    <w:rsid w:val="0DF702FE"/>
    <w:rsid w:val="0DF91E0E"/>
    <w:rsid w:val="0E060E51"/>
    <w:rsid w:val="0E06277D"/>
    <w:rsid w:val="0E0B7911"/>
    <w:rsid w:val="0E2D7D0A"/>
    <w:rsid w:val="0E3F53C1"/>
    <w:rsid w:val="0E41110E"/>
    <w:rsid w:val="0E5434E9"/>
    <w:rsid w:val="0E5604B2"/>
    <w:rsid w:val="0E6D5D79"/>
    <w:rsid w:val="0E8611C8"/>
    <w:rsid w:val="0E9D0089"/>
    <w:rsid w:val="0EB803EE"/>
    <w:rsid w:val="0ECD1040"/>
    <w:rsid w:val="0EF94D4B"/>
    <w:rsid w:val="0F317386"/>
    <w:rsid w:val="0F4958DC"/>
    <w:rsid w:val="0F515DF7"/>
    <w:rsid w:val="0F596BA8"/>
    <w:rsid w:val="0F6248D2"/>
    <w:rsid w:val="0F693536"/>
    <w:rsid w:val="0F7B0511"/>
    <w:rsid w:val="0F7B76D9"/>
    <w:rsid w:val="0F816ACD"/>
    <w:rsid w:val="0F8B4CE8"/>
    <w:rsid w:val="0F954689"/>
    <w:rsid w:val="0F9832DB"/>
    <w:rsid w:val="0FAC2EB1"/>
    <w:rsid w:val="0FAC7FAE"/>
    <w:rsid w:val="0FBD6E6C"/>
    <w:rsid w:val="0FBF3FD2"/>
    <w:rsid w:val="0FBF7FF3"/>
    <w:rsid w:val="0FF56606"/>
    <w:rsid w:val="0FF87EA4"/>
    <w:rsid w:val="100E76C7"/>
    <w:rsid w:val="10565BE7"/>
    <w:rsid w:val="10646583"/>
    <w:rsid w:val="107D4B15"/>
    <w:rsid w:val="108A3C80"/>
    <w:rsid w:val="10C26171"/>
    <w:rsid w:val="10EC7ECE"/>
    <w:rsid w:val="10F33360"/>
    <w:rsid w:val="10FC16EA"/>
    <w:rsid w:val="110A60E1"/>
    <w:rsid w:val="110F1D40"/>
    <w:rsid w:val="1123275F"/>
    <w:rsid w:val="11266F33"/>
    <w:rsid w:val="118963A1"/>
    <w:rsid w:val="119F5E4B"/>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2F9465F"/>
    <w:rsid w:val="12FE7EC7"/>
    <w:rsid w:val="13072A44"/>
    <w:rsid w:val="1323348A"/>
    <w:rsid w:val="135F4BE2"/>
    <w:rsid w:val="13612EE0"/>
    <w:rsid w:val="13781A27"/>
    <w:rsid w:val="139B1A0A"/>
    <w:rsid w:val="139D25C7"/>
    <w:rsid w:val="13AE17A5"/>
    <w:rsid w:val="13BF3CE4"/>
    <w:rsid w:val="13D907A0"/>
    <w:rsid w:val="13D92723"/>
    <w:rsid w:val="13FF3EF7"/>
    <w:rsid w:val="141008D8"/>
    <w:rsid w:val="14125FE6"/>
    <w:rsid w:val="14237BE5"/>
    <w:rsid w:val="14445DAD"/>
    <w:rsid w:val="146D271E"/>
    <w:rsid w:val="146E6986"/>
    <w:rsid w:val="146F2E2A"/>
    <w:rsid w:val="148B2441"/>
    <w:rsid w:val="148D1503"/>
    <w:rsid w:val="14982588"/>
    <w:rsid w:val="149A5AD9"/>
    <w:rsid w:val="14A7619D"/>
    <w:rsid w:val="14E54E9B"/>
    <w:rsid w:val="14F66BCA"/>
    <w:rsid w:val="150536C3"/>
    <w:rsid w:val="150C1963"/>
    <w:rsid w:val="151447A0"/>
    <w:rsid w:val="154A6454"/>
    <w:rsid w:val="15762120"/>
    <w:rsid w:val="157B135B"/>
    <w:rsid w:val="15A44D56"/>
    <w:rsid w:val="15B80845"/>
    <w:rsid w:val="15F07F2D"/>
    <w:rsid w:val="160C28FB"/>
    <w:rsid w:val="16287735"/>
    <w:rsid w:val="1630359F"/>
    <w:rsid w:val="16513DF6"/>
    <w:rsid w:val="16A8729C"/>
    <w:rsid w:val="16B33777"/>
    <w:rsid w:val="16BC70A7"/>
    <w:rsid w:val="16C6339E"/>
    <w:rsid w:val="16EB690D"/>
    <w:rsid w:val="16F2564D"/>
    <w:rsid w:val="172F2D79"/>
    <w:rsid w:val="173E0892"/>
    <w:rsid w:val="175400B6"/>
    <w:rsid w:val="17557BEF"/>
    <w:rsid w:val="17A01BA4"/>
    <w:rsid w:val="17D349C1"/>
    <w:rsid w:val="18194E5B"/>
    <w:rsid w:val="181F6915"/>
    <w:rsid w:val="18226406"/>
    <w:rsid w:val="1830729E"/>
    <w:rsid w:val="18404C72"/>
    <w:rsid w:val="18552337"/>
    <w:rsid w:val="1870062C"/>
    <w:rsid w:val="18817102"/>
    <w:rsid w:val="18822A00"/>
    <w:rsid w:val="18830A15"/>
    <w:rsid w:val="18852B28"/>
    <w:rsid w:val="188B5321"/>
    <w:rsid w:val="188D1DDB"/>
    <w:rsid w:val="18E65685"/>
    <w:rsid w:val="18ED07C2"/>
    <w:rsid w:val="18F03E0E"/>
    <w:rsid w:val="190478B9"/>
    <w:rsid w:val="19215EC6"/>
    <w:rsid w:val="192C753C"/>
    <w:rsid w:val="19902620"/>
    <w:rsid w:val="19932372"/>
    <w:rsid w:val="19940109"/>
    <w:rsid w:val="19A20DD5"/>
    <w:rsid w:val="19AE03F1"/>
    <w:rsid w:val="19B04509"/>
    <w:rsid w:val="19BB08C0"/>
    <w:rsid w:val="1A071A03"/>
    <w:rsid w:val="1A1F16AE"/>
    <w:rsid w:val="1A292BC4"/>
    <w:rsid w:val="1A3B5C77"/>
    <w:rsid w:val="1A3C2F9B"/>
    <w:rsid w:val="1A6654C7"/>
    <w:rsid w:val="1A693E78"/>
    <w:rsid w:val="1A8C5DB8"/>
    <w:rsid w:val="1A984BAD"/>
    <w:rsid w:val="1AA50C28"/>
    <w:rsid w:val="1AB8220E"/>
    <w:rsid w:val="1AD0039B"/>
    <w:rsid w:val="1AE4166C"/>
    <w:rsid w:val="1AF06CFB"/>
    <w:rsid w:val="1AF11B8D"/>
    <w:rsid w:val="1B11359C"/>
    <w:rsid w:val="1B2A271F"/>
    <w:rsid w:val="1B530544"/>
    <w:rsid w:val="1B713184"/>
    <w:rsid w:val="1BA209CF"/>
    <w:rsid w:val="1BB4777D"/>
    <w:rsid w:val="1BB9498B"/>
    <w:rsid w:val="1BC82E20"/>
    <w:rsid w:val="1BD6235B"/>
    <w:rsid w:val="1BD75AB8"/>
    <w:rsid w:val="1BE10978"/>
    <w:rsid w:val="1BE33060"/>
    <w:rsid w:val="1BF63E31"/>
    <w:rsid w:val="1BFA6E7C"/>
    <w:rsid w:val="1C0459C2"/>
    <w:rsid w:val="1C1B3B4A"/>
    <w:rsid w:val="1C550B58"/>
    <w:rsid w:val="1C6A7557"/>
    <w:rsid w:val="1C766D20"/>
    <w:rsid w:val="1C88086E"/>
    <w:rsid w:val="1CF13BAC"/>
    <w:rsid w:val="1D266CE1"/>
    <w:rsid w:val="1D322C47"/>
    <w:rsid w:val="1D326B6C"/>
    <w:rsid w:val="1D3963AF"/>
    <w:rsid w:val="1D4D0C4F"/>
    <w:rsid w:val="1D6A673C"/>
    <w:rsid w:val="1D7E5E8C"/>
    <w:rsid w:val="1D9247AE"/>
    <w:rsid w:val="1DB567EC"/>
    <w:rsid w:val="1DBC69B5"/>
    <w:rsid w:val="1DF51A98"/>
    <w:rsid w:val="1E031CD3"/>
    <w:rsid w:val="1E193E07"/>
    <w:rsid w:val="1E262080"/>
    <w:rsid w:val="1E3D060F"/>
    <w:rsid w:val="1E3F7D2E"/>
    <w:rsid w:val="1E4134E4"/>
    <w:rsid w:val="1E5062B3"/>
    <w:rsid w:val="1E523514"/>
    <w:rsid w:val="1E714A66"/>
    <w:rsid w:val="1E802593"/>
    <w:rsid w:val="1EA703CC"/>
    <w:rsid w:val="1EB7330C"/>
    <w:rsid w:val="1EC41FC5"/>
    <w:rsid w:val="1EC71AB5"/>
    <w:rsid w:val="1F0A0FF3"/>
    <w:rsid w:val="1F0C74C8"/>
    <w:rsid w:val="1F110FFB"/>
    <w:rsid w:val="1F3709E9"/>
    <w:rsid w:val="1F3A34CF"/>
    <w:rsid w:val="1F533349"/>
    <w:rsid w:val="1F5771FF"/>
    <w:rsid w:val="1F90221B"/>
    <w:rsid w:val="1FAA11BB"/>
    <w:rsid w:val="1FCB2F6E"/>
    <w:rsid w:val="1FE44DFB"/>
    <w:rsid w:val="1FE868A9"/>
    <w:rsid w:val="1FFC12EA"/>
    <w:rsid w:val="20034907"/>
    <w:rsid w:val="20173E4B"/>
    <w:rsid w:val="201900EE"/>
    <w:rsid w:val="204E48BC"/>
    <w:rsid w:val="20692E24"/>
    <w:rsid w:val="20743577"/>
    <w:rsid w:val="207F1A00"/>
    <w:rsid w:val="208921B3"/>
    <w:rsid w:val="20973DEB"/>
    <w:rsid w:val="20A0611A"/>
    <w:rsid w:val="20A53730"/>
    <w:rsid w:val="20B26522"/>
    <w:rsid w:val="20B44310"/>
    <w:rsid w:val="20CF46BB"/>
    <w:rsid w:val="20E3772A"/>
    <w:rsid w:val="20F070A1"/>
    <w:rsid w:val="20F4271B"/>
    <w:rsid w:val="21093CBF"/>
    <w:rsid w:val="211116EB"/>
    <w:rsid w:val="21182154"/>
    <w:rsid w:val="21364C7D"/>
    <w:rsid w:val="21505D92"/>
    <w:rsid w:val="215869F4"/>
    <w:rsid w:val="215B0293"/>
    <w:rsid w:val="216133FC"/>
    <w:rsid w:val="21747CD2"/>
    <w:rsid w:val="21A734D8"/>
    <w:rsid w:val="21B26104"/>
    <w:rsid w:val="21C53505"/>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2C95DFC"/>
    <w:rsid w:val="22D060B5"/>
    <w:rsid w:val="22FF181D"/>
    <w:rsid w:val="23030CDE"/>
    <w:rsid w:val="23177B5C"/>
    <w:rsid w:val="233500BF"/>
    <w:rsid w:val="23377FF7"/>
    <w:rsid w:val="23580F2E"/>
    <w:rsid w:val="23694EE9"/>
    <w:rsid w:val="236B425F"/>
    <w:rsid w:val="23836192"/>
    <w:rsid w:val="23901F29"/>
    <w:rsid w:val="239C0061"/>
    <w:rsid w:val="239F6B5C"/>
    <w:rsid w:val="23A506E3"/>
    <w:rsid w:val="23A65979"/>
    <w:rsid w:val="23B908A4"/>
    <w:rsid w:val="23D700A4"/>
    <w:rsid w:val="23D72F9E"/>
    <w:rsid w:val="23E95BEF"/>
    <w:rsid w:val="23F83815"/>
    <w:rsid w:val="23FD0064"/>
    <w:rsid w:val="240A66CC"/>
    <w:rsid w:val="24132A7F"/>
    <w:rsid w:val="24172B97"/>
    <w:rsid w:val="241D002B"/>
    <w:rsid w:val="241E2177"/>
    <w:rsid w:val="24204F2D"/>
    <w:rsid w:val="245375B0"/>
    <w:rsid w:val="24642C0A"/>
    <w:rsid w:val="24763D61"/>
    <w:rsid w:val="24874433"/>
    <w:rsid w:val="24B22173"/>
    <w:rsid w:val="24B95AD9"/>
    <w:rsid w:val="24BE24DA"/>
    <w:rsid w:val="24CF5825"/>
    <w:rsid w:val="24D663E6"/>
    <w:rsid w:val="24D77F2B"/>
    <w:rsid w:val="24E24F53"/>
    <w:rsid w:val="25113A8A"/>
    <w:rsid w:val="25535E50"/>
    <w:rsid w:val="25897AC4"/>
    <w:rsid w:val="258B00E2"/>
    <w:rsid w:val="25A917A6"/>
    <w:rsid w:val="25B57709"/>
    <w:rsid w:val="25BE27CC"/>
    <w:rsid w:val="25D52D09"/>
    <w:rsid w:val="25DC4098"/>
    <w:rsid w:val="25F74A5C"/>
    <w:rsid w:val="2628662C"/>
    <w:rsid w:val="262D45DE"/>
    <w:rsid w:val="2632283B"/>
    <w:rsid w:val="26A53EF9"/>
    <w:rsid w:val="26A94201"/>
    <w:rsid w:val="26AC274F"/>
    <w:rsid w:val="26AF70B6"/>
    <w:rsid w:val="26B807B0"/>
    <w:rsid w:val="26C97003"/>
    <w:rsid w:val="26F251F5"/>
    <w:rsid w:val="27044A29"/>
    <w:rsid w:val="270A253F"/>
    <w:rsid w:val="271D34C8"/>
    <w:rsid w:val="276142BF"/>
    <w:rsid w:val="27783712"/>
    <w:rsid w:val="27907362"/>
    <w:rsid w:val="27913E4E"/>
    <w:rsid w:val="27A058A9"/>
    <w:rsid w:val="27BA3F65"/>
    <w:rsid w:val="281713B7"/>
    <w:rsid w:val="2826784C"/>
    <w:rsid w:val="282A4DA0"/>
    <w:rsid w:val="28333E1D"/>
    <w:rsid w:val="28454BD6"/>
    <w:rsid w:val="28455253"/>
    <w:rsid w:val="28551971"/>
    <w:rsid w:val="285B1C53"/>
    <w:rsid w:val="287F0D0A"/>
    <w:rsid w:val="288107A0"/>
    <w:rsid w:val="289F7086"/>
    <w:rsid w:val="28B906C0"/>
    <w:rsid w:val="28C32028"/>
    <w:rsid w:val="28CC490F"/>
    <w:rsid w:val="28DE40AA"/>
    <w:rsid w:val="28F65471"/>
    <w:rsid w:val="29097BDD"/>
    <w:rsid w:val="29345E77"/>
    <w:rsid w:val="294C65AD"/>
    <w:rsid w:val="295F172B"/>
    <w:rsid w:val="29606D8E"/>
    <w:rsid w:val="29657F00"/>
    <w:rsid w:val="29806583"/>
    <w:rsid w:val="298B3C4C"/>
    <w:rsid w:val="29E67293"/>
    <w:rsid w:val="29EE439A"/>
    <w:rsid w:val="29F26D24"/>
    <w:rsid w:val="29FC1495"/>
    <w:rsid w:val="29FD3F79"/>
    <w:rsid w:val="2A15033F"/>
    <w:rsid w:val="2A1662C1"/>
    <w:rsid w:val="2A1C7367"/>
    <w:rsid w:val="2A2815FA"/>
    <w:rsid w:val="2A6D6092"/>
    <w:rsid w:val="2A7D76B4"/>
    <w:rsid w:val="2A832D34"/>
    <w:rsid w:val="2B05199B"/>
    <w:rsid w:val="2B0E4E0A"/>
    <w:rsid w:val="2B154E7E"/>
    <w:rsid w:val="2B3D7387"/>
    <w:rsid w:val="2B400C25"/>
    <w:rsid w:val="2B437463"/>
    <w:rsid w:val="2B512E32"/>
    <w:rsid w:val="2B7807EE"/>
    <w:rsid w:val="2B9D1BD3"/>
    <w:rsid w:val="2BB67139"/>
    <w:rsid w:val="2BBF00EC"/>
    <w:rsid w:val="2BC37CFD"/>
    <w:rsid w:val="2BD42700"/>
    <w:rsid w:val="2BD5237F"/>
    <w:rsid w:val="2BE536CE"/>
    <w:rsid w:val="2BE758D9"/>
    <w:rsid w:val="2BFF63EA"/>
    <w:rsid w:val="2C09049E"/>
    <w:rsid w:val="2C0A653C"/>
    <w:rsid w:val="2C191F85"/>
    <w:rsid w:val="2C1B0D4A"/>
    <w:rsid w:val="2C300C99"/>
    <w:rsid w:val="2C377159"/>
    <w:rsid w:val="2C697D08"/>
    <w:rsid w:val="2C8C21BF"/>
    <w:rsid w:val="2CA00170"/>
    <w:rsid w:val="2CE82D6F"/>
    <w:rsid w:val="2D19172E"/>
    <w:rsid w:val="2D1C4D7A"/>
    <w:rsid w:val="2D2C0080"/>
    <w:rsid w:val="2D343236"/>
    <w:rsid w:val="2D947603"/>
    <w:rsid w:val="2DA134D1"/>
    <w:rsid w:val="2DA51213"/>
    <w:rsid w:val="2DD15014"/>
    <w:rsid w:val="2DEE76CE"/>
    <w:rsid w:val="2DF72DE4"/>
    <w:rsid w:val="2DFA3D69"/>
    <w:rsid w:val="2DFB52D7"/>
    <w:rsid w:val="2E0220AF"/>
    <w:rsid w:val="2E0C5B36"/>
    <w:rsid w:val="2E1F2D74"/>
    <w:rsid w:val="2E304F81"/>
    <w:rsid w:val="2E3D58F0"/>
    <w:rsid w:val="2E4B082A"/>
    <w:rsid w:val="2E5D4E86"/>
    <w:rsid w:val="2E5D790B"/>
    <w:rsid w:val="2E9A3C18"/>
    <w:rsid w:val="2EB536D8"/>
    <w:rsid w:val="2EBB0FEE"/>
    <w:rsid w:val="2EC63002"/>
    <w:rsid w:val="2EE10459"/>
    <w:rsid w:val="2EE8585B"/>
    <w:rsid w:val="2EED10C4"/>
    <w:rsid w:val="2F0A6B38"/>
    <w:rsid w:val="2F3E6A9F"/>
    <w:rsid w:val="2F416D1A"/>
    <w:rsid w:val="2F5B427F"/>
    <w:rsid w:val="2F7610B9"/>
    <w:rsid w:val="2F813E65"/>
    <w:rsid w:val="2F882B9B"/>
    <w:rsid w:val="2F946CCB"/>
    <w:rsid w:val="2F961EA5"/>
    <w:rsid w:val="2FB3142C"/>
    <w:rsid w:val="2FD25781"/>
    <w:rsid w:val="2FEF2C1A"/>
    <w:rsid w:val="2FF56CFE"/>
    <w:rsid w:val="2FFD7934"/>
    <w:rsid w:val="30077F63"/>
    <w:rsid w:val="30733ACD"/>
    <w:rsid w:val="308C2216"/>
    <w:rsid w:val="308C3862"/>
    <w:rsid w:val="309379D8"/>
    <w:rsid w:val="30A270F7"/>
    <w:rsid w:val="30B11C7D"/>
    <w:rsid w:val="30B24F6F"/>
    <w:rsid w:val="30DF1478"/>
    <w:rsid w:val="30EC586F"/>
    <w:rsid w:val="30FF6E8C"/>
    <w:rsid w:val="312834D6"/>
    <w:rsid w:val="312B1A2F"/>
    <w:rsid w:val="314D409C"/>
    <w:rsid w:val="317A392D"/>
    <w:rsid w:val="318850D4"/>
    <w:rsid w:val="318D2823"/>
    <w:rsid w:val="319C6071"/>
    <w:rsid w:val="319D5FF9"/>
    <w:rsid w:val="31AC537E"/>
    <w:rsid w:val="31AD4B3A"/>
    <w:rsid w:val="31D16A7B"/>
    <w:rsid w:val="31DB75CF"/>
    <w:rsid w:val="31E3679B"/>
    <w:rsid w:val="31E732FD"/>
    <w:rsid w:val="32517576"/>
    <w:rsid w:val="325D030E"/>
    <w:rsid w:val="32A93554"/>
    <w:rsid w:val="32AC6BA0"/>
    <w:rsid w:val="32BE5C2C"/>
    <w:rsid w:val="32DD144F"/>
    <w:rsid w:val="32EB76C8"/>
    <w:rsid w:val="32FB6478"/>
    <w:rsid w:val="330D3AE3"/>
    <w:rsid w:val="33263B3F"/>
    <w:rsid w:val="336963EB"/>
    <w:rsid w:val="33816EEB"/>
    <w:rsid w:val="33EB55CD"/>
    <w:rsid w:val="33EB5FF3"/>
    <w:rsid w:val="33EC4C02"/>
    <w:rsid w:val="34076784"/>
    <w:rsid w:val="340D2360"/>
    <w:rsid w:val="3410665D"/>
    <w:rsid w:val="34211214"/>
    <w:rsid w:val="342C1DFE"/>
    <w:rsid w:val="342E63AB"/>
    <w:rsid w:val="34321327"/>
    <w:rsid w:val="348F22D5"/>
    <w:rsid w:val="3491604D"/>
    <w:rsid w:val="34945B3E"/>
    <w:rsid w:val="34950E68"/>
    <w:rsid w:val="34986E94"/>
    <w:rsid w:val="34A75871"/>
    <w:rsid w:val="34A96D83"/>
    <w:rsid w:val="34AF62C9"/>
    <w:rsid w:val="34CB4388"/>
    <w:rsid w:val="34FA6E12"/>
    <w:rsid w:val="3509652C"/>
    <w:rsid w:val="352769B2"/>
    <w:rsid w:val="35411821"/>
    <w:rsid w:val="358D5588"/>
    <w:rsid w:val="359978AF"/>
    <w:rsid w:val="35B674B1"/>
    <w:rsid w:val="35D501BC"/>
    <w:rsid w:val="35FC1BEC"/>
    <w:rsid w:val="35FD055A"/>
    <w:rsid w:val="35FE5964"/>
    <w:rsid w:val="362D7FF8"/>
    <w:rsid w:val="362E270D"/>
    <w:rsid w:val="36341386"/>
    <w:rsid w:val="363A3B40"/>
    <w:rsid w:val="36486BE0"/>
    <w:rsid w:val="364A6DFC"/>
    <w:rsid w:val="365302AE"/>
    <w:rsid w:val="36607A0A"/>
    <w:rsid w:val="366E227C"/>
    <w:rsid w:val="366F2E0D"/>
    <w:rsid w:val="367B6A5C"/>
    <w:rsid w:val="36851EA9"/>
    <w:rsid w:val="369260AD"/>
    <w:rsid w:val="369C7E46"/>
    <w:rsid w:val="36A1780F"/>
    <w:rsid w:val="36A74ADA"/>
    <w:rsid w:val="36AD60D5"/>
    <w:rsid w:val="36B224F9"/>
    <w:rsid w:val="36EC0CC9"/>
    <w:rsid w:val="372F1B4E"/>
    <w:rsid w:val="373F410B"/>
    <w:rsid w:val="374970B3"/>
    <w:rsid w:val="37A4253C"/>
    <w:rsid w:val="37B15364"/>
    <w:rsid w:val="37CB366D"/>
    <w:rsid w:val="37D20E57"/>
    <w:rsid w:val="37D526F5"/>
    <w:rsid w:val="37EE7094"/>
    <w:rsid w:val="380D6333"/>
    <w:rsid w:val="38144126"/>
    <w:rsid w:val="381C0324"/>
    <w:rsid w:val="38296C89"/>
    <w:rsid w:val="383002EB"/>
    <w:rsid w:val="38341B11"/>
    <w:rsid w:val="38367638"/>
    <w:rsid w:val="38586797"/>
    <w:rsid w:val="38BC0149"/>
    <w:rsid w:val="38D87D1C"/>
    <w:rsid w:val="38DD7AB3"/>
    <w:rsid w:val="395869F8"/>
    <w:rsid w:val="39636459"/>
    <w:rsid w:val="396B7F6C"/>
    <w:rsid w:val="39B417A9"/>
    <w:rsid w:val="39BD07F0"/>
    <w:rsid w:val="39F2758E"/>
    <w:rsid w:val="39F94DC1"/>
    <w:rsid w:val="39FC040D"/>
    <w:rsid w:val="39FC5695"/>
    <w:rsid w:val="3A006D8E"/>
    <w:rsid w:val="3A080B60"/>
    <w:rsid w:val="3A12378C"/>
    <w:rsid w:val="3A151CD7"/>
    <w:rsid w:val="3A2B0CF2"/>
    <w:rsid w:val="3A3651E5"/>
    <w:rsid w:val="3A6B10EF"/>
    <w:rsid w:val="3A742699"/>
    <w:rsid w:val="3A744481"/>
    <w:rsid w:val="3A8C7BEF"/>
    <w:rsid w:val="3A906246"/>
    <w:rsid w:val="3A9471DC"/>
    <w:rsid w:val="3A9814D2"/>
    <w:rsid w:val="3AC0143A"/>
    <w:rsid w:val="3AF439F8"/>
    <w:rsid w:val="3B2349B7"/>
    <w:rsid w:val="3B616CFF"/>
    <w:rsid w:val="3B6259F6"/>
    <w:rsid w:val="3B8E7E80"/>
    <w:rsid w:val="3B976654"/>
    <w:rsid w:val="3BC01EFC"/>
    <w:rsid w:val="3BC739C8"/>
    <w:rsid w:val="3BCA786A"/>
    <w:rsid w:val="3BD31E2F"/>
    <w:rsid w:val="3BE9676F"/>
    <w:rsid w:val="3BF15831"/>
    <w:rsid w:val="3BFA6BCE"/>
    <w:rsid w:val="3BFB2296"/>
    <w:rsid w:val="3C105946"/>
    <w:rsid w:val="3C471448"/>
    <w:rsid w:val="3C5F6A31"/>
    <w:rsid w:val="3C5F759A"/>
    <w:rsid w:val="3C600921"/>
    <w:rsid w:val="3C6C525A"/>
    <w:rsid w:val="3C985F5B"/>
    <w:rsid w:val="3CCE23CB"/>
    <w:rsid w:val="3CD17D17"/>
    <w:rsid w:val="3D211F38"/>
    <w:rsid w:val="3D251AA9"/>
    <w:rsid w:val="3D2E4D81"/>
    <w:rsid w:val="3D3C7F39"/>
    <w:rsid w:val="3D440F09"/>
    <w:rsid w:val="3D4504A0"/>
    <w:rsid w:val="3D8734BB"/>
    <w:rsid w:val="3D9A11D4"/>
    <w:rsid w:val="3DA16D89"/>
    <w:rsid w:val="3DA364BE"/>
    <w:rsid w:val="3DA74B34"/>
    <w:rsid w:val="3DC47494"/>
    <w:rsid w:val="3DE041CB"/>
    <w:rsid w:val="3DEC0798"/>
    <w:rsid w:val="3E0D48F6"/>
    <w:rsid w:val="3E1868B4"/>
    <w:rsid w:val="3E377251"/>
    <w:rsid w:val="3E42664B"/>
    <w:rsid w:val="3E5A7334"/>
    <w:rsid w:val="3E704F26"/>
    <w:rsid w:val="3E7B5D6B"/>
    <w:rsid w:val="3E7E7642"/>
    <w:rsid w:val="3E843E66"/>
    <w:rsid w:val="3E894239"/>
    <w:rsid w:val="3E8F1850"/>
    <w:rsid w:val="3E8F51FE"/>
    <w:rsid w:val="3E926F87"/>
    <w:rsid w:val="3E9A59DE"/>
    <w:rsid w:val="3EA909A9"/>
    <w:rsid w:val="3EAF4836"/>
    <w:rsid w:val="3EC33DFA"/>
    <w:rsid w:val="3F060E16"/>
    <w:rsid w:val="3F1D1096"/>
    <w:rsid w:val="3F2006FA"/>
    <w:rsid w:val="3F2F0234"/>
    <w:rsid w:val="3F32042D"/>
    <w:rsid w:val="3F347E77"/>
    <w:rsid w:val="3F444B93"/>
    <w:rsid w:val="3F6363FE"/>
    <w:rsid w:val="3F756B8F"/>
    <w:rsid w:val="3F79605C"/>
    <w:rsid w:val="3F95482B"/>
    <w:rsid w:val="3FB93F10"/>
    <w:rsid w:val="3FF43934"/>
    <w:rsid w:val="4019356B"/>
    <w:rsid w:val="40592157"/>
    <w:rsid w:val="406E1CAE"/>
    <w:rsid w:val="4070745F"/>
    <w:rsid w:val="407A0E6B"/>
    <w:rsid w:val="407F3B46"/>
    <w:rsid w:val="40A0133A"/>
    <w:rsid w:val="40A37834"/>
    <w:rsid w:val="40AF62EF"/>
    <w:rsid w:val="40C31A53"/>
    <w:rsid w:val="40CA3013"/>
    <w:rsid w:val="40E1035D"/>
    <w:rsid w:val="40FF545D"/>
    <w:rsid w:val="410067C8"/>
    <w:rsid w:val="41044D0F"/>
    <w:rsid w:val="4106709A"/>
    <w:rsid w:val="410A09CD"/>
    <w:rsid w:val="413673FA"/>
    <w:rsid w:val="415E7BFF"/>
    <w:rsid w:val="416A2100"/>
    <w:rsid w:val="418F0D2A"/>
    <w:rsid w:val="41943621"/>
    <w:rsid w:val="41D01505"/>
    <w:rsid w:val="41D35EF7"/>
    <w:rsid w:val="41DF2AEE"/>
    <w:rsid w:val="422C1AAB"/>
    <w:rsid w:val="42310E70"/>
    <w:rsid w:val="42474939"/>
    <w:rsid w:val="4249440B"/>
    <w:rsid w:val="424C3C57"/>
    <w:rsid w:val="42613FF3"/>
    <w:rsid w:val="42660D96"/>
    <w:rsid w:val="426E79CE"/>
    <w:rsid w:val="42755200"/>
    <w:rsid w:val="428667D2"/>
    <w:rsid w:val="42894808"/>
    <w:rsid w:val="42A812EE"/>
    <w:rsid w:val="42CD1CE0"/>
    <w:rsid w:val="42DA1507"/>
    <w:rsid w:val="42E1381E"/>
    <w:rsid w:val="42ED6459"/>
    <w:rsid w:val="42FE58DD"/>
    <w:rsid w:val="43174B3D"/>
    <w:rsid w:val="43214E62"/>
    <w:rsid w:val="43484A0F"/>
    <w:rsid w:val="434B790E"/>
    <w:rsid w:val="4360274F"/>
    <w:rsid w:val="43977AB6"/>
    <w:rsid w:val="439E1B7A"/>
    <w:rsid w:val="43A3342B"/>
    <w:rsid w:val="43C77C27"/>
    <w:rsid w:val="43D917BF"/>
    <w:rsid w:val="43D933AA"/>
    <w:rsid w:val="43DE09EE"/>
    <w:rsid w:val="43F81C45"/>
    <w:rsid w:val="43F959BD"/>
    <w:rsid w:val="44002FAD"/>
    <w:rsid w:val="4456696C"/>
    <w:rsid w:val="445706A9"/>
    <w:rsid w:val="449101DD"/>
    <w:rsid w:val="44DE1391"/>
    <w:rsid w:val="44F16697"/>
    <w:rsid w:val="451B225C"/>
    <w:rsid w:val="452410C9"/>
    <w:rsid w:val="45317DFB"/>
    <w:rsid w:val="455C6204"/>
    <w:rsid w:val="456D3CE4"/>
    <w:rsid w:val="45717F01"/>
    <w:rsid w:val="4579042C"/>
    <w:rsid w:val="457F0571"/>
    <w:rsid w:val="45846AC9"/>
    <w:rsid w:val="45851176"/>
    <w:rsid w:val="458B017B"/>
    <w:rsid w:val="45C63B94"/>
    <w:rsid w:val="45CF69D6"/>
    <w:rsid w:val="45E00BE3"/>
    <w:rsid w:val="45E32481"/>
    <w:rsid w:val="45ED3300"/>
    <w:rsid w:val="45FD7774"/>
    <w:rsid w:val="4605689B"/>
    <w:rsid w:val="460E7DA5"/>
    <w:rsid w:val="461C3AB7"/>
    <w:rsid w:val="462C7EE8"/>
    <w:rsid w:val="46422483"/>
    <w:rsid w:val="4659254A"/>
    <w:rsid w:val="465B0637"/>
    <w:rsid w:val="465E3F0D"/>
    <w:rsid w:val="46623ABF"/>
    <w:rsid w:val="466A16E6"/>
    <w:rsid w:val="46712183"/>
    <w:rsid w:val="46893F2B"/>
    <w:rsid w:val="468A6DA0"/>
    <w:rsid w:val="46B00BD2"/>
    <w:rsid w:val="46BC1650"/>
    <w:rsid w:val="46C4686E"/>
    <w:rsid w:val="47282841"/>
    <w:rsid w:val="473E02B7"/>
    <w:rsid w:val="47655843"/>
    <w:rsid w:val="477B778F"/>
    <w:rsid w:val="478203EC"/>
    <w:rsid w:val="479954ED"/>
    <w:rsid w:val="479B1265"/>
    <w:rsid w:val="47AA594C"/>
    <w:rsid w:val="47B025FA"/>
    <w:rsid w:val="47C46432"/>
    <w:rsid w:val="47ED3A8B"/>
    <w:rsid w:val="4809698F"/>
    <w:rsid w:val="480D29B1"/>
    <w:rsid w:val="4811697D"/>
    <w:rsid w:val="481D1B55"/>
    <w:rsid w:val="482A2264"/>
    <w:rsid w:val="482C6361"/>
    <w:rsid w:val="482E7434"/>
    <w:rsid w:val="486F26F2"/>
    <w:rsid w:val="487A3E25"/>
    <w:rsid w:val="487D096B"/>
    <w:rsid w:val="488B5503"/>
    <w:rsid w:val="48937E21"/>
    <w:rsid w:val="489A0361"/>
    <w:rsid w:val="489E7893"/>
    <w:rsid w:val="48B94FF3"/>
    <w:rsid w:val="48E34F9B"/>
    <w:rsid w:val="48E37AAB"/>
    <w:rsid w:val="48F055E1"/>
    <w:rsid w:val="48FD4B4C"/>
    <w:rsid w:val="490A68E0"/>
    <w:rsid w:val="491055FE"/>
    <w:rsid w:val="495F5B3E"/>
    <w:rsid w:val="49697141"/>
    <w:rsid w:val="496F77D7"/>
    <w:rsid w:val="497654FD"/>
    <w:rsid w:val="49814172"/>
    <w:rsid w:val="49B64211"/>
    <w:rsid w:val="49C52F0C"/>
    <w:rsid w:val="49F6167F"/>
    <w:rsid w:val="4A064FA0"/>
    <w:rsid w:val="4A16615C"/>
    <w:rsid w:val="4A174DEF"/>
    <w:rsid w:val="4A183041"/>
    <w:rsid w:val="4A4424D7"/>
    <w:rsid w:val="4A6A3171"/>
    <w:rsid w:val="4A6C513B"/>
    <w:rsid w:val="4A8204BA"/>
    <w:rsid w:val="4A875976"/>
    <w:rsid w:val="4AB50890"/>
    <w:rsid w:val="4AB670D1"/>
    <w:rsid w:val="4AB82D0F"/>
    <w:rsid w:val="4AC70B63"/>
    <w:rsid w:val="4AEB7664"/>
    <w:rsid w:val="4AFD7C19"/>
    <w:rsid w:val="4B0567D1"/>
    <w:rsid w:val="4B0A030C"/>
    <w:rsid w:val="4B236AAE"/>
    <w:rsid w:val="4B317662"/>
    <w:rsid w:val="4B356A42"/>
    <w:rsid w:val="4B6B0FF5"/>
    <w:rsid w:val="4B707271"/>
    <w:rsid w:val="4B7A3887"/>
    <w:rsid w:val="4B9739F7"/>
    <w:rsid w:val="4BCF5981"/>
    <w:rsid w:val="4BDB2578"/>
    <w:rsid w:val="4BE34F89"/>
    <w:rsid w:val="4BEE2503"/>
    <w:rsid w:val="4C245A30"/>
    <w:rsid w:val="4C453E95"/>
    <w:rsid w:val="4C5B0FC3"/>
    <w:rsid w:val="4C6065D9"/>
    <w:rsid w:val="4C72455F"/>
    <w:rsid w:val="4C9B142F"/>
    <w:rsid w:val="4CB5610F"/>
    <w:rsid w:val="4CB6685F"/>
    <w:rsid w:val="4CC0176E"/>
    <w:rsid w:val="4CC367FE"/>
    <w:rsid w:val="4CE91C3E"/>
    <w:rsid w:val="4D077F3C"/>
    <w:rsid w:val="4D123355"/>
    <w:rsid w:val="4D2A3B31"/>
    <w:rsid w:val="4D312C52"/>
    <w:rsid w:val="4D3C7046"/>
    <w:rsid w:val="4D422183"/>
    <w:rsid w:val="4D5B4FF3"/>
    <w:rsid w:val="4D720CBA"/>
    <w:rsid w:val="4D7762D0"/>
    <w:rsid w:val="4D905305"/>
    <w:rsid w:val="4D964A72"/>
    <w:rsid w:val="4D9C1254"/>
    <w:rsid w:val="4DB34E2F"/>
    <w:rsid w:val="4DB841F3"/>
    <w:rsid w:val="4DE82D2A"/>
    <w:rsid w:val="4E1E4FDD"/>
    <w:rsid w:val="4E334919"/>
    <w:rsid w:val="4E467A51"/>
    <w:rsid w:val="4E6E5061"/>
    <w:rsid w:val="4E793892"/>
    <w:rsid w:val="4E7C16C5"/>
    <w:rsid w:val="4E800872"/>
    <w:rsid w:val="4EA93E18"/>
    <w:rsid w:val="4EB62E28"/>
    <w:rsid w:val="4EB70E3E"/>
    <w:rsid w:val="4EC569ED"/>
    <w:rsid w:val="4ED50EA1"/>
    <w:rsid w:val="4EE82949"/>
    <w:rsid w:val="4EEC050C"/>
    <w:rsid w:val="4F104EC3"/>
    <w:rsid w:val="4F264517"/>
    <w:rsid w:val="4F37029F"/>
    <w:rsid w:val="4F47354A"/>
    <w:rsid w:val="4F7E1BFB"/>
    <w:rsid w:val="4F911C54"/>
    <w:rsid w:val="4FDC241B"/>
    <w:rsid w:val="4FDC68BF"/>
    <w:rsid w:val="4FE625E0"/>
    <w:rsid w:val="5021480F"/>
    <w:rsid w:val="502D2C76"/>
    <w:rsid w:val="504306EC"/>
    <w:rsid w:val="505863ED"/>
    <w:rsid w:val="50962ECB"/>
    <w:rsid w:val="50A42E38"/>
    <w:rsid w:val="50A4577F"/>
    <w:rsid w:val="50A867A1"/>
    <w:rsid w:val="50B73D1F"/>
    <w:rsid w:val="50BD5BC9"/>
    <w:rsid w:val="50C11EEE"/>
    <w:rsid w:val="50E97CFC"/>
    <w:rsid w:val="50FA4028"/>
    <w:rsid w:val="510D65B7"/>
    <w:rsid w:val="511157AB"/>
    <w:rsid w:val="51136310"/>
    <w:rsid w:val="51387B25"/>
    <w:rsid w:val="5139389D"/>
    <w:rsid w:val="5142540C"/>
    <w:rsid w:val="51497F84"/>
    <w:rsid w:val="51532BB1"/>
    <w:rsid w:val="518832C8"/>
    <w:rsid w:val="51A0432A"/>
    <w:rsid w:val="51A86090"/>
    <w:rsid w:val="51B7396D"/>
    <w:rsid w:val="51C03390"/>
    <w:rsid w:val="51DF61F2"/>
    <w:rsid w:val="51F872B4"/>
    <w:rsid w:val="52262073"/>
    <w:rsid w:val="522E4CC3"/>
    <w:rsid w:val="5244713B"/>
    <w:rsid w:val="52615633"/>
    <w:rsid w:val="526B210C"/>
    <w:rsid w:val="52831274"/>
    <w:rsid w:val="52977FD4"/>
    <w:rsid w:val="52A25790"/>
    <w:rsid w:val="52A96B6F"/>
    <w:rsid w:val="52B45975"/>
    <w:rsid w:val="52C27FEE"/>
    <w:rsid w:val="52CA50F4"/>
    <w:rsid w:val="52CB49C9"/>
    <w:rsid w:val="52D63A99"/>
    <w:rsid w:val="52D94AA4"/>
    <w:rsid w:val="52EA3A62"/>
    <w:rsid w:val="52EB0BC7"/>
    <w:rsid w:val="52F50BB8"/>
    <w:rsid w:val="53097272"/>
    <w:rsid w:val="53544462"/>
    <w:rsid w:val="53645A40"/>
    <w:rsid w:val="53740BBC"/>
    <w:rsid w:val="53784B50"/>
    <w:rsid w:val="537F5EDF"/>
    <w:rsid w:val="5397158E"/>
    <w:rsid w:val="53F46A4E"/>
    <w:rsid w:val="54013861"/>
    <w:rsid w:val="543501E4"/>
    <w:rsid w:val="54487265"/>
    <w:rsid w:val="544D38E7"/>
    <w:rsid w:val="544D6070"/>
    <w:rsid w:val="54577AF2"/>
    <w:rsid w:val="545E3D46"/>
    <w:rsid w:val="54605E1E"/>
    <w:rsid w:val="54B3506A"/>
    <w:rsid w:val="54B971CF"/>
    <w:rsid w:val="54CA0D16"/>
    <w:rsid w:val="54DD4057"/>
    <w:rsid w:val="54E7490F"/>
    <w:rsid w:val="550764A4"/>
    <w:rsid w:val="550B2BF6"/>
    <w:rsid w:val="55214EB5"/>
    <w:rsid w:val="5523289A"/>
    <w:rsid w:val="552505EE"/>
    <w:rsid w:val="55364EFD"/>
    <w:rsid w:val="555D4828"/>
    <w:rsid w:val="557A4C8B"/>
    <w:rsid w:val="558931E1"/>
    <w:rsid w:val="55923347"/>
    <w:rsid w:val="55925180"/>
    <w:rsid w:val="55983B1B"/>
    <w:rsid w:val="559B13BF"/>
    <w:rsid w:val="55A439DB"/>
    <w:rsid w:val="55A8376B"/>
    <w:rsid w:val="55D243E6"/>
    <w:rsid w:val="55D50038"/>
    <w:rsid w:val="55DC29B6"/>
    <w:rsid w:val="55DD4241"/>
    <w:rsid w:val="55E55DA1"/>
    <w:rsid w:val="560B3A5A"/>
    <w:rsid w:val="566B6D1E"/>
    <w:rsid w:val="56795BFB"/>
    <w:rsid w:val="56BF65F2"/>
    <w:rsid w:val="56F71F0D"/>
    <w:rsid w:val="57032A2C"/>
    <w:rsid w:val="57077B11"/>
    <w:rsid w:val="570F5219"/>
    <w:rsid w:val="575933C1"/>
    <w:rsid w:val="575D12B5"/>
    <w:rsid w:val="57610A87"/>
    <w:rsid w:val="57770C7B"/>
    <w:rsid w:val="577B1140"/>
    <w:rsid w:val="577B7F21"/>
    <w:rsid w:val="577F181B"/>
    <w:rsid w:val="57921984"/>
    <w:rsid w:val="5797131D"/>
    <w:rsid w:val="579737F0"/>
    <w:rsid w:val="57AB7B30"/>
    <w:rsid w:val="57AF5251"/>
    <w:rsid w:val="57B26373"/>
    <w:rsid w:val="57B63F04"/>
    <w:rsid w:val="57C93BCD"/>
    <w:rsid w:val="57CD20C2"/>
    <w:rsid w:val="57D32355"/>
    <w:rsid w:val="57D675AB"/>
    <w:rsid w:val="57D95FDD"/>
    <w:rsid w:val="57E427B4"/>
    <w:rsid w:val="57E8209D"/>
    <w:rsid w:val="580C3AB9"/>
    <w:rsid w:val="58156ED5"/>
    <w:rsid w:val="583A0626"/>
    <w:rsid w:val="584B45E2"/>
    <w:rsid w:val="5867286A"/>
    <w:rsid w:val="586E207E"/>
    <w:rsid w:val="58704048"/>
    <w:rsid w:val="58917D2F"/>
    <w:rsid w:val="5894085C"/>
    <w:rsid w:val="58AE4F0C"/>
    <w:rsid w:val="58B85899"/>
    <w:rsid w:val="58DA7713"/>
    <w:rsid w:val="58E363A9"/>
    <w:rsid w:val="59246BE1"/>
    <w:rsid w:val="59484FC5"/>
    <w:rsid w:val="59486D73"/>
    <w:rsid w:val="595E1678"/>
    <w:rsid w:val="596D5BD4"/>
    <w:rsid w:val="597E3DD8"/>
    <w:rsid w:val="59991BBB"/>
    <w:rsid w:val="59AC51DA"/>
    <w:rsid w:val="59AC7302"/>
    <w:rsid w:val="59B937CD"/>
    <w:rsid w:val="59C26B25"/>
    <w:rsid w:val="59F80043"/>
    <w:rsid w:val="5A09252F"/>
    <w:rsid w:val="5A0B2778"/>
    <w:rsid w:val="5A2A7C7B"/>
    <w:rsid w:val="5A3E2560"/>
    <w:rsid w:val="5A3F0176"/>
    <w:rsid w:val="5A5D3B6E"/>
    <w:rsid w:val="5A637A76"/>
    <w:rsid w:val="5A6D33BA"/>
    <w:rsid w:val="5A792B1F"/>
    <w:rsid w:val="5A874767"/>
    <w:rsid w:val="5AAD6F28"/>
    <w:rsid w:val="5ACD39D4"/>
    <w:rsid w:val="5AD63A24"/>
    <w:rsid w:val="5AE91E90"/>
    <w:rsid w:val="5AF01470"/>
    <w:rsid w:val="5B1769FD"/>
    <w:rsid w:val="5B2E1A1D"/>
    <w:rsid w:val="5B2E3D47"/>
    <w:rsid w:val="5B48305A"/>
    <w:rsid w:val="5B843A1C"/>
    <w:rsid w:val="5B873E3F"/>
    <w:rsid w:val="5B8D6CBF"/>
    <w:rsid w:val="5B90055D"/>
    <w:rsid w:val="5BC72030"/>
    <w:rsid w:val="5C02690E"/>
    <w:rsid w:val="5C0D501D"/>
    <w:rsid w:val="5C1271C4"/>
    <w:rsid w:val="5C196DA7"/>
    <w:rsid w:val="5C273CA7"/>
    <w:rsid w:val="5C2A048C"/>
    <w:rsid w:val="5C7D4F86"/>
    <w:rsid w:val="5C80234E"/>
    <w:rsid w:val="5C871428"/>
    <w:rsid w:val="5C8A680C"/>
    <w:rsid w:val="5CB87D6C"/>
    <w:rsid w:val="5CCC1228"/>
    <w:rsid w:val="5D0336DD"/>
    <w:rsid w:val="5D0C4701"/>
    <w:rsid w:val="5D0F0395"/>
    <w:rsid w:val="5D221076"/>
    <w:rsid w:val="5D397964"/>
    <w:rsid w:val="5D4E247E"/>
    <w:rsid w:val="5D5A391C"/>
    <w:rsid w:val="5D5F10C0"/>
    <w:rsid w:val="5D6D6DA8"/>
    <w:rsid w:val="5D891B7B"/>
    <w:rsid w:val="5DAD38EE"/>
    <w:rsid w:val="5E006862"/>
    <w:rsid w:val="5E006E0E"/>
    <w:rsid w:val="5E0207B9"/>
    <w:rsid w:val="5E1611EE"/>
    <w:rsid w:val="5E1834A1"/>
    <w:rsid w:val="5E261785"/>
    <w:rsid w:val="5E424B5B"/>
    <w:rsid w:val="5E4A7017"/>
    <w:rsid w:val="5E552BBA"/>
    <w:rsid w:val="5E581DEA"/>
    <w:rsid w:val="5E611C10"/>
    <w:rsid w:val="5E79177D"/>
    <w:rsid w:val="5E7F4FE5"/>
    <w:rsid w:val="5E800CCF"/>
    <w:rsid w:val="5E820631"/>
    <w:rsid w:val="5E902510"/>
    <w:rsid w:val="5EDB41E5"/>
    <w:rsid w:val="5EFC7377"/>
    <w:rsid w:val="5EFF7ED4"/>
    <w:rsid w:val="5F06174D"/>
    <w:rsid w:val="5F223BC2"/>
    <w:rsid w:val="5F313E05"/>
    <w:rsid w:val="5F3A3602"/>
    <w:rsid w:val="5F563A58"/>
    <w:rsid w:val="5F6277C6"/>
    <w:rsid w:val="5F6D0B1D"/>
    <w:rsid w:val="5F812FDF"/>
    <w:rsid w:val="5F887EC9"/>
    <w:rsid w:val="5F8D0B82"/>
    <w:rsid w:val="5FA15D26"/>
    <w:rsid w:val="5FAD5B82"/>
    <w:rsid w:val="5FCC5339"/>
    <w:rsid w:val="5FCF78A6"/>
    <w:rsid w:val="5FD749AD"/>
    <w:rsid w:val="5FDC1FC3"/>
    <w:rsid w:val="5FE34A5B"/>
    <w:rsid w:val="5FE86BBA"/>
    <w:rsid w:val="5FEC48FC"/>
    <w:rsid w:val="5FFE1E36"/>
    <w:rsid w:val="60200102"/>
    <w:rsid w:val="60232584"/>
    <w:rsid w:val="60341DFF"/>
    <w:rsid w:val="60397415"/>
    <w:rsid w:val="604343AB"/>
    <w:rsid w:val="60442C99"/>
    <w:rsid w:val="607330CE"/>
    <w:rsid w:val="60744F93"/>
    <w:rsid w:val="60825176"/>
    <w:rsid w:val="60844B35"/>
    <w:rsid w:val="60892B5D"/>
    <w:rsid w:val="6098413C"/>
    <w:rsid w:val="609F2AC4"/>
    <w:rsid w:val="60B71C98"/>
    <w:rsid w:val="60BB2E4E"/>
    <w:rsid w:val="60C82547"/>
    <w:rsid w:val="60FA2EE8"/>
    <w:rsid w:val="61054A27"/>
    <w:rsid w:val="610A52BC"/>
    <w:rsid w:val="611D07E7"/>
    <w:rsid w:val="611D2366"/>
    <w:rsid w:val="61421856"/>
    <w:rsid w:val="615227C4"/>
    <w:rsid w:val="61654E3F"/>
    <w:rsid w:val="61706E67"/>
    <w:rsid w:val="6171498D"/>
    <w:rsid w:val="6182292A"/>
    <w:rsid w:val="619F7F92"/>
    <w:rsid w:val="61F94C26"/>
    <w:rsid w:val="62000E56"/>
    <w:rsid w:val="62432AF0"/>
    <w:rsid w:val="624502F4"/>
    <w:rsid w:val="624F3E49"/>
    <w:rsid w:val="62632286"/>
    <w:rsid w:val="62885958"/>
    <w:rsid w:val="628D3A49"/>
    <w:rsid w:val="62B72874"/>
    <w:rsid w:val="62F40B65"/>
    <w:rsid w:val="62FC2CFE"/>
    <w:rsid w:val="63024505"/>
    <w:rsid w:val="631D301E"/>
    <w:rsid w:val="63224191"/>
    <w:rsid w:val="635B1DB5"/>
    <w:rsid w:val="6361115D"/>
    <w:rsid w:val="636429FB"/>
    <w:rsid w:val="63711FED"/>
    <w:rsid w:val="63880DDC"/>
    <w:rsid w:val="638D750D"/>
    <w:rsid w:val="639F4F7C"/>
    <w:rsid w:val="63A01E57"/>
    <w:rsid w:val="63AC6CC0"/>
    <w:rsid w:val="63AC7EFE"/>
    <w:rsid w:val="63B23BD2"/>
    <w:rsid w:val="63C11BFC"/>
    <w:rsid w:val="64055776"/>
    <w:rsid w:val="64240056"/>
    <w:rsid w:val="642E7A8E"/>
    <w:rsid w:val="643E143A"/>
    <w:rsid w:val="648B6EEF"/>
    <w:rsid w:val="64A07A63"/>
    <w:rsid w:val="64C158BF"/>
    <w:rsid w:val="64C23E7D"/>
    <w:rsid w:val="64CE2EAA"/>
    <w:rsid w:val="64E77440"/>
    <w:rsid w:val="653C3090"/>
    <w:rsid w:val="654E3963"/>
    <w:rsid w:val="656561F9"/>
    <w:rsid w:val="65660CAD"/>
    <w:rsid w:val="65854376"/>
    <w:rsid w:val="658767BE"/>
    <w:rsid w:val="65892531"/>
    <w:rsid w:val="659C46CE"/>
    <w:rsid w:val="65B512EC"/>
    <w:rsid w:val="65BD73D8"/>
    <w:rsid w:val="65CE23AE"/>
    <w:rsid w:val="65D4213A"/>
    <w:rsid w:val="66195831"/>
    <w:rsid w:val="662E75B1"/>
    <w:rsid w:val="66342C2E"/>
    <w:rsid w:val="663E784C"/>
    <w:rsid w:val="6659436D"/>
    <w:rsid w:val="668B6A45"/>
    <w:rsid w:val="66E0141C"/>
    <w:rsid w:val="66F04C30"/>
    <w:rsid w:val="67277FC8"/>
    <w:rsid w:val="672F3F24"/>
    <w:rsid w:val="673152EA"/>
    <w:rsid w:val="673E055F"/>
    <w:rsid w:val="67542D87"/>
    <w:rsid w:val="67551CE3"/>
    <w:rsid w:val="675F4E6C"/>
    <w:rsid w:val="676B07FC"/>
    <w:rsid w:val="676F47A4"/>
    <w:rsid w:val="67A22552"/>
    <w:rsid w:val="67B22DCC"/>
    <w:rsid w:val="67BE71AA"/>
    <w:rsid w:val="67CB4E45"/>
    <w:rsid w:val="67D90273"/>
    <w:rsid w:val="67DE5875"/>
    <w:rsid w:val="67E55852"/>
    <w:rsid w:val="67EB1AB4"/>
    <w:rsid w:val="67FA1285"/>
    <w:rsid w:val="68152516"/>
    <w:rsid w:val="68306D38"/>
    <w:rsid w:val="68551F4F"/>
    <w:rsid w:val="68664B20"/>
    <w:rsid w:val="687C10C9"/>
    <w:rsid w:val="68840C16"/>
    <w:rsid w:val="68876EFB"/>
    <w:rsid w:val="68884654"/>
    <w:rsid w:val="689F444F"/>
    <w:rsid w:val="68A51AEC"/>
    <w:rsid w:val="68B96DBB"/>
    <w:rsid w:val="68CA2805"/>
    <w:rsid w:val="68DE2CAF"/>
    <w:rsid w:val="68E937A3"/>
    <w:rsid w:val="693E15D3"/>
    <w:rsid w:val="694D22CE"/>
    <w:rsid w:val="69627681"/>
    <w:rsid w:val="6977531D"/>
    <w:rsid w:val="69863F2F"/>
    <w:rsid w:val="69B53FB1"/>
    <w:rsid w:val="69CC2BFF"/>
    <w:rsid w:val="69FD55B8"/>
    <w:rsid w:val="6A0B1C62"/>
    <w:rsid w:val="6A114C8F"/>
    <w:rsid w:val="6A2406C8"/>
    <w:rsid w:val="6A5A4B58"/>
    <w:rsid w:val="6AA20BE9"/>
    <w:rsid w:val="6ADC731B"/>
    <w:rsid w:val="6ADE0BD1"/>
    <w:rsid w:val="6AE96859"/>
    <w:rsid w:val="6AFB22C1"/>
    <w:rsid w:val="6B0B7C00"/>
    <w:rsid w:val="6B0F76F1"/>
    <w:rsid w:val="6B147746"/>
    <w:rsid w:val="6B24787C"/>
    <w:rsid w:val="6B3E3B32"/>
    <w:rsid w:val="6B573233"/>
    <w:rsid w:val="6B5B6274"/>
    <w:rsid w:val="6B824366"/>
    <w:rsid w:val="6B8A6D77"/>
    <w:rsid w:val="6B935D53"/>
    <w:rsid w:val="6BA37E39"/>
    <w:rsid w:val="6BEA1AA8"/>
    <w:rsid w:val="6C196F71"/>
    <w:rsid w:val="6C226FCB"/>
    <w:rsid w:val="6C31226F"/>
    <w:rsid w:val="6C552F0B"/>
    <w:rsid w:val="6C8C67B7"/>
    <w:rsid w:val="6C9D744C"/>
    <w:rsid w:val="6CC369E5"/>
    <w:rsid w:val="6CD622B9"/>
    <w:rsid w:val="6CDF1345"/>
    <w:rsid w:val="6D12171A"/>
    <w:rsid w:val="6D167928"/>
    <w:rsid w:val="6D26299B"/>
    <w:rsid w:val="6D4772EC"/>
    <w:rsid w:val="6D526FBD"/>
    <w:rsid w:val="6D9078AF"/>
    <w:rsid w:val="6D935788"/>
    <w:rsid w:val="6DAA3FEF"/>
    <w:rsid w:val="6DC0172B"/>
    <w:rsid w:val="6DCB690C"/>
    <w:rsid w:val="6DD41A5B"/>
    <w:rsid w:val="6DD911FE"/>
    <w:rsid w:val="6DEE7A91"/>
    <w:rsid w:val="6DF43C2E"/>
    <w:rsid w:val="6DF51CA3"/>
    <w:rsid w:val="6E1057EE"/>
    <w:rsid w:val="6E4E22DE"/>
    <w:rsid w:val="6E531FEA"/>
    <w:rsid w:val="6E6733A0"/>
    <w:rsid w:val="6E8335BD"/>
    <w:rsid w:val="6E8B4EF3"/>
    <w:rsid w:val="6E8E12EF"/>
    <w:rsid w:val="6E972936"/>
    <w:rsid w:val="6E9F0D8B"/>
    <w:rsid w:val="6EA2262A"/>
    <w:rsid w:val="6ED446C5"/>
    <w:rsid w:val="6F2A7D94"/>
    <w:rsid w:val="6F2C68A4"/>
    <w:rsid w:val="6F52471B"/>
    <w:rsid w:val="6F6466DE"/>
    <w:rsid w:val="6F8331F1"/>
    <w:rsid w:val="6FAE1A09"/>
    <w:rsid w:val="6FB22D40"/>
    <w:rsid w:val="6FD75BF8"/>
    <w:rsid w:val="7016507D"/>
    <w:rsid w:val="70274D12"/>
    <w:rsid w:val="70756248"/>
    <w:rsid w:val="707723D0"/>
    <w:rsid w:val="70B033C9"/>
    <w:rsid w:val="70B86135"/>
    <w:rsid w:val="70BD7BEF"/>
    <w:rsid w:val="70E2620E"/>
    <w:rsid w:val="70E707C8"/>
    <w:rsid w:val="70F5661B"/>
    <w:rsid w:val="71205E4A"/>
    <w:rsid w:val="712D08D1"/>
    <w:rsid w:val="71360107"/>
    <w:rsid w:val="713B688E"/>
    <w:rsid w:val="717B5AE0"/>
    <w:rsid w:val="71970440"/>
    <w:rsid w:val="719721EE"/>
    <w:rsid w:val="71A34807"/>
    <w:rsid w:val="71B51058"/>
    <w:rsid w:val="71D43752"/>
    <w:rsid w:val="71F1796A"/>
    <w:rsid w:val="7208370E"/>
    <w:rsid w:val="720A29C0"/>
    <w:rsid w:val="72154626"/>
    <w:rsid w:val="72262B5D"/>
    <w:rsid w:val="72283FF7"/>
    <w:rsid w:val="722E7212"/>
    <w:rsid w:val="723A0474"/>
    <w:rsid w:val="723F6B0D"/>
    <w:rsid w:val="72457067"/>
    <w:rsid w:val="725923E4"/>
    <w:rsid w:val="725F0F5E"/>
    <w:rsid w:val="72864BF7"/>
    <w:rsid w:val="729023FC"/>
    <w:rsid w:val="7298621E"/>
    <w:rsid w:val="72DA05E4"/>
    <w:rsid w:val="72F86CBC"/>
    <w:rsid w:val="7309711B"/>
    <w:rsid w:val="73274AD0"/>
    <w:rsid w:val="732D2E0A"/>
    <w:rsid w:val="733777E5"/>
    <w:rsid w:val="733D0B73"/>
    <w:rsid w:val="73522870"/>
    <w:rsid w:val="73C0646E"/>
    <w:rsid w:val="73FE0302"/>
    <w:rsid w:val="74085625"/>
    <w:rsid w:val="742222F5"/>
    <w:rsid w:val="743E346C"/>
    <w:rsid w:val="74476126"/>
    <w:rsid w:val="744A1799"/>
    <w:rsid w:val="745443C6"/>
    <w:rsid w:val="74706664"/>
    <w:rsid w:val="747F3682"/>
    <w:rsid w:val="7480340D"/>
    <w:rsid w:val="749C4185"/>
    <w:rsid w:val="74B84955"/>
    <w:rsid w:val="74D86DA5"/>
    <w:rsid w:val="750202C6"/>
    <w:rsid w:val="75067759"/>
    <w:rsid w:val="75134281"/>
    <w:rsid w:val="752E6DCD"/>
    <w:rsid w:val="7551380D"/>
    <w:rsid w:val="75600BE5"/>
    <w:rsid w:val="7564475C"/>
    <w:rsid w:val="7583797F"/>
    <w:rsid w:val="758D5DE2"/>
    <w:rsid w:val="75986535"/>
    <w:rsid w:val="75AB0E67"/>
    <w:rsid w:val="75C8506C"/>
    <w:rsid w:val="75D20F1D"/>
    <w:rsid w:val="75DA2C18"/>
    <w:rsid w:val="75F54412"/>
    <w:rsid w:val="760360A4"/>
    <w:rsid w:val="760836BA"/>
    <w:rsid w:val="76160C02"/>
    <w:rsid w:val="761C0F14"/>
    <w:rsid w:val="761D08E0"/>
    <w:rsid w:val="76525BE7"/>
    <w:rsid w:val="765D347C"/>
    <w:rsid w:val="766C1E9B"/>
    <w:rsid w:val="767B40A9"/>
    <w:rsid w:val="767E397C"/>
    <w:rsid w:val="76826699"/>
    <w:rsid w:val="76C577FD"/>
    <w:rsid w:val="76C87133"/>
    <w:rsid w:val="76CD08D5"/>
    <w:rsid w:val="76CE3641"/>
    <w:rsid w:val="76CE66B2"/>
    <w:rsid w:val="76D37824"/>
    <w:rsid w:val="76D4359C"/>
    <w:rsid w:val="76D90BB3"/>
    <w:rsid w:val="76DB4B92"/>
    <w:rsid w:val="76FD4007"/>
    <w:rsid w:val="77052AA4"/>
    <w:rsid w:val="77136511"/>
    <w:rsid w:val="771542E1"/>
    <w:rsid w:val="77190E9E"/>
    <w:rsid w:val="77224C93"/>
    <w:rsid w:val="77340A39"/>
    <w:rsid w:val="77351FD0"/>
    <w:rsid w:val="773C2724"/>
    <w:rsid w:val="77472422"/>
    <w:rsid w:val="776808B4"/>
    <w:rsid w:val="77701517"/>
    <w:rsid w:val="777032C5"/>
    <w:rsid w:val="777F31F2"/>
    <w:rsid w:val="7783749C"/>
    <w:rsid w:val="77B84C6C"/>
    <w:rsid w:val="77D1636C"/>
    <w:rsid w:val="77D1700D"/>
    <w:rsid w:val="77E12415"/>
    <w:rsid w:val="77EC04CC"/>
    <w:rsid w:val="780279D0"/>
    <w:rsid w:val="78324A1E"/>
    <w:rsid w:val="78526E6F"/>
    <w:rsid w:val="7866291A"/>
    <w:rsid w:val="786A065C"/>
    <w:rsid w:val="786B1CDE"/>
    <w:rsid w:val="78775729"/>
    <w:rsid w:val="78780EC8"/>
    <w:rsid w:val="789366E3"/>
    <w:rsid w:val="78A42DB0"/>
    <w:rsid w:val="78A656AB"/>
    <w:rsid w:val="78B2245C"/>
    <w:rsid w:val="78B97DC3"/>
    <w:rsid w:val="78BB2C66"/>
    <w:rsid w:val="78C22246"/>
    <w:rsid w:val="78CF226D"/>
    <w:rsid w:val="78E172CC"/>
    <w:rsid w:val="78EA1D1F"/>
    <w:rsid w:val="78F24F26"/>
    <w:rsid w:val="7904172F"/>
    <w:rsid w:val="790F7E27"/>
    <w:rsid w:val="792A231A"/>
    <w:rsid w:val="792E7C93"/>
    <w:rsid w:val="79316829"/>
    <w:rsid w:val="796A21D0"/>
    <w:rsid w:val="797E66A9"/>
    <w:rsid w:val="79A4194C"/>
    <w:rsid w:val="79A61220"/>
    <w:rsid w:val="79A97383"/>
    <w:rsid w:val="79AE27CB"/>
    <w:rsid w:val="79B34BDA"/>
    <w:rsid w:val="79E27E8B"/>
    <w:rsid w:val="79E50861"/>
    <w:rsid w:val="79F850CE"/>
    <w:rsid w:val="79FD443C"/>
    <w:rsid w:val="7A1940E8"/>
    <w:rsid w:val="7A1D1975"/>
    <w:rsid w:val="7A253794"/>
    <w:rsid w:val="7A3E5150"/>
    <w:rsid w:val="7A4214AC"/>
    <w:rsid w:val="7A4670D6"/>
    <w:rsid w:val="7A534B63"/>
    <w:rsid w:val="7A543372"/>
    <w:rsid w:val="7A615382"/>
    <w:rsid w:val="7A67303B"/>
    <w:rsid w:val="7A8A28F0"/>
    <w:rsid w:val="7AAB1D04"/>
    <w:rsid w:val="7ABA4368"/>
    <w:rsid w:val="7AD05746"/>
    <w:rsid w:val="7AF81F4F"/>
    <w:rsid w:val="7B067324"/>
    <w:rsid w:val="7B1D7C08"/>
    <w:rsid w:val="7B257FFD"/>
    <w:rsid w:val="7B343476"/>
    <w:rsid w:val="7B5A2978"/>
    <w:rsid w:val="7B5A7E4C"/>
    <w:rsid w:val="7B5D1DB2"/>
    <w:rsid w:val="7B667AF9"/>
    <w:rsid w:val="7B7468F8"/>
    <w:rsid w:val="7B8B4B71"/>
    <w:rsid w:val="7B975F45"/>
    <w:rsid w:val="7BC816D3"/>
    <w:rsid w:val="7BD302C6"/>
    <w:rsid w:val="7BDF310F"/>
    <w:rsid w:val="7BEE0103"/>
    <w:rsid w:val="7C0A0FE4"/>
    <w:rsid w:val="7C127041"/>
    <w:rsid w:val="7C254906"/>
    <w:rsid w:val="7C431A41"/>
    <w:rsid w:val="7C50507A"/>
    <w:rsid w:val="7C517547"/>
    <w:rsid w:val="7C590818"/>
    <w:rsid w:val="7C7C10F6"/>
    <w:rsid w:val="7C853BEA"/>
    <w:rsid w:val="7C881368"/>
    <w:rsid w:val="7CC3633E"/>
    <w:rsid w:val="7CCA3477"/>
    <w:rsid w:val="7CE27788"/>
    <w:rsid w:val="7CE85FF3"/>
    <w:rsid w:val="7CF308E3"/>
    <w:rsid w:val="7D036989"/>
    <w:rsid w:val="7D044000"/>
    <w:rsid w:val="7D0C32F1"/>
    <w:rsid w:val="7D0F17D2"/>
    <w:rsid w:val="7D0F408D"/>
    <w:rsid w:val="7D2E685E"/>
    <w:rsid w:val="7D480840"/>
    <w:rsid w:val="7D491C6C"/>
    <w:rsid w:val="7D5429C0"/>
    <w:rsid w:val="7D553689"/>
    <w:rsid w:val="7D6E6D43"/>
    <w:rsid w:val="7D871368"/>
    <w:rsid w:val="7D87580C"/>
    <w:rsid w:val="7D8F021D"/>
    <w:rsid w:val="7D983576"/>
    <w:rsid w:val="7DAC53B7"/>
    <w:rsid w:val="7DB57A34"/>
    <w:rsid w:val="7DB81EF3"/>
    <w:rsid w:val="7DE60973"/>
    <w:rsid w:val="7DEF0916"/>
    <w:rsid w:val="7DFD162B"/>
    <w:rsid w:val="7E057148"/>
    <w:rsid w:val="7E1E5218"/>
    <w:rsid w:val="7E5576B9"/>
    <w:rsid w:val="7E5C5BD3"/>
    <w:rsid w:val="7E9A4E1F"/>
    <w:rsid w:val="7EA36676"/>
    <w:rsid w:val="7EA7723A"/>
    <w:rsid w:val="7EF23159"/>
    <w:rsid w:val="7EF56FBB"/>
    <w:rsid w:val="7F0768EB"/>
    <w:rsid w:val="7F143BEC"/>
    <w:rsid w:val="7F5804E0"/>
    <w:rsid w:val="7F715AF2"/>
    <w:rsid w:val="7F7E49ED"/>
    <w:rsid w:val="7F886E69"/>
    <w:rsid w:val="7FA2692E"/>
    <w:rsid w:val="7FC67F88"/>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0"/>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autoRedefine/>
    <w:qFormat/>
    <w:uiPriority w:val="99"/>
    <w:pPr>
      <w:ind w:firstLine="420"/>
    </w:pPr>
    <w:rPr>
      <w:rFonts w:hAnsi="Calibri" w:cs="Times New Roman"/>
      <w:snapToGrid/>
      <w:szCs w:val="20"/>
    </w:rPr>
  </w:style>
  <w:style w:type="paragraph" w:styleId="27">
    <w:name w:val="toc 6"/>
    <w:basedOn w:val="1"/>
    <w:next w:val="1"/>
    <w:autoRedefine/>
    <w:qFormat/>
    <w:uiPriority w:val="39"/>
    <w:pPr>
      <w:ind w:left="2100" w:leftChars="1000"/>
    </w:pPr>
  </w:style>
  <w:style w:type="paragraph" w:styleId="28">
    <w:name w:val="Body Text Indent"/>
    <w:basedOn w:val="1"/>
    <w:link w:val="268"/>
    <w:autoRedefine/>
    <w:qFormat/>
    <w:uiPriority w:val="99"/>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4"/>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99"/>
    <w:rPr>
      <w:lang w:val="zh-CN"/>
    </w:rPr>
  </w:style>
  <w:style w:type="paragraph" w:styleId="42">
    <w:name w:val="Balloon Text"/>
    <w:basedOn w:val="1"/>
    <w:link w:val="191"/>
    <w:autoRedefine/>
    <w:qFormat/>
    <w:uiPriority w:val="99"/>
    <w:rPr>
      <w:sz w:val="18"/>
      <w:szCs w:val="18"/>
    </w:rPr>
  </w:style>
  <w:style w:type="paragraph" w:styleId="43">
    <w:name w:val="footer"/>
    <w:basedOn w:val="1"/>
    <w:link w:val="386"/>
    <w:autoRedefine/>
    <w:qFormat/>
    <w:uiPriority w:val="99"/>
    <w:pPr>
      <w:tabs>
        <w:tab w:val="center" w:pos="4153"/>
        <w:tab w:val="right" w:pos="8306"/>
      </w:tabs>
      <w:snapToGrid w:val="0"/>
      <w:jc w:val="left"/>
    </w:pPr>
    <w:rPr>
      <w:sz w:val="18"/>
      <w:szCs w:val="18"/>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link w:val="988"/>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autoRedefine/>
    <w:qFormat/>
    <w:uiPriority w:val="0"/>
    <w:rPr>
      <w:b/>
      <w:bCs/>
    </w:rPr>
  </w:style>
  <w:style w:type="paragraph" w:styleId="64">
    <w:name w:val="Body Text First Indent 2"/>
    <w:basedOn w:val="28"/>
    <w:next w:val="65"/>
    <w:link w:val="125"/>
    <w:autoRedefine/>
    <w:qFormat/>
    <w:uiPriority w:val="0"/>
    <w:pPr>
      <w:adjustRightInd/>
      <w:spacing w:after="120" w:line="240" w:lineRule="auto"/>
      <w:ind w:left="420" w:leftChars="200" w:firstLine="210"/>
    </w:pPr>
    <w:rPr>
      <w:sz w:val="21"/>
    </w:rPr>
  </w:style>
  <w:style w:type="paragraph" w:customStyle="1" w:styleId="65">
    <w:name w:val="xl53"/>
    <w:basedOn w:val="1"/>
    <w:next w:val="1"/>
    <w:autoRedefine/>
    <w:qFormat/>
    <w:uiPriority w:val="0"/>
    <w:pPr>
      <w:spacing w:before="280" w:after="280" w:line="100" w:lineRule="exact"/>
      <w:jc w:val="center"/>
    </w:pPr>
    <w:rPr>
      <w:rFonts w:ascii="宋体"/>
      <w:b/>
      <w:sz w:val="20"/>
    </w:rPr>
  </w:style>
  <w:style w:type="table" w:styleId="67">
    <w:name w:val="Table Grid"/>
    <w:basedOn w:val="6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0"/>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0"/>
    <w:rPr>
      <w:sz w:val="21"/>
      <w:szCs w:val="21"/>
    </w:rPr>
  </w:style>
  <w:style w:type="character" w:customStyle="1" w:styleId="84">
    <w:name w:val="标题 2 字符"/>
    <w:autoRedefine/>
    <w:qFormat/>
    <w:uiPriority w:val="0"/>
    <w:rPr>
      <w:rFonts w:ascii="仿宋_GB2312" w:hAnsi="Times New Roman" w:eastAsia="仿宋_GB2312" w:cs="Times New Roman"/>
      <w:b/>
      <w:kern w:val="2"/>
      <w:sz w:val="24"/>
      <w:lang w:val="zh-CN"/>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99"/>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9"/>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0"/>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4"/>
    <w:autoRedefine/>
    <w:qFormat/>
    <w:uiPriority w:val="0"/>
    <w:rPr>
      <w:rFonts w:ascii="宋体" w:hAnsi="宋体"/>
      <w:kern w:val="2"/>
      <w:sz w:val="21"/>
      <w:szCs w:val="24"/>
    </w:rPr>
  </w:style>
  <w:style w:type="character" w:customStyle="1" w:styleId="126">
    <w:name w:val="font11"/>
    <w:basedOn w:val="74"/>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4"/>
    <w:autoRedefine/>
    <w:qFormat/>
    <w:uiPriority w:val="0"/>
    <w:rPr>
      <w:rFonts w:ascii="Arial" w:hAnsi="Arial" w:eastAsia="黑体" w:cs="Arial"/>
      <w:snapToGrid w:val="0"/>
      <w:kern w:val="0"/>
      <w:szCs w:val="21"/>
    </w:rPr>
  </w:style>
  <w:style w:type="character" w:customStyle="1" w:styleId="129">
    <w:name w:val="纯文本 Char"/>
    <w:link w:val="36"/>
    <w:autoRedefine/>
    <w:qFormat/>
    <w:uiPriority w:val="99"/>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99"/>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0"/>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99"/>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9"/>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99"/>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9"/>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2"/>
    <w:autoRedefine/>
    <w:qFormat/>
    <w:uiPriority w:val="99"/>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99"/>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9"/>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3"/>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3"/>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8"/>
    <w:autoRedefine/>
    <w:qFormat/>
    <w:uiPriority w:val="99"/>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6"/>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4"/>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3"/>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0"/>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1"/>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4"/>
    <w:link w:val="4"/>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autoRedefine/>
    <w:qFormat/>
    <w:uiPriority w:val="0"/>
    <w:rPr>
      <w:kern w:val="2"/>
      <w:sz w:val="21"/>
      <w:szCs w:val="24"/>
      <w:lang w:val="en-US" w:eastAsia="zh-CN" w:bidi="ar-SA"/>
    </w:rPr>
  </w:style>
  <w:style w:type="paragraph" w:customStyle="1" w:styleId="971">
    <w:name w:val="列表段落2"/>
    <w:basedOn w:val="1"/>
    <w:autoRedefine/>
    <w:qFormat/>
    <w:uiPriority w:val="34"/>
    <w:pPr>
      <w:adjustRightInd/>
      <w:ind w:firstLine="420" w:firstLineChars="200"/>
    </w:pPr>
    <w:rPr>
      <w:rFonts w:ascii="等线" w:hAnsi="等线" w:eastAsia="等线"/>
    </w:rPr>
  </w:style>
  <w:style w:type="character" w:customStyle="1" w:styleId="972">
    <w:name w:val="fontstyle01"/>
    <w:basedOn w:val="74"/>
    <w:autoRedefine/>
    <w:qFormat/>
    <w:uiPriority w:val="0"/>
    <w:rPr>
      <w:rFonts w:ascii="仿宋_GB2312" w:hAnsi="仿宋_GB2312" w:eastAsia="仿宋_GB2312" w:cs="仿宋_GB2312"/>
      <w:color w:val="000000"/>
      <w:sz w:val="32"/>
      <w:szCs w:val="32"/>
    </w:rPr>
  </w:style>
  <w:style w:type="paragraph" w:customStyle="1" w:styleId="973">
    <w:name w:val="正文（1）"/>
    <w:basedOn w:val="1"/>
    <w:autoRedefine/>
    <w:qFormat/>
    <w:uiPriority w:val="0"/>
    <w:pPr>
      <w:numPr>
        <w:ilvl w:val="0"/>
        <w:numId w:val="1"/>
      </w:numPr>
    </w:pPr>
  </w:style>
  <w:style w:type="character" w:customStyle="1" w:styleId="974">
    <w:name w:val="未处理的提及2"/>
    <w:basedOn w:val="74"/>
    <w:autoRedefine/>
    <w:semiHidden/>
    <w:unhideWhenUsed/>
    <w:qFormat/>
    <w:uiPriority w:val="99"/>
    <w:rPr>
      <w:color w:val="605E5C"/>
      <w:shd w:val="clear" w:color="auto" w:fill="E1DFDD"/>
    </w:rPr>
  </w:style>
  <w:style w:type="character" w:customStyle="1" w:styleId="975">
    <w:name w:val="Internet 链接"/>
    <w:autoRedefine/>
    <w:qFormat/>
    <w:uiPriority w:val="99"/>
    <w:rPr>
      <w:rFonts w:ascii="Arial" w:hAnsi="Arial" w:eastAsia="黑体;SimHei"/>
      <w:color w:val="000000"/>
      <w:kern w:val="0"/>
      <w:sz w:val="18"/>
      <w:u w:val="none"/>
    </w:rPr>
  </w:style>
  <w:style w:type="character" w:customStyle="1" w:styleId="976">
    <w:name w:val="样式 小四"/>
    <w:autoRedefine/>
    <w:qFormat/>
    <w:uiPriority w:val="0"/>
    <w:rPr>
      <w:sz w:val="21"/>
    </w:rPr>
  </w:style>
  <w:style w:type="character" w:customStyle="1" w:styleId="977">
    <w:name w:val="Head 2"/>
    <w:autoRedefine/>
    <w:qFormat/>
    <w:uiPriority w:val="0"/>
    <w:rPr>
      <w:rFonts w:ascii="仿宋_GB2312"/>
      <w:bCs/>
      <w:iCs/>
      <w:sz w:val="24"/>
    </w:rPr>
  </w:style>
  <w:style w:type="character" w:customStyle="1" w:styleId="97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79">
    <w:name w:val="目录 1 + 行距: 多倍行距 2.5 字行 Char"/>
    <w:link w:val="980"/>
    <w:autoRedefine/>
    <w:qFormat/>
    <w:uiPriority w:val="0"/>
    <w:rPr>
      <w:rFonts w:ascii="仿宋_GB2312" w:eastAsia="仿宋_GB2312"/>
      <w:b/>
      <w:bCs/>
      <w:caps/>
      <w:sz w:val="36"/>
      <w:szCs w:val="36"/>
    </w:rPr>
  </w:style>
  <w:style w:type="paragraph" w:customStyle="1" w:styleId="980">
    <w:name w:val="目录 1 + 行距: 多倍行距 2.5 字行"/>
    <w:basedOn w:val="46"/>
    <w:link w:val="979"/>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1">
    <w:name w:val="bt Char1"/>
    <w:autoRedefine/>
    <w:qFormat/>
    <w:uiPriority w:val="0"/>
    <w:rPr>
      <w:rFonts w:eastAsia="宋体"/>
      <w:kern w:val="2"/>
      <w:sz w:val="21"/>
      <w:szCs w:val="24"/>
      <w:lang w:val="en-US" w:eastAsia="zh-CN" w:bidi="ar-SA"/>
    </w:rPr>
  </w:style>
  <w:style w:type="character" w:customStyle="1" w:styleId="982">
    <w:name w:val="normal_text"/>
    <w:basedOn w:val="74"/>
    <w:autoRedefine/>
    <w:qFormat/>
    <w:uiPriority w:val="0"/>
  </w:style>
  <w:style w:type="character" w:customStyle="1" w:styleId="983">
    <w:name w:val="List Paragraph Char"/>
    <w:link w:val="261"/>
    <w:autoRedefine/>
    <w:qFormat/>
    <w:locked/>
    <w:uiPriority w:val="0"/>
    <w:rPr>
      <w:rFonts w:eastAsia="楷体_GB2312" w:cs="Lucida Sans"/>
      <w:kern w:val="2"/>
      <w:sz w:val="24"/>
      <w:szCs w:val="24"/>
    </w:rPr>
  </w:style>
  <w:style w:type="character" w:customStyle="1" w:styleId="984">
    <w:name w:val="line1"/>
    <w:autoRedefine/>
    <w:qFormat/>
    <w:uiPriority w:val="0"/>
    <w:rPr>
      <w:u w:val="none"/>
    </w:rPr>
  </w:style>
  <w:style w:type="character" w:customStyle="1" w:styleId="985">
    <w:name w:val="style181"/>
    <w:autoRedefine/>
    <w:qFormat/>
    <w:uiPriority w:val="0"/>
    <w:rPr>
      <w:rFonts w:hint="default" w:ascii="Arial" w:hAnsi="Arial" w:cs="Arial"/>
      <w:color w:val="000000"/>
      <w:sz w:val="18"/>
      <w:szCs w:val="18"/>
    </w:rPr>
  </w:style>
  <w:style w:type="character" w:customStyle="1" w:styleId="986">
    <w:name w:val="hei14b1"/>
    <w:autoRedefine/>
    <w:qFormat/>
    <w:uiPriority w:val="0"/>
    <w:rPr>
      <w:b/>
      <w:bCs/>
      <w:color w:val="333333"/>
      <w:sz w:val="21"/>
      <w:szCs w:val="21"/>
    </w:rPr>
  </w:style>
  <w:style w:type="character" w:customStyle="1" w:styleId="98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8">
    <w:name w:val="目录 1 Char"/>
    <w:link w:val="46"/>
    <w:autoRedefine/>
    <w:qFormat/>
    <w:uiPriority w:val="0"/>
    <w:rPr>
      <w:kern w:val="2"/>
      <w:sz w:val="21"/>
      <w:szCs w:val="24"/>
    </w:rPr>
  </w:style>
  <w:style w:type="character" w:customStyle="1" w:styleId="989">
    <w:name w:val="huide001"/>
    <w:autoRedefine/>
    <w:qFormat/>
    <w:uiPriority w:val="0"/>
    <w:rPr>
      <w:rFonts w:hint="default" w:ascii="Arial" w:hAnsi="Arial" w:cs="Arial"/>
      <w:color w:val="666666"/>
      <w:sz w:val="18"/>
      <w:szCs w:val="18"/>
    </w:rPr>
  </w:style>
  <w:style w:type="character" w:customStyle="1" w:styleId="990">
    <w:name w:val="para"/>
    <w:basedOn w:val="74"/>
    <w:autoRedefine/>
    <w:qFormat/>
    <w:uiPriority w:val="0"/>
  </w:style>
  <w:style w:type="character" w:customStyle="1" w:styleId="991">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2">
    <w:name w:val="A C"/>
    <w:autoRedefine/>
    <w:qFormat/>
    <w:uiPriority w:val="0"/>
    <w:rPr>
      <w:rFonts w:ascii="仿宋_GB2312"/>
      <w:bCs/>
      <w:iCs/>
      <w:sz w:val="24"/>
    </w:rPr>
  </w:style>
  <w:style w:type="character" w:customStyle="1" w:styleId="993">
    <w:name w:val="point_normal1"/>
    <w:autoRedefine/>
    <w:qFormat/>
    <w:uiPriority w:val="0"/>
    <w:rPr>
      <w:rFonts w:hint="default" w:ascii="Arial" w:hAnsi="Arial" w:cs="Arial"/>
      <w:sz w:val="18"/>
      <w:szCs w:val="18"/>
    </w:rPr>
  </w:style>
  <w:style w:type="paragraph" w:customStyle="1" w:styleId="994">
    <w:name w:val="样式 标题 3"/>
    <w:basedOn w:val="4"/>
    <w:next w:val="99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5">
    <w:name w:val="最新标题4"/>
    <w:basedOn w:val="996"/>
    <w:next w:val="1"/>
    <w:autoRedefine/>
    <w:qFormat/>
    <w:uiPriority w:val="0"/>
    <w:pPr>
      <w:tabs>
        <w:tab w:val="left" w:pos="2100"/>
      </w:tabs>
      <w:spacing w:after="120"/>
      <w:ind w:left="0" w:firstLine="0"/>
    </w:pPr>
  </w:style>
  <w:style w:type="paragraph" w:customStyle="1" w:styleId="996">
    <w:name w:val="样式 标题 4"/>
    <w:basedOn w:val="997"/>
    <w:next w:val="999"/>
    <w:autoRedefine/>
    <w:qFormat/>
    <w:uiPriority w:val="0"/>
    <w:pPr>
      <w:tabs>
        <w:tab w:val="left" w:pos="2100"/>
      </w:tabs>
      <w:spacing w:after="50"/>
      <w:ind w:left="2100" w:hanging="420"/>
    </w:pPr>
  </w:style>
  <w:style w:type="paragraph" w:customStyle="1" w:styleId="997">
    <w:name w:val="样式 标题 4Chapter X.X.X.X. + 段后: 0.5 行1"/>
    <w:basedOn w:val="998"/>
    <w:autoRedefine/>
    <w:qFormat/>
    <w:uiPriority w:val="0"/>
    <w:pPr>
      <w:spacing w:after="120"/>
    </w:pPr>
  </w:style>
  <w:style w:type="paragraph" w:customStyle="1" w:styleId="998">
    <w:name w:val="样式 标题 4 + 段后: 0.5 行"/>
    <w:basedOn w:val="5"/>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9">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0">
    <w:name w:val="样式 模板描述"/>
    <w:basedOn w:val="1"/>
    <w:next w:val="999"/>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1">
    <w:name w:val="样式 标题 2Chapter X.X. Statementh22Header 2l2Level 2 Headhea...1"/>
    <w:basedOn w:val="4"/>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2">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3">
    <w:name w:val="标题 3Chapter X.X.X. + 段后: 0.5 行 + 段后: 0.5 行 + 段后: 0.5 行1"/>
    <w:basedOn w:val="1004"/>
    <w:autoRedefine/>
    <w:qFormat/>
    <w:uiPriority w:val="0"/>
    <w:pPr>
      <w:tabs>
        <w:tab w:val="left" w:pos="709"/>
      </w:tabs>
    </w:pPr>
  </w:style>
  <w:style w:type="paragraph" w:customStyle="1" w:styleId="1004">
    <w:name w:val="样式 样式 标题 3Chapter X.X.X. + 段后: 0.5 行 + 段后: 0.5 行"/>
    <w:basedOn w:val="1005"/>
    <w:autoRedefine/>
    <w:qFormat/>
    <w:uiPriority w:val="0"/>
    <w:pPr>
      <w:tabs>
        <w:tab w:val="left" w:pos="709"/>
      </w:tabs>
    </w:pPr>
  </w:style>
  <w:style w:type="paragraph" w:customStyle="1" w:styleId="1005">
    <w:name w:val="样式 标题 3Chapter X.X.X. +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6">
    <w:name w:val="公文标题1"/>
    <w:basedOn w:val="2"/>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7">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8">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09">
    <w:name w:val="沈标题四"/>
    <w:basedOn w:val="5"/>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0">
    <w:name w:val="样式 正文文本缩进 + 仿宋_GB2312 小四 首行缩进:  0 厘米 行距: 1.5 倍行距"/>
    <w:basedOn w:val="28"/>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1">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2">
    <w:name w:val="样式 样式 样式 标题 3Chapter X.X.X. + 段后: 0.5 行 + 段后: 0.5 行 + 段后: 0.5 行"/>
    <w:basedOn w:val="1004"/>
    <w:autoRedefine/>
    <w:qFormat/>
    <w:uiPriority w:val="0"/>
    <w:pPr>
      <w:spacing w:after="120"/>
    </w:pPr>
  </w:style>
  <w:style w:type="paragraph" w:customStyle="1" w:styleId="1013">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4">
    <w:name w:val="S4-I-L15-U"/>
    <w:basedOn w:val="1"/>
    <w:autoRedefine/>
    <w:qFormat/>
    <w:uiPriority w:val="0"/>
    <w:pPr>
      <w:adjustRightInd/>
      <w:spacing w:line="360" w:lineRule="auto"/>
    </w:pPr>
    <w:rPr>
      <w:b/>
      <w:i/>
      <w:sz w:val="24"/>
      <w:u w:val="single"/>
    </w:rPr>
  </w:style>
  <w:style w:type="paragraph" w:customStyle="1" w:styleId="1015">
    <w:name w:val="标题1"/>
    <w:basedOn w:val="36"/>
    <w:autoRedefine/>
    <w:qFormat/>
    <w:uiPriority w:val="0"/>
    <w:pPr>
      <w:adjustRightInd/>
      <w:spacing w:line="360" w:lineRule="auto"/>
    </w:pPr>
    <w:rPr>
      <w:rFonts w:cstheme="minorBidi"/>
      <w:b/>
      <w:snapToGrid/>
      <w:sz w:val="30"/>
      <w:szCs w:val="22"/>
    </w:rPr>
  </w:style>
  <w:style w:type="paragraph" w:customStyle="1" w:styleId="1016">
    <w:name w:val="标书_标题2"/>
    <w:basedOn w:val="3"/>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8">
    <w:name w:val="标准标题3"/>
    <w:basedOn w:val="4"/>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9">
    <w:name w:val="样式 标题 2Chapter X.X. Statementh22Header 2l2Level 2 Headhea..."/>
    <w:basedOn w:val="3"/>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0">
    <w:name w:val="表格内容"/>
    <w:basedOn w:val="25"/>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1">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2">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3">
    <w:name w:val="_Style 10"/>
    <w:basedOn w:val="1"/>
    <w:autoRedefine/>
    <w:qFormat/>
    <w:uiPriority w:val="0"/>
    <w:pPr>
      <w:adjustRightInd/>
    </w:pPr>
    <w:rPr>
      <w:rFonts w:ascii="仿宋_GB2312" w:eastAsia="仿宋_GB2312"/>
      <w:b/>
      <w:sz w:val="32"/>
      <w:szCs w:val="32"/>
    </w:rPr>
  </w:style>
  <w:style w:type="paragraph" w:customStyle="1" w:styleId="1024">
    <w:name w:val="样式 标题 2"/>
    <w:basedOn w:val="3"/>
    <w:next w:val="1025"/>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5">
    <w:name w:val="最新标题3"/>
    <w:basedOn w:val="994"/>
    <w:next w:val="995"/>
    <w:autoRedefine/>
    <w:qFormat/>
    <w:uiPriority w:val="0"/>
    <w:pPr>
      <w:spacing w:after="120"/>
    </w:pPr>
  </w:style>
  <w:style w:type="paragraph" w:customStyle="1" w:styleId="1026">
    <w:name w:val="样式 标题 5H5ITT t5PA Pico Section5H5-Heading 5h5l5heading5...1"/>
    <w:basedOn w:val="6"/>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7">
    <w:name w:val="InfoBlue"/>
    <w:basedOn w:val="1"/>
    <w:next w:val="25"/>
    <w:autoRedefine/>
    <w:qFormat/>
    <w:uiPriority w:val="0"/>
    <w:pPr>
      <w:adjustRightInd/>
      <w:spacing w:afterLines="50"/>
      <w:ind w:left="720"/>
      <w:jc w:val="left"/>
    </w:pPr>
    <w:rPr>
      <w:rFonts w:ascii="宋体"/>
      <w:i/>
      <w:snapToGrid w:val="0"/>
      <w:color w:val="0000FF"/>
      <w:kern w:val="0"/>
      <w:szCs w:val="20"/>
    </w:rPr>
  </w:style>
  <w:style w:type="paragraph" w:customStyle="1" w:styleId="1028">
    <w:name w:val="样式 标题 2 + 五号"/>
    <w:basedOn w:val="3"/>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9">
    <w:name w:val="Style-正文"/>
    <w:basedOn w:val="1"/>
    <w:autoRedefine/>
    <w:qFormat/>
    <w:uiPriority w:val="0"/>
    <w:pPr>
      <w:adjustRightInd/>
      <w:spacing w:line="360" w:lineRule="auto"/>
      <w:ind w:firstLine="420"/>
    </w:pPr>
    <w:rPr>
      <w:rFonts w:ascii="宋体" w:hAnsi="宋体"/>
      <w:sz w:val="24"/>
    </w:rPr>
  </w:style>
  <w:style w:type="paragraph" w:customStyle="1" w:styleId="1030">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1">
    <w:name w:val="样式 标题 1 + 段后: 0.5 行"/>
    <w:basedOn w:val="2"/>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2">
    <w:name w:val="Table - Text"/>
    <w:basedOn w:val="1"/>
    <w:autoRedefine/>
    <w:qFormat/>
    <w:uiPriority w:val="0"/>
    <w:pPr>
      <w:widowControl/>
      <w:adjustRightInd/>
      <w:spacing w:before="60" w:afterLines="50"/>
      <w:jc w:val="left"/>
    </w:pPr>
    <w:rPr>
      <w:kern w:val="0"/>
      <w:szCs w:val="20"/>
      <w:lang w:eastAsia="en-US"/>
    </w:rPr>
  </w:style>
  <w:style w:type="paragraph" w:customStyle="1" w:styleId="1033">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4">
    <w:name w:val="标题 字符1"/>
    <w:basedOn w:val="74"/>
    <w:autoRedefine/>
    <w:qFormat/>
    <w:uiPriority w:val="10"/>
    <w:rPr>
      <w:rFonts w:asciiTheme="majorHAnsi" w:hAnsiTheme="majorHAnsi" w:eastAsiaTheme="majorEastAsia" w:cstheme="majorBidi"/>
      <w:b/>
      <w:bCs/>
      <w:sz w:val="32"/>
      <w:szCs w:val="32"/>
    </w:rPr>
  </w:style>
  <w:style w:type="paragraph" w:customStyle="1" w:styleId="1035">
    <w:name w:val="样式 样式 正文文本缩进 + 仿宋_GB2312 小四 首行缩进:  0 厘米 行距: 1.5 倍行距 + (中文) 仿宋_GB..."/>
    <w:basedOn w:val="1010"/>
    <w:autoRedefine/>
    <w:qFormat/>
    <w:uiPriority w:val="0"/>
    <w:pPr>
      <w:ind w:firstLine="480" w:firstLineChars="200"/>
    </w:pPr>
  </w:style>
  <w:style w:type="paragraph" w:customStyle="1" w:styleId="1036">
    <w:name w:val="样式 标题 1 + 五号"/>
    <w:basedOn w:val="2"/>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7">
    <w:name w:val="样式 标题 4Chapter X.X.X. + 段后: 0.5 行1"/>
    <w:basedOn w:val="5"/>
    <w:next w:val="5"/>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8">
    <w:name w:val="样式 标题 3Chapter X.X.X. + 五号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9">
    <w:name w:val="样式 标题 3(A-3)sect1.2.3h3H3level_3PIM 3Level 3 HeadHeading..."/>
    <w:basedOn w:val="4"/>
    <w:autoRedefine/>
    <w:qFormat/>
    <w:uiPriority w:val="0"/>
    <w:pPr>
      <w:tabs>
        <w:tab w:val="left" w:pos="709"/>
        <w:tab w:val="clear" w:pos="900"/>
      </w:tabs>
      <w:adjustRightInd/>
      <w:jc w:val="left"/>
    </w:pPr>
    <w:rPr>
      <w:rFonts w:ascii="Arial" w:hAnsi="Arial"/>
      <w:sz w:val="30"/>
    </w:rPr>
  </w:style>
  <w:style w:type="paragraph" w:customStyle="1" w:styleId="1040">
    <w:name w:val="最新标题1"/>
    <w:basedOn w:val="1041"/>
    <w:next w:val="1042"/>
    <w:autoRedefine/>
    <w:qFormat/>
    <w:uiPriority w:val="0"/>
    <w:pPr>
      <w:numPr>
        <w:ilvl w:val="0"/>
        <w:numId w:val="2"/>
      </w:numPr>
      <w:tabs>
        <w:tab w:val="left" w:pos="360"/>
        <w:tab w:val="left" w:pos="1140"/>
      </w:tabs>
      <w:spacing w:after="120"/>
      <w:ind w:left="1140" w:hanging="720"/>
    </w:pPr>
    <w:rPr>
      <w:bCs/>
    </w:rPr>
  </w:style>
  <w:style w:type="paragraph" w:customStyle="1" w:styleId="1041">
    <w:name w:val="样式 标题1"/>
    <w:basedOn w:val="1031"/>
    <w:next w:val="1042"/>
    <w:autoRedefine/>
    <w:qFormat/>
    <w:uiPriority w:val="0"/>
    <w:pPr>
      <w:tabs>
        <w:tab w:val="left" w:pos="1140"/>
      </w:tabs>
      <w:spacing w:after="50"/>
      <w:ind w:left="1140" w:hanging="720"/>
    </w:pPr>
    <w:rPr>
      <w:bCs w:val="0"/>
      <w:sz w:val="32"/>
    </w:rPr>
  </w:style>
  <w:style w:type="paragraph" w:customStyle="1" w:styleId="1042">
    <w:name w:val="最新标题2"/>
    <w:basedOn w:val="1024"/>
    <w:next w:val="1025"/>
    <w:autoRedefine/>
    <w:qFormat/>
    <w:uiPriority w:val="0"/>
    <w:pPr>
      <w:spacing w:after="120"/>
    </w:pPr>
  </w:style>
  <w:style w:type="paragraph" w:customStyle="1" w:styleId="1043">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4">
    <w:name w:val="样式 标题 3h33rd levelHeading 3 - oldH3Fab-3level_3PIM 3Leve..."/>
    <w:basedOn w:val="4"/>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5">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6">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7">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8">
    <w:name w:val="S4-B-L15"/>
    <w:basedOn w:val="1"/>
    <w:autoRedefine/>
    <w:qFormat/>
    <w:uiPriority w:val="0"/>
    <w:pPr>
      <w:adjustRightInd/>
      <w:spacing w:line="360" w:lineRule="auto"/>
    </w:pPr>
    <w:rPr>
      <w:b/>
      <w:bCs/>
      <w:sz w:val="24"/>
    </w:rPr>
  </w:style>
  <w:style w:type="paragraph" w:customStyle="1" w:styleId="1049">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0">
    <w:name w:val="样式　标题4"/>
    <w:basedOn w:val="1037"/>
    <w:next w:val="1"/>
    <w:autoRedefine/>
    <w:qFormat/>
    <w:uiPriority w:val="0"/>
    <w:pPr>
      <w:numPr>
        <w:ilvl w:val="2"/>
        <w:numId w:val="2"/>
      </w:numPr>
      <w:ind w:left="425" w:hanging="425"/>
    </w:pPr>
  </w:style>
  <w:style w:type="paragraph" w:customStyle="1" w:styleId="1051">
    <w:name w:val="文本框内文字"/>
    <w:basedOn w:val="1"/>
    <w:autoRedefine/>
    <w:qFormat/>
    <w:uiPriority w:val="0"/>
    <w:pPr>
      <w:adjustRightInd/>
      <w:spacing w:line="0" w:lineRule="atLeast"/>
    </w:pPr>
    <w:rPr>
      <w:rFonts w:eastAsia="仿宋_GB2312"/>
      <w:sz w:val="22"/>
    </w:rPr>
  </w:style>
  <w:style w:type="paragraph" w:customStyle="1" w:styleId="1052">
    <w:name w:val="样式 标题 1 + 五号1 Char Char Char Char Char Char Char Char Char Char Char Char Char Char Char Char Char"/>
    <w:basedOn w:val="2"/>
    <w:autoRedefine/>
    <w:qFormat/>
    <w:uiPriority w:val="0"/>
    <w:pPr>
      <w:tabs>
        <w:tab w:val="left" w:pos="360"/>
        <w:tab w:val="clear" w:pos="432"/>
      </w:tabs>
      <w:adjustRightInd/>
      <w:spacing w:before="0" w:after="0" w:line="480" w:lineRule="auto"/>
      <w:ind w:left="0" w:firstLine="0"/>
    </w:pPr>
    <w:rPr>
      <w:sz w:val="21"/>
    </w:rPr>
  </w:style>
  <w:style w:type="paragraph" w:customStyle="1" w:styleId="1053">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4">
    <w:name w:val="IBM 正文"/>
    <w:basedOn w:val="1"/>
    <w:autoRedefine/>
    <w:qFormat/>
    <w:uiPriority w:val="0"/>
    <w:pPr>
      <w:adjustRightInd/>
      <w:spacing w:line="360" w:lineRule="atLeast"/>
    </w:pPr>
    <w:rPr>
      <w:sz w:val="24"/>
      <w:szCs w:val="20"/>
    </w:rPr>
  </w:style>
  <w:style w:type="paragraph" w:customStyle="1" w:styleId="1055">
    <w:name w:val="Char Char Char Char Char Char Char Char Char1 Char Char Char Char"/>
    <w:basedOn w:val="1"/>
    <w:autoRedefine/>
    <w:qFormat/>
    <w:uiPriority w:val="0"/>
    <w:pPr>
      <w:spacing w:line="360" w:lineRule="auto"/>
    </w:pPr>
    <w:rPr>
      <w:szCs w:val="20"/>
    </w:rPr>
  </w:style>
  <w:style w:type="paragraph" w:customStyle="1" w:styleId="1056">
    <w:name w:val="标准标题2"/>
    <w:basedOn w:val="3"/>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7">
    <w:name w:val="表格标题"/>
    <w:basedOn w:val="1020"/>
    <w:autoRedefine/>
    <w:qFormat/>
    <w:uiPriority w:val="0"/>
    <w:pPr>
      <w:numPr>
        <w:ilvl w:val="0"/>
        <w:numId w:val="5"/>
      </w:numPr>
      <w:tabs>
        <w:tab w:val="clear" w:pos="360"/>
      </w:tabs>
      <w:ind w:left="0" w:firstLine="0"/>
      <w:jc w:val="center"/>
    </w:pPr>
    <w:rPr>
      <w:b/>
      <w:bCs/>
      <w:i/>
      <w:iCs/>
    </w:rPr>
  </w:style>
  <w:style w:type="paragraph" w:customStyle="1" w:styleId="1058">
    <w:name w:val="Paragraph4"/>
    <w:basedOn w:val="1"/>
    <w:autoRedefine/>
    <w:qFormat/>
    <w:uiPriority w:val="0"/>
    <w:pPr>
      <w:adjustRightInd/>
      <w:spacing w:before="80" w:afterLines="50"/>
      <w:ind w:left="2250"/>
    </w:pPr>
    <w:rPr>
      <w:rFonts w:ascii="宋体"/>
      <w:snapToGrid w:val="0"/>
      <w:kern w:val="0"/>
      <w:szCs w:val="20"/>
    </w:rPr>
  </w:style>
  <w:style w:type="character" w:customStyle="1" w:styleId="1059">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0">
    <w:name w:val="Paragraph1"/>
    <w:basedOn w:val="1"/>
    <w:autoRedefine/>
    <w:qFormat/>
    <w:uiPriority w:val="0"/>
    <w:pPr>
      <w:adjustRightInd/>
      <w:spacing w:before="80" w:afterLines="50"/>
    </w:pPr>
    <w:rPr>
      <w:rFonts w:ascii="宋体"/>
      <w:snapToGrid w:val="0"/>
      <w:kern w:val="0"/>
      <w:szCs w:val="20"/>
    </w:rPr>
  </w:style>
  <w:style w:type="paragraph" w:customStyle="1" w:styleId="1061">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2">
    <w:name w:val="公文标题3"/>
    <w:basedOn w:val="4"/>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3">
    <w:name w:val="标题6"/>
    <w:basedOn w:val="1"/>
    <w:next w:val="2"/>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4">
    <w:name w:val="样式 标题 4Chapter X.X.X. + 段后: 0.5 行1 + 段后: 0.5 行"/>
    <w:basedOn w:val="1037"/>
    <w:autoRedefine/>
    <w:qFormat/>
    <w:uiPriority w:val="0"/>
    <w:pPr/>
    <w:rPr>
      <w:szCs w:val="21"/>
    </w:rPr>
  </w:style>
  <w:style w:type="paragraph" w:customStyle="1" w:styleId="1065">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6">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7">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8">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69">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0">
    <w:name w:val="S4-L15-C"/>
    <w:basedOn w:val="1"/>
    <w:autoRedefine/>
    <w:qFormat/>
    <w:uiPriority w:val="0"/>
    <w:pPr>
      <w:adjustRightInd/>
      <w:spacing w:after="120" w:line="360" w:lineRule="auto"/>
      <w:jc w:val="center"/>
    </w:pPr>
    <w:rPr>
      <w:szCs w:val="21"/>
    </w:rPr>
  </w:style>
  <w:style w:type="paragraph" w:customStyle="1" w:styleId="1071">
    <w:name w:val="公文标题6"/>
    <w:basedOn w:val="7"/>
    <w:next w:val="1"/>
    <w:autoRedefine/>
    <w:qFormat/>
    <w:uiPriority w:val="0"/>
    <w:pPr>
      <w:numPr>
        <w:ilvl w:val="5"/>
        <w:numId w:val="4"/>
      </w:numPr>
      <w:tabs>
        <w:tab w:val="clear" w:pos="1152"/>
      </w:tabs>
      <w:adjustRightInd/>
    </w:pPr>
    <w:rPr>
      <w:rFonts w:ascii="Times New Roman" w:hAnsi="Times New Roman"/>
    </w:rPr>
  </w:style>
  <w:style w:type="paragraph" w:customStyle="1" w:styleId="107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3">
    <w:name w:val="样式 样式 标题 4 + 段后: 0.5 行1"/>
    <w:basedOn w:val="998"/>
    <w:next w:val="41"/>
    <w:autoRedefine/>
    <w:qFormat/>
    <w:uiPriority w:val="0"/>
    <w:pPr>
      <w:spacing w:after="120"/>
    </w:pPr>
  </w:style>
  <w:style w:type="paragraph" w:customStyle="1" w:styleId="1074">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5">
    <w:name w:val="表格正文"/>
    <w:basedOn w:val="59"/>
    <w:autoRedefine/>
    <w:qFormat/>
    <w:uiPriority w:val="0"/>
    <w:pPr>
      <w:adjustRightInd/>
      <w:spacing w:after="0" w:line="240" w:lineRule="auto"/>
    </w:pPr>
    <w:rPr>
      <w:sz w:val="24"/>
    </w:rPr>
  </w:style>
  <w:style w:type="paragraph" w:customStyle="1" w:styleId="1076">
    <w:name w:val="标准标题1"/>
    <w:basedOn w:val="2"/>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7">
    <w:name w:val="公文标题4"/>
    <w:basedOn w:val="5"/>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8">
    <w:name w:val="S4-L15-No"/>
    <w:basedOn w:val="1079"/>
    <w:autoRedefine/>
    <w:qFormat/>
    <w:uiPriority w:val="0"/>
    <w:pPr>
      <w:tabs>
        <w:tab w:val="left" w:pos="720"/>
      </w:tabs>
      <w:ind w:hanging="720"/>
    </w:pPr>
  </w:style>
  <w:style w:type="paragraph" w:customStyle="1" w:styleId="1079">
    <w:name w:val="S4-L15"/>
    <w:basedOn w:val="1"/>
    <w:autoRedefine/>
    <w:qFormat/>
    <w:uiPriority w:val="0"/>
    <w:pPr>
      <w:adjustRightInd/>
      <w:spacing w:after="120" w:line="360" w:lineRule="auto"/>
      <w:ind w:left="720" w:firstLine="392"/>
    </w:pPr>
    <w:rPr>
      <w:szCs w:val="21"/>
      <w:lang w:val="fr-FR"/>
    </w:rPr>
  </w:style>
  <w:style w:type="paragraph" w:customStyle="1" w:styleId="1080">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1">
    <w:name w:val="公文标题5"/>
    <w:basedOn w:val="6"/>
    <w:next w:val="1"/>
    <w:autoRedefine/>
    <w:qFormat/>
    <w:uiPriority w:val="0"/>
    <w:pPr>
      <w:numPr>
        <w:ilvl w:val="4"/>
        <w:numId w:val="4"/>
      </w:numPr>
      <w:tabs>
        <w:tab w:val="clear" w:pos="1008"/>
      </w:tabs>
      <w:adjustRightInd/>
    </w:pPr>
    <w:rPr>
      <w:rFonts w:eastAsia="黑体"/>
      <w:sz w:val="24"/>
    </w:rPr>
  </w:style>
  <w:style w:type="paragraph" w:customStyle="1" w:styleId="1082">
    <w:name w:val="样式 标题 3Chapter X.X.X"/>
    <w:basedOn w:val="1003"/>
    <w:autoRedefine/>
    <w:qFormat/>
    <w:uiPriority w:val="0"/>
    <w:pPr>
      <w:spacing w:after="120"/>
    </w:pPr>
  </w:style>
  <w:style w:type="paragraph" w:customStyle="1" w:styleId="1083">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5">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6">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7">
    <w:name w:val="样式 标题 3Chapter X.X.X. + 段后: 0.5 行1"/>
    <w:basedOn w:val="4"/>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8">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89">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0">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1">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2">
    <w:name w:val="样式 样式 标题 4 + 段后: 0.5 行 + 段后: 0.5 行"/>
    <w:basedOn w:val="998"/>
    <w:autoRedefine/>
    <w:qFormat/>
    <w:uiPriority w:val="0"/>
    <w:pPr/>
  </w:style>
  <w:style w:type="paragraph" w:customStyle="1" w:styleId="1093">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4">
    <w:name w:val="公文标题2"/>
    <w:basedOn w:val="3"/>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5">
    <w:name w:val="number1"/>
    <w:basedOn w:val="1"/>
    <w:autoRedefine/>
    <w:qFormat/>
    <w:uiPriority w:val="0"/>
    <w:pPr>
      <w:numPr>
        <w:ilvl w:val="0"/>
        <w:numId w:val="8"/>
      </w:numPr>
      <w:adjustRightInd/>
      <w:spacing w:afterLines="30" w:line="360" w:lineRule="auto"/>
    </w:pPr>
    <w:rPr>
      <w:sz w:val="24"/>
    </w:rPr>
  </w:style>
  <w:style w:type="paragraph" w:customStyle="1" w:styleId="1096">
    <w:name w:val="Tabletext"/>
    <w:basedOn w:val="1"/>
    <w:autoRedefine/>
    <w:qFormat/>
    <w:uiPriority w:val="0"/>
    <w:pPr>
      <w:keepLines/>
      <w:adjustRightInd/>
      <w:spacing w:afterLines="50"/>
      <w:jc w:val="left"/>
    </w:pPr>
    <w:rPr>
      <w:rFonts w:ascii="宋体"/>
      <w:snapToGrid w:val="0"/>
      <w:kern w:val="0"/>
      <w:szCs w:val="20"/>
    </w:rPr>
  </w:style>
  <w:style w:type="paragraph" w:customStyle="1" w:styleId="1097">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8">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099">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0">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1">
    <w:name w:val="未处理的提及3"/>
    <w:basedOn w:val="74"/>
    <w:autoRedefine/>
    <w:semiHidden/>
    <w:unhideWhenUsed/>
    <w:qFormat/>
    <w:uiPriority w:val="99"/>
    <w:rPr>
      <w:color w:val="605E5C"/>
      <w:shd w:val="clear" w:color="auto" w:fill="E1DFDD"/>
    </w:rPr>
  </w:style>
  <w:style w:type="character" w:customStyle="1" w:styleId="1102">
    <w:name w:val="Unresolved Mention"/>
    <w:basedOn w:val="74"/>
    <w:autoRedefine/>
    <w:semiHidden/>
    <w:unhideWhenUsed/>
    <w:qFormat/>
    <w:uiPriority w:val="99"/>
    <w:rPr>
      <w:color w:val="605E5C"/>
      <w:shd w:val="clear" w:color="auto" w:fill="E1DFDD"/>
    </w:rPr>
  </w:style>
  <w:style w:type="paragraph" w:styleId="1103">
    <w:name w:val="List Paragraph"/>
    <w:basedOn w:val="1"/>
    <w:autoRedefine/>
    <w:qFormat/>
    <w:uiPriority w:val="99"/>
    <w:pPr>
      <w:adjustRightInd/>
      <w:ind w:firstLine="420" w:firstLineChars="200"/>
    </w:pPr>
    <w:rPr>
      <w:rFonts w:asciiTheme="minorHAnsi" w:hAnsiTheme="minorHAnsi" w:eastAsiaTheme="minorEastAsia" w:cstheme="minorBidi"/>
      <w:szCs w:val="22"/>
    </w:rPr>
  </w:style>
  <w:style w:type="paragraph" w:customStyle="1" w:styleId="1104">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6">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2">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6">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3">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4">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6">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130">
    <w:name w:val="AAA标题1"/>
    <w:basedOn w:val="1131"/>
    <w:autoRedefine/>
    <w:qFormat/>
    <w:uiPriority w:val="0"/>
    <w:pPr>
      <w:numPr>
        <w:numId w:val="9"/>
      </w:numPr>
    </w:pPr>
  </w:style>
  <w:style w:type="paragraph" w:customStyle="1" w:styleId="1131">
    <w:name w:val="AA标题1"/>
    <w:basedOn w:val="1103"/>
    <w:autoRedefine/>
    <w:qFormat/>
    <w:uiPriority w:val="0"/>
    <w:pPr>
      <w:numPr>
        <w:ilvl w:val="0"/>
        <w:numId w:val="10"/>
      </w:numPr>
      <w:spacing w:line="360" w:lineRule="auto"/>
      <w:ind w:firstLine="0" w:firstLineChars="0"/>
      <w:outlineLvl w:val="0"/>
    </w:pPr>
    <w:rPr>
      <w:rFonts w:ascii="宋体" w:hAnsi="宋体" w:eastAsia="宋体" w:cs="宋体"/>
      <w:b/>
      <w:bCs/>
      <w:sz w:val="28"/>
      <w:szCs w:val="28"/>
    </w:rPr>
  </w:style>
  <w:style w:type="paragraph" w:customStyle="1" w:styleId="1132">
    <w:name w:val="AAA标题2"/>
    <w:basedOn w:val="1103"/>
    <w:autoRedefine/>
    <w:qFormat/>
    <w:uiPriority w:val="0"/>
    <w:pPr>
      <w:numPr>
        <w:ilvl w:val="1"/>
        <w:numId w:val="9"/>
      </w:numPr>
      <w:spacing w:beforeLines="50" w:afterLines="50"/>
      <w:ind w:firstLine="0" w:firstLineChars="0"/>
    </w:pPr>
    <w:rPr>
      <w:rFonts w:ascii="宋体" w:hAnsi="宋体" w:eastAsia="宋体" w:cs="宋体"/>
    </w:rPr>
  </w:style>
  <w:style w:type="paragraph" w:customStyle="1" w:styleId="1133">
    <w:name w:val="AAA标题3"/>
    <w:basedOn w:val="1132"/>
    <w:autoRedefine/>
    <w:qFormat/>
    <w:uiPriority w:val="0"/>
    <w:pPr>
      <w:spacing w:line="360" w:lineRule="auto"/>
      <w:ind w:hanging="567"/>
    </w:pPr>
    <w:rPr>
      <w:b/>
      <w:bCs/>
      <w:sz w:val="24"/>
    </w:rPr>
  </w:style>
  <w:style w:type="paragraph" w:customStyle="1" w:styleId="1134">
    <w:name w:val="_Style 629"/>
    <w:basedOn w:val="25"/>
    <w:next w:val="26"/>
    <w:autoRedefine/>
    <w:qFormat/>
    <w:uiPriority w:val="0"/>
    <w:pPr>
      <w:ind w:firstLine="420"/>
    </w:pPr>
    <w:rPr>
      <w:szCs w:val="20"/>
    </w:rPr>
  </w:style>
  <w:style w:type="paragraph" w:customStyle="1" w:styleId="1135">
    <w:name w:val="正文文本首行缩进 21"/>
    <w:basedOn w:val="43"/>
    <w:next w:val="1"/>
    <w:autoRedefine/>
    <w:qFormat/>
    <w:uiPriority w:val="99"/>
    <w:pPr>
      <w:spacing w:line="200" w:lineRule="atLeast"/>
      <w:ind w:firstLine="420"/>
    </w:pPr>
    <w:rPr>
      <w:rFonts w:hAnsi="Courier New"/>
      <w:spacing w:val="-4"/>
      <w:sz w:val="18"/>
    </w:rPr>
  </w:style>
  <w:style w:type="paragraph" w:styleId="1136">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comments" Target="comment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42882</Words>
  <Characters>45303</Characters>
  <Lines>327</Lines>
  <Paragraphs>92</Paragraphs>
  <TotalTime>3</TotalTime>
  <ScaleCrop>false</ScaleCrop>
  <LinksUpToDate>false</LinksUpToDate>
  <CharactersWithSpaces>47092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2023-12-26T08:50:00Z</dcterms:created>
  <dc:creator>玥</dc:creator>
  <cp:lastModifiedBy>两</cp:lastModifiedBy>
  <cp:lastPrinted>2024-06-21T09:01:00Z</cp:lastPrinted>
  <dcterms:modified xsi:type="dcterms:W3CDTF">2024-06-24T03:45:33Z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306BC5BAB69F44F7946FAF8AD5862EB1_13</vt:lpwstr>
  </property>
</Properties>
</file>